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EFA" w:rsidRDefault="00B35641" w:rsidP="00D8345F">
      <w:pPr>
        <w:rPr>
          <w:rFonts w:ascii="Times New Roman" w:hAnsi="Times New Roman" w:cs="Times New Roman"/>
          <w:i/>
          <w:lang w:val="en-US"/>
        </w:rPr>
      </w:pPr>
      <w:bookmarkStart w:id="0" w:name="_GoBack"/>
      <w:bookmarkEnd w:id="0"/>
      <w:r>
        <w:rPr>
          <w:rFonts w:ascii="Times" w:hAnsi="Times" w:cs="Times"/>
          <w:noProof/>
          <w:color w:val="000000"/>
          <w:lang w:val="en-US"/>
        </w:rPr>
        <w:drawing>
          <wp:anchor distT="0" distB="0" distL="114300" distR="114300" simplePos="0" relativeHeight="251659264" behindDoc="0" locked="0" layoutInCell="1" allowOverlap="1" wp14:anchorId="08288DBD" wp14:editId="16D24C7A">
            <wp:simplePos x="0" y="0"/>
            <wp:positionH relativeFrom="margin">
              <wp:posOffset>-733425</wp:posOffset>
            </wp:positionH>
            <wp:positionV relativeFrom="margin">
              <wp:posOffset>-886460</wp:posOffset>
            </wp:positionV>
            <wp:extent cx="3312795" cy="19481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2795" cy="1948180"/>
                    </a:xfrm>
                    <a:prstGeom prst="rect">
                      <a:avLst/>
                    </a:prstGeom>
                    <a:noFill/>
                    <a:ln>
                      <a:noFill/>
                    </a:ln>
                  </pic:spPr>
                </pic:pic>
              </a:graphicData>
            </a:graphic>
          </wp:anchor>
        </w:drawing>
      </w:r>
    </w:p>
    <w:p w:rsidR="00403EFA" w:rsidRDefault="00403EFA" w:rsidP="00403EFA">
      <w:pPr>
        <w:pStyle w:val="Heading1"/>
        <w:numPr>
          <w:ilvl w:val="0"/>
          <w:numId w:val="0"/>
        </w:numPr>
        <w:spacing w:line="360" w:lineRule="auto"/>
        <w:ind w:left="567" w:hanging="567"/>
        <w:rPr>
          <w:rFonts w:ascii="Times New Roman" w:hAnsi="Times New Roman" w:cs="Times New Roman"/>
          <w:i w:val="0"/>
          <w:lang w:val="en-US"/>
        </w:rPr>
      </w:pPr>
    </w:p>
    <w:p w:rsidR="00403EFA" w:rsidRDefault="00403EFA" w:rsidP="00403EFA">
      <w:pPr>
        <w:pStyle w:val="Heading1"/>
        <w:numPr>
          <w:ilvl w:val="0"/>
          <w:numId w:val="0"/>
        </w:numPr>
        <w:spacing w:line="360" w:lineRule="auto"/>
        <w:ind w:left="567" w:hanging="567"/>
        <w:rPr>
          <w:rFonts w:ascii="Times New Roman" w:hAnsi="Times New Roman" w:cs="Times New Roman"/>
          <w:i w:val="0"/>
          <w:lang w:val="en-US"/>
        </w:rPr>
      </w:pPr>
    </w:p>
    <w:p w:rsidR="00403EFA" w:rsidRDefault="00403EFA" w:rsidP="00403EFA">
      <w:pPr>
        <w:pStyle w:val="Heading1"/>
        <w:numPr>
          <w:ilvl w:val="0"/>
          <w:numId w:val="0"/>
        </w:numPr>
        <w:spacing w:line="360" w:lineRule="auto"/>
        <w:ind w:left="567" w:hanging="567"/>
        <w:rPr>
          <w:rFonts w:ascii="Times New Roman" w:hAnsi="Times New Roman" w:cs="Times New Roman"/>
          <w:i w:val="0"/>
          <w:lang w:val="en-US"/>
        </w:rPr>
      </w:pPr>
    </w:p>
    <w:p w:rsidR="00403EFA" w:rsidRDefault="00403EFA" w:rsidP="00403EFA">
      <w:pPr>
        <w:pStyle w:val="Heading1"/>
        <w:numPr>
          <w:ilvl w:val="0"/>
          <w:numId w:val="0"/>
        </w:numPr>
        <w:spacing w:line="360" w:lineRule="auto"/>
        <w:ind w:left="567" w:hanging="567"/>
        <w:rPr>
          <w:rFonts w:ascii="Times New Roman" w:hAnsi="Times New Roman" w:cs="Times New Roman"/>
          <w:i w:val="0"/>
          <w:lang w:val="en-US"/>
        </w:rPr>
      </w:pPr>
    </w:p>
    <w:p w:rsidR="00403EFA" w:rsidRDefault="00403EFA" w:rsidP="00403EFA">
      <w:pPr>
        <w:pStyle w:val="Heading1"/>
        <w:numPr>
          <w:ilvl w:val="0"/>
          <w:numId w:val="0"/>
        </w:numPr>
        <w:spacing w:line="360" w:lineRule="auto"/>
        <w:ind w:left="567" w:hanging="567"/>
        <w:rPr>
          <w:rFonts w:ascii="Times New Roman" w:hAnsi="Times New Roman" w:cs="Times New Roman"/>
          <w:i w:val="0"/>
          <w:lang w:val="en-US"/>
        </w:rPr>
      </w:pPr>
    </w:p>
    <w:p w:rsidR="00B35641" w:rsidRPr="00B35641" w:rsidRDefault="00B35641" w:rsidP="00B35641">
      <w:pPr>
        <w:spacing w:line="240" w:lineRule="auto"/>
        <w:jc w:val="both"/>
        <w:rPr>
          <w:rFonts w:ascii="Calibri" w:hAnsi="Calibri" w:cs="Calibri"/>
          <w:b/>
          <w:sz w:val="32"/>
          <w:szCs w:val="32"/>
        </w:rPr>
      </w:pPr>
      <w:r w:rsidRPr="00B35641">
        <w:rPr>
          <w:rFonts w:ascii="Calibri" w:hAnsi="Calibri" w:cs="Calibri"/>
          <w:b/>
          <w:sz w:val="32"/>
          <w:szCs w:val="32"/>
        </w:rPr>
        <w:t>ERASMUS UNIVERSITY ROTTERDAM</w:t>
      </w:r>
    </w:p>
    <w:p w:rsidR="00B35641" w:rsidRPr="00B35641" w:rsidRDefault="00B35641" w:rsidP="00B35641">
      <w:pPr>
        <w:spacing w:line="240" w:lineRule="auto"/>
        <w:jc w:val="both"/>
        <w:rPr>
          <w:rFonts w:ascii="Calibri" w:hAnsi="Calibri" w:cs="Calibri"/>
          <w:b/>
          <w:sz w:val="32"/>
          <w:szCs w:val="32"/>
        </w:rPr>
      </w:pPr>
      <w:r w:rsidRPr="00B35641">
        <w:rPr>
          <w:rFonts w:ascii="Calibri" w:hAnsi="Calibri" w:cs="Calibri"/>
          <w:b/>
          <w:sz w:val="32"/>
          <w:szCs w:val="32"/>
        </w:rPr>
        <w:t xml:space="preserve">Erasmus School of Economics </w:t>
      </w:r>
    </w:p>
    <w:p w:rsidR="00B35641" w:rsidRPr="00B35641" w:rsidRDefault="00B35641" w:rsidP="00B35641">
      <w:pPr>
        <w:spacing w:line="240" w:lineRule="auto"/>
        <w:jc w:val="both"/>
        <w:rPr>
          <w:rFonts w:ascii="Calibri" w:hAnsi="Calibri" w:cs="Calibri"/>
          <w:b/>
          <w:sz w:val="32"/>
        </w:rPr>
      </w:pPr>
      <w:r w:rsidRPr="00B35641">
        <w:rPr>
          <w:rFonts w:ascii="Calibri" w:hAnsi="Calibri" w:cs="Calibri"/>
          <w:b/>
          <w:sz w:val="32"/>
        </w:rPr>
        <w:t xml:space="preserve">Bachelor Thesis </w:t>
      </w:r>
    </w:p>
    <w:p w:rsidR="00B35641" w:rsidRPr="00B35641" w:rsidRDefault="00B35641" w:rsidP="00B35641">
      <w:pPr>
        <w:spacing w:line="240" w:lineRule="auto"/>
        <w:jc w:val="both"/>
        <w:rPr>
          <w:rFonts w:ascii="Calibri" w:hAnsi="Calibri" w:cs="Calibri"/>
          <w:b/>
          <w:sz w:val="32"/>
        </w:rPr>
      </w:pPr>
      <w:r w:rsidRPr="00B35641">
        <w:rPr>
          <w:rFonts w:ascii="Calibri" w:hAnsi="Calibri" w:cs="Calibri"/>
          <w:b/>
          <w:sz w:val="32"/>
        </w:rPr>
        <w:t>International Bachelor Economics and Business Economics</w:t>
      </w:r>
    </w:p>
    <w:p w:rsidR="00403EFA" w:rsidRDefault="00403EFA" w:rsidP="00403EFA">
      <w:pPr>
        <w:pStyle w:val="Heading1"/>
        <w:numPr>
          <w:ilvl w:val="0"/>
          <w:numId w:val="0"/>
        </w:numPr>
        <w:spacing w:line="360" w:lineRule="auto"/>
        <w:ind w:left="567" w:hanging="567"/>
        <w:rPr>
          <w:rFonts w:ascii="Times New Roman" w:hAnsi="Times New Roman" w:cs="Times New Roman"/>
          <w:i w:val="0"/>
          <w:lang w:val="en-US"/>
        </w:rPr>
      </w:pPr>
    </w:p>
    <w:p w:rsidR="00403EFA" w:rsidRPr="000A4482" w:rsidRDefault="007E3145" w:rsidP="000A4482">
      <w:pPr>
        <w:rPr>
          <w:rFonts w:ascii="Times New Roman" w:hAnsi="Times New Roman" w:cs="Times New Roman"/>
          <w:b/>
          <w:i/>
          <w:sz w:val="44"/>
          <w:szCs w:val="44"/>
          <w:lang w:val="en-US"/>
        </w:rPr>
      </w:pPr>
      <w:r w:rsidRPr="000A4482">
        <w:rPr>
          <w:rFonts w:ascii="Times New Roman" w:hAnsi="Times New Roman" w:cs="Times New Roman"/>
          <w:b/>
          <w:i/>
          <w:sz w:val="44"/>
          <w:szCs w:val="44"/>
          <w:lang w:val="en-US"/>
        </w:rPr>
        <w:t>The Russian Stock Market in the aftermath of Annexation of Crimea and Sanctions</w:t>
      </w:r>
    </w:p>
    <w:p w:rsidR="00B35641" w:rsidRDefault="00B35641" w:rsidP="00B35641">
      <w:pPr>
        <w:spacing w:line="360" w:lineRule="auto"/>
        <w:jc w:val="center"/>
        <w:rPr>
          <w:b/>
        </w:rPr>
      </w:pPr>
    </w:p>
    <w:p w:rsidR="00B35641" w:rsidRDefault="00B35641" w:rsidP="00B35641">
      <w:pPr>
        <w:spacing w:line="360" w:lineRule="auto"/>
        <w:rPr>
          <w:b/>
        </w:rPr>
      </w:pPr>
      <w:r>
        <w:rPr>
          <w:b/>
        </w:rPr>
        <w:t xml:space="preserve">Name student: Nazrin Rasulzade </w:t>
      </w:r>
    </w:p>
    <w:p w:rsidR="00B35641" w:rsidRDefault="00B35641" w:rsidP="00B35641">
      <w:pPr>
        <w:spacing w:line="360" w:lineRule="auto"/>
        <w:rPr>
          <w:b/>
        </w:rPr>
      </w:pPr>
      <w:r>
        <w:rPr>
          <w:b/>
        </w:rPr>
        <w:t>Student ID number: 458230</w:t>
      </w:r>
    </w:p>
    <w:p w:rsidR="00B35641" w:rsidRDefault="00B35641" w:rsidP="00B35641">
      <w:pPr>
        <w:spacing w:line="360" w:lineRule="auto"/>
        <w:rPr>
          <w:b/>
        </w:rPr>
      </w:pPr>
      <w:r>
        <w:rPr>
          <w:b/>
        </w:rPr>
        <w:t>Supervisor: Dr. Suzanne Bijkerk</w:t>
      </w:r>
    </w:p>
    <w:p w:rsidR="00B35641" w:rsidRDefault="00B35641" w:rsidP="00B35641">
      <w:pPr>
        <w:spacing w:line="360" w:lineRule="auto"/>
        <w:rPr>
          <w:b/>
        </w:rPr>
      </w:pPr>
      <w:r>
        <w:rPr>
          <w:b/>
        </w:rPr>
        <w:t xml:space="preserve">Date final version: </w:t>
      </w:r>
    </w:p>
    <w:p w:rsidR="00403EFA" w:rsidRDefault="00403EFA" w:rsidP="00403EFA">
      <w:pPr>
        <w:pStyle w:val="Heading1"/>
        <w:numPr>
          <w:ilvl w:val="0"/>
          <w:numId w:val="0"/>
        </w:numPr>
        <w:spacing w:line="360" w:lineRule="auto"/>
        <w:ind w:left="567" w:hanging="567"/>
        <w:rPr>
          <w:rFonts w:ascii="Times New Roman" w:hAnsi="Times New Roman" w:cs="Times New Roman"/>
          <w:i w:val="0"/>
          <w:lang w:val="en-US"/>
        </w:rPr>
      </w:pPr>
    </w:p>
    <w:p w:rsidR="00403EFA" w:rsidRDefault="00B35641" w:rsidP="00D8345F">
      <w:pPr>
        <w:rPr>
          <w:rFonts w:ascii="Times New Roman" w:hAnsi="Times New Roman" w:cs="Times New Roman"/>
          <w:i/>
          <w:lang w:val="en-US"/>
        </w:rPr>
      </w:pPr>
      <w:r>
        <w:rPr>
          <w:rFonts w:ascii="Times" w:hAnsi="Times" w:cs="Times"/>
          <w:noProof/>
          <w:color w:val="000000"/>
          <w:lang w:val="en-US"/>
        </w:rPr>
        <w:drawing>
          <wp:anchor distT="0" distB="0" distL="114300" distR="114300" simplePos="0" relativeHeight="251663360" behindDoc="0" locked="0" layoutInCell="1" allowOverlap="1" wp14:anchorId="00DF2E35" wp14:editId="0CFC5F01">
            <wp:simplePos x="0" y="0"/>
            <wp:positionH relativeFrom="margin">
              <wp:posOffset>5142865</wp:posOffset>
            </wp:positionH>
            <wp:positionV relativeFrom="margin">
              <wp:posOffset>8798560</wp:posOffset>
            </wp:positionV>
            <wp:extent cx="1616710" cy="715645"/>
            <wp:effectExtent l="0" t="0" r="889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6710" cy="715645"/>
                    </a:xfrm>
                    <a:prstGeom prst="rect">
                      <a:avLst/>
                    </a:prstGeom>
                    <a:noFill/>
                    <a:ln>
                      <a:noFill/>
                    </a:ln>
                  </pic:spPr>
                </pic:pic>
              </a:graphicData>
            </a:graphic>
          </wp:anchor>
        </w:drawing>
      </w:r>
      <w:r>
        <w:rPr>
          <w:rFonts w:ascii="Times" w:hAnsi="Times" w:cs="Times"/>
          <w:noProof/>
          <w:color w:val="000000"/>
          <w:lang w:val="en-US"/>
        </w:rPr>
        <w:drawing>
          <wp:anchor distT="0" distB="0" distL="114300" distR="114300" simplePos="0" relativeHeight="251661312" behindDoc="0" locked="0" layoutInCell="1" allowOverlap="1" wp14:anchorId="79203921" wp14:editId="643CA5FD">
            <wp:simplePos x="0" y="0"/>
            <wp:positionH relativeFrom="margin">
              <wp:posOffset>-495300</wp:posOffset>
            </wp:positionH>
            <wp:positionV relativeFrom="margin">
              <wp:posOffset>9166225</wp:posOffset>
            </wp:positionV>
            <wp:extent cx="2319020" cy="28511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19020" cy="285115"/>
                    </a:xfrm>
                    <a:prstGeom prst="rect">
                      <a:avLst/>
                    </a:prstGeom>
                    <a:noFill/>
                    <a:ln>
                      <a:noFill/>
                    </a:ln>
                  </pic:spPr>
                </pic:pic>
              </a:graphicData>
            </a:graphic>
          </wp:anchor>
        </w:drawing>
      </w:r>
    </w:p>
    <w:p w:rsidR="00403EFA" w:rsidRDefault="00403EFA" w:rsidP="00403EFA">
      <w:pPr>
        <w:pStyle w:val="Heading1"/>
        <w:numPr>
          <w:ilvl w:val="0"/>
          <w:numId w:val="0"/>
        </w:numPr>
        <w:spacing w:line="360" w:lineRule="auto"/>
        <w:ind w:left="567" w:hanging="567"/>
        <w:rPr>
          <w:rFonts w:ascii="Times New Roman" w:hAnsi="Times New Roman" w:cs="Times New Roman"/>
          <w:i w:val="0"/>
          <w:lang w:val="en-US"/>
        </w:rPr>
        <w:sectPr w:rsidR="00403EFA" w:rsidSect="00A0419D">
          <w:footerReference w:type="default" r:id="rId11"/>
          <w:pgSz w:w="11906" w:h="16838" w:code="9"/>
          <w:pgMar w:top="1474" w:right="1021" w:bottom="1474" w:left="1021" w:header="567" w:footer="567" w:gutter="0"/>
          <w:cols w:space="708"/>
          <w:docGrid w:linePitch="360"/>
        </w:sectPr>
      </w:pPr>
    </w:p>
    <w:sdt>
      <w:sdtPr>
        <w:rPr>
          <w:b w:val="0"/>
          <w:i w:val="0"/>
          <w:sz w:val="20"/>
        </w:rPr>
        <w:id w:val="615637230"/>
        <w:docPartObj>
          <w:docPartGallery w:val="Table of Contents"/>
          <w:docPartUnique/>
        </w:docPartObj>
      </w:sdtPr>
      <w:sdtEndPr>
        <w:rPr>
          <w:bCs/>
          <w:noProof/>
        </w:rPr>
      </w:sdtEndPr>
      <w:sdtContent>
        <w:p w:rsidR="00403EFA" w:rsidRDefault="00403EFA">
          <w:pPr>
            <w:pStyle w:val="TOCHeading"/>
          </w:pPr>
          <w:r>
            <w:t>Table of Contents</w:t>
          </w:r>
        </w:p>
        <w:p w:rsidR="00CC41CC" w:rsidRDefault="00403EFA">
          <w:pPr>
            <w:pStyle w:val="TOC1"/>
            <w:rPr>
              <w:rFonts w:asciiTheme="minorHAnsi" w:eastAsiaTheme="minorEastAsia" w:hAnsiTheme="minorHAnsi"/>
              <w:sz w:val="22"/>
              <w:szCs w:val="22"/>
              <w:lang w:val="en-US"/>
            </w:rPr>
          </w:pPr>
          <w:r>
            <w:rPr>
              <w:b/>
              <w:bCs/>
            </w:rPr>
            <w:fldChar w:fldCharType="begin"/>
          </w:r>
          <w:r>
            <w:rPr>
              <w:b/>
              <w:bCs/>
            </w:rPr>
            <w:instrText xml:space="preserve"> TOC \o "1-3" \h \z \u </w:instrText>
          </w:r>
          <w:r>
            <w:rPr>
              <w:b/>
              <w:bCs/>
            </w:rPr>
            <w:fldChar w:fldCharType="separate"/>
          </w:r>
          <w:hyperlink w:anchor="_Toc15473242" w:history="1">
            <w:r w:rsidR="00CC41CC" w:rsidRPr="001E6460">
              <w:rPr>
                <w:rStyle w:val="Hyperlink"/>
                <w:rFonts w:ascii="Times New Roman" w:hAnsi="Times New Roman" w:cs="Times New Roman"/>
                <w:lang w:val="en-US"/>
              </w:rPr>
              <w:t>Abstract</w:t>
            </w:r>
            <w:r w:rsidR="00CC41CC">
              <w:rPr>
                <w:webHidden/>
              </w:rPr>
              <w:tab/>
            </w:r>
            <w:r w:rsidR="00CC41CC">
              <w:rPr>
                <w:webHidden/>
              </w:rPr>
              <w:fldChar w:fldCharType="begin"/>
            </w:r>
            <w:r w:rsidR="00CC41CC">
              <w:rPr>
                <w:webHidden/>
              </w:rPr>
              <w:instrText xml:space="preserve"> PAGEREF _Toc15473242 \h </w:instrText>
            </w:r>
            <w:r w:rsidR="00CC41CC">
              <w:rPr>
                <w:webHidden/>
              </w:rPr>
            </w:r>
            <w:r w:rsidR="00CC41CC">
              <w:rPr>
                <w:webHidden/>
              </w:rPr>
              <w:fldChar w:fldCharType="separate"/>
            </w:r>
            <w:r w:rsidR="00CC41CC">
              <w:rPr>
                <w:webHidden/>
              </w:rPr>
              <w:t>4</w:t>
            </w:r>
            <w:r w:rsidR="00CC41CC">
              <w:rPr>
                <w:webHidden/>
              </w:rPr>
              <w:fldChar w:fldCharType="end"/>
            </w:r>
          </w:hyperlink>
        </w:p>
        <w:p w:rsidR="00CC41CC" w:rsidRDefault="00380498">
          <w:pPr>
            <w:pStyle w:val="TOC1"/>
            <w:rPr>
              <w:rFonts w:asciiTheme="minorHAnsi" w:eastAsiaTheme="minorEastAsia" w:hAnsiTheme="minorHAnsi"/>
              <w:sz w:val="22"/>
              <w:szCs w:val="22"/>
              <w:lang w:val="en-US"/>
            </w:rPr>
          </w:pPr>
          <w:hyperlink w:anchor="_Toc15473243" w:history="1">
            <w:r w:rsidR="00CC41CC" w:rsidRPr="001E6460">
              <w:rPr>
                <w:rStyle w:val="Hyperlink"/>
                <w:rFonts w:ascii="Times New Roman" w:hAnsi="Times New Roman" w:cs="Times New Roman"/>
                <w:lang w:val="en-US"/>
              </w:rPr>
              <w:t>Chapter 1. Introduction</w:t>
            </w:r>
            <w:r w:rsidR="00CC41CC">
              <w:rPr>
                <w:webHidden/>
              </w:rPr>
              <w:tab/>
            </w:r>
            <w:r w:rsidR="00CC41CC">
              <w:rPr>
                <w:webHidden/>
              </w:rPr>
              <w:fldChar w:fldCharType="begin"/>
            </w:r>
            <w:r w:rsidR="00CC41CC">
              <w:rPr>
                <w:webHidden/>
              </w:rPr>
              <w:instrText xml:space="preserve"> PAGEREF _Toc15473243 \h </w:instrText>
            </w:r>
            <w:r w:rsidR="00CC41CC">
              <w:rPr>
                <w:webHidden/>
              </w:rPr>
            </w:r>
            <w:r w:rsidR="00CC41CC">
              <w:rPr>
                <w:webHidden/>
              </w:rPr>
              <w:fldChar w:fldCharType="separate"/>
            </w:r>
            <w:r w:rsidR="00CC41CC">
              <w:rPr>
                <w:webHidden/>
              </w:rPr>
              <w:t>5</w:t>
            </w:r>
            <w:r w:rsidR="00CC41CC">
              <w:rPr>
                <w:webHidden/>
              </w:rPr>
              <w:fldChar w:fldCharType="end"/>
            </w:r>
          </w:hyperlink>
        </w:p>
        <w:p w:rsidR="00CC41CC" w:rsidRDefault="00380498">
          <w:pPr>
            <w:pStyle w:val="TOC1"/>
            <w:rPr>
              <w:rFonts w:asciiTheme="minorHAnsi" w:eastAsiaTheme="minorEastAsia" w:hAnsiTheme="minorHAnsi"/>
              <w:sz w:val="22"/>
              <w:szCs w:val="22"/>
              <w:lang w:val="en-US"/>
            </w:rPr>
          </w:pPr>
          <w:hyperlink w:anchor="_Toc15473244" w:history="1">
            <w:r w:rsidR="00CC41CC" w:rsidRPr="001E6460">
              <w:rPr>
                <w:rStyle w:val="Hyperlink"/>
                <w:rFonts w:ascii="Times New Roman" w:hAnsi="Times New Roman" w:cs="Times New Roman"/>
                <w:lang w:val="en-US"/>
              </w:rPr>
              <w:t>Chapter 2. Literature Review</w:t>
            </w:r>
            <w:r w:rsidR="00CC41CC">
              <w:rPr>
                <w:webHidden/>
              </w:rPr>
              <w:tab/>
            </w:r>
            <w:r w:rsidR="00CC41CC">
              <w:rPr>
                <w:webHidden/>
              </w:rPr>
              <w:fldChar w:fldCharType="begin"/>
            </w:r>
            <w:r w:rsidR="00CC41CC">
              <w:rPr>
                <w:webHidden/>
              </w:rPr>
              <w:instrText xml:space="preserve"> PAGEREF _Toc15473244 \h </w:instrText>
            </w:r>
            <w:r w:rsidR="00CC41CC">
              <w:rPr>
                <w:webHidden/>
              </w:rPr>
            </w:r>
            <w:r w:rsidR="00CC41CC">
              <w:rPr>
                <w:webHidden/>
              </w:rPr>
              <w:fldChar w:fldCharType="separate"/>
            </w:r>
            <w:r w:rsidR="00CC41CC">
              <w:rPr>
                <w:webHidden/>
              </w:rPr>
              <w:t>7</w:t>
            </w:r>
            <w:r w:rsidR="00CC41CC">
              <w:rPr>
                <w:webHidden/>
              </w:rPr>
              <w:fldChar w:fldCharType="end"/>
            </w:r>
          </w:hyperlink>
        </w:p>
        <w:p w:rsidR="00CC41CC" w:rsidRDefault="00380498">
          <w:pPr>
            <w:pStyle w:val="TOC1"/>
            <w:rPr>
              <w:rFonts w:asciiTheme="minorHAnsi" w:eastAsiaTheme="minorEastAsia" w:hAnsiTheme="minorHAnsi"/>
              <w:sz w:val="22"/>
              <w:szCs w:val="22"/>
              <w:lang w:val="en-US"/>
            </w:rPr>
          </w:pPr>
          <w:hyperlink w:anchor="_Toc15473245" w:history="1">
            <w:r w:rsidR="00CC41CC" w:rsidRPr="001E6460">
              <w:rPr>
                <w:rStyle w:val="Hyperlink"/>
                <w:rFonts w:ascii="Times New Roman" w:hAnsi="Times New Roman" w:cs="Times New Roman"/>
                <w:lang w:val="en-US"/>
              </w:rPr>
              <w:t>Chapter 3. Russia – Ukraine Conflict and Sanctions against the Russian Federation</w:t>
            </w:r>
            <w:r w:rsidR="00CC41CC">
              <w:rPr>
                <w:webHidden/>
              </w:rPr>
              <w:tab/>
            </w:r>
            <w:r w:rsidR="00CC41CC">
              <w:rPr>
                <w:webHidden/>
              </w:rPr>
              <w:fldChar w:fldCharType="begin"/>
            </w:r>
            <w:r w:rsidR="00CC41CC">
              <w:rPr>
                <w:webHidden/>
              </w:rPr>
              <w:instrText xml:space="preserve"> PAGEREF _Toc15473245 \h </w:instrText>
            </w:r>
            <w:r w:rsidR="00CC41CC">
              <w:rPr>
                <w:webHidden/>
              </w:rPr>
            </w:r>
            <w:r w:rsidR="00CC41CC">
              <w:rPr>
                <w:webHidden/>
              </w:rPr>
              <w:fldChar w:fldCharType="separate"/>
            </w:r>
            <w:r w:rsidR="00CC41CC">
              <w:rPr>
                <w:webHidden/>
              </w:rPr>
              <w:t>8</w:t>
            </w:r>
            <w:r w:rsidR="00CC41CC">
              <w:rPr>
                <w:webHidden/>
              </w:rPr>
              <w:fldChar w:fldCharType="end"/>
            </w:r>
          </w:hyperlink>
        </w:p>
        <w:p w:rsidR="00CC41CC" w:rsidRDefault="00380498">
          <w:pPr>
            <w:pStyle w:val="TOC1"/>
            <w:rPr>
              <w:rFonts w:asciiTheme="minorHAnsi" w:eastAsiaTheme="minorEastAsia" w:hAnsiTheme="minorHAnsi"/>
              <w:sz w:val="22"/>
              <w:szCs w:val="22"/>
              <w:lang w:val="en-US"/>
            </w:rPr>
          </w:pPr>
          <w:hyperlink w:anchor="_Toc15473246" w:history="1">
            <w:r w:rsidR="00CC41CC" w:rsidRPr="001E6460">
              <w:rPr>
                <w:rStyle w:val="Hyperlink"/>
                <w:rFonts w:ascii="Times New Roman" w:hAnsi="Times New Roman" w:cs="Times New Roman"/>
                <w:lang w:val="en-US"/>
              </w:rPr>
              <w:t>Chapter 4. Hypotheses Development</w:t>
            </w:r>
            <w:r w:rsidR="00CC41CC">
              <w:rPr>
                <w:webHidden/>
              </w:rPr>
              <w:tab/>
            </w:r>
            <w:r w:rsidR="00CC41CC">
              <w:rPr>
                <w:webHidden/>
              </w:rPr>
              <w:fldChar w:fldCharType="begin"/>
            </w:r>
            <w:r w:rsidR="00CC41CC">
              <w:rPr>
                <w:webHidden/>
              </w:rPr>
              <w:instrText xml:space="preserve"> PAGEREF _Toc15473246 \h </w:instrText>
            </w:r>
            <w:r w:rsidR="00CC41CC">
              <w:rPr>
                <w:webHidden/>
              </w:rPr>
            </w:r>
            <w:r w:rsidR="00CC41CC">
              <w:rPr>
                <w:webHidden/>
              </w:rPr>
              <w:fldChar w:fldCharType="separate"/>
            </w:r>
            <w:r w:rsidR="00CC41CC">
              <w:rPr>
                <w:webHidden/>
              </w:rPr>
              <w:t>11</w:t>
            </w:r>
            <w:r w:rsidR="00CC41CC">
              <w:rPr>
                <w:webHidden/>
              </w:rPr>
              <w:fldChar w:fldCharType="end"/>
            </w:r>
          </w:hyperlink>
        </w:p>
        <w:p w:rsidR="00CC41CC" w:rsidRDefault="00380498">
          <w:pPr>
            <w:pStyle w:val="TOC1"/>
            <w:rPr>
              <w:rFonts w:asciiTheme="minorHAnsi" w:eastAsiaTheme="minorEastAsia" w:hAnsiTheme="minorHAnsi"/>
              <w:sz w:val="22"/>
              <w:szCs w:val="22"/>
              <w:lang w:val="en-US"/>
            </w:rPr>
          </w:pPr>
          <w:hyperlink w:anchor="_Toc15473247" w:history="1">
            <w:r w:rsidR="00CC41CC" w:rsidRPr="001E6460">
              <w:rPr>
                <w:rStyle w:val="Hyperlink"/>
                <w:rFonts w:ascii="Times New Roman" w:hAnsi="Times New Roman" w:cs="Times New Roman"/>
                <w:lang w:val="en-US"/>
              </w:rPr>
              <w:t>Chapter 5. Methodology and Data</w:t>
            </w:r>
            <w:r w:rsidR="00CC41CC">
              <w:rPr>
                <w:webHidden/>
              </w:rPr>
              <w:tab/>
            </w:r>
            <w:r w:rsidR="00CC41CC">
              <w:rPr>
                <w:webHidden/>
              </w:rPr>
              <w:fldChar w:fldCharType="begin"/>
            </w:r>
            <w:r w:rsidR="00CC41CC">
              <w:rPr>
                <w:webHidden/>
              </w:rPr>
              <w:instrText xml:space="preserve"> PAGEREF _Toc15473247 \h </w:instrText>
            </w:r>
            <w:r w:rsidR="00CC41CC">
              <w:rPr>
                <w:webHidden/>
              </w:rPr>
            </w:r>
            <w:r w:rsidR="00CC41CC">
              <w:rPr>
                <w:webHidden/>
              </w:rPr>
              <w:fldChar w:fldCharType="separate"/>
            </w:r>
            <w:r w:rsidR="00CC41CC">
              <w:rPr>
                <w:webHidden/>
              </w:rPr>
              <w:t>12</w:t>
            </w:r>
            <w:r w:rsidR="00CC41CC">
              <w:rPr>
                <w:webHidden/>
              </w:rPr>
              <w:fldChar w:fldCharType="end"/>
            </w:r>
          </w:hyperlink>
        </w:p>
        <w:p w:rsidR="00CC41CC" w:rsidRDefault="00380498">
          <w:pPr>
            <w:pStyle w:val="TOC1"/>
            <w:rPr>
              <w:rFonts w:asciiTheme="minorHAnsi" w:eastAsiaTheme="minorEastAsia" w:hAnsiTheme="minorHAnsi"/>
              <w:sz w:val="22"/>
              <w:szCs w:val="22"/>
              <w:lang w:val="en-US"/>
            </w:rPr>
          </w:pPr>
          <w:hyperlink w:anchor="_Toc15473248" w:history="1">
            <w:r w:rsidR="00CC41CC" w:rsidRPr="001E6460">
              <w:rPr>
                <w:rStyle w:val="Hyperlink"/>
                <w:rFonts w:ascii="Times New Roman" w:hAnsi="Times New Roman" w:cs="Times New Roman"/>
                <w:lang w:val="en-US"/>
              </w:rPr>
              <w:t>Chapter 6. Results</w:t>
            </w:r>
            <w:r w:rsidR="00CC41CC">
              <w:rPr>
                <w:webHidden/>
              </w:rPr>
              <w:tab/>
            </w:r>
            <w:r w:rsidR="00CC41CC">
              <w:rPr>
                <w:webHidden/>
              </w:rPr>
              <w:fldChar w:fldCharType="begin"/>
            </w:r>
            <w:r w:rsidR="00CC41CC">
              <w:rPr>
                <w:webHidden/>
              </w:rPr>
              <w:instrText xml:space="preserve"> PAGEREF _Toc15473248 \h </w:instrText>
            </w:r>
            <w:r w:rsidR="00CC41CC">
              <w:rPr>
                <w:webHidden/>
              </w:rPr>
            </w:r>
            <w:r w:rsidR="00CC41CC">
              <w:rPr>
                <w:webHidden/>
              </w:rPr>
              <w:fldChar w:fldCharType="separate"/>
            </w:r>
            <w:r w:rsidR="00CC41CC">
              <w:rPr>
                <w:webHidden/>
              </w:rPr>
              <w:t>18</w:t>
            </w:r>
            <w:r w:rsidR="00CC41CC">
              <w:rPr>
                <w:webHidden/>
              </w:rPr>
              <w:fldChar w:fldCharType="end"/>
            </w:r>
          </w:hyperlink>
        </w:p>
        <w:p w:rsidR="00CC41CC" w:rsidRDefault="00380498">
          <w:pPr>
            <w:pStyle w:val="TOC1"/>
            <w:rPr>
              <w:rFonts w:asciiTheme="minorHAnsi" w:eastAsiaTheme="minorEastAsia" w:hAnsiTheme="minorHAnsi"/>
              <w:sz w:val="22"/>
              <w:szCs w:val="22"/>
              <w:lang w:val="en-US"/>
            </w:rPr>
          </w:pPr>
          <w:hyperlink w:anchor="_Toc15473249" w:history="1">
            <w:r w:rsidR="00CC41CC" w:rsidRPr="001E6460">
              <w:rPr>
                <w:rStyle w:val="Hyperlink"/>
                <w:rFonts w:ascii="Times New Roman" w:hAnsi="Times New Roman" w:cs="Times New Roman"/>
                <w:lang w:val="en-US"/>
              </w:rPr>
              <w:t>Chapter 7. Conclusion</w:t>
            </w:r>
            <w:r w:rsidR="00CC41CC">
              <w:rPr>
                <w:webHidden/>
              </w:rPr>
              <w:tab/>
            </w:r>
            <w:r w:rsidR="00CC41CC">
              <w:rPr>
                <w:webHidden/>
              </w:rPr>
              <w:fldChar w:fldCharType="begin"/>
            </w:r>
            <w:r w:rsidR="00CC41CC">
              <w:rPr>
                <w:webHidden/>
              </w:rPr>
              <w:instrText xml:space="preserve"> PAGEREF _Toc15473249 \h </w:instrText>
            </w:r>
            <w:r w:rsidR="00CC41CC">
              <w:rPr>
                <w:webHidden/>
              </w:rPr>
            </w:r>
            <w:r w:rsidR="00CC41CC">
              <w:rPr>
                <w:webHidden/>
              </w:rPr>
              <w:fldChar w:fldCharType="separate"/>
            </w:r>
            <w:r w:rsidR="00CC41CC">
              <w:rPr>
                <w:webHidden/>
              </w:rPr>
              <w:t>24</w:t>
            </w:r>
            <w:r w:rsidR="00CC41CC">
              <w:rPr>
                <w:webHidden/>
              </w:rPr>
              <w:fldChar w:fldCharType="end"/>
            </w:r>
          </w:hyperlink>
        </w:p>
        <w:p w:rsidR="00CC41CC" w:rsidRDefault="00380498">
          <w:pPr>
            <w:pStyle w:val="TOC1"/>
            <w:rPr>
              <w:rFonts w:asciiTheme="minorHAnsi" w:eastAsiaTheme="minorEastAsia" w:hAnsiTheme="minorHAnsi"/>
              <w:sz w:val="22"/>
              <w:szCs w:val="22"/>
              <w:lang w:val="en-US"/>
            </w:rPr>
          </w:pPr>
          <w:hyperlink w:anchor="_Toc15473250" w:history="1">
            <w:r w:rsidR="00CC41CC" w:rsidRPr="001E6460">
              <w:rPr>
                <w:rStyle w:val="Hyperlink"/>
              </w:rPr>
              <w:t>References</w:t>
            </w:r>
            <w:r w:rsidR="00CC41CC">
              <w:rPr>
                <w:webHidden/>
              </w:rPr>
              <w:tab/>
            </w:r>
            <w:r w:rsidR="00CC41CC">
              <w:rPr>
                <w:webHidden/>
              </w:rPr>
              <w:fldChar w:fldCharType="begin"/>
            </w:r>
            <w:r w:rsidR="00CC41CC">
              <w:rPr>
                <w:webHidden/>
              </w:rPr>
              <w:instrText xml:space="preserve"> PAGEREF _Toc15473250 \h </w:instrText>
            </w:r>
            <w:r w:rsidR="00CC41CC">
              <w:rPr>
                <w:webHidden/>
              </w:rPr>
            </w:r>
            <w:r w:rsidR="00CC41CC">
              <w:rPr>
                <w:webHidden/>
              </w:rPr>
              <w:fldChar w:fldCharType="separate"/>
            </w:r>
            <w:r w:rsidR="00CC41CC">
              <w:rPr>
                <w:webHidden/>
              </w:rPr>
              <w:t>27</w:t>
            </w:r>
            <w:r w:rsidR="00CC41CC">
              <w:rPr>
                <w:webHidden/>
              </w:rPr>
              <w:fldChar w:fldCharType="end"/>
            </w:r>
          </w:hyperlink>
        </w:p>
        <w:p w:rsidR="00CC41CC" w:rsidRDefault="00380498">
          <w:pPr>
            <w:pStyle w:val="TOC1"/>
            <w:rPr>
              <w:rFonts w:asciiTheme="minorHAnsi" w:eastAsiaTheme="minorEastAsia" w:hAnsiTheme="minorHAnsi"/>
              <w:sz w:val="22"/>
              <w:szCs w:val="22"/>
              <w:lang w:val="en-US"/>
            </w:rPr>
          </w:pPr>
          <w:hyperlink w:anchor="_Toc15473251" w:history="1">
            <w:r w:rsidR="00CC41CC" w:rsidRPr="001E6460">
              <w:rPr>
                <w:rStyle w:val="Hyperlink"/>
                <w:rFonts w:ascii="Times New Roman" w:hAnsi="Times New Roman" w:cs="Times New Roman"/>
                <w:lang w:val="en-US"/>
              </w:rPr>
              <w:t>Appendix 1</w:t>
            </w:r>
            <w:r w:rsidR="00CC41CC">
              <w:rPr>
                <w:webHidden/>
              </w:rPr>
              <w:tab/>
            </w:r>
            <w:r w:rsidR="00CC41CC">
              <w:rPr>
                <w:webHidden/>
              </w:rPr>
              <w:fldChar w:fldCharType="begin"/>
            </w:r>
            <w:r w:rsidR="00CC41CC">
              <w:rPr>
                <w:webHidden/>
              </w:rPr>
              <w:instrText xml:space="preserve"> PAGEREF _Toc15473251 \h </w:instrText>
            </w:r>
            <w:r w:rsidR="00CC41CC">
              <w:rPr>
                <w:webHidden/>
              </w:rPr>
            </w:r>
            <w:r w:rsidR="00CC41CC">
              <w:rPr>
                <w:webHidden/>
              </w:rPr>
              <w:fldChar w:fldCharType="separate"/>
            </w:r>
            <w:r w:rsidR="00CC41CC">
              <w:rPr>
                <w:webHidden/>
              </w:rPr>
              <w:t>29</w:t>
            </w:r>
            <w:r w:rsidR="00CC41CC">
              <w:rPr>
                <w:webHidden/>
              </w:rPr>
              <w:fldChar w:fldCharType="end"/>
            </w:r>
          </w:hyperlink>
        </w:p>
        <w:p w:rsidR="00403EFA" w:rsidRDefault="00403EFA">
          <w:r>
            <w:rPr>
              <w:b/>
              <w:bCs/>
              <w:noProof/>
            </w:rPr>
            <w:fldChar w:fldCharType="end"/>
          </w:r>
        </w:p>
      </w:sdtContent>
    </w:sdt>
    <w:p w:rsidR="00B40128" w:rsidRDefault="00B40128" w:rsidP="00403EFA">
      <w:pPr>
        <w:pStyle w:val="Heading1"/>
        <w:numPr>
          <w:ilvl w:val="0"/>
          <w:numId w:val="0"/>
        </w:numPr>
        <w:spacing w:line="360" w:lineRule="auto"/>
        <w:ind w:left="567" w:hanging="567"/>
        <w:rPr>
          <w:rFonts w:ascii="Times New Roman" w:hAnsi="Times New Roman" w:cs="Times New Roman"/>
          <w:i w:val="0"/>
          <w:lang w:val="en-US"/>
        </w:rPr>
        <w:sectPr w:rsidR="00B40128" w:rsidSect="00A0419D">
          <w:pgSz w:w="11906" w:h="16838" w:code="9"/>
          <w:pgMar w:top="1474" w:right="1021" w:bottom="1474" w:left="1021" w:header="567" w:footer="567" w:gutter="0"/>
          <w:cols w:space="708"/>
          <w:docGrid w:linePitch="360"/>
        </w:sectPr>
      </w:pPr>
    </w:p>
    <w:p w:rsidR="00590C51" w:rsidRPr="00590C51" w:rsidRDefault="00590C51">
      <w:pPr>
        <w:pStyle w:val="TableofFigures"/>
        <w:tabs>
          <w:tab w:val="right" w:leader="dot" w:pos="9854"/>
        </w:tabs>
        <w:rPr>
          <w:rFonts w:ascii="Times New Roman" w:hAnsi="Times New Roman" w:cs="Times New Roman"/>
          <w:b/>
          <w:sz w:val="24"/>
          <w:szCs w:val="24"/>
          <w:lang w:val="en-US"/>
        </w:rPr>
      </w:pPr>
      <w:r w:rsidRPr="00590C51">
        <w:rPr>
          <w:rFonts w:ascii="Times New Roman" w:hAnsi="Times New Roman" w:cs="Times New Roman"/>
          <w:b/>
          <w:sz w:val="24"/>
          <w:szCs w:val="24"/>
          <w:lang w:val="en-US"/>
        </w:rPr>
        <w:lastRenderedPageBreak/>
        <w:t>List of Tables</w:t>
      </w:r>
    </w:p>
    <w:p w:rsidR="00590C51" w:rsidRDefault="00590C51">
      <w:pPr>
        <w:pStyle w:val="TableofFigures"/>
        <w:tabs>
          <w:tab w:val="right" w:leader="dot" w:pos="9854"/>
        </w:tabs>
        <w:rPr>
          <w:rFonts w:ascii="Times New Roman" w:hAnsi="Times New Roman" w:cs="Times New Roman"/>
          <w:i/>
          <w:lang w:val="en-US"/>
        </w:rPr>
      </w:pPr>
    </w:p>
    <w:p w:rsidR="00F96601" w:rsidRDefault="00B40128">
      <w:pPr>
        <w:pStyle w:val="TableofFigures"/>
        <w:tabs>
          <w:tab w:val="right" w:leader="dot" w:pos="9854"/>
        </w:tabs>
        <w:rPr>
          <w:rFonts w:asciiTheme="minorHAnsi" w:eastAsiaTheme="minorEastAsia" w:hAnsiTheme="minorHAnsi"/>
          <w:noProof/>
          <w:sz w:val="22"/>
          <w:szCs w:val="22"/>
          <w:lang w:val="en-US"/>
        </w:rPr>
      </w:pPr>
      <w:r w:rsidRPr="00590C51">
        <w:rPr>
          <w:rFonts w:ascii="Times New Roman" w:hAnsi="Times New Roman" w:cs="Times New Roman"/>
          <w:i/>
          <w:sz w:val="24"/>
          <w:szCs w:val="24"/>
          <w:lang w:val="en-US"/>
        </w:rPr>
        <w:fldChar w:fldCharType="begin"/>
      </w:r>
      <w:r w:rsidRPr="00590C51">
        <w:rPr>
          <w:rFonts w:ascii="Times New Roman" w:hAnsi="Times New Roman" w:cs="Times New Roman"/>
          <w:i/>
          <w:sz w:val="24"/>
          <w:szCs w:val="24"/>
          <w:lang w:val="en-US"/>
        </w:rPr>
        <w:instrText xml:space="preserve"> TOC \h \z \c "Table" </w:instrText>
      </w:r>
      <w:r w:rsidRPr="00590C51">
        <w:rPr>
          <w:rFonts w:ascii="Times New Roman" w:hAnsi="Times New Roman" w:cs="Times New Roman"/>
          <w:i/>
          <w:sz w:val="24"/>
          <w:szCs w:val="24"/>
          <w:lang w:val="en-US"/>
        </w:rPr>
        <w:fldChar w:fldCharType="separate"/>
      </w:r>
      <w:hyperlink w:anchor="_Toc15484939" w:history="1">
        <w:r w:rsidR="00F96601" w:rsidRPr="00C023AB">
          <w:rPr>
            <w:rStyle w:val="Hyperlink"/>
            <w:rFonts w:ascii="Times New Roman" w:hAnsi="Times New Roman" w:cs="Times New Roman"/>
            <w:noProof/>
          </w:rPr>
          <w:t>Table 1. Chronology of sanctions against the Russian Federation</w:t>
        </w:r>
        <w:r w:rsidR="00F96601">
          <w:rPr>
            <w:noProof/>
            <w:webHidden/>
          </w:rPr>
          <w:tab/>
        </w:r>
        <w:r w:rsidR="00F96601">
          <w:rPr>
            <w:noProof/>
            <w:webHidden/>
          </w:rPr>
          <w:fldChar w:fldCharType="begin"/>
        </w:r>
        <w:r w:rsidR="00F96601">
          <w:rPr>
            <w:noProof/>
            <w:webHidden/>
          </w:rPr>
          <w:instrText xml:space="preserve"> PAGEREF _Toc15484939 \h </w:instrText>
        </w:r>
        <w:r w:rsidR="00F96601">
          <w:rPr>
            <w:noProof/>
            <w:webHidden/>
          </w:rPr>
        </w:r>
        <w:r w:rsidR="00F96601">
          <w:rPr>
            <w:noProof/>
            <w:webHidden/>
          </w:rPr>
          <w:fldChar w:fldCharType="separate"/>
        </w:r>
        <w:r w:rsidR="00F96601">
          <w:rPr>
            <w:noProof/>
            <w:webHidden/>
          </w:rPr>
          <w:t>9</w:t>
        </w:r>
        <w:r w:rsidR="00F96601">
          <w:rPr>
            <w:noProof/>
            <w:webHidden/>
          </w:rPr>
          <w:fldChar w:fldCharType="end"/>
        </w:r>
      </w:hyperlink>
    </w:p>
    <w:p w:rsidR="00F96601" w:rsidRDefault="00F96601">
      <w:pPr>
        <w:pStyle w:val="TableofFigures"/>
        <w:tabs>
          <w:tab w:val="right" w:leader="dot" w:pos="9854"/>
        </w:tabs>
        <w:rPr>
          <w:rFonts w:asciiTheme="minorHAnsi" w:eastAsiaTheme="minorEastAsia" w:hAnsiTheme="minorHAnsi"/>
          <w:noProof/>
          <w:sz w:val="22"/>
          <w:szCs w:val="22"/>
          <w:lang w:val="en-US"/>
        </w:rPr>
      </w:pPr>
      <w:hyperlink w:anchor="_Toc15484940" w:history="1">
        <w:r w:rsidRPr="00C023AB">
          <w:rPr>
            <w:rStyle w:val="Hyperlink"/>
            <w:rFonts w:ascii="Times New Roman" w:hAnsi="Times New Roman" w:cs="Times New Roman"/>
            <w:noProof/>
          </w:rPr>
          <w:t>Table 2. Definition of Variables</w:t>
        </w:r>
        <w:r>
          <w:rPr>
            <w:noProof/>
            <w:webHidden/>
          </w:rPr>
          <w:tab/>
        </w:r>
        <w:r>
          <w:rPr>
            <w:noProof/>
            <w:webHidden/>
          </w:rPr>
          <w:fldChar w:fldCharType="begin"/>
        </w:r>
        <w:r>
          <w:rPr>
            <w:noProof/>
            <w:webHidden/>
          </w:rPr>
          <w:instrText xml:space="preserve"> PAGEREF _Toc15484940 \h </w:instrText>
        </w:r>
        <w:r>
          <w:rPr>
            <w:noProof/>
            <w:webHidden/>
          </w:rPr>
        </w:r>
        <w:r>
          <w:rPr>
            <w:noProof/>
            <w:webHidden/>
          </w:rPr>
          <w:fldChar w:fldCharType="separate"/>
        </w:r>
        <w:r>
          <w:rPr>
            <w:noProof/>
            <w:webHidden/>
          </w:rPr>
          <w:t>13</w:t>
        </w:r>
        <w:r>
          <w:rPr>
            <w:noProof/>
            <w:webHidden/>
          </w:rPr>
          <w:fldChar w:fldCharType="end"/>
        </w:r>
      </w:hyperlink>
    </w:p>
    <w:p w:rsidR="00F96601" w:rsidRDefault="00F96601">
      <w:pPr>
        <w:pStyle w:val="TableofFigures"/>
        <w:tabs>
          <w:tab w:val="right" w:leader="dot" w:pos="9854"/>
        </w:tabs>
        <w:rPr>
          <w:rFonts w:asciiTheme="minorHAnsi" w:eastAsiaTheme="minorEastAsia" w:hAnsiTheme="minorHAnsi"/>
          <w:noProof/>
          <w:sz w:val="22"/>
          <w:szCs w:val="22"/>
          <w:lang w:val="en-US"/>
        </w:rPr>
      </w:pPr>
      <w:hyperlink w:anchor="_Toc15484941" w:history="1">
        <w:r w:rsidRPr="00C023AB">
          <w:rPr>
            <w:rStyle w:val="Hyperlink"/>
            <w:rFonts w:ascii="Times New Roman" w:hAnsi="Times New Roman" w:cs="Times New Roman"/>
            <w:noProof/>
          </w:rPr>
          <w:t>Table 3. Explanatory Variables</w:t>
        </w:r>
        <w:r>
          <w:rPr>
            <w:noProof/>
            <w:webHidden/>
          </w:rPr>
          <w:tab/>
        </w:r>
        <w:r>
          <w:rPr>
            <w:noProof/>
            <w:webHidden/>
          </w:rPr>
          <w:fldChar w:fldCharType="begin"/>
        </w:r>
        <w:r>
          <w:rPr>
            <w:noProof/>
            <w:webHidden/>
          </w:rPr>
          <w:instrText xml:space="preserve"> PAGEREF _Toc15484941 \h </w:instrText>
        </w:r>
        <w:r>
          <w:rPr>
            <w:noProof/>
            <w:webHidden/>
          </w:rPr>
        </w:r>
        <w:r>
          <w:rPr>
            <w:noProof/>
            <w:webHidden/>
          </w:rPr>
          <w:fldChar w:fldCharType="separate"/>
        </w:r>
        <w:r>
          <w:rPr>
            <w:noProof/>
            <w:webHidden/>
          </w:rPr>
          <w:t>14</w:t>
        </w:r>
        <w:r>
          <w:rPr>
            <w:noProof/>
            <w:webHidden/>
          </w:rPr>
          <w:fldChar w:fldCharType="end"/>
        </w:r>
      </w:hyperlink>
    </w:p>
    <w:p w:rsidR="00F96601" w:rsidRPr="00F96601" w:rsidRDefault="00F96601">
      <w:pPr>
        <w:pStyle w:val="TableofFigures"/>
        <w:tabs>
          <w:tab w:val="right" w:leader="dot" w:pos="9854"/>
        </w:tabs>
        <w:rPr>
          <w:rFonts w:asciiTheme="minorHAnsi" w:eastAsiaTheme="minorEastAsia" w:hAnsiTheme="minorHAnsi"/>
          <w:noProof/>
          <w:sz w:val="22"/>
          <w:szCs w:val="22"/>
          <w:lang w:val="en-US"/>
        </w:rPr>
      </w:pPr>
      <w:hyperlink w:anchor="_Toc15484942" w:history="1">
        <w:r w:rsidRPr="00F96601">
          <w:rPr>
            <w:rStyle w:val="Hyperlink"/>
            <w:rFonts w:ascii="Times New Roman" w:hAnsi="Times New Roman" w:cs="Times New Roman"/>
            <w:noProof/>
          </w:rPr>
          <w:t>Table 4. Constituents of MICEX 10</w:t>
        </w:r>
        <w:r w:rsidRPr="00F96601">
          <w:rPr>
            <w:noProof/>
            <w:webHidden/>
          </w:rPr>
          <w:tab/>
        </w:r>
        <w:r w:rsidRPr="00F96601">
          <w:rPr>
            <w:noProof/>
            <w:webHidden/>
          </w:rPr>
          <w:fldChar w:fldCharType="begin"/>
        </w:r>
        <w:r w:rsidRPr="00F96601">
          <w:rPr>
            <w:noProof/>
            <w:webHidden/>
          </w:rPr>
          <w:instrText xml:space="preserve"> PAGEREF _Toc15484942 \h </w:instrText>
        </w:r>
        <w:r w:rsidRPr="00F96601">
          <w:rPr>
            <w:noProof/>
            <w:webHidden/>
          </w:rPr>
        </w:r>
        <w:r w:rsidRPr="00F96601">
          <w:rPr>
            <w:noProof/>
            <w:webHidden/>
          </w:rPr>
          <w:fldChar w:fldCharType="separate"/>
        </w:r>
        <w:r w:rsidRPr="00F96601">
          <w:rPr>
            <w:noProof/>
            <w:webHidden/>
          </w:rPr>
          <w:t>15</w:t>
        </w:r>
        <w:r w:rsidRPr="00F96601">
          <w:rPr>
            <w:noProof/>
            <w:webHidden/>
          </w:rPr>
          <w:fldChar w:fldCharType="end"/>
        </w:r>
      </w:hyperlink>
    </w:p>
    <w:p w:rsidR="00F96601" w:rsidRPr="00F96601" w:rsidRDefault="00F96601">
      <w:pPr>
        <w:pStyle w:val="TableofFigures"/>
        <w:tabs>
          <w:tab w:val="right" w:leader="dot" w:pos="9854"/>
        </w:tabs>
        <w:rPr>
          <w:rFonts w:asciiTheme="minorHAnsi" w:eastAsiaTheme="minorEastAsia" w:hAnsiTheme="minorHAnsi"/>
          <w:noProof/>
          <w:sz w:val="22"/>
          <w:szCs w:val="22"/>
          <w:lang w:val="en-US"/>
        </w:rPr>
      </w:pPr>
      <w:hyperlink w:anchor="_Toc15484943" w:history="1">
        <w:r w:rsidRPr="00F96601">
          <w:rPr>
            <w:rStyle w:val="Hyperlink"/>
            <w:rFonts w:ascii="Times New Roman" w:hAnsi="Times New Roman" w:cs="Times New Roman"/>
            <w:noProof/>
          </w:rPr>
          <w:t>Table 5. Correlation between independent variables</w:t>
        </w:r>
        <w:r w:rsidRPr="00F96601">
          <w:rPr>
            <w:noProof/>
            <w:webHidden/>
          </w:rPr>
          <w:tab/>
        </w:r>
        <w:r w:rsidRPr="00F96601">
          <w:rPr>
            <w:noProof/>
            <w:webHidden/>
          </w:rPr>
          <w:fldChar w:fldCharType="begin"/>
        </w:r>
        <w:r w:rsidRPr="00F96601">
          <w:rPr>
            <w:noProof/>
            <w:webHidden/>
          </w:rPr>
          <w:instrText xml:space="preserve"> PAGEREF _Toc15484943 \h </w:instrText>
        </w:r>
        <w:r w:rsidRPr="00F96601">
          <w:rPr>
            <w:noProof/>
            <w:webHidden/>
          </w:rPr>
        </w:r>
        <w:r w:rsidRPr="00F96601">
          <w:rPr>
            <w:noProof/>
            <w:webHidden/>
          </w:rPr>
          <w:fldChar w:fldCharType="separate"/>
        </w:r>
        <w:r w:rsidRPr="00F96601">
          <w:rPr>
            <w:noProof/>
            <w:webHidden/>
          </w:rPr>
          <w:t>18</w:t>
        </w:r>
        <w:r w:rsidRPr="00F96601">
          <w:rPr>
            <w:noProof/>
            <w:webHidden/>
          </w:rPr>
          <w:fldChar w:fldCharType="end"/>
        </w:r>
      </w:hyperlink>
    </w:p>
    <w:p w:rsidR="00F96601" w:rsidRDefault="00F96601">
      <w:pPr>
        <w:pStyle w:val="TableofFigures"/>
        <w:tabs>
          <w:tab w:val="right" w:leader="dot" w:pos="9854"/>
        </w:tabs>
        <w:rPr>
          <w:rFonts w:asciiTheme="minorHAnsi" w:eastAsiaTheme="minorEastAsia" w:hAnsiTheme="minorHAnsi"/>
          <w:noProof/>
          <w:sz w:val="22"/>
          <w:szCs w:val="22"/>
          <w:lang w:val="en-US"/>
        </w:rPr>
      </w:pPr>
      <w:hyperlink w:anchor="_Toc15484944" w:history="1">
        <w:r w:rsidRPr="00C023AB">
          <w:rPr>
            <w:rStyle w:val="Hyperlink"/>
            <w:rFonts w:ascii="Times New Roman" w:hAnsi="Times New Roman" w:cs="Times New Roman"/>
            <w:noProof/>
          </w:rPr>
          <w:t>Table 6. Regression Coefficients</w:t>
        </w:r>
        <w:r>
          <w:rPr>
            <w:noProof/>
            <w:webHidden/>
          </w:rPr>
          <w:tab/>
        </w:r>
        <w:r>
          <w:rPr>
            <w:noProof/>
            <w:webHidden/>
          </w:rPr>
          <w:fldChar w:fldCharType="begin"/>
        </w:r>
        <w:r>
          <w:rPr>
            <w:noProof/>
            <w:webHidden/>
          </w:rPr>
          <w:instrText xml:space="preserve"> PAGEREF _Toc15484944 \h </w:instrText>
        </w:r>
        <w:r>
          <w:rPr>
            <w:noProof/>
            <w:webHidden/>
          </w:rPr>
        </w:r>
        <w:r>
          <w:rPr>
            <w:noProof/>
            <w:webHidden/>
          </w:rPr>
          <w:fldChar w:fldCharType="separate"/>
        </w:r>
        <w:r>
          <w:rPr>
            <w:noProof/>
            <w:webHidden/>
          </w:rPr>
          <w:t>19</w:t>
        </w:r>
        <w:r>
          <w:rPr>
            <w:noProof/>
            <w:webHidden/>
          </w:rPr>
          <w:fldChar w:fldCharType="end"/>
        </w:r>
      </w:hyperlink>
    </w:p>
    <w:p w:rsidR="00F96601" w:rsidRDefault="00F96601">
      <w:pPr>
        <w:pStyle w:val="TableofFigures"/>
        <w:tabs>
          <w:tab w:val="right" w:leader="dot" w:pos="9854"/>
        </w:tabs>
        <w:rPr>
          <w:rFonts w:asciiTheme="minorHAnsi" w:eastAsiaTheme="minorEastAsia" w:hAnsiTheme="minorHAnsi"/>
          <w:noProof/>
          <w:sz w:val="22"/>
          <w:szCs w:val="22"/>
          <w:lang w:val="en-US"/>
        </w:rPr>
      </w:pPr>
      <w:hyperlink w:anchor="_Toc15484945" w:history="1">
        <w:r w:rsidRPr="00C023AB">
          <w:rPr>
            <w:rStyle w:val="Hyperlink"/>
            <w:rFonts w:ascii="Times New Roman" w:hAnsi="Times New Roman" w:cs="Times New Roman"/>
            <w:noProof/>
          </w:rPr>
          <w:t>Table 7. Regression Coefficients for revised model</w:t>
        </w:r>
        <w:r>
          <w:rPr>
            <w:noProof/>
            <w:webHidden/>
          </w:rPr>
          <w:tab/>
        </w:r>
        <w:r>
          <w:rPr>
            <w:noProof/>
            <w:webHidden/>
          </w:rPr>
          <w:fldChar w:fldCharType="begin"/>
        </w:r>
        <w:r>
          <w:rPr>
            <w:noProof/>
            <w:webHidden/>
          </w:rPr>
          <w:instrText xml:space="preserve"> PAGEREF _Toc15484945 \h </w:instrText>
        </w:r>
        <w:r>
          <w:rPr>
            <w:noProof/>
            <w:webHidden/>
          </w:rPr>
        </w:r>
        <w:r>
          <w:rPr>
            <w:noProof/>
            <w:webHidden/>
          </w:rPr>
          <w:fldChar w:fldCharType="separate"/>
        </w:r>
        <w:r>
          <w:rPr>
            <w:noProof/>
            <w:webHidden/>
          </w:rPr>
          <w:t>21</w:t>
        </w:r>
        <w:r>
          <w:rPr>
            <w:noProof/>
            <w:webHidden/>
          </w:rPr>
          <w:fldChar w:fldCharType="end"/>
        </w:r>
      </w:hyperlink>
    </w:p>
    <w:p w:rsidR="00F96601" w:rsidRDefault="00F96601">
      <w:pPr>
        <w:pStyle w:val="TableofFigures"/>
        <w:tabs>
          <w:tab w:val="right" w:leader="dot" w:pos="9854"/>
        </w:tabs>
        <w:rPr>
          <w:rFonts w:asciiTheme="minorHAnsi" w:eastAsiaTheme="minorEastAsia" w:hAnsiTheme="minorHAnsi"/>
          <w:noProof/>
          <w:sz w:val="22"/>
          <w:szCs w:val="22"/>
          <w:lang w:val="en-US"/>
        </w:rPr>
      </w:pPr>
      <w:hyperlink w:anchor="_Toc15484946" w:history="1">
        <w:r w:rsidRPr="00C023AB">
          <w:rPr>
            <w:rStyle w:val="Hyperlink"/>
            <w:rFonts w:ascii="Times New Roman" w:hAnsi="Times New Roman" w:cs="Times New Roman"/>
            <w:noProof/>
          </w:rPr>
          <w:t>Table 8. Regression coefficients for Oil and Gas companies only</w:t>
        </w:r>
        <w:r>
          <w:rPr>
            <w:noProof/>
            <w:webHidden/>
          </w:rPr>
          <w:tab/>
        </w:r>
        <w:r>
          <w:rPr>
            <w:noProof/>
            <w:webHidden/>
          </w:rPr>
          <w:fldChar w:fldCharType="begin"/>
        </w:r>
        <w:r>
          <w:rPr>
            <w:noProof/>
            <w:webHidden/>
          </w:rPr>
          <w:instrText xml:space="preserve"> PAGEREF _Toc15484946 \h </w:instrText>
        </w:r>
        <w:r>
          <w:rPr>
            <w:noProof/>
            <w:webHidden/>
          </w:rPr>
        </w:r>
        <w:r>
          <w:rPr>
            <w:noProof/>
            <w:webHidden/>
          </w:rPr>
          <w:fldChar w:fldCharType="separate"/>
        </w:r>
        <w:r>
          <w:rPr>
            <w:noProof/>
            <w:webHidden/>
          </w:rPr>
          <w:t>22</w:t>
        </w:r>
        <w:r>
          <w:rPr>
            <w:noProof/>
            <w:webHidden/>
          </w:rPr>
          <w:fldChar w:fldCharType="end"/>
        </w:r>
      </w:hyperlink>
    </w:p>
    <w:p w:rsidR="00F96601" w:rsidRDefault="00F96601">
      <w:pPr>
        <w:pStyle w:val="TableofFigures"/>
        <w:tabs>
          <w:tab w:val="right" w:leader="dot" w:pos="9854"/>
        </w:tabs>
        <w:rPr>
          <w:rFonts w:asciiTheme="minorHAnsi" w:eastAsiaTheme="minorEastAsia" w:hAnsiTheme="minorHAnsi"/>
          <w:noProof/>
          <w:sz w:val="22"/>
          <w:szCs w:val="22"/>
          <w:lang w:val="en-US"/>
        </w:rPr>
      </w:pPr>
      <w:hyperlink w:anchor="_Toc15484947" w:history="1">
        <w:r w:rsidRPr="00C023AB">
          <w:rPr>
            <w:rStyle w:val="Hyperlink"/>
            <w:rFonts w:ascii="Times New Roman" w:hAnsi="Times New Roman" w:cs="Times New Roman"/>
            <w:noProof/>
          </w:rPr>
          <w:t>Table 9. Regression coefficients for non-oil and Gas companies only</w:t>
        </w:r>
        <w:r>
          <w:rPr>
            <w:noProof/>
            <w:webHidden/>
          </w:rPr>
          <w:tab/>
        </w:r>
        <w:r>
          <w:rPr>
            <w:noProof/>
            <w:webHidden/>
          </w:rPr>
          <w:fldChar w:fldCharType="begin"/>
        </w:r>
        <w:r>
          <w:rPr>
            <w:noProof/>
            <w:webHidden/>
          </w:rPr>
          <w:instrText xml:space="preserve"> PAGEREF _Toc15484947 \h </w:instrText>
        </w:r>
        <w:r>
          <w:rPr>
            <w:noProof/>
            <w:webHidden/>
          </w:rPr>
        </w:r>
        <w:r>
          <w:rPr>
            <w:noProof/>
            <w:webHidden/>
          </w:rPr>
          <w:fldChar w:fldCharType="separate"/>
        </w:r>
        <w:r>
          <w:rPr>
            <w:noProof/>
            <w:webHidden/>
          </w:rPr>
          <w:t>23</w:t>
        </w:r>
        <w:r>
          <w:rPr>
            <w:noProof/>
            <w:webHidden/>
          </w:rPr>
          <w:fldChar w:fldCharType="end"/>
        </w:r>
      </w:hyperlink>
    </w:p>
    <w:p w:rsidR="00F96601" w:rsidRDefault="00F96601">
      <w:pPr>
        <w:pStyle w:val="TableofFigures"/>
        <w:tabs>
          <w:tab w:val="right" w:leader="dot" w:pos="9854"/>
        </w:tabs>
        <w:rPr>
          <w:rFonts w:asciiTheme="minorHAnsi" w:eastAsiaTheme="minorEastAsia" w:hAnsiTheme="minorHAnsi"/>
          <w:noProof/>
          <w:sz w:val="22"/>
          <w:szCs w:val="22"/>
          <w:lang w:val="en-US"/>
        </w:rPr>
      </w:pPr>
      <w:hyperlink w:anchor="_Toc15484948" w:history="1">
        <w:r w:rsidRPr="00C023AB">
          <w:rPr>
            <w:rStyle w:val="Hyperlink"/>
            <w:rFonts w:ascii="Times New Roman" w:hAnsi="Times New Roman" w:cs="Times New Roman"/>
            <w:noProof/>
          </w:rPr>
          <w:t>Table 10. Comparison of Actual vs. Expected signs of regression coefficients</w:t>
        </w:r>
        <w:r>
          <w:rPr>
            <w:noProof/>
            <w:webHidden/>
          </w:rPr>
          <w:tab/>
        </w:r>
        <w:r>
          <w:rPr>
            <w:noProof/>
            <w:webHidden/>
          </w:rPr>
          <w:fldChar w:fldCharType="begin"/>
        </w:r>
        <w:r>
          <w:rPr>
            <w:noProof/>
            <w:webHidden/>
          </w:rPr>
          <w:instrText xml:space="preserve"> PAGEREF _Toc15484948 \h </w:instrText>
        </w:r>
        <w:r>
          <w:rPr>
            <w:noProof/>
            <w:webHidden/>
          </w:rPr>
        </w:r>
        <w:r>
          <w:rPr>
            <w:noProof/>
            <w:webHidden/>
          </w:rPr>
          <w:fldChar w:fldCharType="separate"/>
        </w:r>
        <w:r>
          <w:rPr>
            <w:noProof/>
            <w:webHidden/>
          </w:rPr>
          <w:t>2</w:t>
        </w:r>
        <w:r>
          <w:rPr>
            <w:noProof/>
            <w:webHidden/>
          </w:rPr>
          <w:t>5</w:t>
        </w:r>
        <w:r>
          <w:rPr>
            <w:noProof/>
            <w:webHidden/>
          </w:rPr>
          <w:fldChar w:fldCharType="end"/>
        </w:r>
      </w:hyperlink>
    </w:p>
    <w:p w:rsidR="00B40128" w:rsidRDefault="00B40128" w:rsidP="00590C51">
      <w:pPr>
        <w:pStyle w:val="Heading1"/>
        <w:numPr>
          <w:ilvl w:val="0"/>
          <w:numId w:val="0"/>
        </w:numPr>
        <w:spacing w:line="360" w:lineRule="auto"/>
        <w:ind w:left="567" w:hanging="567"/>
        <w:rPr>
          <w:rFonts w:ascii="Times New Roman" w:hAnsi="Times New Roman" w:cs="Times New Roman"/>
          <w:i w:val="0"/>
          <w:lang w:val="en-US"/>
        </w:rPr>
      </w:pPr>
      <w:r w:rsidRPr="00590C51">
        <w:rPr>
          <w:rFonts w:ascii="Times New Roman" w:hAnsi="Times New Roman" w:cs="Times New Roman"/>
          <w:b w:val="0"/>
          <w:i w:val="0"/>
          <w:szCs w:val="24"/>
          <w:lang w:val="en-US"/>
        </w:rPr>
        <w:fldChar w:fldCharType="end"/>
      </w:r>
    </w:p>
    <w:p w:rsidR="00B40128" w:rsidRDefault="00B40128" w:rsidP="00403EFA">
      <w:pPr>
        <w:pStyle w:val="Heading1"/>
        <w:numPr>
          <w:ilvl w:val="0"/>
          <w:numId w:val="0"/>
        </w:numPr>
        <w:spacing w:line="360" w:lineRule="auto"/>
        <w:ind w:left="567" w:hanging="567"/>
        <w:rPr>
          <w:rFonts w:ascii="Times New Roman" w:hAnsi="Times New Roman" w:cs="Times New Roman"/>
          <w:i w:val="0"/>
          <w:lang w:val="en-US"/>
        </w:rPr>
      </w:pPr>
    </w:p>
    <w:p w:rsidR="00590C51" w:rsidRPr="00590C51" w:rsidRDefault="00590C51" w:rsidP="00590C51">
      <w:pPr>
        <w:pStyle w:val="BodyText"/>
        <w:rPr>
          <w:b/>
          <w:lang w:val="en-US"/>
        </w:rPr>
      </w:pPr>
      <w:r w:rsidRPr="00590C51">
        <w:rPr>
          <w:b/>
          <w:lang w:val="en-US"/>
        </w:rPr>
        <w:t>List of Figures</w:t>
      </w:r>
    </w:p>
    <w:p w:rsidR="00AE6A31" w:rsidRDefault="00590C51">
      <w:pPr>
        <w:pStyle w:val="TableofFigures"/>
        <w:tabs>
          <w:tab w:val="right" w:leader="dot" w:pos="9854"/>
        </w:tabs>
        <w:rPr>
          <w:rFonts w:asciiTheme="minorHAnsi" w:eastAsiaTheme="minorEastAsia" w:hAnsiTheme="minorHAnsi"/>
          <w:noProof/>
          <w:sz w:val="22"/>
          <w:szCs w:val="22"/>
          <w:lang w:val="en-US"/>
        </w:rPr>
      </w:pPr>
      <w:r w:rsidRPr="00590C51">
        <w:rPr>
          <w:rFonts w:ascii="Times New Roman" w:hAnsi="Times New Roman" w:cs="Times New Roman"/>
          <w:lang w:val="en-US"/>
        </w:rPr>
        <w:fldChar w:fldCharType="begin"/>
      </w:r>
      <w:r w:rsidRPr="00590C51">
        <w:rPr>
          <w:rFonts w:ascii="Times New Roman" w:hAnsi="Times New Roman" w:cs="Times New Roman"/>
          <w:lang w:val="en-US"/>
        </w:rPr>
        <w:instrText xml:space="preserve"> TOC \h \z \c "Figure" </w:instrText>
      </w:r>
      <w:r w:rsidRPr="00590C51">
        <w:rPr>
          <w:rFonts w:ascii="Times New Roman" w:hAnsi="Times New Roman" w:cs="Times New Roman"/>
          <w:lang w:val="en-US"/>
        </w:rPr>
        <w:fldChar w:fldCharType="separate"/>
      </w:r>
      <w:hyperlink w:anchor="_Toc15252156" w:history="1">
        <w:r w:rsidR="00AE6A31" w:rsidRPr="009A35C7">
          <w:rPr>
            <w:rStyle w:val="Hyperlink"/>
            <w:rFonts w:ascii="Times New Roman" w:hAnsi="Times New Roman" w:cs="Times New Roman"/>
            <w:noProof/>
          </w:rPr>
          <w:t>Figure 1. Crude Brent Oil Price (2014-2018)</w:t>
        </w:r>
        <w:r w:rsidR="00AE6A31">
          <w:rPr>
            <w:noProof/>
            <w:webHidden/>
          </w:rPr>
          <w:tab/>
        </w:r>
        <w:r w:rsidR="00AE6A31">
          <w:rPr>
            <w:noProof/>
            <w:webHidden/>
          </w:rPr>
          <w:fldChar w:fldCharType="begin"/>
        </w:r>
        <w:r w:rsidR="00AE6A31">
          <w:rPr>
            <w:noProof/>
            <w:webHidden/>
          </w:rPr>
          <w:instrText xml:space="preserve"> PAGEREF _Toc15252156 \h </w:instrText>
        </w:r>
        <w:r w:rsidR="00AE6A31">
          <w:rPr>
            <w:noProof/>
            <w:webHidden/>
          </w:rPr>
        </w:r>
        <w:r w:rsidR="00AE6A31">
          <w:rPr>
            <w:noProof/>
            <w:webHidden/>
          </w:rPr>
          <w:fldChar w:fldCharType="separate"/>
        </w:r>
        <w:r w:rsidR="00AE6A31">
          <w:rPr>
            <w:noProof/>
            <w:webHidden/>
          </w:rPr>
          <w:t>15</w:t>
        </w:r>
        <w:r w:rsidR="00AE6A31">
          <w:rPr>
            <w:noProof/>
            <w:webHidden/>
          </w:rPr>
          <w:fldChar w:fldCharType="end"/>
        </w:r>
      </w:hyperlink>
    </w:p>
    <w:p w:rsidR="00AE6A31" w:rsidRDefault="00380498">
      <w:pPr>
        <w:pStyle w:val="TableofFigures"/>
        <w:tabs>
          <w:tab w:val="right" w:leader="dot" w:pos="9854"/>
        </w:tabs>
        <w:rPr>
          <w:rFonts w:asciiTheme="minorHAnsi" w:eastAsiaTheme="minorEastAsia" w:hAnsiTheme="minorHAnsi"/>
          <w:noProof/>
          <w:sz w:val="22"/>
          <w:szCs w:val="22"/>
          <w:lang w:val="en-US"/>
        </w:rPr>
      </w:pPr>
      <w:hyperlink w:anchor="_Toc15252157" w:history="1">
        <w:r w:rsidR="00AE6A31" w:rsidRPr="009A35C7">
          <w:rPr>
            <w:rStyle w:val="Hyperlink"/>
            <w:rFonts w:ascii="Times New Roman" w:hAnsi="Times New Roman" w:cs="Times New Roman"/>
            <w:noProof/>
          </w:rPr>
          <w:t>Figure 2. RUB/USD Exchange Rate</w:t>
        </w:r>
        <w:r w:rsidR="00AE6A31">
          <w:rPr>
            <w:noProof/>
            <w:webHidden/>
          </w:rPr>
          <w:tab/>
        </w:r>
        <w:r w:rsidR="00AE6A31">
          <w:rPr>
            <w:noProof/>
            <w:webHidden/>
          </w:rPr>
          <w:fldChar w:fldCharType="begin"/>
        </w:r>
        <w:r w:rsidR="00AE6A31">
          <w:rPr>
            <w:noProof/>
            <w:webHidden/>
          </w:rPr>
          <w:instrText xml:space="preserve"> PAGEREF _Toc15252157 \h </w:instrText>
        </w:r>
        <w:r w:rsidR="00AE6A31">
          <w:rPr>
            <w:noProof/>
            <w:webHidden/>
          </w:rPr>
        </w:r>
        <w:r w:rsidR="00AE6A31">
          <w:rPr>
            <w:noProof/>
            <w:webHidden/>
          </w:rPr>
          <w:fldChar w:fldCharType="separate"/>
        </w:r>
        <w:r w:rsidR="00AE6A31">
          <w:rPr>
            <w:noProof/>
            <w:webHidden/>
          </w:rPr>
          <w:t>16</w:t>
        </w:r>
        <w:r w:rsidR="00AE6A31">
          <w:rPr>
            <w:noProof/>
            <w:webHidden/>
          </w:rPr>
          <w:fldChar w:fldCharType="end"/>
        </w:r>
      </w:hyperlink>
    </w:p>
    <w:p w:rsidR="00AE6A31" w:rsidRDefault="00380498">
      <w:pPr>
        <w:pStyle w:val="TableofFigures"/>
        <w:tabs>
          <w:tab w:val="right" w:leader="dot" w:pos="9854"/>
        </w:tabs>
        <w:rPr>
          <w:rFonts w:asciiTheme="minorHAnsi" w:eastAsiaTheme="minorEastAsia" w:hAnsiTheme="minorHAnsi"/>
          <w:noProof/>
          <w:sz w:val="22"/>
          <w:szCs w:val="22"/>
          <w:lang w:val="en-US"/>
        </w:rPr>
      </w:pPr>
      <w:hyperlink w:anchor="_Toc15252158" w:history="1">
        <w:r w:rsidR="00AE6A31" w:rsidRPr="009A35C7">
          <w:rPr>
            <w:rStyle w:val="Hyperlink"/>
            <w:rFonts w:ascii="Times New Roman" w:hAnsi="Times New Roman" w:cs="Times New Roman"/>
            <w:noProof/>
          </w:rPr>
          <w:t>Figure 3. US T-bills rate (2014-2018)</w:t>
        </w:r>
        <w:r w:rsidR="00AE6A31">
          <w:rPr>
            <w:noProof/>
            <w:webHidden/>
          </w:rPr>
          <w:tab/>
        </w:r>
        <w:r w:rsidR="00AE6A31">
          <w:rPr>
            <w:noProof/>
            <w:webHidden/>
          </w:rPr>
          <w:fldChar w:fldCharType="begin"/>
        </w:r>
        <w:r w:rsidR="00AE6A31">
          <w:rPr>
            <w:noProof/>
            <w:webHidden/>
          </w:rPr>
          <w:instrText xml:space="preserve"> PAGEREF _Toc15252158 \h </w:instrText>
        </w:r>
        <w:r w:rsidR="00AE6A31">
          <w:rPr>
            <w:noProof/>
            <w:webHidden/>
          </w:rPr>
        </w:r>
        <w:r w:rsidR="00AE6A31">
          <w:rPr>
            <w:noProof/>
            <w:webHidden/>
          </w:rPr>
          <w:fldChar w:fldCharType="separate"/>
        </w:r>
        <w:r w:rsidR="00AE6A31">
          <w:rPr>
            <w:noProof/>
            <w:webHidden/>
          </w:rPr>
          <w:t>16</w:t>
        </w:r>
        <w:r w:rsidR="00AE6A31">
          <w:rPr>
            <w:noProof/>
            <w:webHidden/>
          </w:rPr>
          <w:fldChar w:fldCharType="end"/>
        </w:r>
      </w:hyperlink>
    </w:p>
    <w:p w:rsidR="00AE6A31" w:rsidRDefault="00380498">
      <w:pPr>
        <w:pStyle w:val="TableofFigures"/>
        <w:tabs>
          <w:tab w:val="right" w:leader="dot" w:pos="9854"/>
        </w:tabs>
        <w:rPr>
          <w:rFonts w:asciiTheme="minorHAnsi" w:eastAsiaTheme="minorEastAsia" w:hAnsiTheme="minorHAnsi"/>
          <w:noProof/>
          <w:sz w:val="22"/>
          <w:szCs w:val="22"/>
          <w:lang w:val="en-US"/>
        </w:rPr>
      </w:pPr>
      <w:hyperlink w:anchor="_Toc15252159" w:history="1">
        <w:r w:rsidR="00AE6A31" w:rsidRPr="009A35C7">
          <w:rPr>
            <w:rStyle w:val="Hyperlink"/>
            <w:rFonts w:ascii="Times New Roman" w:hAnsi="Times New Roman" w:cs="Times New Roman"/>
            <w:noProof/>
          </w:rPr>
          <w:t>Figure 4. Moscow Interbank Offer Rate (2014-2018)</w:t>
        </w:r>
        <w:r w:rsidR="00AE6A31">
          <w:rPr>
            <w:noProof/>
            <w:webHidden/>
          </w:rPr>
          <w:tab/>
        </w:r>
        <w:r w:rsidR="00AE6A31">
          <w:rPr>
            <w:noProof/>
            <w:webHidden/>
          </w:rPr>
          <w:fldChar w:fldCharType="begin"/>
        </w:r>
        <w:r w:rsidR="00AE6A31">
          <w:rPr>
            <w:noProof/>
            <w:webHidden/>
          </w:rPr>
          <w:instrText xml:space="preserve"> PAGEREF _Toc15252159 \h </w:instrText>
        </w:r>
        <w:r w:rsidR="00AE6A31">
          <w:rPr>
            <w:noProof/>
            <w:webHidden/>
          </w:rPr>
        </w:r>
        <w:r w:rsidR="00AE6A31">
          <w:rPr>
            <w:noProof/>
            <w:webHidden/>
          </w:rPr>
          <w:fldChar w:fldCharType="separate"/>
        </w:r>
        <w:r w:rsidR="00AE6A31">
          <w:rPr>
            <w:noProof/>
            <w:webHidden/>
          </w:rPr>
          <w:t>17</w:t>
        </w:r>
        <w:r w:rsidR="00AE6A31">
          <w:rPr>
            <w:noProof/>
            <w:webHidden/>
          </w:rPr>
          <w:fldChar w:fldCharType="end"/>
        </w:r>
      </w:hyperlink>
    </w:p>
    <w:p w:rsidR="00AE6A31" w:rsidRDefault="00380498">
      <w:pPr>
        <w:pStyle w:val="TableofFigures"/>
        <w:tabs>
          <w:tab w:val="right" w:leader="dot" w:pos="9854"/>
        </w:tabs>
        <w:rPr>
          <w:rFonts w:asciiTheme="minorHAnsi" w:eastAsiaTheme="minorEastAsia" w:hAnsiTheme="minorHAnsi"/>
          <w:noProof/>
          <w:sz w:val="22"/>
          <w:szCs w:val="22"/>
          <w:lang w:val="en-US"/>
        </w:rPr>
      </w:pPr>
      <w:hyperlink w:anchor="_Toc15252160" w:history="1">
        <w:r w:rsidR="00AE6A31" w:rsidRPr="009A35C7">
          <w:rPr>
            <w:rStyle w:val="Hyperlink"/>
            <w:rFonts w:ascii="Times New Roman" w:hAnsi="Times New Roman" w:cs="Times New Roman"/>
            <w:noProof/>
          </w:rPr>
          <w:t>Figure 5. Gold Reserves of Russian Central Bank</w:t>
        </w:r>
        <w:r w:rsidR="00AE6A31">
          <w:rPr>
            <w:noProof/>
            <w:webHidden/>
          </w:rPr>
          <w:tab/>
        </w:r>
        <w:r w:rsidR="00AE6A31">
          <w:rPr>
            <w:noProof/>
            <w:webHidden/>
          </w:rPr>
          <w:fldChar w:fldCharType="begin"/>
        </w:r>
        <w:r w:rsidR="00AE6A31">
          <w:rPr>
            <w:noProof/>
            <w:webHidden/>
          </w:rPr>
          <w:instrText xml:space="preserve"> PAGEREF _Toc15252160 \h </w:instrText>
        </w:r>
        <w:r w:rsidR="00AE6A31">
          <w:rPr>
            <w:noProof/>
            <w:webHidden/>
          </w:rPr>
        </w:r>
        <w:r w:rsidR="00AE6A31">
          <w:rPr>
            <w:noProof/>
            <w:webHidden/>
          </w:rPr>
          <w:fldChar w:fldCharType="separate"/>
        </w:r>
        <w:r w:rsidR="00AE6A31">
          <w:rPr>
            <w:noProof/>
            <w:webHidden/>
          </w:rPr>
          <w:t>18</w:t>
        </w:r>
        <w:r w:rsidR="00AE6A31">
          <w:rPr>
            <w:noProof/>
            <w:webHidden/>
          </w:rPr>
          <w:fldChar w:fldCharType="end"/>
        </w:r>
      </w:hyperlink>
    </w:p>
    <w:p w:rsidR="00AE6A31" w:rsidRDefault="00380498">
      <w:pPr>
        <w:pStyle w:val="TableofFigures"/>
        <w:tabs>
          <w:tab w:val="right" w:leader="dot" w:pos="9854"/>
        </w:tabs>
        <w:rPr>
          <w:rFonts w:asciiTheme="minorHAnsi" w:eastAsiaTheme="minorEastAsia" w:hAnsiTheme="minorHAnsi"/>
          <w:noProof/>
          <w:sz w:val="22"/>
          <w:szCs w:val="22"/>
          <w:lang w:val="en-US"/>
        </w:rPr>
      </w:pPr>
      <w:hyperlink w:anchor="_Toc15252161" w:history="1">
        <w:r w:rsidR="00AE6A31" w:rsidRPr="009A35C7">
          <w:rPr>
            <w:rStyle w:val="Hyperlink"/>
            <w:rFonts w:ascii="Times New Roman" w:hAnsi="Times New Roman" w:cs="Times New Roman"/>
            <w:noProof/>
          </w:rPr>
          <w:t>Figure 6. MICEX 10 reaction to sanctions</w:t>
        </w:r>
        <w:r w:rsidR="00AE6A31">
          <w:rPr>
            <w:noProof/>
            <w:webHidden/>
          </w:rPr>
          <w:tab/>
        </w:r>
        <w:r w:rsidR="00AE6A31">
          <w:rPr>
            <w:noProof/>
            <w:webHidden/>
          </w:rPr>
          <w:fldChar w:fldCharType="begin"/>
        </w:r>
        <w:r w:rsidR="00AE6A31">
          <w:rPr>
            <w:noProof/>
            <w:webHidden/>
          </w:rPr>
          <w:instrText xml:space="preserve"> PAGEREF _Toc15252161 \h </w:instrText>
        </w:r>
        <w:r w:rsidR="00AE6A31">
          <w:rPr>
            <w:noProof/>
            <w:webHidden/>
          </w:rPr>
        </w:r>
        <w:r w:rsidR="00AE6A31">
          <w:rPr>
            <w:noProof/>
            <w:webHidden/>
          </w:rPr>
          <w:fldChar w:fldCharType="separate"/>
        </w:r>
        <w:r w:rsidR="00AE6A31">
          <w:rPr>
            <w:noProof/>
            <w:webHidden/>
          </w:rPr>
          <w:t>20</w:t>
        </w:r>
        <w:r w:rsidR="00AE6A31">
          <w:rPr>
            <w:noProof/>
            <w:webHidden/>
          </w:rPr>
          <w:fldChar w:fldCharType="end"/>
        </w:r>
      </w:hyperlink>
    </w:p>
    <w:p w:rsidR="00AE6A31" w:rsidRDefault="00380498">
      <w:pPr>
        <w:pStyle w:val="TableofFigures"/>
        <w:tabs>
          <w:tab w:val="right" w:leader="dot" w:pos="9854"/>
        </w:tabs>
        <w:rPr>
          <w:rFonts w:asciiTheme="minorHAnsi" w:eastAsiaTheme="minorEastAsia" w:hAnsiTheme="minorHAnsi"/>
          <w:noProof/>
          <w:sz w:val="22"/>
          <w:szCs w:val="22"/>
          <w:lang w:val="en-US"/>
        </w:rPr>
      </w:pPr>
      <w:hyperlink w:anchor="_Toc15252162" w:history="1">
        <w:r w:rsidR="00AE6A31" w:rsidRPr="009A35C7">
          <w:rPr>
            <w:rStyle w:val="Hyperlink"/>
            <w:rFonts w:ascii="Times New Roman" w:hAnsi="Times New Roman" w:cs="Times New Roman"/>
            <w:noProof/>
          </w:rPr>
          <w:t>Figure 7. MICEX 10 reaction to Visa ban and asset freezes</w:t>
        </w:r>
        <w:r w:rsidR="00AE6A31">
          <w:rPr>
            <w:noProof/>
            <w:webHidden/>
          </w:rPr>
          <w:tab/>
        </w:r>
        <w:r w:rsidR="00AE6A31">
          <w:rPr>
            <w:noProof/>
            <w:webHidden/>
          </w:rPr>
          <w:fldChar w:fldCharType="begin"/>
        </w:r>
        <w:r w:rsidR="00AE6A31">
          <w:rPr>
            <w:noProof/>
            <w:webHidden/>
          </w:rPr>
          <w:instrText xml:space="preserve"> PAGEREF _Toc15252162 \h </w:instrText>
        </w:r>
        <w:r w:rsidR="00AE6A31">
          <w:rPr>
            <w:noProof/>
            <w:webHidden/>
          </w:rPr>
        </w:r>
        <w:r w:rsidR="00AE6A31">
          <w:rPr>
            <w:noProof/>
            <w:webHidden/>
          </w:rPr>
          <w:fldChar w:fldCharType="separate"/>
        </w:r>
        <w:r w:rsidR="00AE6A31">
          <w:rPr>
            <w:noProof/>
            <w:webHidden/>
          </w:rPr>
          <w:t>20</w:t>
        </w:r>
        <w:r w:rsidR="00AE6A31">
          <w:rPr>
            <w:noProof/>
            <w:webHidden/>
          </w:rPr>
          <w:fldChar w:fldCharType="end"/>
        </w:r>
      </w:hyperlink>
    </w:p>
    <w:p w:rsidR="00590C51" w:rsidRPr="00590C51" w:rsidRDefault="00590C51" w:rsidP="00590C51">
      <w:pPr>
        <w:pStyle w:val="BodyText"/>
        <w:spacing w:line="360" w:lineRule="auto"/>
        <w:rPr>
          <w:lang w:val="en-US"/>
        </w:rPr>
      </w:pPr>
      <w:r w:rsidRPr="00590C51">
        <w:rPr>
          <w:rFonts w:ascii="Times New Roman" w:hAnsi="Times New Roman" w:cs="Times New Roman"/>
          <w:lang w:val="en-US"/>
        </w:rPr>
        <w:fldChar w:fldCharType="end"/>
      </w:r>
    </w:p>
    <w:p w:rsidR="00B40128" w:rsidRDefault="00B40128" w:rsidP="00403EFA">
      <w:pPr>
        <w:pStyle w:val="Heading1"/>
        <w:numPr>
          <w:ilvl w:val="0"/>
          <w:numId w:val="0"/>
        </w:numPr>
        <w:spacing w:line="360" w:lineRule="auto"/>
        <w:ind w:left="567" w:hanging="567"/>
        <w:rPr>
          <w:rFonts w:ascii="Times New Roman" w:hAnsi="Times New Roman" w:cs="Times New Roman"/>
          <w:i w:val="0"/>
          <w:lang w:val="en-US"/>
        </w:rPr>
      </w:pPr>
    </w:p>
    <w:p w:rsidR="00B40128" w:rsidRDefault="00B40128" w:rsidP="00403EFA">
      <w:pPr>
        <w:pStyle w:val="Heading1"/>
        <w:numPr>
          <w:ilvl w:val="0"/>
          <w:numId w:val="0"/>
        </w:numPr>
        <w:spacing w:line="360" w:lineRule="auto"/>
        <w:ind w:left="567" w:hanging="567"/>
        <w:rPr>
          <w:rFonts w:ascii="Times New Roman" w:hAnsi="Times New Roman" w:cs="Times New Roman"/>
          <w:i w:val="0"/>
          <w:lang w:val="en-US"/>
        </w:rPr>
      </w:pPr>
    </w:p>
    <w:p w:rsidR="00B40128" w:rsidRDefault="00B40128" w:rsidP="00403EFA">
      <w:pPr>
        <w:pStyle w:val="Heading1"/>
        <w:numPr>
          <w:ilvl w:val="0"/>
          <w:numId w:val="0"/>
        </w:numPr>
        <w:spacing w:line="360" w:lineRule="auto"/>
        <w:ind w:left="567" w:hanging="567"/>
        <w:rPr>
          <w:rFonts w:ascii="Times New Roman" w:hAnsi="Times New Roman" w:cs="Times New Roman"/>
          <w:i w:val="0"/>
          <w:lang w:val="en-US"/>
        </w:rPr>
        <w:sectPr w:rsidR="00B40128" w:rsidSect="00A0419D">
          <w:pgSz w:w="11906" w:h="16838" w:code="9"/>
          <w:pgMar w:top="1474" w:right="1021" w:bottom="1474" w:left="1021" w:header="567" w:footer="567" w:gutter="0"/>
          <w:cols w:space="708"/>
          <w:docGrid w:linePitch="360"/>
        </w:sectPr>
      </w:pPr>
    </w:p>
    <w:p w:rsidR="00B40128" w:rsidRDefault="00403EFA" w:rsidP="00403EFA">
      <w:pPr>
        <w:pStyle w:val="Heading1"/>
        <w:numPr>
          <w:ilvl w:val="0"/>
          <w:numId w:val="0"/>
        </w:numPr>
        <w:spacing w:line="360" w:lineRule="auto"/>
        <w:ind w:left="567" w:hanging="567"/>
        <w:rPr>
          <w:rFonts w:ascii="Times New Roman" w:hAnsi="Times New Roman" w:cs="Times New Roman"/>
          <w:i w:val="0"/>
          <w:lang w:val="en-US"/>
        </w:rPr>
      </w:pPr>
      <w:r>
        <w:rPr>
          <w:rFonts w:ascii="Times New Roman" w:hAnsi="Times New Roman" w:cs="Times New Roman"/>
          <w:i w:val="0"/>
          <w:lang w:val="en-US"/>
        </w:rPr>
        <w:lastRenderedPageBreak/>
        <w:t xml:space="preserve"> </w:t>
      </w:r>
      <w:bookmarkStart w:id="1" w:name="_Toc15473242"/>
      <w:r w:rsidR="00B40128">
        <w:rPr>
          <w:rFonts w:ascii="Times New Roman" w:hAnsi="Times New Roman" w:cs="Times New Roman"/>
          <w:i w:val="0"/>
          <w:lang w:val="en-US"/>
        </w:rPr>
        <w:t>Abstract</w:t>
      </w:r>
      <w:bookmarkEnd w:id="1"/>
      <w:r w:rsidR="00B40128">
        <w:rPr>
          <w:rFonts w:ascii="Times New Roman" w:hAnsi="Times New Roman" w:cs="Times New Roman"/>
          <w:i w:val="0"/>
          <w:lang w:val="en-US"/>
        </w:rPr>
        <w:t xml:space="preserve"> </w:t>
      </w:r>
    </w:p>
    <w:p w:rsidR="00B40128" w:rsidRPr="00B72F10" w:rsidRDefault="00B72F10" w:rsidP="007C4DF2">
      <w:pPr>
        <w:pStyle w:val="BodyText"/>
        <w:spacing w:line="360" w:lineRule="auto"/>
        <w:jc w:val="both"/>
        <w:rPr>
          <w:rFonts w:ascii="Times New Roman" w:hAnsi="Times New Roman" w:cs="Times New Roman"/>
          <w:sz w:val="24"/>
          <w:szCs w:val="24"/>
          <w:lang w:val="en-US"/>
        </w:rPr>
      </w:pPr>
      <w:r w:rsidRPr="00B72F10">
        <w:rPr>
          <w:rFonts w:ascii="Times New Roman" w:hAnsi="Times New Roman" w:cs="Times New Roman"/>
          <w:sz w:val="24"/>
          <w:szCs w:val="24"/>
          <w:lang w:val="en-US"/>
        </w:rPr>
        <w:t xml:space="preserve">Following the annexation of Crimea Peninsula, the European Union and the United States of America have imposed various sanctions on the Russian Federation. </w:t>
      </w:r>
      <w:r>
        <w:rPr>
          <w:rFonts w:ascii="Times New Roman" w:hAnsi="Times New Roman" w:cs="Times New Roman"/>
          <w:sz w:val="24"/>
          <w:szCs w:val="24"/>
          <w:lang w:val="en-US"/>
        </w:rPr>
        <w:t xml:space="preserve">Even though 5-year period has passed since the initial sanctions (first sanction was imposed on March 3, 2014), there is still no consensus impact on the effect of sanctions. This paper assesses the impact of imposed sanctions on the performance of the ten most liquid stocks listed in the Russian stock exchange. </w:t>
      </w:r>
      <w:r w:rsidR="00652497">
        <w:rPr>
          <w:rFonts w:ascii="Times New Roman" w:hAnsi="Times New Roman" w:cs="Times New Roman"/>
          <w:sz w:val="24"/>
          <w:szCs w:val="24"/>
          <w:lang w:val="en-US"/>
        </w:rPr>
        <w:t xml:space="preserve">The result of the paper shows that despite the growth of </w:t>
      </w:r>
      <w:r w:rsidR="00B841E0">
        <w:rPr>
          <w:rFonts w:ascii="Times New Roman" w:hAnsi="Times New Roman" w:cs="Times New Roman"/>
          <w:sz w:val="24"/>
          <w:szCs w:val="24"/>
          <w:lang w:val="en-US"/>
        </w:rPr>
        <w:t>the stock price</w:t>
      </w:r>
      <w:r w:rsidR="00652497">
        <w:rPr>
          <w:rFonts w:ascii="Times New Roman" w:hAnsi="Times New Roman" w:cs="Times New Roman"/>
          <w:sz w:val="24"/>
          <w:szCs w:val="24"/>
          <w:lang w:val="en-US"/>
        </w:rPr>
        <w:t xml:space="preserve">, the sanctions had negative impact on </w:t>
      </w:r>
      <w:r w:rsidR="00B841E0">
        <w:rPr>
          <w:rFonts w:ascii="Times New Roman" w:hAnsi="Times New Roman" w:cs="Times New Roman"/>
          <w:sz w:val="24"/>
          <w:szCs w:val="24"/>
          <w:lang w:val="en-US"/>
        </w:rPr>
        <w:t xml:space="preserve">overall </w:t>
      </w:r>
      <w:r w:rsidR="00652497">
        <w:rPr>
          <w:rFonts w:ascii="Times New Roman" w:hAnsi="Times New Roman" w:cs="Times New Roman"/>
          <w:sz w:val="24"/>
          <w:szCs w:val="24"/>
          <w:lang w:val="en-US"/>
        </w:rPr>
        <w:t xml:space="preserve">growth. </w:t>
      </w:r>
      <w:r w:rsidR="00DA3B69">
        <w:rPr>
          <w:rFonts w:ascii="Times New Roman" w:hAnsi="Times New Roman" w:cs="Times New Roman"/>
          <w:sz w:val="24"/>
          <w:szCs w:val="24"/>
          <w:lang w:val="en-US"/>
        </w:rPr>
        <w:t xml:space="preserve">Most interestingly, the results of the paper show that sanctions had no impact on firms in oil and gas sector, while having significant negative impact on firms in non-oil and gas sector. </w:t>
      </w:r>
    </w:p>
    <w:p w:rsidR="00B40128" w:rsidRDefault="00B40128" w:rsidP="00B40128">
      <w:pPr>
        <w:pStyle w:val="BodyText"/>
        <w:rPr>
          <w:lang w:val="en-US"/>
        </w:rPr>
      </w:pPr>
    </w:p>
    <w:p w:rsidR="00B40128" w:rsidRDefault="00B40128" w:rsidP="00B40128">
      <w:pPr>
        <w:pStyle w:val="BodyText"/>
        <w:rPr>
          <w:lang w:val="en-US"/>
        </w:rPr>
      </w:pPr>
    </w:p>
    <w:p w:rsidR="00B40128" w:rsidRDefault="00B40128" w:rsidP="00B40128">
      <w:pPr>
        <w:pStyle w:val="BodyText"/>
        <w:rPr>
          <w:lang w:val="en-US"/>
        </w:rPr>
      </w:pPr>
    </w:p>
    <w:p w:rsidR="00B40128" w:rsidRPr="00B40128" w:rsidRDefault="00B40128" w:rsidP="00B40128">
      <w:pPr>
        <w:pStyle w:val="BodyText"/>
        <w:rPr>
          <w:lang w:val="en-US"/>
        </w:rPr>
        <w:sectPr w:rsidR="00B40128" w:rsidRPr="00B40128" w:rsidSect="00A0419D">
          <w:pgSz w:w="11906" w:h="16838" w:code="9"/>
          <w:pgMar w:top="1474" w:right="1021" w:bottom="1474" w:left="1021" w:header="567" w:footer="567" w:gutter="0"/>
          <w:cols w:space="708"/>
          <w:docGrid w:linePitch="360"/>
        </w:sectPr>
      </w:pPr>
    </w:p>
    <w:p w:rsidR="00587FD9" w:rsidRDefault="00587FD9" w:rsidP="00403EFA">
      <w:pPr>
        <w:pStyle w:val="Heading1"/>
        <w:numPr>
          <w:ilvl w:val="0"/>
          <w:numId w:val="0"/>
        </w:numPr>
        <w:spacing w:line="360" w:lineRule="auto"/>
        <w:ind w:left="567" w:hanging="567"/>
        <w:rPr>
          <w:rFonts w:ascii="Times New Roman" w:hAnsi="Times New Roman" w:cs="Times New Roman"/>
          <w:i w:val="0"/>
          <w:lang w:val="en-US"/>
        </w:rPr>
        <w:sectPr w:rsidR="00587FD9" w:rsidSect="00B40128">
          <w:type w:val="continuous"/>
          <w:pgSz w:w="11906" w:h="16838" w:code="9"/>
          <w:pgMar w:top="1474" w:right="1021" w:bottom="1474" w:left="1021" w:header="567" w:footer="567" w:gutter="0"/>
          <w:cols w:space="708"/>
          <w:docGrid w:linePitch="360"/>
        </w:sectPr>
      </w:pPr>
    </w:p>
    <w:p w:rsidR="00DC6886" w:rsidRPr="00DC6886" w:rsidRDefault="007F5D27" w:rsidP="007F5D27">
      <w:pPr>
        <w:pStyle w:val="Heading1"/>
        <w:numPr>
          <w:ilvl w:val="0"/>
          <w:numId w:val="0"/>
        </w:numPr>
        <w:spacing w:line="360" w:lineRule="auto"/>
        <w:ind w:left="567" w:hanging="567"/>
        <w:rPr>
          <w:rFonts w:ascii="Times New Roman" w:hAnsi="Times New Roman" w:cs="Times New Roman"/>
          <w:i w:val="0"/>
          <w:lang w:val="en-US"/>
        </w:rPr>
      </w:pPr>
      <w:bookmarkStart w:id="2" w:name="_Toc15473243"/>
      <w:r>
        <w:rPr>
          <w:rFonts w:ascii="Times New Roman" w:hAnsi="Times New Roman" w:cs="Times New Roman"/>
          <w:i w:val="0"/>
          <w:lang w:val="en-US"/>
        </w:rPr>
        <w:lastRenderedPageBreak/>
        <w:t xml:space="preserve">Chapter 1. </w:t>
      </w:r>
      <w:r w:rsidR="00DC6886" w:rsidRPr="00DC6886">
        <w:rPr>
          <w:rFonts w:ascii="Times New Roman" w:hAnsi="Times New Roman" w:cs="Times New Roman"/>
          <w:i w:val="0"/>
          <w:lang w:val="en-US"/>
        </w:rPr>
        <w:t>Introduction</w:t>
      </w:r>
      <w:bookmarkEnd w:id="2"/>
    </w:p>
    <w:p w:rsidR="008B2DD2" w:rsidRDefault="00312B62" w:rsidP="00DD2AF2">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March 2014, after long running political tension between the Russian Federation and Ukraine, Crimea peninsula has been included as a part of the Russian Federation. In a response to actions of Russian politicians, the European and other western countries have imposed various sanctions on the Russian Federation. </w:t>
      </w:r>
      <w:r w:rsidR="006A32CF">
        <w:rPr>
          <w:rFonts w:ascii="Times New Roman" w:hAnsi="Times New Roman" w:cs="Times New Roman"/>
          <w:sz w:val="24"/>
          <w:szCs w:val="24"/>
          <w:lang w:val="en-US"/>
        </w:rPr>
        <w:t xml:space="preserve">The main aim of those sanctions was to disrupt economic growth of the Russian Federation and pressurize it to abandon its political course of actions towards Ukraine. </w:t>
      </w:r>
    </w:p>
    <w:p w:rsidR="009013DE" w:rsidRDefault="009013DE" w:rsidP="00DD2AF2">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On the day the Crimea was annexed and on the day of announcement of sanctions, the Russian economy has experie</w:t>
      </w:r>
      <w:r w:rsidR="000B3809">
        <w:rPr>
          <w:rFonts w:ascii="Times New Roman" w:hAnsi="Times New Roman" w:cs="Times New Roman"/>
          <w:sz w:val="24"/>
          <w:szCs w:val="24"/>
          <w:lang w:val="en-US"/>
        </w:rPr>
        <w:t xml:space="preserve">nced significant drop (i.e. the Russian ruble has fell off by more than 10 percent) </w:t>
      </w:r>
      <w:sdt>
        <w:sdtPr>
          <w:rPr>
            <w:rFonts w:ascii="Times New Roman" w:hAnsi="Times New Roman" w:cs="Times New Roman"/>
            <w:sz w:val="24"/>
            <w:szCs w:val="24"/>
            <w:lang w:val="en-US"/>
          </w:rPr>
          <w:id w:val="-270013629"/>
          <w:citation/>
        </w:sdtPr>
        <w:sdtEndPr/>
        <w:sdtContent>
          <w:r w:rsidR="000B3809">
            <w:rPr>
              <w:rFonts w:ascii="Times New Roman" w:hAnsi="Times New Roman" w:cs="Times New Roman"/>
              <w:sz w:val="24"/>
              <w:szCs w:val="24"/>
              <w:lang w:val="en-US"/>
            </w:rPr>
            <w:fldChar w:fldCharType="begin"/>
          </w:r>
          <w:r w:rsidR="000B3809">
            <w:rPr>
              <w:rFonts w:ascii="Times New Roman" w:hAnsi="Times New Roman" w:cs="Times New Roman"/>
              <w:sz w:val="24"/>
              <w:szCs w:val="24"/>
              <w:lang w:val="en-US"/>
            </w:rPr>
            <w:instrText xml:space="preserve"> CITATION BBC15 \l 1033 </w:instrText>
          </w:r>
          <w:r w:rsidR="000B3809">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(BBC, 2015)</w:t>
          </w:r>
          <w:r w:rsidR="000B3809">
            <w:rPr>
              <w:rFonts w:ascii="Times New Roman" w:hAnsi="Times New Roman" w:cs="Times New Roman"/>
              <w:sz w:val="24"/>
              <w:szCs w:val="24"/>
              <w:lang w:val="en-US"/>
            </w:rPr>
            <w:fldChar w:fldCharType="end"/>
          </w:r>
        </w:sdtContent>
      </w:sdt>
      <w:r w:rsidR="000B3809">
        <w:rPr>
          <w:rFonts w:ascii="Times New Roman" w:hAnsi="Times New Roman" w:cs="Times New Roman"/>
          <w:sz w:val="24"/>
          <w:szCs w:val="24"/>
          <w:lang w:val="en-US"/>
        </w:rPr>
        <w:t xml:space="preserve">. </w:t>
      </w:r>
      <w:r w:rsidR="00BD3E23">
        <w:rPr>
          <w:rFonts w:ascii="Times New Roman" w:hAnsi="Times New Roman" w:cs="Times New Roman"/>
          <w:sz w:val="24"/>
          <w:szCs w:val="24"/>
          <w:lang w:val="en-US"/>
        </w:rPr>
        <w:t xml:space="preserve">The similar drop was also observed in the Russian stock exchange. </w:t>
      </w:r>
      <w:r w:rsidR="0069420E">
        <w:rPr>
          <w:rFonts w:ascii="Times New Roman" w:hAnsi="Times New Roman" w:cs="Times New Roman"/>
          <w:sz w:val="24"/>
          <w:szCs w:val="24"/>
          <w:lang w:val="en-US"/>
        </w:rPr>
        <w:t xml:space="preserve">Five years later from the date of annexation of Crimea European countries ponder whether the imposed sanctions on the Russian government has yielded the expected results. </w:t>
      </w:r>
    </w:p>
    <w:p w:rsidR="004D0915" w:rsidRDefault="004D0915" w:rsidP="00DD2AF2">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Immediately following the sanctions, the president of the United States stated that sanctions would leave the economy of Russia in tatters </w:t>
      </w:r>
      <w:sdt>
        <w:sdtPr>
          <w:rPr>
            <w:rFonts w:ascii="Times New Roman" w:hAnsi="Times New Roman" w:cs="Times New Roman"/>
            <w:sz w:val="24"/>
            <w:szCs w:val="24"/>
            <w:lang w:val="en-US"/>
          </w:rPr>
          <w:id w:val="1350363092"/>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Gur15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(Gurvich &amp; Prilepskiy, 2015)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Similarly, the IMF predicted that as a result of sanctions the Russian economy would experience 1-1.5 percent GDP loss in the short-term and 9 percent GDP loss in the long-term </w:t>
      </w:r>
      <w:sdt>
        <w:sdtPr>
          <w:rPr>
            <w:rFonts w:ascii="Times New Roman" w:hAnsi="Times New Roman" w:cs="Times New Roman"/>
            <w:sz w:val="24"/>
            <w:szCs w:val="24"/>
            <w:lang w:val="en-US"/>
          </w:rPr>
          <w:id w:val="-1768992032"/>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Gur15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(Gurvich &amp; Prilepskiy, 2015)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Despite various scholars, business and economic journals giving negative assessment in the early aftermath of sanctions, five year later the Russian stock exchange </w:t>
      </w:r>
      <w:r w:rsidR="00F17FE5">
        <w:rPr>
          <w:rFonts w:ascii="Times New Roman" w:hAnsi="Times New Roman" w:cs="Times New Roman"/>
          <w:sz w:val="24"/>
          <w:szCs w:val="24"/>
          <w:lang w:val="en-US"/>
        </w:rPr>
        <w:t xml:space="preserve">still exhibits growth pattern </w:t>
      </w:r>
      <w:r>
        <w:rPr>
          <w:rFonts w:ascii="Times New Roman" w:hAnsi="Times New Roman" w:cs="Times New Roman"/>
          <w:sz w:val="24"/>
          <w:szCs w:val="24"/>
          <w:lang w:val="en-US"/>
        </w:rPr>
        <w:t xml:space="preserve">(even though there is increased volatility in the market). </w:t>
      </w:r>
    </w:p>
    <w:p w:rsidR="001C01C5" w:rsidRDefault="001C01C5" w:rsidP="00DD2AF2">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There is strong belief that political conflicts should negatively influences economic growth within a country</w:t>
      </w:r>
      <w:r w:rsidR="00A078FA">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91456490"/>
          <w:citation/>
        </w:sdtPr>
        <w:sdtEndPr/>
        <w:sdtContent>
          <w:r w:rsidR="00E937C8">
            <w:rPr>
              <w:rFonts w:ascii="Times New Roman" w:hAnsi="Times New Roman" w:cs="Times New Roman"/>
              <w:sz w:val="24"/>
              <w:szCs w:val="24"/>
              <w:lang w:val="en-US"/>
            </w:rPr>
            <w:fldChar w:fldCharType="begin"/>
          </w:r>
          <w:r w:rsidR="00E937C8">
            <w:rPr>
              <w:rFonts w:ascii="Times New Roman" w:hAnsi="Times New Roman" w:cs="Times New Roman"/>
              <w:sz w:val="24"/>
              <w:szCs w:val="24"/>
              <w:lang w:val="en-US"/>
            </w:rPr>
            <w:instrText xml:space="preserve"> CITATION Ami04 \l 1033 </w:instrText>
          </w:r>
          <w:r w:rsidR="00E937C8">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(Amihud &amp; Wohl, 2004)</w:t>
          </w:r>
          <w:r w:rsidR="00E937C8">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Considering the fact that stock market performance captures the economic growth and also incorporates the market perception of future economic</w:t>
      </w:r>
      <w:r w:rsidR="00F17FE5">
        <w:rPr>
          <w:rFonts w:ascii="Times New Roman" w:hAnsi="Times New Roman" w:cs="Times New Roman"/>
          <w:sz w:val="24"/>
          <w:szCs w:val="24"/>
          <w:lang w:val="en-US"/>
        </w:rPr>
        <w:t xml:space="preserve"> benefits</w:t>
      </w:r>
      <w:r w:rsidR="00C612F1">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962731957"/>
          <w:citation/>
        </w:sdtPr>
        <w:sdtEndPr/>
        <w:sdtContent>
          <w:r w:rsidR="00C612F1">
            <w:rPr>
              <w:rFonts w:ascii="Times New Roman" w:hAnsi="Times New Roman" w:cs="Times New Roman"/>
              <w:sz w:val="24"/>
              <w:szCs w:val="24"/>
              <w:lang w:val="en-US"/>
            </w:rPr>
            <w:fldChar w:fldCharType="begin"/>
          </w:r>
          <w:r w:rsidR="00C612F1">
            <w:rPr>
              <w:rFonts w:ascii="Times New Roman" w:hAnsi="Times New Roman" w:cs="Times New Roman"/>
              <w:sz w:val="24"/>
              <w:szCs w:val="24"/>
              <w:lang w:val="en-US"/>
            </w:rPr>
            <w:instrText xml:space="preserve"> CITATION Abd13 \l 1033 </w:instrText>
          </w:r>
          <w:r w:rsidR="00C612F1">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(Abdelbaki, 2013)</w:t>
          </w:r>
          <w:r w:rsidR="00C612F1">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one can say that stock market performance is a reflection of overall economic activity within a country. </w:t>
      </w:r>
      <w:r w:rsidR="00C612F1">
        <w:rPr>
          <w:rFonts w:ascii="Times New Roman" w:hAnsi="Times New Roman" w:cs="Times New Roman"/>
          <w:sz w:val="24"/>
          <w:szCs w:val="24"/>
          <w:lang w:val="en-US"/>
        </w:rPr>
        <w:t xml:space="preserve">Political conflicts per se should have negative impact on the stock market performance stemming from the classical economic thought that investors like certainty and dislike uncertainty. </w:t>
      </w:r>
      <w:r w:rsidR="005509F0">
        <w:rPr>
          <w:rFonts w:ascii="Times New Roman" w:hAnsi="Times New Roman" w:cs="Times New Roman"/>
          <w:sz w:val="24"/>
          <w:szCs w:val="24"/>
          <w:lang w:val="en-US"/>
        </w:rPr>
        <w:t>The analysis of the 9/11 events in the United States as well as analysis of another 77 large terrorist attacks showed negative reaction of market</w:t>
      </w:r>
      <w:r w:rsidR="00F17FE5">
        <w:rPr>
          <w:rFonts w:ascii="Times New Roman" w:hAnsi="Times New Roman" w:cs="Times New Roman"/>
          <w:sz w:val="24"/>
          <w:szCs w:val="24"/>
          <w:lang w:val="en-US"/>
        </w:rPr>
        <w:t>s</w:t>
      </w:r>
      <w:r w:rsidR="005509F0">
        <w:rPr>
          <w:rFonts w:ascii="Times New Roman" w:hAnsi="Times New Roman" w:cs="Times New Roman"/>
          <w:sz w:val="24"/>
          <w:szCs w:val="24"/>
          <w:lang w:val="en-US"/>
        </w:rPr>
        <w:t xml:space="preserve"> in the aftermath of those events</w:t>
      </w:r>
      <w:r w:rsidR="00E24F36">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482049327"/>
          <w:citation/>
        </w:sdtPr>
        <w:sdtEndPr/>
        <w:sdtContent>
          <w:r w:rsidR="00E24F36">
            <w:rPr>
              <w:rFonts w:ascii="Times New Roman" w:hAnsi="Times New Roman" w:cs="Times New Roman"/>
              <w:sz w:val="24"/>
              <w:szCs w:val="24"/>
              <w:lang w:val="en-US"/>
            </w:rPr>
            <w:fldChar w:fldCharType="begin"/>
          </w:r>
          <w:r w:rsidR="00E24F36">
            <w:rPr>
              <w:rFonts w:ascii="Times New Roman" w:hAnsi="Times New Roman" w:cs="Times New Roman"/>
              <w:sz w:val="24"/>
              <w:szCs w:val="24"/>
              <w:lang w:val="en-US"/>
            </w:rPr>
            <w:instrText xml:space="preserve"> CITATION Che11 \l 1033 </w:instrText>
          </w:r>
          <w:r w:rsidR="00E24F36">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(Chesney, Reshetarb, &amp; Karamana, 2011)</w:t>
          </w:r>
          <w:r w:rsidR="00E24F36">
            <w:rPr>
              <w:rFonts w:ascii="Times New Roman" w:hAnsi="Times New Roman" w:cs="Times New Roman"/>
              <w:sz w:val="24"/>
              <w:szCs w:val="24"/>
              <w:lang w:val="en-US"/>
            </w:rPr>
            <w:fldChar w:fldCharType="end"/>
          </w:r>
        </w:sdtContent>
      </w:sdt>
      <w:r w:rsidR="005509F0">
        <w:rPr>
          <w:rFonts w:ascii="Times New Roman" w:hAnsi="Times New Roman" w:cs="Times New Roman"/>
          <w:sz w:val="24"/>
          <w:szCs w:val="24"/>
          <w:lang w:val="en-US"/>
        </w:rPr>
        <w:t xml:space="preserve">. </w:t>
      </w:r>
      <w:r w:rsidR="00E24F36">
        <w:rPr>
          <w:rFonts w:ascii="Times New Roman" w:hAnsi="Times New Roman" w:cs="Times New Roman"/>
          <w:sz w:val="24"/>
          <w:szCs w:val="24"/>
          <w:lang w:val="en-US"/>
        </w:rPr>
        <w:t xml:space="preserve">Similarly, the analysis of political instability in Egypt had negative impact on performance of the Egyptian stock market. </w:t>
      </w:r>
    </w:p>
    <w:p w:rsidR="00EF18F0" w:rsidRDefault="00EF18F0" w:rsidP="00DD2AF2">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Depending on the political conflict with the involvement of military forces, the US stock market had different reactions to different conflicts where the US troops were engaged. Similarly, the involvement of Russian government in political conflict with military involvement with Ukraine </w:t>
      </w:r>
      <w:r w:rsidR="00A536B3">
        <w:rPr>
          <w:rFonts w:ascii="Times New Roman" w:hAnsi="Times New Roman" w:cs="Times New Roman"/>
          <w:sz w:val="24"/>
          <w:szCs w:val="24"/>
          <w:lang w:val="en-US"/>
        </w:rPr>
        <w:t xml:space="preserve">and </w:t>
      </w:r>
      <w:r w:rsidR="00A536B3">
        <w:rPr>
          <w:rFonts w:ascii="Times New Roman" w:hAnsi="Times New Roman" w:cs="Times New Roman"/>
          <w:sz w:val="24"/>
          <w:szCs w:val="24"/>
          <w:lang w:val="en-US"/>
        </w:rPr>
        <w:lastRenderedPageBreak/>
        <w:t xml:space="preserve">subsequent sanctions against the Russian government had less than intended impact </w:t>
      </w:r>
      <w:sdt>
        <w:sdtPr>
          <w:rPr>
            <w:rFonts w:ascii="Times New Roman" w:hAnsi="Times New Roman" w:cs="Times New Roman"/>
            <w:sz w:val="24"/>
            <w:szCs w:val="24"/>
            <w:lang w:val="en-US"/>
          </w:rPr>
          <w:id w:val="1051734756"/>
          <w:citation/>
        </w:sdtPr>
        <w:sdtEndPr/>
        <w:sdtContent>
          <w:r w:rsidR="00A536B3">
            <w:rPr>
              <w:rFonts w:ascii="Times New Roman" w:hAnsi="Times New Roman" w:cs="Times New Roman"/>
              <w:sz w:val="24"/>
              <w:szCs w:val="24"/>
              <w:lang w:val="en-US"/>
            </w:rPr>
            <w:fldChar w:fldCharType="begin"/>
          </w:r>
          <w:r w:rsidR="00A536B3">
            <w:rPr>
              <w:rFonts w:ascii="Times New Roman" w:hAnsi="Times New Roman" w:cs="Times New Roman"/>
              <w:sz w:val="24"/>
              <w:szCs w:val="24"/>
              <w:lang w:val="en-US"/>
            </w:rPr>
            <w:instrText xml:space="preserve"> CITATION Gur15 \l 1033 </w:instrText>
          </w:r>
          <w:r w:rsidR="00A536B3">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(Gurvich &amp; Prilepskiy, 2015)</w:t>
          </w:r>
          <w:r w:rsidR="00A536B3">
            <w:rPr>
              <w:rFonts w:ascii="Times New Roman" w:hAnsi="Times New Roman" w:cs="Times New Roman"/>
              <w:sz w:val="24"/>
              <w:szCs w:val="24"/>
              <w:lang w:val="en-US"/>
            </w:rPr>
            <w:fldChar w:fldCharType="end"/>
          </w:r>
        </w:sdtContent>
      </w:sdt>
      <w:r w:rsidR="00A536B3">
        <w:rPr>
          <w:rFonts w:ascii="Times New Roman" w:hAnsi="Times New Roman" w:cs="Times New Roman"/>
          <w:sz w:val="24"/>
          <w:szCs w:val="24"/>
          <w:lang w:val="en-US"/>
        </w:rPr>
        <w:t xml:space="preserve">. Based on this I pose my research question as follows: </w:t>
      </w:r>
    </w:p>
    <w:p w:rsidR="000850D9" w:rsidRDefault="000850D9" w:rsidP="001C01C5">
      <w:pPr>
        <w:pStyle w:val="BodyText"/>
        <w:spacing w:line="360" w:lineRule="auto"/>
        <w:rPr>
          <w:rFonts w:ascii="Times New Roman" w:hAnsi="Times New Roman" w:cs="Times New Roman"/>
          <w:b/>
          <w:sz w:val="24"/>
          <w:szCs w:val="24"/>
        </w:rPr>
      </w:pPr>
      <w:r w:rsidRPr="00AF4D46">
        <w:rPr>
          <w:rFonts w:ascii="Times New Roman" w:hAnsi="Times New Roman" w:cs="Times New Roman"/>
          <w:b/>
          <w:sz w:val="24"/>
          <w:szCs w:val="24"/>
          <w:lang w:val="en-US"/>
        </w:rPr>
        <w:t>R</w:t>
      </w:r>
      <w:r w:rsidR="00FC1453" w:rsidRPr="00AF4D46">
        <w:rPr>
          <w:rFonts w:ascii="Times New Roman" w:hAnsi="Times New Roman" w:cs="Times New Roman"/>
          <w:b/>
          <w:sz w:val="24"/>
          <w:szCs w:val="24"/>
          <w:lang w:val="en-US"/>
        </w:rPr>
        <w:t xml:space="preserve">esearch </w:t>
      </w:r>
      <w:r w:rsidRPr="00AF4D46">
        <w:rPr>
          <w:rFonts w:ascii="Times New Roman" w:hAnsi="Times New Roman" w:cs="Times New Roman"/>
          <w:b/>
          <w:sz w:val="24"/>
          <w:szCs w:val="24"/>
          <w:lang w:val="en-US"/>
        </w:rPr>
        <w:t>Q</w:t>
      </w:r>
      <w:r w:rsidR="00FC1453" w:rsidRPr="00AF4D46">
        <w:rPr>
          <w:rFonts w:ascii="Times New Roman" w:hAnsi="Times New Roman" w:cs="Times New Roman"/>
          <w:b/>
          <w:sz w:val="24"/>
          <w:szCs w:val="24"/>
          <w:lang w:val="en-US"/>
        </w:rPr>
        <w:t>uestion</w:t>
      </w:r>
      <w:r w:rsidRPr="00AF4D46">
        <w:rPr>
          <w:rFonts w:ascii="Times New Roman" w:hAnsi="Times New Roman" w:cs="Times New Roman"/>
          <w:b/>
          <w:sz w:val="24"/>
          <w:szCs w:val="24"/>
          <w:lang w:val="en-US"/>
        </w:rPr>
        <w:t xml:space="preserve">: </w:t>
      </w:r>
      <w:r w:rsidR="00D6577F" w:rsidRPr="00AF4D46">
        <w:rPr>
          <w:rFonts w:ascii="Times New Roman" w:hAnsi="Times New Roman" w:cs="Times New Roman"/>
          <w:b/>
          <w:sz w:val="24"/>
          <w:szCs w:val="24"/>
          <w:lang w:val="en-US"/>
        </w:rPr>
        <w:br/>
      </w:r>
      <w:r w:rsidR="000A76A3" w:rsidRPr="00AF4D46">
        <w:rPr>
          <w:rFonts w:ascii="Times New Roman" w:hAnsi="Times New Roman" w:cs="Times New Roman"/>
          <w:b/>
          <w:sz w:val="24"/>
          <w:szCs w:val="24"/>
        </w:rPr>
        <w:t xml:space="preserve">Is there an effect of </w:t>
      </w:r>
      <w:r w:rsidR="00AF4D46" w:rsidRPr="00AF4D46">
        <w:rPr>
          <w:rFonts w:ascii="Times New Roman" w:hAnsi="Times New Roman" w:cs="Times New Roman"/>
          <w:b/>
          <w:sz w:val="24"/>
          <w:szCs w:val="24"/>
        </w:rPr>
        <w:t xml:space="preserve">sanctions against Russia following the Crimea conflict on </w:t>
      </w:r>
      <w:r w:rsidR="000A76A3" w:rsidRPr="00AF4D46">
        <w:rPr>
          <w:rFonts w:ascii="Times New Roman" w:hAnsi="Times New Roman" w:cs="Times New Roman"/>
          <w:b/>
          <w:sz w:val="24"/>
          <w:szCs w:val="24"/>
        </w:rPr>
        <w:t xml:space="preserve">the stock price of firms </w:t>
      </w:r>
      <w:r w:rsidR="00AF4D46" w:rsidRPr="00AF4D46">
        <w:rPr>
          <w:rFonts w:ascii="Times New Roman" w:hAnsi="Times New Roman" w:cs="Times New Roman"/>
          <w:b/>
          <w:sz w:val="24"/>
          <w:szCs w:val="24"/>
        </w:rPr>
        <w:t xml:space="preserve">listed </w:t>
      </w:r>
      <w:r w:rsidR="000A76A3" w:rsidRPr="00AF4D46">
        <w:rPr>
          <w:rFonts w:ascii="Times New Roman" w:hAnsi="Times New Roman" w:cs="Times New Roman"/>
          <w:b/>
          <w:sz w:val="24"/>
          <w:szCs w:val="24"/>
        </w:rPr>
        <w:t xml:space="preserve">at the Russian </w:t>
      </w:r>
      <w:r w:rsidR="00F25C85" w:rsidRPr="00AF4D46">
        <w:rPr>
          <w:rFonts w:ascii="Times New Roman" w:hAnsi="Times New Roman" w:cs="Times New Roman"/>
          <w:b/>
          <w:sz w:val="24"/>
          <w:szCs w:val="24"/>
        </w:rPr>
        <w:t>stock exchange</w:t>
      </w:r>
      <w:r w:rsidR="00F627A5" w:rsidRPr="00AF4D46">
        <w:rPr>
          <w:rFonts w:ascii="Times New Roman" w:hAnsi="Times New Roman" w:cs="Times New Roman"/>
          <w:b/>
          <w:sz w:val="24"/>
          <w:szCs w:val="24"/>
        </w:rPr>
        <w:t xml:space="preserve"> in the period 2014-2018?</w:t>
      </w:r>
    </w:p>
    <w:p w:rsidR="00D6577F" w:rsidRDefault="00631906" w:rsidP="00AF4D46">
      <w:pPr>
        <w:pStyle w:val="BodyText"/>
        <w:spacing w:line="360" w:lineRule="auto"/>
        <w:ind w:firstLine="720"/>
        <w:rPr>
          <w:rFonts w:ascii="Times New Roman" w:hAnsi="Times New Roman" w:cs="Times New Roman"/>
          <w:sz w:val="24"/>
          <w:szCs w:val="24"/>
        </w:rPr>
      </w:pPr>
      <w:r w:rsidRPr="00631906">
        <w:rPr>
          <w:rFonts w:ascii="Times New Roman" w:hAnsi="Times New Roman" w:cs="Times New Roman"/>
          <w:sz w:val="24"/>
          <w:szCs w:val="24"/>
        </w:rPr>
        <w:t xml:space="preserve">Various </w:t>
      </w:r>
      <w:r>
        <w:rPr>
          <w:rFonts w:ascii="Times New Roman" w:hAnsi="Times New Roman" w:cs="Times New Roman"/>
          <w:sz w:val="24"/>
          <w:szCs w:val="24"/>
        </w:rPr>
        <w:t>studies have assessed the Russian economy in the aftermath of imposed sanctions</w:t>
      </w:r>
      <w:r w:rsidR="00E937C8">
        <w:rPr>
          <w:rFonts w:ascii="Times New Roman" w:hAnsi="Times New Roman" w:cs="Times New Roman"/>
          <w:sz w:val="24"/>
          <w:szCs w:val="24"/>
        </w:rPr>
        <w:t xml:space="preserve"> </w:t>
      </w:r>
      <w:sdt>
        <w:sdtPr>
          <w:rPr>
            <w:rFonts w:ascii="Times New Roman" w:hAnsi="Times New Roman" w:cs="Times New Roman"/>
            <w:sz w:val="24"/>
            <w:szCs w:val="24"/>
          </w:rPr>
          <w:id w:val="1596051430"/>
          <w:citation/>
        </w:sdtPr>
        <w:sdtEndPr/>
        <w:sdtContent>
          <w:r w:rsidR="00E937C8">
            <w:rPr>
              <w:rFonts w:ascii="Times New Roman" w:hAnsi="Times New Roman" w:cs="Times New Roman"/>
              <w:sz w:val="24"/>
              <w:szCs w:val="24"/>
            </w:rPr>
            <w:fldChar w:fldCharType="begin"/>
          </w:r>
          <w:r w:rsidR="00E937C8">
            <w:rPr>
              <w:rFonts w:ascii="Times New Roman" w:hAnsi="Times New Roman" w:cs="Times New Roman"/>
              <w:sz w:val="24"/>
              <w:szCs w:val="24"/>
              <w:lang w:val="en-US"/>
            </w:rPr>
            <w:instrText xml:space="preserve"> CITATION Dre14 \l 1033 </w:instrText>
          </w:r>
          <w:r w:rsidR="00E937C8">
            <w:rPr>
              <w:rFonts w:ascii="Times New Roman" w:hAnsi="Times New Roman" w:cs="Times New Roman"/>
              <w:sz w:val="24"/>
              <w:szCs w:val="24"/>
            </w:rPr>
            <w:fldChar w:fldCharType="separate"/>
          </w:r>
          <w:r w:rsidR="00AE6A31" w:rsidRPr="00AE6A31">
            <w:rPr>
              <w:rFonts w:ascii="Times New Roman" w:hAnsi="Times New Roman" w:cs="Times New Roman"/>
              <w:noProof/>
              <w:sz w:val="24"/>
              <w:szCs w:val="24"/>
              <w:lang w:val="en-US"/>
            </w:rPr>
            <w:t>(Dreyer &amp; Popescu, 2014)</w:t>
          </w:r>
          <w:r w:rsidR="00E937C8">
            <w:rPr>
              <w:rFonts w:ascii="Times New Roman" w:hAnsi="Times New Roman" w:cs="Times New Roman"/>
              <w:sz w:val="24"/>
              <w:szCs w:val="24"/>
            </w:rPr>
            <w:fldChar w:fldCharType="end"/>
          </w:r>
        </w:sdtContent>
      </w:sdt>
      <w:sdt>
        <w:sdtPr>
          <w:rPr>
            <w:rFonts w:ascii="Times New Roman" w:hAnsi="Times New Roman" w:cs="Times New Roman"/>
            <w:sz w:val="24"/>
            <w:szCs w:val="24"/>
          </w:rPr>
          <w:id w:val="-1654123957"/>
          <w:citation/>
        </w:sdtPr>
        <w:sdtEndPr/>
        <w:sdtContent>
          <w:r w:rsidR="00E937C8">
            <w:rPr>
              <w:rFonts w:ascii="Times New Roman" w:hAnsi="Times New Roman" w:cs="Times New Roman"/>
              <w:sz w:val="24"/>
              <w:szCs w:val="24"/>
            </w:rPr>
            <w:fldChar w:fldCharType="begin"/>
          </w:r>
          <w:r w:rsidR="00E937C8">
            <w:rPr>
              <w:rFonts w:ascii="Times New Roman" w:hAnsi="Times New Roman" w:cs="Times New Roman"/>
              <w:sz w:val="24"/>
              <w:szCs w:val="24"/>
              <w:lang w:val="en-US"/>
            </w:rPr>
            <w:instrText xml:space="preserve"> CITATION Kon18 \l 1033 </w:instrText>
          </w:r>
          <w:r w:rsidR="00E937C8">
            <w:rPr>
              <w:rFonts w:ascii="Times New Roman" w:hAnsi="Times New Roman" w:cs="Times New Roman"/>
              <w:sz w:val="24"/>
              <w:szCs w:val="24"/>
            </w:rPr>
            <w:fldChar w:fldCharType="separate"/>
          </w:r>
          <w:r w:rsidR="00AE6A31">
            <w:rPr>
              <w:rFonts w:ascii="Times New Roman" w:hAnsi="Times New Roman" w:cs="Times New Roman"/>
              <w:noProof/>
              <w:sz w:val="24"/>
              <w:szCs w:val="24"/>
              <w:lang w:val="en-US"/>
            </w:rPr>
            <w:t xml:space="preserve"> </w:t>
          </w:r>
          <w:r w:rsidR="00AE6A31" w:rsidRPr="00AE6A31">
            <w:rPr>
              <w:rFonts w:ascii="Times New Roman" w:hAnsi="Times New Roman" w:cs="Times New Roman"/>
              <w:noProof/>
              <w:sz w:val="24"/>
              <w:szCs w:val="24"/>
              <w:lang w:val="en-US"/>
            </w:rPr>
            <w:t>(Konstatin, Kholodilin, &amp; Netsunayev, 2018)</w:t>
          </w:r>
          <w:r w:rsidR="00E937C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However, the majority of those studies have focused on the analysis of sanctions and correlation of the Russian stock market with the market of other countries. </w:t>
      </w:r>
      <w:r w:rsidR="00814342">
        <w:rPr>
          <w:rFonts w:ascii="Times New Roman" w:hAnsi="Times New Roman" w:cs="Times New Roman"/>
          <w:sz w:val="24"/>
          <w:szCs w:val="24"/>
        </w:rPr>
        <w:t xml:space="preserve">Gurvich and Prilepskiy (2015) states that less than designed impact of sanctions is associated with the soft nature of those sanctions on financial institutions. </w:t>
      </w:r>
      <w:r w:rsidR="000B40F0">
        <w:rPr>
          <w:rFonts w:ascii="Times New Roman" w:hAnsi="Times New Roman" w:cs="Times New Roman"/>
          <w:sz w:val="24"/>
          <w:szCs w:val="24"/>
        </w:rPr>
        <w:t xml:space="preserve">In another study, Nivorozhkin and Castagneto-Gissey (2016) found that in aftermath of sanctions the Russian stock market performance exhibited unique growth path uncorrelated with other stock market performance. </w:t>
      </w:r>
    </w:p>
    <w:p w:rsidR="00C21A3E" w:rsidRDefault="00C21A3E" w:rsidP="000E4DCA">
      <w:pPr>
        <w:pStyle w:val="BodyText"/>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this </w:t>
      </w:r>
      <w:r w:rsidR="007E3145">
        <w:rPr>
          <w:rFonts w:ascii="Times New Roman" w:hAnsi="Times New Roman" w:cs="Times New Roman"/>
          <w:sz w:val="24"/>
          <w:szCs w:val="24"/>
        </w:rPr>
        <w:t>paper,</w:t>
      </w:r>
      <w:r>
        <w:rPr>
          <w:rFonts w:ascii="Times New Roman" w:hAnsi="Times New Roman" w:cs="Times New Roman"/>
          <w:sz w:val="24"/>
          <w:szCs w:val="24"/>
        </w:rPr>
        <w:t xml:space="preserve"> I assess whether the sanctions imposed by foreign countries had impact on the Russian stock exchange. </w:t>
      </w:r>
      <w:r w:rsidR="00321C67">
        <w:rPr>
          <w:rFonts w:ascii="Times New Roman" w:hAnsi="Times New Roman" w:cs="Times New Roman"/>
          <w:sz w:val="24"/>
          <w:szCs w:val="24"/>
        </w:rPr>
        <w:t xml:space="preserve">I assess the performance of </w:t>
      </w:r>
      <w:r w:rsidR="0081216A">
        <w:rPr>
          <w:rFonts w:ascii="Times New Roman" w:hAnsi="Times New Roman" w:cs="Times New Roman"/>
          <w:sz w:val="24"/>
          <w:szCs w:val="24"/>
        </w:rPr>
        <w:t xml:space="preserve">the 10 most liquid stocks </w:t>
      </w:r>
      <w:r w:rsidR="000E4DCA">
        <w:rPr>
          <w:rFonts w:ascii="Times New Roman" w:hAnsi="Times New Roman" w:cs="Times New Roman"/>
          <w:sz w:val="24"/>
          <w:szCs w:val="24"/>
        </w:rPr>
        <w:t>in the Russian stock market (</w:t>
      </w:r>
      <w:r w:rsidR="00321C67">
        <w:rPr>
          <w:rFonts w:ascii="Times New Roman" w:hAnsi="Times New Roman" w:cs="Times New Roman"/>
          <w:sz w:val="24"/>
          <w:szCs w:val="24"/>
        </w:rPr>
        <w:t>M</w:t>
      </w:r>
      <w:r w:rsidR="006D4068">
        <w:rPr>
          <w:rFonts w:ascii="Times New Roman" w:hAnsi="Times New Roman" w:cs="Times New Roman"/>
          <w:sz w:val="24"/>
          <w:szCs w:val="24"/>
        </w:rPr>
        <w:t>ICE</w:t>
      </w:r>
      <w:r w:rsidR="00321C67">
        <w:rPr>
          <w:rFonts w:ascii="Times New Roman" w:hAnsi="Times New Roman" w:cs="Times New Roman"/>
          <w:sz w:val="24"/>
          <w:szCs w:val="24"/>
        </w:rPr>
        <w:t xml:space="preserve">X </w:t>
      </w:r>
      <w:r w:rsidR="000E4DCA">
        <w:rPr>
          <w:rFonts w:ascii="Times New Roman" w:hAnsi="Times New Roman" w:cs="Times New Roman"/>
          <w:sz w:val="24"/>
          <w:szCs w:val="24"/>
        </w:rPr>
        <w:t xml:space="preserve">10 constituents) </w:t>
      </w:r>
      <w:r w:rsidR="00321C67">
        <w:rPr>
          <w:rFonts w:ascii="Times New Roman" w:hAnsi="Times New Roman" w:cs="Times New Roman"/>
          <w:sz w:val="24"/>
          <w:szCs w:val="24"/>
        </w:rPr>
        <w:t xml:space="preserve">in the aftermath of annexation of Crimea peninsula </w:t>
      </w:r>
      <w:r w:rsidR="007E3145">
        <w:rPr>
          <w:rFonts w:ascii="Times New Roman" w:hAnsi="Times New Roman" w:cs="Times New Roman"/>
          <w:sz w:val="24"/>
          <w:szCs w:val="24"/>
        </w:rPr>
        <w:t>until</w:t>
      </w:r>
      <w:r w:rsidR="00321C67">
        <w:rPr>
          <w:rFonts w:ascii="Times New Roman" w:hAnsi="Times New Roman" w:cs="Times New Roman"/>
          <w:sz w:val="24"/>
          <w:szCs w:val="24"/>
        </w:rPr>
        <w:t xml:space="preserve"> 2018. I believe that sanctions imposed by the foreign countries </w:t>
      </w:r>
      <w:r w:rsidR="00EE79DF">
        <w:rPr>
          <w:rFonts w:ascii="Times New Roman" w:hAnsi="Times New Roman" w:cs="Times New Roman"/>
          <w:sz w:val="24"/>
          <w:szCs w:val="24"/>
        </w:rPr>
        <w:t xml:space="preserve">did not have impact, since </w:t>
      </w:r>
      <w:r w:rsidR="000E4DCA">
        <w:rPr>
          <w:rFonts w:ascii="Times New Roman" w:hAnsi="Times New Roman" w:cs="Times New Roman"/>
          <w:sz w:val="24"/>
          <w:szCs w:val="24"/>
        </w:rPr>
        <w:t>sanctions carried soft nature tow</w:t>
      </w:r>
      <w:r w:rsidR="007B360C">
        <w:rPr>
          <w:rFonts w:ascii="Times New Roman" w:hAnsi="Times New Roman" w:cs="Times New Roman"/>
          <w:sz w:val="24"/>
          <w:szCs w:val="24"/>
        </w:rPr>
        <w:t xml:space="preserve">ards the oil and gas companies, which are the major driving force behind Russian economy. </w:t>
      </w:r>
    </w:p>
    <w:p w:rsidR="006D4068" w:rsidRDefault="006D4068" w:rsidP="007B360C">
      <w:pPr>
        <w:pStyle w:val="BodyText"/>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Based on the obtained regression coefficients, the sanctions imposed by the United States and European Union had negative impact on </w:t>
      </w:r>
      <w:r w:rsidR="007B360C">
        <w:rPr>
          <w:rFonts w:ascii="Times New Roman" w:hAnsi="Times New Roman" w:cs="Times New Roman"/>
          <w:sz w:val="24"/>
          <w:szCs w:val="24"/>
        </w:rPr>
        <w:t>stock performance</w:t>
      </w:r>
      <w:r>
        <w:rPr>
          <w:rFonts w:ascii="Times New Roman" w:hAnsi="Times New Roman" w:cs="Times New Roman"/>
          <w:sz w:val="24"/>
          <w:szCs w:val="24"/>
        </w:rPr>
        <w:t xml:space="preserve">. </w:t>
      </w:r>
      <w:r w:rsidR="007B360C">
        <w:rPr>
          <w:rFonts w:ascii="Times New Roman" w:hAnsi="Times New Roman" w:cs="Times New Roman"/>
          <w:sz w:val="24"/>
          <w:szCs w:val="24"/>
        </w:rPr>
        <w:t>However, the analysis of performance of oil and gas companies, showed that sanctions had insignificant impact on a stock price of oil and gas companies. Nevertheless, d</w:t>
      </w:r>
      <w:r>
        <w:rPr>
          <w:rFonts w:ascii="Times New Roman" w:hAnsi="Times New Roman" w:cs="Times New Roman"/>
          <w:sz w:val="24"/>
          <w:szCs w:val="24"/>
        </w:rPr>
        <w:t xml:space="preserve">espite the fact that stock prices have been on a rise since 2014, the sanctions imposed by the US and EU have impeded the growth of those stocks. </w:t>
      </w:r>
    </w:p>
    <w:p w:rsidR="00AF4D46" w:rsidRPr="00631906" w:rsidRDefault="00AF4D46" w:rsidP="001C01C5">
      <w:pPr>
        <w:pStyle w:val="BodyText"/>
        <w:spacing w:line="360" w:lineRule="auto"/>
        <w:rPr>
          <w:rFonts w:ascii="Times New Roman" w:hAnsi="Times New Roman" w:cs="Times New Roman"/>
          <w:sz w:val="24"/>
          <w:szCs w:val="24"/>
          <w:lang w:val="en-US"/>
        </w:rPr>
      </w:pPr>
    </w:p>
    <w:p w:rsidR="00DC6886" w:rsidRDefault="00DC6886" w:rsidP="00DC6886">
      <w:pPr>
        <w:pStyle w:val="BodyText"/>
        <w:rPr>
          <w:lang w:val="en-US"/>
        </w:rPr>
      </w:pPr>
    </w:p>
    <w:p w:rsidR="00F94D05" w:rsidRDefault="00F94D05" w:rsidP="00DC6886">
      <w:pPr>
        <w:pStyle w:val="BodyText"/>
        <w:rPr>
          <w:lang w:val="en-US"/>
        </w:rPr>
      </w:pPr>
    </w:p>
    <w:p w:rsidR="00F94D05" w:rsidRDefault="00F94D05" w:rsidP="00DC6886">
      <w:pPr>
        <w:pStyle w:val="BodyText"/>
        <w:rPr>
          <w:lang w:val="en-US"/>
        </w:rPr>
      </w:pPr>
    </w:p>
    <w:p w:rsidR="00F94D05" w:rsidRDefault="00F94D05" w:rsidP="00DC6886">
      <w:pPr>
        <w:pStyle w:val="BodyText"/>
        <w:rPr>
          <w:lang w:val="en-US"/>
        </w:rPr>
      </w:pPr>
    </w:p>
    <w:p w:rsidR="00F94D05" w:rsidRDefault="00F94D05" w:rsidP="00DC6886">
      <w:pPr>
        <w:pStyle w:val="BodyText"/>
        <w:rPr>
          <w:lang w:val="en-US"/>
        </w:rPr>
      </w:pPr>
    </w:p>
    <w:p w:rsidR="00F94D05" w:rsidRDefault="00F94D05" w:rsidP="00DC6886">
      <w:pPr>
        <w:pStyle w:val="BodyText"/>
        <w:rPr>
          <w:lang w:val="en-US"/>
        </w:rPr>
        <w:sectPr w:rsidR="00F94D05" w:rsidSect="00A0419D">
          <w:pgSz w:w="11906" w:h="16838" w:code="9"/>
          <w:pgMar w:top="1474" w:right="1021" w:bottom="1474" w:left="1021" w:header="567" w:footer="567" w:gutter="0"/>
          <w:cols w:space="708"/>
          <w:docGrid w:linePitch="360"/>
        </w:sectPr>
      </w:pPr>
    </w:p>
    <w:p w:rsidR="00FE3FB6" w:rsidRDefault="007F5D27" w:rsidP="007F5D27">
      <w:pPr>
        <w:pStyle w:val="Heading1"/>
        <w:numPr>
          <w:ilvl w:val="0"/>
          <w:numId w:val="0"/>
        </w:numPr>
        <w:spacing w:line="360" w:lineRule="auto"/>
        <w:ind w:left="567" w:hanging="567"/>
        <w:rPr>
          <w:rFonts w:ascii="Times New Roman" w:hAnsi="Times New Roman" w:cs="Times New Roman"/>
          <w:i w:val="0"/>
          <w:lang w:val="en-US"/>
        </w:rPr>
      </w:pPr>
      <w:bookmarkStart w:id="3" w:name="_Toc15473244"/>
      <w:r>
        <w:rPr>
          <w:rFonts w:ascii="Times New Roman" w:hAnsi="Times New Roman" w:cs="Times New Roman"/>
          <w:i w:val="0"/>
          <w:lang w:val="en-US"/>
        </w:rPr>
        <w:lastRenderedPageBreak/>
        <w:t xml:space="preserve">Chapter 2. </w:t>
      </w:r>
      <w:r w:rsidR="00B81608" w:rsidRPr="00B81608">
        <w:rPr>
          <w:rFonts w:ascii="Times New Roman" w:hAnsi="Times New Roman" w:cs="Times New Roman"/>
          <w:i w:val="0"/>
          <w:lang w:val="en-US"/>
        </w:rPr>
        <w:t>Literature Review</w:t>
      </w:r>
      <w:bookmarkEnd w:id="3"/>
    </w:p>
    <w:p w:rsidR="00B81608" w:rsidRDefault="00B75850" w:rsidP="008B1B6B">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R</w:t>
      </w:r>
      <w:r w:rsidR="00D87A84">
        <w:rPr>
          <w:rFonts w:ascii="Times New Roman" w:hAnsi="Times New Roman" w:cs="Times New Roman"/>
          <w:sz w:val="24"/>
          <w:szCs w:val="24"/>
          <w:lang w:val="en-US"/>
        </w:rPr>
        <w:t>ecently, scholars have focused the attention on impact of military</w:t>
      </w:r>
      <w:r w:rsidR="00D0689F">
        <w:rPr>
          <w:rFonts w:ascii="Times New Roman" w:hAnsi="Times New Roman" w:cs="Times New Roman"/>
          <w:sz w:val="24"/>
          <w:szCs w:val="24"/>
          <w:lang w:val="en-US"/>
        </w:rPr>
        <w:t xml:space="preserve"> / political</w:t>
      </w:r>
      <w:r w:rsidR="00D87A84">
        <w:rPr>
          <w:rFonts w:ascii="Times New Roman" w:hAnsi="Times New Roman" w:cs="Times New Roman"/>
          <w:sz w:val="24"/>
          <w:szCs w:val="24"/>
          <w:lang w:val="en-US"/>
        </w:rPr>
        <w:t xml:space="preserve"> conflicts on stock performance </w:t>
      </w:r>
      <w:sdt>
        <w:sdtPr>
          <w:rPr>
            <w:rFonts w:ascii="Times New Roman" w:hAnsi="Times New Roman" w:cs="Times New Roman"/>
            <w:sz w:val="24"/>
            <w:szCs w:val="24"/>
            <w:lang w:val="en-US"/>
          </w:rPr>
          <w:id w:val="-366984136"/>
          <w:citation/>
        </w:sdtPr>
        <w:sdtEndPr/>
        <w:sdtContent>
          <w:r w:rsidR="00D87A84">
            <w:rPr>
              <w:rFonts w:ascii="Times New Roman" w:hAnsi="Times New Roman" w:cs="Times New Roman"/>
              <w:sz w:val="24"/>
              <w:szCs w:val="24"/>
              <w:lang w:val="en-US"/>
            </w:rPr>
            <w:fldChar w:fldCharType="begin"/>
          </w:r>
          <w:r w:rsidR="00D87A84">
            <w:rPr>
              <w:rFonts w:ascii="Times New Roman" w:hAnsi="Times New Roman" w:cs="Times New Roman"/>
              <w:sz w:val="24"/>
              <w:szCs w:val="24"/>
              <w:lang w:val="en-US"/>
            </w:rPr>
            <w:instrText xml:space="preserve"> CITATION Bru15 \l 1033 </w:instrText>
          </w:r>
          <w:r w:rsidR="00D87A84">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(Brune, Hens, Rieger, &amp; Wang, 2015)</w:t>
          </w:r>
          <w:r w:rsidR="00D87A84">
            <w:rPr>
              <w:rFonts w:ascii="Times New Roman" w:hAnsi="Times New Roman" w:cs="Times New Roman"/>
              <w:sz w:val="24"/>
              <w:szCs w:val="24"/>
              <w:lang w:val="en-US"/>
            </w:rPr>
            <w:fldChar w:fldCharType="end"/>
          </w:r>
        </w:sdtContent>
      </w:sdt>
      <w:r w:rsidR="00D87A84">
        <w:rPr>
          <w:rFonts w:ascii="Times New Roman" w:hAnsi="Times New Roman" w:cs="Times New Roman"/>
          <w:sz w:val="24"/>
          <w:szCs w:val="24"/>
          <w:lang w:val="en-US"/>
        </w:rPr>
        <w:t>.</w:t>
      </w:r>
      <w:r w:rsidR="00F60216">
        <w:rPr>
          <w:rFonts w:ascii="Times New Roman" w:hAnsi="Times New Roman" w:cs="Times New Roman"/>
          <w:sz w:val="24"/>
          <w:szCs w:val="24"/>
          <w:lang w:val="en-US"/>
        </w:rPr>
        <w:t xml:space="preserve"> Depending on the military</w:t>
      </w:r>
      <w:r w:rsidR="00D0689F">
        <w:rPr>
          <w:rFonts w:ascii="Times New Roman" w:hAnsi="Times New Roman" w:cs="Times New Roman"/>
          <w:sz w:val="24"/>
          <w:szCs w:val="24"/>
          <w:lang w:val="en-US"/>
        </w:rPr>
        <w:t xml:space="preserve"> </w:t>
      </w:r>
      <w:r w:rsidR="00931257">
        <w:rPr>
          <w:rFonts w:ascii="Times New Roman" w:hAnsi="Times New Roman" w:cs="Times New Roman"/>
          <w:sz w:val="24"/>
          <w:szCs w:val="24"/>
          <w:lang w:val="en-US"/>
        </w:rPr>
        <w:t>/</w:t>
      </w:r>
      <w:r w:rsidR="00D0689F">
        <w:rPr>
          <w:rFonts w:ascii="Times New Roman" w:hAnsi="Times New Roman" w:cs="Times New Roman"/>
          <w:sz w:val="24"/>
          <w:szCs w:val="24"/>
          <w:lang w:val="en-US"/>
        </w:rPr>
        <w:t xml:space="preserve"> </w:t>
      </w:r>
      <w:r w:rsidR="00931257">
        <w:rPr>
          <w:rFonts w:ascii="Times New Roman" w:hAnsi="Times New Roman" w:cs="Times New Roman"/>
          <w:sz w:val="24"/>
          <w:szCs w:val="24"/>
          <w:lang w:val="en-US"/>
        </w:rPr>
        <w:t>political</w:t>
      </w:r>
      <w:r w:rsidR="00F60216">
        <w:rPr>
          <w:rFonts w:ascii="Times New Roman" w:hAnsi="Times New Roman" w:cs="Times New Roman"/>
          <w:sz w:val="24"/>
          <w:szCs w:val="24"/>
          <w:lang w:val="en-US"/>
        </w:rPr>
        <w:t xml:space="preserve"> conflict, </w:t>
      </w:r>
      <w:r w:rsidR="00DC6295">
        <w:rPr>
          <w:rFonts w:ascii="Times New Roman" w:hAnsi="Times New Roman" w:cs="Times New Roman"/>
          <w:sz w:val="24"/>
          <w:szCs w:val="24"/>
          <w:lang w:val="en-US"/>
        </w:rPr>
        <w:t xml:space="preserve">scholars discovered </w:t>
      </w:r>
      <w:r w:rsidR="00F60216">
        <w:rPr>
          <w:rFonts w:ascii="Times New Roman" w:hAnsi="Times New Roman" w:cs="Times New Roman"/>
          <w:sz w:val="24"/>
          <w:szCs w:val="24"/>
          <w:lang w:val="en-US"/>
        </w:rPr>
        <w:t>contradicting results. In some instances, the involvement in military</w:t>
      </w:r>
      <w:r w:rsidR="00D0689F">
        <w:rPr>
          <w:rFonts w:ascii="Times New Roman" w:hAnsi="Times New Roman" w:cs="Times New Roman"/>
          <w:sz w:val="24"/>
          <w:szCs w:val="24"/>
          <w:lang w:val="en-US"/>
        </w:rPr>
        <w:t xml:space="preserve"> / political</w:t>
      </w:r>
      <w:r w:rsidR="00F60216">
        <w:rPr>
          <w:rFonts w:ascii="Times New Roman" w:hAnsi="Times New Roman" w:cs="Times New Roman"/>
          <w:sz w:val="24"/>
          <w:szCs w:val="24"/>
          <w:lang w:val="en-US"/>
        </w:rPr>
        <w:t xml:space="preserve"> conflict has led to </w:t>
      </w:r>
      <w:r w:rsidR="00DC6295">
        <w:rPr>
          <w:rFonts w:ascii="Times New Roman" w:hAnsi="Times New Roman" w:cs="Times New Roman"/>
          <w:sz w:val="24"/>
          <w:szCs w:val="24"/>
          <w:lang w:val="en-US"/>
        </w:rPr>
        <w:t xml:space="preserve">an </w:t>
      </w:r>
      <w:r w:rsidR="00F60216">
        <w:rPr>
          <w:rFonts w:ascii="Times New Roman" w:hAnsi="Times New Roman" w:cs="Times New Roman"/>
          <w:sz w:val="24"/>
          <w:szCs w:val="24"/>
          <w:lang w:val="en-US"/>
        </w:rPr>
        <w:t>increase in stock price</w:t>
      </w:r>
      <w:r w:rsidR="00DC6295">
        <w:rPr>
          <w:rFonts w:ascii="Times New Roman" w:hAnsi="Times New Roman" w:cs="Times New Roman"/>
          <w:sz w:val="24"/>
          <w:szCs w:val="24"/>
          <w:lang w:val="en-US"/>
        </w:rPr>
        <w:t>s</w:t>
      </w:r>
      <w:r w:rsidR="00F60216">
        <w:rPr>
          <w:rFonts w:ascii="Times New Roman" w:hAnsi="Times New Roman" w:cs="Times New Roman"/>
          <w:sz w:val="24"/>
          <w:szCs w:val="24"/>
          <w:lang w:val="en-US"/>
        </w:rPr>
        <w:t xml:space="preserve">, while in others outbreak of war has resulted in </w:t>
      </w:r>
      <w:r w:rsidR="00DC6295">
        <w:rPr>
          <w:rFonts w:ascii="Times New Roman" w:hAnsi="Times New Roman" w:cs="Times New Roman"/>
          <w:sz w:val="24"/>
          <w:szCs w:val="24"/>
          <w:lang w:val="en-US"/>
        </w:rPr>
        <w:t xml:space="preserve">a </w:t>
      </w:r>
      <w:r w:rsidR="00F60216">
        <w:rPr>
          <w:rFonts w:ascii="Times New Roman" w:hAnsi="Times New Roman" w:cs="Times New Roman"/>
          <w:sz w:val="24"/>
          <w:szCs w:val="24"/>
          <w:lang w:val="en-US"/>
        </w:rPr>
        <w:t xml:space="preserve">decline in stock prices </w:t>
      </w:r>
      <w:sdt>
        <w:sdtPr>
          <w:rPr>
            <w:rFonts w:ascii="Times New Roman" w:hAnsi="Times New Roman" w:cs="Times New Roman"/>
            <w:sz w:val="24"/>
            <w:szCs w:val="24"/>
            <w:lang w:val="en-US"/>
          </w:rPr>
          <w:id w:val="-1998712645"/>
          <w:citation/>
        </w:sdtPr>
        <w:sdtEndPr/>
        <w:sdtContent>
          <w:r w:rsidR="00F60216">
            <w:rPr>
              <w:rFonts w:ascii="Times New Roman" w:hAnsi="Times New Roman" w:cs="Times New Roman"/>
              <w:sz w:val="24"/>
              <w:szCs w:val="24"/>
              <w:lang w:val="en-US"/>
            </w:rPr>
            <w:fldChar w:fldCharType="begin"/>
          </w:r>
          <w:r w:rsidR="00F60216">
            <w:rPr>
              <w:rFonts w:ascii="Times New Roman" w:hAnsi="Times New Roman" w:cs="Times New Roman"/>
              <w:sz w:val="24"/>
              <w:szCs w:val="24"/>
              <w:lang w:val="en-US"/>
            </w:rPr>
            <w:instrText xml:space="preserve"> CITATION Sch06 \l 1033 </w:instrText>
          </w:r>
          <w:r w:rsidR="00F60216">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(Schneider &amp; Troeger, 2006)</w:t>
          </w:r>
          <w:r w:rsidR="00F60216">
            <w:rPr>
              <w:rFonts w:ascii="Times New Roman" w:hAnsi="Times New Roman" w:cs="Times New Roman"/>
              <w:sz w:val="24"/>
              <w:szCs w:val="24"/>
              <w:lang w:val="en-US"/>
            </w:rPr>
            <w:fldChar w:fldCharType="end"/>
          </w:r>
        </w:sdtContent>
      </w:sdt>
      <w:r w:rsidR="00F60216">
        <w:rPr>
          <w:rFonts w:ascii="Times New Roman" w:hAnsi="Times New Roman" w:cs="Times New Roman"/>
          <w:sz w:val="24"/>
          <w:szCs w:val="24"/>
          <w:lang w:val="en-US"/>
        </w:rPr>
        <w:t xml:space="preserve">. </w:t>
      </w:r>
      <w:r w:rsidR="00F715AC">
        <w:rPr>
          <w:rFonts w:ascii="Times New Roman" w:hAnsi="Times New Roman" w:cs="Times New Roman"/>
          <w:sz w:val="24"/>
          <w:szCs w:val="24"/>
          <w:lang w:val="en-US"/>
        </w:rPr>
        <w:t xml:space="preserve">Despite significant amount of </w:t>
      </w:r>
      <w:r w:rsidR="003C6F13">
        <w:rPr>
          <w:rFonts w:ascii="Times New Roman" w:hAnsi="Times New Roman" w:cs="Times New Roman"/>
          <w:sz w:val="24"/>
          <w:szCs w:val="24"/>
          <w:lang w:val="en-US"/>
        </w:rPr>
        <w:t>research,</w:t>
      </w:r>
      <w:r w:rsidR="00F715AC">
        <w:rPr>
          <w:rFonts w:ascii="Times New Roman" w:hAnsi="Times New Roman" w:cs="Times New Roman"/>
          <w:sz w:val="24"/>
          <w:szCs w:val="24"/>
          <w:lang w:val="en-US"/>
        </w:rPr>
        <w:t xml:space="preserve"> there is no consensus on the impact of military </w:t>
      </w:r>
      <w:r w:rsidR="00D0689F">
        <w:rPr>
          <w:rFonts w:ascii="Times New Roman" w:hAnsi="Times New Roman" w:cs="Times New Roman"/>
          <w:sz w:val="24"/>
          <w:szCs w:val="24"/>
          <w:lang w:val="en-US"/>
        </w:rPr>
        <w:t xml:space="preserve">/ political </w:t>
      </w:r>
      <w:r w:rsidR="00F715AC">
        <w:rPr>
          <w:rFonts w:ascii="Times New Roman" w:hAnsi="Times New Roman" w:cs="Times New Roman"/>
          <w:sz w:val="24"/>
          <w:szCs w:val="24"/>
          <w:lang w:val="en-US"/>
        </w:rPr>
        <w:t xml:space="preserve">conflict on stock performance. </w:t>
      </w:r>
    </w:p>
    <w:p w:rsidR="00E93BF0" w:rsidRDefault="00E93BF0" w:rsidP="00E93BF0">
      <w:pPr>
        <w:pStyle w:val="BodyText"/>
        <w:spacing w:line="360" w:lineRule="auto"/>
        <w:ind w:firstLine="680"/>
        <w:jc w:val="both"/>
        <w:rPr>
          <w:rFonts w:ascii="Times New Roman" w:hAnsi="Times New Roman" w:cs="Times New Roman"/>
          <w:sz w:val="24"/>
          <w:szCs w:val="24"/>
          <w:lang w:val="en-US"/>
        </w:rPr>
      </w:pPr>
      <w:r w:rsidRPr="00C41255">
        <w:rPr>
          <w:rFonts w:ascii="Times New Roman" w:hAnsi="Times New Roman" w:cs="Times New Roman"/>
          <w:sz w:val="24"/>
          <w:szCs w:val="24"/>
          <w:lang w:val="en-US"/>
        </w:rPr>
        <w:t xml:space="preserve">The importance of the political stability on the economic </w:t>
      </w:r>
      <w:r w:rsidR="00D0689F">
        <w:rPr>
          <w:rFonts w:ascii="Times New Roman" w:hAnsi="Times New Roman" w:cs="Times New Roman"/>
          <w:sz w:val="24"/>
          <w:szCs w:val="24"/>
          <w:lang w:val="en-US"/>
        </w:rPr>
        <w:t>development</w:t>
      </w:r>
      <w:r w:rsidRPr="00C41255">
        <w:rPr>
          <w:rFonts w:ascii="Times New Roman" w:hAnsi="Times New Roman" w:cs="Times New Roman"/>
          <w:sz w:val="24"/>
          <w:szCs w:val="24"/>
          <w:lang w:val="en-US"/>
        </w:rPr>
        <w:t xml:space="preserve"> has been the key point in thoughts of the classical economists. </w:t>
      </w:r>
      <w:r>
        <w:rPr>
          <w:rFonts w:ascii="Times New Roman" w:hAnsi="Times New Roman" w:cs="Times New Roman"/>
          <w:sz w:val="24"/>
          <w:szCs w:val="24"/>
          <w:lang w:val="en-US"/>
        </w:rPr>
        <w:t xml:space="preserve">This is evident from the following passage: </w:t>
      </w:r>
    </w:p>
    <w:p w:rsidR="00E93BF0" w:rsidRDefault="00E93BF0" w:rsidP="00E93BF0">
      <w:pPr>
        <w:pStyle w:val="BodyText"/>
        <w:spacing w:line="360" w:lineRule="auto"/>
        <w:jc w:val="both"/>
        <w:rPr>
          <w:rFonts w:ascii="Times New Roman" w:hAnsi="Times New Roman" w:cs="Times New Roman"/>
          <w:sz w:val="24"/>
          <w:szCs w:val="24"/>
          <w:lang w:val="en-US"/>
        </w:rPr>
      </w:pPr>
      <w:r w:rsidRPr="00F90C80">
        <w:rPr>
          <w:rFonts w:ascii="Times New Roman" w:hAnsi="Times New Roman" w:cs="Times New Roman"/>
          <w:i/>
          <w:sz w:val="24"/>
          <w:szCs w:val="24"/>
          <w:lang w:val="en-US"/>
        </w:rPr>
        <w:t>“In the autumn of 1830, the financier James Rothschild wrote to his brother that their 900,000 francs in government securities will stand at 75% if peace is maintained. If there is war, they will to 45 percent”</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303048964"/>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Kau90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(Kaun, 1990)</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p>
    <w:p w:rsidR="00421EB2" w:rsidRDefault="00757E42" w:rsidP="00FE15E1">
      <w:pPr>
        <w:pStyle w:val="BodyText"/>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general, the basic economic theory states that investors dislike uncertainty and any events which cast future uncertainty negatively </w:t>
      </w:r>
      <w:r w:rsidR="00D0689F">
        <w:rPr>
          <w:rFonts w:ascii="Times New Roman" w:hAnsi="Times New Roman" w:cs="Times New Roman"/>
          <w:sz w:val="24"/>
          <w:szCs w:val="24"/>
          <w:lang w:val="en-US"/>
        </w:rPr>
        <w:t>affects</w:t>
      </w:r>
      <w:r>
        <w:rPr>
          <w:rFonts w:ascii="Times New Roman" w:hAnsi="Times New Roman" w:cs="Times New Roman"/>
          <w:sz w:val="24"/>
          <w:szCs w:val="24"/>
          <w:lang w:val="en-US"/>
        </w:rPr>
        <w:t xml:space="preserve"> the economic activity. As for example, the terrorists attack in the United States in September 11, 2001 had negative impact on the performance of the major US stock indices</w:t>
      </w:r>
      <w:r w:rsidR="0083509E">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333585682"/>
          <w:citation/>
        </w:sdtPr>
        <w:sdtEndPr/>
        <w:sdtContent>
          <w:r w:rsidR="0083509E">
            <w:rPr>
              <w:rFonts w:ascii="Times New Roman" w:hAnsi="Times New Roman" w:cs="Times New Roman"/>
              <w:sz w:val="24"/>
              <w:szCs w:val="24"/>
              <w:lang w:val="en-US"/>
            </w:rPr>
            <w:fldChar w:fldCharType="begin"/>
          </w:r>
          <w:r w:rsidR="0083509E">
            <w:rPr>
              <w:rFonts w:ascii="Times New Roman" w:hAnsi="Times New Roman" w:cs="Times New Roman"/>
              <w:sz w:val="24"/>
              <w:szCs w:val="24"/>
              <w:lang w:val="en-US"/>
            </w:rPr>
            <w:instrText xml:space="preserve"> CITATION Str08 \l 1033 </w:instrText>
          </w:r>
          <w:r w:rsidR="0083509E">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(Straetmans, Verschoor, &amp; Wolff, 2008)</w:t>
          </w:r>
          <w:r w:rsidR="0083509E">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sidR="007B34ED">
        <w:rPr>
          <w:rFonts w:ascii="Times New Roman" w:hAnsi="Times New Roman" w:cs="Times New Roman"/>
          <w:sz w:val="24"/>
          <w:szCs w:val="24"/>
          <w:lang w:val="en-US"/>
        </w:rPr>
        <w:t xml:space="preserve">Another research analyzing the impact of 77 </w:t>
      </w:r>
      <w:r w:rsidR="00E7124B">
        <w:rPr>
          <w:rFonts w:ascii="Times New Roman" w:hAnsi="Times New Roman" w:cs="Times New Roman"/>
          <w:sz w:val="24"/>
          <w:szCs w:val="24"/>
          <w:lang w:val="en-US"/>
        </w:rPr>
        <w:t>terrorists’</w:t>
      </w:r>
      <w:r w:rsidR="007B34ED">
        <w:rPr>
          <w:rFonts w:ascii="Times New Roman" w:hAnsi="Times New Roman" w:cs="Times New Roman"/>
          <w:sz w:val="24"/>
          <w:szCs w:val="24"/>
          <w:lang w:val="en-US"/>
        </w:rPr>
        <w:t xml:space="preserve"> attacks in 25 countries found that those attacks had significant negative impact on the stock market performance </w:t>
      </w:r>
      <w:sdt>
        <w:sdtPr>
          <w:rPr>
            <w:rFonts w:ascii="Times New Roman" w:hAnsi="Times New Roman" w:cs="Times New Roman"/>
            <w:sz w:val="24"/>
            <w:szCs w:val="24"/>
            <w:lang w:val="en-US"/>
          </w:rPr>
          <w:id w:val="373355741"/>
          <w:citation/>
        </w:sdtPr>
        <w:sdtEndPr/>
        <w:sdtContent>
          <w:r w:rsidR="00B33290">
            <w:rPr>
              <w:rFonts w:ascii="Times New Roman" w:hAnsi="Times New Roman" w:cs="Times New Roman"/>
              <w:sz w:val="24"/>
              <w:szCs w:val="24"/>
              <w:lang w:val="en-US"/>
            </w:rPr>
            <w:fldChar w:fldCharType="begin"/>
          </w:r>
          <w:r w:rsidR="00B33290">
            <w:rPr>
              <w:rFonts w:ascii="Times New Roman" w:hAnsi="Times New Roman" w:cs="Times New Roman"/>
              <w:sz w:val="24"/>
              <w:szCs w:val="24"/>
              <w:lang w:val="en-US"/>
            </w:rPr>
            <w:instrText xml:space="preserve"> CITATION Che11 \l 1033 </w:instrText>
          </w:r>
          <w:r w:rsidR="00B33290">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(Chesney, Reshetarb, &amp; Karamana, 2011)</w:t>
          </w:r>
          <w:r w:rsidR="00B33290">
            <w:rPr>
              <w:rFonts w:ascii="Times New Roman" w:hAnsi="Times New Roman" w:cs="Times New Roman"/>
              <w:sz w:val="24"/>
              <w:szCs w:val="24"/>
              <w:lang w:val="en-US"/>
            </w:rPr>
            <w:fldChar w:fldCharType="end"/>
          </w:r>
        </w:sdtContent>
      </w:sdt>
      <w:r w:rsidR="00D44C8B">
        <w:rPr>
          <w:rFonts w:ascii="Times New Roman" w:hAnsi="Times New Roman" w:cs="Times New Roman"/>
          <w:sz w:val="24"/>
          <w:szCs w:val="24"/>
          <w:lang w:val="en-US"/>
        </w:rPr>
        <w:t>.</w:t>
      </w:r>
      <w:r w:rsidR="00E7124B">
        <w:rPr>
          <w:rFonts w:ascii="Times New Roman" w:hAnsi="Times New Roman" w:cs="Times New Roman"/>
          <w:sz w:val="24"/>
          <w:szCs w:val="24"/>
          <w:lang w:val="en-US"/>
        </w:rPr>
        <w:t xml:space="preserve"> </w:t>
      </w:r>
    </w:p>
    <w:p w:rsidR="00421EB2" w:rsidRDefault="00D0689F" w:rsidP="00A77473">
      <w:pPr>
        <w:pStyle w:val="BodyText"/>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00E7124B">
        <w:rPr>
          <w:rFonts w:ascii="Times New Roman" w:hAnsi="Times New Roman" w:cs="Times New Roman"/>
          <w:sz w:val="24"/>
          <w:szCs w:val="24"/>
          <w:lang w:val="en-US"/>
        </w:rPr>
        <w:t>nother research</w:t>
      </w:r>
      <w:r>
        <w:rPr>
          <w:rFonts w:ascii="Times New Roman" w:hAnsi="Times New Roman" w:cs="Times New Roman"/>
          <w:sz w:val="24"/>
          <w:szCs w:val="24"/>
          <w:lang w:val="en-US"/>
        </w:rPr>
        <w:t xml:space="preserve"> assessing </w:t>
      </w:r>
      <w:r w:rsidR="00E7124B">
        <w:rPr>
          <w:rFonts w:ascii="Times New Roman" w:hAnsi="Times New Roman" w:cs="Times New Roman"/>
          <w:sz w:val="24"/>
          <w:szCs w:val="24"/>
          <w:lang w:val="en-US"/>
        </w:rPr>
        <w:t>the impact of presidential election on</w:t>
      </w:r>
      <w:r>
        <w:rPr>
          <w:rFonts w:ascii="Times New Roman" w:hAnsi="Times New Roman" w:cs="Times New Roman"/>
          <w:sz w:val="24"/>
          <w:szCs w:val="24"/>
          <w:lang w:val="en-US"/>
        </w:rPr>
        <w:t xml:space="preserve"> stock market performance </w:t>
      </w:r>
      <w:r w:rsidR="00E7124B">
        <w:rPr>
          <w:rFonts w:ascii="Times New Roman" w:hAnsi="Times New Roman" w:cs="Times New Roman"/>
          <w:sz w:val="24"/>
          <w:szCs w:val="24"/>
          <w:lang w:val="en-US"/>
        </w:rPr>
        <w:t>on a sample of 22 countries from emerging market found that the volatility of stock market increases during the presidential election period, highlighting the presence of uncertainty</w:t>
      </w:r>
      <w:r w:rsidR="002F6CD1">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2107222326"/>
          <w:citation/>
        </w:sdtPr>
        <w:sdtEndPr/>
        <w:sdtContent>
          <w:r w:rsidR="002F6CD1">
            <w:rPr>
              <w:rFonts w:ascii="Times New Roman" w:hAnsi="Times New Roman" w:cs="Times New Roman"/>
              <w:sz w:val="24"/>
              <w:szCs w:val="24"/>
              <w:lang w:val="en-US"/>
            </w:rPr>
            <w:fldChar w:fldCharType="begin"/>
          </w:r>
          <w:r w:rsidR="002F6CD1">
            <w:rPr>
              <w:rFonts w:ascii="Times New Roman" w:hAnsi="Times New Roman" w:cs="Times New Roman"/>
              <w:sz w:val="24"/>
              <w:szCs w:val="24"/>
              <w:lang w:val="en-US"/>
            </w:rPr>
            <w:instrText xml:space="preserve"> CITATION Mei04 \l 1033 </w:instrText>
          </w:r>
          <w:r w:rsidR="002F6CD1">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(Mei &amp; Guo, 2004)</w:t>
          </w:r>
          <w:r w:rsidR="002F6CD1">
            <w:rPr>
              <w:rFonts w:ascii="Times New Roman" w:hAnsi="Times New Roman" w:cs="Times New Roman"/>
              <w:sz w:val="24"/>
              <w:szCs w:val="24"/>
              <w:lang w:val="en-US"/>
            </w:rPr>
            <w:fldChar w:fldCharType="end"/>
          </w:r>
        </w:sdtContent>
      </w:sdt>
      <w:r w:rsidR="00E7124B">
        <w:rPr>
          <w:rFonts w:ascii="Times New Roman" w:hAnsi="Times New Roman" w:cs="Times New Roman"/>
          <w:sz w:val="24"/>
          <w:szCs w:val="24"/>
          <w:lang w:val="en-US"/>
        </w:rPr>
        <w:t>.</w:t>
      </w:r>
      <w:r w:rsidR="004224F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Bialkowski et al. (2008) </w:t>
      </w:r>
      <w:r w:rsidR="004B7A98">
        <w:rPr>
          <w:rFonts w:ascii="Times New Roman" w:hAnsi="Times New Roman" w:cs="Times New Roman"/>
          <w:sz w:val="24"/>
          <w:szCs w:val="24"/>
          <w:lang w:val="en-US"/>
        </w:rPr>
        <w:t>also found higher volatility during the election periods</w:t>
      </w:r>
      <w:r w:rsidR="004224F8">
        <w:rPr>
          <w:rFonts w:ascii="Times New Roman" w:hAnsi="Times New Roman" w:cs="Times New Roman"/>
          <w:sz w:val="24"/>
          <w:szCs w:val="24"/>
          <w:lang w:val="en-US"/>
        </w:rPr>
        <w:t>.</w:t>
      </w:r>
      <w:r w:rsidR="00E7124B">
        <w:rPr>
          <w:rFonts w:ascii="Times New Roman" w:hAnsi="Times New Roman" w:cs="Times New Roman"/>
          <w:sz w:val="24"/>
          <w:szCs w:val="24"/>
          <w:lang w:val="en-US"/>
        </w:rPr>
        <w:t xml:space="preserve"> </w:t>
      </w:r>
      <w:r w:rsidR="00133530">
        <w:rPr>
          <w:rFonts w:ascii="Times New Roman" w:hAnsi="Times New Roman" w:cs="Times New Roman"/>
          <w:sz w:val="24"/>
          <w:szCs w:val="24"/>
          <w:lang w:val="en-US"/>
        </w:rPr>
        <w:t xml:space="preserve">Based on the research conducted, it seems that investors dislike uncertainty. </w:t>
      </w:r>
      <w:r w:rsidR="00A77473">
        <w:rPr>
          <w:rFonts w:ascii="Times New Roman" w:hAnsi="Times New Roman" w:cs="Times New Roman"/>
          <w:sz w:val="24"/>
          <w:szCs w:val="24"/>
          <w:lang w:val="en-US"/>
        </w:rPr>
        <w:t>However</w:t>
      </w:r>
      <w:r w:rsidR="00905957">
        <w:rPr>
          <w:rFonts w:ascii="Times New Roman" w:hAnsi="Times New Roman" w:cs="Times New Roman"/>
          <w:sz w:val="24"/>
          <w:szCs w:val="24"/>
          <w:lang w:val="en-US"/>
        </w:rPr>
        <w:t>, when it comes to the military</w:t>
      </w:r>
      <w:r>
        <w:rPr>
          <w:rFonts w:ascii="Times New Roman" w:hAnsi="Times New Roman" w:cs="Times New Roman"/>
          <w:sz w:val="24"/>
          <w:szCs w:val="24"/>
          <w:lang w:val="en-US"/>
        </w:rPr>
        <w:t xml:space="preserve"> / political</w:t>
      </w:r>
      <w:r w:rsidR="00905957">
        <w:rPr>
          <w:rFonts w:ascii="Times New Roman" w:hAnsi="Times New Roman" w:cs="Times New Roman"/>
          <w:sz w:val="24"/>
          <w:szCs w:val="24"/>
          <w:lang w:val="en-US"/>
        </w:rPr>
        <w:t xml:space="preserve"> conflicts the results are more ambiguous. </w:t>
      </w:r>
      <w:r w:rsidR="00A77473">
        <w:rPr>
          <w:rFonts w:ascii="Times New Roman" w:hAnsi="Times New Roman" w:cs="Times New Roman"/>
          <w:sz w:val="24"/>
          <w:szCs w:val="24"/>
          <w:lang w:val="en-US"/>
        </w:rPr>
        <w:t xml:space="preserve">Depending on the nature of the events the impact may either be positive or negative. For example. </w:t>
      </w:r>
      <w:r w:rsidR="00421EB2">
        <w:rPr>
          <w:rFonts w:ascii="Times New Roman" w:hAnsi="Times New Roman" w:cs="Times New Roman"/>
          <w:sz w:val="24"/>
          <w:szCs w:val="24"/>
          <w:lang w:val="en-US"/>
        </w:rPr>
        <w:t xml:space="preserve">Kaun (1990) performed the analysis of reaction of the US stock market (Dow Jones Industrial) to the announcement of war during World War I, World War II, and subsequent wars in Korea and Vietnam. Based on the preliminary assessment of the stock price movement, Kaun (1990) found that only during the World War II the market experienced the downward trend following the engagement of the United States in the war. However, as explained the anticipation period in the involvement of World War II was higher than in Korean or Vietnam War. Following the announcement to engage in the World War II, the US stock market experienced decline because of the “fear of war” </w:t>
      </w:r>
      <w:sdt>
        <w:sdtPr>
          <w:rPr>
            <w:rFonts w:ascii="Times New Roman" w:hAnsi="Times New Roman" w:cs="Times New Roman"/>
            <w:sz w:val="24"/>
            <w:szCs w:val="24"/>
            <w:lang w:val="en-US"/>
          </w:rPr>
          <w:id w:val="1388836108"/>
          <w:citation/>
        </w:sdtPr>
        <w:sdtEndPr/>
        <w:sdtContent>
          <w:r w:rsidR="00421EB2">
            <w:rPr>
              <w:rFonts w:ascii="Times New Roman" w:hAnsi="Times New Roman" w:cs="Times New Roman"/>
              <w:sz w:val="24"/>
              <w:szCs w:val="24"/>
              <w:lang w:val="en-US"/>
            </w:rPr>
            <w:fldChar w:fldCharType="begin"/>
          </w:r>
          <w:r w:rsidR="00421EB2">
            <w:rPr>
              <w:rFonts w:ascii="Times New Roman" w:hAnsi="Times New Roman" w:cs="Times New Roman"/>
              <w:sz w:val="24"/>
              <w:szCs w:val="24"/>
              <w:lang w:val="en-US"/>
            </w:rPr>
            <w:instrText xml:space="preserve"> CITATION Kau90 \l 1033 </w:instrText>
          </w:r>
          <w:r w:rsidR="00421EB2">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(Kaun, 1990)</w:t>
          </w:r>
          <w:r w:rsidR="00421EB2">
            <w:rPr>
              <w:rFonts w:ascii="Times New Roman" w:hAnsi="Times New Roman" w:cs="Times New Roman"/>
              <w:sz w:val="24"/>
              <w:szCs w:val="24"/>
              <w:lang w:val="en-US"/>
            </w:rPr>
            <w:fldChar w:fldCharType="end"/>
          </w:r>
        </w:sdtContent>
      </w:sdt>
      <w:r w:rsidR="00421EB2">
        <w:rPr>
          <w:rFonts w:ascii="Times New Roman" w:hAnsi="Times New Roman" w:cs="Times New Roman"/>
          <w:sz w:val="24"/>
          <w:szCs w:val="24"/>
          <w:lang w:val="en-US"/>
        </w:rPr>
        <w:t xml:space="preserve">. However, in subsequent periods the performance of Dow Jones exceeded the pre-war period levels. In Korean and Vietnam Wars, however, there is no weakening of the market performance following the announcement of war. The downward trend in the Dow Jones index is observed in the middle war, while close to the end of the war, the market moves upwards </w:t>
      </w:r>
      <w:sdt>
        <w:sdtPr>
          <w:rPr>
            <w:rFonts w:ascii="Times New Roman" w:hAnsi="Times New Roman" w:cs="Times New Roman"/>
            <w:sz w:val="24"/>
            <w:szCs w:val="24"/>
            <w:lang w:val="en-US"/>
          </w:rPr>
          <w:id w:val="1266888339"/>
          <w:citation/>
        </w:sdtPr>
        <w:sdtEndPr/>
        <w:sdtContent>
          <w:r w:rsidR="00421EB2">
            <w:rPr>
              <w:rFonts w:ascii="Times New Roman" w:hAnsi="Times New Roman" w:cs="Times New Roman"/>
              <w:sz w:val="24"/>
              <w:szCs w:val="24"/>
              <w:lang w:val="en-US"/>
            </w:rPr>
            <w:fldChar w:fldCharType="begin"/>
          </w:r>
          <w:r w:rsidR="00421EB2">
            <w:rPr>
              <w:rFonts w:ascii="Times New Roman" w:hAnsi="Times New Roman" w:cs="Times New Roman"/>
              <w:sz w:val="24"/>
              <w:szCs w:val="24"/>
              <w:lang w:val="en-US"/>
            </w:rPr>
            <w:instrText xml:space="preserve"> CITATION Kau90 \l 1033 </w:instrText>
          </w:r>
          <w:r w:rsidR="00421EB2">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(Kaun, 1990)</w:t>
          </w:r>
          <w:r w:rsidR="00421EB2">
            <w:rPr>
              <w:rFonts w:ascii="Times New Roman" w:hAnsi="Times New Roman" w:cs="Times New Roman"/>
              <w:sz w:val="24"/>
              <w:szCs w:val="24"/>
              <w:lang w:val="en-US"/>
            </w:rPr>
            <w:fldChar w:fldCharType="end"/>
          </w:r>
        </w:sdtContent>
      </w:sdt>
      <w:r w:rsidR="00421EB2">
        <w:rPr>
          <w:rFonts w:ascii="Times New Roman" w:hAnsi="Times New Roman" w:cs="Times New Roman"/>
          <w:sz w:val="24"/>
          <w:szCs w:val="24"/>
          <w:lang w:val="en-US"/>
        </w:rPr>
        <w:t>.</w:t>
      </w:r>
    </w:p>
    <w:p w:rsidR="00D65CB7" w:rsidRDefault="00D65CB7" w:rsidP="00D65CB7">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However, as mentioned by Kaun (1990), the data is misleading since it fails to adjust for inflation. After adjusting for inflation it seems that only Korean war exhibited positive trend during the early stage of war, while the World War II and the Vietnamese War showed negative trend during the early stages. </w:t>
      </w:r>
    </w:p>
    <w:p w:rsidR="004F6105" w:rsidRDefault="00D65CB7" w:rsidP="00B75850">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analysis performed by Kaun (1990) shows that except for defense industry firms, the rest of the commercial stocks exhibit decline during the war period. </w:t>
      </w:r>
    </w:p>
    <w:p w:rsidR="0042373C" w:rsidRDefault="007B7C48" w:rsidP="004F6105">
      <w:pPr>
        <w:pStyle w:val="BodyText"/>
        <w:spacing w:line="360" w:lineRule="auto"/>
        <w:ind w:firstLine="567"/>
        <w:jc w:val="both"/>
        <w:rPr>
          <w:rFonts w:ascii="Times New Roman" w:hAnsi="Times New Roman" w:cs="Times New Roman"/>
          <w:sz w:val="24"/>
          <w:szCs w:val="24"/>
          <w:lang w:val="en-US"/>
        </w:rPr>
      </w:pPr>
      <w:r w:rsidRPr="007B7C48">
        <w:rPr>
          <w:rFonts w:ascii="Times New Roman" w:hAnsi="Times New Roman" w:cs="Times New Roman"/>
          <w:sz w:val="24"/>
          <w:szCs w:val="24"/>
          <w:lang w:val="en-US"/>
        </w:rPr>
        <w:t xml:space="preserve">Based on the literature review </w:t>
      </w:r>
      <w:r>
        <w:rPr>
          <w:rFonts w:ascii="Times New Roman" w:hAnsi="Times New Roman" w:cs="Times New Roman"/>
          <w:sz w:val="24"/>
          <w:szCs w:val="24"/>
          <w:lang w:val="en-US"/>
        </w:rPr>
        <w:t xml:space="preserve">it seems that impact of the military </w:t>
      </w:r>
      <w:r w:rsidR="004F6105">
        <w:rPr>
          <w:rFonts w:ascii="Times New Roman" w:hAnsi="Times New Roman" w:cs="Times New Roman"/>
          <w:sz w:val="24"/>
          <w:szCs w:val="24"/>
          <w:lang w:val="en-US"/>
        </w:rPr>
        <w:t xml:space="preserve">/ political </w:t>
      </w:r>
      <w:r>
        <w:rPr>
          <w:rFonts w:ascii="Times New Roman" w:hAnsi="Times New Roman" w:cs="Times New Roman"/>
          <w:sz w:val="24"/>
          <w:szCs w:val="24"/>
          <w:lang w:val="en-US"/>
        </w:rPr>
        <w:t xml:space="preserve">conflict on the stock market performance and economic development depends on the specific details of the conflict and the country involved. </w:t>
      </w:r>
    </w:p>
    <w:p w:rsidR="00911145" w:rsidRDefault="00D0689F" w:rsidP="00BC4895">
      <w:pPr>
        <w:pStyle w:val="Heading1"/>
        <w:numPr>
          <w:ilvl w:val="0"/>
          <w:numId w:val="0"/>
        </w:numPr>
        <w:spacing w:line="360" w:lineRule="auto"/>
        <w:rPr>
          <w:rFonts w:ascii="Times New Roman" w:hAnsi="Times New Roman" w:cs="Times New Roman"/>
          <w:i w:val="0"/>
          <w:lang w:val="en-US"/>
        </w:rPr>
      </w:pPr>
      <w:bookmarkStart w:id="4" w:name="_Toc15473245"/>
      <w:r w:rsidRPr="00BC4895">
        <w:rPr>
          <w:rFonts w:ascii="Times New Roman" w:hAnsi="Times New Roman" w:cs="Times New Roman"/>
          <w:i w:val="0"/>
          <w:lang w:val="en-US"/>
        </w:rPr>
        <w:t xml:space="preserve">Chapter 3. </w:t>
      </w:r>
      <w:r w:rsidR="0042373C" w:rsidRPr="00BC4895">
        <w:rPr>
          <w:rFonts w:ascii="Times New Roman" w:hAnsi="Times New Roman" w:cs="Times New Roman"/>
          <w:i w:val="0"/>
          <w:lang w:val="en-US"/>
        </w:rPr>
        <w:t xml:space="preserve">Russia – Ukraine Conflict </w:t>
      </w:r>
      <w:r w:rsidRPr="00BC4895">
        <w:rPr>
          <w:rFonts w:ascii="Times New Roman" w:hAnsi="Times New Roman" w:cs="Times New Roman"/>
          <w:i w:val="0"/>
          <w:lang w:val="en-US"/>
        </w:rPr>
        <w:t>an</w:t>
      </w:r>
      <w:r w:rsidR="00BC4895" w:rsidRPr="00BC4895">
        <w:rPr>
          <w:rFonts w:ascii="Times New Roman" w:hAnsi="Times New Roman" w:cs="Times New Roman"/>
          <w:i w:val="0"/>
          <w:lang w:val="en-US"/>
        </w:rPr>
        <w:t xml:space="preserve">d Sanctions against the Russian </w:t>
      </w:r>
      <w:r w:rsidRPr="00BC4895">
        <w:rPr>
          <w:rFonts w:ascii="Times New Roman" w:hAnsi="Times New Roman" w:cs="Times New Roman"/>
          <w:i w:val="0"/>
          <w:lang w:val="en-US"/>
        </w:rPr>
        <w:t>Federation</w:t>
      </w:r>
      <w:bookmarkEnd w:id="4"/>
    </w:p>
    <w:p w:rsidR="00342AD2" w:rsidRDefault="00BC4895" w:rsidP="008C5834">
      <w:pPr>
        <w:pStyle w:val="BodyText"/>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March 2014, despite the strong opposition from Ukraine and Western Countries the referendum in Crimea has been concluded with the decision to separate from Ukraine and adjoin to the Russian Federation. In a response to the actions of the Russian government to annex Crimea and recognize it as a part of the Russia Federation, various countries have imposed sanctions against the Russian Federation </w:t>
      </w:r>
      <w:sdt>
        <w:sdtPr>
          <w:rPr>
            <w:rFonts w:ascii="Times New Roman" w:hAnsi="Times New Roman" w:cs="Times New Roman"/>
            <w:sz w:val="24"/>
            <w:szCs w:val="24"/>
            <w:lang w:val="en-US"/>
          </w:rPr>
          <w:id w:val="-313105349"/>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Kho17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(Kholodilin &amp; Netsunajev, 2017)</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r w:rsidR="00B81A50">
        <w:rPr>
          <w:rFonts w:ascii="Times New Roman" w:hAnsi="Times New Roman" w:cs="Times New Roman"/>
          <w:sz w:val="24"/>
          <w:szCs w:val="24"/>
          <w:lang w:val="en-US"/>
        </w:rPr>
        <w:t xml:space="preserve"> Even though initially, countries who have strong economic ties with the Russian Federation opposed sanctions, following the pressure from the European countries majority of countri</w:t>
      </w:r>
      <w:r w:rsidR="0057464A">
        <w:rPr>
          <w:rFonts w:ascii="Times New Roman" w:hAnsi="Times New Roman" w:cs="Times New Roman"/>
          <w:sz w:val="24"/>
          <w:szCs w:val="24"/>
          <w:lang w:val="en-US"/>
        </w:rPr>
        <w:t xml:space="preserve">es have accepted the sanctions. The adopted sanctions had a goal of deterring the political behavior of Russian government through hitting its economy rather than directly confronting the Russian Federation in a military conflict. </w:t>
      </w:r>
      <w:r w:rsidR="0057464A" w:rsidRPr="0057464A">
        <w:rPr>
          <w:rFonts w:ascii="Times New Roman" w:hAnsi="Times New Roman" w:cs="Times New Roman"/>
          <w:i/>
          <w:sz w:val="24"/>
          <w:szCs w:val="24"/>
          <w:lang w:val="en-US"/>
        </w:rPr>
        <w:t>“International sanctions may pursue three sets of goals: signal to foreign target countries or domestic audiences dissatisfaction with certain policies, constrain the target countries or their leaders from undertaking future actions, or coerce a government into changing or reversing existing policies</w:t>
      </w:r>
      <w:r w:rsidR="0057464A">
        <w:rPr>
          <w:rFonts w:ascii="Times New Roman" w:hAnsi="Times New Roman" w:cs="Times New Roman"/>
          <w:i/>
          <w:sz w:val="24"/>
          <w:szCs w:val="24"/>
          <w:lang w:val="en-US"/>
        </w:rPr>
        <w:t>”</w:t>
      </w:r>
      <w:sdt>
        <w:sdtPr>
          <w:rPr>
            <w:rFonts w:ascii="Times New Roman" w:hAnsi="Times New Roman" w:cs="Times New Roman"/>
            <w:i/>
            <w:sz w:val="24"/>
            <w:szCs w:val="24"/>
            <w:lang w:val="en-US"/>
          </w:rPr>
          <w:id w:val="-1753428635"/>
          <w:citation/>
        </w:sdtPr>
        <w:sdtEndPr/>
        <w:sdtContent>
          <w:r w:rsidR="0057464A">
            <w:rPr>
              <w:rFonts w:ascii="Times New Roman" w:hAnsi="Times New Roman" w:cs="Times New Roman"/>
              <w:i/>
              <w:sz w:val="24"/>
              <w:szCs w:val="24"/>
              <w:lang w:val="en-US"/>
            </w:rPr>
            <w:fldChar w:fldCharType="begin"/>
          </w:r>
          <w:r w:rsidR="0057464A">
            <w:rPr>
              <w:rFonts w:ascii="Times New Roman" w:hAnsi="Times New Roman" w:cs="Times New Roman"/>
              <w:sz w:val="24"/>
              <w:szCs w:val="24"/>
              <w:lang w:val="en-US"/>
            </w:rPr>
            <w:instrText xml:space="preserve">CITATION Dre14 \p 1 \l 1033 </w:instrText>
          </w:r>
          <w:r w:rsidR="0057464A">
            <w:rPr>
              <w:rFonts w:ascii="Times New Roman" w:hAnsi="Times New Roman" w:cs="Times New Roman"/>
              <w:i/>
              <w:sz w:val="24"/>
              <w:szCs w:val="24"/>
              <w:lang w:val="en-US"/>
            </w:rPr>
            <w:fldChar w:fldCharType="separate"/>
          </w:r>
          <w:r w:rsidR="00AE6A31">
            <w:rPr>
              <w:rFonts w:ascii="Times New Roman" w:hAnsi="Times New Roman" w:cs="Times New Roman"/>
              <w:noProof/>
              <w:sz w:val="24"/>
              <w:szCs w:val="24"/>
              <w:lang w:val="en-US"/>
            </w:rPr>
            <w:t xml:space="preserve"> </w:t>
          </w:r>
          <w:r w:rsidR="00AE6A31" w:rsidRPr="00AE6A31">
            <w:rPr>
              <w:rFonts w:ascii="Times New Roman" w:hAnsi="Times New Roman" w:cs="Times New Roman"/>
              <w:noProof/>
              <w:sz w:val="24"/>
              <w:szCs w:val="24"/>
              <w:lang w:val="en-US"/>
            </w:rPr>
            <w:t>(Dreyer &amp; Popescu, 2014, p. 1)</w:t>
          </w:r>
          <w:r w:rsidR="0057464A">
            <w:rPr>
              <w:rFonts w:ascii="Times New Roman" w:hAnsi="Times New Roman" w:cs="Times New Roman"/>
              <w:i/>
              <w:sz w:val="24"/>
              <w:szCs w:val="24"/>
              <w:lang w:val="en-US"/>
            </w:rPr>
            <w:fldChar w:fldCharType="end"/>
          </w:r>
        </w:sdtContent>
      </w:sdt>
      <w:r w:rsidR="0095677F">
        <w:rPr>
          <w:rFonts w:ascii="Times New Roman" w:hAnsi="Times New Roman" w:cs="Times New Roman"/>
          <w:i/>
          <w:sz w:val="24"/>
          <w:szCs w:val="24"/>
          <w:lang w:val="en-US"/>
        </w:rPr>
        <w:t xml:space="preserve">. </w:t>
      </w:r>
    </w:p>
    <w:p w:rsidR="00932E58" w:rsidRDefault="00932E58" w:rsidP="008C5834">
      <w:pPr>
        <w:pStyle w:val="BodyText"/>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In the wake of the first round of sanctions the Russian stock exchange fell by 3,8</w:t>
      </w:r>
      <w:r w:rsidR="00CE1F4E">
        <w:rPr>
          <w:rFonts w:ascii="Times New Roman" w:hAnsi="Times New Roman" w:cs="Times New Roman"/>
          <w:sz w:val="24"/>
          <w:szCs w:val="24"/>
          <w:lang w:val="en-US"/>
        </w:rPr>
        <w:t xml:space="preserve"> percent</w:t>
      </w:r>
      <w:r>
        <w:rPr>
          <w:rFonts w:ascii="Times New Roman" w:hAnsi="Times New Roman" w:cs="Times New Roman"/>
          <w:sz w:val="24"/>
          <w:szCs w:val="24"/>
          <w:lang w:val="en-US"/>
        </w:rPr>
        <w:t>.</w:t>
      </w:r>
      <w:r w:rsidR="00B75850">
        <w:rPr>
          <w:rFonts w:ascii="Times New Roman" w:hAnsi="Times New Roman" w:cs="Times New Roman"/>
          <w:sz w:val="24"/>
          <w:szCs w:val="24"/>
          <w:lang w:val="en-US"/>
        </w:rPr>
        <w:t xml:space="preserve"> </w:t>
      </w:r>
      <w:r w:rsidR="00A32B8D">
        <w:rPr>
          <w:rFonts w:ascii="Times New Roman" w:hAnsi="Times New Roman" w:cs="Times New Roman"/>
          <w:sz w:val="24"/>
          <w:szCs w:val="24"/>
          <w:lang w:val="en-US"/>
        </w:rPr>
        <w:t xml:space="preserve">However, one of the other major factors </w:t>
      </w:r>
      <w:r w:rsidR="00B75850">
        <w:rPr>
          <w:rFonts w:ascii="Times New Roman" w:hAnsi="Times New Roman" w:cs="Times New Roman"/>
          <w:sz w:val="24"/>
          <w:szCs w:val="24"/>
          <w:lang w:val="en-US"/>
        </w:rPr>
        <w:t>affecting</w:t>
      </w:r>
      <w:r w:rsidR="00A32B8D">
        <w:rPr>
          <w:rFonts w:ascii="Times New Roman" w:hAnsi="Times New Roman" w:cs="Times New Roman"/>
          <w:sz w:val="24"/>
          <w:szCs w:val="24"/>
          <w:lang w:val="en-US"/>
        </w:rPr>
        <w:t xml:space="preserve"> the Russian economy and the Russian currency was also the price of oil. </w:t>
      </w:r>
      <w:r w:rsidR="00B84486">
        <w:rPr>
          <w:rFonts w:ascii="Times New Roman" w:hAnsi="Times New Roman" w:cs="Times New Roman"/>
          <w:sz w:val="24"/>
          <w:szCs w:val="24"/>
          <w:lang w:val="en-US"/>
        </w:rPr>
        <w:t xml:space="preserve">The price of oil has dramatically decreased from 115 USD per barrel in June 2014 to 65 USD per barrel in December 2014 </w:t>
      </w:r>
      <w:sdt>
        <w:sdtPr>
          <w:rPr>
            <w:rFonts w:ascii="Times New Roman" w:hAnsi="Times New Roman" w:cs="Times New Roman"/>
            <w:sz w:val="24"/>
            <w:szCs w:val="24"/>
            <w:lang w:val="en-US"/>
          </w:rPr>
          <w:id w:val="239377226"/>
          <w:citation/>
        </w:sdtPr>
        <w:sdtEndPr/>
        <w:sdtContent>
          <w:r w:rsidR="00B84486">
            <w:rPr>
              <w:rFonts w:ascii="Times New Roman" w:hAnsi="Times New Roman" w:cs="Times New Roman"/>
              <w:sz w:val="24"/>
              <w:szCs w:val="24"/>
              <w:lang w:val="en-US"/>
            </w:rPr>
            <w:fldChar w:fldCharType="begin"/>
          </w:r>
          <w:r w:rsidR="00B84486">
            <w:rPr>
              <w:rFonts w:ascii="Times New Roman" w:hAnsi="Times New Roman" w:cs="Times New Roman"/>
              <w:sz w:val="24"/>
              <w:szCs w:val="24"/>
              <w:lang w:val="en-US"/>
            </w:rPr>
            <w:instrText xml:space="preserve"> CITATION Dre14 \l 1033 </w:instrText>
          </w:r>
          <w:r w:rsidR="00B84486">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(Dreyer &amp; Popescu, 2014)</w:t>
          </w:r>
          <w:r w:rsidR="00B84486">
            <w:rPr>
              <w:rFonts w:ascii="Times New Roman" w:hAnsi="Times New Roman" w:cs="Times New Roman"/>
              <w:sz w:val="24"/>
              <w:szCs w:val="24"/>
              <w:lang w:val="en-US"/>
            </w:rPr>
            <w:fldChar w:fldCharType="end"/>
          </w:r>
        </w:sdtContent>
      </w:sdt>
      <w:r w:rsidR="00B84486">
        <w:rPr>
          <w:rFonts w:ascii="Times New Roman" w:hAnsi="Times New Roman" w:cs="Times New Roman"/>
          <w:sz w:val="24"/>
          <w:szCs w:val="24"/>
          <w:lang w:val="en-US"/>
        </w:rPr>
        <w:t xml:space="preserve">. </w:t>
      </w:r>
      <w:r w:rsidR="00056071">
        <w:rPr>
          <w:rFonts w:ascii="Times New Roman" w:hAnsi="Times New Roman" w:cs="Times New Roman"/>
          <w:sz w:val="24"/>
          <w:szCs w:val="24"/>
          <w:lang w:val="en-US"/>
        </w:rPr>
        <w:t xml:space="preserve">Even though the Russian economy has further experienced decline in aftermath of the Crimea events, the question arise whether the decline </w:t>
      </w:r>
      <w:r w:rsidR="00056071">
        <w:rPr>
          <w:rFonts w:ascii="Times New Roman" w:hAnsi="Times New Roman" w:cs="Times New Roman"/>
          <w:sz w:val="24"/>
          <w:szCs w:val="24"/>
          <w:lang w:val="en-US"/>
        </w:rPr>
        <w:lastRenderedPageBreak/>
        <w:t xml:space="preserve">was attributed to the sanctions or significant drop in the price of oil, which is a major driver of the Russian economy. </w:t>
      </w:r>
    </w:p>
    <w:p w:rsidR="00BF3041" w:rsidRDefault="00BF3041" w:rsidP="00B14807">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Despite various sanctions imposed on the Russian Federation there is no conclusive evidence on the effectiveness of those sanctions</w:t>
      </w:r>
      <w:r w:rsidR="00227DBA">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600995930"/>
          <w:citation/>
        </w:sdtPr>
        <w:sdtEndPr/>
        <w:sdtContent>
          <w:r w:rsidR="00227DBA">
            <w:rPr>
              <w:rFonts w:ascii="Times New Roman" w:hAnsi="Times New Roman" w:cs="Times New Roman"/>
              <w:sz w:val="24"/>
              <w:szCs w:val="24"/>
              <w:lang w:val="en-US"/>
            </w:rPr>
            <w:fldChar w:fldCharType="begin"/>
          </w:r>
          <w:r w:rsidR="00227DBA">
            <w:rPr>
              <w:rFonts w:ascii="Times New Roman" w:hAnsi="Times New Roman" w:cs="Times New Roman"/>
              <w:sz w:val="24"/>
              <w:szCs w:val="24"/>
              <w:lang w:val="en-US"/>
            </w:rPr>
            <w:instrText xml:space="preserve"> CITATION Ank17 \l 1033 </w:instrText>
          </w:r>
          <w:r w:rsidR="00227DBA">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(Ankudinov, Ibragimov, &amp; Lebedev, 2017)</w:t>
          </w:r>
          <w:r w:rsidR="00227DBA">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r w:rsidR="00227DBA">
        <w:rPr>
          <w:rFonts w:ascii="Times New Roman" w:hAnsi="Times New Roman" w:cs="Times New Roman"/>
          <w:sz w:val="24"/>
          <w:szCs w:val="24"/>
          <w:lang w:val="en-US"/>
        </w:rPr>
        <w:t xml:space="preserve"> </w:t>
      </w:r>
      <w:r w:rsidR="00B14807">
        <w:rPr>
          <w:rFonts w:ascii="Times New Roman" w:hAnsi="Times New Roman" w:cs="Times New Roman"/>
          <w:sz w:val="24"/>
          <w:szCs w:val="24"/>
          <w:lang w:val="en-US"/>
        </w:rPr>
        <w:t xml:space="preserve"> </w:t>
      </w:r>
      <w:r w:rsidR="001C3988">
        <w:rPr>
          <w:rFonts w:ascii="Times New Roman" w:hAnsi="Times New Roman" w:cs="Times New Roman"/>
          <w:sz w:val="24"/>
          <w:szCs w:val="24"/>
          <w:lang w:val="en-US"/>
        </w:rPr>
        <w:t>Initially, it was believed that economic sanctions against the Russian Federation would tatter the economy of Russia. However, despite the fact that sanctions have been in place for some time there is no conclusive evidence. The lesser impact of sanctions on the Russian economy is explained by the soft nature of sanctions. Russian banks at which sanctions were directed still had access to international payment syst</w:t>
      </w:r>
      <w:r w:rsidR="00E10C21">
        <w:rPr>
          <w:rFonts w:ascii="Times New Roman" w:hAnsi="Times New Roman" w:cs="Times New Roman"/>
          <w:sz w:val="24"/>
          <w:szCs w:val="24"/>
          <w:lang w:val="en-US"/>
        </w:rPr>
        <w:t xml:space="preserve">ems even though at higher cost </w:t>
      </w:r>
      <w:sdt>
        <w:sdtPr>
          <w:rPr>
            <w:rFonts w:ascii="Times New Roman" w:hAnsi="Times New Roman" w:cs="Times New Roman"/>
            <w:sz w:val="24"/>
            <w:szCs w:val="24"/>
            <w:lang w:val="en-US"/>
          </w:rPr>
          <w:id w:val="168218099"/>
          <w:citation/>
        </w:sdtPr>
        <w:sdtEndPr/>
        <w:sdtContent>
          <w:r w:rsidR="001C3988">
            <w:rPr>
              <w:rFonts w:ascii="Times New Roman" w:hAnsi="Times New Roman" w:cs="Times New Roman"/>
              <w:sz w:val="24"/>
              <w:szCs w:val="24"/>
              <w:lang w:val="en-US"/>
            </w:rPr>
            <w:fldChar w:fldCharType="begin"/>
          </w:r>
          <w:r w:rsidR="001C3988">
            <w:rPr>
              <w:rFonts w:ascii="Times New Roman" w:hAnsi="Times New Roman" w:cs="Times New Roman"/>
              <w:sz w:val="24"/>
              <w:szCs w:val="24"/>
              <w:lang w:val="en-US"/>
            </w:rPr>
            <w:instrText xml:space="preserve"> CITATION Gur15 \l 1033 </w:instrText>
          </w:r>
          <w:r w:rsidR="001C3988">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(Gurvich &amp; Prilepskiy, 2015)</w:t>
          </w:r>
          <w:r w:rsidR="001C3988">
            <w:rPr>
              <w:rFonts w:ascii="Times New Roman" w:hAnsi="Times New Roman" w:cs="Times New Roman"/>
              <w:sz w:val="24"/>
              <w:szCs w:val="24"/>
              <w:lang w:val="en-US"/>
            </w:rPr>
            <w:fldChar w:fldCharType="end"/>
          </w:r>
        </w:sdtContent>
      </w:sdt>
      <w:r w:rsidR="001C3988">
        <w:rPr>
          <w:rFonts w:ascii="Times New Roman" w:hAnsi="Times New Roman" w:cs="Times New Roman"/>
          <w:sz w:val="24"/>
          <w:szCs w:val="24"/>
          <w:lang w:val="en-US"/>
        </w:rPr>
        <w:t xml:space="preserve">. </w:t>
      </w:r>
      <w:r w:rsidR="00E10C21">
        <w:rPr>
          <w:rFonts w:ascii="Times New Roman" w:hAnsi="Times New Roman" w:cs="Times New Roman"/>
          <w:sz w:val="24"/>
          <w:szCs w:val="24"/>
          <w:lang w:val="en-US"/>
        </w:rPr>
        <w:t>Furthermore, it is believed that Russian firms self-adjusted their operations</w:t>
      </w:r>
      <w:r w:rsidR="00B14807">
        <w:rPr>
          <w:rFonts w:ascii="Times New Roman" w:hAnsi="Times New Roman" w:cs="Times New Roman"/>
          <w:sz w:val="24"/>
          <w:szCs w:val="24"/>
          <w:lang w:val="en-US"/>
        </w:rPr>
        <w:t>,</w:t>
      </w:r>
      <w:r w:rsidR="00E10C21">
        <w:rPr>
          <w:rFonts w:ascii="Times New Roman" w:hAnsi="Times New Roman" w:cs="Times New Roman"/>
          <w:sz w:val="24"/>
          <w:szCs w:val="24"/>
          <w:lang w:val="en-US"/>
        </w:rPr>
        <w:t xml:space="preserve"> which has further reduced the impact of sanctions. </w:t>
      </w:r>
      <w:r w:rsidR="003C2CF9">
        <w:rPr>
          <w:rFonts w:ascii="Times New Roman" w:hAnsi="Times New Roman" w:cs="Times New Roman"/>
          <w:sz w:val="24"/>
          <w:szCs w:val="24"/>
          <w:lang w:val="en-US"/>
        </w:rPr>
        <w:t xml:space="preserve">And finally, no sanctions were imposed on Russian oil and gas companies, which represent the key driver of economic growth in the Russian Federation </w:t>
      </w:r>
      <w:sdt>
        <w:sdtPr>
          <w:rPr>
            <w:rFonts w:ascii="Times New Roman" w:hAnsi="Times New Roman" w:cs="Times New Roman"/>
            <w:sz w:val="24"/>
            <w:szCs w:val="24"/>
            <w:lang w:val="en-US"/>
          </w:rPr>
          <w:id w:val="535160335"/>
          <w:citation/>
        </w:sdtPr>
        <w:sdtEndPr/>
        <w:sdtContent>
          <w:r w:rsidR="003C2CF9">
            <w:rPr>
              <w:rFonts w:ascii="Times New Roman" w:hAnsi="Times New Roman" w:cs="Times New Roman"/>
              <w:sz w:val="24"/>
              <w:szCs w:val="24"/>
              <w:lang w:val="en-US"/>
            </w:rPr>
            <w:fldChar w:fldCharType="begin"/>
          </w:r>
          <w:r w:rsidR="003C2CF9">
            <w:rPr>
              <w:rFonts w:ascii="Times New Roman" w:hAnsi="Times New Roman" w:cs="Times New Roman"/>
              <w:sz w:val="24"/>
              <w:szCs w:val="24"/>
              <w:lang w:val="en-US"/>
            </w:rPr>
            <w:instrText xml:space="preserve"> CITATION Gur15 \l 1033 </w:instrText>
          </w:r>
          <w:r w:rsidR="003C2CF9">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(Gurvich &amp; Prilepskiy, 2015)</w:t>
          </w:r>
          <w:r w:rsidR="003C2CF9">
            <w:rPr>
              <w:rFonts w:ascii="Times New Roman" w:hAnsi="Times New Roman" w:cs="Times New Roman"/>
              <w:sz w:val="24"/>
              <w:szCs w:val="24"/>
              <w:lang w:val="en-US"/>
            </w:rPr>
            <w:fldChar w:fldCharType="end"/>
          </w:r>
        </w:sdtContent>
      </w:sdt>
      <w:r w:rsidR="003C2CF9">
        <w:rPr>
          <w:rFonts w:ascii="Times New Roman" w:hAnsi="Times New Roman" w:cs="Times New Roman"/>
          <w:sz w:val="24"/>
          <w:szCs w:val="24"/>
          <w:lang w:val="en-US"/>
        </w:rPr>
        <w:t xml:space="preserve">. </w:t>
      </w:r>
      <w:r w:rsidR="002720F0">
        <w:rPr>
          <w:rFonts w:ascii="Times New Roman" w:hAnsi="Times New Roman" w:cs="Times New Roman"/>
          <w:sz w:val="24"/>
          <w:szCs w:val="24"/>
          <w:lang w:val="en-US"/>
        </w:rPr>
        <w:t xml:space="preserve">The following list presents the chronology of sanctions imposed on Russia: </w:t>
      </w:r>
    </w:p>
    <w:p w:rsidR="00292D0D" w:rsidRPr="00292D0D" w:rsidRDefault="00292D0D" w:rsidP="00292D0D">
      <w:pPr>
        <w:pStyle w:val="Caption"/>
        <w:keepNext/>
        <w:rPr>
          <w:rFonts w:ascii="Times New Roman" w:hAnsi="Times New Roman" w:cs="Times New Roman"/>
          <w:color w:val="auto"/>
          <w:sz w:val="20"/>
          <w:szCs w:val="20"/>
        </w:rPr>
      </w:pPr>
      <w:bookmarkStart w:id="5" w:name="_Toc15484939"/>
      <w:r w:rsidRPr="00292D0D">
        <w:rPr>
          <w:rFonts w:ascii="Times New Roman" w:hAnsi="Times New Roman" w:cs="Times New Roman"/>
          <w:color w:val="auto"/>
          <w:sz w:val="20"/>
          <w:szCs w:val="20"/>
        </w:rPr>
        <w:t xml:space="preserve">Table </w:t>
      </w:r>
      <w:r w:rsidRPr="00292D0D">
        <w:rPr>
          <w:rFonts w:ascii="Times New Roman" w:hAnsi="Times New Roman" w:cs="Times New Roman"/>
          <w:color w:val="auto"/>
          <w:sz w:val="20"/>
          <w:szCs w:val="20"/>
        </w:rPr>
        <w:fldChar w:fldCharType="begin"/>
      </w:r>
      <w:r w:rsidRPr="00292D0D">
        <w:rPr>
          <w:rFonts w:ascii="Times New Roman" w:hAnsi="Times New Roman" w:cs="Times New Roman"/>
          <w:color w:val="auto"/>
          <w:sz w:val="20"/>
          <w:szCs w:val="20"/>
        </w:rPr>
        <w:instrText xml:space="preserve"> SEQ Table \* ARABIC </w:instrText>
      </w:r>
      <w:r w:rsidRPr="00292D0D">
        <w:rPr>
          <w:rFonts w:ascii="Times New Roman" w:hAnsi="Times New Roman" w:cs="Times New Roman"/>
          <w:color w:val="auto"/>
          <w:sz w:val="20"/>
          <w:szCs w:val="20"/>
        </w:rPr>
        <w:fldChar w:fldCharType="separate"/>
      </w:r>
      <w:r w:rsidR="00FA327E">
        <w:rPr>
          <w:rFonts w:ascii="Times New Roman" w:hAnsi="Times New Roman" w:cs="Times New Roman"/>
          <w:noProof/>
          <w:color w:val="auto"/>
          <w:sz w:val="20"/>
          <w:szCs w:val="20"/>
        </w:rPr>
        <w:t>1</w:t>
      </w:r>
      <w:r w:rsidRPr="00292D0D">
        <w:rPr>
          <w:rFonts w:ascii="Times New Roman" w:hAnsi="Times New Roman" w:cs="Times New Roman"/>
          <w:color w:val="auto"/>
          <w:sz w:val="20"/>
          <w:szCs w:val="20"/>
        </w:rPr>
        <w:fldChar w:fldCharType="end"/>
      </w:r>
      <w:r w:rsidRPr="00292D0D">
        <w:rPr>
          <w:rFonts w:ascii="Times New Roman" w:hAnsi="Times New Roman" w:cs="Times New Roman"/>
          <w:color w:val="auto"/>
          <w:sz w:val="20"/>
          <w:szCs w:val="20"/>
        </w:rPr>
        <w:t>. Chronology of sanctions against the Russian Federation</w:t>
      </w:r>
      <w:bookmarkEnd w:id="5"/>
    </w:p>
    <w:tbl>
      <w:tblPr>
        <w:tblStyle w:val="TableGrid"/>
        <w:tblW w:w="10138" w:type="dxa"/>
        <w:tblLook w:val="04A0" w:firstRow="1" w:lastRow="0" w:firstColumn="1" w:lastColumn="0" w:noHBand="0" w:noVBand="1"/>
      </w:tblPr>
      <w:tblGrid>
        <w:gridCol w:w="1696"/>
        <w:gridCol w:w="2552"/>
        <w:gridCol w:w="5890"/>
      </w:tblGrid>
      <w:tr w:rsidR="00670C7E" w:rsidRPr="002720F0" w:rsidTr="00670C7E">
        <w:trPr>
          <w:trHeight w:val="243"/>
        </w:trPr>
        <w:tc>
          <w:tcPr>
            <w:tcW w:w="1696" w:type="dxa"/>
            <w:noWrap/>
          </w:tcPr>
          <w:p w:rsidR="00670C7E" w:rsidRPr="00292D0D" w:rsidRDefault="00670C7E" w:rsidP="002720F0">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Date</w:t>
            </w:r>
          </w:p>
        </w:tc>
        <w:tc>
          <w:tcPr>
            <w:tcW w:w="2552" w:type="dxa"/>
          </w:tcPr>
          <w:p w:rsidR="00670C7E" w:rsidRPr="00292D0D" w:rsidRDefault="00670C7E" w:rsidP="003E4E19">
            <w:pPr>
              <w:pStyle w:val="BodyText"/>
              <w:spacing w:line="360" w:lineRule="auto"/>
              <w:rPr>
                <w:rFonts w:ascii="Times New Roman" w:hAnsi="Times New Roman" w:cs="Times New Roman"/>
                <w:sz w:val="16"/>
                <w:szCs w:val="16"/>
              </w:rPr>
            </w:pPr>
            <w:r w:rsidRPr="00292D0D">
              <w:rPr>
                <w:rFonts w:ascii="Times New Roman" w:hAnsi="Times New Roman" w:cs="Times New Roman"/>
                <w:sz w:val="16"/>
                <w:szCs w:val="16"/>
              </w:rPr>
              <w:t>Countries imposing sanctions</w:t>
            </w:r>
          </w:p>
        </w:tc>
        <w:tc>
          <w:tcPr>
            <w:tcW w:w="5890" w:type="dxa"/>
          </w:tcPr>
          <w:p w:rsidR="00670C7E" w:rsidRPr="00292D0D" w:rsidRDefault="00670C7E" w:rsidP="003E4E19">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The description of sanctions</w:t>
            </w:r>
          </w:p>
        </w:tc>
      </w:tr>
      <w:tr w:rsidR="00670C7E" w:rsidRPr="002720F0" w:rsidTr="00670C7E">
        <w:trPr>
          <w:trHeight w:val="243"/>
        </w:trPr>
        <w:tc>
          <w:tcPr>
            <w:tcW w:w="1696" w:type="dxa"/>
            <w:noWrap/>
            <w:hideMark/>
          </w:tcPr>
          <w:p w:rsidR="00670C7E" w:rsidRPr="00292D0D" w:rsidRDefault="00670C7E" w:rsidP="002720F0">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March 3, 2014</w:t>
            </w:r>
          </w:p>
        </w:tc>
        <w:tc>
          <w:tcPr>
            <w:tcW w:w="2552" w:type="dxa"/>
          </w:tcPr>
          <w:p w:rsidR="00670C7E" w:rsidRPr="00292D0D" w:rsidRDefault="00670C7E" w:rsidP="006D148B">
            <w:pPr>
              <w:pStyle w:val="BodyText"/>
              <w:spacing w:line="360" w:lineRule="auto"/>
              <w:rPr>
                <w:rFonts w:ascii="Times New Roman" w:hAnsi="Times New Roman" w:cs="Times New Roman"/>
                <w:sz w:val="16"/>
                <w:szCs w:val="16"/>
              </w:rPr>
            </w:pPr>
            <w:r w:rsidRPr="00292D0D">
              <w:rPr>
                <w:rFonts w:ascii="Times New Roman" w:hAnsi="Times New Roman" w:cs="Times New Roman"/>
                <w:sz w:val="16"/>
                <w:szCs w:val="16"/>
              </w:rPr>
              <w:t>The United States of America</w:t>
            </w:r>
          </w:p>
        </w:tc>
        <w:tc>
          <w:tcPr>
            <w:tcW w:w="5890" w:type="dxa"/>
          </w:tcPr>
          <w:p w:rsidR="00670C7E" w:rsidRPr="00292D0D" w:rsidRDefault="00670C7E" w:rsidP="006D148B">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 xml:space="preserve">The US government imposes trade restrictions as well as stops military cooperation with the Russian Federation </w:t>
            </w:r>
          </w:p>
        </w:tc>
      </w:tr>
      <w:tr w:rsidR="00670C7E" w:rsidRPr="002720F0" w:rsidTr="00670C7E">
        <w:trPr>
          <w:trHeight w:val="243"/>
        </w:trPr>
        <w:tc>
          <w:tcPr>
            <w:tcW w:w="1696" w:type="dxa"/>
            <w:noWrap/>
            <w:hideMark/>
          </w:tcPr>
          <w:p w:rsidR="00670C7E" w:rsidRPr="00292D0D" w:rsidRDefault="00670C7E" w:rsidP="002720F0">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March 17, 2014</w:t>
            </w:r>
          </w:p>
        </w:tc>
        <w:tc>
          <w:tcPr>
            <w:tcW w:w="2552" w:type="dxa"/>
          </w:tcPr>
          <w:p w:rsidR="00670C7E" w:rsidRPr="00292D0D" w:rsidRDefault="00670C7E" w:rsidP="001E6FB0">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European Union and the US</w:t>
            </w:r>
          </w:p>
        </w:tc>
        <w:tc>
          <w:tcPr>
            <w:tcW w:w="5890" w:type="dxa"/>
          </w:tcPr>
          <w:p w:rsidR="00670C7E" w:rsidRPr="00292D0D" w:rsidRDefault="00670C7E" w:rsidP="00BE2386">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The EU and US impose visa ban and asset freeze on some of Russian Officials</w:t>
            </w:r>
          </w:p>
        </w:tc>
      </w:tr>
      <w:tr w:rsidR="00670C7E" w:rsidRPr="002720F0" w:rsidTr="00670C7E">
        <w:trPr>
          <w:trHeight w:val="243"/>
        </w:trPr>
        <w:tc>
          <w:tcPr>
            <w:tcW w:w="1696" w:type="dxa"/>
            <w:noWrap/>
            <w:hideMark/>
          </w:tcPr>
          <w:p w:rsidR="00670C7E" w:rsidRPr="00292D0D" w:rsidRDefault="00670C7E" w:rsidP="002720F0">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March 20, 2014</w:t>
            </w:r>
          </w:p>
        </w:tc>
        <w:tc>
          <w:tcPr>
            <w:tcW w:w="2552" w:type="dxa"/>
          </w:tcPr>
          <w:p w:rsidR="00670C7E" w:rsidRPr="00292D0D" w:rsidRDefault="00670C7E" w:rsidP="00BE2386">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European Union and the US</w:t>
            </w:r>
          </w:p>
        </w:tc>
        <w:tc>
          <w:tcPr>
            <w:tcW w:w="5890" w:type="dxa"/>
          </w:tcPr>
          <w:p w:rsidR="00670C7E" w:rsidRPr="00292D0D" w:rsidRDefault="00670C7E" w:rsidP="00BE2386">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 xml:space="preserve">EU cancels the EU-Russian summit. The US includes Russian officials and Bank Rossia on a Treasury sanction list. </w:t>
            </w:r>
          </w:p>
        </w:tc>
      </w:tr>
      <w:tr w:rsidR="00670C7E" w:rsidRPr="002720F0" w:rsidTr="00670C7E">
        <w:trPr>
          <w:trHeight w:val="243"/>
        </w:trPr>
        <w:tc>
          <w:tcPr>
            <w:tcW w:w="1696" w:type="dxa"/>
            <w:noWrap/>
            <w:hideMark/>
          </w:tcPr>
          <w:p w:rsidR="00670C7E" w:rsidRPr="00292D0D" w:rsidRDefault="00670C7E" w:rsidP="002720F0">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March 21, 2014</w:t>
            </w:r>
          </w:p>
        </w:tc>
        <w:tc>
          <w:tcPr>
            <w:tcW w:w="2552" w:type="dxa"/>
          </w:tcPr>
          <w:p w:rsidR="00670C7E" w:rsidRPr="00292D0D" w:rsidRDefault="00670C7E" w:rsidP="00F65F77">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European Union</w:t>
            </w:r>
          </w:p>
        </w:tc>
        <w:tc>
          <w:tcPr>
            <w:tcW w:w="5890" w:type="dxa"/>
          </w:tcPr>
          <w:p w:rsidR="00670C7E" w:rsidRPr="00292D0D" w:rsidRDefault="00670C7E" w:rsidP="00F65F77">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EU extends the sanction list to include 11 Russian officials</w:t>
            </w:r>
          </w:p>
        </w:tc>
      </w:tr>
      <w:tr w:rsidR="00670C7E" w:rsidRPr="002720F0" w:rsidTr="00670C7E">
        <w:trPr>
          <w:trHeight w:val="243"/>
        </w:trPr>
        <w:tc>
          <w:tcPr>
            <w:tcW w:w="1696" w:type="dxa"/>
            <w:noWrap/>
            <w:hideMark/>
          </w:tcPr>
          <w:p w:rsidR="00670C7E" w:rsidRPr="00292D0D" w:rsidRDefault="00670C7E" w:rsidP="002720F0">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March 25, 2014</w:t>
            </w:r>
          </w:p>
        </w:tc>
        <w:tc>
          <w:tcPr>
            <w:tcW w:w="2552" w:type="dxa"/>
          </w:tcPr>
          <w:p w:rsidR="00670C7E" w:rsidRPr="00292D0D" w:rsidRDefault="00670C7E" w:rsidP="00F93BE3">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European Union</w:t>
            </w:r>
          </w:p>
        </w:tc>
        <w:tc>
          <w:tcPr>
            <w:tcW w:w="5890" w:type="dxa"/>
          </w:tcPr>
          <w:p w:rsidR="00670C7E" w:rsidRPr="00292D0D" w:rsidRDefault="00670C7E" w:rsidP="00F93BE3">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EU stops issuing visa to residents of Crimea</w:t>
            </w:r>
          </w:p>
        </w:tc>
      </w:tr>
      <w:tr w:rsidR="00670C7E" w:rsidRPr="002720F0" w:rsidTr="00670C7E">
        <w:trPr>
          <w:trHeight w:val="243"/>
        </w:trPr>
        <w:tc>
          <w:tcPr>
            <w:tcW w:w="1696" w:type="dxa"/>
            <w:noWrap/>
            <w:hideMark/>
          </w:tcPr>
          <w:p w:rsidR="00670C7E" w:rsidRPr="00292D0D" w:rsidRDefault="00670C7E" w:rsidP="002720F0">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March 27, 2014</w:t>
            </w:r>
          </w:p>
        </w:tc>
        <w:tc>
          <w:tcPr>
            <w:tcW w:w="2552" w:type="dxa"/>
          </w:tcPr>
          <w:p w:rsidR="00670C7E" w:rsidRPr="00292D0D" w:rsidRDefault="00670C7E" w:rsidP="00183C01">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The United States of America</w:t>
            </w:r>
          </w:p>
        </w:tc>
        <w:tc>
          <w:tcPr>
            <w:tcW w:w="5890" w:type="dxa"/>
          </w:tcPr>
          <w:p w:rsidR="00670C7E" w:rsidRPr="00292D0D" w:rsidRDefault="00670C7E" w:rsidP="00183C01">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The US imposes ban on defence export from Russia</w:t>
            </w:r>
          </w:p>
        </w:tc>
      </w:tr>
      <w:tr w:rsidR="00670C7E" w:rsidRPr="002720F0" w:rsidTr="00670C7E">
        <w:trPr>
          <w:trHeight w:val="243"/>
        </w:trPr>
        <w:tc>
          <w:tcPr>
            <w:tcW w:w="1696" w:type="dxa"/>
            <w:noWrap/>
            <w:hideMark/>
          </w:tcPr>
          <w:p w:rsidR="00670C7E" w:rsidRPr="00292D0D" w:rsidRDefault="00670C7E" w:rsidP="005D147A">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March 28, 2014</w:t>
            </w:r>
          </w:p>
        </w:tc>
        <w:tc>
          <w:tcPr>
            <w:tcW w:w="2552" w:type="dxa"/>
          </w:tcPr>
          <w:p w:rsidR="00670C7E" w:rsidRPr="00292D0D" w:rsidRDefault="00670C7E" w:rsidP="00766720">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The United States of America</w:t>
            </w:r>
          </w:p>
        </w:tc>
        <w:tc>
          <w:tcPr>
            <w:tcW w:w="5890" w:type="dxa"/>
          </w:tcPr>
          <w:p w:rsidR="00670C7E" w:rsidRPr="00292D0D" w:rsidRDefault="00670C7E" w:rsidP="00766720">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The US suspends the bilateral US-Russia presidential commission</w:t>
            </w:r>
          </w:p>
        </w:tc>
      </w:tr>
      <w:tr w:rsidR="00670C7E" w:rsidRPr="002720F0" w:rsidTr="00670C7E">
        <w:trPr>
          <w:trHeight w:val="243"/>
        </w:trPr>
        <w:tc>
          <w:tcPr>
            <w:tcW w:w="1696" w:type="dxa"/>
            <w:noWrap/>
            <w:hideMark/>
          </w:tcPr>
          <w:p w:rsidR="00670C7E" w:rsidRPr="00292D0D" w:rsidRDefault="00670C7E" w:rsidP="005D147A">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April 11, 2014</w:t>
            </w:r>
          </w:p>
        </w:tc>
        <w:tc>
          <w:tcPr>
            <w:tcW w:w="2552" w:type="dxa"/>
          </w:tcPr>
          <w:p w:rsidR="00670C7E" w:rsidRPr="00292D0D" w:rsidRDefault="00670C7E" w:rsidP="00766720">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The United States of America</w:t>
            </w:r>
          </w:p>
        </w:tc>
        <w:tc>
          <w:tcPr>
            <w:tcW w:w="5890" w:type="dxa"/>
          </w:tcPr>
          <w:p w:rsidR="00670C7E" w:rsidRPr="00292D0D" w:rsidRDefault="00670C7E" w:rsidP="00766720">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7 more officials and Crimea oil and gas company are added to US Treasury sanctions list</w:t>
            </w:r>
          </w:p>
        </w:tc>
      </w:tr>
      <w:tr w:rsidR="00670C7E" w:rsidRPr="002720F0" w:rsidTr="00670C7E">
        <w:trPr>
          <w:trHeight w:val="243"/>
        </w:trPr>
        <w:tc>
          <w:tcPr>
            <w:tcW w:w="1696" w:type="dxa"/>
            <w:noWrap/>
            <w:hideMark/>
          </w:tcPr>
          <w:p w:rsidR="00670C7E" w:rsidRPr="00292D0D" w:rsidRDefault="00670C7E" w:rsidP="00727CD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April 28, 2014</w:t>
            </w:r>
          </w:p>
        </w:tc>
        <w:tc>
          <w:tcPr>
            <w:tcW w:w="2552" w:type="dxa"/>
          </w:tcPr>
          <w:p w:rsidR="00670C7E" w:rsidRPr="00292D0D" w:rsidRDefault="00670C7E" w:rsidP="00727CD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The United States of America</w:t>
            </w:r>
          </w:p>
        </w:tc>
        <w:tc>
          <w:tcPr>
            <w:tcW w:w="5890" w:type="dxa"/>
          </w:tcPr>
          <w:p w:rsidR="00670C7E" w:rsidRPr="00292D0D" w:rsidRDefault="00670C7E" w:rsidP="00727CD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The US imposes sanctions on firms link to Putin as well as puts restrictions on import ban on goods which may be used in defence industry</w:t>
            </w:r>
          </w:p>
        </w:tc>
      </w:tr>
      <w:tr w:rsidR="00670C7E" w:rsidRPr="002720F0" w:rsidTr="00670C7E">
        <w:trPr>
          <w:trHeight w:val="243"/>
        </w:trPr>
        <w:tc>
          <w:tcPr>
            <w:tcW w:w="1696" w:type="dxa"/>
            <w:noWrap/>
            <w:hideMark/>
          </w:tcPr>
          <w:p w:rsidR="00670C7E" w:rsidRPr="00292D0D" w:rsidRDefault="00670C7E" w:rsidP="00727CD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May 12, 2014</w:t>
            </w:r>
          </w:p>
        </w:tc>
        <w:tc>
          <w:tcPr>
            <w:tcW w:w="2552" w:type="dxa"/>
          </w:tcPr>
          <w:p w:rsidR="00670C7E" w:rsidRPr="00292D0D" w:rsidRDefault="00670C7E" w:rsidP="00624AC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624AC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Two energy companies of Crimea peninsula have been added to the sanctions list. </w:t>
            </w:r>
          </w:p>
        </w:tc>
      </w:tr>
      <w:tr w:rsidR="00670C7E" w:rsidRPr="002720F0" w:rsidTr="00670C7E">
        <w:trPr>
          <w:trHeight w:val="243"/>
        </w:trPr>
        <w:tc>
          <w:tcPr>
            <w:tcW w:w="1696" w:type="dxa"/>
            <w:noWrap/>
            <w:hideMark/>
          </w:tcPr>
          <w:p w:rsidR="00670C7E" w:rsidRPr="00292D0D" w:rsidRDefault="00670C7E" w:rsidP="00727CD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June 20, 2014</w:t>
            </w:r>
          </w:p>
        </w:tc>
        <w:tc>
          <w:tcPr>
            <w:tcW w:w="2552" w:type="dxa"/>
          </w:tcPr>
          <w:p w:rsidR="00670C7E" w:rsidRPr="00292D0D" w:rsidRDefault="00670C7E" w:rsidP="00624AC9">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The United States of America</w:t>
            </w:r>
          </w:p>
        </w:tc>
        <w:tc>
          <w:tcPr>
            <w:tcW w:w="5890" w:type="dxa"/>
          </w:tcPr>
          <w:p w:rsidR="00670C7E" w:rsidRPr="00292D0D" w:rsidRDefault="00670C7E" w:rsidP="00624AC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imposes sanctions on 7 individuals </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July 12, 2014</w:t>
            </w:r>
          </w:p>
        </w:tc>
        <w:tc>
          <w:tcPr>
            <w:tcW w:w="2552" w:type="dxa"/>
          </w:tcPr>
          <w:p w:rsidR="00670C7E" w:rsidRPr="00292D0D" w:rsidRDefault="00670C7E" w:rsidP="00904A04">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904A04">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11 more individuals were added to the sanctions list. </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July 16, 2014</w:t>
            </w:r>
          </w:p>
        </w:tc>
        <w:tc>
          <w:tcPr>
            <w:tcW w:w="2552" w:type="dxa"/>
          </w:tcPr>
          <w:p w:rsidR="00670C7E" w:rsidRPr="00292D0D" w:rsidRDefault="00670C7E" w:rsidP="00BA0B1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BA0B1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US Treasury has imposed sanctions on 2 Russian banks, energy banks, and 8 defence firms</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July 18, 2014</w:t>
            </w:r>
          </w:p>
        </w:tc>
        <w:tc>
          <w:tcPr>
            <w:tcW w:w="2552" w:type="dxa"/>
          </w:tcPr>
          <w:p w:rsidR="00670C7E" w:rsidRPr="00292D0D" w:rsidRDefault="00670C7E" w:rsidP="00B817E2">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B817E2">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EU has suspended the funding of all projects in the Russian Federation</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July 26, 2014</w:t>
            </w:r>
          </w:p>
        </w:tc>
        <w:tc>
          <w:tcPr>
            <w:tcW w:w="2552" w:type="dxa"/>
          </w:tcPr>
          <w:p w:rsidR="00670C7E" w:rsidRPr="00292D0D" w:rsidRDefault="00670C7E" w:rsidP="00B817E2">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B817E2">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 has extended the list of individuals subject to sanctions</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July 29, 2014</w:t>
            </w:r>
          </w:p>
        </w:tc>
        <w:tc>
          <w:tcPr>
            <w:tcW w:w="2552" w:type="dxa"/>
          </w:tcPr>
          <w:p w:rsidR="00670C7E" w:rsidRPr="00292D0D" w:rsidRDefault="00670C7E" w:rsidP="00B817E2">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 and European Union</w:t>
            </w:r>
          </w:p>
        </w:tc>
        <w:tc>
          <w:tcPr>
            <w:tcW w:w="5890" w:type="dxa"/>
          </w:tcPr>
          <w:p w:rsidR="00670C7E" w:rsidRPr="00292D0D" w:rsidRDefault="00670C7E" w:rsidP="00B817E2">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US has imposed sanctions on banking, energy and defence industry. EU restricts access of Russian banks to EU capital markets.</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July 31, 2014</w:t>
            </w:r>
          </w:p>
        </w:tc>
        <w:tc>
          <w:tcPr>
            <w:tcW w:w="2552" w:type="dxa"/>
          </w:tcPr>
          <w:p w:rsidR="00670C7E" w:rsidRPr="00292D0D" w:rsidRDefault="00670C7E" w:rsidP="002D392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B71A11">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US increases the number of people in the sanctions list.</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September 12, 2014</w:t>
            </w:r>
          </w:p>
        </w:tc>
        <w:tc>
          <w:tcPr>
            <w:tcW w:w="2552" w:type="dxa"/>
          </w:tcPr>
          <w:p w:rsidR="00670C7E" w:rsidRPr="00292D0D" w:rsidRDefault="00670C7E" w:rsidP="00B8726B">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 and the United States of America</w:t>
            </w:r>
          </w:p>
        </w:tc>
        <w:tc>
          <w:tcPr>
            <w:tcW w:w="5890" w:type="dxa"/>
          </w:tcPr>
          <w:p w:rsidR="00670C7E" w:rsidRPr="00292D0D" w:rsidRDefault="00670C7E" w:rsidP="00B8726B">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further restricts the financing for Russian energy firms and banks. The US prohibits the supply of technology for the Russian oil and gas firms. </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December 12, 2014</w:t>
            </w:r>
          </w:p>
        </w:tc>
        <w:tc>
          <w:tcPr>
            <w:tcW w:w="2552" w:type="dxa"/>
          </w:tcPr>
          <w:p w:rsidR="00670C7E" w:rsidRPr="00292D0D" w:rsidRDefault="00670C7E" w:rsidP="007A149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2C609F">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EU bans products export from Crimea.</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lastRenderedPageBreak/>
              <w:t>December 20, 2014</w:t>
            </w:r>
          </w:p>
        </w:tc>
        <w:tc>
          <w:tcPr>
            <w:tcW w:w="2552" w:type="dxa"/>
          </w:tcPr>
          <w:p w:rsidR="00670C7E" w:rsidRPr="00292D0D" w:rsidRDefault="00670C7E" w:rsidP="00430EB5">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430EB5">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US bans products export from Crimea.</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February 16, 2015</w:t>
            </w:r>
          </w:p>
        </w:tc>
        <w:tc>
          <w:tcPr>
            <w:tcW w:w="2552" w:type="dxa"/>
          </w:tcPr>
          <w:p w:rsidR="00670C7E" w:rsidRPr="00292D0D" w:rsidRDefault="00670C7E" w:rsidP="00696B50">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67690F">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has increased the list of individuals included in the sanctions list. </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March 4, 2015</w:t>
            </w:r>
          </w:p>
        </w:tc>
        <w:tc>
          <w:tcPr>
            <w:tcW w:w="2552" w:type="dxa"/>
          </w:tcPr>
          <w:p w:rsidR="00670C7E" w:rsidRPr="00292D0D" w:rsidRDefault="00670C7E" w:rsidP="00BE6218">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BE6218">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extends all imposed sanctions for one more year. </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 xml:space="preserve">March 11, 2015 </w:t>
            </w:r>
          </w:p>
        </w:tc>
        <w:tc>
          <w:tcPr>
            <w:tcW w:w="2552" w:type="dxa"/>
          </w:tcPr>
          <w:p w:rsidR="00670C7E" w:rsidRPr="00292D0D" w:rsidRDefault="00670C7E" w:rsidP="005218AC">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5218AC">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has increased the list of individuals included in the sanctions list. </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March 14, 2015</w:t>
            </w:r>
          </w:p>
        </w:tc>
        <w:tc>
          <w:tcPr>
            <w:tcW w:w="2552" w:type="dxa"/>
          </w:tcPr>
          <w:p w:rsidR="00670C7E" w:rsidRPr="00292D0D" w:rsidRDefault="00670C7E" w:rsidP="00E71402">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086C1E">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the sanctions for one more year. </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June 22, 2015</w:t>
            </w:r>
          </w:p>
        </w:tc>
        <w:tc>
          <w:tcPr>
            <w:tcW w:w="2552" w:type="dxa"/>
          </w:tcPr>
          <w:p w:rsidR="00670C7E" w:rsidRPr="00292D0D" w:rsidRDefault="00670C7E" w:rsidP="00B40BAA">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B40BAA">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economic sanctions till January 31, 2016. </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June 24, 2015</w:t>
            </w:r>
          </w:p>
        </w:tc>
        <w:tc>
          <w:tcPr>
            <w:tcW w:w="2552" w:type="dxa"/>
          </w:tcPr>
          <w:p w:rsidR="00670C7E" w:rsidRPr="00292D0D" w:rsidRDefault="00670C7E" w:rsidP="00221D7A">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221D7A">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introduces the law allowing to punish organizations involved in economic activity with Russian banned enterprises. </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July 30, 2015</w:t>
            </w:r>
          </w:p>
        </w:tc>
        <w:tc>
          <w:tcPr>
            <w:tcW w:w="2552" w:type="dxa"/>
          </w:tcPr>
          <w:p w:rsidR="00670C7E" w:rsidRPr="00292D0D" w:rsidRDefault="00670C7E" w:rsidP="00F94FB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F94FB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includes 11 more individuals in the sanctions list. </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 xml:space="preserve">August 7, 2015 </w:t>
            </w:r>
          </w:p>
        </w:tc>
        <w:tc>
          <w:tcPr>
            <w:tcW w:w="2552" w:type="dxa"/>
          </w:tcPr>
          <w:p w:rsidR="00670C7E" w:rsidRPr="00292D0D" w:rsidRDefault="00670C7E" w:rsidP="00BA6EC1">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BA6EC1">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US imposes sanctions on the Yuzhno-Kirinskoe oil field</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September 14, 2015</w:t>
            </w:r>
          </w:p>
        </w:tc>
        <w:tc>
          <w:tcPr>
            <w:tcW w:w="2552" w:type="dxa"/>
          </w:tcPr>
          <w:p w:rsidR="00670C7E" w:rsidRPr="00292D0D" w:rsidRDefault="00670C7E" w:rsidP="00D42BC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D42BC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sanctions against individuals and asset freeze till March 31, 2016. </w:t>
            </w:r>
          </w:p>
        </w:tc>
      </w:tr>
      <w:tr w:rsidR="00670C7E" w:rsidRPr="002720F0" w:rsidTr="00670C7E">
        <w:trPr>
          <w:trHeight w:val="243"/>
        </w:trPr>
        <w:tc>
          <w:tcPr>
            <w:tcW w:w="1696" w:type="dxa"/>
            <w:noWrap/>
            <w:hideMark/>
          </w:tcPr>
          <w:p w:rsidR="00670C7E" w:rsidRPr="00292D0D" w:rsidRDefault="00670C7E" w:rsidP="00904A04">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December 21, 2015</w:t>
            </w:r>
          </w:p>
        </w:tc>
        <w:tc>
          <w:tcPr>
            <w:tcW w:w="2552" w:type="dxa"/>
          </w:tcPr>
          <w:p w:rsidR="00670C7E" w:rsidRPr="00292D0D" w:rsidRDefault="00670C7E" w:rsidP="002B0F3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2B0F3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economic sanctions till July 31, 2016. </w:t>
            </w:r>
          </w:p>
        </w:tc>
      </w:tr>
      <w:tr w:rsidR="00670C7E" w:rsidRPr="002720F0" w:rsidTr="00670C7E">
        <w:trPr>
          <w:trHeight w:val="243"/>
        </w:trPr>
        <w:tc>
          <w:tcPr>
            <w:tcW w:w="1696" w:type="dxa"/>
            <w:noWrap/>
            <w:hideMark/>
          </w:tcPr>
          <w:p w:rsidR="00670C7E" w:rsidRPr="00292D0D" w:rsidRDefault="00670C7E" w:rsidP="00CF2BF1">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December 22, 2015</w:t>
            </w:r>
          </w:p>
        </w:tc>
        <w:tc>
          <w:tcPr>
            <w:tcW w:w="2552" w:type="dxa"/>
          </w:tcPr>
          <w:p w:rsidR="00670C7E" w:rsidRPr="00292D0D" w:rsidRDefault="00670C7E" w:rsidP="00CF2BF1">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CF2BF1">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includes 34 more individuals in the sanctions list. </w:t>
            </w:r>
          </w:p>
        </w:tc>
      </w:tr>
      <w:tr w:rsidR="00670C7E" w:rsidRPr="002720F0" w:rsidTr="00670C7E">
        <w:trPr>
          <w:trHeight w:val="243"/>
        </w:trPr>
        <w:tc>
          <w:tcPr>
            <w:tcW w:w="1696" w:type="dxa"/>
            <w:noWrap/>
            <w:hideMark/>
          </w:tcPr>
          <w:p w:rsidR="00670C7E" w:rsidRPr="00292D0D" w:rsidRDefault="00670C7E" w:rsidP="00336C69">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March 2, 2016</w:t>
            </w:r>
          </w:p>
        </w:tc>
        <w:tc>
          <w:tcPr>
            <w:tcW w:w="2552" w:type="dxa"/>
          </w:tcPr>
          <w:p w:rsidR="00670C7E" w:rsidRPr="00292D0D" w:rsidRDefault="00670C7E" w:rsidP="00336C6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336C6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extends sanctions by one more year. </w:t>
            </w:r>
          </w:p>
        </w:tc>
      </w:tr>
      <w:tr w:rsidR="00670C7E" w:rsidRPr="002720F0" w:rsidTr="00670C7E">
        <w:trPr>
          <w:trHeight w:val="243"/>
        </w:trPr>
        <w:tc>
          <w:tcPr>
            <w:tcW w:w="1696" w:type="dxa"/>
            <w:noWrap/>
            <w:hideMark/>
          </w:tcPr>
          <w:p w:rsidR="00670C7E" w:rsidRPr="00292D0D" w:rsidRDefault="00670C7E" w:rsidP="00B03EAA">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March 10, 2016</w:t>
            </w:r>
          </w:p>
        </w:tc>
        <w:tc>
          <w:tcPr>
            <w:tcW w:w="2552" w:type="dxa"/>
          </w:tcPr>
          <w:p w:rsidR="00670C7E" w:rsidRPr="00292D0D" w:rsidRDefault="00670C7E" w:rsidP="00B03EAA">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B03EAA">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sanctions against individuals and asset freeze till September 15, 2016. </w:t>
            </w:r>
          </w:p>
        </w:tc>
      </w:tr>
      <w:tr w:rsidR="00670C7E" w:rsidRPr="002720F0" w:rsidTr="00670C7E">
        <w:trPr>
          <w:trHeight w:val="243"/>
        </w:trPr>
        <w:tc>
          <w:tcPr>
            <w:tcW w:w="1696" w:type="dxa"/>
            <w:noWrap/>
            <w:hideMark/>
          </w:tcPr>
          <w:p w:rsidR="00670C7E" w:rsidRPr="00292D0D" w:rsidRDefault="00670C7E" w:rsidP="003678EE">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June 17, 2016</w:t>
            </w:r>
          </w:p>
        </w:tc>
        <w:tc>
          <w:tcPr>
            <w:tcW w:w="2552" w:type="dxa"/>
          </w:tcPr>
          <w:p w:rsidR="00670C7E" w:rsidRPr="00292D0D" w:rsidRDefault="00670C7E" w:rsidP="003678EE">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3678EE">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sanctions on Crimea till January 31, 2017.  </w:t>
            </w:r>
          </w:p>
        </w:tc>
      </w:tr>
      <w:tr w:rsidR="00670C7E" w:rsidRPr="002720F0" w:rsidTr="00670C7E">
        <w:trPr>
          <w:trHeight w:val="243"/>
        </w:trPr>
        <w:tc>
          <w:tcPr>
            <w:tcW w:w="1696" w:type="dxa"/>
            <w:noWrap/>
            <w:hideMark/>
          </w:tcPr>
          <w:p w:rsidR="00670C7E" w:rsidRPr="00292D0D" w:rsidRDefault="00670C7E" w:rsidP="003678EE">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 xml:space="preserve">July 1, 2016 </w:t>
            </w:r>
          </w:p>
        </w:tc>
        <w:tc>
          <w:tcPr>
            <w:tcW w:w="2552" w:type="dxa"/>
          </w:tcPr>
          <w:p w:rsidR="00670C7E" w:rsidRPr="00292D0D" w:rsidRDefault="00670C7E" w:rsidP="005447CC">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European Union </w:t>
            </w:r>
          </w:p>
        </w:tc>
        <w:tc>
          <w:tcPr>
            <w:tcW w:w="5890" w:type="dxa"/>
          </w:tcPr>
          <w:p w:rsidR="00670C7E" w:rsidRPr="00292D0D" w:rsidRDefault="00670C7E" w:rsidP="005447CC">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economic sanctions till January 31, 2017. </w:t>
            </w:r>
          </w:p>
        </w:tc>
      </w:tr>
      <w:tr w:rsidR="00670C7E" w:rsidRPr="002720F0" w:rsidTr="00670C7E">
        <w:trPr>
          <w:trHeight w:val="243"/>
        </w:trPr>
        <w:tc>
          <w:tcPr>
            <w:tcW w:w="1696" w:type="dxa"/>
            <w:noWrap/>
            <w:hideMark/>
          </w:tcPr>
          <w:p w:rsidR="00670C7E" w:rsidRPr="00292D0D" w:rsidRDefault="00670C7E" w:rsidP="00F04215">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 xml:space="preserve">September 1, 2016 </w:t>
            </w:r>
          </w:p>
        </w:tc>
        <w:tc>
          <w:tcPr>
            <w:tcW w:w="2552" w:type="dxa"/>
          </w:tcPr>
          <w:p w:rsidR="00670C7E" w:rsidRPr="00292D0D" w:rsidRDefault="00670C7E" w:rsidP="00F04215">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F04215">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includes more individuals in the sanctions list as well as local subsidiaries of Gazprom. </w:t>
            </w:r>
          </w:p>
        </w:tc>
      </w:tr>
      <w:tr w:rsidR="00670C7E" w:rsidRPr="002720F0" w:rsidTr="00670C7E">
        <w:trPr>
          <w:trHeight w:val="243"/>
        </w:trPr>
        <w:tc>
          <w:tcPr>
            <w:tcW w:w="1696" w:type="dxa"/>
            <w:noWrap/>
            <w:hideMark/>
          </w:tcPr>
          <w:p w:rsidR="00670C7E" w:rsidRPr="00292D0D" w:rsidRDefault="00670C7E" w:rsidP="00481448">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September 6, 2016</w:t>
            </w:r>
          </w:p>
        </w:tc>
        <w:tc>
          <w:tcPr>
            <w:tcW w:w="2552" w:type="dxa"/>
          </w:tcPr>
          <w:p w:rsidR="00670C7E" w:rsidRPr="00292D0D" w:rsidRDefault="00670C7E" w:rsidP="00481448">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481448">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includes 11 entities in the sanctions list. </w:t>
            </w:r>
          </w:p>
        </w:tc>
      </w:tr>
      <w:tr w:rsidR="00670C7E" w:rsidRPr="002720F0" w:rsidTr="00670C7E">
        <w:trPr>
          <w:trHeight w:val="243"/>
        </w:trPr>
        <w:tc>
          <w:tcPr>
            <w:tcW w:w="1696" w:type="dxa"/>
            <w:noWrap/>
            <w:hideMark/>
          </w:tcPr>
          <w:p w:rsidR="00670C7E" w:rsidRPr="00292D0D" w:rsidRDefault="00670C7E" w:rsidP="000A6367">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September 15, 2016</w:t>
            </w:r>
          </w:p>
        </w:tc>
        <w:tc>
          <w:tcPr>
            <w:tcW w:w="2552" w:type="dxa"/>
          </w:tcPr>
          <w:p w:rsidR="00670C7E" w:rsidRPr="00292D0D" w:rsidRDefault="00670C7E" w:rsidP="000A6367">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876E0C">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sanctions against individuals and asset freeze till March 2017. </w:t>
            </w:r>
          </w:p>
        </w:tc>
      </w:tr>
      <w:tr w:rsidR="00670C7E" w:rsidRPr="002720F0" w:rsidTr="00670C7E">
        <w:trPr>
          <w:trHeight w:val="243"/>
        </w:trPr>
        <w:tc>
          <w:tcPr>
            <w:tcW w:w="1696" w:type="dxa"/>
            <w:noWrap/>
            <w:hideMark/>
          </w:tcPr>
          <w:p w:rsidR="00670C7E" w:rsidRPr="00292D0D" w:rsidRDefault="00670C7E" w:rsidP="000A6367">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 xml:space="preserve">November 9, 2016 </w:t>
            </w:r>
          </w:p>
        </w:tc>
        <w:tc>
          <w:tcPr>
            <w:tcW w:w="2552" w:type="dxa"/>
          </w:tcPr>
          <w:p w:rsidR="00670C7E" w:rsidRPr="00292D0D" w:rsidRDefault="00670C7E" w:rsidP="00CD7E94">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CD7E94">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imposes visa restrictions on lawmakers from Crimea. </w:t>
            </w:r>
          </w:p>
        </w:tc>
      </w:tr>
      <w:tr w:rsidR="00670C7E" w:rsidRPr="002720F0" w:rsidTr="00670C7E">
        <w:trPr>
          <w:trHeight w:val="243"/>
        </w:trPr>
        <w:tc>
          <w:tcPr>
            <w:tcW w:w="1696" w:type="dxa"/>
            <w:noWrap/>
            <w:hideMark/>
          </w:tcPr>
          <w:p w:rsidR="00670C7E" w:rsidRPr="00292D0D" w:rsidRDefault="00670C7E" w:rsidP="000A6367">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November 15, 2016</w:t>
            </w:r>
          </w:p>
        </w:tc>
        <w:tc>
          <w:tcPr>
            <w:tcW w:w="2552" w:type="dxa"/>
          </w:tcPr>
          <w:p w:rsidR="00670C7E" w:rsidRPr="00292D0D" w:rsidRDefault="00670C7E" w:rsidP="00E313A4">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United States of America </w:t>
            </w:r>
          </w:p>
        </w:tc>
        <w:tc>
          <w:tcPr>
            <w:tcW w:w="5890" w:type="dxa"/>
          </w:tcPr>
          <w:p w:rsidR="00670C7E" w:rsidRPr="00292D0D" w:rsidRDefault="00670C7E" w:rsidP="00B05025">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US imposes sanctions on lawmakers from Crimea</w:t>
            </w:r>
          </w:p>
        </w:tc>
      </w:tr>
      <w:tr w:rsidR="00670C7E" w:rsidRPr="002720F0" w:rsidTr="00670C7E">
        <w:trPr>
          <w:trHeight w:val="243"/>
        </w:trPr>
        <w:tc>
          <w:tcPr>
            <w:tcW w:w="1696" w:type="dxa"/>
            <w:noWrap/>
            <w:hideMark/>
          </w:tcPr>
          <w:p w:rsidR="00670C7E" w:rsidRPr="00292D0D" w:rsidRDefault="00670C7E" w:rsidP="000A6367">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December 19, 2016</w:t>
            </w:r>
          </w:p>
        </w:tc>
        <w:tc>
          <w:tcPr>
            <w:tcW w:w="2552" w:type="dxa"/>
          </w:tcPr>
          <w:p w:rsidR="00670C7E" w:rsidRPr="00292D0D" w:rsidRDefault="00670C7E" w:rsidP="00B05025">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B05025">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sanctions on Russia till July 31, 2017. </w:t>
            </w:r>
          </w:p>
        </w:tc>
      </w:tr>
      <w:tr w:rsidR="00670C7E" w:rsidRPr="002720F0" w:rsidTr="00670C7E">
        <w:trPr>
          <w:trHeight w:val="243"/>
        </w:trPr>
        <w:tc>
          <w:tcPr>
            <w:tcW w:w="1696" w:type="dxa"/>
            <w:noWrap/>
            <w:hideMark/>
          </w:tcPr>
          <w:p w:rsidR="00670C7E" w:rsidRPr="00292D0D" w:rsidRDefault="00670C7E" w:rsidP="000A6367">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December 20, 2016</w:t>
            </w:r>
          </w:p>
        </w:tc>
        <w:tc>
          <w:tcPr>
            <w:tcW w:w="2552" w:type="dxa"/>
          </w:tcPr>
          <w:p w:rsidR="00670C7E" w:rsidRPr="00292D0D" w:rsidRDefault="00670C7E" w:rsidP="009A70C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9A70C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imposes sanctions on logistics companies involved in construction in Crimea. </w:t>
            </w:r>
          </w:p>
        </w:tc>
      </w:tr>
      <w:tr w:rsidR="00670C7E" w:rsidRPr="002720F0" w:rsidTr="00670C7E">
        <w:trPr>
          <w:trHeight w:val="243"/>
        </w:trPr>
        <w:tc>
          <w:tcPr>
            <w:tcW w:w="1696" w:type="dxa"/>
            <w:noWrap/>
            <w:hideMark/>
          </w:tcPr>
          <w:p w:rsidR="00670C7E" w:rsidRPr="00292D0D" w:rsidRDefault="00670C7E" w:rsidP="000A6367">
            <w:pPr>
              <w:pStyle w:val="BodyText"/>
              <w:spacing w:line="360" w:lineRule="auto"/>
              <w:jc w:val="both"/>
              <w:rPr>
                <w:rFonts w:ascii="Times New Roman" w:hAnsi="Times New Roman" w:cs="Times New Roman"/>
                <w:sz w:val="16"/>
                <w:szCs w:val="16"/>
              </w:rPr>
            </w:pPr>
            <w:r w:rsidRPr="00292D0D">
              <w:rPr>
                <w:rFonts w:ascii="Times New Roman" w:hAnsi="Times New Roman" w:cs="Times New Roman"/>
                <w:sz w:val="16"/>
                <w:szCs w:val="16"/>
              </w:rPr>
              <w:t>December 23, 2016</w:t>
            </w:r>
          </w:p>
        </w:tc>
        <w:tc>
          <w:tcPr>
            <w:tcW w:w="2552" w:type="dxa"/>
          </w:tcPr>
          <w:p w:rsidR="00670C7E" w:rsidRPr="00292D0D" w:rsidRDefault="00670C7E" w:rsidP="00FC7B7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FC7B7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US imposes sanctions on 23 Russian companies</w:t>
            </w:r>
          </w:p>
        </w:tc>
      </w:tr>
      <w:tr w:rsidR="00670C7E" w:rsidRPr="002720F0" w:rsidTr="00670C7E">
        <w:trPr>
          <w:trHeight w:val="243"/>
        </w:trPr>
        <w:tc>
          <w:tcPr>
            <w:tcW w:w="1696" w:type="dxa"/>
            <w:noWrap/>
            <w:hideMark/>
          </w:tcPr>
          <w:p w:rsidR="00670C7E" w:rsidRPr="00292D0D" w:rsidRDefault="00670C7E" w:rsidP="000A6367">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January 13, 2017</w:t>
            </w:r>
          </w:p>
        </w:tc>
        <w:tc>
          <w:tcPr>
            <w:tcW w:w="2552" w:type="dxa"/>
          </w:tcPr>
          <w:p w:rsidR="00670C7E" w:rsidRPr="00292D0D" w:rsidRDefault="00670C7E" w:rsidP="003B0B7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3B0B7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extends sanctions by one more year. </w:t>
            </w:r>
          </w:p>
        </w:tc>
      </w:tr>
      <w:tr w:rsidR="00670C7E" w:rsidRPr="002720F0" w:rsidTr="00670C7E">
        <w:trPr>
          <w:trHeight w:val="243"/>
        </w:trPr>
        <w:tc>
          <w:tcPr>
            <w:tcW w:w="1696" w:type="dxa"/>
            <w:noWrap/>
            <w:hideMark/>
          </w:tcPr>
          <w:p w:rsidR="00670C7E" w:rsidRPr="00292D0D" w:rsidRDefault="00670C7E" w:rsidP="003B0B7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March 15, 2017</w:t>
            </w:r>
          </w:p>
        </w:tc>
        <w:tc>
          <w:tcPr>
            <w:tcW w:w="2552" w:type="dxa"/>
          </w:tcPr>
          <w:p w:rsidR="00670C7E" w:rsidRPr="00292D0D" w:rsidRDefault="00670C7E" w:rsidP="003B0B7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3B0B7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sanctions against individuals and asset freeze by 6 more months.  </w:t>
            </w:r>
          </w:p>
        </w:tc>
      </w:tr>
      <w:tr w:rsidR="00670C7E" w:rsidRPr="002720F0" w:rsidTr="00670C7E">
        <w:trPr>
          <w:trHeight w:val="243"/>
        </w:trPr>
        <w:tc>
          <w:tcPr>
            <w:tcW w:w="1696" w:type="dxa"/>
            <w:noWrap/>
            <w:hideMark/>
          </w:tcPr>
          <w:p w:rsidR="00670C7E" w:rsidRPr="00292D0D" w:rsidRDefault="00670C7E" w:rsidP="003B0B7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June 19, 2017</w:t>
            </w:r>
          </w:p>
        </w:tc>
        <w:tc>
          <w:tcPr>
            <w:tcW w:w="2552" w:type="dxa"/>
          </w:tcPr>
          <w:p w:rsidR="00670C7E" w:rsidRPr="00292D0D" w:rsidRDefault="00670C7E" w:rsidP="002A5E1B">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2A5E1B">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sanctions on Crimea till June 23, 2018. </w:t>
            </w:r>
          </w:p>
        </w:tc>
      </w:tr>
      <w:tr w:rsidR="00670C7E" w:rsidRPr="002720F0" w:rsidTr="00670C7E">
        <w:trPr>
          <w:trHeight w:val="243"/>
        </w:trPr>
        <w:tc>
          <w:tcPr>
            <w:tcW w:w="1696" w:type="dxa"/>
            <w:noWrap/>
            <w:hideMark/>
          </w:tcPr>
          <w:p w:rsidR="00670C7E" w:rsidRPr="00292D0D" w:rsidRDefault="00670C7E" w:rsidP="00FE3ECF">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June 20, 2017</w:t>
            </w:r>
          </w:p>
        </w:tc>
        <w:tc>
          <w:tcPr>
            <w:tcW w:w="2552" w:type="dxa"/>
          </w:tcPr>
          <w:p w:rsidR="00670C7E" w:rsidRPr="00292D0D" w:rsidRDefault="00670C7E" w:rsidP="00FE3ECF">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FE3ECF">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imposes sanctions on 38 individuals and PMC Wagner corporation. </w:t>
            </w:r>
          </w:p>
        </w:tc>
      </w:tr>
      <w:tr w:rsidR="00670C7E" w:rsidRPr="002720F0" w:rsidTr="00670C7E">
        <w:trPr>
          <w:trHeight w:val="243"/>
        </w:trPr>
        <w:tc>
          <w:tcPr>
            <w:tcW w:w="1696" w:type="dxa"/>
            <w:noWrap/>
            <w:hideMark/>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June 29, 2017</w:t>
            </w:r>
          </w:p>
        </w:tc>
        <w:tc>
          <w:tcPr>
            <w:tcW w:w="2552" w:type="dxa"/>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sanctions till January 31, 2018. </w:t>
            </w:r>
          </w:p>
        </w:tc>
      </w:tr>
      <w:tr w:rsidR="00670C7E" w:rsidRPr="002720F0" w:rsidTr="00670C7E">
        <w:trPr>
          <w:trHeight w:val="243"/>
        </w:trPr>
        <w:tc>
          <w:tcPr>
            <w:tcW w:w="1696" w:type="dxa"/>
            <w:noWrap/>
            <w:hideMark/>
          </w:tcPr>
          <w:p w:rsidR="00670C7E" w:rsidRPr="00292D0D" w:rsidRDefault="00670C7E" w:rsidP="004504A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September 14, 2017</w:t>
            </w:r>
          </w:p>
        </w:tc>
        <w:tc>
          <w:tcPr>
            <w:tcW w:w="2552" w:type="dxa"/>
          </w:tcPr>
          <w:p w:rsidR="00670C7E" w:rsidRPr="00292D0D" w:rsidRDefault="00670C7E" w:rsidP="004504A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4504A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sanctions on Russia till March 17, 2018. </w:t>
            </w:r>
          </w:p>
        </w:tc>
      </w:tr>
      <w:tr w:rsidR="00670C7E" w:rsidRPr="002720F0" w:rsidTr="00670C7E">
        <w:trPr>
          <w:trHeight w:val="243"/>
        </w:trPr>
        <w:tc>
          <w:tcPr>
            <w:tcW w:w="1696" w:type="dxa"/>
            <w:noWrap/>
            <w:hideMark/>
          </w:tcPr>
          <w:p w:rsidR="00670C7E" w:rsidRPr="00292D0D" w:rsidRDefault="00670C7E" w:rsidP="004504A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November 21, 2017</w:t>
            </w:r>
          </w:p>
        </w:tc>
        <w:tc>
          <w:tcPr>
            <w:tcW w:w="2552" w:type="dxa"/>
          </w:tcPr>
          <w:p w:rsidR="00670C7E" w:rsidRPr="00292D0D" w:rsidRDefault="00670C7E" w:rsidP="00D04DA0">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D04DA0">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imposes sanctions on the new governor of Sevastopol. </w:t>
            </w:r>
          </w:p>
        </w:tc>
      </w:tr>
      <w:tr w:rsidR="00670C7E" w:rsidRPr="002720F0" w:rsidTr="00670C7E">
        <w:trPr>
          <w:trHeight w:val="243"/>
        </w:trPr>
        <w:tc>
          <w:tcPr>
            <w:tcW w:w="1696" w:type="dxa"/>
            <w:noWrap/>
            <w:hideMark/>
          </w:tcPr>
          <w:p w:rsidR="00670C7E" w:rsidRPr="00292D0D" w:rsidRDefault="00670C7E" w:rsidP="004504A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December 22, 2017</w:t>
            </w:r>
          </w:p>
        </w:tc>
        <w:tc>
          <w:tcPr>
            <w:tcW w:w="2552" w:type="dxa"/>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sanctions on Russia till July 31, 2018. </w:t>
            </w:r>
          </w:p>
        </w:tc>
      </w:tr>
      <w:tr w:rsidR="00670C7E" w:rsidRPr="002720F0" w:rsidTr="00670C7E">
        <w:trPr>
          <w:trHeight w:val="243"/>
        </w:trPr>
        <w:tc>
          <w:tcPr>
            <w:tcW w:w="1696" w:type="dxa"/>
            <w:noWrap/>
            <w:hideMark/>
          </w:tcPr>
          <w:p w:rsidR="00670C7E" w:rsidRPr="00292D0D" w:rsidRDefault="00670C7E" w:rsidP="004504A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January 26, 2018</w:t>
            </w:r>
          </w:p>
        </w:tc>
        <w:tc>
          <w:tcPr>
            <w:tcW w:w="2552" w:type="dxa"/>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imposes sanctions on 21 individuals and nine companies </w:t>
            </w:r>
          </w:p>
        </w:tc>
      </w:tr>
      <w:tr w:rsidR="00670C7E" w:rsidRPr="002720F0" w:rsidTr="00670C7E">
        <w:trPr>
          <w:trHeight w:val="243"/>
        </w:trPr>
        <w:tc>
          <w:tcPr>
            <w:tcW w:w="1696" w:type="dxa"/>
            <w:noWrap/>
            <w:hideMark/>
          </w:tcPr>
          <w:p w:rsidR="00670C7E" w:rsidRPr="00292D0D" w:rsidRDefault="00670C7E" w:rsidP="004504A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January 30, 2018</w:t>
            </w:r>
          </w:p>
        </w:tc>
        <w:tc>
          <w:tcPr>
            <w:tcW w:w="2552" w:type="dxa"/>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US issues list of individuals who might be subject to sanctions by the US</w:t>
            </w:r>
          </w:p>
        </w:tc>
      </w:tr>
      <w:tr w:rsidR="00670C7E" w:rsidRPr="002720F0" w:rsidTr="00670C7E">
        <w:trPr>
          <w:trHeight w:val="243"/>
        </w:trPr>
        <w:tc>
          <w:tcPr>
            <w:tcW w:w="1696" w:type="dxa"/>
            <w:noWrap/>
            <w:hideMark/>
          </w:tcPr>
          <w:p w:rsidR="00670C7E" w:rsidRPr="00292D0D" w:rsidRDefault="00670C7E" w:rsidP="004504AD">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March 2, 2018</w:t>
            </w:r>
            <w:r w:rsidRPr="00292D0D">
              <w:rPr>
                <w:rFonts w:ascii="Times New Roman" w:hAnsi="Times New Roman" w:cs="Times New Roman"/>
                <w:sz w:val="16"/>
                <w:szCs w:val="16"/>
              </w:rPr>
              <w:t xml:space="preserve"> </w:t>
            </w:r>
          </w:p>
        </w:tc>
        <w:tc>
          <w:tcPr>
            <w:tcW w:w="2552" w:type="dxa"/>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US extends sanctions by one more year</w:t>
            </w:r>
          </w:p>
        </w:tc>
      </w:tr>
      <w:tr w:rsidR="00670C7E" w:rsidRPr="002720F0" w:rsidTr="00670C7E">
        <w:trPr>
          <w:trHeight w:val="243"/>
        </w:trPr>
        <w:tc>
          <w:tcPr>
            <w:tcW w:w="1696" w:type="dxa"/>
            <w:noWrap/>
            <w:hideMark/>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March 12, 2018</w:t>
            </w:r>
          </w:p>
        </w:tc>
        <w:tc>
          <w:tcPr>
            <w:tcW w:w="2552" w:type="dxa"/>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extends sanctions till September 15, 2018. </w:t>
            </w:r>
          </w:p>
        </w:tc>
      </w:tr>
      <w:tr w:rsidR="00670C7E" w:rsidRPr="002720F0" w:rsidTr="00670C7E">
        <w:trPr>
          <w:trHeight w:val="243"/>
        </w:trPr>
        <w:tc>
          <w:tcPr>
            <w:tcW w:w="1696" w:type="dxa"/>
            <w:noWrap/>
            <w:hideMark/>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March 26, 2018</w:t>
            </w:r>
          </w:p>
        </w:tc>
        <w:tc>
          <w:tcPr>
            <w:tcW w:w="2552" w:type="dxa"/>
          </w:tcPr>
          <w:p w:rsidR="00670C7E" w:rsidRPr="00292D0D" w:rsidRDefault="00670C7E" w:rsidP="003F79B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3F79B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US expels Russian diplomats. </w:t>
            </w:r>
          </w:p>
        </w:tc>
      </w:tr>
      <w:tr w:rsidR="00670C7E" w:rsidRPr="002720F0" w:rsidTr="00670C7E">
        <w:trPr>
          <w:trHeight w:val="243"/>
        </w:trPr>
        <w:tc>
          <w:tcPr>
            <w:tcW w:w="1696" w:type="dxa"/>
            <w:noWrap/>
            <w:hideMark/>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April 6, 2018</w:t>
            </w:r>
            <w:r w:rsidRPr="00292D0D">
              <w:rPr>
                <w:rFonts w:ascii="Times New Roman" w:hAnsi="Times New Roman" w:cs="Times New Roman"/>
                <w:sz w:val="16"/>
                <w:szCs w:val="16"/>
              </w:rPr>
              <w:t xml:space="preserve"> </w:t>
            </w:r>
          </w:p>
        </w:tc>
        <w:tc>
          <w:tcPr>
            <w:tcW w:w="2552" w:type="dxa"/>
          </w:tcPr>
          <w:p w:rsidR="00670C7E" w:rsidRPr="00292D0D" w:rsidRDefault="00670C7E" w:rsidP="003832D7">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3832D7">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US includes 38 more individuals in the sanctions list.</w:t>
            </w:r>
          </w:p>
        </w:tc>
      </w:tr>
      <w:tr w:rsidR="00670C7E" w:rsidRPr="002720F0" w:rsidTr="00670C7E">
        <w:trPr>
          <w:trHeight w:val="243"/>
        </w:trPr>
        <w:tc>
          <w:tcPr>
            <w:tcW w:w="1696" w:type="dxa"/>
            <w:noWrap/>
            <w:hideMark/>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May 14, 2018</w:t>
            </w:r>
          </w:p>
        </w:tc>
        <w:tc>
          <w:tcPr>
            <w:tcW w:w="2552" w:type="dxa"/>
          </w:tcPr>
          <w:p w:rsidR="00670C7E" w:rsidRPr="00292D0D" w:rsidRDefault="00670C7E" w:rsidP="003832D7">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European Union </w:t>
            </w:r>
          </w:p>
        </w:tc>
        <w:tc>
          <w:tcPr>
            <w:tcW w:w="5890" w:type="dxa"/>
          </w:tcPr>
          <w:p w:rsidR="00670C7E" w:rsidRPr="00292D0D" w:rsidRDefault="00670C7E" w:rsidP="003832D7">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EU imposes sanctions on individuals involved in presidential election in Crimea</w:t>
            </w:r>
          </w:p>
        </w:tc>
      </w:tr>
      <w:tr w:rsidR="00670C7E" w:rsidRPr="002720F0" w:rsidTr="00670C7E">
        <w:trPr>
          <w:trHeight w:val="243"/>
        </w:trPr>
        <w:tc>
          <w:tcPr>
            <w:tcW w:w="1696" w:type="dxa"/>
            <w:noWrap/>
            <w:hideMark/>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June 18, 2018</w:t>
            </w:r>
          </w:p>
        </w:tc>
        <w:tc>
          <w:tcPr>
            <w:tcW w:w="2552" w:type="dxa"/>
          </w:tcPr>
          <w:p w:rsidR="00670C7E" w:rsidRPr="00292D0D" w:rsidRDefault="00670C7E" w:rsidP="007C065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7C065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extended sanctions on Crimea. </w:t>
            </w:r>
          </w:p>
        </w:tc>
      </w:tr>
      <w:tr w:rsidR="00670C7E" w:rsidRPr="002720F0" w:rsidTr="00670C7E">
        <w:trPr>
          <w:trHeight w:val="243"/>
        </w:trPr>
        <w:tc>
          <w:tcPr>
            <w:tcW w:w="1696" w:type="dxa"/>
            <w:noWrap/>
            <w:hideMark/>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July 9, 2018</w:t>
            </w:r>
            <w:r w:rsidRPr="00292D0D">
              <w:rPr>
                <w:rFonts w:ascii="Times New Roman" w:hAnsi="Times New Roman" w:cs="Times New Roman"/>
                <w:sz w:val="16"/>
                <w:szCs w:val="16"/>
              </w:rPr>
              <w:t xml:space="preserve"> </w:t>
            </w:r>
          </w:p>
        </w:tc>
        <w:tc>
          <w:tcPr>
            <w:tcW w:w="2552" w:type="dxa"/>
          </w:tcPr>
          <w:p w:rsidR="00670C7E" w:rsidRPr="00292D0D" w:rsidRDefault="00670C7E" w:rsidP="007C065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7C065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EU extended sanctions on Russia</w:t>
            </w:r>
          </w:p>
        </w:tc>
      </w:tr>
      <w:tr w:rsidR="00670C7E" w:rsidRPr="002720F0" w:rsidTr="00670C7E">
        <w:trPr>
          <w:trHeight w:val="243"/>
        </w:trPr>
        <w:tc>
          <w:tcPr>
            <w:tcW w:w="1696" w:type="dxa"/>
            <w:noWrap/>
            <w:hideMark/>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July 31, 2018</w:t>
            </w:r>
          </w:p>
        </w:tc>
        <w:tc>
          <w:tcPr>
            <w:tcW w:w="2552" w:type="dxa"/>
          </w:tcPr>
          <w:p w:rsidR="00670C7E" w:rsidRPr="00292D0D" w:rsidRDefault="00670C7E" w:rsidP="007C065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7C065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 xml:space="preserve">The EU extended the sanctions on asset freeze and visa ban </w:t>
            </w:r>
          </w:p>
        </w:tc>
      </w:tr>
      <w:tr w:rsidR="00670C7E" w:rsidRPr="002720F0" w:rsidTr="00670C7E">
        <w:trPr>
          <w:trHeight w:val="243"/>
        </w:trPr>
        <w:tc>
          <w:tcPr>
            <w:tcW w:w="1696" w:type="dxa"/>
            <w:noWrap/>
            <w:hideMark/>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August 13, 2018</w:t>
            </w:r>
          </w:p>
        </w:tc>
        <w:tc>
          <w:tcPr>
            <w:tcW w:w="2552" w:type="dxa"/>
          </w:tcPr>
          <w:p w:rsidR="00670C7E" w:rsidRPr="00292D0D" w:rsidRDefault="00670C7E" w:rsidP="007C065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Pr="00292D0D" w:rsidRDefault="00670C7E" w:rsidP="007C065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EU bans 6 companies involved in construction of bridge in Crimea</w:t>
            </w:r>
          </w:p>
        </w:tc>
      </w:tr>
      <w:tr w:rsidR="00670C7E" w:rsidRPr="002720F0" w:rsidTr="00670C7E">
        <w:trPr>
          <w:trHeight w:val="243"/>
        </w:trPr>
        <w:tc>
          <w:tcPr>
            <w:tcW w:w="1696" w:type="dxa"/>
            <w:noWrap/>
            <w:hideMark/>
          </w:tcPr>
          <w:p w:rsidR="00670C7E" w:rsidRPr="00292D0D"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August 28, 2018</w:t>
            </w:r>
          </w:p>
        </w:tc>
        <w:tc>
          <w:tcPr>
            <w:tcW w:w="2552" w:type="dxa"/>
          </w:tcPr>
          <w:p w:rsidR="00670C7E" w:rsidRPr="00292D0D" w:rsidRDefault="00670C7E" w:rsidP="007C065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United States of America</w:t>
            </w:r>
          </w:p>
        </w:tc>
        <w:tc>
          <w:tcPr>
            <w:tcW w:w="5890" w:type="dxa"/>
          </w:tcPr>
          <w:p w:rsidR="00670C7E" w:rsidRPr="00292D0D" w:rsidRDefault="00670C7E" w:rsidP="007C065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US imposes ban arm sales and financing assistance to Russia</w:t>
            </w:r>
          </w:p>
        </w:tc>
      </w:tr>
      <w:tr w:rsidR="00670C7E" w:rsidRPr="002720F0" w:rsidTr="00670C7E">
        <w:trPr>
          <w:trHeight w:val="243"/>
        </w:trPr>
        <w:tc>
          <w:tcPr>
            <w:tcW w:w="1696" w:type="dxa"/>
            <w:noWrap/>
          </w:tcPr>
          <w:p w:rsidR="00670C7E" w:rsidRDefault="00670C7E" w:rsidP="00954199">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September 13, 2018</w:t>
            </w:r>
          </w:p>
        </w:tc>
        <w:tc>
          <w:tcPr>
            <w:tcW w:w="2552" w:type="dxa"/>
          </w:tcPr>
          <w:p w:rsidR="00670C7E" w:rsidRDefault="00670C7E" w:rsidP="007C065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European Union</w:t>
            </w:r>
          </w:p>
        </w:tc>
        <w:tc>
          <w:tcPr>
            <w:tcW w:w="5890" w:type="dxa"/>
          </w:tcPr>
          <w:p w:rsidR="00670C7E" w:rsidRDefault="00670C7E" w:rsidP="007C0656">
            <w:pPr>
              <w:pStyle w:val="BodyText"/>
              <w:spacing w:line="360" w:lineRule="auto"/>
              <w:jc w:val="both"/>
              <w:rPr>
                <w:rFonts w:ascii="Times New Roman" w:hAnsi="Times New Roman" w:cs="Times New Roman"/>
                <w:sz w:val="16"/>
                <w:szCs w:val="16"/>
              </w:rPr>
            </w:pPr>
            <w:r>
              <w:rPr>
                <w:rFonts w:ascii="Times New Roman" w:hAnsi="Times New Roman" w:cs="Times New Roman"/>
                <w:sz w:val="16"/>
                <w:szCs w:val="16"/>
              </w:rPr>
              <w:t>The EU extends sanctions till March 2019</w:t>
            </w:r>
          </w:p>
        </w:tc>
      </w:tr>
    </w:tbl>
    <w:p w:rsidR="00342AD2" w:rsidRPr="00342AD2" w:rsidRDefault="00D0689F" w:rsidP="004B7A98">
      <w:pPr>
        <w:pStyle w:val="Heading1"/>
        <w:numPr>
          <w:ilvl w:val="0"/>
          <w:numId w:val="0"/>
        </w:numPr>
        <w:spacing w:line="360" w:lineRule="auto"/>
        <w:ind w:left="567" w:hanging="567"/>
        <w:rPr>
          <w:rFonts w:ascii="Times New Roman" w:hAnsi="Times New Roman" w:cs="Times New Roman"/>
          <w:i w:val="0"/>
          <w:lang w:val="en-US"/>
        </w:rPr>
      </w:pPr>
      <w:bookmarkStart w:id="6" w:name="_Toc15473246"/>
      <w:r>
        <w:rPr>
          <w:rFonts w:ascii="Times New Roman" w:hAnsi="Times New Roman" w:cs="Times New Roman"/>
          <w:i w:val="0"/>
          <w:lang w:val="en-US"/>
        </w:rPr>
        <w:lastRenderedPageBreak/>
        <w:t>Chapter 4</w:t>
      </w:r>
      <w:r w:rsidR="004B7A98">
        <w:rPr>
          <w:rFonts w:ascii="Times New Roman" w:hAnsi="Times New Roman" w:cs="Times New Roman"/>
          <w:i w:val="0"/>
          <w:lang w:val="en-US"/>
        </w:rPr>
        <w:t xml:space="preserve">. </w:t>
      </w:r>
      <w:r w:rsidR="00342AD2" w:rsidRPr="00342AD2">
        <w:rPr>
          <w:rFonts w:ascii="Times New Roman" w:hAnsi="Times New Roman" w:cs="Times New Roman"/>
          <w:i w:val="0"/>
          <w:lang w:val="en-US"/>
        </w:rPr>
        <w:t>Hypotheses Development</w:t>
      </w:r>
      <w:bookmarkEnd w:id="6"/>
    </w:p>
    <w:p w:rsidR="00342AD2" w:rsidRDefault="00342AD2" w:rsidP="00342AD2">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It is clear that military conflicts, wars, etc. bring an uncertainty to the market and the investors do not like the uncertainty in the market. Nowadays, the financial markets reflect the economic growth aspects of the country </w:t>
      </w:r>
      <w:sdt>
        <w:sdtPr>
          <w:rPr>
            <w:rFonts w:ascii="Times New Roman" w:hAnsi="Times New Roman" w:cs="Times New Roman"/>
            <w:sz w:val="24"/>
            <w:szCs w:val="24"/>
            <w:lang w:val="en-US"/>
          </w:rPr>
          <w:id w:val="-362749588"/>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Abd13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(Abdelbaki, 2013)</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Not surprisingly, the performance of S&amp;P 500 is closely aligned with the performance of the US economy </w:t>
      </w:r>
      <w:sdt>
        <w:sdtPr>
          <w:rPr>
            <w:rFonts w:ascii="Times New Roman" w:hAnsi="Times New Roman" w:cs="Times New Roman"/>
            <w:sz w:val="24"/>
            <w:szCs w:val="24"/>
            <w:lang w:val="en-US"/>
          </w:rPr>
          <w:id w:val="1237121978"/>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Rat07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(Ratanapakorn &amp; Sharma, 2007)</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Following the terrorists attack in 9/11 event and the announcement of the war in Iraq, the US equity prices exhibited decline </w:t>
      </w:r>
      <w:sdt>
        <w:sdtPr>
          <w:rPr>
            <w:rFonts w:ascii="Times New Roman" w:hAnsi="Times New Roman" w:cs="Times New Roman"/>
            <w:sz w:val="24"/>
            <w:szCs w:val="24"/>
            <w:lang w:val="en-US"/>
          </w:rPr>
          <w:id w:val="1564368674"/>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Che04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(Chen &amp; Siems, 2004)</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p>
    <w:p w:rsidR="00342AD2" w:rsidRDefault="00342AD2" w:rsidP="00342AD2">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As was discussed in the literature review various scholars have assessed the impact of news announcements such as 9/11 terrorist attacks, Iraq/Afghanistan war and so on, on the stock price and investor sentiment </w:t>
      </w:r>
      <w:sdt>
        <w:sdtPr>
          <w:rPr>
            <w:rFonts w:ascii="Times New Roman" w:hAnsi="Times New Roman" w:cs="Times New Roman"/>
            <w:sz w:val="24"/>
            <w:szCs w:val="24"/>
            <w:lang w:val="en-US"/>
          </w:rPr>
          <w:id w:val="1818301388"/>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Che11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(Chesney, Reshetarb, &amp; Karamana, 2011)</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801186939"/>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Bia08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(Bialkowski, Gottschalk, &amp; Wisniewski, 2008)</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189752905"/>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Ami04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(Amihud &amp; Wohl, 2004)</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Those found that during military conflicts, vulnerability of the country to terrorist attacks, etc. market</w:t>
      </w:r>
      <w:r w:rsidR="00C02556">
        <w:rPr>
          <w:rFonts w:ascii="Times New Roman" w:hAnsi="Times New Roman" w:cs="Times New Roman"/>
          <w:sz w:val="24"/>
          <w:szCs w:val="24"/>
          <w:lang w:val="en-US"/>
        </w:rPr>
        <w:t xml:space="preserve">s exhibit higher volatility than </w:t>
      </w:r>
      <w:r>
        <w:rPr>
          <w:rFonts w:ascii="Times New Roman" w:hAnsi="Times New Roman" w:cs="Times New Roman"/>
          <w:sz w:val="24"/>
          <w:szCs w:val="24"/>
          <w:lang w:val="en-US"/>
        </w:rPr>
        <w:t xml:space="preserve">generally. Some scholars have attributed those events to political risk factors and measured the impact of political risk on the stock price. For example, Bialkowski et al. (2008) assessed the stock market volatility around the national election date. They found that during the pre- and post-election period the market exhibits excessive volatility. </w:t>
      </w:r>
    </w:p>
    <w:p w:rsidR="00342AD2" w:rsidRDefault="00342AD2" w:rsidP="00342AD2">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However, in certain cases the impact of political conflict or event is unclear. For example, in the case of Iraqi war, the pre-war announcement period negatively affected the stock price. However, the actual outbreak of war led to stock appreciation </w:t>
      </w:r>
      <w:sdt>
        <w:sdtPr>
          <w:rPr>
            <w:rFonts w:ascii="Times New Roman" w:hAnsi="Times New Roman" w:cs="Times New Roman"/>
            <w:sz w:val="24"/>
            <w:szCs w:val="24"/>
            <w:lang w:val="en-US"/>
          </w:rPr>
          <w:id w:val="160890327"/>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Bru15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(Brune, Hens, Rieger, &amp; Wang, 2015)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It is argued that one the reasons behind the appreciation of stock price is the expected increase in demand due to high government spending. </w:t>
      </w:r>
    </w:p>
    <w:p w:rsidR="00342AD2" w:rsidRDefault="00342AD2" w:rsidP="00342AD2">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Brune at al. (2015) further analyzed the consequences of the largest wars the US government has been involved on the stock market performance. The involvement of the United States in World War II has been negatively perceived by the market and this is also reflected in the performance of Dow Jones index. However, in subsequent period, the performance of Dow Jones index was fueled up and it beat its historic record. On the other hand, the wars in Afghanistan and Vietnam have resulted in the increase in the stock price. </w:t>
      </w:r>
    </w:p>
    <w:p w:rsidR="00342AD2" w:rsidRDefault="00342AD2" w:rsidP="00342AD2">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Political conflict between Russian Federation and Ukraine, which resulted in the annexation of Crimea, had negative impact on the FTSE All-World index and S&amp;P500 index. Following the annexation of Crimea, FTSE All-World Index and S&amp;P500 have declined by 1,4 and 0,74 percent, respectively </w:t>
      </w:r>
      <w:sdt>
        <w:sdtPr>
          <w:rPr>
            <w:rFonts w:ascii="Times New Roman" w:hAnsi="Times New Roman" w:cs="Times New Roman"/>
            <w:sz w:val="24"/>
            <w:szCs w:val="24"/>
            <w:lang w:val="en-US"/>
          </w:rPr>
          <w:id w:val="-958561953"/>
          <w:citation/>
        </w:sdtPr>
        <w:sdtEndPr/>
        <w:sdtContent>
          <w:r>
            <w:rPr>
              <w:rFonts w:ascii="Times New Roman" w:hAnsi="Times New Roman" w:cs="Times New Roman"/>
              <w:sz w:val="24"/>
              <w:szCs w:val="24"/>
              <w:lang w:val="en-US"/>
            </w:rPr>
            <w:fldChar w:fldCharType="begin"/>
          </w:r>
          <w:r w:rsidR="007E3145">
            <w:rPr>
              <w:rFonts w:ascii="Times New Roman" w:hAnsi="Times New Roman" w:cs="Times New Roman"/>
              <w:sz w:val="24"/>
              <w:szCs w:val="24"/>
              <w:lang w:val="en-US"/>
            </w:rPr>
            <w:instrText xml:space="preserve">CITATION Sig15 \t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(Sigerson, 2015)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However, at the same time Russian stock market has also declined with Russian stock exchange hitting the lowest points since 2008 financial crisis and Russian ruble declining </w:t>
      </w:r>
      <w:r>
        <w:rPr>
          <w:rFonts w:ascii="Times New Roman" w:hAnsi="Times New Roman" w:cs="Times New Roman"/>
          <w:sz w:val="24"/>
          <w:szCs w:val="24"/>
          <w:lang w:val="en-US"/>
        </w:rPr>
        <w:lastRenderedPageBreak/>
        <w:t xml:space="preserve">by more than 10,8 percent </w:t>
      </w:r>
      <w:sdt>
        <w:sdtPr>
          <w:rPr>
            <w:rFonts w:ascii="Times New Roman" w:hAnsi="Times New Roman" w:cs="Times New Roman"/>
            <w:sz w:val="24"/>
            <w:szCs w:val="24"/>
            <w:lang w:val="en-US"/>
          </w:rPr>
          <w:id w:val="-1837910281"/>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Sig15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(Sigerson, 2015)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In a response to the actions of the Russian government, the EU and the United States have imposed various trade sanctions on Russian federation. Imposed sanctions had the aim of weakening the Russian economy. According to the economic theory, the trade openness is one of the key ingredients of the economic growth and considering the dependency of the Russian economy on import, the sanctions had aim of paralyzing the Russian economy. </w:t>
      </w:r>
    </w:p>
    <w:p w:rsidR="00342AD2" w:rsidRDefault="00342AD2" w:rsidP="00342AD2">
      <w:pPr>
        <w:pStyle w:val="BodyText"/>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Nevertheless, if one observes the performance of the Russian Stock exchange since that period, there is significant appreciation in the stock market. Moreover, there is a finding that sanctions imposed on Russia had insignificant impact on the GDP of the Russia Federation </w:t>
      </w:r>
      <w:sdt>
        <w:sdtPr>
          <w:rPr>
            <w:rFonts w:ascii="Times New Roman" w:hAnsi="Times New Roman" w:cs="Times New Roman"/>
            <w:sz w:val="24"/>
            <w:szCs w:val="24"/>
            <w:lang w:val="en-US"/>
          </w:rPr>
          <w:id w:val="1356470739"/>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Kon18 \l 1033 </w:instrText>
          </w:r>
          <w:r>
            <w:rPr>
              <w:rFonts w:ascii="Times New Roman" w:hAnsi="Times New Roman" w:cs="Times New Roman"/>
              <w:sz w:val="24"/>
              <w:szCs w:val="24"/>
              <w:lang w:val="en-US"/>
            </w:rPr>
            <w:fldChar w:fldCharType="separate"/>
          </w:r>
          <w:r w:rsidR="00AE6A31" w:rsidRPr="00AE6A31">
            <w:rPr>
              <w:rFonts w:ascii="Times New Roman" w:hAnsi="Times New Roman" w:cs="Times New Roman"/>
              <w:noProof/>
              <w:sz w:val="24"/>
              <w:szCs w:val="24"/>
              <w:lang w:val="en-US"/>
            </w:rPr>
            <w:t>(Konstatin, Kholodilin, &amp; Netsunayev, 2018)</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r w:rsidR="002F7369">
        <w:rPr>
          <w:rFonts w:ascii="Times New Roman" w:hAnsi="Times New Roman" w:cs="Times New Roman"/>
          <w:sz w:val="24"/>
          <w:szCs w:val="24"/>
          <w:lang w:val="en-US"/>
        </w:rPr>
        <w:t>The less than expected impact of sanctions on Russian economy is explained by the soft nature of sanctions. Considering the fact that oil and gas sector is a significant constituent of Russian economy, it may explain why sanctions did not provide the expected result.</w:t>
      </w:r>
      <w:r w:rsidR="00FA327E">
        <w:rPr>
          <w:rFonts w:ascii="Times New Roman" w:hAnsi="Times New Roman" w:cs="Times New Roman"/>
          <w:sz w:val="24"/>
          <w:szCs w:val="24"/>
          <w:lang w:val="en-US"/>
        </w:rPr>
        <w:t xml:space="preserve"> Due to importance of the Russian oil and gas industry to the global supply of energy, less restrictive sanctions were imposed on the oil and gas sector. </w:t>
      </w:r>
      <w:r w:rsidR="00590685">
        <w:rPr>
          <w:rFonts w:ascii="Times New Roman" w:hAnsi="Times New Roman" w:cs="Times New Roman"/>
          <w:sz w:val="24"/>
          <w:szCs w:val="24"/>
          <w:lang w:val="en-US"/>
        </w:rPr>
        <w:t xml:space="preserve">Russia is the third largest oil producer in the world and restrictions on Russian oil and gas sector would have negatively impacted not only Russian by also the world economy. </w:t>
      </w:r>
      <w:r w:rsidR="002F7369">
        <w:rPr>
          <w:rFonts w:ascii="Times New Roman" w:hAnsi="Times New Roman" w:cs="Times New Roman"/>
          <w:sz w:val="24"/>
          <w:szCs w:val="24"/>
          <w:lang w:val="en-US"/>
        </w:rPr>
        <w:t xml:space="preserve"> </w:t>
      </w:r>
    </w:p>
    <w:p w:rsidR="00342AD2" w:rsidRDefault="00342AD2" w:rsidP="003C4CB9">
      <w:pPr>
        <w:pStyle w:val="BodyText"/>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Considering the abovementioned points, I hypothesize the following:</w:t>
      </w:r>
    </w:p>
    <w:p w:rsidR="00342AD2" w:rsidRPr="00342AD2" w:rsidRDefault="00342AD2" w:rsidP="00342AD2">
      <w:pPr>
        <w:pStyle w:val="BodyText"/>
        <w:spacing w:line="360" w:lineRule="auto"/>
        <w:jc w:val="both"/>
        <w:rPr>
          <w:rFonts w:ascii="Times New Roman" w:hAnsi="Times New Roman" w:cs="Times New Roman"/>
          <w:i/>
          <w:sz w:val="24"/>
          <w:szCs w:val="24"/>
          <w:lang w:val="en-US"/>
        </w:rPr>
      </w:pPr>
      <w:r w:rsidRPr="00342AD2">
        <w:rPr>
          <w:rFonts w:ascii="Times New Roman" w:hAnsi="Times New Roman" w:cs="Times New Roman"/>
          <w:i/>
          <w:sz w:val="24"/>
          <w:szCs w:val="24"/>
          <w:lang w:val="en-US"/>
        </w:rPr>
        <w:t>H1: Annexation of Crimea</w:t>
      </w:r>
      <w:r w:rsidR="003C4CB9">
        <w:rPr>
          <w:rFonts w:ascii="Times New Roman" w:hAnsi="Times New Roman" w:cs="Times New Roman"/>
          <w:i/>
          <w:sz w:val="24"/>
          <w:szCs w:val="24"/>
          <w:lang w:val="en-US"/>
        </w:rPr>
        <w:t xml:space="preserve"> and subsequent sanctions against Russian Federation had no impact on stock prices of Russian firms in oil sector</w:t>
      </w:r>
    </w:p>
    <w:p w:rsidR="00FA327E" w:rsidRPr="00FA327E" w:rsidRDefault="003C4CB9" w:rsidP="003C4CB9">
      <w:pPr>
        <w:pStyle w:val="BodyText"/>
        <w:spacing w:line="360" w:lineRule="auto"/>
        <w:jc w:val="both"/>
        <w:rPr>
          <w:rFonts w:ascii="Times New Roman" w:hAnsi="Times New Roman" w:cs="Times New Roman"/>
          <w:i/>
          <w:sz w:val="24"/>
          <w:szCs w:val="24"/>
          <w:lang w:val="en-US"/>
        </w:rPr>
      </w:pPr>
      <w:r w:rsidRPr="00342AD2">
        <w:rPr>
          <w:rFonts w:ascii="Times New Roman" w:hAnsi="Times New Roman" w:cs="Times New Roman"/>
          <w:i/>
          <w:sz w:val="24"/>
          <w:szCs w:val="24"/>
          <w:lang w:val="en-US"/>
        </w:rPr>
        <w:t>H</w:t>
      </w:r>
      <w:r w:rsidR="003C2CF9">
        <w:rPr>
          <w:rFonts w:ascii="Times New Roman" w:hAnsi="Times New Roman" w:cs="Times New Roman"/>
          <w:i/>
          <w:sz w:val="24"/>
          <w:szCs w:val="24"/>
          <w:lang w:val="en-US"/>
        </w:rPr>
        <w:t>2</w:t>
      </w:r>
      <w:r w:rsidRPr="00342AD2">
        <w:rPr>
          <w:rFonts w:ascii="Times New Roman" w:hAnsi="Times New Roman" w:cs="Times New Roman"/>
          <w:i/>
          <w:sz w:val="24"/>
          <w:szCs w:val="24"/>
          <w:lang w:val="en-US"/>
        </w:rPr>
        <w:t>: Annexation of Crimea</w:t>
      </w:r>
      <w:r>
        <w:rPr>
          <w:rFonts w:ascii="Times New Roman" w:hAnsi="Times New Roman" w:cs="Times New Roman"/>
          <w:i/>
          <w:sz w:val="24"/>
          <w:szCs w:val="24"/>
          <w:lang w:val="en-US"/>
        </w:rPr>
        <w:t xml:space="preserve"> and subsequent sanctions against Russian Federation had </w:t>
      </w:r>
      <w:r w:rsidR="00A078FA">
        <w:rPr>
          <w:rFonts w:ascii="Times New Roman" w:hAnsi="Times New Roman" w:cs="Times New Roman"/>
          <w:i/>
          <w:sz w:val="24"/>
          <w:szCs w:val="24"/>
          <w:lang w:val="en-US"/>
        </w:rPr>
        <w:t xml:space="preserve">a </w:t>
      </w:r>
      <w:r>
        <w:rPr>
          <w:rFonts w:ascii="Times New Roman" w:hAnsi="Times New Roman" w:cs="Times New Roman"/>
          <w:i/>
          <w:sz w:val="24"/>
          <w:szCs w:val="24"/>
          <w:lang w:val="en-US"/>
        </w:rPr>
        <w:t>negative impact on stock prices of Russian firms in non-oil sector</w:t>
      </w:r>
    </w:p>
    <w:p w:rsidR="00B453EA" w:rsidRPr="00B453EA" w:rsidRDefault="00D0689F" w:rsidP="0014332F">
      <w:pPr>
        <w:pStyle w:val="Heading1"/>
        <w:numPr>
          <w:ilvl w:val="0"/>
          <w:numId w:val="0"/>
        </w:numPr>
        <w:spacing w:line="360" w:lineRule="auto"/>
        <w:ind w:left="567" w:hanging="567"/>
        <w:rPr>
          <w:rFonts w:ascii="Times New Roman" w:hAnsi="Times New Roman" w:cs="Times New Roman"/>
          <w:i w:val="0"/>
          <w:szCs w:val="24"/>
          <w:lang w:val="en-US"/>
        </w:rPr>
      </w:pPr>
      <w:bookmarkStart w:id="7" w:name="_Toc15473247"/>
      <w:r>
        <w:rPr>
          <w:rFonts w:ascii="Times New Roman" w:hAnsi="Times New Roman" w:cs="Times New Roman"/>
          <w:i w:val="0"/>
          <w:szCs w:val="24"/>
          <w:lang w:val="en-US"/>
        </w:rPr>
        <w:t>Chapter 5</w:t>
      </w:r>
      <w:r w:rsidR="0014332F">
        <w:rPr>
          <w:rFonts w:ascii="Times New Roman" w:hAnsi="Times New Roman" w:cs="Times New Roman"/>
          <w:i w:val="0"/>
          <w:szCs w:val="24"/>
          <w:lang w:val="en-US"/>
        </w:rPr>
        <w:t xml:space="preserve">. </w:t>
      </w:r>
      <w:r w:rsidR="00B453EA" w:rsidRPr="00B453EA">
        <w:rPr>
          <w:rFonts w:ascii="Times New Roman" w:hAnsi="Times New Roman" w:cs="Times New Roman"/>
          <w:i w:val="0"/>
          <w:szCs w:val="24"/>
          <w:lang w:val="en-US"/>
        </w:rPr>
        <w:t xml:space="preserve">Methodology </w:t>
      </w:r>
      <w:r w:rsidR="00C2517E">
        <w:rPr>
          <w:rFonts w:ascii="Times New Roman" w:hAnsi="Times New Roman" w:cs="Times New Roman"/>
          <w:i w:val="0"/>
          <w:szCs w:val="24"/>
          <w:lang w:val="en-US"/>
        </w:rPr>
        <w:t>and Data</w:t>
      </w:r>
      <w:bookmarkEnd w:id="7"/>
    </w:p>
    <w:p w:rsidR="00E05E9A" w:rsidRDefault="00527874" w:rsidP="00B75850">
      <w:pPr>
        <w:pStyle w:val="BodyText"/>
        <w:spacing w:line="360" w:lineRule="auto"/>
        <w:ind w:firstLine="567"/>
        <w:jc w:val="both"/>
        <w:rPr>
          <w:rFonts w:ascii="Times New Roman" w:eastAsiaTheme="minorEastAsia" w:hAnsi="Times New Roman" w:cs="Times New Roman"/>
          <w:sz w:val="24"/>
          <w:szCs w:val="24"/>
          <w:lang w:val="en-US"/>
        </w:rPr>
        <w:sectPr w:rsidR="00E05E9A" w:rsidSect="00E05E9A">
          <w:pgSz w:w="11906" w:h="16838" w:code="9"/>
          <w:pgMar w:top="1474" w:right="1021" w:bottom="1474" w:left="1021" w:header="567" w:footer="567" w:gutter="0"/>
          <w:cols w:space="708"/>
          <w:docGrid w:linePitch="360"/>
        </w:sectPr>
      </w:pPr>
      <w:r>
        <w:rPr>
          <w:rFonts w:ascii="Times New Roman" w:eastAsiaTheme="minorEastAsia" w:hAnsi="Times New Roman" w:cs="Times New Roman"/>
          <w:sz w:val="24"/>
          <w:szCs w:val="24"/>
          <w:lang w:val="en-US"/>
        </w:rPr>
        <w:t xml:space="preserve">In assessing the impact of Arab spring on stock market performance in Egypt, </w:t>
      </w:r>
      <w:r w:rsidR="0069372C">
        <w:rPr>
          <w:rFonts w:ascii="Times New Roman" w:eastAsiaTheme="minorEastAsia" w:hAnsi="Times New Roman" w:cs="Times New Roman"/>
          <w:sz w:val="24"/>
          <w:szCs w:val="24"/>
          <w:lang w:val="en-US"/>
        </w:rPr>
        <w:t xml:space="preserve">Abdelbaki (2013) has </w:t>
      </w:r>
      <w:r w:rsidR="0027769C">
        <w:rPr>
          <w:rFonts w:ascii="Times New Roman" w:eastAsiaTheme="minorEastAsia" w:hAnsi="Times New Roman" w:cs="Times New Roman"/>
          <w:sz w:val="24"/>
          <w:szCs w:val="24"/>
          <w:lang w:val="en-US"/>
        </w:rPr>
        <w:t>defined three factors</w:t>
      </w:r>
      <w:r w:rsidR="006131DC">
        <w:rPr>
          <w:rFonts w:ascii="Times New Roman" w:eastAsiaTheme="minorEastAsia" w:hAnsi="Times New Roman" w:cs="Times New Roman"/>
          <w:sz w:val="24"/>
          <w:szCs w:val="24"/>
          <w:lang w:val="en-US"/>
        </w:rPr>
        <w:t>,</w:t>
      </w:r>
      <w:r w:rsidR="0027769C">
        <w:rPr>
          <w:rFonts w:ascii="Times New Roman" w:eastAsiaTheme="minorEastAsia" w:hAnsi="Times New Roman" w:cs="Times New Roman"/>
          <w:sz w:val="24"/>
          <w:szCs w:val="24"/>
          <w:lang w:val="en-US"/>
        </w:rPr>
        <w:t xml:space="preserve"> which would impact the stock market performance as a result of political unrest. Those variables are </w:t>
      </w:r>
      <w:r w:rsidR="0027769C" w:rsidRPr="0027769C">
        <w:rPr>
          <w:rFonts w:ascii="Times New Roman" w:eastAsiaTheme="minorEastAsia" w:hAnsi="Times New Roman" w:cs="Times New Roman"/>
          <w:i/>
          <w:sz w:val="24"/>
          <w:szCs w:val="24"/>
          <w:lang w:val="en-US"/>
        </w:rPr>
        <w:t>“the number of participants in sit-in protests…the number of participants in sit-in factional demands…and the exchange rate of the Egyptian pound in US dollar…”</w:t>
      </w:r>
      <w:r w:rsidR="0027769C">
        <w:rPr>
          <w:rFonts w:ascii="Times New Roman" w:eastAsiaTheme="minorEastAsia" w:hAnsi="Times New Roman" w:cs="Times New Roman"/>
          <w:i/>
          <w:sz w:val="24"/>
          <w:szCs w:val="24"/>
          <w:lang w:val="en-US"/>
        </w:rPr>
        <w:t xml:space="preserve"> </w:t>
      </w:r>
      <w:sdt>
        <w:sdtPr>
          <w:rPr>
            <w:rFonts w:ascii="Times New Roman" w:eastAsiaTheme="minorEastAsia" w:hAnsi="Times New Roman" w:cs="Times New Roman"/>
            <w:i/>
            <w:sz w:val="24"/>
            <w:szCs w:val="24"/>
            <w:lang w:val="en-US"/>
          </w:rPr>
          <w:id w:val="754555794"/>
          <w:citation/>
        </w:sdtPr>
        <w:sdtEndPr/>
        <w:sdtContent>
          <w:r w:rsidR="0027769C">
            <w:rPr>
              <w:rFonts w:ascii="Times New Roman" w:eastAsiaTheme="minorEastAsia" w:hAnsi="Times New Roman" w:cs="Times New Roman"/>
              <w:i/>
              <w:sz w:val="24"/>
              <w:szCs w:val="24"/>
              <w:lang w:val="en-US"/>
            </w:rPr>
            <w:fldChar w:fldCharType="begin"/>
          </w:r>
          <w:r w:rsidR="0027769C">
            <w:rPr>
              <w:rFonts w:ascii="Times New Roman" w:eastAsiaTheme="minorEastAsia" w:hAnsi="Times New Roman" w:cs="Times New Roman"/>
              <w:i/>
              <w:sz w:val="24"/>
              <w:szCs w:val="24"/>
              <w:lang w:val="en-US"/>
            </w:rPr>
            <w:instrText xml:space="preserve">CITATION Abd13 \p 174 \l 1033 </w:instrText>
          </w:r>
          <w:r w:rsidR="0027769C">
            <w:rPr>
              <w:rFonts w:ascii="Times New Roman" w:eastAsiaTheme="minorEastAsia" w:hAnsi="Times New Roman" w:cs="Times New Roman"/>
              <w:i/>
              <w:sz w:val="24"/>
              <w:szCs w:val="24"/>
              <w:lang w:val="en-US"/>
            </w:rPr>
            <w:fldChar w:fldCharType="separate"/>
          </w:r>
          <w:r w:rsidR="00AE6A31" w:rsidRPr="00AE6A31">
            <w:rPr>
              <w:rFonts w:ascii="Times New Roman" w:eastAsiaTheme="minorEastAsia" w:hAnsi="Times New Roman" w:cs="Times New Roman"/>
              <w:noProof/>
              <w:sz w:val="24"/>
              <w:szCs w:val="24"/>
              <w:lang w:val="en-US"/>
            </w:rPr>
            <w:t>(Abdelbaki, 2013, p. 174)</w:t>
          </w:r>
          <w:r w:rsidR="0027769C">
            <w:rPr>
              <w:rFonts w:ascii="Times New Roman" w:eastAsiaTheme="minorEastAsia" w:hAnsi="Times New Roman" w:cs="Times New Roman"/>
              <w:i/>
              <w:sz w:val="24"/>
              <w:szCs w:val="24"/>
              <w:lang w:val="en-US"/>
            </w:rPr>
            <w:fldChar w:fldCharType="end"/>
          </w:r>
        </w:sdtContent>
      </w:sdt>
      <w:r w:rsidR="0027769C" w:rsidRPr="0027769C">
        <w:rPr>
          <w:rFonts w:ascii="Times New Roman" w:eastAsiaTheme="minorEastAsia" w:hAnsi="Times New Roman" w:cs="Times New Roman"/>
          <w:i/>
          <w:sz w:val="24"/>
          <w:szCs w:val="24"/>
          <w:lang w:val="en-US"/>
        </w:rPr>
        <w:t>.</w:t>
      </w:r>
      <w:r w:rsidR="0027769C">
        <w:rPr>
          <w:rFonts w:ascii="Times New Roman" w:eastAsiaTheme="minorEastAsia" w:hAnsi="Times New Roman" w:cs="Times New Roman"/>
          <w:sz w:val="24"/>
          <w:szCs w:val="24"/>
          <w:lang w:val="en-US"/>
        </w:rPr>
        <w:t xml:space="preserve"> </w:t>
      </w:r>
      <w:r w:rsidR="00E05E9A">
        <w:rPr>
          <w:rFonts w:ascii="Times New Roman" w:eastAsiaTheme="minorEastAsia" w:hAnsi="Times New Roman" w:cs="Times New Roman"/>
          <w:sz w:val="24"/>
          <w:szCs w:val="24"/>
          <w:lang w:val="en-US"/>
        </w:rPr>
        <w:t xml:space="preserve">In March 2014, Russia has declared the annexation of Crimea peninsula. The decision to annex Crimea peninsula and adjoining it to the Russian Federation has caused massive disagreement among Western countries. As a result of this action, various sanctions have been imposed on Russian Federation (including various trade restrictions), which had negative impact on Russian stock market. Anotolyev (2008) has performed retrospective review of the factors influencing stock returns of firms listed in Russian stock exchange. </w:t>
      </w:r>
    </w:p>
    <w:p w:rsidR="00B34EDF" w:rsidRDefault="00B34EDF" w:rsidP="00B34EDF">
      <w:pPr>
        <w:pStyle w:val="BodyText"/>
        <w:spacing w:line="360" w:lineRule="auto"/>
        <w:ind w:firstLine="567"/>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lastRenderedPageBreak/>
        <w:t xml:space="preserve">According to Anotolyev (2008), the return on Russian listed stock depends on the exchange rate of Ruble to US Dollar, price of oil, US Treasury bill, Moscow interbank offer rate, Morgan Stanley Capital International index for USA, gold reserves of the Russian Central Bank, and a “credit balances of correspondent accounts in the Central Bank of Russia”. The next table presents the information about the source of variables, number of observations, period under study and the definition of variables. </w:t>
      </w:r>
    </w:p>
    <w:p w:rsidR="00BE0560" w:rsidRPr="00BE0560" w:rsidRDefault="00BE0560" w:rsidP="00BE0560">
      <w:pPr>
        <w:pStyle w:val="Caption"/>
        <w:keepNext/>
        <w:rPr>
          <w:rFonts w:ascii="Times New Roman" w:hAnsi="Times New Roman" w:cs="Times New Roman"/>
          <w:color w:val="auto"/>
          <w:sz w:val="20"/>
          <w:szCs w:val="20"/>
        </w:rPr>
      </w:pPr>
      <w:bookmarkStart w:id="8" w:name="_Toc15484940"/>
      <w:r w:rsidRPr="00BE0560">
        <w:rPr>
          <w:rFonts w:ascii="Times New Roman" w:hAnsi="Times New Roman" w:cs="Times New Roman"/>
          <w:color w:val="auto"/>
          <w:sz w:val="20"/>
          <w:szCs w:val="20"/>
        </w:rPr>
        <w:t xml:space="preserve">Table </w:t>
      </w:r>
      <w:r w:rsidRPr="00BE0560">
        <w:rPr>
          <w:rFonts w:ascii="Times New Roman" w:hAnsi="Times New Roman" w:cs="Times New Roman"/>
          <w:color w:val="auto"/>
          <w:sz w:val="20"/>
          <w:szCs w:val="20"/>
        </w:rPr>
        <w:fldChar w:fldCharType="begin"/>
      </w:r>
      <w:r w:rsidRPr="00BE0560">
        <w:rPr>
          <w:rFonts w:ascii="Times New Roman" w:hAnsi="Times New Roman" w:cs="Times New Roman"/>
          <w:color w:val="auto"/>
          <w:sz w:val="20"/>
          <w:szCs w:val="20"/>
        </w:rPr>
        <w:instrText xml:space="preserve"> SEQ Table \* ARABIC </w:instrText>
      </w:r>
      <w:r w:rsidRPr="00BE0560">
        <w:rPr>
          <w:rFonts w:ascii="Times New Roman" w:hAnsi="Times New Roman" w:cs="Times New Roman"/>
          <w:color w:val="auto"/>
          <w:sz w:val="20"/>
          <w:szCs w:val="20"/>
        </w:rPr>
        <w:fldChar w:fldCharType="separate"/>
      </w:r>
      <w:r w:rsidR="00FA327E">
        <w:rPr>
          <w:rFonts w:ascii="Times New Roman" w:hAnsi="Times New Roman" w:cs="Times New Roman"/>
          <w:noProof/>
          <w:color w:val="auto"/>
          <w:sz w:val="20"/>
          <w:szCs w:val="20"/>
        </w:rPr>
        <w:t>2</w:t>
      </w:r>
      <w:r w:rsidRPr="00BE0560">
        <w:rPr>
          <w:rFonts w:ascii="Times New Roman" w:hAnsi="Times New Roman" w:cs="Times New Roman"/>
          <w:color w:val="auto"/>
          <w:sz w:val="20"/>
          <w:szCs w:val="20"/>
        </w:rPr>
        <w:fldChar w:fldCharType="end"/>
      </w:r>
      <w:r w:rsidRPr="00BE0560">
        <w:rPr>
          <w:rFonts w:ascii="Times New Roman" w:hAnsi="Times New Roman" w:cs="Times New Roman"/>
          <w:color w:val="auto"/>
          <w:sz w:val="20"/>
          <w:szCs w:val="20"/>
        </w:rPr>
        <w:t>. Definition of Variables</w:t>
      </w:r>
      <w:bookmarkEnd w:id="8"/>
    </w:p>
    <w:tbl>
      <w:tblPr>
        <w:tblStyle w:val="PlainTable3"/>
        <w:tblW w:w="14032" w:type="dxa"/>
        <w:tblLook w:val="04A0" w:firstRow="1" w:lastRow="0" w:firstColumn="1" w:lastColumn="0" w:noHBand="0" w:noVBand="1"/>
      </w:tblPr>
      <w:tblGrid>
        <w:gridCol w:w="1413"/>
        <w:gridCol w:w="2693"/>
        <w:gridCol w:w="2977"/>
        <w:gridCol w:w="2835"/>
        <w:gridCol w:w="4114"/>
      </w:tblGrid>
      <w:tr w:rsidR="00E05E9A" w:rsidRPr="00B06508" w:rsidTr="00987073">
        <w:trPr>
          <w:cnfStyle w:val="100000000000" w:firstRow="1" w:lastRow="0" w:firstColumn="0" w:lastColumn="0" w:oddVBand="0" w:evenVBand="0" w:oddHBand="0" w:evenHBand="0" w:firstRowFirstColumn="0" w:firstRowLastColumn="0" w:lastRowFirstColumn="0" w:lastRowLastColumn="0"/>
          <w:trHeight w:val="321"/>
        </w:trPr>
        <w:tc>
          <w:tcPr>
            <w:cnfStyle w:val="001000000100" w:firstRow="0" w:lastRow="0" w:firstColumn="1" w:lastColumn="0" w:oddVBand="0" w:evenVBand="0" w:oddHBand="0" w:evenHBand="0" w:firstRowFirstColumn="1" w:firstRowLastColumn="0" w:lastRowFirstColumn="0" w:lastRowLastColumn="0"/>
            <w:tcW w:w="1413" w:type="dxa"/>
          </w:tcPr>
          <w:p w:rsidR="00E05E9A" w:rsidRPr="00B06508" w:rsidRDefault="00E05E9A" w:rsidP="00B75850">
            <w:pPr>
              <w:pStyle w:val="BodyText"/>
              <w:spacing w:line="360" w:lineRule="auto"/>
              <w:jc w:val="both"/>
              <w:rPr>
                <w:rFonts w:ascii="Times New Roman" w:eastAsiaTheme="minorEastAsia" w:hAnsi="Times New Roman" w:cs="Times New Roman"/>
                <w:lang w:val="en-US"/>
              </w:rPr>
            </w:pPr>
            <w:r w:rsidRPr="00B06508">
              <w:rPr>
                <w:rFonts w:ascii="Times New Roman" w:eastAsiaTheme="minorEastAsia" w:hAnsi="Times New Roman" w:cs="Times New Roman"/>
                <w:lang w:val="en-US"/>
              </w:rPr>
              <w:t>Variable</w:t>
            </w:r>
          </w:p>
        </w:tc>
        <w:tc>
          <w:tcPr>
            <w:tcW w:w="2693" w:type="dxa"/>
          </w:tcPr>
          <w:p w:rsidR="00E05E9A" w:rsidRPr="00B06508" w:rsidRDefault="00E05E9A" w:rsidP="00821D5B">
            <w:pPr>
              <w:pStyle w:val="BodyText"/>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06508">
              <w:rPr>
                <w:rFonts w:ascii="Times New Roman" w:eastAsiaTheme="minorEastAsia" w:hAnsi="Times New Roman" w:cs="Times New Roman"/>
                <w:lang w:val="en-US"/>
              </w:rPr>
              <w:t>Source of the variable</w:t>
            </w:r>
          </w:p>
        </w:tc>
        <w:tc>
          <w:tcPr>
            <w:tcW w:w="2977" w:type="dxa"/>
          </w:tcPr>
          <w:p w:rsidR="00E05E9A" w:rsidRPr="00B06508" w:rsidRDefault="00E05E9A" w:rsidP="00B75850">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06508">
              <w:rPr>
                <w:rFonts w:ascii="Times New Roman" w:eastAsiaTheme="minorEastAsia" w:hAnsi="Times New Roman" w:cs="Times New Roman"/>
                <w:lang w:val="en-US"/>
              </w:rPr>
              <w:t>Observation</w:t>
            </w:r>
          </w:p>
        </w:tc>
        <w:tc>
          <w:tcPr>
            <w:tcW w:w="2835" w:type="dxa"/>
          </w:tcPr>
          <w:p w:rsidR="00E05E9A" w:rsidRPr="00B06508" w:rsidRDefault="00E05E9A" w:rsidP="00B75850">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06508">
              <w:rPr>
                <w:rFonts w:ascii="Times New Roman" w:eastAsiaTheme="minorEastAsia" w:hAnsi="Times New Roman" w:cs="Times New Roman"/>
                <w:lang w:val="en-US"/>
              </w:rPr>
              <w:t>Period</w:t>
            </w:r>
          </w:p>
        </w:tc>
        <w:tc>
          <w:tcPr>
            <w:tcW w:w="4114" w:type="dxa"/>
          </w:tcPr>
          <w:p w:rsidR="00E05E9A" w:rsidRPr="00B06508" w:rsidRDefault="00E05E9A" w:rsidP="00B75850">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Definition of Variables</w:t>
            </w:r>
          </w:p>
        </w:tc>
      </w:tr>
      <w:tr w:rsidR="00E05E9A" w:rsidRPr="00B06508" w:rsidTr="00987073">
        <w:trPr>
          <w:cnfStyle w:val="000000100000" w:firstRow="0" w:lastRow="0" w:firstColumn="0" w:lastColumn="0" w:oddVBand="0" w:evenVBand="0" w:oddHBand="1"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1413" w:type="dxa"/>
          </w:tcPr>
          <w:p w:rsidR="00E05E9A" w:rsidRPr="00B06508" w:rsidRDefault="00E05E9A" w:rsidP="00B75850">
            <w:pPr>
              <w:pStyle w:val="BodyText"/>
              <w:spacing w:line="360" w:lineRule="auto"/>
              <w:jc w:val="both"/>
              <w:rPr>
                <w:rFonts w:ascii="Times New Roman" w:eastAsiaTheme="minorEastAsia" w:hAnsi="Times New Roman" w:cs="Times New Roman"/>
                <w:lang w:val="en-US"/>
              </w:rPr>
            </w:pPr>
            <w:r w:rsidRPr="00B06508">
              <w:rPr>
                <w:rFonts w:ascii="Times New Roman" w:eastAsiaTheme="minorEastAsia" w:hAnsi="Times New Roman" w:cs="Times New Roman"/>
                <w:lang w:val="en-US"/>
              </w:rPr>
              <w:t>Stock Price</w:t>
            </w:r>
          </w:p>
        </w:tc>
        <w:tc>
          <w:tcPr>
            <w:tcW w:w="2693" w:type="dxa"/>
          </w:tcPr>
          <w:p w:rsidR="00E05E9A" w:rsidRPr="00B06508" w:rsidRDefault="00E05E9A" w:rsidP="00B75850">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06508">
              <w:rPr>
                <w:rFonts w:ascii="Times New Roman" w:eastAsiaTheme="minorEastAsia" w:hAnsi="Times New Roman" w:cs="Times New Roman"/>
                <w:lang w:val="en-US"/>
              </w:rPr>
              <w:t>Yahoo!Finance</w:t>
            </w:r>
          </w:p>
        </w:tc>
        <w:tc>
          <w:tcPr>
            <w:tcW w:w="2977" w:type="dxa"/>
          </w:tcPr>
          <w:p w:rsidR="00E05E9A" w:rsidRPr="00B06508" w:rsidRDefault="00E05E9A" w:rsidP="00B06508">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06508">
              <w:rPr>
                <w:rFonts w:ascii="Times New Roman" w:eastAsiaTheme="minorEastAsia" w:hAnsi="Times New Roman" w:cs="Times New Roman"/>
                <w:lang w:val="en-US"/>
              </w:rPr>
              <w:t>12,351 (1,231 for each firm stock price)</w:t>
            </w:r>
          </w:p>
        </w:tc>
        <w:tc>
          <w:tcPr>
            <w:tcW w:w="2835" w:type="dxa"/>
          </w:tcPr>
          <w:p w:rsidR="00E05E9A" w:rsidRPr="00B06508" w:rsidRDefault="00E05E9A" w:rsidP="00B75850">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06508">
              <w:rPr>
                <w:rFonts w:ascii="Times New Roman" w:eastAsiaTheme="minorEastAsia" w:hAnsi="Times New Roman" w:cs="Times New Roman"/>
                <w:lang w:val="en-US"/>
              </w:rPr>
              <w:t>01/01/2014 – 31/12/2018</w:t>
            </w:r>
          </w:p>
        </w:tc>
        <w:tc>
          <w:tcPr>
            <w:tcW w:w="4114" w:type="dxa"/>
          </w:tcPr>
          <w:p w:rsidR="00E05E9A" w:rsidRPr="00B06508" w:rsidRDefault="00E05E9A" w:rsidP="00B75850">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 xml:space="preserve">Stock price represents the stock price of firm i at a time t. </w:t>
            </w:r>
            <w:r w:rsidR="00AD4A34">
              <w:rPr>
                <w:rFonts w:ascii="Times New Roman" w:eastAsiaTheme="minorEastAsia" w:hAnsi="Times New Roman" w:cs="Times New Roman"/>
                <w:lang w:val="en-US"/>
              </w:rPr>
              <w:t xml:space="preserve">For stock price of firms please refer to the table 4. </w:t>
            </w:r>
          </w:p>
        </w:tc>
      </w:tr>
      <w:tr w:rsidR="00E05E9A" w:rsidRPr="00B06508" w:rsidTr="00987073">
        <w:trPr>
          <w:trHeight w:val="655"/>
        </w:trPr>
        <w:tc>
          <w:tcPr>
            <w:cnfStyle w:val="001000000000" w:firstRow="0" w:lastRow="0" w:firstColumn="1" w:lastColumn="0" w:oddVBand="0" w:evenVBand="0" w:oddHBand="0" w:evenHBand="0" w:firstRowFirstColumn="0" w:firstRowLastColumn="0" w:lastRowFirstColumn="0" w:lastRowLastColumn="0"/>
            <w:tcW w:w="1413" w:type="dxa"/>
          </w:tcPr>
          <w:p w:rsidR="00E05E9A" w:rsidRPr="00B06508" w:rsidRDefault="00E05E9A" w:rsidP="00B75850">
            <w:pPr>
              <w:pStyle w:val="BodyText"/>
              <w:spacing w:line="360" w:lineRule="auto"/>
              <w:jc w:val="both"/>
              <w:rPr>
                <w:rFonts w:ascii="Times New Roman" w:eastAsiaTheme="minorEastAsia" w:hAnsi="Times New Roman" w:cs="Times New Roman"/>
                <w:lang w:val="en-US"/>
              </w:rPr>
            </w:pPr>
            <w:r>
              <w:rPr>
                <w:rFonts w:ascii="Times New Roman" w:eastAsiaTheme="minorEastAsia" w:hAnsi="Times New Roman" w:cs="Times New Roman"/>
                <w:lang w:val="en-US"/>
              </w:rPr>
              <w:t>Event Dummy</w:t>
            </w:r>
          </w:p>
        </w:tc>
        <w:tc>
          <w:tcPr>
            <w:tcW w:w="2693" w:type="dxa"/>
          </w:tcPr>
          <w:p w:rsidR="00E05E9A" w:rsidRPr="00B06508" w:rsidRDefault="00E05E9A" w:rsidP="00B75850">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RadioFreeEurope</w:t>
            </w:r>
          </w:p>
        </w:tc>
        <w:tc>
          <w:tcPr>
            <w:tcW w:w="2977" w:type="dxa"/>
          </w:tcPr>
          <w:p w:rsidR="00E05E9A" w:rsidRPr="00B06508" w:rsidRDefault="00E05E9A" w:rsidP="00B06508">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70</w:t>
            </w:r>
          </w:p>
        </w:tc>
        <w:tc>
          <w:tcPr>
            <w:tcW w:w="2835" w:type="dxa"/>
          </w:tcPr>
          <w:p w:rsidR="00E05E9A" w:rsidRPr="00B06508" w:rsidRDefault="00E05E9A" w:rsidP="00B75850">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06508">
              <w:rPr>
                <w:rFonts w:ascii="Times New Roman" w:eastAsiaTheme="minorEastAsia" w:hAnsi="Times New Roman" w:cs="Times New Roman"/>
                <w:lang w:val="en-US"/>
              </w:rPr>
              <w:t>01/01/2014 – 31/12/2018</w:t>
            </w:r>
          </w:p>
        </w:tc>
        <w:tc>
          <w:tcPr>
            <w:tcW w:w="4114" w:type="dxa"/>
          </w:tcPr>
          <w:p w:rsidR="00E05E9A" w:rsidRPr="00B06508" w:rsidRDefault="00A07218" w:rsidP="00B75850">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Event dummy equals to 1 for dates when sanctions were announced and zero otherwise.</w:t>
            </w:r>
          </w:p>
        </w:tc>
      </w:tr>
      <w:tr w:rsidR="00E05E9A" w:rsidRPr="00B06508" w:rsidTr="00987073">
        <w:trPr>
          <w:cnfStyle w:val="000000100000" w:firstRow="0" w:lastRow="0" w:firstColumn="0" w:lastColumn="0" w:oddVBand="0" w:evenVBand="0" w:oddHBand="1"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1413" w:type="dxa"/>
          </w:tcPr>
          <w:p w:rsidR="00E05E9A" w:rsidRDefault="00E05E9A" w:rsidP="00B75850">
            <w:pPr>
              <w:pStyle w:val="BodyText"/>
              <w:spacing w:line="360" w:lineRule="auto"/>
              <w:jc w:val="both"/>
              <w:rPr>
                <w:rFonts w:ascii="Times New Roman" w:eastAsiaTheme="minorEastAsia" w:hAnsi="Times New Roman" w:cs="Times New Roman"/>
                <w:lang w:val="en-US"/>
              </w:rPr>
            </w:pPr>
            <w:r>
              <w:rPr>
                <w:rFonts w:ascii="Times New Roman" w:eastAsiaTheme="minorEastAsia" w:hAnsi="Times New Roman" w:cs="Times New Roman"/>
                <w:lang w:val="en-US"/>
              </w:rPr>
              <w:t>Oil and Gas Dummy</w:t>
            </w:r>
          </w:p>
        </w:tc>
        <w:tc>
          <w:tcPr>
            <w:tcW w:w="2693" w:type="dxa"/>
          </w:tcPr>
          <w:p w:rsidR="00E05E9A" w:rsidRDefault="00E05E9A" w:rsidP="00B75850">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Yahoo!Finance</w:t>
            </w:r>
          </w:p>
        </w:tc>
        <w:tc>
          <w:tcPr>
            <w:tcW w:w="2977" w:type="dxa"/>
          </w:tcPr>
          <w:p w:rsidR="00E05E9A" w:rsidRDefault="00E05E9A" w:rsidP="00B06508">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3</w:t>
            </w:r>
          </w:p>
        </w:tc>
        <w:tc>
          <w:tcPr>
            <w:tcW w:w="2835" w:type="dxa"/>
          </w:tcPr>
          <w:p w:rsidR="00E05E9A" w:rsidRPr="00B06508" w:rsidRDefault="00E05E9A" w:rsidP="00B75850">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06508">
              <w:rPr>
                <w:rFonts w:ascii="Times New Roman" w:eastAsiaTheme="minorEastAsia" w:hAnsi="Times New Roman" w:cs="Times New Roman"/>
                <w:lang w:val="en-US"/>
              </w:rPr>
              <w:t>01/01/2014 – 31/12/2018</w:t>
            </w:r>
          </w:p>
        </w:tc>
        <w:tc>
          <w:tcPr>
            <w:tcW w:w="4114" w:type="dxa"/>
          </w:tcPr>
          <w:p w:rsidR="00E05E9A" w:rsidRPr="00B06508" w:rsidRDefault="006879A8" w:rsidP="00B75850">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 xml:space="preserve">Oil and Gas dummy equals to 1 for firms operating in oil and gas sector and zero for firms in other industries. </w:t>
            </w:r>
          </w:p>
        </w:tc>
      </w:tr>
      <w:tr w:rsidR="00E05E9A" w:rsidRPr="00B06508" w:rsidTr="00987073">
        <w:trPr>
          <w:trHeight w:val="655"/>
        </w:trPr>
        <w:tc>
          <w:tcPr>
            <w:cnfStyle w:val="001000000000" w:firstRow="0" w:lastRow="0" w:firstColumn="1" w:lastColumn="0" w:oddVBand="0" w:evenVBand="0" w:oddHBand="0" w:evenHBand="0" w:firstRowFirstColumn="0" w:firstRowLastColumn="0" w:lastRowFirstColumn="0" w:lastRowLastColumn="0"/>
            <w:tcW w:w="1413" w:type="dxa"/>
          </w:tcPr>
          <w:p w:rsidR="00E05E9A" w:rsidRDefault="00E05E9A" w:rsidP="00B75850">
            <w:pPr>
              <w:pStyle w:val="BodyText"/>
              <w:spacing w:line="360" w:lineRule="auto"/>
              <w:jc w:val="both"/>
              <w:rPr>
                <w:rFonts w:ascii="Times New Roman" w:eastAsiaTheme="minorEastAsia" w:hAnsi="Times New Roman" w:cs="Times New Roman"/>
                <w:lang w:val="en-US"/>
              </w:rPr>
            </w:pPr>
            <w:r>
              <w:rPr>
                <w:rFonts w:ascii="Times New Roman" w:eastAsiaTheme="minorEastAsia" w:hAnsi="Times New Roman" w:cs="Times New Roman"/>
                <w:lang w:val="en-US"/>
              </w:rPr>
              <w:t>Oil Price</w:t>
            </w:r>
          </w:p>
        </w:tc>
        <w:tc>
          <w:tcPr>
            <w:tcW w:w="2693" w:type="dxa"/>
          </w:tcPr>
          <w:p w:rsidR="00E05E9A" w:rsidRDefault="00E05E9A" w:rsidP="00B75850">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US Federal Reserve</w:t>
            </w:r>
          </w:p>
        </w:tc>
        <w:tc>
          <w:tcPr>
            <w:tcW w:w="2977" w:type="dxa"/>
          </w:tcPr>
          <w:p w:rsidR="00E05E9A" w:rsidRDefault="00E05E9A" w:rsidP="00B06508">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1,231</w:t>
            </w:r>
          </w:p>
        </w:tc>
        <w:tc>
          <w:tcPr>
            <w:tcW w:w="2835" w:type="dxa"/>
          </w:tcPr>
          <w:p w:rsidR="00E05E9A" w:rsidRPr="00B06508" w:rsidRDefault="00E05E9A" w:rsidP="00B75850">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06508">
              <w:rPr>
                <w:rFonts w:ascii="Times New Roman" w:eastAsiaTheme="minorEastAsia" w:hAnsi="Times New Roman" w:cs="Times New Roman"/>
                <w:lang w:val="en-US"/>
              </w:rPr>
              <w:t>01/01/2014 – 31/12/2018</w:t>
            </w:r>
          </w:p>
        </w:tc>
        <w:tc>
          <w:tcPr>
            <w:tcW w:w="4114" w:type="dxa"/>
          </w:tcPr>
          <w:p w:rsidR="00E05E9A" w:rsidRPr="00B06508" w:rsidRDefault="006879A8" w:rsidP="00B75850">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 xml:space="preserve">Oil price is the price of Brent Crude oil. </w:t>
            </w:r>
          </w:p>
        </w:tc>
      </w:tr>
      <w:tr w:rsidR="00E05E9A" w:rsidRPr="00B06508" w:rsidTr="00987073">
        <w:trPr>
          <w:cnfStyle w:val="000000100000" w:firstRow="0" w:lastRow="0" w:firstColumn="0" w:lastColumn="0" w:oddVBand="0" w:evenVBand="0" w:oddHBand="1"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1413" w:type="dxa"/>
          </w:tcPr>
          <w:p w:rsidR="00E05E9A" w:rsidRDefault="00E05E9A" w:rsidP="00B75850">
            <w:pPr>
              <w:pStyle w:val="BodyText"/>
              <w:spacing w:line="360" w:lineRule="auto"/>
              <w:jc w:val="both"/>
              <w:rPr>
                <w:rFonts w:ascii="Times New Roman" w:eastAsiaTheme="minorEastAsia" w:hAnsi="Times New Roman" w:cs="Times New Roman"/>
                <w:lang w:val="en-US"/>
              </w:rPr>
            </w:pPr>
            <w:r>
              <w:rPr>
                <w:rFonts w:ascii="Times New Roman" w:eastAsiaTheme="minorEastAsia" w:hAnsi="Times New Roman" w:cs="Times New Roman"/>
                <w:lang w:val="en-US"/>
              </w:rPr>
              <w:t>Exchange Rate</w:t>
            </w:r>
          </w:p>
        </w:tc>
        <w:tc>
          <w:tcPr>
            <w:tcW w:w="2693" w:type="dxa"/>
          </w:tcPr>
          <w:p w:rsidR="00E05E9A" w:rsidRDefault="00E05E9A" w:rsidP="00B75850">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Russian Central Bank</w:t>
            </w:r>
          </w:p>
        </w:tc>
        <w:tc>
          <w:tcPr>
            <w:tcW w:w="2977" w:type="dxa"/>
          </w:tcPr>
          <w:p w:rsidR="00E05E9A" w:rsidRDefault="00E05E9A" w:rsidP="00B06508">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1,231</w:t>
            </w:r>
          </w:p>
        </w:tc>
        <w:tc>
          <w:tcPr>
            <w:tcW w:w="2835" w:type="dxa"/>
          </w:tcPr>
          <w:p w:rsidR="00E05E9A" w:rsidRPr="00B06508" w:rsidRDefault="00E05E9A" w:rsidP="00B75850">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06508">
              <w:rPr>
                <w:rFonts w:ascii="Times New Roman" w:eastAsiaTheme="minorEastAsia" w:hAnsi="Times New Roman" w:cs="Times New Roman"/>
                <w:lang w:val="en-US"/>
              </w:rPr>
              <w:t>01/01/2014 – 31/12/2018</w:t>
            </w:r>
          </w:p>
        </w:tc>
        <w:tc>
          <w:tcPr>
            <w:tcW w:w="4114" w:type="dxa"/>
          </w:tcPr>
          <w:p w:rsidR="00E05E9A" w:rsidRPr="00B06508" w:rsidRDefault="006879A8" w:rsidP="00B75850">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 xml:space="preserve">Exchange rate is the official exchange of RUB/USD as per Central Bank of Russia. </w:t>
            </w:r>
          </w:p>
        </w:tc>
      </w:tr>
      <w:tr w:rsidR="00E05E9A" w:rsidRPr="00B06508" w:rsidTr="00987073">
        <w:trPr>
          <w:trHeight w:val="655"/>
        </w:trPr>
        <w:tc>
          <w:tcPr>
            <w:cnfStyle w:val="001000000000" w:firstRow="0" w:lastRow="0" w:firstColumn="1" w:lastColumn="0" w:oddVBand="0" w:evenVBand="0" w:oddHBand="0" w:evenHBand="0" w:firstRowFirstColumn="0" w:firstRowLastColumn="0" w:lastRowFirstColumn="0" w:lastRowLastColumn="0"/>
            <w:tcW w:w="1413" w:type="dxa"/>
          </w:tcPr>
          <w:p w:rsidR="00E05E9A" w:rsidRDefault="00E05E9A" w:rsidP="00B75850">
            <w:pPr>
              <w:pStyle w:val="BodyText"/>
              <w:spacing w:line="360" w:lineRule="auto"/>
              <w:jc w:val="both"/>
              <w:rPr>
                <w:rFonts w:ascii="Times New Roman" w:eastAsiaTheme="minorEastAsia" w:hAnsi="Times New Roman" w:cs="Times New Roman"/>
                <w:lang w:val="en-US"/>
              </w:rPr>
            </w:pPr>
            <w:r>
              <w:rPr>
                <w:rFonts w:ascii="Times New Roman" w:eastAsiaTheme="minorEastAsia" w:hAnsi="Times New Roman" w:cs="Times New Roman"/>
                <w:lang w:val="en-US"/>
              </w:rPr>
              <w:t>T-bill</w:t>
            </w:r>
          </w:p>
        </w:tc>
        <w:tc>
          <w:tcPr>
            <w:tcW w:w="2693" w:type="dxa"/>
          </w:tcPr>
          <w:p w:rsidR="00E05E9A" w:rsidRDefault="00E05E9A" w:rsidP="00B75850">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US Federal Reserve</w:t>
            </w:r>
          </w:p>
        </w:tc>
        <w:tc>
          <w:tcPr>
            <w:tcW w:w="2977" w:type="dxa"/>
          </w:tcPr>
          <w:p w:rsidR="00E05E9A" w:rsidRDefault="00E05E9A" w:rsidP="00B06508">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1,231</w:t>
            </w:r>
          </w:p>
        </w:tc>
        <w:tc>
          <w:tcPr>
            <w:tcW w:w="2835" w:type="dxa"/>
          </w:tcPr>
          <w:p w:rsidR="00E05E9A" w:rsidRPr="00B06508" w:rsidRDefault="00E05E9A" w:rsidP="00B75850">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06508">
              <w:rPr>
                <w:rFonts w:ascii="Times New Roman" w:eastAsiaTheme="minorEastAsia" w:hAnsi="Times New Roman" w:cs="Times New Roman"/>
                <w:lang w:val="en-US"/>
              </w:rPr>
              <w:t>01/01/2014 – 31/12/2018</w:t>
            </w:r>
          </w:p>
        </w:tc>
        <w:tc>
          <w:tcPr>
            <w:tcW w:w="4114" w:type="dxa"/>
          </w:tcPr>
          <w:p w:rsidR="00E05E9A" w:rsidRPr="00B06508" w:rsidRDefault="00081DD5" w:rsidP="00B75850">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 xml:space="preserve">T-bill is the 90-days short term securities of the US Treasury. </w:t>
            </w:r>
          </w:p>
        </w:tc>
      </w:tr>
      <w:tr w:rsidR="00E05E9A" w:rsidRPr="00B06508" w:rsidTr="00987073">
        <w:trPr>
          <w:cnfStyle w:val="000000100000" w:firstRow="0" w:lastRow="0" w:firstColumn="0" w:lastColumn="0" w:oddVBand="0" w:evenVBand="0" w:oddHBand="1"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1413" w:type="dxa"/>
          </w:tcPr>
          <w:p w:rsidR="00E05E9A" w:rsidRDefault="00E05E9A" w:rsidP="00B75850">
            <w:pPr>
              <w:pStyle w:val="BodyText"/>
              <w:spacing w:line="360" w:lineRule="auto"/>
              <w:jc w:val="both"/>
              <w:rPr>
                <w:rFonts w:ascii="Times New Roman" w:eastAsiaTheme="minorEastAsia" w:hAnsi="Times New Roman" w:cs="Times New Roman"/>
                <w:lang w:val="en-US"/>
              </w:rPr>
            </w:pPr>
            <w:r>
              <w:rPr>
                <w:rFonts w:ascii="Times New Roman" w:eastAsiaTheme="minorEastAsia" w:hAnsi="Times New Roman" w:cs="Times New Roman"/>
                <w:lang w:val="en-US"/>
              </w:rPr>
              <w:t>MIBOR</w:t>
            </w:r>
          </w:p>
        </w:tc>
        <w:tc>
          <w:tcPr>
            <w:tcW w:w="2693" w:type="dxa"/>
          </w:tcPr>
          <w:p w:rsidR="00E05E9A" w:rsidRDefault="00E05E9A" w:rsidP="00B75850">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Russian Central Bank</w:t>
            </w:r>
          </w:p>
        </w:tc>
        <w:tc>
          <w:tcPr>
            <w:tcW w:w="2977" w:type="dxa"/>
          </w:tcPr>
          <w:p w:rsidR="00E05E9A" w:rsidRDefault="00E05E9A" w:rsidP="00B06508">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1,231</w:t>
            </w:r>
          </w:p>
        </w:tc>
        <w:tc>
          <w:tcPr>
            <w:tcW w:w="2835" w:type="dxa"/>
          </w:tcPr>
          <w:p w:rsidR="00E05E9A" w:rsidRPr="00B06508" w:rsidRDefault="00E05E9A" w:rsidP="00B75850">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06508">
              <w:rPr>
                <w:rFonts w:ascii="Times New Roman" w:eastAsiaTheme="minorEastAsia" w:hAnsi="Times New Roman" w:cs="Times New Roman"/>
                <w:lang w:val="en-US"/>
              </w:rPr>
              <w:t>01/01/2014 – 31/12/2018</w:t>
            </w:r>
          </w:p>
        </w:tc>
        <w:tc>
          <w:tcPr>
            <w:tcW w:w="4114" w:type="dxa"/>
          </w:tcPr>
          <w:p w:rsidR="00E05E9A" w:rsidRPr="00B06508" w:rsidRDefault="00C560BD" w:rsidP="00B75850">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 xml:space="preserve">MIBOR is the Moscow Interbank Offer Rate imposed by the Russian Central Bank. </w:t>
            </w:r>
          </w:p>
        </w:tc>
      </w:tr>
      <w:tr w:rsidR="00E05E9A" w:rsidRPr="00B06508" w:rsidTr="00987073">
        <w:trPr>
          <w:trHeight w:val="643"/>
        </w:trPr>
        <w:tc>
          <w:tcPr>
            <w:cnfStyle w:val="001000000000" w:firstRow="0" w:lastRow="0" w:firstColumn="1" w:lastColumn="0" w:oddVBand="0" w:evenVBand="0" w:oddHBand="0" w:evenHBand="0" w:firstRowFirstColumn="0" w:firstRowLastColumn="0" w:lastRowFirstColumn="0" w:lastRowLastColumn="0"/>
            <w:tcW w:w="1413" w:type="dxa"/>
          </w:tcPr>
          <w:p w:rsidR="00E05E9A" w:rsidRDefault="00E05E9A" w:rsidP="00B75850">
            <w:pPr>
              <w:pStyle w:val="BodyText"/>
              <w:spacing w:line="360" w:lineRule="auto"/>
              <w:jc w:val="both"/>
              <w:rPr>
                <w:rFonts w:ascii="Times New Roman" w:eastAsiaTheme="minorEastAsia" w:hAnsi="Times New Roman" w:cs="Times New Roman"/>
                <w:lang w:val="en-US"/>
              </w:rPr>
            </w:pPr>
            <w:r>
              <w:rPr>
                <w:rFonts w:ascii="Times New Roman" w:eastAsiaTheme="minorEastAsia" w:hAnsi="Times New Roman" w:cs="Times New Roman"/>
                <w:lang w:val="en-US"/>
              </w:rPr>
              <w:t>Gold Reserves</w:t>
            </w:r>
          </w:p>
        </w:tc>
        <w:tc>
          <w:tcPr>
            <w:tcW w:w="2693" w:type="dxa"/>
          </w:tcPr>
          <w:p w:rsidR="00E05E9A" w:rsidRDefault="00E05E9A" w:rsidP="00B75850">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Russian Central Bank</w:t>
            </w:r>
          </w:p>
        </w:tc>
        <w:tc>
          <w:tcPr>
            <w:tcW w:w="2977" w:type="dxa"/>
          </w:tcPr>
          <w:p w:rsidR="00E05E9A" w:rsidRDefault="00E05E9A" w:rsidP="00B06508">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1,231</w:t>
            </w:r>
          </w:p>
        </w:tc>
        <w:tc>
          <w:tcPr>
            <w:tcW w:w="2835" w:type="dxa"/>
          </w:tcPr>
          <w:p w:rsidR="00E05E9A" w:rsidRPr="00B06508" w:rsidRDefault="00E05E9A" w:rsidP="00B75850">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06508">
              <w:rPr>
                <w:rFonts w:ascii="Times New Roman" w:eastAsiaTheme="minorEastAsia" w:hAnsi="Times New Roman" w:cs="Times New Roman"/>
                <w:lang w:val="en-US"/>
              </w:rPr>
              <w:t>01/01/2014 – 31/12/2018</w:t>
            </w:r>
          </w:p>
        </w:tc>
        <w:tc>
          <w:tcPr>
            <w:tcW w:w="4114" w:type="dxa"/>
          </w:tcPr>
          <w:p w:rsidR="00E05E9A" w:rsidRPr="00B06508" w:rsidRDefault="00C560BD" w:rsidP="00B75850">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 xml:space="preserve">Gold reserves is the reserves of Russian federation expressed in USD. </w:t>
            </w:r>
          </w:p>
        </w:tc>
      </w:tr>
    </w:tbl>
    <w:p w:rsidR="00E05E9A" w:rsidRDefault="00E05E9A" w:rsidP="00B75850">
      <w:pPr>
        <w:pStyle w:val="BodyText"/>
        <w:spacing w:line="360" w:lineRule="auto"/>
        <w:ind w:firstLine="567"/>
        <w:jc w:val="both"/>
        <w:rPr>
          <w:rFonts w:ascii="Times New Roman" w:eastAsiaTheme="minorEastAsia" w:hAnsi="Times New Roman" w:cs="Times New Roman"/>
          <w:sz w:val="24"/>
          <w:szCs w:val="24"/>
          <w:lang w:val="en-US"/>
        </w:rPr>
      </w:pPr>
    </w:p>
    <w:p w:rsidR="00E05E9A" w:rsidRDefault="00E05E9A" w:rsidP="00B75850">
      <w:pPr>
        <w:pStyle w:val="BodyText"/>
        <w:spacing w:line="360" w:lineRule="auto"/>
        <w:ind w:firstLine="567"/>
        <w:jc w:val="both"/>
        <w:rPr>
          <w:rFonts w:ascii="Times New Roman" w:eastAsiaTheme="minorEastAsia" w:hAnsi="Times New Roman" w:cs="Times New Roman"/>
          <w:sz w:val="24"/>
          <w:szCs w:val="24"/>
          <w:lang w:val="en-US"/>
        </w:rPr>
        <w:sectPr w:rsidR="00E05E9A" w:rsidSect="00E05E9A">
          <w:pgSz w:w="16838" w:h="11906" w:orient="landscape" w:code="9"/>
          <w:pgMar w:top="1021" w:right="1474" w:bottom="1021" w:left="1474" w:header="567" w:footer="567" w:gutter="0"/>
          <w:cols w:space="708"/>
          <w:docGrid w:linePitch="360"/>
        </w:sectPr>
      </w:pPr>
    </w:p>
    <w:p w:rsidR="00D7228C" w:rsidRDefault="00D7228C" w:rsidP="0014332F">
      <w:pPr>
        <w:pStyle w:val="BodyText"/>
        <w:spacing w:line="360" w:lineRule="auto"/>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lastRenderedPageBreak/>
        <w:t xml:space="preserve">From </w:t>
      </w:r>
      <w:r w:rsidR="00A8228C">
        <w:rPr>
          <w:rFonts w:ascii="Times New Roman" w:eastAsiaTheme="minorEastAsia" w:hAnsi="Times New Roman" w:cs="Times New Roman"/>
          <w:sz w:val="24"/>
          <w:szCs w:val="24"/>
          <w:lang w:val="en-US"/>
        </w:rPr>
        <w:t xml:space="preserve">the </w:t>
      </w:r>
      <w:r>
        <w:rPr>
          <w:rFonts w:ascii="Times New Roman" w:eastAsiaTheme="minorEastAsia" w:hAnsi="Times New Roman" w:cs="Times New Roman"/>
          <w:sz w:val="24"/>
          <w:szCs w:val="24"/>
          <w:lang w:val="en-US"/>
        </w:rPr>
        <w:t xml:space="preserve">above discussion, the regression equation takes the following form: </w:t>
      </w:r>
    </w:p>
    <w:p w:rsidR="00D7228C" w:rsidRDefault="00380498" w:rsidP="0014332F">
      <w:pPr>
        <w:pStyle w:val="BodyText"/>
        <w:spacing w:line="360" w:lineRule="auto"/>
        <w:rPr>
          <w:rFonts w:ascii="Times New Roman" w:eastAsiaTheme="minorEastAsia" w:hAnsi="Times New Roman" w:cs="Times New Roman"/>
          <w:sz w:val="24"/>
          <w:szCs w:val="24"/>
          <w:lang w:val="en-US"/>
        </w:rPr>
      </w:pP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 xml:space="preserve"> P</m:t>
            </m:r>
          </m:e>
          <m:sub>
            <m:r>
              <w:rPr>
                <w:rFonts w:ascii="Cambria Math" w:hAnsi="Cambria Math" w:cs="Times New Roman"/>
                <w:sz w:val="24"/>
                <w:szCs w:val="24"/>
                <w:lang w:val="en-US"/>
              </w:rPr>
              <m:t>it</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β</m:t>
            </m:r>
          </m:e>
          <m:sub>
            <m:r>
              <w:rPr>
                <w:rFonts w:ascii="Cambria Math" w:hAnsi="Cambria Math" w:cs="Times New Roman"/>
                <w:sz w:val="24"/>
                <w:szCs w:val="24"/>
                <w:lang w:val="en-US"/>
              </w:rPr>
              <m:t>0</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β</m:t>
            </m:r>
          </m:e>
          <m:sub>
            <m:r>
              <w:rPr>
                <w:rFonts w:ascii="Cambria Math" w:hAnsi="Cambria Math" w:cs="Times New Roman"/>
                <w:sz w:val="24"/>
                <w:szCs w:val="24"/>
                <w:lang w:val="en-US"/>
              </w:rPr>
              <m:t>1</m:t>
            </m:r>
          </m:sub>
        </m:sSub>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i(t-1)</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Event Dummy</m:t>
            </m:r>
          </m:e>
          <m:sub>
            <m:r>
              <w:rPr>
                <w:rFonts w:ascii="Cambria Math" w:eastAsiaTheme="minorEastAsia" w:hAnsi="Cambria Math" w:cs="Times New Roman"/>
                <w:sz w:val="24"/>
                <w:szCs w:val="24"/>
                <w:lang w:val="en-US"/>
              </w:rPr>
              <m:t>t</m:t>
            </m:r>
          </m:sub>
        </m:sSub>
        <m:r>
          <w:rPr>
            <w:rFonts w:ascii="Cambria Math" w:eastAsiaTheme="minorEastAsia" w:hAnsi="Cambria Math" w:cs="Times New Roman"/>
            <w:sz w:val="24"/>
            <w:szCs w:val="24"/>
            <w:lang w:val="en-US"/>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β</m:t>
            </m:r>
          </m:e>
          <m:sub>
            <m:r>
              <w:rPr>
                <w:rFonts w:ascii="Cambria Math" w:eastAsiaTheme="minorEastAsia" w:hAnsi="Cambria Math" w:cs="Times New Roman"/>
                <w:sz w:val="24"/>
                <w:szCs w:val="24"/>
                <w:lang w:val="en-US"/>
              </w:rPr>
              <m:t>3</m:t>
            </m:r>
          </m:sub>
        </m:sSub>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Oil and Gas dummy</m:t>
            </m:r>
          </m:e>
          <m:sub>
            <m:r>
              <w:rPr>
                <w:rFonts w:ascii="Cambria Math" w:eastAsiaTheme="minorEastAsia" w:hAnsi="Cambria Math" w:cs="Times New Roman"/>
                <w:sz w:val="24"/>
                <w:szCs w:val="24"/>
                <w:lang w:val="en-US"/>
              </w:rPr>
              <m:t>i</m:t>
            </m:r>
          </m:sub>
        </m:sSub>
        <m:r>
          <w:rPr>
            <w:rFonts w:ascii="Cambria Math" w:eastAsiaTheme="minorEastAsia" w:hAnsi="Cambria Math" w:cs="Times New Roman"/>
            <w:sz w:val="24"/>
            <w:szCs w:val="24"/>
            <w:lang w:val="en-US"/>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β</m:t>
            </m:r>
          </m:e>
          <m:sub>
            <m:r>
              <w:rPr>
                <w:rFonts w:ascii="Cambria Math" w:eastAsiaTheme="minorEastAsia" w:hAnsi="Cambria Math" w:cs="Times New Roman"/>
                <w:sz w:val="24"/>
                <w:szCs w:val="24"/>
                <w:lang w:val="en-US"/>
              </w:rPr>
              <m:t>4</m:t>
            </m:r>
          </m:sub>
        </m:sSub>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Oil Price</m:t>
            </m:r>
          </m:e>
          <m:sub>
            <m:r>
              <w:rPr>
                <w:rFonts w:ascii="Cambria Math" w:eastAsiaTheme="minorEastAsia" w:hAnsi="Cambria Math" w:cs="Times New Roman"/>
                <w:sz w:val="24"/>
                <w:szCs w:val="24"/>
                <w:lang w:val="en-US"/>
              </w:rPr>
              <m:t>t</m:t>
            </m:r>
          </m:sub>
        </m:sSub>
        <m:r>
          <w:rPr>
            <w:rFonts w:ascii="Cambria Math" w:eastAsiaTheme="minorEastAsia" w:hAnsi="Cambria Math" w:cs="Times New Roman"/>
            <w:sz w:val="24"/>
            <w:szCs w:val="24"/>
            <w:lang w:val="en-US"/>
          </w:rPr>
          <m:t xml:space="preserve">+ </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β</m:t>
            </m:r>
          </m:e>
          <m:sub>
            <m:r>
              <w:rPr>
                <w:rFonts w:ascii="Cambria Math" w:eastAsiaTheme="minorEastAsia" w:hAnsi="Cambria Math" w:cs="Times New Roman"/>
                <w:sz w:val="24"/>
                <w:szCs w:val="24"/>
                <w:lang w:val="en-US"/>
              </w:rPr>
              <m:t>5</m:t>
            </m:r>
          </m:sub>
        </m:sSub>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EXRATE</m:t>
            </m:r>
          </m:e>
          <m:sub>
            <m:r>
              <w:rPr>
                <w:rFonts w:ascii="Cambria Math" w:eastAsiaTheme="minorEastAsia" w:hAnsi="Cambria Math" w:cs="Times New Roman"/>
                <w:sz w:val="24"/>
                <w:szCs w:val="24"/>
                <w:lang w:val="en-US"/>
              </w:rPr>
              <m:t>t</m:t>
            </m:r>
          </m:sub>
        </m:sSub>
        <m:r>
          <w:rPr>
            <w:rFonts w:ascii="Cambria Math" w:eastAsiaTheme="minorEastAsia" w:hAnsi="Cambria Math" w:cs="Times New Roman"/>
            <w:sz w:val="24"/>
            <w:szCs w:val="24"/>
            <w:lang w:val="en-US"/>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β</m:t>
            </m:r>
          </m:e>
          <m:sub>
            <m:r>
              <w:rPr>
                <w:rFonts w:ascii="Cambria Math" w:eastAsiaTheme="minorEastAsia" w:hAnsi="Cambria Math" w:cs="Times New Roman"/>
                <w:sz w:val="24"/>
                <w:szCs w:val="24"/>
                <w:lang w:val="en-US"/>
              </w:rPr>
              <m:t>6</m:t>
            </m:r>
          </m:sub>
        </m:sSub>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TBill</m:t>
            </m:r>
          </m:e>
          <m:sub>
            <m:r>
              <w:rPr>
                <w:rFonts w:ascii="Cambria Math" w:eastAsiaTheme="minorEastAsia" w:hAnsi="Cambria Math" w:cs="Times New Roman"/>
                <w:sz w:val="24"/>
                <w:szCs w:val="24"/>
                <w:lang w:val="en-US"/>
              </w:rPr>
              <m:t>t</m:t>
            </m:r>
          </m:sub>
        </m:sSub>
        <m:r>
          <w:rPr>
            <w:rFonts w:ascii="Cambria Math" w:eastAsiaTheme="minorEastAsia" w:hAnsi="Cambria Math" w:cs="Times New Roman"/>
            <w:sz w:val="24"/>
            <w:szCs w:val="24"/>
            <w:lang w:val="en-US"/>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β</m:t>
            </m:r>
          </m:e>
          <m:sub>
            <m:r>
              <w:rPr>
                <w:rFonts w:ascii="Cambria Math" w:eastAsiaTheme="minorEastAsia" w:hAnsi="Cambria Math" w:cs="Times New Roman"/>
                <w:sz w:val="24"/>
                <w:szCs w:val="24"/>
                <w:lang w:val="en-US"/>
              </w:rPr>
              <m:t>7</m:t>
            </m:r>
          </m:sub>
        </m:sSub>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MIBOR</m:t>
            </m:r>
          </m:e>
          <m:sub>
            <m:r>
              <w:rPr>
                <w:rFonts w:ascii="Cambria Math" w:eastAsiaTheme="minorEastAsia" w:hAnsi="Cambria Math" w:cs="Times New Roman"/>
                <w:sz w:val="24"/>
                <w:szCs w:val="24"/>
                <w:lang w:val="en-US"/>
              </w:rPr>
              <m:t>t</m:t>
            </m:r>
          </m:sub>
        </m:sSub>
        <m:r>
          <w:rPr>
            <w:rFonts w:ascii="Cambria Math" w:eastAsiaTheme="minorEastAsia" w:hAnsi="Cambria Math" w:cs="Times New Roman"/>
            <w:sz w:val="24"/>
            <w:szCs w:val="24"/>
            <w:lang w:val="en-US"/>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β</m:t>
            </m:r>
          </m:e>
          <m:sub>
            <m:r>
              <w:rPr>
                <w:rFonts w:ascii="Cambria Math" w:eastAsiaTheme="minorEastAsia" w:hAnsi="Cambria Math" w:cs="Times New Roman"/>
                <w:sz w:val="24"/>
                <w:szCs w:val="24"/>
                <w:lang w:val="en-US"/>
              </w:rPr>
              <m:t>8</m:t>
            </m:r>
          </m:sub>
        </m:sSub>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Gold</m:t>
            </m:r>
          </m:e>
          <m:sub>
            <m:r>
              <w:rPr>
                <w:rFonts w:ascii="Cambria Math" w:eastAsiaTheme="minorEastAsia" w:hAnsi="Cambria Math" w:cs="Times New Roman"/>
                <w:sz w:val="24"/>
                <w:szCs w:val="24"/>
                <w:lang w:val="en-US"/>
              </w:rPr>
              <m:t>t</m:t>
            </m:r>
          </m:sub>
        </m:sSub>
        <m:r>
          <w:rPr>
            <w:rFonts w:ascii="Cambria Math" w:eastAsiaTheme="minorEastAsia" w:hAnsi="Cambria Math" w:cs="Times New Roman"/>
            <w:sz w:val="24"/>
            <w:szCs w:val="24"/>
            <w:lang w:val="en-US"/>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ε</m:t>
            </m:r>
          </m:e>
          <m:sub>
            <m:r>
              <w:rPr>
                <w:rFonts w:ascii="Cambria Math" w:eastAsiaTheme="minorEastAsia" w:hAnsi="Cambria Math" w:cs="Times New Roman"/>
                <w:sz w:val="24"/>
                <w:szCs w:val="24"/>
                <w:lang w:val="en-US"/>
              </w:rPr>
              <m:t>t</m:t>
            </m:r>
          </m:sub>
        </m:sSub>
      </m:oMath>
      <w:r w:rsidR="00D7228C">
        <w:rPr>
          <w:rFonts w:ascii="Times New Roman" w:eastAsiaTheme="minorEastAsia" w:hAnsi="Times New Roman" w:cs="Times New Roman"/>
          <w:sz w:val="24"/>
          <w:szCs w:val="24"/>
          <w:lang w:val="en-US"/>
        </w:rPr>
        <w:t xml:space="preserve">                                         </w:t>
      </w:r>
      <w:r w:rsidR="0001339C">
        <w:rPr>
          <w:rFonts w:ascii="Times New Roman" w:eastAsiaTheme="minorEastAsia" w:hAnsi="Times New Roman" w:cs="Times New Roman"/>
          <w:sz w:val="24"/>
          <w:szCs w:val="24"/>
          <w:lang w:val="en-US"/>
        </w:rPr>
        <w:t xml:space="preserve">  </w:t>
      </w:r>
      <w:r w:rsidR="00900BD6">
        <w:rPr>
          <w:rFonts w:ascii="Times New Roman" w:eastAsiaTheme="minorEastAsia" w:hAnsi="Times New Roman" w:cs="Times New Roman"/>
          <w:sz w:val="24"/>
          <w:szCs w:val="24"/>
          <w:lang w:val="en-US"/>
        </w:rPr>
        <w:tab/>
      </w:r>
      <w:r w:rsidR="00900BD6">
        <w:rPr>
          <w:rFonts w:ascii="Times New Roman" w:eastAsiaTheme="minorEastAsia" w:hAnsi="Times New Roman" w:cs="Times New Roman"/>
          <w:sz w:val="24"/>
          <w:szCs w:val="24"/>
          <w:lang w:val="en-US"/>
        </w:rPr>
        <w:tab/>
      </w:r>
    </w:p>
    <w:p w:rsidR="00900BD6" w:rsidRPr="00900BD6" w:rsidRDefault="00900BD6" w:rsidP="00FA327E">
      <w:pPr>
        <w:pStyle w:val="BodyText"/>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Subscripts i and t indicates the firm and date, respectively. For example, P</w:t>
      </w:r>
      <w:r>
        <w:rPr>
          <w:rFonts w:ascii="Times New Roman" w:eastAsiaTheme="minorEastAsia" w:hAnsi="Times New Roman" w:cs="Times New Roman"/>
          <w:sz w:val="24"/>
          <w:szCs w:val="24"/>
          <w:vertAlign w:val="subscript"/>
          <w:lang w:val="en-US"/>
        </w:rPr>
        <w:t xml:space="preserve">it </w:t>
      </w:r>
      <w:r>
        <w:rPr>
          <w:rFonts w:ascii="Times New Roman" w:eastAsiaTheme="minorEastAsia" w:hAnsi="Times New Roman" w:cs="Times New Roman"/>
          <w:sz w:val="24"/>
          <w:szCs w:val="24"/>
          <w:lang w:val="en-US"/>
        </w:rPr>
        <w:t xml:space="preserve">indicates the stock price for a firm i at time t. </w:t>
      </w:r>
    </w:p>
    <w:p w:rsidR="00393BAC" w:rsidRPr="00900BD6" w:rsidRDefault="007D33A1" w:rsidP="00FA327E">
      <w:pPr>
        <w:pStyle w:val="BodyText"/>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The </w:t>
      </w:r>
      <w:r w:rsidR="00B645D9">
        <w:rPr>
          <w:rFonts w:ascii="Times New Roman" w:eastAsiaTheme="minorEastAsia" w:hAnsi="Times New Roman" w:cs="Times New Roman"/>
          <w:sz w:val="24"/>
          <w:szCs w:val="24"/>
          <w:lang w:val="en-US"/>
        </w:rPr>
        <w:t xml:space="preserve">MICEX 10 </w:t>
      </w:r>
      <w:r>
        <w:rPr>
          <w:rFonts w:ascii="Times New Roman" w:eastAsiaTheme="minorEastAsia" w:hAnsi="Times New Roman" w:cs="Times New Roman"/>
          <w:sz w:val="24"/>
          <w:szCs w:val="24"/>
          <w:lang w:val="en-US"/>
        </w:rPr>
        <w:t xml:space="preserve">index is comprised of the most liquid 10 stocks in Russian stock exchange. </w:t>
      </w:r>
      <w:r w:rsidR="00393BAC">
        <w:rPr>
          <w:rFonts w:ascii="Times New Roman" w:eastAsiaTheme="minorEastAsia" w:hAnsi="Times New Roman" w:cs="Times New Roman"/>
          <w:sz w:val="24"/>
          <w:szCs w:val="24"/>
          <w:lang w:val="en-US"/>
        </w:rPr>
        <w:t xml:space="preserve">I expect the following relationship between independent and dependent variables. </w:t>
      </w:r>
    </w:p>
    <w:p w:rsidR="009014D2" w:rsidRPr="009014D2" w:rsidRDefault="009014D2" w:rsidP="009014D2">
      <w:pPr>
        <w:pStyle w:val="Caption"/>
        <w:keepNext/>
        <w:rPr>
          <w:rFonts w:ascii="Times New Roman" w:hAnsi="Times New Roman" w:cs="Times New Roman"/>
          <w:color w:val="auto"/>
          <w:sz w:val="20"/>
          <w:szCs w:val="20"/>
        </w:rPr>
      </w:pPr>
      <w:bookmarkStart w:id="9" w:name="_Toc15484941"/>
      <w:r w:rsidRPr="009014D2">
        <w:rPr>
          <w:rFonts w:ascii="Times New Roman" w:hAnsi="Times New Roman" w:cs="Times New Roman"/>
          <w:color w:val="auto"/>
          <w:sz w:val="20"/>
          <w:szCs w:val="20"/>
        </w:rPr>
        <w:t xml:space="preserve">Table </w:t>
      </w:r>
      <w:r w:rsidRPr="009014D2">
        <w:rPr>
          <w:rFonts w:ascii="Times New Roman" w:hAnsi="Times New Roman" w:cs="Times New Roman"/>
          <w:color w:val="auto"/>
          <w:sz w:val="20"/>
          <w:szCs w:val="20"/>
        </w:rPr>
        <w:fldChar w:fldCharType="begin"/>
      </w:r>
      <w:r w:rsidRPr="009014D2">
        <w:rPr>
          <w:rFonts w:ascii="Times New Roman" w:hAnsi="Times New Roman" w:cs="Times New Roman"/>
          <w:color w:val="auto"/>
          <w:sz w:val="20"/>
          <w:szCs w:val="20"/>
        </w:rPr>
        <w:instrText xml:space="preserve"> SEQ Table \* ARABIC </w:instrText>
      </w:r>
      <w:r w:rsidRPr="009014D2">
        <w:rPr>
          <w:rFonts w:ascii="Times New Roman" w:hAnsi="Times New Roman" w:cs="Times New Roman"/>
          <w:color w:val="auto"/>
          <w:sz w:val="20"/>
          <w:szCs w:val="20"/>
        </w:rPr>
        <w:fldChar w:fldCharType="separate"/>
      </w:r>
      <w:r w:rsidR="00FA327E">
        <w:rPr>
          <w:rFonts w:ascii="Times New Roman" w:hAnsi="Times New Roman" w:cs="Times New Roman"/>
          <w:noProof/>
          <w:color w:val="auto"/>
          <w:sz w:val="20"/>
          <w:szCs w:val="20"/>
        </w:rPr>
        <w:t>3</w:t>
      </w:r>
      <w:r w:rsidRPr="009014D2">
        <w:rPr>
          <w:rFonts w:ascii="Times New Roman" w:hAnsi="Times New Roman" w:cs="Times New Roman"/>
          <w:color w:val="auto"/>
          <w:sz w:val="20"/>
          <w:szCs w:val="20"/>
        </w:rPr>
        <w:fldChar w:fldCharType="end"/>
      </w:r>
      <w:r w:rsidRPr="009014D2">
        <w:rPr>
          <w:rFonts w:ascii="Times New Roman" w:hAnsi="Times New Roman" w:cs="Times New Roman"/>
          <w:color w:val="auto"/>
          <w:sz w:val="20"/>
          <w:szCs w:val="20"/>
        </w:rPr>
        <w:t xml:space="preserve">. </w:t>
      </w:r>
      <w:r w:rsidR="00303068">
        <w:rPr>
          <w:rFonts w:ascii="Times New Roman" w:hAnsi="Times New Roman" w:cs="Times New Roman"/>
          <w:color w:val="auto"/>
          <w:sz w:val="20"/>
          <w:szCs w:val="20"/>
        </w:rPr>
        <w:t>Explanatory</w:t>
      </w:r>
      <w:r w:rsidRPr="009014D2">
        <w:rPr>
          <w:rFonts w:ascii="Times New Roman" w:hAnsi="Times New Roman" w:cs="Times New Roman"/>
          <w:color w:val="auto"/>
          <w:sz w:val="20"/>
          <w:szCs w:val="20"/>
        </w:rPr>
        <w:t xml:space="preserve"> Variables</w:t>
      </w:r>
      <w:bookmarkEnd w:id="9"/>
    </w:p>
    <w:tbl>
      <w:tblPr>
        <w:tblStyle w:val="PlainTable5"/>
        <w:tblW w:w="0" w:type="auto"/>
        <w:tblLook w:val="04A0" w:firstRow="1" w:lastRow="0" w:firstColumn="1" w:lastColumn="0" w:noHBand="0" w:noVBand="1"/>
      </w:tblPr>
      <w:tblGrid>
        <w:gridCol w:w="2549"/>
        <w:gridCol w:w="2176"/>
        <w:gridCol w:w="2492"/>
        <w:gridCol w:w="2647"/>
      </w:tblGrid>
      <w:tr w:rsidR="00A8228C" w:rsidRPr="009014D2" w:rsidTr="00A8228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49" w:type="dxa"/>
          </w:tcPr>
          <w:p w:rsidR="00A8228C" w:rsidRPr="009014D2" w:rsidRDefault="00F14EF8" w:rsidP="00F14EF8">
            <w:pPr>
              <w:pStyle w:val="BodyText"/>
              <w:spacing w:line="360" w:lineRule="auto"/>
              <w:jc w:val="both"/>
              <w:rPr>
                <w:rFonts w:ascii="Times New Roman" w:eastAsiaTheme="minorEastAsia" w:hAnsi="Times New Roman" w:cs="Times New Roman"/>
                <w:sz w:val="20"/>
                <w:lang w:val="en-US"/>
              </w:rPr>
            </w:pPr>
            <w:r>
              <w:rPr>
                <w:rFonts w:ascii="Times New Roman" w:eastAsiaTheme="minorEastAsia" w:hAnsi="Times New Roman" w:cs="Times New Roman"/>
                <w:sz w:val="20"/>
                <w:lang w:val="en-US"/>
              </w:rPr>
              <w:t>Explanatory Variables</w:t>
            </w:r>
            <w:r w:rsidR="00A8228C" w:rsidRPr="009014D2">
              <w:rPr>
                <w:rFonts w:ascii="Times New Roman" w:eastAsiaTheme="minorEastAsia" w:hAnsi="Times New Roman" w:cs="Times New Roman"/>
                <w:sz w:val="20"/>
                <w:lang w:val="en-US"/>
              </w:rPr>
              <w:t xml:space="preserve"> </w:t>
            </w:r>
          </w:p>
        </w:tc>
        <w:tc>
          <w:tcPr>
            <w:tcW w:w="2176" w:type="dxa"/>
          </w:tcPr>
          <w:p w:rsidR="00A8228C" w:rsidRPr="009014D2" w:rsidRDefault="00A8228C" w:rsidP="00846885">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Paper</w:t>
            </w:r>
          </w:p>
        </w:tc>
        <w:tc>
          <w:tcPr>
            <w:tcW w:w="2492" w:type="dxa"/>
          </w:tcPr>
          <w:p w:rsidR="00A8228C" w:rsidRPr="009014D2" w:rsidRDefault="00A8228C" w:rsidP="00846885">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Expected Sign</w:t>
            </w:r>
          </w:p>
        </w:tc>
        <w:tc>
          <w:tcPr>
            <w:tcW w:w="2647" w:type="dxa"/>
          </w:tcPr>
          <w:p w:rsidR="00A8228C" w:rsidRPr="009014D2" w:rsidRDefault="00A8228C" w:rsidP="00846885">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Measurement of the variable</w:t>
            </w:r>
          </w:p>
        </w:tc>
      </w:tr>
      <w:tr w:rsidR="00A8228C" w:rsidRPr="009014D2" w:rsidTr="00A82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9" w:type="dxa"/>
          </w:tcPr>
          <w:p w:rsidR="00A8228C" w:rsidRPr="009014D2" w:rsidRDefault="00A8228C" w:rsidP="00E1175F">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Stock Price (t-1)</w:t>
            </w:r>
          </w:p>
        </w:tc>
        <w:tc>
          <w:tcPr>
            <w:tcW w:w="2176" w:type="dxa"/>
          </w:tcPr>
          <w:p w:rsidR="00A8228C" w:rsidRPr="009014D2" w:rsidRDefault="00DB5919" w:rsidP="00846885">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Abdelbaki (2013)</w:t>
            </w:r>
          </w:p>
        </w:tc>
        <w:tc>
          <w:tcPr>
            <w:tcW w:w="2492" w:type="dxa"/>
          </w:tcPr>
          <w:p w:rsidR="00A8228C" w:rsidRPr="009014D2" w:rsidRDefault="00A8228C" w:rsidP="00846885">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w:t>
            </w:r>
          </w:p>
        </w:tc>
        <w:tc>
          <w:tcPr>
            <w:tcW w:w="2647" w:type="dxa"/>
          </w:tcPr>
          <w:p w:rsidR="00A8228C" w:rsidRPr="009014D2" w:rsidRDefault="00A8228C" w:rsidP="00846885">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 xml:space="preserve">In Rubles </w:t>
            </w:r>
          </w:p>
        </w:tc>
      </w:tr>
      <w:tr w:rsidR="00A8228C" w:rsidRPr="009014D2" w:rsidTr="00A8228C">
        <w:tc>
          <w:tcPr>
            <w:cnfStyle w:val="001000000000" w:firstRow="0" w:lastRow="0" w:firstColumn="1" w:lastColumn="0" w:oddVBand="0" w:evenVBand="0" w:oddHBand="0" w:evenHBand="0" w:firstRowFirstColumn="0" w:firstRowLastColumn="0" w:lastRowFirstColumn="0" w:lastRowLastColumn="0"/>
            <w:tcW w:w="2549" w:type="dxa"/>
          </w:tcPr>
          <w:p w:rsidR="00A8228C" w:rsidRPr="009014D2" w:rsidRDefault="00A8228C" w:rsidP="00846885">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Oil and Gas Dummy</w:t>
            </w:r>
          </w:p>
        </w:tc>
        <w:tc>
          <w:tcPr>
            <w:tcW w:w="2176" w:type="dxa"/>
          </w:tcPr>
          <w:p w:rsidR="00A8228C" w:rsidRPr="009014D2" w:rsidRDefault="00A8228C" w:rsidP="0084688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p>
        </w:tc>
        <w:tc>
          <w:tcPr>
            <w:tcW w:w="2492" w:type="dxa"/>
          </w:tcPr>
          <w:p w:rsidR="00A8228C" w:rsidRPr="009014D2" w:rsidRDefault="00A8228C" w:rsidP="0084688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p>
        </w:tc>
        <w:tc>
          <w:tcPr>
            <w:tcW w:w="2647" w:type="dxa"/>
          </w:tcPr>
          <w:p w:rsidR="00A8228C" w:rsidRPr="009014D2" w:rsidRDefault="00A8228C" w:rsidP="0084688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p>
        </w:tc>
      </w:tr>
      <w:tr w:rsidR="00A8228C" w:rsidRPr="009014D2" w:rsidTr="00A82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9" w:type="dxa"/>
          </w:tcPr>
          <w:p w:rsidR="00A8228C" w:rsidRPr="009014D2" w:rsidRDefault="00A8228C" w:rsidP="00846885">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Events Dummy</w:t>
            </w:r>
          </w:p>
        </w:tc>
        <w:tc>
          <w:tcPr>
            <w:tcW w:w="2176" w:type="dxa"/>
          </w:tcPr>
          <w:p w:rsidR="00A8228C" w:rsidRPr="009014D2" w:rsidRDefault="00DB5919" w:rsidP="00846885">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Abdelbaki (2013)</w:t>
            </w:r>
          </w:p>
        </w:tc>
        <w:tc>
          <w:tcPr>
            <w:tcW w:w="2492" w:type="dxa"/>
          </w:tcPr>
          <w:p w:rsidR="00A8228C" w:rsidRPr="009014D2" w:rsidRDefault="00A8228C" w:rsidP="00846885">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 xml:space="preserve">- </w:t>
            </w:r>
          </w:p>
        </w:tc>
        <w:tc>
          <w:tcPr>
            <w:tcW w:w="2647" w:type="dxa"/>
          </w:tcPr>
          <w:p w:rsidR="00A8228C" w:rsidRPr="009014D2" w:rsidRDefault="00A8228C" w:rsidP="00846885">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 xml:space="preserve">Number </w:t>
            </w:r>
          </w:p>
        </w:tc>
      </w:tr>
      <w:tr w:rsidR="00A8228C" w:rsidRPr="009014D2" w:rsidTr="00A8228C">
        <w:tc>
          <w:tcPr>
            <w:cnfStyle w:val="001000000000" w:firstRow="0" w:lastRow="0" w:firstColumn="1" w:lastColumn="0" w:oddVBand="0" w:evenVBand="0" w:oddHBand="0" w:evenHBand="0" w:firstRowFirstColumn="0" w:firstRowLastColumn="0" w:lastRowFirstColumn="0" w:lastRowLastColumn="0"/>
            <w:tcW w:w="2549" w:type="dxa"/>
          </w:tcPr>
          <w:p w:rsidR="00A8228C" w:rsidRPr="009014D2" w:rsidRDefault="00A8228C" w:rsidP="00846885">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Oil Price</w:t>
            </w:r>
          </w:p>
        </w:tc>
        <w:tc>
          <w:tcPr>
            <w:tcW w:w="2176" w:type="dxa"/>
          </w:tcPr>
          <w:p w:rsidR="00A8228C" w:rsidRPr="009014D2" w:rsidRDefault="00DB5919" w:rsidP="0084688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Anotolyev (2008)</w:t>
            </w:r>
          </w:p>
        </w:tc>
        <w:tc>
          <w:tcPr>
            <w:tcW w:w="2492" w:type="dxa"/>
          </w:tcPr>
          <w:p w:rsidR="00A8228C" w:rsidRPr="009014D2" w:rsidRDefault="00A8228C" w:rsidP="0084688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w:t>
            </w:r>
          </w:p>
        </w:tc>
        <w:tc>
          <w:tcPr>
            <w:tcW w:w="2647" w:type="dxa"/>
          </w:tcPr>
          <w:p w:rsidR="00A8228C" w:rsidRPr="009014D2" w:rsidRDefault="00A8228C" w:rsidP="0084688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USD</w:t>
            </w:r>
          </w:p>
        </w:tc>
      </w:tr>
      <w:tr w:rsidR="00A8228C" w:rsidRPr="009014D2" w:rsidTr="00A82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9" w:type="dxa"/>
          </w:tcPr>
          <w:p w:rsidR="00A8228C" w:rsidRPr="009014D2" w:rsidRDefault="00A8228C" w:rsidP="00846885">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EXRATE</w:t>
            </w:r>
          </w:p>
        </w:tc>
        <w:tc>
          <w:tcPr>
            <w:tcW w:w="2176" w:type="dxa"/>
          </w:tcPr>
          <w:p w:rsidR="00A8228C" w:rsidRPr="009014D2" w:rsidRDefault="00DB5919" w:rsidP="00846885">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Anotolyev (2008)</w:t>
            </w:r>
          </w:p>
        </w:tc>
        <w:tc>
          <w:tcPr>
            <w:tcW w:w="2492" w:type="dxa"/>
          </w:tcPr>
          <w:p w:rsidR="00A8228C" w:rsidRPr="009014D2" w:rsidRDefault="00A8228C" w:rsidP="00846885">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w:t>
            </w:r>
          </w:p>
        </w:tc>
        <w:tc>
          <w:tcPr>
            <w:tcW w:w="2647" w:type="dxa"/>
          </w:tcPr>
          <w:p w:rsidR="00A8228C" w:rsidRPr="009014D2" w:rsidRDefault="00A8228C" w:rsidP="00846885">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In Rubles per 1 USD</w:t>
            </w:r>
          </w:p>
        </w:tc>
      </w:tr>
      <w:tr w:rsidR="00A8228C" w:rsidRPr="009014D2" w:rsidTr="00A8228C">
        <w:tc>
          <w:tcPr>
            <w:cnfStyle w:val="001000000000" w:firstRow="0" w:lastRow="0" w:firstColumn="1" w:lastColumn="0" w:oddVBand="0" w:evenVBand="0" w:oddHBand="0" w:evenHBand="0" w:firstRowFirstColumn="0" w:firstRowLastColumn="0" w:lastRowFirstColumn="0" w:lastRowLastColumn="0"/>
            <w:tcW w:w="2549" w:type="dxa"/>
          </w:tcPr>
          <w:p w:rsidR="00A8228C" w:rsidRPr="009014D2" w:rsidRDefault="00A8228C" w:rsidP="00846885">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TBill</w:t>
            </w:r>
          </w:p>
        </w:tc>
        <w:tc>
          <w:tcPr>
            <w:tcW w:w="2176" w:type="dxa"/>
          </w:tcPr>
          <w:p w:rsidR="00A8228C" w:rsidRPr="009014D2" w:rsidRDefault="00DB5919" w:rsidP="0084688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Anotolyev (2008)</w:t>
            </w:r>
          </w:p>
        </w:tc>
        <w:tc>
          <w:tcPr>
            <w:tcW w:w="2492" w:type="dxa"/>
          </w:tcPr>
          <w:p w:rsidR="00A8228C" w:rsidRPr="009014D2" w:rsidRDefault="00A8228C" w:rsidP="0084688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w:t>
            </w:r>
          </w:p>
        </w:tc>
        <w:tc>
          <w:tcPr>
            <w:tcW w:w="2647" w:type="dxa"/>
          </w:tcPr>
          <w:p w:rsidR="00A8228C" w:rsidRPr="009014D2" w:rsidRDefault="00A8228C" w:rsidP="0084688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 xml:space="preserve">Percentage </w:t>
            </w:r>
          </w:p>
        </w:tc>
      </w:tr>
      <w:tr w:rsidR="00A8228C" w:rsidRPr="009014D2" w:rsidTr="00A82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9" w:type="dxa"/>
          </w:tcPr>
          <w:p w:rsidR="00A8228C" w:rsidRPr="009014D2" w:rsidRDefault="00A8228C" w:rsidP="00846885">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MIBOR</w:t>
            </w:r>
          </w:p>
        </w:tc>
        <w:tc>
          <w:tcPr>
            <w:tcW w:w="2176" w:type="dxa"/>
          </w:tcPr>
          <w:p w:rsidR="00A8228C" w:rsidRPr="009014D2" w:rsidRDefault="00DB5919" w:rsidP="00846885">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Anotolyev (2008)</w:t>
            </w:r>
          </w:p>
        </w:tc>
        <w:tc>
          <w:tcPr>
            <w:tcW w:w="2492" w:type="dxa"/>
          </w:tcPr>
          <w:p w:rsidR="00A8228C" w:rsidRPr="009014D2" w:rsidRDefault="00A8228C" w:rsidP="00846885">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w:t>
            </w:r>
          </w:p>
        </w:tc>
        <w:tc>
          <w:tcPr>
            <w:tcW w:w="2647" w:type="dxa"/>
          </w:tcPr>
          <w:p w:rsidR="00A8228C" w:rsidRPr="009014D2" w:rsidRDefault="00A8228C" w:rsidP="00846885">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Percentage</w:t>
            </w:r>
          </w:p>
        </w:tc>
      </w:tr>
      <w:tr w:rsidR="00A8228C" w:rsidRPr="009014D2" w:rsidTr="00A8228C">
        <w:tc>
          <w:tcPr>
            <w:cnfStyle w:val="001000000000" w:firstRow="0" w:lastRow="0" w:firstColumn="1" w:lastColumn="0" w:oddVBand="0" w:evenVBand="0" w:oddHBand="0" w:evenHBand="0" w:firstRowFirstColumn="0" w:firstRowLastColumn="0" w:lastRowFirstColumn="0" w:lastRowLastColumn="0"/>
            <w:tcW w:w="2549" w:type="dxa"/>
          </w:tcPr>
          <w:p w:rsidR="00A8228C" w:rsidRPr="009014D2" w:rsidRDefault="00A8228C" w:rsidP="00846885">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Gold</w:t>
            </w:r>
          </w:p>
        </w:tc>
        <w:tc>
          <w:tcPr>
            <w:tcW w:w="2176" w:type="dxa"/>
          </w:tcPr>
          <w:p w:rsidR="00A8228C" w:rsidRPr="009014D2" w:rsidRDefault="00DB5919" w:rsidP="0084688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Anotolyev (2008)</w:t>
            </w:r>
          </w:p>
        </w:tc>
        <w:tc>
          <w:tcPr>
            <w:tcW w:w="2492" w:type="dxa"/>
          </w:tcPr>
          <w:p w:rsidR="00A8228C" w:rsidRPr="009014D2" w:rsidRDefault="00A8228C" w:rsidP="0084688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w:t>
            </w:r>
          </w:p>
        </w:tc>
        <w:tc>
          <w:tcPr>
            <w:tcW w:w="2647" w:type="dxa"/>
          </w:tcPr>
          <w:p w:rsidR="00A8228C" w:rsidRPr="009014D2" w:rsidRDefault="00A8228C" w:rsidP="0084688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In USD million</w:t>
            </w:r>
          </w:p>
        </w:tc>
      </w:tr>
    </w:tbl>
    <w:p w:rsidR="00393BAC" w:rsidRDefault="00393BAC" w:rsidP="00846885">
      <w:pPr>
        <w:pStyle w:val="BodyText"/>
        <w:spacing w:line="360" w:lineRule="auto"/>
        <w:jc w:val="both"/>
        <w:rPr>
          <w:rFonts w:ascii="Times New Roman" w:eastAsiaTheme="minorEastAsia" w:hAnsi="Times New Roman" w:cs="Times New Roman"/>
          <w:sz w:val="24"/>
          <w:szCs w:val="24"/>
          <w:lang w:val="en-US"/>
        </w:rPr>
      </w:pPr>
    </w:p>
    <w:p w:rsidR="00C2517E" w:rsidRDefault="00FA327E" w:rsidP="00C2517E">
      <w:pPr>
        <w:pStyle w:val="BodyText"/>
        <w:spacing w:line="360" w:lineRule="auto"/>
        <w:ind w:firstLine="567"/>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The descriptive statistics for the variables are shown in Appendix 1. </w:t>
      </w:r>
      <w:r w:rsidR="00340E49">
        <w:rPr>
          <w:rFonts w:ascii="Times New Roman" w:eastAsiaTheme="minorEastAsia" w:hAnsi="Times New Roman" w:cs="Times New Roman"/>
          <w:sz w:val="24"/>
          <w:szCs w:val="24"/>
          <w:lang w:val="en-US"/>
        </w:rPr>
        <w:t xml:space="preserve">The analysis will cover the period of 2014 – 2018. The performance of the Russian </w:t>
      </w:r>
      <w:r w:rsidR="00C2517E">
        <w:rPr>
          <w:rFonts w:ascii="Times New Roman" w:eastAsiaTheme="minorEastAsia" w:hAnsi="Times New Roman" w:cs="Times New Roman"/>
          <w:sz w:val="24"/>
          <w:szCs w:val="24"/>
          <w:lang w:val="en-US"/>
        </w:rPr>
        <w:t xml:space="preserve">firms’ </w:t>
      </w:r>
      <w:r w:rsidR="00340E49">
        <w:rPr>
          <w:rFonts w:ascii="Times New Roman" w:eastAsiaTheme="minorEastAsia" w:hAnsi="Times New Roman" w:cs="Times New Roman"/>
          <w:sz w:val="24"/>
          <w:szCs w:val="24"/>
          <w:lang w:val="en-US"/>
        </w:rPr>
        <w:t xml:space="preserve">stock </w:t>
      </w:r>
      <w:r w:rsidR="00C2517E">
        <w:rPr>
          <w:rFonts w:ascii="Times New Roman" w:eastAsiaTheme="minorEastAsia" w:hAnsi="Times New Roman" w:cs="Times New Roman"/>
          <w:sz w:val="24"/>
          <w:szCs w:val="24"/>
          <w:lang w:val="en-US"/>
        </w:rPr>
        <w:t xml:space="preserve">prices </w:t>
      </w:r>
      <w:r w:rsidR="000E69D9">
        <w:rPr>
          <w:rFonts w:ascii="Times New Roman" w:eastAsiaTheme="minorEastAsia" w:hAnsi="Times New Roman" w:cs="Times New Roman"/>
          <w:sz w:val="24"/>
          <w:szCs w:val="24"/>
          <w:lang w:val="en-US"/>
        </w:rPr>
        <w:t xml:space="preserve">will be assessed on a </w:t>
      </w:r>
      <w:r w:rsidR="0042373C">
        <w:rPr>
          <w:rFonts w:ascii="Times New Roman" w:eastAsiaTheme="minorEastAsia" w:hAnsi="Times New Roman" w:cs="Times New Roman"/>
          <w:sz w:val="24"/>
          <w:szCs w:val="24"/>
          <w:lang w:val="en-US"/>
        </w:rPr>
        <w:t xml:space="preserve">daily </w:t>
      </w:r>
      <w:r w:rsidR="000E69D9">
        <w:rPr>
          <w:rFonts w:ascii="Times New Roman" w:eastAsiaTheme="minorEastAsia" w:hAnsi="Times New Roman" w:cs="Times New Roman"/>
          <w:sz w:val="24"/>
          <w:szCs w:val="24"/>
          <w:lang w:val="en-US"/>
        </w:rPr>
        <w:t xml:space="preserve">basis, </w:t>
      </w:r>
      <w:r w:rsidR="0042373C">
        <w:rPr>
          <w:rFonts w:ascii="Times New Roman" w:eastAsiaTheme="minorEastAsia" w:hAnsi="Times New Roman" w:cs="Times New Roman"/>
          <w:sz w:val="24"/>
          <w:szCs w:val="24"/>
          <w:lang w:val="en-US"/>
        </w:rPr>
        <w:t xml:space="preserve">to obtain representative sample. </w:t>
      </w:r>
      <w:r w:rsidR="00C2517E">
        <w:rPr>
          <w:rFonts w:ascii="Times New Roman" w:eastAsiaTheme="minorEastAsia" w:hAnsi="Times New Roman" w:cs="Times New Roman"/>
          <w:sz w:val="24"/>
          <w:szCs w:val="24"/>
          <w:lang w:val="en-US"/>
        </w:rPr>
        <w:t>The stock price of the 10 most liquid stock trading in Russian Stock Market is used. The MICEX 10 index consists of the 10 the most liquid equity securities listed in the Russian stock exchange. I obtained the daily stock price observations for those firms, which were included in the MICEX index during the period January 1, 2014 – December 31, 2018.  Based on the obtained information the index composition has not changed during the period under study. Currently, MICEX 10 c</w:t>
      </w:r>
      <w:r w:rsidR="0086355F">
        <w:rPr>
          <w:rFonts w:ascii="Times New Roman" w:eastAsiaTheme="minorEastAsia" w:hAnsi="Times New Roman" w:cs="Times New Roman"/>
          <w:sz w:val="24"/>
          <w:szCs w:val="24"/>
          <w:lang w:val="en-US"/>
        </w:rPr>
        <w:t xml:space="preserve">onsists of the following firms. </w:t>
      </w:r>
    </w:p>
    <w:p w:rsidR="0086355F" w:rsidRDefault="0086355F" w:rsidP="00C2517E">
      <w:pPr>
        <w:pStyle w:val="BodyText"/>
        <w:spacing w:line="360" w:lineRule="auto"/>
        <w:ind w:firstLine="567"/>
        <w:jc w:val="both"/>
        <w:rPr>
          <w:rFonts w:ascii="Times New Roman" w:eastAsiaTheme="minorEastAsia" w:hAnsi="Times New Roman" w:cs="Times New Roman"/>
          <w:sz w:val="24"/>
          <w:szCs w:val="24"/>
          <w:lang w:val="en-US"/>
        </w:rPr>
      </w:pPr>
    </w:p>
    <w:p w:rsidR="0086355F" w:rsidRDefault="0086355F" w:rsidP="00C2517E">
      <w:pPr>
        <w:pStyle w:val="BodyText"/>
        <w:spacing w:line="360" w:lineRule="auto"/>
        <w:ind w:firstLine="567"/>
        <w:jc w:val="both"/>
        <w:rPr>
          <w:rFonts w:ascii="Times New Roman" w:eastAsiaTheme="minorEastAsia" w:hAnsi="Times New Roman" w:cs="Times New Roman"/>
          <w:sz w:val="24"/>
          <w:szCs w:val="24"/>
          <w:lang w:val="en-US"/>
        </w:rPr>
      </w:pPr>
    </w:p>
    <w:p w:rsidR="0086355F" w:rsidRDefault="0086355F" w:rsidP="00C2517E">
      <w:pPr>
        <w:pStyle w:val="BodyText"/>
        <w:spacing w:line="360" w:lineRule="auto"/>
        <w:ind w:firstLine="567"/>
        <w:jc w:val="both"/>
        <w:rPr>
          <w:rFonts w:ascii="Times New Roman" w:eastAsiaTheme="minorEastAsia" w:hAnsi="Times New Roman" w:cs="Times New Roman"/>
          <w:sz w:val="24"/>
          <w:szCs w:val="24"/>
          <w:lang w:val="en-US"/>
        </w:rPr>
      </w:pPr>
    </w:p>
    <w:p w:rsidR="00C2517E" w:rsidRPr="00B75850" w:rsidRDefault="00C2517E" w:rsidP="00C2517E">
      <w:pPr>
        <w:pStyle w:val="Caption"/>
        <w:keepNext/>
        <w:rPr>
          <w:rFonts w:ascii="Times New Roman" w:hAnsi="Times New Roman" w:cs="Times New Roman"/>
          <w:color w:val="auto"/>
          <w:sz w:val="20"/>
          <w:szCs w:val="20"/>
        </w:rPr>
      </w:pPr>
      <w:bookmarkStart w:id="10" w:name="_Toc15484942"/>
      <w:r w:rsidRPr="00B75850">
        <w:rPr>
          <w:rFonts w:ascii="Times New Roman" w:hAnsi="Times New Roman" w:cs="Times New Roman"/>
          <w:color w:val="auto"/>
          <w:sz w:val="20"/>
          <w:szCs w:val="20"/>
        </w:rPr>
        <w:lastRenderedPageBreak/>
        <w:t xml:space="preserve">Table </w:t>
      </w:r>
      <w:r w:rsidRPr="00B75850">
        <w:rPr>
          <w:rFonts w:ascii="Times New Roman" w:hAnsi="Times New Roman" w:cs="Times New Roman"/>
          <w:color w:val="auto"/>
          <w:sz w:val="20"/>
          <w:szCs w:val="20"/>
        </w:rPr>
        <w:fldChar w:fldCharType="begin"/>
      </w:r>
      <w:r w:rsidRPr="00B75850">
        <w:rPr>
          <w:rFonts w:ascii="Times New Roman" w:hAnsi="Times New Roman" w:cs="Times New Roman"/>
          <w:color w:val="auto"/>
          <w:sz w:val="20"/>
          <w:szCs w:val="20"/>
        </w:rPr>
        <w:instrText xml:space="preserve"> SEQ Table \* ARABIC </w:instrText>
      </w:r>
      <w:r w:rsidRPr="00B75850">
        <w:rPr>
          <w:rFonts w:ascii="Times New Roman" w:hAnsi="Times New Roman" w:cs="Times New Roman"/>
          <w:color w:val="auto"/>
          <w:sz w:val="20"/>
          <w:szCs w:val="20"/>
        </w:rPr>
        <w:fldChar w:fldCharType="separate"/>
      </w:r>
      <w:r w:rsidR="00FA327E">
        <w:rPr>
          <w:rFonts w:ascii="Times New Roman" w:hAnsi="Times New Roman" w:cs="Times New Roman"/>
          <w:noProof/>
          <w:color w:val="auto"/>
          <w:sz w:val="20"/>
          <w:szCs w:val="20"/>
        </w:rPr>
        <w:t>4</w:t>
      </w:r>
      <w:r w:rsidRPr="00B75850">
        <w:rPr>
          <w:rFonts w:ascii="Times New Roman" w:hAnsi="Times New Roman" w:cs="Times New Roman"/>
          <w:color w:val="auto"/>
          <w:sz w:val="20"/>
          <w:szCs w:val="20"/>
        </w:rPr>
        <w:fldChar w:fldCharType="end"/>
      </w:r>
      <w:r w:rsidRPr="00B75850">
        <w:rPr>
          <w:rFonts w:ascii="Times New Roman" w:hAnsi="Times New Roman" w:cs="Times New Roman"/>
          <w:color w:val="auto"/>
          <w:sz w:val="20"/>
          <w:szCs w:val="20"/>
        </w:rPr>
        <w:t>. Constituents of MICEX 10</w:t>
      </w:r>
      <w:bookmarkEnd w:id="10"/>
    </w:p>
    <w:tbl>
      <w:tblPr>
        <w:tblStyle w:val="PlainTable3"/>
        <w:tblW w:w="0" w:type="auto"/>
        <w:tblLook w:val="04A0" w:firstRow="1" w:lastRow="0" w:firstColumn="1" w:lastColumn="0" w:noHBand="0" w:noVBand="1"/>
      </w:tblPr>
      <w:tblGrid>
        <w:gridCol w:w="3969"/>
        <w:gridCol w:w="2600"/>
        <w:gridCol w:w="3285"/>
      </w:tblGrid>
      <w:tr w:rsidR="00C2517E" w:rsidRPr="00B75850" w:rsidTr="00CC41C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969" w:type="dxa"/>
          </w:tcPr>
          <w:p w:rsidR="00C2517E" w:rsidRPr="00B75850" w:rsidRDefault="00C2517E" w:rsidP="004729BE">
            <w:pPr>
              <w:pStyle w:val="BodyText"/>
              <w:spacing w:line="360" w:lineRule="auto"/>
              <w:jc w:val="both"/>
              <w:rPr>
                <w:rFonts w:ascii="Times New Roman" w:eastAsiaTheme="minorEastAsia" w:hAnsi="Times New Roman" w:cs="Times New Roman"/>
                <w:lang w:val="en-US"/>
              </w:rPr>
            </w:pPr>
            <w:r w:rsidRPr="00B75850">
              <w:rPr>
                <w:rFonts w:ascii="Times New Roman" w:eastAsiaTheme="minorEastAsia" w:hAnsi="Times New Roman" w:cs="Times New Roman"/>
                <w:lang w:val="en-US"/>
              </w:rPr>
              <w:t>Company</w:t>
            </w:r>
          </w:p>
        </w:tc>
        <w:tc>
          <w:tcPr>
            <w:tcW w:w="2600" w:type="dxa"/>
          </w:tcPr>
          <w:p w:rsidR="00C2517E" w:rsidRPr="00B75850" w:rsidRDefault="00C2517E" w:rsidP="004729BE">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Ticker</w:t>
            </w:r>
          </w:p>
        </w:tc>
        <w:tc>
          <w:tcPr>
            <w:tcW w:w="3285" w:type="dxa"/>
          </w:tcPr>
          <w:p w:rsidR="00C2517E" w:rsidRPr="00B75850" w:rsidRDefault="00C2517E" w:rsidP="004729BE">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Industry</w:t>
            </w:r>
          </w:p>
        </w:tc>
      </w:tr>
      <w:tr w:rsidR="00C2517E" w:rsidRPr="00B75850" w:rsidTr="00CC41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rsidR="00C2517E" w:rsidRPr="00B75850" w:rsidRDefault="00C2517E" w:rsidP="004729BE">
            <w:pPr>
              <w:pStyle w:val="BodyText"/>
              <w:spacing w:line="360" w:lineRule="auto"/>
              <w:jc w:val="both"/>
              <w:rPr>
                <w:rFonts w:ascii="Times New Roman" w:eastAsiaTheme="minorEastAsia" w:hAnsi="Times New Roman" w:cs="Times New Roman"/>
                <w:lang w:val="en-US"/>
              </w:rPr>
            </w:pPr>
            <w:r w:rsidRPr="00B75850">
              <w:rPr>
                <w:rFonts w:ascii="Times New Roman" w:eastAsiaTheme="minorEastAsia" w:hAnsi="Times New Roman" w:cs="Times New Roman"/>
                <w:lang w:val="en-US"/>
              </w:rPr>
              <w:t>AK Alrosa PAO</w:t>
            </w:r>
          </w:p>
        </w:tc>
        <w:tc>
          <w:tcPr>
            <w:tcW w:w="2600" w:type="dxa"/>
          </w:tcPr>
          <w:p w:rsidR="00C2517E" w:rsidRPr="00B75850" w:rsidRDefault="00C2517E"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ALRS</w:t>
            </w:r>
          </w:p>
        </w:tc>
        <w:tc>
          <w:tcPr>
            <w:tcW w:w="3285" w:type="dxa"/>
          </w:tcPr>
          <w:p w:rsidR="00C2517E" w:rsidRPr="00B75850" w:rsidRDefault="00C2517E"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Mining</w:t>
            </w:r>
          </w:p>
        </w:tc>
      </w:tr>
      <w:tr w:rsidR="00C2517E" w:rsidRPr="00B75850" w:rsidTr="00CC41CC">
        <w:tc>
          <w:tcPr>
            <w:cnfStyle w:val="001000000000" w:firstRow="0" w:lastRow="0" w:firstColumn="1" w:lastColumn="0" w:oddVBand="0" w:evenVBand="0" w:oddHBand="0" w:evenHBand="0" w:firstRowFirstColumn="0" w:firstRowLastColumn="0" w:lastRowFirstColumn="0" w:lastRowLastColumn="0"/>
            <w:tcW w:w="3969" w:type="dxa"/>
          </w:tcPr>
          <w:p w:rsidR="00C2517E" w:rsidRPr="00B75850" w:rsidRDefault="00C2517E" w:rsidP="004729BE">
            <w:pPr>
              <w:pStyle w:val="BodyText"/>
              <w:spacing w:line="360" w:lineRule="auto"/>
              <w:jc w:val="both"/>
              <w:rPr>
                <w:rFonts w:ascii="Times New Roman" w:eastAsiaTheme="minorEastAsia" w:hAnsi="Times New Roman" w:cs="Times New Roman"/>
                <w:lang w:val="en-US"/>
              </w:rPr>
            </w:pPr>
            <w:r w:rsidRPr="00B75850">
              <w:rPr>
                <w:rFonts w:ascii="Times New Roman" w:eastAsiaTheme="minorEastAsia" w:hAnsi="Times New Roman" w:cs="Times New Roman"/>
                <w:lang w:val="en-US"/>
              </w:rPr>
              <w:t>Bank VTB PAO</w:t>
            </w:r>
          </w:p>
        </w:tc>
        <w:tc>
          <w:tcPr>
            <w:tcW w:w="2600" w:type="dxa"/>
          </w:tcPr>
          <w:p w:rsidR="00C2517E" w:rsidRPr="00B75850" w:rsidRDefault="00C2517E"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VTBR</w:t>
            </w:r>
          </w:p>
        </w:tc>
        <w:tc>
          <w:tcPr>
            <w:tcW w:w="3285" w:type="dxa"/>
          </w:tcPr>
          <w:p w:rsidR="00C2517E" w:rsidRPr="00B75850" w:rsidRDefault="00C2517E"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Financials</w:t>
            </w:r>
          </w:p>
        </w:tc>
      </w:tr>
      <w:tr w:rsidR="00C2517E" w:rsidRPr="00B75850" w:rsidTr="00CC41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rsidR="00C2517E" w:rsidRPr="00B75850" w:rsidRDefault="00C2517E" w:rsidP="004729BE">
            <w:pPr>
              <w:pStyle w:val="BodyText"/>
              <w:spacing w:line="360" w:lineRule="auto"/>
              <w:jc w:val="both"/>
              <w:rPr>
                <w:rFonts w:ascii="Times New Roman" w:eastAsiaTheme="minorEastAsia" w:hAnsi="Times New Roman" w:cs="Times New Roman"/>
                <w:lang w:val="en-US"/>
              </w:rPr>
            </w:pPr>
            <w:r w:rsidRPr="00B75850">
              <w:rPr>
                <w:rFonts w:ascii="Times New Roman" w:eastAsiaTheme="minorEastAsia" w:hAnsi="Times New Roman" w:cs="Times New Roman"/>
                <w:lang w:val="en-US"/>
              </w:rPr>
              <w:t>GMK Norilskiy nikel</w:t>
            </w:r>
          </w:p>
        </w:tc>
        <w:tc>
          <w:tcPr>
            <w:tcW w:w="2600" w:type="dxa"/>
          </w:tcPr>
          <w:p w:rsidR="00C2517E" w:rsidRPr="00B75850" w:rsidRDefault="00C2517E"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NILSY</w:t>
            </w:r>
          </w:p>
        </w:tc>
        <w:tc>
          <w:tcPr>
            <w:tcW w:w="3285" w:type="dxa"/>
          </w:tcPr>
          <w:p w:rsidR="00C2517E" w:rsidRPr="00B75850" w:rsidRDefault="00C2517E"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Precious and Ferroneous metal</w:t>
            </w:r>
          </w:p>
        </w:tc>
      </w:tr>
      <w:tr w:rsidR="00C2517E" w:rsidRPr="00B75850" w:rsidTr="00CC41CC">
        <w:tc>
          <w:tcPr>
            <w:cnfStyle w:val="001000000000" w:firstRow="0" w:lastRow="0" w:firstColumn="1" w:lastColumn="0" w:oddVBand="0" w:evenVBand="0" w:oddHBand="0" w:evenHBand="0" w:firstRowFirstColumn="0" w:firstRowLastColumn="0" w:lastRowFirstColumn="0" w:lastRowLastColumn="0"/>
            <w:tcW w:w="3969" w:type="dxa"/>
          </w:tcPr>
          <w:p w:rsidR="00C2517E" w:rsidRPr="00B75850" w:rsidRDefault="00C2517E" w:rsidP="004729BE">
            <w:pPr>
              <w:pStyle w:val="BodyText"/>
              <w:spacing w:line="360" w:lineRule="auto"/>
              <w:jc w:val="both"/>
              <w:rPr>
                <w:rFonts w:ascii="Times New Roman" w:eastAsiaTheme="minorEastAsia" w:hAnsi="Times New Roman" w:cs="Times New Roman"/>
                <w:lang w:val="en-US"/>
              </w:rPr>
            </w:pPr>
            <w:r w:rsidRPr="00B75850">
              <w:rPr>
                <w:rFonts w:ascii="Times New Roman" w:eastAsiaTheme="minorEastAsia" w:hAnsi="Times New Roman" w:cs="Times New Roman"/>
                <w:lang w:val="en-US"/>
              </w:rPr>
              <w:t>Gazprom PAO</w:t>
            </w:r>
          </w:p>
        </w:tc>
        <w:tc>
          <w:tcPr>
            <w:tcW w:w="2600" w:type="dxa"/>
          </w:tcPr>
          <w:p w:rsidR="00C2517E" w:rsidRPr="00B75850" w:rsidRDefault="00C2517E"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GAZP</w:t>
            </w:r>
          </w:p>
        </w:tc>
        <w:tc>
          <w:tcPr>
            <w:tcW w:w="3285" w:type="dxa"/>
          </w:tcPr>
          <w:p w:rsidR="00C2517E" w:rsidRPr="00B75850" w:rsidRDefault="00C2517E"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Oil and Gas</w:t>
            </w:r>
          </w:p>
        </w:tc>
      </w:tr>
      <w:tr w:rsidR="00C2517E" w:rsidRPr="00B75850" w:rsidTr="00CC41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rsidR="00C2517E" w:rsidRPr="00B75850" w:rsidRDefault="00C2517E" w:rsidP="004729BE">
            <w:pPr>
              <w:pStyle w:val="BodyText"/>
              <w:spacing w:line="360" w:lineRule="auto"/>
              <w:jc w:val="both"/>
              <w:rPr>
                <w:rFonts w:ascii="Times New Roman" w:eastAsiaTheme="minorEastAsia" w:hAnsi="Times New Roman" w:cs="Times New Roman"/>
                <w:lang w:val="en-US"/>
              </w:rPr>
            </w:pPr>
            <w:r w:rsidRPr="00B75850">
              <w:rPr>
                <w:rFonts w:ascii="Times New Roman" w:eastAsiaTheme="minorEastAsia" w:hAnsi="Times New Roman" w:cs="Times New Roman"/>
                <w:lang w:val="en-US"/>
              </w:rPr>
              <w:t>Lukoil PAO</w:t>
            </w:r>
          </w:p>
        </w:tc>
        <w:tc>
          <w:tcPr>
            <w:tcW w:w="2600" w:type="dxa"/>
          </w:tcPr>
          <w:p w:rsidR="00C2517E" w:rsidRPr="00B75850" w:rsidRDefault="00C2517E"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LKOH</w:t>
            </w:r>
          </w:p>
        </w:tc>
        <w:tc>
          <w:tcPr>
            <w:tcW w:w="3285" w:type="dxa"/>
          </w:tcPr>
          <w:p w:rsidR="00C2517E" w:rsidRPr="00B75850" w:rsidRDefault="00C2517E"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Oil and Gas</w:t>
            </w:r>
          </w:p>
        </w:tc>
      </w:tr>
      <w:tr w:rsidR="00C2517E" w:rsidRPr="00B75850" w:rsidTr="00CC41CC">
        <w:tc>
          <w:tcPr>
            <w:cnfStyle w:val="001000000000" w:firstRow="0" w:lastRow="0" w:firstColumn="1" w:lastColumn="0" w:oddVBand="0" w:evenVBand="0" w:oddHBand="0" w:evenHBand="0" w:firstRowFirstColumn="0" w:firstRowLastColumn="0" w:lastRowFirstColumn="0" w:lastRowLastColumn="0"/>
            <w:tcW w:w="3969" w:type="dxa"/>
          </w:tcPr>
          <w:p w:rsidR="00C2517E" w:rsidRPr="00B75850" w:rsidRDefault="00C2517E" w:rsidP="004729BE">
            <w:pPr>
              <w:pStyle w:val="BodyText"/>
              <w:spacing w:line="360" w:lineRule="auto"/>
              <w:jc w:val="both"/>
              <w:rPr>
                <w:rFonts w:ascii="Times New Roman" w:eastAsiaTheme="minorEastAsia" w:hAnsi="Times New Roman" w:cs="Times New Roman"/>
                <w:lang w:val="en-US"/>
              </w:rPr>
            </w:pPr>
            <w:r w:rsidRPr="00B75850">
              <w:rPr>
                <w:rFonts w:ascii="Times New Roman" w:eastAsiaTheme="minorEastAsia" w:hAnsi="Times New Roman" w:cs="Times New Roman"/>
                <w:lang w:val="en-US"/>
              </w:rPr>
              <w:t>Magnit PAO</w:t>
            </w:r>
          </w:p>
        </w:tc>
        <w:tc>
          <w:tcPr>
            <w:tcW w:w="2600" w:type="dxa"/>
          </w:tcPr>
          <w:p w:rsidR="00C2517E" w:rsidRPr="00B75850" w:rsidRDefault="00C2517E"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MGNT</w:t>
            </w:r>
          </w:p>
        </w:tc>
        <w:tc>
          <w:tcPr>
            <w:tcW w:w="3285" w:type="dxa"/>
          </w:tcPr>
          <w:p w:rsidR="00C2517E" w:rsidRPr="00B75850" w:rsidRDefault="00C2517E"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Retail</w:t>
            </w:r>
          </w:p>
        </w:tc>
      </w:tr>
      <w:tr w:rsidR="00C2517E" w:rsidRPr="00B75850" w:rsidTr="00CC41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rsidR="00C2517E" w:rsidRPr="00B75850" w:rsidRDefault="00C2517E" w:rsidP="004729BE">
            <w:pPr>
              <w:pStyle w:val="BodyText"/>
              <w:spacing w:line="360" w:lineRule="auto"/>
              <w:jc w:val="both"/>
              <w:rPr>
                <w:rFonts w:ascii="Times New Roman" w:eastAsiaTheme="minorEastAsia" w:hAnsi="Times New Roman" w:cs="Times New Roman"/>
                <w:lang w:val="en-US"/>
              </w:rPr>
            </w:pPr>
            <w:r w:rsidRPr="00B75850">
              <w:rPr>
                <w:rFonts w:ascii="Times New Roman" w:eastAsiaTheme="minorEastAsia" w:hAnsi="Times New Roman" w:cs="Times New Roman"/>
                <w:lang w:val="en-US"/>
              </w:rPr>
              <w:t>NK Rosneft PAO</w:t>
            </w:r>
          </w:p>
        </w:tc>
        <w:tc>
          <w:tcPr>
            <w:tcW w:w="2600" w:type="dxa"/>
          </w:tcPr>
          <w:p w:rsidR="00C2517E" w:rsidRPr="00B75850" w:rsidRDefault="00C2517E"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ROSN</w:t>
            </w:r>
          </w:p>
        </w:tc>
        <w:tc>
          <w:tcPr>
            <w:tcW w:w="3285" w:type="dxa"/>
          </w:tcPr>
          <w:p w:rsidR="00C2517E" w:rsidRPr="00B75850" w:rsidRDefault="00C2517E"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Oil and Gas</w:t>
            </w:r>
          </w:p>
        </w:tc>
      </w:tr>
      <w:tr w:rsidR="00C2517E" w:rsidRPr="00B75850" w:rsidTr="00CC41CC">
        <w:tc>
          <w:tcPr>
            <w:cnfStyle w:val="001000000000" w:firstRow="0" w:lastRow="0" w:firstColumn="1" w:lastColumn="0" w:oddVBand="0" w:evenVBand="0" w:oddHBand="0" w:evenHBand="0" w:firstRowFirstColumn="0" w:firstRowLastColumn="0" w:lastRowFirstColumn="0" w:lastRowLastColumn="0"/>
            <w:tcW w:w="3969" w:type="dxa"/>
          </w:tcPr>
          <w:p w:rsidR="00C2517E" w:rsidRPr="00B75850" w:rsidRDefault="00C2517E" w:rsidP="004729BE">
            <w:pPr>
              <w:pStyle w:val="BodyText"/>
              <w:spacing w:line="360" w:lineRule="auto"/>
              <w:jc w:val="both"/>
              <w:rPr>
                <w:rFonts w:ascii="Times New Roman" w:eastAsiaTheme="minorEastAsia" w:hAnsi="Times New Roman" w:cs="Times New Roman"/>
                <w:lang w:val="en-US"/>
              </w:rPr>
            </w:pPr>
            <w:r w:rsidRPr="00B75850">
              <w:rPr>
                <w:rFonts w:ascii="Times New Roman" w:eastAsiaTheme="minorEastAsia" w:hAnsi="Times New Roman" w:cs="Times New Roman"/>
                <w:lang w:val="en-US"/>
              </w:rPr>
              <w:t>Sberbank Rossii PAO</w:t>
            </w:r>
          </w:p>
        </w:tc>
        <w:tc>
          <w:tcPr>
            <w:tcW w:w="2600" w:type="dxa"/>
          </w:tcPr>
          <w:p w:rsidR="00C2517E" w:rsidRPr="00B75850" w:rsidRDefault="00C2517E"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SBER</w:t>
            </w:r>
          </w:p>
        </w:tc>
        <w:tc>
          <w:tcPr>
            <w:tcW w:w="3285" w:type="dxa"/>
          </w:tcPr>
          <w:p w:rsidR="00C2517E" w:rsidRPr="00B75850" w:rsidRDefault="00C2517E"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Financials</w:t>
            </w:r>
          </w:p>
        </w:tc>
      </w:tr>
      <w:tr w:rsidR="00C2517E" w:rsidRPr="00B75850" w:rsidTr="00CC41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rsidR="00C2517E" w:rsidRPr="00B75850" w:rsidRDefault="00C2517E" w:rsidP="004729BE">
            <w:pPr>
              <w:pStyle w:val="BodyText"/>
              <w:spacing w:line="360" w:lineRule="auto"/>
              <w:jc w:val="both"/>
              <w:rPr>
                <w:rFonts w:ascii="Times New Roman" w:eastAsiaTheme="minorEastAsia" w:hAnsi="Times New Roman" w:cs="Times New Roman"/>
                <w:lang w:val="en-US"/>
              </w:rPr>
            </w:pPr>
            <w:r w:rsidRPr="00B75850">
              <w:rPr>
                <w:rFonts w:ascii="Times New Roman" w:eastAsiaTheme="minorEastAsia" w:hAnsi="Times New Roman" w:cs="Times New Roman"/>
                <w:lang w:val="en-US"/>
              </w:rPr>
              <w:t>Sberbank Rossii PAO</w:t>
            </w:r>
          </w:p>
        </w:tc>
        <w:tc>
          <w:tcPr>
            <w:tcW w:w="2600" w:type="dxa"/>
          </w:tcPr>
          <w:p w:rsidR="00C2517E" w:rsidRPr="00B75850" w:rsidRDefault="00C2517E"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SBERP</w:t>
            </w:r>
          </w:p>
        </w:tc>
        <w:tc>
          <w:tcPr>
            <w:tcW w:w="3285" w:type="dxa"/>
          </w:tcPr>
          <w:p w:rsidR="00C2517E" w:rsidRPr="00B75850" w:rsidRDefault="00C2517E"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Financials</w:t>
            </w:r>
          </w:p>
        </w:tc>
      </w:tr>
      <w:tr w:rsidR="00C2517E" w:rsidRPr="00B75850" w:rsidTr="00CC41CC">
        <w:tc>
          <w:tcPr>
            <w:cnfStyle w:val="001000000000" w:firstRow="0" w:lastRow="0" w:firstColumn="1" w:lastColumn="0" w:oddVBand="0" w:evenVBand="0" w:oddHBand="0" w:evenHBand="0" w:firstRowFirstColumn="0" w:firstRowLastColumn="0" w:lastRowFirstColumn="0" w:lastRowLastColumn="0"/>
            <w:tcW w:w="3969" w:type="dxa"/>
          </w:tcPr>
          <w:p w:rsidR="00C2517E" w:rsidRPr="00B75850" w:rsidRDefault="00C2517E" w:rsidP="004729BE">
            <w:pPr>
              <w:pStyle w:val="BodyText"/>
              <w:spacing w:line="360" w:lineRule="auto"/>
              <w:jc w:val="both"/>
              <w:rPr>
                <w:rFonts w:ascii="Times New Roman" w:eastAsiaTheme="minorEastAsia" w:hAnsi="Times New Roman" w:cs="Times New Roman"/>
                <w:lang w:val="en-US"/>
              </w:rPr>
            </w:pPr>
            <w:r w:rsidRPr="00B75850">
              <w:rPr>
                <w:rFonts w:ascii="Times New Roman" w:eastAsiaTheme="minorEastAsia" w:hAnsi="Times New Roman" w:cs="Times New Roman"/>
                <w:lang w:val="en-US"/>
              </w:rPr>
              <w:t>Moskovskaya Birzha MMBV-RTS</w:t>
            </w:r>
          </w:p>
        </w:tc>
        <w:tc>
          <w:tcPr>
            <w:tcW w:w="2600" w:type="dxa"/>
          </w:tcPr>
          <w:p w:rsidR="00C2517E" w:rsidRPr="00B75850" w:rsidRDefault="00C2517E"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 xml:space="preserve">MMBV-RTS </w:t>
            </w:r>
          </w:p>
        </w:tc>
        <w:tc>
          <w:tcPr>
            <w:tcW w:w="3285" w:type="dxa"/>
          </w:tcPr>
          <w:p w:rsidR="00C2517E" w:rsidRPr="00B75850" w:rsidRDefault="00C2517E"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B75850">
              <w:rPr>
                <w:rFonts w:ascii="Times New Roman" w:eastAsiaTheme="minorEastAsia" w:hAnsi="Times New Roman" w:cs="Times New Roman"/>
                <w:lang w:val="en-US"/>
              </w:rPr>
              <w:t xml:space="preserve">Financials </w:t>
            </w:r>
          </w:p>
        </w:tc>
      </w:tr>
    </w:tbl>
    <w:p w:rsidR="00C2517E" w:rsidRDefault="00F32366" w:rsidP="00C2517E">
      <w:pPr>
        <w:pStyle w:val="BodyText"/>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MICEX 10 consists of two types of stock for Sberbank, which are ordinary shares (ticker: SBER) and preference shares (ticker: SBERP). </w:t>
      </w:r>
      <w:r w:rsidR="00A74A3B">
        <w:rPr>
          <w:rFonts w:ascii="Times New Roman" w:eastAsiaTheme="minorEastAsia" w:hAnsi="Times New Roman" w:cs="Times New Roman"/>
          <w:sz w:val="24"/>
          <w:szCs w:val="24"/>
          <w:lang w:val="en-US"/>
        </w:rPr>
        <w:t xml:space="preserve">The next figure demonstrates the oil price performance over the period 2014 – 2018. </w:t>
      </w:r>
      <w:r w:rsidR="003636B5">
        <w:rPr>
          <w:rFonts w:ascii="Times New Roman" w:eastAsiaTheme="minorEastAsia" w:hAnsi="Times New Roman" w:cs="Times New Roman"/>
          <w:sz w:val="24"/>
          <w:szCs w:val="24"/>
          <w:lang w:val="en-US"/>
        </w:rPr>
        <w:t xml:space="preserve">As seen from the graph, since the first quarter of 2014 the oil price has been on decline before reaching the lowers point in 2016 and then reverting to higher prices. </w:t>
      </w:r>
    </w:p>
    <w:p w:rsidR="00C2517E" w:rsidRDefault="00C2517E" w:rsidP="00C2517E">
      <w:pPr>
        <w:pStyle w:val="BodyText"/>
        <w:keepNext/>
        <w:spacing w:line="360" w:lineRule="auto"/>
        <w:jc w:val="both"/>
      </w:pPr>
      <w:r>
        <w:rPr>
          <w:noProof/>
          <w:lang w:val="en-US"/>
        </w:rPr>
        <w:drawing>
          <wp:inline distT="0" distB="0" distL="0" distR="0" wp14:anchorId="71076AFC" wp14:editId="44A02A53">
            <wp:extent cx="6297283" cy="3053751"/>
            <wp:effectExtent l="0" t="0" r="8890" b="133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2517E" w:rsidRPr="00ED4452" w:rsidRDefault="00C2517E" w:rsidP="00C2517E">
      <w:pPr>
        <w:pStyle w:val="Caption"/>
        <w:jc w:val="both"/>
        <w:rPr>
          <w:rFonts w:ascii="Times New Roman" w:eastAsiaTheme="minorEastAsia" w:hAnsi="Times New Roman" w:cs="Times New Roman"/>
          <w:color w:val="auto"/>
          <w:sz w:val="20"/>
          <w:szCs w:val="20"/>
          <w:lang w:val="en-US"/>
        </w:rPr>
      </w:pPr>
      <w:bookmarkStart w:id="11" w:name="_Toc15252156"/>
      <w:r w:rsidRPr="00ED4452">
        <w:rPr>
          <w:rFonts w:ascii="Times New Roman" w:hAnsi="Times New Roman" w:cs="Times New Roman"/>
          <w:color w:val="auto"/>
          <w:sz w:val="20"/>
          <w:szCs w:val="20"/>
        </w:rPr>
        <w:t xml:space="preserve">Figure </w:t>
      </w:r>
      <w:r w:rsidRPr="00ED4452">
        <w:rPr>
          <w:rFonts w:ascii="Times New Roman" w:hAnsi="Times New Roman" w:cs="Times New Roman"/>
          <w:color w:val="auto"/>
          <w:sz w:val="20"/>
          <w:szCs w:val="20"/>
        </w:rPr>
        <w:fldChar w:fldCharType="begin"/>
      </w:r>
      <w:r w:rsidRPr="00ED4452">
        <w:rPr>
          <w:rFonts w:ascii="Times New Roman" w:hAnsi="Times New Roman" w:cs="Times New Roman"/>
          <w:color w:val="auto"/>
          <w:sz w:val="20"/>
          <w:szCs w:val="20"/>
        </w:rPr>
        <w:instrText xml:space="preserve"> SEQ Figure \* ARABIC </w:instrText>
      </w:r>
      <w:r w:rsidRPr="00ED4452">
        <w:rPr>
          <w:rFonts w:ascii="Times New Roman" w:hAnsi="Times New Roman" w:cs="Times New Roman"/>
          <w:color w:val="auto"/>
          <w:sz w:val="20"/>
          <w:szCs w:val="20"/>
        </w:rPr>
        <w:fldChar w:fldCharType="separate"/>
      </w:r>
      <w:r w:rsidR="00B35641">
        <w:rPr>
          <w:rFonts w:ascii="Times New Roman" w:hAnsi="Times New Roman" w:cs="Times New Roman"/>
          <w:noProof/>
          <w:color w:val="auto"/>
          <w:sz w:val="20"/>
          <w:szCs w:val="20"/>
        </w:rPr>
        <w:t>1</w:t>
      </w:r>
      <w:r w:rsidRPr="00ED4452">
        <w:rPr>
          <w:rFonts w:ascii="Times New Roman" w:hAnsi="Times New Roman" w:cs="Times New Roman"/>
          <w:color w:val="auto"/>
          <w:sz w:val="20"/>
          <w:szCs w:val="20"/>
        </w:rPr>
        <w:fldChar w:fldCharType="end"/>
      </w:r>
      <w:r w:rsidRPr="00ED4452">
        <w:rPr>
          <w:rFonts w:ascii="Times New Roman" w:hAnsi="Times New Roman" w:cs="Times New Roman"/>
          <w:color w:val="auto"/>
          <w:sz w:val="20"/>
          <w:szCs w:val="20"/>
        </w:rPr>
        <w:t>. Crude Brent Oil Price (2014-2018)</w:t>
      </w:r>
      <w:bookmarkEnd w:id="11"/>
    </w:p>
    <w:p w:rsidR="00C2517E" w:rsidRDefault="00C2517E" w:rsidP="00C2517E">
      <w:pPr>
        <w:pStyle w:val="BodyText"/>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The next graph presents the exchange rate of Russian Ruble against the US Dollar. </w:t>
      </w:r>
    </w:p>
    <w:p w:rsidR="00C2517E" w:rsidRDefault="00C2517E" w:rsidP="00C2517E">
      <w:pPr>
        <w:pStyle w:val="BodyText"/>
        <w:keepNext/>
        <w:spacing w:line="360" w:lineRule="auto"/>
        <w:jc w:val="both"/>
      </w:pPr>
      <w:r>
        <w:rPr>
          <w:noProof/>
          <w:lang w:val="en-US"/>
        </w:rPr>
        <w:lastRenderedPageBreak/>
        <w:drawing>
          <wp:inline distT="0" distB="0" distL="0" distR="0" wp14:anchorId="4F8497D4" wp14:editId="2CC18C83">
            <wp:extent cx="6314536" cy="2794959"/>
            <wp:effectExtent l="0" t="0" r="10160" b="571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2517E" w:rsidRPr="00D000DA" w:rsidRDefault="00C2517E" w:rsidP="00C2517E">
      <w:pPr>
        <w:pStyle w:val="Caption"/>
        <w:jc w:val="both"/>
        <w:rPr>
          <w:rFonts w:ascii="Times New Roman" w:eastAsiaTheme="minorEastAsia" w:hAnsi="Times New Roman" w:cs="Times New Roman"/>
          <w:color w:val="auto"/>
          <w:sz w:val="20"/>
          <w:szCs w:val="20"/>
          <w:lang w:val="en-US"/>
        </w:rPr>
      </w:pPr>
      <w:bookmarkStart w:id="12" w:name="_Toc15252157"/>
      <w:r w:rsidRPr="00D000DA">
        <w:rPr>
          <w:rFonts w:ascii="Times New Roman" w:hAnsi="Times New Roman" w:cs="Times New Roman"/>
          <w:color w:val="auto"/>
          <w:sz w:val="20"/>
          <w:szCs w:val="20"/>
        </w:rPr>
        <w:t xml:space="preserve">Figure </w:t>
      </w:r>
      <w:r w:rsidRPr="00D000DA">
        <w:rPr>
          <w:rFonts w:ascii="Times New Roman" w:hAnsi="Times New Roman" w:cs="Times New Roman"/>
          <w:color w:val="auto"/>
          <w:sz w:val="20"/>
          <w:szCs w:val="20"/>
        </w:rPr>
        <w:fldChar w:fldCharType="begin"/>
      </w:r>
      <w:r w:rsidRPr="00D000DA">
        <w:rPr>
          <w:rFonts w:ascii="Times New Roman" w:hAnsi="Times New Roman" w:cs="Times New Roman"/>
          <w:color w:val="auto"/>
          <w:sz w:val="20"/>
          <w:szCs w:val="20"/>
        </w:rPr>
        <w:instrText xml:space="preserve"> SEQ Figure \* ARABIC </w:instrText>
      </w:r>
      <w:r w:rsidRPr="00D000DA">
        <w:rPr>
          <w:rFonts w:ascii="Times New Roman" w:hAnsi="Times New Roman" w:cs="Times New Roman"/>
          <w:color w:val="auto"/>
          <w:sz w:val="20"/>
          <w:szCs w:val="20"/>
        </w:rPr>
        <w:fldChar w:fldCharType="separate"/>
      </w:r>
      <w:r w:rsidR="00B35641">
        <w:rPr>
          <w:rFonts w:ascii="Times New Roman" w:hAnsi="Times New Roman" w:cs="Times New Roman"/>
          <w:noProof/>
          <w:color w:val="auto"/>
          <w:sz w:val="20"/>
          <w:szCs w:val="20"/>
        </w:rPr>
        <w:t>2</w:t>
      </w:r>
      <w:r w:rsidRPr="00D000DA">
        <w:rPr>
          <w:rFonts w:ascii="Times New Roman" w:hAnsi="Times New Roman" w:cs="Times New Roman"/>
          <w:color w:val="auto"/>
          <w:sz w:val="20"/>
          <w:szCs w:val="20"/>
        </w:rPr>
        <w:fldChar w:fldCharType="end"/>
      </w:r>
      <w:r w:rsidRPr="00D000DA">
        <w:rPr>
          <w:rFonts w:ascii="Times New Roman" w:hAnsi="Times New Roman" w:cs="Times New Roman"/>
          <w:color w:val="auto"/>
          <w:sz w:val="20"/>
          <w:szCs w:val="20"/>
        </w:rPr>
        <w:t>. RUB/USD Exchange Rate</w:t>
      </w:r>
      <w:bookmarkEnd w:id="12"/>
    </w:p>
    <w:p w:rsidR="00C2517E" w:rsidRDefault="00C2517E" w:rsidP="00C2517E">
      <w:pPr>
        <w:pStyle w:val="BodyText"/>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From the mid of 2014, Russian ruble started depreciating. During the 2016 the Russian ruble has reached its lowest point. However, in subsequent period, the currency exchange has stabilized and exhibit lower volatility compared to prior periods.  </w:t>
      </w:r>
    </w:p>
    <w:p w:rsidR="00C2517E" w:rsidRDefault="00C2517E" w:rsidP="00C2517E">
      <w:pPr>
        <w:pStyle w:val="BodyText"/>
        <w:keepNext/>
        <w:spacing w:line="360" w:lineRule="auto"/>
        <w:jc w:val="both"/>
      </w:pPr>
      <w:r>
        <w:rPr>
          <w:noProof/>
          <w:lang w:val="en-US"/>
        </w:rPr>
        <w:drawing>
          <wp:inline distT="0" distB="0" distL="0" distR="0" wp14:anchorId="18385808" wp14:editId="4495E799">
            <wp:extent cx="6314440" cy="2869324"/>
            <wp:effectExtent l="0" t="0" r="10160" b="762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2517E" w:rsidRPr="0081491C" w:rsidRDefault="00C2517E" w:rsidP="00C2517E">
      <w:pPr>
        <w:pStyle w:val="Caption"/>
        <w:jc w:val="both"/>
        <w:rPr>
          <w:rFonts w:ascii="Times New Roman" w:eastAsiaTheme="minorEastAsia" w:hAnsi="Times New Roman" w:cs="Times New Roman"/>
          <w:color w:val="auto"/>
          <w:sz w:val="20"/>
          <w:szCs w:val="20"/>
          <w:lang w:val="en-US"/>
        </w:rPr>
      </w:pPr>
      <w:bookmarkStart w:id="13" w:name="_Toc15252158"/>
      <w:r w:rsidRPr="0081491C">
        <w:rPr>
          <w:rFonts w:ascii="Times New Roman" w:hAnsi="Times New Roman" w:cs="Times New Roman"/>
          <w:color w:val="auto"/>
          <w:sz w:val="20"/>
          <w:szCs w:val="20"/>
        </w:rPr>
        <w:t xml:space="preserve">Figure </w:t>
      </w:r>
      <w:r w:rsidRPr="0081491C">
        <w:rPr>
          <w:rFonts w:ascii="Times New Roman" w:hAnsi="Times New Roman" w:cs="Times New Roman"/>
          <w:color w:val="auto"/>
          <w:sz w:val="20"/>
          <w:szCs w:val="20"/>
        </w:rPr>
        <w:fldChar w:fldCharType="begin"/>
      </w:r>
      <w:r w:rsidRPr="0081491C">
        <w:rPr>
          <w:rFonts w:ascii="Times New Roman" w:hAnsi="Times New Roman" w:cs="Times New Roman"/>
          <w:color w:val="auto"/>
          <w:sz w:val="20"/>
          <w:szCs w:val="20"/>
        </w:rPr>
        <w:instrText xml:space="preserve"> SEQ Figure \* ARABIC </w:instrText>
      </w:r>
      <w:r w:rsidRPr="0081491C">
        <w:rPr>
          <w:rFonts w:ascii="Times New Roman" w:hAnsi="Times New Roman" w:cs="Times New Roman"/>
          <w:color w:val="auto"/>
          <w:sz w:val="20"/>
          <w:szCs w:val="20"/>
        </w:rPr>
        <w:fldChar w:fldCharType="separate"/>
      </w:r>
      <w:r w:rsidR="00B35641">
        <w:rPr>
          <w:rFonts w:ascii="Times New Roman" w:hAnsi="Times New Roman" w:cs="Times New Roman"/>
          <w:noProof/>
          <w:color w:val="auto"/>
          <w:sz w:val="20"/>
          <w:szCs w:val="20"/>
        </w:rPr>
        <w:t>3</w:t>
      </w:r>
      <w:r w:rsidRPr="0081491C">
        <w:rPr>
          <w:rFonts w:ascii="Times New Roman" w:hAnsi="Times New Roman" w:cs="Times New Roman"/>
          <w:color w:val="auto"/>
          <w:sz w:val="20"/>
          <w:szCs w:val="20"/>
        </w:rPr>
        <w:fldChar w:fldCharType="end"/>
      </w:r>
      <w:r w:rsidRPr="0081491C">
        <w:rPr>
          <w:rFonts w:ascii="Times New Roman" w:hAnsi="Times New Roman" w:cs="Times New Roman"/>
          <w:color w:val="auto"/>
          <w:sz w:val="20"/>
          <w:szCs w:val="20"/>
        </w:rPr>
        <w:t>. US T-bills rate (2014-2018)</w:t>
      </w:r>
      <w:bookmarkEnd w:id="13"/>
    </w:p>
    <w:p w:rsidR="00C2517E" w:rsidRDefault="00C2517E" w:rsidP="00C2517E">
      <w:pPr>
        <w:pStyle w:val="BodyText"/>
        <w:spacing w:line="360" w:lineRule="auto"/>
        <w:ind w:firstLine="720"/>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The US treasury bills have demonstrated uprising trend since 2014. During the period under study, the T-bills have increased from almost zero percent to 2,5 percent. Since the data for treasury bills shows the non-linear growth parameters natural logarithm function will be used to adjust the parameters of the data. The next table presents the Moscow Interbank Overnight lending Rate for </w:t>
      </w:r>
      <w:r>
        <w:rPr>
          <w:rFonts w:ascii="Times New Roman" w:eastAsiaTheme="minorEastAsia" w:hAnsi="Times New Roman" w:cs="Times New Roman"/>
          <w:sz w:val="24"/>
          <w:szCs w:val="24"/>
          <w:lang w:val="en-US"/>
        </w:rPr>
        <w:lastRenderedPageBreak/>
        <w:t xml:space="preserve">Russian rubles in percentage. The dramatic increase in the MIBOR rates coincides with the drop in the price of oil. This does not come as a surprise considering the dependency of Russian economy on oil and gas industry. </w:t>
      </w:r>
    </w:p>
    <w:p w:rsidR="00C2517E" w:rsidRDefault="00C2517E" w:rsidP="00C2517E">
      <w:pPr>
        <w:pStyle w:val="BodyText"/>
        <w:keepNext/>
        <w:spacing w:line="360" w:lineRule="auto"/>
        <w:jc w:val="both"/>
      </w:pPr>
      <w:r>
        <w:rPr>
          <w:noProof/>
          <w:lang w:val="en-US"/>
        </w:rPr>
        <w:drawing>
          <wp:inline distT="0" distB="0" distL="0" distR="0" wp14:anchorId="45E2B75E" wp14:editId="25A1625F">
            <wp:extent cx="6243145" cy="2885089"/>
            <wp:effectExtent l="0" t="0" r="5715" b="1079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2517E" w:rsidRPr="000E22D1" w:rsidRDefault="00C2517E" w:rsidP="00C2517E">
      <w:pPr>
        <w:pStyle w:val="Caption"/>
        <w:jc w:val="both"/>
        <w:rPr>
          <w:rFonts w:ascii="Times New Roman" w:eastAsiaTheme="minorEastAsia" w:hAnsi="Times New Roman" w:cs="Times New Roman"/>
          <w:color w:val="auto"/>
          <w:sz w:val="20"/>
          <w:szCs w:val="20"/>
          <w:lang w:val="en-US"/>
        </w:rPr>
      </w:pPr>
      <w:bookmarkStart w:id="14" w:name="_Toc15252159"/>
      <w:r w:rsidRPr="000E22D1">
        <w:rPr>
          <w:rFonts w:ascii="Times New Roman" w:hAnsi="Times New Roman" w:cs="Times New Roman"/>
          <w:color w:val="auto"/>
          <w:sz w:val="20"/>
          <w:szCs w:val="20"/>
        </w:rPr>
        <w:t xml:space="preserve">Figure </w:t>
      </w:r>
      <w:r w:rsidRPr="000E22D1">
        <w:rPr>
          <w:rFonts w:ascii="Times New Roman" w:hAnsi="Times New Roman" w:cs="Times New Roman"/>
          <w:color w:val="auto"/>
          <w:sz w:val="20"/>
          <w:szCs w:val="20"/>
        </w:rPr>
        <w:fldChar w:fldCharType="begin"/>
      </w:r>
      <w:r w:rsidRPr="000E22D1">
        <w:rPr>
          <w:rFonts w:ascii="Times New Roman" w:hAnsi="Times New Roman" w:cs="Times New Roman"/>
          <w:color w:val="auto"/>
          <w:sz w:val="20"/>
          <w:szCs w:val="20"/>
        </w:rPr>
        <w:instrText xml:space="preserve"> SEQ Figure \* ARABIC </w:instrText>
      </w:r>
      <w:r w:rsidRPr="000E22D1">
        <w:rPr>
          <w:rFonts w:ascii="Times New Roman" w:hAnsi="Times New Roman" w:cs="Times New Roman"/>
          <w:color w:val="auto"/>
          <w:sz w:val="20"/>
          <w:szCs w:val="20"/>
        </w:rPr>
        <w:fldChar w:fldCharType="separate"/>
      </w:r>
      <w:r w:rsidR="00B35641">
        <w:rPr>
          <w:rFonts w:ascii="Times New Roman" w:hAnsi="Times New Roman" w:cs="Times New Roman"/>
          <w:noProof/>
          <w:color w:val="auto"/>
          <w:sz w:val="20"/>
          <w:szCs w:val="20"/>
        </w:rPr>
        <w:t>4</w:t>
      </w:r>
      <w:r w:rsidRPr="000E22D1">
        <w:rPr>
          <w:rFonts w:ascii="Times New Roman" w:hAnsi="Times New Roman" w:cs="Times New Roman"/>
          <w:color w:val="auto"/>
          <w:sz w:val="20"/>
          <w:szCs w:val="20"/>
        </w:rPr>
        <w:fldChar w:fldCharType="end"/>
      </w:r>
      <w:r w:rsidRPr="000E22D1">
        <w:rPr>
          <w:rFonts w:ascii="Times New Roman" w:hAnsi="Times New Roman" w:cs="Times New Roman"/>
          <w:color w:val="auto"/>
          <w:sz w:val="20"/>
          <w:szCs w:val="20"/>
        </w:rPr>
        <w:t>. Moscow Interbank Offer Rate (2014-2018)</w:t>
      </w:r>
      <w:bookmarkEnd w:id="14"/>
    </w:p>
    <w:p w:rsidR="00AD7D92" w:rsidRDefault="00C2517E" w:rsidP="00B55052">
      <w:pPr>
        <w:pStyle w:val="BodyText"/>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The next graph presents the gold reserves of Central Bank of Russian Federation in millions of USD. Since 2013, there has been two fold increase in the amount of gold reserves. Currently, the gold reserves of Russian Federation exceeds 80 billion USD. It also can be observed that gold reserves have been growing exponentially. Therefore, to adjust the data for the purpose of linear regression natural logarithm of gold reserves will be used.</w:t>
      </w:r>
    </w:p>
    <w:p w:rsidR="00C2517E" w:rsidRDefault="00C2517E" w:rsidP="00B55052">
      <w:pPr>
        <w:pStyle w:val="BodyText"/>
        <w:spacing w:line="360" w:lineRule="auto"/>
        <w:jc w:val="both"/>
      </w:pPr>
      <w:r>
        <w:rPr>
          <w:noProof/>
          <w:lang w:val="en-US"/>
        </w:rPr>
        <w:drawing>
          <wp:inline distT="0" distB="0" distL="0" distR="0" wp14:anchorId="3B47AC75" wp14:editId="47AFC518">
            <wp:extent cx="6242685" cy="2584174"/>
            <wp:effectExtent l="0" t="0" r="5715" b="698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2517E" w:rsidRPr="00EC0CC3" w:rsidRDefault="00C2517E" w:rsidP="00C2517E">
      <w:pPr>
        <w:pStyle w:val="Caption"/>
        <w:jc w:val="both"/>
        <w:rPr>
          <w:rFonts w:ascii="Times New Roman" w:eastAsiaTheme="minorEastAsia" w:hAnsi="Times New Roman" w:cs="Times New Roman"/>
          <w:color w:val="auto"/>
          <w:sz w:val="20"/>
          <w:szCs w:val="20"/>
          <w:lang w:val="en-US"/>
        </w:rPr>
      </w:pPr>
      <w:bookmarkStart w:id="15" w:name="_Toc15252160"/>
      <w:r w:rsidRPr="00EC0CC3">
        <w:rPr>
          <w:rFonts w:ascii="Times New Roman" w:hAnsi="Times New Roman" w:cs="Times New Roman"/>
          <w:color w:val="auto"/>
          <w:sz w:val="20"/>
          <w:szCs w:val="20"/>
        </w:rPr>
        <w:t xml:space="preserve">Figure </w:t>
      </w:r>
      <w:r w:rsidRPr="00EC0CC3">
        <w:rPr>
          <w:rFonts w:ascii="Times New Roman" w:hAnsi="Times New Roman" w:cs="Times New Roman"/>
          <w:color w:val="auto"/>
          <w:sz w:val="20"/>
          <w:szCs w:val="20"/>
        </w:rPr>
        <w:fldChar w:fldCharType="begin"/>
      </w:r>
      <w:r w:rsidRPr="00EC0CC3">
        <w:rPr>
          <w:rFonts w:ascii="Times New Roman" w:hAnsi="Times New Roman" w:cs="Times New Roman"/>
          <w:color w:val="auto"/>
          <w:sz w:val="20"/>
          <w:szCs w:val="20"/>
        </w:rPr>
        <w:instrText xml:space="preserve"> SEQ Figure \* ARABIC </w:instrText>
      </w:r>
      <w:r w:rsidRPr="00EC0CC3">
        <w:rPr>
          <w:rFonts w:ascii="Times New Roman" w:hAnsi="Times New Roman" w:cs="Times New Roman"/>
          <w:color w:val="auto"/>
          <w:sz w:val="20"/>
          <w:szCs w:val="20"/>
        </w:rPr>
        <w:fldChar w:fldCharType="separate"/>
      </w:r>
      <w:r w:rsidR="00B35641">
        <w:rPr>
          <w:rFonts w:ascii="Times New Roman" w:hAnsi="Times New Roman" w:cs="Times New Roman"/>
          <w:noProof/>
          <w:color w:val="auto"/>
          <w:sz w:val="20"/>
          <w:szCs w:val="20"/>
        </w:rPr>
        <w:t>5</w:t>
      </w:r>
      <w:r w:rsidRPr="00EC0CC3">
        <w:rPr>
          <w:rFonts w:ascii="Times New Roman" w:hAnsi="Times New Roman" w:cs="Times New Roman"/>
          <w:color w:val="auto"/>
          <w:sz w:val="20"/>
          <w:szCs w:val="20"/>
        </w:rPr>
        <w:fldChar w:fldCharType="end"/>
      </w:r>
      <w:r w:rsidRPr="00EC0CC3">
        <w:rPr>
          <w:rFonts w:ascii="Times New Roman" w:hAnsi="Times New Roman" w:cs="Times New Roman"/>
          <w:color w:val="auto"/>
          <w:sz w:val="20"/>
          <w:szCs w:val="20"/>
        </w:rPr>
        <w:t>. Gold Reserves of Russian Central Bank</w:t>
      </w:r>
      <w:bookmarkEnd w:id="15"/>
    </w:p>
    <w:p w:rsidR="002235EC" w:rsidRPr="00AD7D92" w:rsidRDefault="00AD7D92" w:rsidP="00AD7D92">
      <w:pPr>
        <w:pStyle w:val="BodyText"/>
        <w:spacing w:line="360" w:lineRule="auto"/>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lastRenderedPageBreak/>
        <w:t>The following table presents the correlation analysis between the independent variables.</w:t>
      </w:r>
    </w:p>
    <w:tbl>
      <w:tblPr>
        <w:tblpPr w:leftFromText="180" w:rightFromText="180" w:vertAnchor="page" w:horzAnchor="margin" w:tblpY="2555"/>
        <w:tblW w:w="8762" w:type="dxa"/>
        <w:tblLook w:val="04A0" w:firstRow="1" w:lastRow="0" w:firstColumn="1" w:lastColumn="0" w:noHBand="0" w:noVBand="1"/>
      </w:tblPr>
      <w:tblGrid>
        <w:gridCol w:w="1556"/>
        <w:gridCol w:w="1601"/>
        <w:gridCol w:w="1488"/>
        <w:gridCol w:w="1488"/>
        <w:gridCol w:w="1646"/>
        <w:gridCol w:w="983"/>
      </w:tblGrid>
      <w:tr w:rsidR="00AD7D92" w:rsidRPr="008A2BBB" w:rsidTr="00AD7D92">
        <w:trPr>
          <w:trHeight w:val="340"/>
        </w:trPr>
        <w:tc>
          <w:tcPr>
            <w:tcW w:w="1556" w:type="dxa"/>
            <w:tcBorders>
              <w:top w:val="single" w:sz="8" w:space="0" w:color="auto"/>
              <w:left w:val="nil"/>
              <w:bottom w:val="single" w:sz="4" w:space="0" w:color="auto"/>
              <w:right w:val="nil"/>
            </w:tcBorders>
            <w:shd w:val="clear" w:color="auto" w:fill="auto"/>
            <w:noWrap/>
            <w:vAlign w:val="bottom"/>
            <w:hideMark/>
          </w:tcPr>
          <w:p w:rsidR="00AD7D92" w:rsidRPr="008A2BBB" w:rsidRDefault="00AD7D92" w:rsidP="00AD7D92">
            <w:pPr>
              <w:spacing w:after="0" w:line="240" w:lineRule="auto"/>
              <w:jc w:val="center"/>
              <w:rPr>
                <w:rFonts w:ascii="Arial" w:eastAsia="Times New Roman" w:hAnsi="Arial" w:cs="Arial"/>
                <w:i/>
                <w:iCs/>
                <w:color w:val="000000"/>
                <w:lang w:val="en-US"/>
              </w:rPr>
            </w:pPr>
            <w:r w:rsidRPr="008A2BBB">
              <w:rPr>
                <w:rFonts w:ascii="Arial" w:eastAsia="Times New Roman" w:hAnsi="Arial" w:cs="Arial"/>
                <w:i/>
                <w:iCs/>
                <w:color w:val="000000"/>
                <w:lang w:val="en-US"/>
              </w:rPr>
              <w:t> </w:t>
            </w:r>
          </w:p>
        </w:tc>
        <w:tc>
          <w:tcPr>
            <w:tcW w:w="1601" w:type="dxa"/>
            <w:tcBorders>
              <w:top w:val="single" w:sz="8" w:space="0" w:color="auto"/>
              <w:left w:val="nil"/>
              <w:bottom w:val="single" w:sz="4" w:space="0" w:color="auto"/>
              <w:right w:val="nil"/>
            </w:tcBorders>
            <w:shd w:val="clear" w:color="auto" w:fill="auto"/>
            <w:noWrap/>
            <w:vAlign w:val="bottom"/>
            <w:hideMark/>
          </w:tcPr>
          <w:p w:rsidR="00AD7D92" w:rsidRPr="008A2BBB" w:rsidRDefault="00AD7D92" w:rsidP="00AD7D92">
            <w:pPr>
              <w:spacing w:after="0" w:line="240" w:lineRule="auto"/>
              <w:jc w:val="center"/>
              <w:rPr>
                <w:rFonts w:ascii="Arial" w:eastAsia="Times New Roman" w:hAnsi="Arial" w:cs="Arial"/>
                <w:i/>
                <w:iCs/>
                <w:color w:val="000000"/>
                <w:lang w:val="en-US"/>
              </w:rPr>
            </w:pPr>
            <w:r w:rsidRPr="008A2BBB">
              <w:rPr>
                <w:rFonts w:ascii="Arial" w:eastAsia="Times New Roman" w:hAnsi="Arial" w:cs="Arial"/>
                <w:i/>
                <w:iCs/>
                <w:color w:val="000000"/>
                <w:lang w:val="en-US"/>
              </w:rPr>
              <w:t>Exchange rate</w:t>
            </w:r>
          </w:p>
        </w:tc>
        <w:tc>
          <w:tcPr>
            <w:tcW w:w="1488" w:type="dxa"/>
            <w:tcBorders>
              <w:top w:val="single" w:sz="8" w:space="0" w:color="auto"/>
              <w:left w:val="nil"/>
              <w:bottom w:val="single" w:sz="4" w:space="0" w:color="auto"/>
              <w:right w:val="nil"/>
            </w:tcBorders>
            <w:shd w:val="clear" w:color="auto" w:fill="auto"/>
            <w:noWrap/>
            <w:vAlign w:val="bottom"/>
            <w:hideMark/>
          </w:tcPr>
          <w:p w:rsidR="00AD7D92" w:rsidRPr="008A2BBB" w:rsidRDefault="00AD7D92" w:rsidP="00AD7D92">
            <w:pPr>
              <w:spacing w:after="0" w:line="240" w:lineRule="auto"/>
              <w:jc w:val="center"/>
              <w:rPr>
                <w:rFonts w:ascii="Arial" w:eastAsia="Times New Roman" w:hAnsi="Arial" w:cs="Arial"/>
                <w:i/>
                <w:iCs/>
                <w:color w:val="000000"/>
                <w:lang w:val="en-US"/>
              </w:rPr>
            </w:pPr>
            <w:r w:rsidRPr="008A2BBB">
              <w:rPr>
                <w:rFonts w:ascii="Arial" w:eastAsia="Times New Roman" w:hAnsi="Arial" w:cs="Arial"/>
                <w:i/>
                <w:iCs/>
                <w:color w:val="000000"/>
                <w:lang w:val="en-US"/>
              </w:rPr>
              <w:t>Oil Price</w:t>
            </w:r>
          </w:p>
        </w:tc>
        <w:tc>
          <w:tcPr>
            <w:tcW w:w="1488" w:type="dxa"/>
            <w:tcBorders>
              <w:top w:val="single" w:sz="8" w:space="0" w:color="auto"/>
              <w:left w:val="nil"/>
              <w:bottom w:val="single" w:sz="4" w:space="0" w:color="auto"/>
              <w:right w:val="nil"/>
            </w:tcBorders>
            <w:shd w:val="clear" w:color="auto" w:fill="auto"/>
            <w:noWrap/>
            <w:vAlign w:val="bottom"/>
            <w:hideMark/>
          </w:tcPr>
          <w:p w:rsidR="00AD7D92" w:rsidRPr="008A2BBB" w:rsidRDefault="00AD7D92" w:rsidP="00AD7D92">
            <w:pPr>
              <w:spacing w:after="0" w:line="240" w:lineRule="auto"/>
              <w:jc w:val="center"/>
              <w:rPr>
                <w:rFonts w:ascii="Arial" w:eastAsia="Times New Roman" w:hAnsi="Arial" w:cs="Arial"/>
                <w:i/>
                <w:iCs/>
                <w:color w:val="000000"/>
                <w:lang w:val="en-US"/>
              </w:rPr>
            </w:pPr>
            <w:r w:rsidRPr="008A2BBB">
              <w:rPr>
                <w:rFonts w:ascii="Arial" w:eastAsia="Times New Roman" w:hAnsi="Arial" w:cs="Arial"/>
                <w:i/>
                <w:iCs/>
                <w:color w:val="000000"/>
                <w:lang w:val="en-US"/>
              </w:rPr>
              <w:t>T-Bills</w:t>
            </w:r>
          </w:p>
        </w:tc>
        <w:tc>
          <w:tcPr>
            <w:tcW w:w="1646" w:type="dxa"/>
            <w:tcBorders>
              <w:top w:val="single" w:sz="8" w:space="0" w:color="auto"/>
              <w:left w:val="nil"/>
              <w:bottom w:val="single" w:sz="4" w:space="0" w:color="auto"/>
              <w:right w:val="nil"/>
            </w:tcBorders>
            <w:shd w:val="clear" w:color="auto" w:fill="auto"/>
            <w:noWrap/>
            <w:vAlign w:val="bottom"/>
            <w:hideMark/>
          </w:tcPr>
          <w:p w:rsidR="00AD7D92" w:rsidRPr="008A2BBB" w:rsidRDefault="00AD7D92" w:rsidP="00AD7D92">
            <w:pPr>
              <w:spacing w:after="0" w:line="240" w:lineRule="auto"/>
              <w:jc w:val="center"/>
              <w:rPr>
                <w:rFonts w:ascii="Arial" w:eastAsia="Times New Roman" w:hAnsi="Arial" w:cs="Arial"/>
                <w:i/>
                <w:iCs/>
                <w:color w:val="000000"/>
                <w:lang w:val="en-US"/>
              </w:rPr>
            </w:pPr>
            <w:r w:rsidRPr="008A2BBB">
              <w:rPr>
                <w:rFonts w:ascii="Arial" w:eastAsia="Times New Roman" w:hAnsi="Arial" w:cs="Arial"/>
                <w:i/>
                <w:iCs/>
                <w:color w:val="000000"/>
                <w:lang w:val="en-US"/>
              </w:rPr>
              <w:t>Gold Reserves</w:t>
            </w:r>
          </w:p>
        </w:tc>
        <w:tc>
          <w:tcPr>
            <w:tcW w:w="983" w:type="dxa"/>
            <w:tcBorders>
              <w:top w:val="single" w:sz="8" w:space="0" w:color="auto"/>
              <w:left w:val="nil"/>
              <w:bottom w:val="single" w:sz="4" w:space="0" w:color="auto"/>
              <w:right w:val="nil"/>
            </w:tcBorders>
            <w:shd w:val="clear" w:color="auto" w:fill="auto"/>
            <w:noWrap/>
            <w:vAlign w:val="bottom"/>
            <w:hideMark/>
          </w:tcPr>
          <w:p w:rsidR="00AD7D92" w:rsidRPr="008A2BBB" w:rsidRDefault="00AD7D92" w:rsidP="00AD7D92">
            <w:pPr>
              <w:spacing w:after="0" w:line="240" w:lineRule="auto"/>
              <w:jc w:val="center"/>
              <w:rPr>
                <w:rFonts w:ascii="Arial" w:eastAsia="Times New Roman" w:hAnsi="Arial" w:cs="Arial"/>
                <w:i/>
                <w:iCs/>
                <w:color w:val="000000"/>
                <w:lang w:val="en-US"/>
              </w:rPr>
            </w:pPr>
            <w:r w:rsidRPr="008A2BBB">
              <w:rPr>
                <w:rFonts w:ascii="Arial" w:eastAsia="Times New Roman" w:hAnsi="Arial" w:cs="Arial"/>
                <w:i/>
                <w:iCs/>
                <w:color w:val="000000"/>
                <w:lang w:val="en-US"/>
              </w:rPr>
              <w:t>MIBOR</w:t>
            </w:r>
          </w:p>
        </w:tc>
      </w:tr>
      <w:tr w:rsidR="00AD7D92" w:rsidRPr="008A2BBB" w:rsidTr="00AD7D92">
        <w:trPr>
          <w:trHeight w:val="340"/>
        </w:trPr>
        <w:tc>
          <w:tcPr>
            <w:tcW w:w="1556"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Exchange rate</w:t>
            </w:r>
          </w:p>
        </w:tc>
        <w:tc>
          <w:tcPr>
            <w:tcW w:w="1601"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1,00 </w:t>
            </w:r>
          </w:p>
        </w:tc>
        <w:tc>
          <w:tcPr>
            <w:tcW w:w="1488"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p>
        </w:tc>
        <w:tc>
          <w:tcPr>
            <w:tcW w:w="1488"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Times New Roman" w:eastAsia="Times New Roman" w:hAnsi="Times New Roman" w:cs="Times New Roman"/>
                <w:lang w:val="en-US"/>
              </w:rPr>
            </w:pPr>
          </w:p>
        </w:tc>
        <w:tc>
          <w:tcPr>
            <w:tcW w:w="1646"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Times New Roman" w:eastAsia="Times New Roman" w:hAnsi="Times New Roman" w:cs="Times New Roman"/>
                <w:lang w:val="en-US"/>
              </w:rPr>
            </w:pPr>
          </w:p>
        </w:tc>
        <w:tc>
          <w:tcPr>
            <w:tcW w:w="983"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Times New Roman" w:eastAsia="Times New Roman" w:hAnsi="Times New Roman" w:cs="Times New Roman"/>
                <w:lang w:val="en-US"/>
              </w:rPr>
            </w:pPr>
          </w:p>
        </w:tc>
      </w:tr>
      <w:tr w:rsidR="00AD7D92" w:rsidRPr="008A2BBB" w:rsidTr="00AD7D92">
        <w:trPr>
          <w:trHeight w:val="340"/>
        </w:trPr>
        <w:tc>
          <w:tcPr>
            <w:tcW w:w="1556"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Oil Price</w:t>
            </w:r>
          </w:p>
        </w:tc>
        <w:tc>
          <w:tcPr>
            <w:tcW w:w="1601"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-0,86 </w:t>
            </w:r>
          </w:p>
        </w:tc>
        <w:tc>
          <w:tcPr>
            <w:tcW w:w="1488"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1,00 </w:t>
            </w:r>
          </w:p>
        </w:tc>
        <w:tc>
          <w:tcPr>
            <w:tcW w:w="1488"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p>
        </w:tc>
        <w:tc>
          <w:tcPr>
            <w:tcW w:w="1646"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Times New Roman" w:eastAsia="Times New Roman" w:hAnsi="Times New Roman" w:cs="Times New Roman"/>
                <w:lang w:val="en-US"/>
              </w:rPr>
            </w:pPr>
          </w:p>
        </w:tc>
        <w:tc>
          <w:tcPr>
            <w:tcW w:w="983"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Times New Roman" w:eastAsia="Times New Roman" w:hAnsi="Times New Roman" w:cs="Times New Roman"/>
                <w:lang w:val="en-US"/>
              </w:rPr>
            </w:pPr>
          </w:p>
        </w:tc>
      </w:tr>
      <w:tr w:rsidR="00AD7D92" w:rsidRPr="008A2BBB" w:rsidTr="00AD7D92">
        <w:trPr>
          <w:trHeight w:val="340"/>
        </w:trPr>
        <w:tc>
          <w:tcPr>
            <w:tcW w:w="1556"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T-Bills</w:t>
            </w:r>
          </w:p>
        </w:tc>
        <w:tc>
          <w:tcPr>
            <w:tcW w:w="1601"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0,43 </w:t>
            </w:r>
          </w:p>
        </w:tc>
        <w:tc>
          <w:tcPr>
            <w:tcW w:w="1488"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-0,09 </w:t>
            </w:r>
          </w:p>
        </w:tc>
        <w:tc>
          <w:tcPr>
            <w:tcW w:w="1488"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1,00 </w:t>
            </w:r>
          </w:p>
        </w:tc>
        <w:tc>
          <w:tcPr>
            <w:tcW w:w="1646"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p>
        </w:tc>
        <w:tc>
          <w:tcPr>
            <w:tcW w:w="983"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Times New Roman" w:eastAsia="Times New Roman" w:hAnsi="Times New Roman" w:cs="Times New Roman"/>
                <w:lang w:val="en-US"/>
              </w:rPr>
            </w:pPr>
          </w:p>
        </w:tc>
      </w:tr>
      <w:tr w:rsidR="00AD7D92" w:rsidRPr="008A2BBB" w:rsidTr="00AD7D92">
        <w:trPr>
          <w:trHeight w:val="340"/>
        </w:trPr>
        <w:tc>
          <w:tcPr>
            <w:tcW w:w="1556"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Gold Reserves</w:t>
            </w:r>
          </w:p>
        </w:tc>
        <w:tc>
          <w:tcPr>
            <w:tcW w:w="1601"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0,46 </w:t>
            </w:r>
          </w:p>
        </w:tc>
        <w:tc>
          <w:tcPr>
            <w:tcW w:w="1488"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-0,24 </w:t>
            </w:r>
          </w:p>
        </w:tc>
        <w:tc>
          <w:tcPr>
            <w:tcW w:w="1488"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0,93 </w:t>
            </w:r>
          </w:p>
        </w:tc>
        <w:tc>
          <w:tcPr>
            <w:tcW w:w="1646"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1,00 </w:t>
            </w:r>
          </w:p>
        </w:tc>
        <w:tc>
          <w:tcPr>
            <w:tcW w:w="983" w:type="dxa"/>
            <w:tcBorders>
              <w:top w:val="nil"/>
              <w:left w:val="nil"/>
              <w:bottom w:val="nil"/>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p>
        </w:tc>
      </w:tr>
      <w:tr w:rsidR="00AD7D92" w:rsidRPr="008A2BBB" w:rsidTr="00AD7D92">
        <w:trPr>
          <w:trHeight w:val="360"/>
        </w:trPr>
        <w:tc>
          <w:tcPr>
            <w:tcW w:w="1556" w:type="dxa"/>
            <w:tcBorders>
              <w:top w:val="nil"/>
              <w:left w:val="nil"/>
              <w:bottom w:val="single" w:sz="8" w:space="0" w:color="auto"/>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MIBOR</w:t>
            </w:r>
          </w:p>
        </w:tc>
        <w:tc>
          <w:tcPr>
            <w:tcW w:w="1601" w:type="dxa"/>
            <w:tcBorders>
              <w:top w:val="nil"/>
              <w:left w:val="nil"/>
              <w:bottom w:val="single" w:sz="8" w:space="0" w:color="auto"/>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0,30 </w:t>
            </w:r>
          </w:p>
        </w:tc>
        <w:tc>
          <w:tcPr>
            <w:tcW w:w="1488" w:type="dxa"/>
            <w:tcBorders>
              <w:top w:val="nil"/>
              <w:left w:val="nil"/>
              <w:bottom w:val="single" w:sz="8" w:space="0" w:color="auto"/>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-0,51 </w:t>
            </w:r>
          </w:p>
        </w:tc>
        <w:tc>
          <w:tcPr>
            <w:tcW w:w="1488" w:type="dxa"/>
            <w:tcBorders>
              <w:top w:val="nil"/>
              <w:left w:val="nil"/>
              <w:bottom w:val="single" w:sz="8" w:space="0" w:color="auto"/>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-0,54 </w:t>
            </w:r>
          </w:p>
        </w:tc>
        <w:tc>
          <w:tcPr>
            <w:tcW w:w="1646" w:type="dxa"/>
            <w:tcBorders>
              <w:top w:val="nil"/>
              <w:left w:val="nil"/>
              <w:bottom w:val="single" w:sz="8" w:space="0" w:color="auto"/>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-0,49 </w:t>
            </w:r>
          </w:p>
        </w:tc>
        <w:tc>
          <w:tcPr>
            <w:tcW w:w="983" w:type="dxa"/>
            <w:tcBorders>
              <w:top w:val="nil"/>
              <w:left w:val="nil"/>
              <w:bottom w:val="single" w:sz="8" w:space="0" w:color="auto"/>
              <w:right w:val="nil"/>
            </w:tcBorders>
            <w:shd w:val="clear" w:color="auto" w:fill="auto"/>
            <w:noWrap/>
            <w:vAlign w:val="bottom"/>
            <w:hideMark/>
          </w:tcPr>
          <w:p w:rsidR="00AD7D92" w:rsidRPr="008A2BBB" w:rsidRDefault="00AD7D92" w:rsidP="00AD7D92">
            <w:pPr>
              <w:spacing w:after="0" w:line="240" w:lineRule="auto"/>
              <w:rPr>
                <w:rFonts w:ascii="Arial" w:eastAsia="Times New Roman" w:hAnsi="Arial" w:cs="Arial"/>
                <w:color w:val="000000"/>
                <w:lang w:val="en-US"/>
              </w:rPr>
            </w:pPr>
            <w:r w:rsidRPr="008A2BBB">
              <w:rPr>
                <w:rFonts w:ascii="Arial" w:eastAsia="Times New Roman" w:hAnsi="Arial" w:cs="Arial"/>
                <w:color w:val="000000"/>
                <w:lang w:val="en-US"/>
              </w:rPr>
              <w:t xml:space="preserve">    1,00 </w:t>
            </w:r>
          </w:p>
        </w:tc>
      </w:tr>
    </w:tbl>
    <w:p w:rsidR="00EC0CC3" w:rsidRPr="00EC0CC3" w:rsidRDefault="00EC0CC3" w:rsidP="00EC0CC3">
      <w:pPr>
        <w:pStyle w:val="BodyText"/>
        <w:spacing w:line="360" w:lineRule="auto"/>
        <w:jc w:val="both"/>
        <w:rPr>
          <w:rFonts w:ascii="Times New Roman" w:eastAsiaTheme="minorEastAsia" w:hAnsi="Times New Roman" w:cs="Times New Roman"/>
          <w:b/>
          <w:sz w:val="24"/>
          <w:szCs w:val="24"/>
          <w:lang w:val="en-US"/>
        </w:rPr>
      </w:pPr>
      <w:bookmarkStart w:id="16" w:name="_Toc15484943"/>
      <w:r w:rsidRPr="00EC0CC3">
        <w:rPr>
          <w:rFonts w:ascii="Times New Roman" w:hAnsi="Times New Roman" w:cs="Times New Roman"/>
          <w:b/>
        </w:rPr>
        <w:t xml:space="preserve">Table </w:t>
      </w:r>
      <w:r w:rsidRPr="00EC0CC3">
        <w:rPr>
          <w:rFonts w:ascii="Times New Roman" w:hAnsi="Times New Roman" w:cs="Times New Roman"/>
          <w:b/>
        </w:rPr>
        <w:fldChar w:fldCharType="begin"/>
      </w:r>
      <w:r w:rsidRPr="00EC0CC3">
        <w:rPr>
          <w:rFonts w:ascii="Times New Roman" w:hAnsi="Times New Roman" w:cs="Times New Roman"/>
          <w:b/>
        </w:rPr>
        <w:instrText xml:space="preserve"> SEQ Table \* ARABIC </w:instrText>
      </w:r>
      <w:r w:rsidRPr="00EC0CC3">
        <w:rPr>
          <w:rFonts w:ascii="Times New Roman" w:hAnsi="Times New Roman" w:cs="Times New Roman"/>
          <w:b/>
        </w:rPr>
        <w:fldChar w:fldCharType="separate"/>
      </w:r>
      <w:r w:rsidR="00FA327E">
        <w:rPr>
          <w:rFonts w:ascii="Times New Roman" w:hAnsi="Times New Roman" w:cs="Times New Roman"/>
          <w:b/>
          <w:noProof/>
        </w:rPr>
        <w:t>5</w:t>
      </w:r>
      <w:r w:rsidRPr="00EC0CC3">
        <w:rPr>
          <w:rFonts w:ascii="Times New Roman" w:hAnsi="Times New Roman" w:cs="Times New Roman"/>
          <w:b/>
        </w:rPr>
        <w:fldChar w:fldCharType="end"/>
      </w:r>
      <w:r w:rsidRPr="00EC0CC3">
        <w:rPr>
          <w:rFonts w:ascii="Times New Roman" w:hAnsi="Times New Roman" w:cs="Times New Roman"/>
          <w:b/>
        </w:rPr>
        <w:t>. Correlation between independent variables</w:t>
      </w:r>
      <w:bookmarkEnd w:id="16"/>
    </w:p>
    <w:p w:rsidR="004729BE" w:rsidRDefault="004729BE" w:rsidP="00EC0CC3">
      <w:pPr>
        <w:pStyle w:val="BodyText"/>
        <w:spacing w:line="360" w:lineRule="auto"/>
        <w:jc w:val="both"/>
        <w:rPr>
          <w:rFonts w:ascii="Times New Roman" w:eastAsiaTheme="minorEastAsia" w:hAnsi="Times New Roman" w:cs="Times New Roman"/>
          <w:sz w:val="24"/>
          <w:szCs w:val="24"/>
          <w:lang w:val="en-US"/>
        </w:rPr>
      </w:pPr>
    </w:p>
    <w:p w:rsidR="00EC0CC3" w:rsidRDefault="00EC0CC3" w:rsidP="00782D68">
      <w:pPr>
        <w:pStyle w:val="BodyText"/>
        <w:spacing w:line="360" w:lineRule="auto"/>
        <w:jc w:val="both"/>
        <w:rPr>
          <w:rFonts w:ascii="Times New Roman" w:eastAsiaTheme="minorEastAsia" w:hAnsi="Times New Roman" w:cs="Times New Roman"/>
          <w:sz w:val="24"/>
          <w:szCs w:val="24"/>
          <w:lang w:val="en-US"/>
        </w:rPr>
      </w:pPr>
    </w:p>
    <w:p w:rsidR="00D05EB6" w:rsidRDefault="00D05EB6" w:rsidP="00263E61">
      <w:pPr>
        <w:pStyle w:val="BodyText"/>
        <w:spacing w:line="360" w:lineRule="auto"/>
        <w:rPr>
          <w:rFonts w:ascii="Times New Roman" w:eastAsiaTheme="minorEastAsia" w:hAnsi="Times New Roman" w:cs="Times New Roman"/>
          <w:sz w:val="24"/>
          <w:szCs w:val="24"/>
          <w:lang w:val="en-US"/>
        </w:rPr>
      </w:pPr>
    </w:p>
    <w:p w:rsidR="00EF402A" w:rsidRDefault="008A2BBB" w:rsidP="00263E61">
      <w:pPr>
        <w:pStyle w:val="BodyText"/>
        <w:spacing w:line="360" w:lineRule="auto"/>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Oil price and the exchange rate exhibit negative strong correlation. This supports the notion that Russian national currency is strongly dependent on the price of oil, since the oil and gas are the major export products of the Russian government. There is also strong positive relationship between T-bills rate and gold reserves. Surprisingly, T-bills and MIBOR exhibits negative correlation at 0,54 level. </w:t>
      </w:r>
      <w:r w:rsidR="005C12B8">
        <w:rPr>
          <w:rFonts w:ascii="Times New Roman" w:eastAsiaTheme="minorEastAsia" w:hAnsi="Times New Roman" w:cs="Times New Roman"/>
          <w:sz w:val="24"/>
          <w:szCs w:val="24"/>
          <w:lang w:val="en-US"/>
        </w:rPr>
        <w:t xml:space="preserve">Strong positive correlation between oil price and exchange rate as well as between Gold reserves and T-bills may result in multicollinearity issue in the model. </w:t>
      </w:r>
      <w:r w:rsidR="00256E86">
        <w:rPr>
          <w:rFonts w:ascii="Times New Roman" w:eastAsiaTheme="minorEastAsia" w:hAnsi="Times New Roman" w:cs="Times New Roman"/>
          <w:sz w:val="24"/>
          <w:szCs w:val="24"/>
          <w:lang w:val="en-US"/>
        </w:rPr>
        <w:t xml:space="preserve">For the period under the </w:t>
      </w:r>
      <w:r w:rsidR="00DB5919">
        <w:rPr>
          <w:rFonts w:ascii="Times New Roman" w:eastAsiaTheme="minorEastAsia" w:hAnsi="Times New Roman" w:cs="Times New Roman"/>
          <w:sz w:val="24"/>
          <w:szCs w:val="24"/>
          <w:lang w:val="en-US"/>
        </w:rPr>
        <w:t>study,</w:t>
      </w:r>
      <w:r w:rsidR="00256E86">
        <w:rPr>
          <w:rFonts w:ascii="Times New Roman" w:eastAsiaTheme="minorEastAsia" w:hAnsi="Times New Roman" w:cs="Times New Roman"/>
          <w:sz w:val="24"/>
          <w:szCs w:val="24"/>
          <w:lang w:val="en-US"/>
        </w:rPr>
        <w:t xml:space="preserve"> I obtained the chronology of sanctions imposed by the United States and European Union on the Russian Federation. </w:t>
      </w:r>
    </w:p>
    <w:p w:rsidR="00AD7D92" w:rsidRPr="00AD7D92" w:rsidRDefault="00AD7D92" w:rsidP="00DA085C">
      <w:pPr>
        <w:pStyle w:val="Heading1"/>
        <w:numPr>
          <w:ilvl w:val="0"/>
          <w:numId w:val="0"/>
        </w:numPr>
        <w:spacing w:line="360" w:lineRule="auto"/>
        <w:ind w:left="567" w:hanging="567"/>
        <w:rPr>
          <w:rFonts w:ascii="Times New Roman" w:eastAsiaTheme="minorEastAsia" w:hAnsi="Times New Roman" w:cs="Times New Roman"/>
          <w:i w:val="0"/>
          <w:szCs w:val="24"/>
          <w:lang w:val="en-US"/>
        </w:rPr>
      </w:pPr>
      <w:bookmarkStart w:id="17" w:name="_Toc15473248"/>
      <w:r w:rsidRPr="00AD7D92">
        <w:rPr>
          <w:rFonts w:ascii="Times New Roman" w:eastAsiaTheme="minorEastAsia" w:hAnsi="Times New Roman" w:cs="Times New Roman"/>
          <w:i w:val="0"/>
          <w:szCs w:val="24"/>
          <w:lang w:val="en-US"/>
        </w:rPr>
        <w:t>Chapter 6. Results</w:t>
      </w:r>
      <w:bookmarkEnd w:id="17"/>
    </w:p>
    <w:p w:rsidR="00DA085C" w:rsidRDefault="00AD7D92" w:rsidP="00DA085C">
      <w:pPr>
        <w:pStyle w:val="BodyText"/>
        <w:spacing w:line="360" w:lineRule="auto"/>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The next table presents the regression results for the model specified above.</w:t>
      </w:r>
      <w:r w:rsidR="00DA085C">
        <w:rPr>
          <w:rFonts w:ascii="Times New Roman" w:eastAsiaTheme="minorEastAsia" w:hAnsi="Times New Roman" w:cs="Times New Roman"/>
          <w:sz w:val="24"/>
          <w:szCs w:val="24"/>
          <w:lang w:val="en-US"/>
        </w:rPr>
        <w:t xml:space="preserve"> </w:t>
      </w:r>
    </w:p>
    <w:p w:rsidR="00DA085C" w:rsidRDefault="00DA085C" w:rsidP="00DA085C">
      <w:pPr>
        <w:pStyle w:val="BodyText"/>
        <w:spacing w:line="360" w:lineRule="auto"/>
        <w:ind w:firstLine="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Based on the obtained results, lagged value of stock price is statistically significant at 1 percent level, while other independent variables such as exchange rate, oil price and T-bills rate are statistically significant at 10 percent. The intercept term is statistically not significant and from the economic sense perspective does not have any meaning. Since the value of dependent variable (stock price) was regressed against its lagged value the serial correlation of errors may present significant risk. Based on the obtained Durbin-Watson test value I reject the null hypothesis of serial correlation of residual errors. Based on the obtained regression results the main factors influencing the stock price performance of the firms were exchange rate, oil price, and sanctions imposed by the European Union and the United States on Russian Federation.</w:t>
      </w:r>
    </w:p>
    <w:p w:rsidR="00AD7D92" w:rsidRDefault="00AD7D92" w:rsidP="00AD7D92">
      <w:pPr>
        <w:pStyle w:val="BodyText"/>
        <w:spacing w:line="360" w:lineRule="auto"/>
        <w:rPr>
          <w:rFonts w:ascii="Times New Roman" w:eastAsiaTheme="minorEastAsia" w:hAnsi="Times New Roman" w:cs="Times New Roman"/>
          <w:sz w:val="24"/>
          <w:szCs w:val="24"/>
          <w:lang w:val="en-US"/>
        </w:rPr>
      </w:pPr>
    </w:p>
    <w:p w:rsidR="00AD7D92" w:rsidRDefault="00AD7D92" w:rsidP="00AD7D92">
      <w:pPr>
        <w:pStyle w:val="BodyText"/>
        <w:spacing w:line="360" w:lineRule="auto"/>
        <w:rPr>
          <w:rFonts w:ascii="Times New Roman" w:eastAsiaTheme="minorEastAsia" w:hAnsi="Times New Roman" w:cs="Times New Roman"/>
          <w:sz w:val="24"/>
          <w:szCs w:val="24"/>
          <w:lang w:val="en-US"/>
        </w:rPr>
      </w:pPr>
    </w:p>
    <w:p w:rsidR="00AD7D92" w:rsidRDefault="00AD7D92" w:rsidP="00AD7D92">
      <w:pPr>
        <w:pStyle w:val="BodyText"/>
        <w:spacing w:line="360" w:lineRule="auto"/>
        <w:rPr>
          <w:rFonts w:ascii="Times New Roman" w:eastAsiaTheme="minorEastAsia" w:hAnsi="Times New Roman" w:cs="Times New Roman"/>
          <w:sz w:val="24"/>
          <w:szCs w:val="24"/>
          <w:lang w:val="en-US"/>
        </w:rPr>
      </w:pPr>
    </w:p>
    <w:p w:rsidR="00EC0CC3" w:rsidRPr="00EC0CC3" w:rsidRDefault="00EC0CC3" w:rsidP="00EC0CC3">
      <w:pPr>
        <w:pStyle w:val="Caption"/>
        <w:keepNext/>
        <w:rPr>
          <w:rFonts w:ascii="Times New Roman" w:hAnsi="Times New Roman" w:cs="Times New Roman"/>
          <w:color w:val="auto"/>
          <w:sz w:val="20"/>
          <w:szCs w:val="20"/>
        </w:rPr>
      </w:pPr>
      <w:bookmarkStart w:id="18" w:name="_Toc15484944"/>
      <w:r w:rsidRPr="00EC0CC3">
        <w:rPr>
          <w:rFonts w:ascii="Times New Roman" w:hAnsi="Times New Roman" w:cs="Times New Roman"/>
          <w:color w:val="auto"/>
          <w:sz w:val="20"/>
          <w:szCs w:val="20"/>
        </w:rPr>
        <w:lastRenderedPageBreak/>
        <w:t xml:space="preserve">Table </w:t>
      </w:r>
      <w:r w:rsidRPr="00EC0CC3">
        <w:rPr>
          <w:rFonts w:ascii="Times New Roman" w:hAnsi="Times New Roman" w:cs="Times New Roman"/>
          <w:color w:val="auto"/>
          <w:sz w:val="20"/>
          <w:szCs w:val="20"/>
        </w:rPr>
        <w:fldChar w:fldCharType="begin"/>
      </w:r>
      <w:r w:rsidRPr="00EC0CC3">
        <w:rPr>
          <w:rFonts w:ascii="Times New Roman" w:hAnsi="Times New Roman" w:cs="Times New Roman"/>
          <w:color w:val="auto"/>
          <w:sz w:val="20"/>
          <w:szCs w:val="20"/>
        </w:rPr>
        <w:instrText xml:space="preserve"> SEQ Table \* ARABIC </w:instrText>
      </w:r>
      <w:r w:rsidRPr="00EC0CC3">
        <w:rPr>
          <w:rFonts w:ascii="Times New Roman" w:hAnsi="Times New Roman" w:cs="Times New Roman"/>
          <w:color w:val="auto"/>
          <w:sz w:val="20"/>
          <w:szCs w:val="20"/>
        </w:rPr>
        <w:fldChar w:fldCharType="separate"/>
      </w:r>
      <w:r w:rsidR="00FA327E">
        <w:rPr>
          <w:rFonts w:ascii="Times New Roman" w:hAnsi="Times New Roman" w:cs="Times New Roman"/>
          <w:noProof/>
          <w:color w:val="auto"/>
          <w:sz w:val="20"/>
          <w:szCs w:val="20"/>
        </w:rPr>
        <w:t>6</w:t>
      </w:r>
      <w:r w:rsidRPr="00EC0CC3">
        <w:rPr>
          <w:rFonts w:ascii="Times New Roman" w:hAnsi="Times New Roman" w:cs="Times New Roman"/>
          <w:color w:val="auto"/>
          <w:sz w:val="20"/>
          <w:szCs w:val="20"/>
        </w:rPr>
        <w:fldChar w:fldCharType="end"/>
      </w:r>
      <w:r w:rsidRPr="00EC0CC3">
        <w:rPr>
          <w:rFonts w:ascii="Times New Roman" w:hAnsi="Times New Roman" w:cs="Times New Roman"/>
          <w:color w:val="auto"/>
          <w:sz w:val="20"/>
          <w:szCs w:val="20"/>
        </w:rPr>
        <w:t>. Regression Coefficients</w:t>
      </w:r>
      <w:bookmarkEnd w:id="18"/>
    </w:p>
    <w:tbl>
      <w:tblPr>
        <w:tblStyle w:val="GridTable1Light"/>
        <w:tblW w:w="9874" w:type="dxa"/>
        <w:tblLook w:val="04A0" w:firstRow="1" w:lastRow="0" w:firstColumn="1" w:lastColumn="0" w:noHBand="0" w:noVBand="1"/>
      </w:tblPr>
      <w:tblGrid>
        <w:gridCol w:w="4905"/>
        <w:gridCol w:w="4969"/>
      </w:tblGrid>
      <w:tr w:rsidR="00193313" w:rsidRPr="0005133B" w:rsidTr="00256E86">
        <w:trPr>
          <w:cnfStyle w:val="100000000000" w:firstRow="1" w:lastRow="0" w:firstColumn="0" w:lastColumn="0" w:oddVBand="0" w:evenVBand="0" w:oddHBand="0"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4905" w:type="dxa"/>
          </w:tcPr>
          <w:p w:rsidR="00193313" w:rsidRPr="0005133B" w:rsidRDefault="004E5388" w:rsidP="00554116">
            <w:pPr>
              <w:pStyle w:val="BodyText"/>
              <w:spacing w:line="360" w:lineRule="auto"/>
              <w:jc w:val="both"/>
              <w:rPr>
                <w:rFonts w:ascii="Times New Roman" w:hAnsi="Times New Roman" w:cs="Times New Roman"/>
                <w:b w:val="0"/>
                <w:lang w:val="en-US"/>
              </w:rPr>
            </w:pPr>
            <w:r>
              <w:rPr>
                <w:rFonts w:ascii="Times New Roman" w:hAnsi="Times New Roman" w:cs="Times New Roman"/>
                <w:b w:val="0"/>
                <w:lang w:val="en-US"/>
              </w:rPr>
              <w:t xml:space="preserve">Explanatory </w:t>
            </w:r>
            <w:r w:rsidRPr="0005133B">
              <w:rPr>
                <w:rFonts w:ascii="Times New Roman" w:hAnsi="Times New Roman" w:cs="Times New Roman"/>
                <w:b w:val="0"/>
                <w:lang w:val="en-US"/>
              </w:rPr>
              <w:t>Variable</w:t>
            </w:r>
          </w:p>
        </w:tc>
        <w:tc>
          <w:tcPr>
            <w:tcW w:w="4969" w:type="dxa"/>
          </w:tcPr>
          <w:p w:rsidR="00193313" w:rsidRPr="0005133B" w:rsidRDefault="00193313" w:rsidP="00554116">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US"/>
              </w:rPr>
            </w:pPr>
            <w:r w:rsidRPr="0005133B">
              <w:rPr>
                <w:rFonts w:ascii="Times New Roman" w:hAnsi="Times New Roman" w:cs="Times New Roman"/>
                <w:b w:val="0"/>
                <w:lang w:val="en-US"/>
              </w:rPr>
              <w:t xml:space="preserve">Statistical coefficients </w:t>
            </w:r>
          </w:p>
        </w:tc>
      </w:tr>
      <w:tr w:rsidR="00193313" w:rsidRPr="0005133B" w:rsidTr="00256E86">
        <w:trPr>
          <w:trHeight w:val="777"/>
        </w:trPr>
        <w:tc>
          <w:tcPr>
            <w:cnfStyle w:val="001000000000" w:firstRow="0" w:lastRow="0" w:firstColumn="1" w:lastColumn="0" w:oddVBand="0" w:evenVBand="0" w:oddHBand="0" w:evenHBand="0" w:firstRowFirstColumn="0" w:firstRowLastColumn="0" w:lastRowFirstColumn="0" w:lastRowLastColumn="0"/>
            <w:tcW w:w="4905" w:type="dxa"/>
          </w:tcPr>
          <w:p w:rsidR="00193313" w:rsidRPr="0005133B" w:rsidRDefault="00193313" w:rsidP="00554116">
            <w:pPr>
              <w:pStyle w:val="BodyText"/>
              <w:rPr>
                <w:rFonts w:ascii="Times New Roman" w:hAnsi="Times New Roman" w:cs="Times New Roman"/>
                <w:lang w:val="en-US"/>
              </w:rPr>
            </w:pPr>
            <w:r>
              <w:rPr>
                <w:rFonts w:ascii="Times New Roman" w:hAnsi="Times New Roman" w:cs="Times New Roman"/>
                <w:lang w:val="en-US"/>
              </w:rPr>
              <w:t>Intercept</w:t>
            </w:r>
          </w:p>
        </w:tc>
        <w:tc>
          <w:tcPr>
            <w:tcW w:w="4969" w:type="dxa"/>
          </w:tcPr>
          <w:p w:rsidR="00193313" w:rsidRDefault="00193313"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-30,0914</w:t>
            </w:r>
          </w:p>
          <w:p w:rsidR="00193313" w:rsidRPr="0005133B" w:rsidRDefault="00193313"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(-1,5748)</w:t>
            </w:r>
          </w:p>
        </w:tc>
      </w:tr>
      <w:tr w:rsidR="00193313" w:rsidRPr="0005133B" w:rsidTr="00256E86">
        <w:trPr>
          <w:trHeight w:val="799"/>
        </w:trPr>
        <w:tc>
          <w:tcPr>
            <w:cnfStyle w:val="001000000000" w:firstRow="0" w:lastRow="0" w:firstColumn="1" w:lastColumn="0" w:oddVBand="0" w:evenVBand="0" w:oddHBand="0" w:evenHBand="0" w:firstRowFirstColumn="0" w:firstRowLastColumn="0" w:lastRowFirstColumn="0" w:lastRowLastColumn="0"/>
            <w:tcW w:w="4905" w:type="dxa"/>
          </w:tcPr>
          <w:p w:rsidR="00193313" w:rsidRPr="0005133B" w:rsidRDefault="00193313" w:rsidP="00554116">
            <w:pPr>
              <w:pStyle w:val="BodyText"/>
              <w:rPr>
                <w:rFonts w:ascii="Times New Roman" w:hAnsi="Times New Roman" w:cs="Times New Roman"/>
                <w:lang w:val="en-US"/>
              </w:rPr>
            </w:pPr>
            <w:r>
              <w:rPr>
                <w:rFonts w:ascii="Times New Roman" w:hAnsi="Times New Roman" w:cs="Times New Roman"/>
                <w:lang w:val="en-US"/>
              </w:rPr>
              <w:t>Stock Price (t-1)</w:t>
            </w:r>
          </w:p>
        </w:tc>
        <w:tc>
          <w:tcPr>
            <w:tcW w:w="4969" w:type="dxa"/>
          </w:tcPr>
          <w:p w:rsidR="00193313" w:rsidRDefault="00193313"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0,9996***</w:t>
            </w:r>
          </w:p>
          <w:p w:rsidR="00193313" w:rsidRPr="0005133B" w:rsidRDefault="00193313"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(5.130,18)</w:t>
            </w:r>
          </w:p>
        </w:tc>
      </w:tr>
      <w:tr w:rsidR="00193313" w:rsidRPr="0005133B" w:rsidTr="00256E86">
        <w:trPr>
          <w:trHeight w:val="777"/>
        </w:trPr>
        <w:tc>
          <w:tcPr>
            <w:cnfStyle w:val="001000000000" w:firstRow="0" w:lastRow="0" w:firstColumn="1" w:lastColumn="0" w:oddVBand="0" w:evenVBand="0" w:oddHBand="0" w:evenHBand="0" w:firstRowFirstColumn="0" w:firstRowLastColumn="0" w:lastRowFirstColumn="0" w:lastRowLastColumn="0"/>
            <w:tcW w:w="4905" w:type="dxa"/>
          </w:tcPr>
          <w:p w:rsidR="00193313" w:rsidRPr="0005133B" w:rsidRDefault="00193313" w:rsidP="00554116">
            <w:pPr>
              <w:pStyle w:val="BodyText"/>
              <w:rPr>
                <w:rFonts w:ascii="Times New Roman" w:hAnsi="Times New Roman" w:cs="Times New Roman"/>
                <w:lang w:val="en-US"/>
              </w:rPr>
            </w:pPr>
            <w:r>
              <w:rPr>
                <w:rFonts w:ascii="Times New Roman" w:hAnsi="Times New Roman" w:cs="Times New Roman"/>
                <w:lang w:val="en-US"/>
              </w:rPr>
              <w:t>Oil and Gas Dummy</w:t>
            </w:r>
          </w:p>
        </w:tc>
        <w:tc>
          <w:tcPr>
            <w:tcW w:w="4969" w:type="dxa"/>
          </w:tcPr>
          <w:p w:rsidR="00193313" w:rsidRDefault="00193313"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1,3257</w:t>
            </w:r>
          </w:p>
          <w:p w:rsidR="00193313" w:rsidRPr="0005133B" w:rsidRDefault="00193313"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(1,1206)</w:t>
            </w:r>
          </w:p>
        </w:tc>
      </w:tr>
      <w:tr w:rsidR="00193313" w:rsidRPr="0005133B" w:rsidTr="00256E86">
        <w:trPr>
          <w:trHeight w:val="799"/>
        </w:trPr>
        <w:tc>
          <w:tcPr>
            <w:cnfStyle w:val="001000000000" w:firstRow="0" w:lastRow="0" w:firstColumn="1" w:lastColumn="0" w:oddVBand="0" w:evenVBand="0" w:oddHBand="0" w:evenHBand="0" w:firstRowFirstColumn="0" w:firstRowLastColumn="0" w:lastRowFirstColumn="0" w:lastRowLastColumn="0"/>
            <w:tcW w:w="4905" w:type="dxa"/>
          </w:tcPr>
          <w:p w:rsidR="00193313" w:rsidRPr="0005133B" w:rsidRDefault="00193313" w:rsidP="00193313">
            <w:pPr>
              <w:pStyle w:val="BodyText"/>
              <w:rPr>
                <w:rFonts w:ascii="Times New Roman" w:hAnsi="Times New Roman" w:cs="Times New Roman"/>
                <w:lang w:val="en-US"/>
              </w:rPr>
            </w:pPr>
            <w:r>
              <w:rPr>
                <w:rFonts w:ascii="Times New Roman" w:hAnsi="Times New Roman" w:cs="Times New Roman"/>
                <w:lang w:val="en-US"/>
              </w:rPr>
              <w:t xml:space="preserve">Event Dummy </w:t>
            </w:r>
          </w:p>
        </w:tc>
        <w:tc>
          <w:tcPr>
            <w:tcW w:w="4969" w:type="dxa"/>
          </w:tcPr>
          <w:p w:rsidR="00193313" w:rsidRDefault="00193313"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-6,5347</w:t>
            </w:r>
          </w:p>
          <w:p w:rsidR="00193313" w:rsidRPr="0005133B" w:rsidRDefault="00193313" w:rsidP="00193313">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(-2,4106)</w:t>
            </w:r>
            <w:r w:rsidR="007B35E9">
              <w:rPr>
                <w:rFonts w:ascii="Times New Roman" w:hAnsi="Times New Roman" w:cs="Times New Roman"/>
                <w:lang w:val="en-US"/>
              </w:rPr>
              <w:t>**</w:t>
            </w:r>
          </w:p>
        </w:tc>
      </w:tr>
      <w:tr w:rsidR="00193313" w:rsidRPr="0005133B" w:rsidTr="00256E86">
        <w:trPr>
          <w:trHeight w:val="777"/>
        </w:trPr>
        <w:tc>
          <w:tcPr>
            <w:cnfStyle w:val="001000000000" w:firstRow="0" w:lastRow="0" w:firstColumn="1" w:lastColumn="0" w:oddVBand="0" w:evenVBand="0" w:oddHBand="0" w:evenHBand="0" w:firstRowFirstColumn="0" w:firstRowLastColumn="0" w:lastRowFirstColumn="0" w:lastRowLastColumn="0"/>
            <w:tcW w:w="4905" w:type="dxa"/>
          </w:tcPr>
          <w:p w:rsidR="00193313" w:rsidRPr="0005133B" w:rsidRDefault="00193313" w:rsidP="00554116">
            <w:pPr>
              <w:pStyle w:val="BodyText"/>
              <w:rPr>
                <w:rFonts w:ascii="Times New Roman" w:hAnsi="Times New Roman" w:cs="Times New Roman"/>
                <w:lang w:val="en-US"/>
              </w:rPr>
            </w:pPr>
            <w:r>
              <w:rPr>
                <w:rFonts w:ascii="Times New Roman" w:hAnsi="Times New Roman" w:cs="Times New Roman"/>
                <w:lang w:val="en-US"/>
              </w:rPr>
              <w:t>Exchange Rate</w:t>
            </w:r>
          </w:p>
        </w:tc>
        <w:tc>
          <w:tcPr>
            <w:tcW w:w="4969" w:type="dxa"/>
          </w:tcPr>
          <w:p w:rsidR="00193313" w:rsidRDefault="00193313"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0,2674</w:t>
            </w:r>
          </w:p>
          <w:p w:rsidR="00193313" w:rsidRPr="0005133B" w:rsidRDefault="002331D8" w:rsidP="00193313">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(1,7086)*</w:t>
            </w:r>
          </w:p>
        </w:tc>
      </w:tr>
      <w:tr w:rsidR="00193313" w:rsidRPr="0005133B" w:rsidTr="00256E86">
        <w:trPr>
          <w:trHeight w:val="799"/>
        </w:trPr>
        <w:tc>
          <w:tcPr>
            <w:cnfStyle w:val="001000000000" w:firstRow="0" w:lastRow="0" w:firstColumn="1" w:lastColumn="0" w:oddVBand="0" w:evenVBand="0" w:oddHBand="0" w:evenHBand="0" w:firstRowFirstColumn="0" w:firstRowLastColumn="0" w:lastRowFirstColumn="0" w:lastRowLastColumn="0"/>
            <w:tcW w:w="4905" w:type="dxa"/>
          </w:tcPr>
          <w:p w:rsidR="00193313" w:rsidRPr="0005133B" w:rsidRDefault="00193313" w:rsidP="00554116">
            <w:pPr>
              <w:pStyle w:val="BodyText"/>
              <w:rPr>
                <w:rFonts w:ascii="Times New Roman" w:hAnsi="Times New Roman" w:cs="Times New Roman"/>
                <w:lang w:val="en-US"/>
              </w:rPr>
            </w:pPr>
            <w:r>
              <w:rPr>
                <w:rFonts w:ascii="Times New Roman" w:hAnsi="Times New Roman" w:cs="Times New Roman"/>
                <w:lang w:val="en-US"/>
              </w:rPr>
              <w:t>Oil Price</w:t>
            </w:r>
          </w:p>
        </w:tc>
        <w:tc>
          <w:tcPr>
            <w:tcW w:w="4969" w:type="dxa"/>
          </w:tcPr>
          <w:p w:rsidR="00193313" w:rsidRDefault="00193313"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0,1474</w:t>
            </w:r>
          </w:p>
          <w:p w:rsidR="00193313" w:rsidRPr="0005133B" w:rsidRDefault="002331D8" w:rsidP="00193313">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(1,7542)*</w:t>
            </w:r>
          </w:p>
        </w:tc>
      </w:tr>
      <w:tr w:rsidR="00193313" w:rsidRPr="0005133B" w:rsidTr="00256E86">
        <w:trPr>
          <w:trHeight w:val="777"/>
        </w:trPr>
        <w:tc>
          <w:tcPr>
            <w:cnfStyle w:val="001000000000" w:firstRow="0" w:lastRow="0" w:firstColumn="1" w:lastColumn="0" w:oddVBand="0" w:evenVBand="0" w:oddHBand="0" w:evenHBand="0" w:firstRowFirstColumn="0" w:firstRowLastColumn="0" w:lastRowFirstColumn="0" w:lastRowLastColumn="0"/>
            <w:tcW w:w="4905" w:type="dxa"/>
          </w:tcPr>
          <w:p w:rsidR="00193313" w:rsidRPr="0005133B" w:rsidRDefault="00193313" w:rsidP="00554116">
            <w:pPr>
              <w:pStyle w:val="BodyText"/>
              <w:rPr>
                <w:rFonts w:ascii="Times New Roman" w:hAnsi="Times New Roman" w:cs="Times New Roman"/>
                <w:lang w:val="en-US"/>
              </w:rPr>
            </w:pPr>
            <w:r>
              <w:rPr>
                <w:rFonts w:ascii="Times New Roman" w:hAnsi="Times New Roman" w:cs="Times New Roman"/>
                <w:lang w:val="en-US"/>
              </w:rPr>
              <w:t>T-Bills</w:t>
            </w:r>
          </w:p>
        </w:tc>
        <w:tc>
          <w:tcPr>
            <w:tcW w:w="4969" w:type="dxa"/>
          </w:tcPr>
          <w:p w:rsidR="00193313" w:rsidRDefault="00193313"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-4,6748</w:t>
            </w:r>
          </w:p>
          <w:p w:rsidR="00193313" w:rsidRPr="0005133B" w:rsidRDefault="002331D8" w:rsidP="00193313">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(-1,7988)*</w:t>
            </w:r>
          </w:p>
        </w:tc>
      </w:tr>
      <w:tr w:rsidR="00193313" w:rsidRPr="0005133B" w:rsidTr="00256E86">
        <w:trPr>
          <w:trHeight w:val="777"/>
        </w:trPr>
        <w:tc>
          <w:tcPr>
            <w:cnfStyle w:val="001000000000" w:firstRow="0" w:lastRow="0" w:firstColumn="1" w:lastColumn="0" w:oddVBand="0" w:evenVBand="0" w:oddHBand="0" w:evenHBand="0" w:firstRowFirstColumn="0" w:firstRowLastColumn="0" w:lastRowFirstColumn="0" w:lastRowLastColumn="0"/>
            <w:tcW w:w="4905" w:type="dxa"/>
          </w:tcPr>
          <w:p w:rsidR="00193313" w:rsidRPr="0005133B" w:rsidRDefault="00193313" w:rsidP="00554116">
            <w:pPr>
              <w:pStyle w:val="BodyText"/>
              <w:rPr>
                <w:rFonts w:ascii="Times New Roman" w:hAnsi="Times New Roman" w:cs="Times New Roman"/>
                <w:lang w:val="en-US"/>
              </w:rPr>
            </w:pPr>
            <w:r>
              <w:rPr>
                <w:rFonts w:ascii="Times New Roman" w:hAnsi="Times New Roman" w:cs="Times New Roman"/>
                <w:lang w:val="en-US"/>
              </w:rPr>
              <w:t>Gold Reserves</w:t>
            </w:r>
          </w:p>
        </w:tc>
        <w:tc>
          <w:tcPr>
            <w:tcW w:w="4969" w:type="dxa"/>
          </w:tcPr>
          <w:p w:rsidR="00193313" w:rsidRDefault="00193313"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0,0002</w:t>
            </w:r>
          </w:p>
          <w:p w:rsidR="00193313" w:rsidRPr="0005133B" w:rsidRDefault="00193313" w:rsidP="00193313">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(1.1834)</w:t>
            </w:r>
          </w:p>
        </w:tc>
      </w:tr>
      <w:tr w:rsidR="00193313" w:rsidRPr="0005133B" w:rsidTr="00256E86">
        <w:trPr>
          <w:trHeight w:val="799"/>
        </w:trPr>
        <w:tc>
          <w:tcPr>
            <w:cnfStyle w:val="001000000000" w:firstRow="0" w:lastRow="0" w:firstColumn="1" w:lastColumn="0" w:oddVBand="0" w:evenVBand="0" w:oddHBand="0" w:evenHBand="0" w:firstRowFirstColumn="0" w:firstRowLastColumn="0" w:lastRowFirstColumn="0" w:lastRowLastColumn="0"/>
            <w:tcW w:w="4905" w:type="dxa"/>
          </w:tcPr>
          <w:p w:rsidR="00193313" w:rsidRPr="0005133B" w:rsidRDefault="00193313" w:rsidP="00554116">
            <w:pPr>
              <w:pStyle w:val="BodyText"/>
              <w:rPr>
                <w:rFonts w:ascii="Times New Roman" w:hAnsi="Times New Roman" w:cs="Times New Roman"/>
                <w:lang w:val="en-US"/>
              </w:rPr>
            </w:pPr>
            <w:r>
              <w:rPr>
                <w:rFonts w:ascii="Times New Roman" w:hAnsi="Times New Roman" w:cs="Times New Roman"/>
                <w:lang w:val="en-US"/>
              </w:rPr>
              <w:t>MIBOR</w:t>
            </w:r>
          </w:p>
        </w:tc>
        <w:tc>
          <w:tcPr>
            <w:tcW w:w="4969" w:type="dxa"/>
          </w:tcPr>
          <w:p w:rsidR="00193313" w:rsidRDefault="00193313"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-0,0449</w:t>
            </w:r>
          </w:p>
          <w:p w:rsidR="00193313" w:rsidRPr="0005133B" w:rsidRDefault="00193313" w:rsidP="00193313">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(-0.1115)</w:t>
            </w:r>
          </w:p>
        </w:tc>
      </w:tr>
      <w:tr w:rsidR="00256E86" w:rsidRPr="0005133B" w:rsidTr="00256E86">
        <w:trPr>
          <w:trHeight w:val="367"/>
        </w:trPr>
        <w:tc>
          <w:tcPr>
            <w:cnfStyle w:val="001000000000" w:firstRow="0" w:lastRow="0" w:firstColumn="1" w:lastColumn="0" w:oddVBand="0" w:evenVBand="0" w:oddHBand="0" w:evenHBand="0" w:firstRowFirstColumn="0" w:firstRowLastColumn="0" w:lastRowFirstColumn="0" w:lastRowLastColumn="0"/>
            <w:tcW w:w="4905" w:type="dxa"/>
          </w:tcPr>
          <w:p w:rsidR="00256E86" w:rsidRDefault="00256E86" w:rsidP="00554116">
            <w:pPr>
              <w:pStyle w:val="BodyText"/>
              <w:rPr>
                <w:rFonts w:ascii="Times New Roman" w:hAnsi="Times New Roman" w:cs="Times New Roman"/>
                <w:lang w:val="en-US"/>
              </w:rPr>
            </w:pPr>
            <w:r>
              <w:rPr>
                <w:rFonts w:ascii="Times New Roman" w:hAnsi="Times New Roman" w:cs="Times New Roman"/>
                <w:lang w:val="en-US"/>
              </w:rPr>
              <w:t>Adjusted R-square</w:t>
            </w:r>
          </w:p>
        </w:tc>
        <w:tc>
          <w:tcPr>
            <w:tcW w:w="4969" w:type="dxa"/>
          </w:tcPr>
          <w:p w:rsidR="00256E86" w:rsidRDefault="00256E86"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0,9995</w:t>
            </w:r>
          </w:p>
        </w:tc>
      </w:tr>
      <w:tr w:rsidR="00256E86" w:rsidRPr="0005133B" w:rsidTr="00256E86">
        <w:trPr>
          <w:trHeight w:val="389"/>
        </w:trPr>
        <w:tc>
          <w:tcPr>
            <w:cnfStyle w:val="001000000000" w:firstRow="0" w:lastRow="0" w:firstColumn="1" w:lastColumn="0" w:oddVBand="0" w:evenVBand="0" w:oddHBand="0" w:evenHBand="0" w:firstRowFirstColumn="0" w:firstRowLastColumn="0" w:lastRowFirstColumn="0" w:lastRowLastColumn="0"/>
            <w:tcW w:w="4905" w:type="dxa"/>
          </w:tcPr>
          <w:p w:rsidR="00256E86" w:rsidRDefault="00256E86" w:rsidP="00554116">
            <w:pPr>
              <w:pStyle w:val="BodyText"/>
              <w:rPr>
                <w:rFonts w:ascii="Times New Roman" w:hAnsi="Times New Roman" w:cs="Times New Roman"/>
                <w:lang w:val="en-US"/>
              </w:rPr>
            </w:pPr>
            <w:r>
              <w:rPr>
                <w:rFonts w:ascii="Times New Roman" w:hAnsi="Times New Roman" w:cs="Times New Roman"/>
                <w:lang w:val="en-US"/>
              </w:rPr>
              <w:t>F test</w:t>
            </w:r>
          </w:p>
        </w:tc>
        <w:tc>
          <w:tcPr>
            <w:tcW w:w="4969" w:type="dxa"/>
          </w:tcPr>
          <w:p w:rsidR="00256E86" w:rsidRDefault="00256E86"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3.304.445*</w:t>
            </w:r>
            <w:r w:rsidR="003207DD">
              <w:rPr>
                <w:rFonts w:ascii="Times New Roman" w:hAnsi="Times New Roman" w:cs="Times New Roman"/>
                <w:lang w:val="en-US"/>
              </w:rPr>
              <w:t>**</w:t>
            </w:r>
          </w:p>
        </w:tc>
      </w:tr>
      <w:tr w:rsidR="003A6D50" w:rsidRPr="0005133B" w:rsidTr="00256E86">
        <w:trPr>
          <w:trHeight w:val="389"/>
        </w:trPr>
        <w:tc>
          <w:tcPr>
            <w:cnfStyle w:val="001000000000" w:firstRow="0" w:lastRow="0" w:firstColumn="1" w:lastColumn="0" w:oddVBand="0" w:evenVBand="0" w:oddHBand="0" w:evenHBand="0" w:firstRowFirstColumn="0" w:firstRowLastColumn="0" w:lastRowFirstColumn="0" w:lastRowLastColumn="0"/>
            <w:tcW w:w="4905" w:type="dxa"/>
          </w:tcPr>
          <w:p w:rsidR="003A6D50" w:rsidRDefault="003A6D50" w:rsidP="00554116">
            <w:pPr>
              <w:pStyle w:val="BodyText"/>
              <w:rPr>
                <w:rFonts w:ascii="Times New Roman" w:hAnsi="Times New Roman" w:cs="Times New Roman"/>
                <w:lang w:val="en-US"/>
              </w:rPr>
            </w:pPr>
            <w:r>
              <w:rPr>
                <w:rFonts w:ascii="Times New Roman" w:hAnsi="Times New Roman" w:cs="Times New Roman"/>
                <w:lang w:val="en-US"/>
              </w:rPr>
              <w:t>DW test</w:t>
            </w:r>
          </w:p>
        </w:tc>
        <w:tc>
          <w:tcPr>
            <w:tcW w:w="4969" w:type="dxa"/>
          </w:tcPr>
          <w:p w:rsidR="003A6D50" w:rsidRDefault="003A6D50"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1,9401</w:t>
            </w:r>
          </w:p>
        </w:tc>
      </w:tr>
      <w:tr w:rsidR="00256E86" w:rsidRPr="0005133B" w:rsidTr="00256E86">
        <w:trPr>
          <w:trHeight w:val="367"/>
        </w:trPr>
        <w:tc>
          <w:tcPr>
            <w:cnfStyle w:val="001000000000" w:firstRow="0" w:lastRow="0" w:firstColumn="1" w:lastColumn="0" w:oddVBand="0" w:evenVBand="0" w:oddHBand="0" w:evenHBand="0" w:firstRowFirstColumn="0" w:firstRowLastColumn="0" w:lastRowFirstColumn="0" w:lastRowLastColumn="0"/>
            <w:tcW w:w="4905" w:type="dxa"/>
          </w:tcPr>
          <w:p w:rsidR="00256E86" w:rsidRDefault="00256E86" w:rsidP="00554116">
            <w:pPr>
              <w:pStyle w:val="BodyText"/>
              <w:rPr>
                <w:rFonts w:ascii="Times New Roman" w:hAnsi="Times New Roman" w:cs="Times New Roman"/>
                <w:lang w:val="en-US"/>
              </w:rPr>
            </w:pPr>
            <w:r>
              <w:rPr>
                <w:rFonts w:ascii="Times New Roman" w:hAnsi="Times New Roman" w:cs="Times New Roman"/>
                <w:lang w:val="en-US"/>
              </w:rPr>
              <w:t>Observations</w:t>
            </w:r>
          </w:p>
        </w:tc>
        <w:tc>
          <w:tcPr>
            <w:tcW w:w="4969" w:type="dxa"/>
          </w:tcPr>
          <w:p w:rsidR="00256E86" w:rsidRDefault="00256E86" w:rsidP="00554116">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12.351</w:t>
            </w:r>
          </w:p>
        </w:tc>
      </w:tr>
      <w:tr w:rsidR="002331D8" w:rsidRPr="0005133B" w:rsidTr="003E4E19">
        <w:trPr>
          <w:trHeight w:val="367"/>
        </w:trPr>
        <w:tc>
          <w:tcPr>
            <w:cnfStyle w:val="001000000000" w:firstRow="0" w:lastRow="0" w:firstColumn="1" w:lastColumn="0" w:oddVBand="0" w:evenVBand="0" w:oddHBand="0" w:evenHBand="0" w:firstRowFirstColumn="0" w:firstRowLastColumn="0" w:lastRowFirstColumn="0" w:lastRowLastColumn="0"/>
            <w:tcW w:w="9874" w:type="dxa"/>
            <w:gridSpan w:val="2"/>
          </w:tcPr>
          <w:p w:rsidR="002331D8" w:rsidRDefault="002331D8" w:rsidP="00554116">
            <w:pPr>
              <w:pStyle w:val="BodyText"/>
              <w:spacing w:line="360" w:lineRule="auto"/>
              <w:jc w:val="both"/>
              <w:rPr>
                <w:rFonts w:ascii="Times New Roman" w:hAnsi="Times New Roman" w:cs="Times New Roman"/>
                <w:lang w:val="en-US"/>
              </w:rPr>
            </w:pPr>
            <w:r>
              <w:rPr>
                <w:rFonts w:ascii="Times New Roman" w:hAnsi="Times New Roman" w:cs="Times New Roman"/>
                <w:lang w:val="en-US"/>
              </w:rPr>
              <w:t>*** - statistically significant at 1 percent level</w:t>
            </w:r>
          </w:p>
        </w:tc>
      </w:tr>
      <w:tr w:rsidR="002331D8" w:rsidRPr="0005133B" w:rsidTr="003E4E19">
        <w:trPr>
          <w:trHeight w:val="367"/>
        </w:trPr>
        <w:tc>
          <w:tcPr>
            <w:cnfStyle w:val="001000000000" w:firstRow="0" w:lastRow="0" w:firstColumn="1" w:lastColumn="0" w:oddVBand="0" w:evenVBand="0" w:oddHBand="0" w:evenHBand="0" w:firstRowFirstColumn="0" w:firstRowLastColumn="0" w:lastRowFirstColumn="0" w:lastRowLastColumn="0"/>
            <w:tcW w:w="9874" w:type="dxa"/>
            <w:gridSpan w:val="2"/>
          </w:tcPr>
          <w:p w:rsidR="002331D8" w:rsidRDefault="002331D8" w:rsidP="00554116">
            <w:pPr>
              <w:pStyle w:val="BodyText"/>
              <w:spacing w:line="360" w:lineRule="auto"/>
              <w:jc w:val="both"/>
              <w:rPr>
                <w:rFonts w:ascii="Times New Roman" w:hAnsi="Times New Roman" w:cs="Times New Roman"/>
                <w:lang w:val="en-US"/>
              </w:rPr>
            </w:pPr>
            <w:r>
              <w:rPr>
                <w:rFonts w:ascii="Times New Roman" w:hAnsi="Times New Roman" w:cs="Times New Roman"/>
                <w:lang w:val="en-US"/>
              </w:rPr>
              <w:t>** - statistically significant at 5 percent level</w:t>
            </w:r>
          </w:p>
        </w:tc>
      </w:tr>
      <w:tr w:rsidR="002331D8" w:rsidRPr="0005133B" w:rsidTr="003E4E19">
        <w:trPr>
          <w:trHeight w:val="367"/>
        </w:trPr>
        <w:tc>
          <w:tcPr>
            <w:cnfStyle w:val="001000000000" w:firstRow="0" w:lastRow="0" w:firstColumn="1" w:lastColumn="0" w:oddVBand="0" w:evenVBand="0" w:oddHBand="0" w:evenHBand="0" w:firstRowFirstColumn="0" w:firstRowLastColumn="0" w:lastRowFirstColumn="0" w:lastRowLastColumn="0"/>
            <w:tcW w:w="9874" w:type="dxa"/>
            <w:gridSpan w:val="2"/>
          </w:tcPr>
          <w:p w:rsidR="002331D8" w:rsidRDefault="002331D8" w:rsidP="00554116">
            <w:pPr>
              <w:pStyle w:val="BodyText"/>
              <w:spacing w:line="360" w:lineRule="auto"/>
              <w:jc w:val="both"/>
              <w:rPr>
                <w:rFonts w:ascii="Times New Roman" w:hAnsi="Times New Roman" w:cs="Times New Roman"/>
                <w:lang w:val="en-US"/>
              </w:rPr>
            </w:pPr>
            <w:r>
              <w:rPr>
                <w:rFonts w:ascii="Times New Roman" w:hAnsi="Times New Roman" w:cs="Times New Roman"/>
                <w:lang w:val="en-US"/>
              </w:rPr>
              <w:t>* - statistically significant at 10 percent level</w:t>
            </w:r>
          </w:p>
        </w:tc>
      </w:tr>
    </w:tbl>
    <w:p w:rsidR="00CA1435" w:rsidRDefault="00E5119C" w:rsidP="008E1892">
      <w:pPr>
        <w:pStyle w:val="BodyText"/>
        <w:spacing w:line="360" w:lineRule="auto"/>
        <w:ind w:firstLine="720"/>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It seems that the stock price have negatively reacted to the </w:t>
      </w:r>
      <w:r w:rsidR="00912980">
        <w:rPr>
          <w:rFonts w:ascii="Times New Roman" w:eastAsiaTheme="minorEastAsia" w:hAnsi="Times New Roman" w:cs="Times New Roman"/>
          <w:sz w:val="24"/>
          <w:szCs w:val="24"/>
          <w:lang w:val="en-US"/>
        </w:rPr>
        <w:t xml:space="preserve">information about news of imposition or prolongation of sanctions against the Russian Federation. </w:t>
      </w:r>
      <w:r w:rsidR="00553EB4">
        <w:rPr>
          <w:rFonts w:ascii="Times New Roman" w:eastAsiaTheme="minorEastAsia" w:hAnsi="Times New Roman" w:cs="Times New Roman"/>
          <w:sz w:val="24"/>
          <w:szCs w:val="24"/>
          <w:lang w:val="en-US"/>
        </w:rPr>
        <w:t>N</w:t>
      </w:r>
      <w:r w:rsidR="00955023">
        <w:rPr>
          <w:rFonts w:ascii="Times New Roman" w:eastAsiaTheme="minorEastAsia" w:hAnsi="Times New Roman" w:cs="Times New Roman"/>
          <w:sz w:val="24"/>
          <w:szCs w:val="24"/>
          <w:lang w:val="en-US"/>
        </w:rPr>
        <w:t xml:space="preserve">evertheless, the stock price has demonstrated positive cumulative growth over the period of sanctions. </w:t>
      </w:r>
      <w:r w:rsidR="00553EB4">
        <w:rPr>
          <w:rFonts w:ascii="Times New Roman" w:eastAsiaTheme="minorEastAsia" w:hAnsi="Times New Roman" w:cs="Times New Roman"/>
          <w:sz w:val="24"/>
          <w:szCs w:val="24"/>
          <w:lang w:val="en-US"/>
        </w:rPr>
        <w:t>Overall the MICEX 10 Index has demonstrated the biggest drop during the first round of sanctions in Marc</w:t>
      </w:r>
      <w:r w:rsidR="00D55224">
        <w:rPr>
          <w:rFonts w:ascii="Times New Roman" w:eastAsiaTheme="minorEastAsia" w:hAnsi="Times New Roman" w:cs="Times New Roman"/>
          <w:sz w:val="24"/>
          <w:szCs w:val="24"/>
          <w:lang w:val="en-US"/>
        </w:rPr>
        <w:t>h 2014 and during the April 2018</w:t>
      </w:r>
      <w:r w:rsidR="00553EB4">
        <w:rPr>
          <w:rFonts w:ascii="Times New Roman" w:eastAsiaTheme="minorEastAsia" w:hAnsi="Times New Roman" w:cs="Times New Roman"/>
          <w:sz w:val="24"/>
          <w:szCs w:val="24"/>
          <w:lang w:val="en-US"/>
        </w:rPr>
        <w:t xml:space="preserve">. </w:t>
      </w:r>
      <w:r w:rsidR="00AB34A4">
        <w:rPr>
          <w:rFonts w:ascii="Times New Roman" w:eastAsiaTheme="minorEastAsia" w:hAnsi="Times New Roman" w:cs="Times New Roman"/>
          <w:sz w:val="24"/>
          <w:szCs w:val="24"/>
          <w:lang w:val="en-US"/>
        </w:rPr>
        <w:t xml:space="preserve">The graph below demonstrated the index performance around the event days. </w:t>
      </w:r>
    </w:p>
    <w:p w:rsidR="009145B5" w:rsidRDefault="00D511DC" w:rsidP="009145B5">
      <w:pPr>
        <w:pStyle w:val="BodyText"/>
        <w:keepNext/>
        <w:spacing w:line="360" w:lineRule="auto"/>
        <w:jc w:val="both"/>
      </w:pPr>
      <w:r>
        <w:rPr>
          <w:noProof/>
          <w:lang w:val="en-US"/>
        </w:rPr>
        <w:lastRenderedPageBreak/>
        <w:drawing>
          <wp:inline distT="0" distB="0" distL="0" distR="0" wp14:anchorId="3F935B28" wp14:editId="5857C880">
            <wp:extent cx="6317673" cy="2743200"/>
            <wp:effectExtent l="0" t="0" r="698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511DC" w:rsidRPr="009145B5" w:rsidRDefault="009145B5" w:rsidP="009145B5">
      <w:pPr>
        <w:pStyle w:val="Caption"/>
        <w:jc w:val="both"/>
        <w:rPr>
          <w:rFonts w:ascii="Times New Roman" w:eastAsiaTheme="minorEastAsia" w:hAnsi="Times New Roman" w:cs="Times New Roman"/>
          <w:color w:val="auto"/>
          <w:sz w:val="20"/>
          <w:szCs w:val="20"/>
          <w:lang w:val="en-US"/>
        </w:rPr>
      </w:pPr>
      <w:bookmarkStart w:id="19" w:name="_Toc15252161"/>
      <w:r w:rsidRPr="009145B5">
        <w:rPr>
          <w:rFonts w:ascii="Times New Roman" w:hAnsi="Times New Roman" w:cs="Times New Roman"/>
          <w:color w:val="auto"/>
          <w:sz w:val="20"/>
          <w:szCs w:val="20"/>
        </w:rPr>
        <w:t xml:space="preserve">Figure </w:t>
      </w:r>
      <w:r w:rsidRPr="009145B5">
        <w:rPr>
          <w:rFonts w:ascii="Times New Roman" w:hAnsi="Times New Roman" w:cs="Times New Roman"/>
          <w:color w:val="auto"/>
          <w:sz w:val="20"/>
          <w:szCs w:val="20"/>
        </w:rPr>
        <w:fldChar w:fldCharType="begin"/>
      </w:r>
      <w:r w:rsidRPr="009145B5">
        <w:rPr>
          <w:rFonts w:ascii="Times New Roman" w:hAnsi="Times New Roman" w:cs="Times New Roman"/>
          <w:color w:val="auto"/>
          <w:sz w:val="20"/>
          <w:szCs w:val="20"/>
        </w:rPr>
        <w:instrText xml:space="preserve"> SEQ Figure \* ARABIC </w:instrText>
      </w:r>
      <w:r w:rsidRPr="009145B5">
        <w:rPr>
          <w:rFonts w:ascii="Times New Roman" w:hAnsi="Times New Roman" w:cs="Times New Roman"/>
          <w:color w:val="auto"/>
          <w:sz w:val="20"/>
          <w:szCs w:val="20"/>
        </w:rPr>
        <w:fldChar w:fldCharType="separate"/>
      </w:r>
      <w:r w:rsidR="00B35641">
        <w:rPr>
          <w:rFonts w:ascii="Times New Roman" w:hAnsi="Times New Roman" w:cs="Times New Roman"/>
          <w:noProof/>
          <w:color w:val="auto"/>
          <w:sz w:val="20"/>
          <w:szCs w:val="20"/>
        </w:rPr>
        <w:t>6</w:t>
      </w:r>
      <w:r w:rsidRPr="009145B5">
        <w:rPr>
          <w:rFonts w:ascii="Times New Roman" w:hAnsi="Times New Roman" w:cs="Times New Roman"/>
          <w:color w:val="auto"/>
          <w:sz w:val="20"/>
          <w:szCs w:val="20"/>
        </w:rPr>
        <w:fldChar w:fldCharType="end"/>
      </w:r>
      <w:r w:rsidRPr="009145B5">
        <w:rPr>
          <w:rFonts w:ascii="Times New Roman" w:hAnsi="Times New Roman" w:cs="Times New Roman"/>
          <w:color w:val="auto"/>
          <w:sz w:val="20"/>
          <w:szCs w:val="20"/>
        </w:rPr>
        <w:t>. MICEX 10 reaction to sanctions</w:t>
      </w:r>
      <w:bookmarkEnd w:id="19"/>
    </w:p>
    <w:p w:rsidR="00EF402A" w:rsidRDefault="00D511DC" w:rsidP="008E1892">
      <w:pPr>
        <w:pStyle w:val="BodyText"/>
        <w:spacing w:line="360" w:lineRule="auto"/>
        <w:ind w:firstLine="720"/>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The first round of sanctions against the Russia has resulted in almost 10 percent drop in the value of index. Even though in the subsequent day the value increased by 5 percent, further decline in value of index continued. </w:t>
      </w:r>
    </w:p>
    <w:p w:rsidR="00EA3DFC" w:rsidRDefault="00475DB4" w:rsidP="00EA3DFC">
      <w:pPr>
        <w:pStyle w:val="BodyText"/>
        <w:keepNext/>
        <w:spacing w:line="360" w:lineRule="auto"/>
        <w:jc w:val="both"/>
      </w:pPr>
      <w:r>
        <w:rPr>
          <w:noProof/>
          <w:lang w:val="en-US"/>
        </w:rPr>
        <w:drawing>
          <wp:inline distT="0" distB="0" distL="0" distR="0" wp14:anchorId="7365A016" wp14:editId="5AF3A5C6">
            <wp:extent cx="6106602" cy="2353586"/>
            <wp:effectExtent l="0" t="0" r="8890" b="889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75DB4" w:rsidRPr="00EA3DFC" w:rsidRDefault="00EA3DFC" w:rsidP="00EA3DFC">
      <w:pPr>
        <w:pStyle w:val="Caption"/>
        <w:jc w:val="both"/>
        <w:rPr>
          <w:rFonts w:ascii="Times New Roman" w:eastAsiaTheme="minorEastAsia" w:hAnsi="Times New Roman" w:cs="Times New Roman"/>
          <w:sz w:val="20"/>
          <w:szCs w:val="20"/>
          <w:lang w:val="en-US"/>
        </w:rPr>
      </w:pPr>
      <w:bookmarkStart w:id="20" w:name="_Toc15252162"/>
      <w:r w:rsidRPr="00EA3DFC">
        <w:rPr>
          <w:rFonts w:ascii="Times New Roman" w:hAnsi="Times New Roman" w:cs="Times New Roman"/>
          <w:color w:val="auto"/>
          <w:sz w:val="20"/>
          <w:szCs w:val="20"/>
        </w:rPr>
        <w:t xml:space="preserve">Figure </w:t>
      </w:r>
      <w:r w:rsidRPr="00EA3DFC">
        <w:rPr>
          <w:rFonts w:ascii="Times New Roman" w:hAnsi="Times New Roman" w:cs="Times New Roman"/>
          <w:color w:val="auto"/>
          <w:sz w:val="20"/>
          <w:szCs w:val="20"/>
        </w:rPr>
        <w:fldChar w:fldCharType="begin"/>
      </w:r>
      <w:r w:rsidRPr="00EA3DFC">
        <w:rPr>
          <w:rFonts w:ascii="Times New Roman" w:hAnsi="Times New Roman" w:cs="Times New Roman"/>
          <w:color w:val="auto"/>
          <w:sz w:val="20"/>
          <w:szCs w:val="20"/>
        </w:rPr>
        <w:instrText xml:space="preserve"> SEQ Figure \* ARABIC </w:instrText>
      </w:r>
      <w:r w:rsidRPr="00EA3DFC">
        <w:rPr>
          <w:rFonts w:ascii="Times New Roman" w:hAnsi="Times New Roman" w:cs="Times New Roman"/>
          <w:color w:val="auto"/>
          <w:sz w:val="20"/>
          <w:szCs w:val="20"/>
        </w:rPr>
        <w:fldChar w:fldCharType="separate"/>
      </w:r>
      <w:r w:rsidR="00B35641">
        <w:rPr>
          <w:rFonts w:ascii="Times New Roman" w:hAnsi="Times New Roman" w:cs="Times New Roman"/>
          <w:noProof/>
          <w:color w:val="auto"/>
          <w:sz w:val="20"/>
          <w:szCs w:val="20"/>
        </w:rPr>
        <w:t>7</w:t>
      </w:r>
      <w:r w:rsidRPr="00EA3DFC">
        <w:rPr>
          <w:rFonts w:ascii="Times New Roman" w:hAnsi="Times New Roman" w:cs="Times New Roman"/>
          <w:color w:val="auto"/>
          <w:sz w:val="20"/>
          <w:szCs w:val="20"/>
        </w:rPr>
        <w:fldChar w:fldCharType="end"/>
      </w:r>
      <w:r w:rsidRPr="00EA3DFC">
        <w:rPr>
          <w:rFonts w:ascii="Times New Roman" w:hAnsi="Times New Roman" w:cs="Times New Roman"/>
          <w:color w:val="auto"/>
          <w:sz w:val="20"/>
          <w:szCs w:val="20"/>
        </w:rPr>
        <w:t>. MICEX 10 reaction to Visa ban and asset freezes</w:t>
      </w:r>
      <w:bookmarkEnd w:id="20"/>
    </w:p>
    <w:p w:rsidR="00D55224" w:rsidRDefault="00475DB4" w:rsidP="008E1892">
      <w:pPr>
        <w:pStyle w:val="BodyText"/>
        <w:spacing w:line="360" w:lineRule="auto"/>
        <w:ind w:firstLine="720"/>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On April 6, 2018 the US government has announced that it bans </w:t>
      </w:r>
      <w:r w:rsidR="00327D88">
        <w:rPr>
          <w:rFonts w:ascii="Times New Roman" w:eastAsiaTheme="minorEastAsia" w:hAnsi="Times New Roman" w:cs="Times New Roman"/>
          <w:sz w:val="24"/>
          <w:szCs w:val="24"/>
          <w:lang w:val="en-US"/>
        </w:rPr>
        <w:t xml:space="preserve">visa for </w:t>
      </w:r>
      <w:r>
        <w:rPr>
          <w:rFonts w:ascii="Times New Roman" w:eastAsiaTheme="minorEastAsia" w:hAnsi="Times New Roman" w:cs="Times New Roman"/>
          <w:sz w:val="24"/>
          <w:szCs w:val="24"/>
          <w:lang w:val="en-US"/>
        </w:rPr>
        <w:t xml:space="preserve">38 Russian </w:t>
      </w:r>
      <w:r w:rsidR="00EC0B46">
        <w:rPr>
          <w:rFonts w:ascii="Times New Roman" w:eastAsiaTheme="minorEastAsia" w:hAnsi="Times New Roman" w:cs="Times New Roman"/>
          <w:sz w:val="24"/>
          <w:szCs w:val="24"/>
          <w:lang w:val="en-US"/>
        </w:rPr>
        <w:t>businessmen and</w:t>
      </w:r>
      <w:r w:rsidR="00327D88">
        <w:rPr>
          <w:rFonts w:ascii="Times New Roman" w:eastAsiaTheme="minorEastAsia" w:hAnsi="Times New Roman" w:cs="Times New Roman"/>
          <w:sz w:val="24"/>
          <w:szCs w:val="24"/>
          <w:lang w:val="en-US"/>
        </w:rPr>
        <w:t xml:space="preserve"> also freezes the assets of those businessmen. The </w:t>
      </w:r>
      <w:r w:rsidR="00B55052">
        <w:rPr>
          <w:rFonts w:ascii="Times New Roman" w:eastAsiaTheme="minorEastAsia" w:hAnsi="Times New Roman" w:cs="Times New Roman"/>
          <w:sz w:val="24"/>
          <w:szCs w:val="24"/>
          <w:lang w:val="en-US"/>
        </w:rPr>
        <w:t xml:space="preserve">firms in </w:t>
      </w:r>
      <w:r w:rsidR="00327D88">
        <w:rPr>
          <w:rFonts w:ascii="Times New Roman" w:eastAsiaTheme="minorEastAsia" w:hAnsi="Times New Roman" w:cs="Times New Roman"/>
          <w:sz w:val="24"/>
          <w:szCs w:val="24"/>
          <w:lang w:val="en-US"/>
        </w:rPr>
        <w:t xml:space="preserve">MICEX 10 index has reacted to this news on Monday, April 9, 2018 since by the time of news announcement the market was already closed. </w:t>
      </w:r>
      <w:r w:rsidR="00DA6BA3">
        <w:rPr>
          <w:rFonts w:ascii="Times New Roman" w:eastAsiaTheme="minorEastAsia" w:hAnsi="Times New Roman" w:cs="Times New Roman"/>
          <w:sz w:val="24"/>
          <w:szCs w:val="24"/>
          <w:lang w:val="en-US"/>
        </w:rPr>
        <w:t xml:space="preserve">To verify the validity of regression coefficients I further assess whether the model specification errors persist. Considering the fact that independent variables included the lagged value of dependent variable, serial correlation of errors was a potential threat. However, based on the obtained Durbin-Watson test </w:t>
      </w:r>
      <w:r w:rsidR="00DA6BA3">
        <w:rPr>
          <w:rFonts w:ascii="Times New Roman" w:eastAsiaTheme="minorEastAsia" w:hAnsi="Times New Roman" w:cs="Times New Roman"/>
          <w:sz w:val="24"/>
          <w:szCs w:val="24"/>
          <w:lang w:val="en-US"/>
        </w:rPr>
        <w:lastRenderedPageBreak/>
        <w:t xml:space="preserve">result, it seems that serial correlation is not present in the model. Furthermore, the correlation table showed strong correlation between oil price and exchange rate, which may lead to multicollinearity issue in the model. </w:t>
      </w:r>
      <w:r w:rsidR="00403F1B">
        <w:rPr>
          <w:rFonts w:ascii="Times New Roman" w:eastAsiaTheme="minorEastAsia" w:hAnsi="Times New Roman" w:cs="Times New Roman"/>
          <w:sz w:val="24"/>
          <w:szCs w:val="24"/>
          <w:lang w:val="en-US"/>
        </w:rPr>
        <w:t xml:space="preserve">To adjust for this I re-run the same regression but omit the oil price variable. </w:t>
      </w:r>
      <w:r w:rsidR="00FE08F8">
        <w:rPr>
          <w:rFonts w:ascii="Times New Roman" w:eastAsiaTheme="minorEastAsia" w:hAnsi="Times New Roman" w:cs="Times New Roman"/>
          <w:sz w:val="24"/>
          <w:szCs w:val="24"/>
          <w:lang w:val="en-US"/>
        </w:rPr>
        <w:t xml:space="preserve">The table below presents the results of new regression model. </w:t>
      </w:r>
    </w:p>
    <w:p w:rsidR="00EA3DFC" w:rsidRPr="00EA3DFC" w:rsidRDefault="00EA3DFC" w:rsidP="00EA3DFC">
      <w:pPr>
        <w:pStyle w:val="Caption"/>
        <w:keepNext/>
        <w:rPr>
          <w:rFonts w:ascii="Times New Roman" w:hAnsi="Times New Roman" w:cs="Times New Roman"/>
          <w:color w:val="auto"/>
          <w:sz w:val="20"/>
          <w:szCs w:val="20"/>
        </w:rPr>
      </w:pPr>
      <w:bookmarkStart w:id="21" w:name="_Toc15484945"/>
      <w:r w:rsidRPr="00EA3DFC">
        <w:rPr>
          <w:rFonts w:ascii="Times New Roman" w:hAnsi="Times New Roman" w:cs="Times New Roman"/>
          <w:color w:val="auto"/>
          <w:sz w:val="20"/>
          <w:szCs w:val="20"/>
        </w:rPr>
        <w:t xml:space="preserve">Table </w:t>
      </w:r>
      <w:r w:rsidRPr="00EA3DFC">
        <w:rPr>
          <w:rFonts w:ascii="Times New Roman" w:hAnsi="Times New Roman" w:cs="Times New Roman"/>
          <w:color w:val="auto"/>
          <w:sz w:val="20"/>
          <w:szCs w:val="20"/>
        </w:rPr>
        <w:fldChar w:fldCharType="begin"/>
      </w:r>
      <w:r w:rsidRPr="00EA3DFC">
        <w:rPr>
          <w:rFonts w:ascii="Times New Roman" w:hAnsi="Times New Roman" w:cs="Times New Roman"/>
          <w:color w:val="auto"/>
          <w:sz w:val="20"/>
          <w:szCs w:val="20"/>
        </w:rPr>
        <w:instrText xml:space="preserve"> SEQ Table \* ARABIC </w:instrText>
      </w:r>
      <w:r w:rsidRPr="00EA3DFC">
        <w:rPr>
          <w:rFonts w:ascii="Times New Roman" w:hAnsi="Times New Roman" w:cs="Times New Roman"/>
          <w:color w:val="auto"/>
          <w:sz w:val="20"/>
          <w:szCs w:val="20"/>
        </w:rPr>
        <w:fldChar w:fldCharType="separate"/>
      </w:r>
      <w:r w:rsidR="00FA327E">
        <w:rPr>
          <w:rFonts w:ascii="Times New Roman" w:hAnsi="Times New Roman" w:cs="Times New Roman"/>
          <w:noProof/>
          <w:color w:val="auto"/>
          <w:sz w:val="20"/>
          <w:szCs w:val="20"/>
        </w:rPr>
        <w:t>7</w:t>
      </w:r>
      <w:r w:rsidRPr="00EA3DFC">
        <w:rPr>
          <w:rFonts w:ascii="Times New Roman" w:hAnsi="Times New Roman" w:cs="Times New Roman"/>
          <w:color w:val="auto"/>
          <w:sz w:val="20"/>
          <w:szCs w:val="20"/>
        </w:rPr>
        <w:fldChar w:fldCharType="end"/>
      </w:r>
      <w:r w:rsidRPr="00EA3DFC">
        <w:rPr>
          <w:rFonts w:ascii="Times New Roman" w:hAnsi="Times New Roman" w:cs="Times New Roman"/>
          <w:color w:val="auto"/>
          <w:sz w:val="20"/>
          <w:szCs w:val="20"/>
        </w:rPr>
        <w:t>. Regression Coefficients for revised model</w:t>
      </w:r>
      <w:bookmarkEnd w:id="21"/>
    </w:p>
    <w:tbl>
      <w:tblPr>
        <w:tblStyle w:val="GridTable1Light"/>
        <w:tblW w:w="9874" w:type="dxa"/>
        <w:tblLook w:val="04A0" w:firstRow="1" w:lastRow="0" w:firstColumn="1" w:lastColumn="0" w:noHBand="0" w:noVBand="1"/>
      </w:tblPr>
      <w:tblGrid>
        <w:gridCol w:w="4905"/>
        <w:gridCol w:w="4969"/>
      </w:tblGrid>
      <w:tr w:rsidR="00AC0B8C" w:rsidRPr="0005133B" w:rsidTr="003E4E19">
        <w:trPr>
          <w:cnfStyle w:val="100000000000" w:firstRow="1" w:lastRow="0" w:firstColumn="0" w:lastColumn="0" w:oddVBand="0" w:evenVBand="0" w:oddHBand="0"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4905" w:type="dxa"/>
          </w:tcPr>
          <w:p w:rsidR="00AC0B8C" w:rsidRPr="0005133B" w:rsidRDefault="004E5388" w:rsidP="003E4E19">
            <w:pPr>
              <w:pStyle w:val="BodyText"/>
              <w:spacing w:line="360" w:lineRule="auto"/>
              <w:jc w:val="both"/>
              <w:rPr>
                <w:rFonts w:ascii="Times New Roman" w:hAnsi="Times New Roman" w:cs="Times New Roman"/>
                <w:b w:val="0"/>
                <w:lang w:val="en-US"/>
              </w:rPr>
            </w:pPr>
            <w:r>
              <w:rPr>
                <w:rFonts w:ascii="Times New Roman" w:hAnsi="Times New Roman" w:cs="Times New Roman"/>
                <w:b w:val="0"/>
                <w:lang w:val="en-US"/>
              </w:rPr>
              <w:t xml:space="preserve">Explanatory </w:t>
            </w:r>
            <w:r w:rsidR="00AC0B8C" w:rsidRPr="0005133B">
              <w:rPr>
                <w:rFonts w:ascii="Times New Roman" w:hAnsi="Times New Roman" w:cs="Times New Roman"/>
                <w:b w:val="0"/>
                <w:lang w:val="en-US"/>
              </w:rPr>
              <w:t>Variable</w:t>
            </w:r>
          </w:p>
        </w:tc>
        <w:tc>
          <w:tcPr>
            <w:tcW w:w="4969" w:type="dxa"/>
          </w:tcPr>
          <w:p w:rsidR="00AC0B8C" w:rsidRPr="0005133B" w:rsidRDefault="00AC0B8C" w:rsidP="003E4E19">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US"/>
              </w:rPr>
            </w:pPr>
            <w:r w:rsidRPr="0005133B">
              <w:rPr>
                <w:rFonts w:ascii="Times New Roman" w:hAnsi="Times New Roman" w:cs="Times New Roman"/>
                <w:b w:val="0"/>
                <w:lang w:val="en-US"/>
              </w:rPr>
              <w:t xml:space="preserve">Statistical coefficients </w:t>
            </w:r>
          </w:p>
        </w:tc>
      </w:tr>
      <w:tr w:rsidR="00AC0B8C" w:rsidRPr="0005133B" w:rsidTr="00AC0B8C">
        <w:trPr>
          <w:trHeight w:val="630"/>
        </w:trPr>
        <w:tc>
          <w:tcPr>
            <w:cnfStyle w:val="001000000000" w:firstRow="0" w:lastRow="0" w:firstColumn="1" w:lastColumn="0" w:oddVBand="0" w:evenVBand="0" w:oddHBand="0" w:evenHBand="0" w:firstRowFirstColumn="0" w:firstRowLastColumn="0" w:lastRowFirstColumn="0" w:lastRowLastColumn="0"/>
            <w:tcW w:w="4905" w:type="dxa"/>
          </w:tcPr>
          <w:p w:rsidR="00AC0B8C" w:rsidRPr="0005133B" w:rsidRDefault="00AC0B8C" w:rsidP="003E4E19">
            <w:pPr>
              <w:pStyle w:val="BodyText"/>
              <w:rPr>
                <w:rFonts w:ascii="Times New Roman" w:hAnsi="Times New Roman" w:cs="Times New Roman"/>
                <w:lang w:val="en-US"/>
              </w:rPr>
            </w:pPr>
            <w:r>
              <w:rPr>
                <w:rFonts w:ascii="Times New Roman" w:hAnsi="Times New Roman" w:cs="Times New Roman"/>
                <w:lang w:val="en-US"/>
              </w:rPr>
              <w:t>Intercept</w:t>
            </w:r>
          </w:p>
        </w:tc>
        <w:tc>
          <w:tcPr>
            <w:tcW w:w="4969" w:type="dxa"/>
          </w:tcPr>
          <w:p w:rsidR="00AC0B8C" w:rsidRDefault="00AC0B8C" w:rsidP="003E4E1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1,8686</w:t>
            </w:r>
          </w:p>
          <w:p w:rsidR="00AC0B8C" w:rsidRPr="0005133B" w:rsidRDefault="00AC0B8C" w:rsidP="00AC0B8C">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(-0,3243)</w:t>
            </w:r>
          </w:p>
        </w:tc>
      </w:tr>
      <w:tr w:rsidR="00AC0B8C" w:rsidRPr="0005133B" w:rsidTr="00AC0B8C">
        <w:trPr>
          <w:trHeight w:val="618"/>
        </w:trPr>
        <w:tc>
          <w:tcPr>
            <w:cnfStyle w:val="001000000000" w:firstRow="0" w:lastRow="0" w:firstColumn="1" w:lastColumn="0" w:oddVBand="0" w:evenVBand="0" w:oddHBand="0" w:evenHBand="0" w:firstRowFirstColumn="0" w:firstRowLastColumn="0" w:lastRowFirstColumn="0" w:lastRowLastColumn="0"/>
            <w:tcW w:w="4905" w:type="dxa"/>
          </w:tcPr>
          <w:p w:rsidR="00AC0B8C" w:rsidRPr="0005133B" w:rsidRDefault="00AC0B8C" w:rsidP="003E4E19">
            <w:pPr>
              <w:pStyle w:val="BodyText"/>
              <w:rPr>
                <w:rFonts w:ascii="Times New Roman" w:hAnsi="Times New Roman" w:cs="Times New Roman"/>
                <w:lang w:val="en-US"/>
              </w:rPr>
            </w:pPr>
            <w:r>
              <w:rPr>
                <w:rFonts w:ascii="Times New Roman" w:hAnsi="Times New Roman" w:cs="Times New Roman"/>
                <w:lang w:val="en-US"/>
              </w:rPr>
              <w:t>Stock Price (t-1)</w:t>
            </w:r>
          </w:p>
        </w:tc>
        <w:tc>
          <w:tcPr>
            <w:tcW w:w="4969" w:type="dxa"/>
          </w:tcPr>
          <w:p w:rsidR="00AC0B8C" w:rsidRDefault="00AC0B8C" w:rsidP="003E4E1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0,9996***</w:t>
            </w:r>
          </w:p>
          <w:p w:rsidR="00AC0B8C" w:rsidRPr="0005133B" w:rsidRDefault="00AC0B8C" w:rsidP="00AC0B8C">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(5.130,14)</w:t>
            </w:r>
          </w:p>
        </w:tc>
      </w:tr>
      <w:tr w:rsidR="00AC0B8C" w:rsidRPr="0005133B" w:rsidTr="00AC0B8C">
        <w:trPr>
          <w:trHeight w:val="642"/>
        </w:trPr>
        <w:tc>
          <w:tcPr>
            <w:cnfStyle w:val="001000000000" w:firstRow="0" w:lastRow="0" w:firstColumn="1" w:lastColumn="0" w:oddVBand="0" w:evenVBand="0" w:oddHBand="0" w:evenHBand="0" w:firstRowFirstColumn="0" w:firstRowLastColumn="0" w:lastRowFirstColumn="0" w:lastRowLastColumn="0"/>
            <w:tcW w:w="4905" w:type="dxa"/>
          </w:tcPr>
          <w:p w:rsidR="00AC0B8C" w:rsidRPr="0005133B" w:rsidRDefault="00AC0B8C" w:rsidP="003E4E19">
            <w:pPr>
              <w:pStyle w:val="BodyText"/>
              <w:rPr>
                <w:rFonts w:ascii="Times New Roman" w:hAnsi="Times New Roman" w:cs="Times New Roman"/>
                <w:lang w:val="en-US"/>
              </w:rPr>
            </w:pPr>
            <w:r>
              <w:rPr>
                <w:rFonts w:ascii="Times New Roman" w:hAnsi="Times New Roman" w:cs="Times New Roman"/>
                <w:lang w:val="en-US"/>
              </w:rPr>
              <w:t>Oil and Gas Dummy</w:t>
            </w:r>
          </w:p>
        </w:tc>
        <w:tc>
          <w:tcPr>
            <w:tcW w:w="4969" w:type="dxa"/>
          </w:tcPr>
          <w:p w:rsidR="00AC0B8C" w:rsidRDefault="00AC0B8C" w:rsidP="003E4E1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1,3250</w:t>
            </w:r>
          </w:p>
          <w:p w:rsidR="00AC0B8C" w:rsidRPr="0005133B" w:rsidRDefault="00AC0B8C" w:rsidP="00AC0B8C">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(1,1199)</w:t>
            </w:r>
          </w:p>
        </w:tc>
      </w:tr>
      <w:tr w:rsidR="00AC0B8C" w:rsidRPr="0005133B" w:rsidTr="00AC0B8C">
        <w:trPr>
          <w:trHeight w:val="639"/>
        </w:trPr>
        <w:tc>
          <w:tcPr>
            <w:cnfStyle w:val="001000000000" w:firstRow="0" w:lastRow="0" w:firstColumn="1" w:lastColumn="0" w:oddVBand="0" w:evenVBand="0" w:oddHBand="0" w:evenHBand="0" w:firstRowFirstColumn="0" w:firstRowLastColumn="0" w:lastRowFirstColumn="0" w:lastRowLastColumn="0"/>
            <w:tcW w:w="4905" w:type="dxa"/>
          </w:tcPr>
          <w:p w:rsidR="00AC0B8C" w:rsidRPr="0005133B" w:rsidRDefault="00AC0B8C" w:rsidP="003E4E19">
            <w:pPr>
              <w:pStyle w:val="BodyText"/>
              <w:rPr>
                <w:rFonts w:ascii="Times New Roman" w:hAnsi="Times New Roman" w:cs="Times New Roman"/>
                <w:lang w:val="en-US"/>
              </w:rPr>
            </w:pPr>
            <w:r>
              <w:rPr>
                <w:rFonts w:ascii="Times New Roman" w:hAnsi="Times New Roman" w:cs="Times New Roman"/>
                <w:lang w:val="en-US"/>
              </w:rPr>
              <w:t xml:space="preserve">Event Dummy </w:t>
            </w:r>
          </w:p>
        </w:tc>
        <w:tc>
          <w:tcPr>
            <w:tcW w:w="4969" w:type="dxa"/>
          </w:tcPr>
          <w:p w:rsidR="00AC0B8C" w:rsidRDefault="00AC0B8C" w:rsidP="003E4E1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-6,3985</w:t>
            </w:r>
          </w:p>
          <w:p w:rsidR="00AC0B8C" w:rsidRPr="0005133B" w:rsidRDefault="00AC0B8C" w:rsidP="00AC0B8C">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(-2,3611)**</w:t>
            </w:r>
          </w:p>
        </w:tc>
      </w:tr>
      <w:tr w:rsidR="00AC0B8C" w:rsidRPr="0005133B" w:rsidTr="003E4E19">
        <w:trPr>
          <w:trHeight w:val="777"/>
        </w:trPr>
        <w:tc>
          <w:tcPr>
            <w:cnfStyle w:val="001000000000" w:firstRow="0" w:lastRow="0" w:firstColumn="1" w:lastColumn="0" w:oddVBand="0" w:evenVBand="0" w:oddHBand="0" w:evenHBand="0" w:firstRowFirstColumn="0" w:firstRowLastColumn="0" w:lastRowFirstColumn="0" w:lastRowLastColumn="0"/>
            <w:tcW w:w="4905" w:type="dxa"/>
          </w:tcPr>
          <w:p w:rsidR="00AC0B8C" w:rsidRPr="0005133B" w:rsidRDefault="00AC0B8C" w:rsidP="003E4E19">
            <w:pPr>
              <w:pStyle w:val="BodyText"/>
              <w:rPr>
                <w:rFonts w:ascii="Times New Roman" w:hAnsi="Times New Roman" w:cs="Times New Roman"/>
                <w:lang w:val="en-US"/>
              </w:rPr>
            </w:pPr>
            <w:r>
              <w:rPr>
                <w:rFonts w:ascii="Times New Roman" w:hAnsi="Times New Roman" w:cs="Times New Roman"/>
                <w:lang w:val="en-US"/>
              </w:rPr>
              <w:t>Exchange Rate</w:t>
            </w:r>
          </w:p>
        </w:tc>
        <w:tc>
          <w:tcPr>
            <w:tcW w:w="4969" w:type="dxa"/>
          </w:tcPr>
          <w:p w:rsidR="00AC0B8C" w:rsidRDefault="003207DD" w:rsidP="003E4E1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0,0292</w:t>
            </w:r>
          </w:p>
          <w:p w:rsidR="00AC0B8C" w:rsidRPr="0005133B" w:rsidRDefault="00AC0B8C" w:rsidP="003207DD">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w:t>
            </w:r>
            <w:r w:rsidR="003207DD">
              <w:rPr>
                <w:rFonts w:ascii="Times New Roman" w:hAnsi="Times New Roman" w:cs="Times New Roman"/>
                <w:lang w:val="en-US"/>
              </w:rPr>
              <w:t>0,3755)</w:t>
            </w:r>
          </w:p>
        </w:tc>
      </w:tr>
      <w:tr w:rsidR="00AC0B8C" w:rsidRPr="0005133B" w:rsidTr="00AC0B8C">
        <w:trPr>
          <w:trHeight w:val="574"/>
        </w:trPr>
        <w:tc>
          <w:tcPr>
            <w:cnfStyle w:val="001000000000" w:firstRow="0" w:lastRow="0" w:firstColumn="1" w:lastColumn="0" w:oddVBand="0" w:evenVBand="0" w:oddHBand="0" w:evenHBand="0" w:firstRowFirstColumn="0" w:firstRowLastColumn="0" w:lastRowFirstColumn="0" w:lastRowLastColumn="0"/>
            <w:tcW w:w="4905" w:type="dxa"/>
          </w:tcPr>
          <w:p w:rsidR="00AC0B8C" w:rsidRPr="0005133B" w:rsidRDefault="00AC0B8C" w:rsidP="003E4E19">
            <w:pPr>
              <w:pStyle w:val="BodyText"/>
              <w:rPr>
                <w:rFonts w:ascii="Times New Roman" w:hAnsi="Times New Roman" w:cs="Times New Roman"/>
                <w:lang w:val="en-US"/>
              </w:rPr>
            </w:pPr>
            <w:r>
              <w:rPr>
                <w:rFonts w:ascii="Times New Roman" w:hAnsi="Times New Roman" w:cs="Times New Roman"/>
                <w:lang w:val="en-US"/>
              </w:rPr>
              <w:t>T-Bills</w:t>
            </w:r>
          </w:p>
        </w:tc>
        <w:tc>
          <w:tcPr>
            <w:tcW w:w="4969" w:type="dxa"/>
          </w:tcPr>
          <w:p w:rsidR="00AC0B8C" w:rsidRDefault="003207DD" w:rsidP="003E4E1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-1,5065</w:t>
            </w:r>
          </w:p>
          <w:p w:rsidR="00AC0B8C" w:rsidRPr="0005133B" w:rsidRDefault="00AC0B8C" w:rsidP="003207DD">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w:t>
            </w:r>
            <w:r w:rsidR="003207DD">
              <w:rPr>
                <w:rFonts w:ascii="Times New Roman" w:hAnsi="Times New Roman" w:cs="Times New Roman"/>
                <w:lang w:val="en-US"/>
              </w:rPr>
              <w:t>0,8061)</w:t>
            </w:r>
          </w:p>
        </w:tc>
      </w:tr>
      <w:tr w:rsidR="00AC0B8C" w:rsidRPr="0005133B" w:rsidTr="003E4E19">
        <w:trPr>
          <w:trHeight w:val="777"/>
        </w:trPr>
        <w:tc>
          <w:tcPr>
            <w:cnfStyle w:val="001000000000" w:firstRow="0" w:lastRow="0" w:firstColumn="1" w:lastColumn="0" w:oddVBand="0" w:evenVBand="0" w:oddHBand="0" w:evenHBand="0" w:firstRowFirstColumn="0" w:firstRowLastColumn="0" w:lastRowFirstColumn="0" w:lastRowLastColumn="0"/>
            <w:tcW w:w="4905" w:type="dxa"/>
          </w:tcPr>
          <w:p w:rsidR="00AC0B8C" w:rsidRPr="0005133B" w:rsidRDefault="00AC0B8C" w:rsidP="003E4E19">
            <w:pPr>
              <w:pStyle w:val="BodyText"/>
              <w:rPr>
                <w:rFonts w:ascii="Times New Roman" w:hAnsi="Times New Roman" w:cs="Times New Roman"/>
                <w:lang w:val="en-US"/>
              </w:rPr>
            </w:pPr>
            <w:r>
              <w:rPr>
                <w:rFonts w:ascii="Times New Roman" w:hAnsi="Times New Roman" w:cs="Times New Roman"/>
                <w:lang w:val="en-US"/>
              </w:rPr>
              <w:t>Gold Reserves</w:t>
            </w:r>
          </w:p>
        </w:tc>
        <w:tc>
          <w:tcPr>
            <w:tcW w:w="4969" w:type="dxa"/>
          </w:tcPr>
          <w:p w:rsidR="00AC0B8C" w:rsidRDefault="003207DD" w:rsidP="003E4E1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0,0000</w:t>
            </w:r>
          </w:p>
          <w:p w:rsidR="00AC0B8C" w:rsidRPr="0005133B" w:rsidRDefault="00AC0B8C" w:rsidP="003207DD">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w:t>
            </w:r>
            <w:r w:rsidR="003207DD">
              <w:rPr>
                <w:rFonts w:ascii="Times New Roman" w:hAnsi="Times New Roman" w:cs="Times New Roman"/>
                <w:lang w:val="en-US"/>
              </w:rPr>
              <w:t>0,0696</w:t>
            </w:r>
            <w:r>
              <w:rPr>
                <w:rFonts w:ascii="Times New Roman" w:hAnsi="Times New Roman" w:cs="Times New Roman"/>
                <w:lang w:val="en-US"/>
              </w:rPr>
              <w:t>)</w:t>
            </w:r>
          </w:p>
        </w:tc>
      </w:tr>
      <w:tr w:rsidR="00AC0B8C" w:rsidRPr="0005133B" w:rsidTr="00AC0B8C">
        <w:trPr>
          <w:trHeight w:val="639"/>
        </w:trPr>
        <w:tc>
          <w:tcPr>
            <w:cnfStyle w:val="001000000000" w:firstRow="0" w:lastRow="0" w:firstColumn="1" w:lastColumn="0" w:oddVBand="0" w:evenVBand="0" w:oddHBand="0" w:evenHBand="0" w:firstRowFirstColumn="0" w:firstRowLastColumn="0" w:lastRowFirstColumn="0" w:lastRowLastColumn="0"/>
            <w:tcW w:w="4905" w:type="dxa"/>
          </w:tcPr>
          <w:p w:rsidR="00AC0B8C" w:rsidRPr="0005133B" w:rsidRDefault="00AC0B8C" w:rsidP="003E4E19">
            <w:pPr>
              <w:pStyle w:val="BodyText"/>
              <w:rPr>
                <w:rFonts w:ascii="Times New Roman" w:hAnsi="Times New Roman" w:cs="Times New Roman"/>
                <w:lang w:val="en-US"/>
              </w:rPr>
            </w:pPr>
            <w:r>
              <w:rPr>
                <w:rFonts w:ascii="Times New Roman" w:hAnsi="Times New Roman" w:cs="Times New Roman"/>
                <w:lang w:val="en-US"/>
              </w:rPr>
              <w:t>MIBOR</w:t>
            </w:r>
          </w:p>
        </w:tc>
        <w:tc>
          <w:tcPr>
            <w:tcW w:w="4969" w:type="dxa"/>
          </w:tcPr>
          <w:p w:rsidR="00AC0B8C" w:rsidRDefault="003207DD" w:rsidP="003E4E1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-0,2461</w:t>
            </w:r>
          </w:p>
          <w:p w:rsidR="00AC0B8C" w:rsidRPr="0005133B" w:rsidRDefault="00AC0B8C" w:rsidP="003207DD">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w:t>
            </w:r>
            <w:r w:rsidR="003207DD">
              <w:rPr>
                <w:rFonts w:ascii="Times New Roman" w:hAnsi="Times New Roman" w:cs="Times New Roman"/>
                <w:lang w:val="en-US"/>
              </w:rPr>
              <w:t>6375</w:t>
            </w:r>
            <w:r>
              <w:rPr>
                <w:rFonts w:ascii="Times New Roman" w:hAnsi="Times New Roman" w:cs="Times New Roman"/>
                <w:lang w:val="en-US"/>
              </w:rPr>
              <w:t>)</w:t>
            </w:r>
          </w:p>
        </w:tc>
      </w:tr>
      <w:tr w:rsidR="00AC0B8C" w:rsidRPr="0005133B" w:rsidTr="003E4E19">
        <w:trPr>
          <w:trHeight w:val="367"/>
        </w:trPr>
        <w:tc>
          <w:tcPr>
            <w:cnfStyle w:val="001000000000" w:firstRow="0" w:lastRow="0" w:firstColumn="1" w:lastColumn="0" w:oddVBand="0" w:evenVBand="0" w:oddHBand="0" w:evenHBand="0" w:firstRowFirstColumn="0" w:firstRowLastColumn="0" w:lastRowFirstColumn="0" w:lastRowLastColumn="0"/>
            <w:tcW w:w="4905" w:type="dxa"/>
          </w:tcPr>
          <w:p w:rsidR="00AC0B8C" w:rsidRDefault="00AC0B8C" w:rsidP="003E4E19">
            <w:pPr>
              <w:pStyle w:val="BodyText"/>
              <w:rPr>
                <w:rFonts w:ascii="Times New Roman" w:hAnsi="Times New Roman" w:cs="Times New Roman"/>
                <w:lang w:val="en-US"/>
              </w:rPr>
            </w:pPr>
            <w:r>
              <w:rPr>
                <w:rFonts w:ascii="Times New Roman" w:hAnsi="Times New Roman" w:cs="Times New Roman"/>
                <w:lang w:val="en-US"/>
              </w:rPr>
              <w:t>Adjusted R-square</w:t>
            </w:r>
          </w:p>
        </w:tc>
        <w:tc>
          <w:tcPr>
            <w:tcW w:w="4969" w:type="dxa"/>
          </w:tcPr>
          <w:p w:rsidR="00AC0B8C" w:rsidRDefault="00AC0B8C" w:rsidP="003E4E1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0,9995</w:t>
            </w:r>
          </w:p>
        </w:tc>
      </w:tr>
      <w:tr w:rsidR="00AC0B8C" w:rsidRPr="0005133B" w:rsidTr="003E4E19">
        <w:trPr>
          <w:trHeight w:val="389"/>
        </w:trPr>
        <w:tc>
          <w:tcPr>
            <w:cnfStyle w:val="001000000000" w:firstRow="0" w:lastRow="0" w:firstColumn="1" w:lastColumn="0" w:oddVBand="0" w:evenVBand="0" w:oddHBand="0" w:evenHBand="0" w:firstRowFirstColumn="0" w:firstRowLastColumn="0" w:lastRowFirstColumn="0" w:lastRowLastColumn="0"/>
            <w:tcW w:w="4905" w:type="dxa"/>
          </w:tcPr>
          <w:p w:rsidR="00AC0B8C" w:rsidRDefault="00AC0B8C" w:rsidP="003E4E19">
            <w:pPr>
              <w:pStyle w:val="BodyText"/>
              <w:rPr>
                <w:rFonts w:ascii="Times New Roman" w:hAnsi="Times New Roman" w:cs="Times New Roman"/>
                <w:lang w:val="en-US"/>
              </w:rPr>
            </w:pPr>
            <w:r>
              <w:rPr>
                <w:rFonts w:ascii="Times New Roman" w:hAnsi="Times New Roman" w:cs="Times New Roman"/>
                <w:lang w:val="en-US"/>
              </w:rPr>
              <w:t>F test</w:t>
            </w:r>
          </w:p>
        </w:tc>
        <w:tc>
          <w:tcPr>
            <w:tcW w:w="4969" w:type="dxa"/>
          </w:tcPr>
          <w:p w:rsidR="00AC0B8C" w:rsidRDefault="00AC0B8C" w:rsidP="003207DD">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w:t>
            </w:r>
            <w:r w:rsidR="003207DD">
              <w:rPr>
                <w:rFonts w:ascii="Times New Roman" w:hAnsi="Times New Roman" w:cs="Times New Roman"/>
                <w:lang w:val="en-US"/>
              </w:rPr>
              <w:t xml:space="preserve">775.873 </w:t>
            </w:r>
            <w:r>
              <w:rPr>
                <w:rFonts w:ascii="Times New Roman" w:hAnsi="Times New Roman" w:cs="Times New Roman"/>
                <w:lang w:val="en-US"/>
              </w:rPr>
              <w:t>*</w:t>
            </w:r>
            <w:r w:rsidR="003207DD">
              <w:rPr>
                <w:rFonts w:ascii="Times New Roman" w:hAnsi="Times New Roman" w:cs="Times New Roman"/>
                <w:lang w:val="en-US"/>
              </w:rPr>
              <w:t>**</w:t>
            </w:r>
          </w:p>
        </w:tc>
      </w:tr>
      <w:tr w:rsidR="00AC0B8C" w:rsidRPr="0005133B" w:rsidTr="003E4E19">
        <w:trPr>
          <w:trHeight w:val="389"/>
        </w:trPr>
        <w:tc>
          <w:tcPr>
            <w:cnfStyle w:val="001000000000" w:firstRow="0" w:lastRow="0" w:firstColumn="1" w:lastColumn="0" w:oddVBand="0" w:evenVBand="0" w:oddHBand="0" w:evenHBand="0" w:firstRowFirstColumn="0" w:firstRowLastColumn="0" w:lastRowFirstColumn="0" w:lastRowLastColumn="0"/>
            <w:tcW w:w="4905" w:type="dxa"/>
          </w:tcPr>
          <w:p w:rsidR="00AC0B8C" w:rsidRDefault="00AC0B8C" w:rsidP="003E4E19">
            <w:pPr>
              <w:pStyle w:val="BodyText"/>
              <w:rPr>
                <w:rFonts w:ascii="Times New Roman" w:hAnsi="Times New Roman" w:cs="Times New Roman"/>
                <w:lang w:val="en-US"/>
              </w:rPr>
            </w:pPr>
            <w:r>
              <w:rPr>
                <w:rFonts w:ascii="Times New Roman" w:hAnsi="Times New Roman" w:cs="Times New Roman"/>
                <w:lang w:val="en-US"/>
              </w:rPr>
              <w:t>DW test</w:t>
            </w:r>
          </w:p>
        </w:tc>
        <w:tc>
          <w:tcPr>
            <w:tcW w:w="4969" w:type="dxa"/>
          </w:tcPr>
          <w:p w:rsidR="00AC0B8C" w:rsidRDefault="008C6C96" w:rsidP="003E4E1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1,9400</w:t>
            </w:r>
          </w:p>
        </w:tc>
      </w:tr>
      <w:tr w:rsidR="00AC0B8C" w:rsidRPr="0005133B" w:rsidTr="003E4E19">
        <w:trPr>
          <w:trHeight w:val="367"/>
        </w:trPr>
        <w:tc>
          <w:tcPr>
            <w:cnfStyle w:val="001000000000" w:firstRow="0" w:lastRow="0" w:firstColumn="1" w:lastColumn="0" w:oddVBand="0" w:evenVBand="0" w:oddHBand="0" w:evenHBand="0" w:firstRowFirstColumn="0" w:firstRowLastColumn="0" w:lastRowFirstColumn="0" w:lastRowLastColumn="0"/>
            <w:tcW w:w="4905" w:type="dxa"/>
          </w:tcPr>
          <w:p w:rsidR="00AC0B8C" w:rsidRDefault="00AC0B8C" w:rsidP="003E4E19">
            <w:pPr>
              <w:pStyle w:val="BodyText"/>
              <w:rPr>
                <w:rFonts w:ascii="Times New Roman" w:hAnsi="Times New Roman" w:cs="Times New Roman"/>
                <w:lang w:val="en-US"/>
              </w:rPr>
            </w:pPr>
            <w:r>
              <w:rPr>
                <w:rFonts w:ascii="Times New Roman" w:hAnsi="Times New Roman" w:cs="Times New Roman"/>
                <w:lang w:val="en-US"/>
              </w:rPr>
              <w:t>Observations</w:t>
            </w:r>
          </w:p>
        </w:tc>
        <w:tc>
          <w:tcPr>
            <w:tcW w:w="4969" w:type="dxa"/>
          </w:tcPr>
          <w:p w:rsidR="00AC0B8C" w:rsidRDefault="00AC0B8C" w:rsidP="003E4E19">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12.351</w:t>
            </w:r>
          </w:p>
        </w:tc>
      </w:tr>
      <w:tr w:rsidR="00AC0B8C" w:rsidRPr="0005133B" w:rsidTr="003E4E19">
        <w:trPr>
          <w:trHeight w:val="367"/>
        </w:trPr>
        <w:tc>
          <w:tcPr>
            <w:cnfStyle w:val="001000000000" w:firstRow="0" w:lastRow="0" w:firstColumn="1" w:lastColumn="0" w:oddVBand="0" w:evenVBand="0" w:oddHBand="0" w:evenHBand="0" w:firstRowFirstColumn="0" w:firstRowLastColumn="0" w:lastRowFirstColumn="0" w:lastRowLastColumn="0"/>
            <w:tcW w:w="9874" w:type="dxa"/>
            <w:gridSpan w:val="2"/>
          </w:tcPr>
          <w:p w:rsidR="00AC0B8C" w:rsidRDefault="00AC0B8C" w:rsidP="003E4E19">
            <w:pPr>
              <w:pStyle w:val="BodyText"/>
              <w:spacing w:line="360" w:lineRule="auto"/>
              <w:jc w:val="both"/>
              <w:rPr>
                <w:rFonts w:ascii="Times New Roman" w:hAnsi="Times New Roman" w:cs="Times New Roman"/>
                <w:lang w:val="en-US"/>
              </w:rPr>
            </w:pPr>
            <w:r>
              <w:rPr>
                <w:rFonts w:ascii="Times New Roman" w:hAnsi="Times New Roman" w:cs="Times New Roman"/>
                <w:lang w:val="en-US"/>
              </w:rPr>
              <w:t>*** - statistically significant at 1 percent level</w:t>
            </w:r>
          </w:p>
        </w:tc>
      </w:tr>
      <w:tr w:rsidR="00AC0B8C" w:rsidRPr="0005133B" w:rsidTr="003E4E19">
        <w:trPr>
          <w:trHeight w:val="367"/>
        </w:trPr>
        <w:tc>
          <w:tcPr>
            <w:cnfStyle w:val="001000000000" w:firstRow="0" w:lastRow="0" w:firstColumn="1" w:lastColumn="0" w:oddVBand="0" w:evenVBand="0" w:oddHBand="0" w:evenHBand="0" w:firstRowFirstColumn="0" w:firstRowLastColumn="0" w:lastRowFirstColumn="0" w:lastRowLastColumn="0"/>
            <w:tcW w:w="9874" w:type="dxa"/>
            <w:gridSpan w:val="2"/>
          </w:tcPr>
          <w:p w:rsidR="00AC0B8C" w:rsidRDefault="00AC0B8C" w:rsidP="003E4E19">
            <w:pPr>
              <w:pStyle w:val="BodyText"/>
              <w:spacing w:line="360" w:lineRule="auto"/>
              <w:jc w:val="both"/>
              <w:rPr>
                <w:rFonts w:ascii="Times New Roman" w:hAnsi="Times New Roman" w:cs="Times New Roman"/>
                <w:lang w:val="en-US"/>
              </w:rPr>
            </w:pPr>
            <w:r>
              <w:rPr>
                <w:rFonts w:ascii="Times New Roman" w:hAnsi="Times New Roman" w:cs="Times New Roman"/>
                <w:lang w:val="en-US"/>
              </w:rPr>
              <w:t>** - statistically significant at 5 percent level</w:t>
            </w:r>
          </w:p>
        </w:tc>
      </w:tr>
      <w:tr w:rsidR="00AC0B8C" w:rsidRPr="0005133B" w:rsidTr="003E4E19">
        <w:trPr>
          <w:trHeight w:val="367"/>
        </w:trPr>
        <w:tc>
          <w:tcPr>
            <w:cnfStyle w:val="001000000000" w:firstRow="0" w:lastRow="0" w:firstColumn="1" w:lastColumn="0" w:oddVBand="0" w:evenVBand="0" w:oddHBand="0" w:evenHBand="0" w:firstRowFirstColumn="0" w:firstRowLastColumn="0" w:lastRowFirstColumn="0" w:lastRowLastColumn="0"/>
            <w:tcW w:w="9874" w:type="dxa"/>
            <w:gridSpan w:val="2"/>
          </w:tcPr>
          <w:p w:rsidR="00AC0B8C" w:rsidRDefault="00AC0B8C" w:rsidP="003E4E19">
            <w:pPr>
              <w:pStyle w:val="BodyText"/>
              <w:spacing w:line="360" w:lineRule="auto"/>
              <w:jc w:val="both"/>
              <w:rPr>
                <w:rFonts w:ascii="Times New Roman" w:hAnsi="Times New Roman" w:cs="Times New Roman"/>
                <w:lang w:val="en-US"/>
              </w:rPr>
            </w:pPr>
            <w:r>
              <w:rPr>
                <w:rFonts w:ascii="Times New Roman" w:hAnsi="Times New Roman" w:cs="Times New Roman"/>
                <w:lang w:val="en-US"/>
              </w:rPr>
              <w:t>* - statistically significant at 10 percent level</w:t>
            </w:r>
          </w:p>
        </w:tc>
      </w:tr>
    </w:tbl>
    <w:p w:rsidR="008965CD" w:rsidRDefault="0006516F" w:rsidP="008E1892">
      <w:pPr>
        <w:pStyle w:val="BodyText"/>
        <w:spacing w:line="360" w:lineRule="auto"/>
        <w:ind w:firstLine="567"/>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Based on the obtained new results, exchange rate variable became statistically not significant. No significant change was observed in other variables. Based on this, I conclude that multicollinearity is not present, and if </w:t>
      </w:r>
      <w:r w:rsidR="001D020C">
        <w:rPr>
          <w:rFonts w:ascii="Times New Roman" w:eastAsiaTheme="minorEastAsia" w:hAnsi="Times New Roman" w:cs="Times New Roman"/>
          <w:sz w:val="24"/>
          <w:szCs w:val="24"/>
          <w:lang w:val="en-US"/>
        </w:rPr>
        <w:t>present,</w:t>
      </w:r>
      <w:r>
        <w:rPr>
          <w:rFonts w:ascii="Times New Roman" w:eastAsiaTheme="minorEastAsia" w:hAnsi="Times New Roman" w:cs="Times New Roman"/>
          <w:sz w:val="24"/>
          <w:szCs w:val="24"/>
          <w:lang w:val="en-US"/>
        </w:rPr>
        <w:t xml:space="preserve"> its impact is not severe on the regression parameters. </w:t>
      </w:r>
    </w:p>
    <w:p w:rsidR="004729BE" w:rsidRDefault="004729BE" w:rsidP="008E1892">
      <w:pPr>
        <w:pStyle w:val="BodyText"/>
        <w:spacing w:line="360" w:lineRule="auto"/>
        <w:ind w:firstLine="567"/>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Additionally, I </w:t>
      </w:r>
      <w:r w:rsidR="00631560">
        <w:rPr>
          <w:rFonts w:ascii="Times New Roman" w:eastAsiaTheme="minorEastAsia" w:hAnsi="Times New Roman" w:cs="Times New Roman"/>
          <w:sz w:val="24"/>
          <w:szCs w:val="24"/>
          <w:lang w:val="en-US"/>
        </w:rPr>
        <w:t xml:space="preserve">assess the performance of stock prices of oil and gas and non-oil and gas companies separately. </w:t>
      </w:r>
      <w:r w:rsidR="004B34C1">
        <w:rPr>
          <w:rFonts w:ascii="Times New Roman" w:eastAsiaTheme="minorEastAsia" w:hAnsi="Times New Roman" w:cs="Times New Roman"/>
          <w:sz w:val="24"/>
          <w:szCs w:val="24"/>
          <w:lang w:val="en-US"/>
        </w:rPr>
        <w:t xml:space="preserve">Below is the table with regression coefficients for oil and gas companies. </w:t>
      </w:r>
    </w:p>
    <w:p w:rsidR="00C5647E" w:rsidRPr="00C5647E" w:rsidRDefault="00C5647E" w:rsidP="00C5647E">
      <w:pPr>
        <w:pStyle w:val="Caption"/>
        <w:keepNext/>
        <w:rPr>
          <w:rFonts w:ascii="Times New Roman" w:hAnsi="Times New Roman" w:cs="Times New Roman"/>
          <w:color w:val="auto"/>
          <w:sz w:val="20"/>
          <w:szCs w:val="20"/>
        </w:rPr>
      </w:pPr>
      <w:bookmarkStart w:id="22" w:name="_Toc15484946"/>
      <w:r w:rsidRPr="00C5647E">
        <w:rPr>
          <w:rFonts w:ascii="Times New Roman" w:hAnsi="Times New Roman" w:cs="Times New Roman"/>
          <w:color w:val="auto"/>
          <w:sz w:val="20"/>
          <w:szCs w:val="20"/>
        </w:rPr>
        <w:lastRenderedPageBreak/>
        <w:t xml:space="preserve">Table </w:t>
      </w:r>
      <w:r w:rsidRPr="00C5647E">
        <w:rPr>
          <w:rFonts w:ascii="Times New Roman" w:hAnsi="Times New Roman" w:cs="Times New Roman"/>
          <w:color w:val="auto"/>
          <w:sz w:val="20"/>
          <w:szCs w:val="20"/>
        </w:rPr>
        <w:fldChar w:fldCharType="begin"/>
      </w:r>
      <w:r w:rsidRPr="00C5647E">
        <w:rPr>
          <w:rFonts w:ascii="Times New Roman" w:hAnsi="Times New Roman" w:cs="Times New Roman"/>
          <w:color w:val="auto"/>
          <w:sz w:val="20"/>
          <w:szCs w:val="20"/>
        </w:rPr>
        <w:instrText xml:space="preserve"> SEQ Table \* ARABIC </w:instrText>
      </w:r>
      <w:r w:rsidRPr="00C5647E">
        <w:rPr>
          <w:rFonts w:ascii="Times New Roman" w:hAnsi="Times New Roman" w:cs="Times New Roman"/>
          <w:color w:val="auto"/>
          <w:sz w:val="20"/>
          <w:szCs w:val="20"/>
        </w:rPr>
        <w:fldChar w:fldCharType="separate"/>
      </w:r>
      <w:r w:rsidR="00FA327E">
        <w:rPr>
          <w:rFonts w:ascii="Times New Roman" w:hAnsi="Times New Roman" w:cs="Times New Roman"/>
          <w:noProof/>
          <w:color w:val="auto"/>
          <w:sz w:val="20"/>
          <w:szCs w:val="20"/>
        </w:rPr>
        <w:t>8</w:t>
      </w:r>
      <w:r w:rsidRPr="00C5647E">
        <w:rPr>
          <w:rFonts w:ascii="Times New Roman" w:hAnsi="Times New Roman" w:cs="Times New Roman"/>
          <w:color w:val="auto"/>
          <w:sz w:val="20"/>
          <w:szCs w:val="20"/>
        </w:rPr>
        <w:fldChar w:fldCharType="end"/>
      </w:r>
      <w:r w:rsidRPr="00C5647E">
        <w:rPr>
          <w:rFonts w:ascii="Times New Roman" w:hAnsi="Times New Roman" w:cs="Times New Roman"/>
          <w:color w:val="auto"/>
          <w:sz w:val="20"/>
          <w:szCs w:val="20"/>
        </w:rPr>
        <w:t>. Regression coefficients for Oil and Gas companies only</w:t>
      </w:r>
      <w:bookmarkEnd w:id="22"/>
    </w:p>
    <w:tbl>
      <w:tblPr>
        <w:tblStyle w:val="GridTable1Light"/>
        <w:tblW w:w="9874" w:type="dxa"/>
        <w:tblLook w:val="04A0" w:firstRow="1" w:lastRow="0" w:firstColumn="1" w:lastColumn="0" w:noHBand="0" w:noVBand="1"/>
      </w:tblPr>
      <w:tblGrid>
        <w:gridCol w:w="4905"/>
        <w:gridCol w:w="4969"/>
      </w:tblGrid>
      <w:tr w:rsidR="004729BE" w:rsidRPr="0005133B" w:rsidTr="004729BE">
        <w:trPr>
          <w:cnfStyle w:val="100000000000" w:firstRow="1" w:lastRow="0" w:firstColumn="0" w:lastColumn="0" w:oddVBand="0" w:evenVBand="0" w:oddHBand="0"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4905" w:type="dxa"/>
          </w:tcPr>
          <w:p w:rsidR="004729BE" w:rsidRPr="0005133B" w:rsidRDefault="004E5388" w:rsidP="004729BE">
            <w:pPr>
              <w:pStyle w:val="BodyText"/>
              <w:spacing w:line="360" w:lineRule="auto"/>
              <w:jc w:val="both"/>
              <w:rPr>
                <w:rFonts w:ascii="Times New Roman" w:hAnsi="Times New Roman" w:cs="Times New Roman"/>
                <w:b w:val="0"/>
                <w:lang w:val="en-US"/>
              </w:rPr>
            </w:pPr>
            <w:r>
              <w:rPr>
                <w:rFonts w:ascii="Times New Roman" w:hAnsi="Times New Roman" w:cs="Times New Roman"/>
                <w:b w:val="0"/>
                <w:lang w:val="en-US"/>
              </w:rPr>
              <w:t xml:space="preserve">Explanatory </w:t>
            </w:r>
            <w:r w:rsidRPr="0005133B">
              <w:rPr>
                <w:rFonts w:ascii="Times New Roman" w:hAnsi="Times New Roman" w:cs="Times New Roman"/>
                <w:b w:val="0"/>
                <w:lang w:val="en-US"/>
              </w:rPr>
              <w:t>Variable</w:t>
            </w:r>
          </w:p>
        </w:tc>
        <w:tc>
          <w:tcPr>
            <w:tcW w:w="4969" w:type="dxa"/>
          </w:tcPr>
          <w:p w:rsidR="004729BE" w:rsidRPr="0005133B" w:rsidRDefault="004729BE" w:rsidP="004729BE">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US"/>
              </w:rPr>
            </w:pPr>
            <w:r w:rsidRPr="0005133B">
              <w:rPr>
                <w:rFonts w:ascii="Times New Roman" w:hAnsi="Times New Roman" w:cs="Times New Roman"/>
                <w:b w:val="0"/>
                <w:lang w:val="en-US"/>
              </w:rPr>
              <w:t xml:space="preserve">Statistical coefficients </w:t>
            </w:r>
          </w:p>
        </w:tc>
      </w:tr>
      <w:tr w:rsidR="004729BE" w:rsidRPr="0005133B" w:rsidTr="004729BE">
        <w:trPr>
          <w:trHeight w:val="630"/>
        </w:trPr>
        <w:tc>
          <w:tcPr>
            <w:cnfStyle w:val="001000000000" w:firstRow="0" w:lastRow="0" w:firstColumn="1" w:lastColumn="0" w:oddVBand="0" w:evenVBand="0" w:oddHBand="0" w:evenHBand="0" w:firstRowFirstColumn="0" w:firstRowLastColumn="0" w:lastRowFirstColumn="0" w:lastRowLastColumn="0"/>
            <w:tcW w:w="4905" w:type="dxa"/>
          </w:tcPr>
          <w:p w:rsidR="004729BE" w:rsidRPr="0005133B" w:rsidRDefault="004729BE" w:rsidP="004729BE">
            <w:pPr>
              <w:pStyle w:val="BodyText"/>
              <w:rPr>
                <w:rFonts w:ascii="Times New Roman" w:hAnsi="Times New Roman" w:cs="Times New Roman"/>
                <w:lang w:val="en-US"/>
              </w:rPr>
            </w:pPr>
            <w:r>
              <w:rPr>
                <w:rFonts w:ascii="Times New Roman" w:hAnsi="Times New Roman" w:cs="Times New Roman"/>
                <w:lang w:val="en-US"/>
              </w:rPr>
              <w:t>Intercept</w:t>
            </w:r>
          </w:p>
        </w:tc>
        <w:tc>
          <w:tcPr>
            <w:tcW w:w="4969" w:type="dxa"/>
          </w:tcPr>
          <w:p w:rsidR="004729BE" w:rsidRDefault="004729BE"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-44,20</w:t>
            </w:r>
          </w:p>
          <w:p w:rsidR="004729BE" w:rsidRPr="0005133B" w:rsidRDefault="001A3513" w:rsidP="001A3513">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(-2,75</w:t>
            </w:r>
            <w:r w:rsidR="004729BE">
              <w:rPr>
                <w:rFonts w:ascii="Times New Roman" w:hAnsi="Times New Roman" w:cs="Times New Roman"/>
                <w:lang w:val="en-US"/>
              </w:rPr>
              <w:t>)</w:t>
            </w:r>
            <w:r>
              <w:rPr>
                <w:rFonts w:ascii="Times New Roman" w:hAnsi="Times New Roman" w:cs="Times New Roman"/>
                <w:lang w:val="en-US"/>
              </w:rPr>
              <w:t>***</w:t>
            </w:r>
          </w:p>
        </w:tc>
      </w:tr>
      <w:tr w:rsidR="004729BE" w:rsidRPr="0005133B" w:rsidTr="004729BE">
        <w:trPr>
          <w:trHeight w:val="618"/>
        </w:trPr>
        <w:tc>
          <w:tcPr>
            <w:cnfStyle w:val="001000000000" w:firstRow="0" w:lastRow="0" w:firstColumn="1" w:lastColumn="0" w:oddVBand="0" w:evenVBand="0" w:oddHBand="0" w:evenHBand="0" w:firstRowFirstColumn="0" w:firstRowLastColumn="0" w:lastRowFirstColumn="0" w:lastRowLastColumn="0"/>
            <w:tcW w:w="4905" w:type="dxa"/>
          </w:tcPr>
          <w:p w:rsidR="004729BE" w:rsidRPr="0005133B" w:rsidRDefault="004729BE" w:rsidP="004729BE">
            <w:pPr>
              <w:pStyle w:val="BodyText"/>
              <w:rPr>
                <w:rFonts w:ascii="Times New Roman" w:hAnsi="Times New Roman" w:cs="Times New Roman"/>
                <w:lang w:val="en-US"/>
              </w:rPr>
            </w:pPr>
            <w:r>
              <w:rPr>
                <w:rFonts w:ascii="Times New Roman" w:hAnsi="Times New Roman" w:cs="Times New Roman"/>
                <w:lang w:val="en-US"/>
              </w:rPr>
              <w:t>Stock Price (t-1)</w:t>
            </w:r>
          </w:p>
        </w:tc>
        <w:tc>
          <w:tcPr>
            <w:tcW w:w="4969" w:type="dxa"/>
          </w:tcPr>
          <w:p w:rsidR="004729BE" w:rsidRDefault="001A3513"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1,00</w:t>
            </w:r>
            <w:r w:rsidR="004729BE">
              <w:rPr>
                <w:rFonts w:ascii="Times New Roman" w:hAnsi="Times New Roman" w:cs="Times New Roman"/>
                <w:lang w:val="en-US"/>
              </w:rPr>
              <w:t>***</w:t>
            </w:r>
          </w:p>
          <w:p w:rsidR="004729BE" w:rsidRPr="0005133B" w:rsidRDefault="004729BE" w:rsidP="001A3513">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w:t>
            </w:r>
            <w:r w:rsidR="001A3513">
              <w:rPr>
                <w:rFonts w:ascii="Times New Roman" w:hAnsi="Times New Roman" w:cs="Times New Roman"/>
                <w:lang w:val="en-US"/>
              </w:rPr>
              <w:t>2.965,25</w:t>
            </w:r>
            <w:r>
              <w:rPr>
                <w:rFonts w:ascii="Times New Roman" w:hAnsi="Times New Roman" w:cs="Times New Roman"/>
                <w:lang w:val="en-US"/>
              </w:rPr>
              <w:t>)</w:t>
            </w:r>
          </w:p>
        </w:tc>
      </w:tr>
      <w:tr w:rsidR="004729BE" w:rsidRPr="0005133B" w:rsidTr="004729BE">
        <w:trPr>
          <w:trHeight w:val="639"/>
        </w:trPr>
        <w:tc>
          <w:tcPr>
            <w:cnfStyle w:val="001000000000" w:firstRow="0" w:lastRow="0" w:firstColumn="1" w:lastColumn="0" w:oddVBand="0" w:evenVBand="0" w:oddHBand="0" w:evenHBand="0" w:firstRowFirstColumn="0" w:firstRowLastColumn="0" w:lastRowFirstColumn="0" w:lastRowLastColumn="0"/>
            <w:tcW w:w="4905" w:type="dxa"/>
          </w:tcPr>
          <w:p w:rsidR="004729BE" w:rsidRPr="0005133B" w:rsidRDefault="004729BE" w:rsidP="004729BE">
            <w:pPr>
              <w:pStyle w:val="BodyText"/>
              <w:rPr>
                <w:rFonts w:ascii="Times New Roman" w:hAnsi="Times New Roman" w:cs="Times New Roman"/>
                <w:lang w:val="en-US"/>
              </w:rPr>
            </w:pPr>
            <w:r>
              <w:rPr>
                <w:rFonts w:ascii="Times New Roman" w:hAnsi="Times New Roman" w:cs="Times New Roman"/>
                <w:lang w:val="en-US"/>
              </w:rPr>
              <w:t xml:space="preserve">Event Dummy </w:t>
            </w:r>
          </w:p>
        </w:tc>
        <w:tc>
          <w:tcPr>
            <w:tcW w:w="4969" w:type="dxa"/>
          </w:tcPr>
          <w:p w:rsidR="004729BE" w:rsidRDefault="001A3513"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-2,42</w:t>
            </w:r>
          </w:p>
          <w:p w:rsidR="004729BE" w:rsidRPr="0005133B" w:rsidRDefault="001A3513" w:rsidP="001A3513">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(-1,06)</w:t>
            </w:r>
          </w:p>
        </w:tc>
      </w:tr>
      <w:tr w:rsidR="004729BE" w:rsidRPr="0005133B" w:rsidTr="004729BE">
        <w:trPr>
          <w:trHeight w:val="777"/>
        </w:trPr>
        <w:tc>
          <w:tcPr>
            <w:cnfStyle w:val="001000000000" w:firstRow="0" w:lastRow="0" w:firstColumn="1" w:lastColumn="0" w:oddVBand="0" w:evenVBand="0" w:oddHBand="0" w:evenHBand="0" w:firstRowFirstColumn="0" w:firstRowLastColumn="0" w:lastRowFirstColumn="0" w:lastRowLastColumn="0"/>
            <w:tcW w:w="4905" w:type="dxa"/>
          </w:tcPr>
          <w:p w:rsidR="004729BE" w:rsidRPr="0005133B" w:rsidRDefault="004729BE" w:rsidP="004729BE">
            <w:pPr>
              <w:pStyle w:val="BodyText"/>
              <w:rPr>
                <w:rFonts w:ascii="Times New Roman" w:hAnsi="Times New Roman" w:cs="Times New Roman"/>
                <w:lang w:val="en-US"/>
              </w:rPr>
            </w:pPr>
            <w:r>
              <w:rPr>
                <w:rFonts w:ascii="Times New Roman" w:hAnsi="Times New Roman" w:cs="Times New Roman"/>
                <w:lang w:val="en-US"/>
              </w:rPr>
              <w:t>Exchange Rate</w:t>
            </w:r>
          </w:p>
        </w:tc>
        <w:tc>
          <w:tcPr>
            <w:tcW w:w="4969" w:type="dxa"/>
          </w:tcPr>
          <w:p w:rsidR="004729BE" w:rsidRDefault="001A3513"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0,36</w:t>
            </w:r>
          </w:p>
          <w:p w:rsidR="004729BE" w:rsidRPr="0005133B" w:rsidRDefault="004729BE" w:rsidP="001A3513">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w:t>
            </w:r>
            <w:r w:rsidR="001A3513">
              <w:rPr>
                <w:rFonts w:ascii="Times New Roman" w:hAnsi="Times New Roman" w:cs="Times New Roman"/>
                <w:lang w:val="en-US"/>
              </w:rPr>
              <w:t>2,76</w:t>
            </w:r>
            <w:r>
              <w:rPr>
                <w:rFonts w:ascii="Times New Roman" w:hAnsi="Times New Roman" w:cs="Times New Roman"/>
                <w:lang w:val="en-US"/>
              </w:rPr>
              <w:t>)</w:t>
            </w:r>
            <w:r w:rsidR="001A3513">
              <w:rPr>
                <w:rFonts w:ascii="Times New Roman" w:hAnsi="Times New Roman" w:cs="Times New Roman"/>
                <w:lang w:val="en-US"/>
              </w:rPr>
              <w:t>***</w:t>
            </w:r>
          </w:p>
        </w:tc>
      </w:tr>
      <w:tr w:rsidR="001A3513" w:rsidRPr="0005133B" w:rsidTr="004729BE">
        <w:trPr>
          <w:trHeight w:val="777"/>
        </w:trPr>
        <w:tc>
          <w:tcPr>
            <w:cnfStyle w:val="001000000000" w:firstRow="0" w:lastRow="0" w:firstColumn="1" w:lastColumn="0" w:oddVBand="0" w:evenVBand="0" w:oddHBand="0" w:evenHBand="0" w:firstRowFirstColumn="0" w:firstRowLastColumn="0" w:lastRowFirstColumn="0" w:lastRowLastColumn="0"/>
            <w:tcW w:w="4905" w:type="dxa"/>
          </w:tcPr>
          <w:p w:rsidR="001A3513" w:rsidRDefault="001A3513" w:rsidP="004729BE">
            <w:pPr>
              <w:pStyle w:val="BodyText"/>
              <w:rPr>
                <w:rFonts w:ascii="Times New Roman" w:hAnsi="Times New Roman" w:cs="Times New Roman"/>
                <w:lang w:val="en-US"/>
              </w:rPr>
            </w:pPr>
            <w:r>
              <w:rPr>
                <w:rFonts w:ascii="Times New Roman" w:hAnsi="Times New Roman" w:cs="Times New Roman"/>
                <w:lang w:val="en-US"/>
              </w:rPr>
              <w:t>Oil Price</w:t>
            </w:r>
          </w:p>
        </w:tc>
        <w:tc>
          <w:tcPr>
            <w:tcW w:w="4969" w:type="dxa"/>
          </w:tcPr>
          <w:p w:rsidR="001A3513" w:rsidRDefault="001A3513"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0,19</w:t>
            </w:r>
          </w:p>
          <w:p w:rsidR="001A3513" w:rsidRDefault="001A3513"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(2,75)***</w:t>
            </w:r>
          </w:p>
        </w:tc>
      </w:tr>
      <w:tr w:rsidR="004729BE" w:rsidRPr="0005133B" w:rsidTr="004729BE">
        <w:trPr>
          <w:trHeight w:val="574"/>
        </w:trPr>
        <w:tc>
          <w:tcPr>
            <w:cnfStyle w:val="001000000000" w:firstRow="0" w:lastRow="0" w:firstColumn="1" w:lastColumn="0" w:oddVBand="0" w:evenVBand="0" w:oddHBand="0" w:evenHBand="0" w:firstRowFirstColumn="0" w:firstRowLastColumn="0" w:lastRowFirstColumn="0" w:lastRowLastColumn="0"/>
            <w:tcW w:w="4905" w:type="dxa"/>
          </w:tcPr>
          <w:p w:rsidR="004729BE" w:rsidRPr="0005133B" w:rsidRDefault="004729BE" w:rsidP="004729BE">
            <w:pPr>
              <w:pStyle w:val="BodyText"/>
              <w:rPr>
                <w:rFonts w:ascii="Times New Roman" w:hAnsi="Times New Roman" w:cs="Times New Roman"/>
                <w:lang w:val="en-US"/>
              </w:rPr>
            </w:pPr>
            <w:r>
              <w:rPr>
                <w:rFonts w:ascii="Times New Roman" w:hAnsi="Times New Roman" w:cs="Times New Roman"/>
                <w:lang w:val="en-US"/>
              </w:rPr>
              <w:t>T-Bills</w:t>
            </w:r>
          </w:p>
        </w:tc>
        <w:tc>
          <w:tcPr>
            <w:tcW w:w="4969" w:type="dxa"/>
          </w:tcPr>
          <w:p w:rsidR="004729BE" w:rsidRDefault="001A3513"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-4,49</w:t>
            </w:r>
          </w:p>
          <w:p w:rsidR="004729BE" w:rsidRPr="0005133B" w:rsidRDefault="001A3513" w:rsidP="001A3513">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(-2,05</w:t>
            </w:r>
            <w:r w:rsidR="004729BE">
              <w:rPr>
                <w:rFonts w:ascii="Times New Roman" w:hAnsi="Times New Roman" w:cs="Times New Roman"/>
                <w:lang w:val="en-US"/>
              </w:rPr>
              <w:t>)</w:t>
            </w:r>
            <w:r>
              <w:rPr>
                <w:rFonts w:ascii="Times New Roman" w:hAnsi="Times New Roman" w:cs="Times New Roman"/>
                <w:lang w:val="en-US"/>
              </w:rPr>
              <w:t>**</w:t>
            </w:r>
          </w:p>
        </w:tc>
      </w:tr>
      <w:tr w:rsidR="004729BE" w:rsidRPr="0005133B" w:rsidTr="004729BE">
        <w:trPr>
          <w:trHeight w:val="777"/>
        </w:trPr>
        <w:tc>
          <w:tcPr>
            <w:cnfStyle w:val="001000000000" w:firstRow="0" w:lastRow="0" w:firstColumn="1" w:lastColumn="0" w:oddVBand="0" w:evenVBand="0" w:oddHBand="0" w:evenHBand="0" w:firstRowFirstColumn="0" w:firstRowLastColumn="0" w:lastRowFirstColumn="0" w:lastRowLastColumn="0"/>
            <w:tcW w:w="4905" w:type="dxa"/>
          </w:tcPr>
          <w:p w:rsidR="004729BE" w:rsidRPr="0005133B" w:rsidRDefault="004729BE" w:rsidP="004729BE">
            <w:pPr>
              <w:pStyle w:val="BodyText"/>
              <w:rPr>
                <w:rFonts w:ascii="Times New Roman" w:hAnsi="Times New Roman" w:cs="Times New Roman"/>
                <w:lang w:val="en-US"/>
              </w:rPr>
            </w:pPr>
            <w:r>
              <w:rPr>
                <w:rFonts w:ascii="Times New Roman" w:hAnsi="Times New Roman" w:cs="Times New Roman"/>
                <w:lang w:val="en-US"/>
              </w:rPr>
              <w:t>Gold Reserves</w:t>
            </w:r>
          </w:p>
        </w:tc>
        <w:tc>
          <w:tcPr>
            <w:tcW w:w="4969" w:type="dxa"/>
          </w:tcPr>
          <w:p w:rsidR="004729BE" w:rsidRDefault="001A3513"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0,00*</w:t>
            </w:r>
          </w:p>
          <w:p w:rsidR="004729BE" w:rsidRPr="0005133B" w:rsidRDefault="001A3513"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(1,91</w:t>
            </w:r>
            <w:r w:rsidR="004729BE">
              <w:rPr>
                <w:rFonts w:ascii="Times New Roman" w:hAnsi="Times New Roman" w:cs="Times New Roman"/>
                <w:lang w:val="en-US"/>
              </w:rPr>
              <w:t>)</w:t>
            </w:r>
          </w:p>
        </w:tc>
      </w:tr>
      <w:tr w:rsidR="004729BE" w:rsidRPr="0005133B" w:rsidTr="004729BE">
        <w:trPr>
          <w:trHeight w:val="639"/>
        </w:trPr>
        <w:tc>
          <w:tcPr>
            <w:cnfStyle w:val="001000000000" w:firstRow="0" w:lastRow="0" w:firstColumn="1" w:lastColumn="0" w:oddVBand="0" w:evenVBand="0" w:oddHBand="0" w:evenHBand="0" w:firstRowFirstColumn="0" w:firstRowLastColumn="0" w:lastRowFirstColumn="0" w:lastRowLastColumn="0"/>
            <w:tcW w:w="4905" w:type="dxa"/>
          </w:tcPr>
          <w:p w:rsidR="004729BE" w:rsidRPr="0005133B" w:rsidRDefault="004729BE" w:rsidP="004729BE">
            <w:pPr>
              <w:pStyle w:val="BodyText"/>
              <w:rPr>
                <w:rFonts w:ascii="Times New Roman" w:hAnsi="Times New Roman" w:cs="Times New Roman"/>
                <w:lang w:val="en-US"/>
              </w:rPr>
            </w:pPr>
            <w:r>
              <w:rPr>
                <w:rFonts w:ascii="Times New Roman" w:hAnsi="Times New Roman" w:cs="Times New Roman"/>
                <w:lang w:val="en-US"/>
              </w:rPr>
              <w:t>MIBOR</w:t>
            </w:r>
          </w:p>
        </w:tc>
        <w:tc>
          <w:tcPr>
            <w:tcW w:w="4969" w:type="dxa"/>
          </w:tcPr>
          <w:p w:rsidR="004729BE" w:rsidRDefault="001A3513"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-0,13</w:t>
            </w:r>
          </w:p>
          <w:p w:rsidR="004729BE" w:rsidRPr="0005133B" w:rsidRDefault="001A3513"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(0.37</w:t>
            </w:r>
            <w:r w:rsidR="004729BE">
              <w:rPr>
                <w:rFonts w:ascii="Times New Roman" w:hAnsi="Times New Roman" w:cs="Times New Roman"/>
                <w:lang w:val="en-US"/>
              </w:rPr>
              <w:t>)</w:t>
            </w:r>
          </w:p>
        </w:tc>
      </w:tr>
      <w:tr w:rsidR="004729BE" w:rsidRPr="0005133B" w:rsidTr="004729BE">
        <w:trPr>
          <w:trHeight w:val="367"/>
        </w:trPr>
        <w:tc>
          <w:tcPr>
            <w:cnfStyle w:val="001000000000" w:firstRow="0" w:lastRow="0" w:firstColumn="1" w:lastColumn="0" w:oddVBand="0" w:evenVBand="0" w:oddHBand="0" w:evenHBand="0" w:firstRowFirstColumn="0" w:firstRowLastColumn="0" w:lastRowFirstColumn="0" w:lastRowLastColumn="0"/>
            <w:tcW w:w="4905" w:type="dxa"/>
          </w:tcPr>
          <w:p w:rsidR="004729BE" w:rsidRDefault="004729BE" w:rsidP="004729BE">
            <w:pPr>
              <w:pStyle w:val="BodyText"/>
              <w:rPr>
                <w:rFonts w:ascii="Times New Roman" w:hAnsi="Times New Roman" w:cs="Times New Roman"/>
                <w:lang w:val="en-US"/>
              </w:rPr>
            </w:pPr>
            <w:r>
              <w:rPr>
                <w:rFonts w:ascii="Times New Roman" w:hAnsi="Times New Roman" w:cs="Times New Roman"/>
                <w:lang w:val="en-US"/>
              </w:rPr>
              <w:t>Adjusted R-square</w:t>
            </w:r>
          </w:p>
        </w:tc>
        <w:tc>
          <w:tcPr>
            <w:tcW w:w="4969" w:type="dxa"/>
          </w:tcPr>
          <w:p w:rsidR="004729BE" w:rsidRDefault="004729BE"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0,9995</w:t>
            </w:r>
          </w:p>
        </w:tc>
      </w:tr>
      <w:tr w:rsidR="004729BE" w:rsidRPr="0005133B" w:rsidTr="004729BE">
        <w:trPr>
          <w:trHeight w:val="389"/>
        </w:trPr>
        <w:tc>
          <w:tcPr>
            <w:cnfStyle w:val="001000000000" w:firstRow="0" w:lastRow="0" w:firstColumn="1" w:lastColumn="0" w:oddVBand="0" w:evenVBand="0" w:oddHBand="0" w:evenHBand="0" w:firstRowFirstColumn="0" w:firstRowLastColumn="0" w:lastRowFirstColumn="0" w:lastRowLastColumn="0"/>
            <w:tcW w:w="4905" w:type="dxa"/>
          </w:tcPr>
          <w:p w:rsidR="004729BE" w:rsidRDefault="004729BE" w:rsidP="004729BE">
            <w:pPr>
              <w:pStyle w:val="BodyText"/>
              <w:rPr>
                <w:rFonts w:ascii="Times New Roman" w:hAnsi="Times New Roman" w:cs="Times New Roman"/>
                <w:lang w:val="en-US"/>
              </w:rPr>
            </w:pPr>
            <w:r>
              <w:rPr>
                <w:rFonts w:ascii="Times New Roman" w:hAnsi="Times New Roman" w:cs="Times New Roman"/>
                <w:lang w:val="en-US"/>
              </w:rPr>
              <w:t>F test</w:t>
            </w:r>
          </w:p>
        </w:tc>
        <w:tc>
          <w:tcPr>
            <w:tcW w:w="4969" w:type="dxa"/>
          </w:tcPr>
          <w:p w:rsidR="004729BE" w:rsidRDefault="001A3513" w:rsidP="001A3513">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w:t>
            </w:r>
            <w:r w:rsidR="004729BE">
              <w:rPr>
                <w:rFonts w:ascii="Times New Roman" w:hAnsi="Times New Roman" w:cs="Times New Roman"/>
                <w:lang w:val="en-US"/>
              </w:rPr>
              <w:t>.</w:t>
            </w:r>
            <w:r>
              <w:rPr>
                <w:rFonts w:ascii="Times New Roman" w:hAnsi="Times New Roman" w:cs="Times New Roman"/>
                <w:lang w:val="en-US"/>
              </w:rPr>
              <w:t>312</w:t>
            </w:r>
            <w:r w:rsidR="004729BE">
              <w:rPr>
                <w:rFonts w:ascii="Times New Roman" w:hAnsi="Times New Roman" w:cs="Times New Roman"/>
                <w:lang w:val="en-US"/>
              </w:rPr>
              <w:t>.</w:t>
            </w:r>
            <w:r>
              <w:rPr>
                <w:rFonts w:ascii="Times New Roman" w:hAnsi="Times New Roman" w:cs="Times New Roman"/>
                <w:lang w:val="en-US"/>
              </w:rPr>
              <w:t>356</w:t>
            </w:r>
            <w:r w:rsidR="004729BE">
              <w:rPr>
                <w:rFonts w:ascii="Times New Roman" w:hAnsi="Times New Roman" w:cs="Times New Roman"/>
                <w:lang w:val="en-US"/>
              </w:rPr>
              <w:t xml:space="preserve"> ***</w:t>
            </w:r>
          </w:p>
        </w:tc>
      </w:tr>
      <w:tr w:rsidR="004729BE" w:rsidRPr="0005133B" w:rsidTr="004729BE">
        <w:trPr>
          <w:trHeight w:val="389"/>
        </w:trPr>
        <w:tc>
          <w:tcPr>
            <w:cnfStyle w:val="001000000000" w:firstRow="0" w:lastRow="0" w:firstColumn="1" w:lastColumn="0" w:oddVBand="0" w:evenVBand="0" w:oddHBand="0" w:evenHBand="0" w:firstRowFirstColumn="0" w:firstRowLastColumn="0" w:lastRowFirstColumn="0" w:lastRowLastColumn="0"/>
            <w:tcW w:w="4905" w:type="dxa"/>
          </w:tcPr>
          <w:p w:rsidR="004729BE" w:rsidRDefault="004729BE" w:rsidP="004729BE">
            <w:pPr>
              <w:pStyle w:val="BodyText"/>
              <w:rPr>
                <w:rFonts w:ascii="Times New Roman" w:hAnsi="Times New Roman" w:cs="Times New Roman"/>
                <w:lang w:val="en-US"/>
              </w:rPr>
            </w:pPr>
            <w:r>
              <w:rPr>
                <w:rFonts w:ascii="Times New Roman" w:hAnsi="Times New Roman" w:cs="Times New Roman"/>
                <w:lang w:val="en-US"/>
              </w:rPr>
              <w:t>DW test</w:t>
            </w:r>
          </w:p>
        </w:tc>
        <w:tc>
          <w:tcPr>
            <w:tcW w:w="4969" w:type="dxa"/>
          </w:tcPr>
          <w:p w:rsidR="004729BE" w:rsidRDefault="001A3513"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1,92</w:t>
            </w:r>
          </w:p>
        </w:tc>
      </w:tr>
      <w:tr w:rsidR="004729BE" w:rsidRPr="0005133B" w:rsidTr="004729BE">
        <w:trPr>
          <w:trHeight w:val="367"/>
        </w:trPr>
        <w:tc>
          <w:tcPr>
            <w:cnfStyle w:val="001000000000" w:firstRow="0" w:lastRow="0" w:firstColumn="1" w:lastColumn="0" w:oddVBand="0" w:evenVBand="0" w:oddHBand="0" w:evenHBand="0" w:firstRowFirstColumn="0" w:firstRowLastColumn="0" w:lastRowFirstColumn="0" w:lastRowLastColumn="0"/>
            <w:tcW w:w="4905" w:type="dxa"/>
          </w:tcPr>
          <w:p w:rsidR="004729BE" w:rsidRDefault="004729BE" w:rsidP="004729BE">
            <w:pPr>
              <w:pStyle w:val="BodyText"/>
              <w:rPr>
                <w:rFonts w:ascii="Times New Roman" w:hAnsi="Times New Roman" w:cs="Times New Roman"/>
                <w:lang w:val="en-US"/>
              </w:rPr>
            </w:pPr>
            <w:r>
              <w:rPr>
                <w:rFonts w:ascii="Times New Roman" w:hAnsi="Times New Roman" w:cs="Times New Roman"/>
                <w:lang w:val="en-US"/>
              </w:rPr>
              <w:t>Observations</w:t>
            </w:r>
          </w:p>
        </w:tc>
        <w:tc>
          <w:tcPr>
            <w:tcW w:w="4969" w:type="dxa"/>
          </w:tcPr>
          <w:p w:rsidR="004729BE" w:rsidRDefault="001A3513" w:rsidP="001A3513">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3.705</w:t>
            </w:r>
          </w:p>
        </w:tc>
      </w:tr>
      <w:tr w:rsidR="004729BE" w:rsidRPr="0005133B" w:rsidTr="004729BE">
        <w:trPr>
          <w:trHeight w:val="367"/>
        </w:trPr>
        <w:tc>
          <w:tcPr>
            <w:cnfStyle w:val="001000000000" w:firstRow="0" w:lastRow="0" w:firstColumn="1" w:lastColumn="0" w:oddVBand="0" w:evenVBand="0" w:oddHBand="0" w:evenHBand="0" w:firstRowFirstColumn="0" w:firstRowLastColumn="0" w:lastRowFirstColumn="0" w:lastRowLastColumn="0"/>
            <w:tcW w:w="9874" w:type="dxa"/>
            <w:gridSpan w:val="2"/>
          </w:tcPr>
          <w:p w:rsidR="004729BE" w:rsidRDefault="004729BE" w:rsidP="004729BE">
            <w:pPr>
              <w:pStyle w:val="BodyText"/>
              <w:spacing w:line="360" w:lineRule="auto"/>
              <w:jc w:val="both"/>
              <w:rPr>
                <w:rFonts w:ascii="Times New Roman" w:hAnsi="Times New Roman" w:cs="Times New Roman"/>
                <w:lang w:val="en-US"/>
              </w:rPr>
            </w:pPr>
            <w:r>
              <w:rPr>
                <w:rFonts w:ascii="Times New Roman" w:hAnsi="Times New Roman" w:cs="Times New Roman"/>
                <w:lang w:val="en-US"/>
              </w:rPr>
              <w:t>*** - statistically significant at 1 percent level</w:t>
            </w:r>
          </w:p>
        </w:tc>
      </w:tr>
      <w:tr w:rsidR="004729BE" w:rsidRPr="0005133B" w:rsidTr="004729BE">
        <w:trPr>
          <w:trHeight w:val="367"/>
        </w:trPr>
        <w:tc>
          <w:tcPr>
            <w:cnfStyle w:val="001000000000" w:firstRow="0" w:lastRow="0" w:firstColumn="1" w:lastColumn="0" w:oddVBand="0" w:evenVBand="0" w:oddHBand="0" w:evenHBand="0" w:firstRowFirstColumn="0" w:firstRowLastColumn="0" w:lastRowFirstColumn="0" w:lastRowLastColumn="0"/>
            <w:tcW w:w="9874" w:type="dxa"/>
            <w:gridSpan w:val="2"/>
          </w:tcPr>
          <w:p w:rsidR="004729BE" w:rsidRDefault="004729BE" w:rsidP="004729BE">
            <w:pPr>
              <w:pStyle w:val="BodyText"/>
              <w:spacing w:line="360" w:lineRule="auto"/>
              <w:jc w:val="both"/>
              <w:rPr>
                <w:rFonts w:ascii="Times New Roman" w:hAnsi="Times New Roman" w:cs="Times New Roman"/>
                <w:lang w:val="en-US"/>
              </w:rPr>
            </w:pPr>
            <w:r>
              <w:rPr>
                <w:rFonts w:ascii="Times New Roman" w:hAnsi="Times New Roman" w:cs="Times New Roman"/>
                <w:lang w:val="en-US"/>
              </w:rPr>
              <w:t>** - statistically significant at 5 percent level</w:t>
            </w:r>
          </w:p>
        </w:tc>
      </w:tr>
      <w:tr w:rsidR="004729BE" w:rsidRPr="0005133B" w:rsidTr="004729BE">
        <w:trPr>
          <w:trHeight w:val="367"/>
        </w:trPr>
        <w:tc>
          <w:tcPr>
            <w:cnfStyle w:val="001000000000" w:firstRow="0" w:lastRow="0" w:firstColumn="1" w:lastColumn="0" w:oddVBand="0" w:evenVBand="0" w:oddHBand="0" w:evenHBand="0" w:firstRowFirstColumn="0" w:firstRowLastColumn="0" w:lastRowFirstColumn="0" w:lastRowLastColumn="0"/>
            <w:tcW w:w="9874" w:type="dxa"/>
            <w:gridSpan w:val="2"/>
          </w:tcPr>
          <w:p w:rsidR="004729BE" w:rsidRDefault="004729BE" w:rsidP="004729BE">
            <w:pPr>
              <w:pStyle w:val="BodyText"/>
              <w:spacing w:line="360" w:lineRule="auto"/>
              <w:jc w:val="both"/>
              <w:rPr>
                <w:rFonts w:ascii="Times New Roman" w:hAnsi="Times New Roman" w:cs="Times New Roman"/>
                <w:lang w:val="en-US"/>
              </w:rPr>
            </w:pPr>
            <w:r>
              <w:rPr>
                <w:rFonts w:ascii="Times New Roman" w:hAnsi="Times New Roman" w:cs="Times New Roman"/>
                <w:lang w:val="en-US"/>
              </w:rPr>
              <w:t>* - statistically significant at 10 percent level</w:t>
            </w:r>
          </w:p>
        </w:tc>
      </w:tr>
    </w:tbl>
    <w:p w:rsidR="004729BE" w:rsidRDefault="00F53934" w:rsidP="008E1892">
      <w:pPr>
        <w:pStyle w:val="BodyText"/>
        <w:spacing w:line="360" w:lineRule="auto"/>
        <w:ind w:firstLine="567"/>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Based on the obtained regression coefficient, the intercept, stock price in prior period, price of oil, T-bills and Gold reserves are statistically significant. Surprisingly, the event dummy variable is not statistically. These support previously found results that sanctions against the Russian Federation had very limited impact on the performance of Russian oil and gas companies. The reason behind was the fact that sanctions did not put restrictions on trading with oil and gas. </w:t>
      </w:r>
    </w:p>
    <w:p w:rsidR="00377DF9" w:rsidRDefault="00377DF9" w:rsidP="008E1892">
      <w:pPr>
        <w:pStyle w:val="BodyText"/>
        <w:spacing w:line="360" w:lineRule="auto"/>
        <w:ind w:firstLine="567"/>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The next table presents the regression coefficients for non-oil and gas companies. </w:t>
      </w:r>
    </w:p>
    <w:p w:rsidR="00DA085C" w:rsidRDefault="00DA085C" w:rsidP="008E1892">
      <w:pPr>
        <w:pStyle w:val="BodyText"/>
        <w:spacing w:line="360" w:lineRule="auto"/>
        <w:ind w:firstLine="567"/>
        <w:jc w:val="both"/>
        <w:rPr>
          <w:rFonts w:ascii="Times New Roman" w:eastAsiaTheme="minorEastAsia" w:hAnsi="Times New Roman" w:cs="Times New Roman"/>
          <w:sz w:val="24"/>
          <w:szCs w:val="24"/>
          <w:lang w:val="en-US"/>
        </w:rPr>
      </w:pPr>
    </w:p>
    <w:p w:rsidR="00541FF2" w:rsidRPr="00541FF2" w:rsidRDefault="00541FF2" w:rsidP="00541FF2">
      <w:pPr>
        <w:pStyle w:val="Caption"/>
        <w:keepNext/>
        <w:rPr>
          <w:rFonts w:ascii="Times New Roman" w:hAnsi="Times New Roman" w:cs="Times New Roman"/>
          <w:color w:val="auto"/>
          <w:sz w:val="20"/>
          <w:szCs w:val="20"/>
        </w:rPr>
      </w:pPr>
      <w:bookmarkStart w:id="23" w:name="_Toc15484947"/>
      <w:r w:rsidRPr="00541FF2">
        <w:rPr>
          <w:rFonts w:ascii="Times New Roman" w:hAnsi="Times New Roman" w:cs="Times New Roman"/>
          <w:color w:val="auto"/>
          <w:sz w:val="20"/>
          <w:szCs w:val="20"/>
        </w:rPr>
        <w:lastRenderedPageBreak/>
        <w:t xml:space="preserve">Table </w:t>
      </w:r>
      <w:r w:rsidRPr="00541FF2">
        <w:rPr>
          <w:rFonts w:ascii="Times New Roman" w:hAnsi="Times New Roman" w:cs="Times New Roman"/>
          <w:color w:val="auto"/>
          <w:sz w:val="20"/>
          <w:szCs w:val="20"/>
        </w:rPr>
        <w:fldChar w:fldCharType="begin"/>
      </w:r>
      <w:r w:rsidRPr="00541FF2">
        <w:rPr>
          <w:rFonts w:ascii="Times New Roman" w:hAnsi="Times New Roman" w:cs="Times New Roman"/>
          <w:color w:val="auto"/>
          <w:sz w:val="20"/>
          <w:szCs w:val="20"/>
        </w:rPr>
        <w:instrText xml:space="preserve"> SEQ Table \* ARABIC </w:instrText>
      </w:r>
      <w:r w:rsidRPr="00541FF2">
        <w:rPr>
          <w:rFonts w:ascii="Times New Roman" w:hAnsi="Times New Roman" w:cs="Times New Roman"/>
          <w:color w:val="auto"/>
          <w:sz w:val="20"/>
          <w:szCs w:val="20"/>
        </w:rPr>
        <w:fldChar w:fldCharType="separate"/>
      </w:r>
      <w:r w:rsidR="00FA327E">
        <w:rPr>
          <w:rFonts w:ascii="Times New Roman" w:hAnsi="Times New Roman" w:cs="Times New Roman"/>
          <w:noProof/>
          <w:color w:val="auto"/>
          <w:sz w:val="20"/>
          <w:szCs w:val="20"/>
        </w:rPr>
        <w:t>9</w:t>
      </w:r>
      <w:r w:rsidRPr="00541FF2">
        <w:rPr>
          <w:rFonts w:ascii="Times New Roman" w:hAnsi="Times New Roman" w:cs="Times New Roman"/>
          <w:color w:val="auto"/>
          <w:sz w:val="20"/>
          <w:szCs w:val="20"/>
        </w:rPr>
        <w:fldChar w:fldCharType="end"/>
      </w:r>
      <w:r w:rsidRPr="00541FF2">
        <w:rPr>
          <w:rFonts w:ascii="Times New Roman" w:hAnsi="Times New Roman" w:cs="Times New Roman"/>
          <w:color w:val="auto"/>
          <w:sz w:val="20"/>
          <w:szCs w:val="20"/>
        </w:rPr>
        <w:t>. Regression coefficients for non-oil and Gas companies only</w:t>
      </w:r>
      <w:bookmarkEnd w:id="23"/>
    </w:p>
    <w:tbl>
      <w:tblPr>
        <w:tblStyle w:val="GridTable1Light"/>
        <w:tblW w:w="9874" w:type="dxa"/>
        <w:tblLook w:val="04A0" w:firstRow="1" w:lastRow="0" w:firstColumn="1" w:lastColumn="0" w:noHBand="0" w:noVBand="1"/>
      </w:tblPr>
      <w:tblGrid>
        <w:gridCol w:w="4905"/>
        <w:gridCol w:w="4969"/>
      </w:tblGrid>
      <w:tr w:rsidR="00485BF7" w:rsidRPr="0005133B" w:rsidTr="00F17FE5">
        <w:trPr>
          <w:cnfStyle w:val="100000000000" w:firstRow="1" w:lastRow="0" w:firstColumn="0" w:lastColumn="0" w:oddVBand="0" w:evenVBand="0" w:oddHBand="0"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4905" w:type="dxa"/>
          </w:tcPr>
          <w:p w:rsidR="00485BF7" w:rsidRPr="0005133B" w:rsidRDefault="004E5388" w:rsidP="00F17FE5">
            <w:pPr>
              <w:pStyle w:val="BodyText"/>
              <w:spacing w:line="360" w:lineRule="auto"/>
              <w:jc w:val="both"/>
              <w:rPr>
                <w:rFonts w:ascii="Times New Roman" w:hAnsi="Times New Roman" w:cs="Times New Roman"/>
                <w:b w:val="0"/>
                <w:lang w:val="en-US"/>
              </w:rPr>
            </w:pPr>
            <w:r>
              <w:rPr>
                <w:rFonts w:ascii="Times New Roman" w:hAnsi="Times New Roman" w:cs="Times New Roman"/>
                <w:b w:val="0"/>
                <w:lang w:val="en-US"/>
              </w:rPr>
              <w:t xml:space="preserve">Explanatory </w:t>
            </w:r>
            <w:r w:rsidRPr="0005133B">
              <w:rPr>
                <w:rFonts w:ascii="Times New Roman" w:hAnsi="Times New Roman" w:cs="Times New Roman"/>
                <w:b w:val="0"/>
                <w:lang w:val="en-US"/>
              </w:rPr>
              <w:t>Variable</w:t>
            </w:r>
          </w:p>
        </w:tc>
        <w:tc>
          <w:tcPr>
            <w:tcW w:w="4969" w:type="dxa"/>
          </w:tcPr>
          <w:p w:rsidR="00485BF7" w:rsidRPr="0005133B" w:rsidRDefault="00485BF7" w:rsidP="00F17FE5">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en-US"/>
              </w:rPr>
            </w:pPr>
            <w:r w:rsidRPr="0005133B">
              <w:rPr>
                <w:rFonts w:ascii="Times New Roman" w:hAnsi="Times New Roman" w:cs="Times New Roman"/>
                <w:b w:val="0"/>
                <w:lang w:val="en-US"/>
              </w:rPr>
              <w:t xml:space="preserve">Statistical coefficients </w:t>
            </w:r>
          </w:p>
        </w:tc>
      </w:tr>
      <w:tr w:rsidR="00485BF7" w:rsidRPr="0005133B" w:rsidTr="00F17FE5">
        <w:trPr>
          <w:trHeight w:val="630"/>
        </w:trPr>
        <w:tc>
          <w:tcPr>
            <w:cnfStyle w:val="001000000000" w:firstRow="0" w:lastRow="0" w:firstColumn="1" w:lastColumn="0" w:oddVBand="0" w:evenVBand="0" w:oddHBand="0" w:evenHBand="0" w:firstRowFirstColumn="0" w:firstRowLastColumn="0" w:lastRowFirstColumn="0" w:lastRowLastColumn="0"/>
            <w:tcW w:w="4905" w:type="dxa"/>
          </w:tcPr>
          <w:p w:rsidR="00485BF7" w:rsidRPr="0005133B" w:rsidRDefault="00485BF7" w:rsidP="00F17FE5">
            <w:pPr>
              <w:pStyle w:val="BodyText"/>
              <w:rPr>
                <w:rFonts w:ascii="Times New Roman" w:hAnsi="Times New Roman" w:cs="Times New Roman"/>
                <w:lang w:val="en-US"/>
              </w:rPr>
            </w:pPr>
            <w:r>
              <w:rPr>
                <w:rFonts w:ascii="Times New Roman" w:hAnsi="Times New Roman" w:cs="Times New Roman"/>
                <w:lang w:val="en-US"/>
              </w:rPr>
              <w:t>Intercept</w:t>
            </w:r>
          </w:p>
        </w:tc>
        <w:tc>
          <w:tcPr>
            <w:tcW w:w="4969" w:type="dxa"/>
          </w:tcPr>
          <w:p w:rsidR="00485BF7"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-22,7539</w:t>
            </w:r>
          </w:p>
          <w:p w:rsidR="00485BF7" w:rsidRPr="0005133B" w:rsidRDefault="00485BF7" w:rsidP="00485BF7">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(-0,8617)</w:t>
            </w:r>
          </w:p>
        </w:tc>
      </w:tr>
      <w:tr w:rsidR="00485BF7" w:rsidRPr="0005133B" w:rsidTr="00F17FE5">
        <w:trPr>
          <w:trHeight w:val="618"/>
        </w:trPr>
        <w:tc>
          <w:tcPr>
            <w:cnfStyle w:val="001000000000" w:firstRow="0" w:lastRow="0" w:firstColumn="1" w:lastColumn="0" w:oddVBand="0" w:evenVBand="0" w:oddHBand="0" w:evenHBand="0" w:firstRowFirstColumn="0" w:firstRowLastColumn="0" w:lastRowFirstColumn="0" w:lastRowLastColumn="0"/>
            <w:tcW w:w="4905" w:type="dxa"/>
          </w:tcPr>
          <w:p w:rsidR="00485BF7" w:rsidRPr="0005133B" w:rsidRDefault="00485BF7" w:rsidP="00F17FE5">
            <w:pPr>
              <w:pStyle w:val="BodyText"/>
              <w:rPr>
                <w:rFonts w:ascii="Times New Roman" w:hAnsi="Times New Roman" w:cs="Times New Roman"/>
                <w:lang w:val="en-US"/>
              </w:rPr>
            </w:pPr>
            <w:r>
              <w:rPr>
                <w:rFonts w:ascii="Times New Roman" w:hAnsi="Times New Roman" w:cs="Times New Roman"/>
                <w:lang w:val="en-US"/>
              </w:rPr>
              <w:t>Stock Price (t-1)</w:t>
            </w:r>
          </w:p>
        </w:tc>
        <w:tc>
          <w:tcPr>
            <w:tcW w:w="4969" w:type="dxa"/>
          </w:tcPr>
          <w:p w:rsidR="00485BF7"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0,9995</w:t>
            </w:r>
          </w:p>
          <w:p w:rsidR="00485BF7" w:rsidRPr="0005133B" w:rsidRDefault="00485BF7" w:rsidP="00485BF7">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(4.254,6431)***</w:t>
            </w:r>
          </w:p>
        </w:tc>
      </w:tr>
      <w:tr w:rsidR="00485BF7" w:rsidRPr="0005133B" w:rsidTr="00F17FE5">
        <w:trPr>
          <w:trHeight w:val="639"/>
        </w:trPr>
        <w:tc>
          <w:tcPr>
            <w:cnfStyle w:val="001000000000" w:firstRow="0" w:lastRow="0" w:firstColumn="1" w:lastColumn="0" w:oddVBand="0" w:evenVBand="0" w:oddHBand="0" w:evenHBand="0" w:firstRowFirstColumn="0" w:firstRowLastColumn="0" w:lastRowFirstColumn="0" w:lastRowLastColumn="0"/>
            <w:tcW w:w="4905" w:type="dxa"/>
          </w:tcPr>
          <w:p w:rsidR="00485BF7" w:rsidRPr="0005133B" w:rsidRDefault="00485BF7" w:rsidP="00F17FE5">
            <w:pPr>
              <w:pStyle w:val="BodyText"/>
              <w:rPr>
                <w:rFonts w:ascii="Times New Roman" w:hAnsi="Times New Roman" w:cs="Times New Roman"/>
                <w:lang w:val="en-US"/>
              </w:rPr>
            </w:pPr>
            <w:r>
              <w:rPr>
                <w:rFonts w:ascii="Times New Roman" w:hAnsi="Times New Roman" w:cs="Times New Roman"/>
                <w:lang w:val="en-US"/>
              </w:rPr>
              <w:t xml:space="preserve">Event Dummy </w:t>
            </w:r>
          </w:p>
        </w:tc>
        <w:tc>
          <w:tcPr>
            <w:tcW w:w="4969" w:type="dxa"/>
          </w:tcPr>
          <w:p w:rsidR="00485BF7"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-8,2922</w:t>
            </w:r>
          </w:p>
          <w:p w:rsidR="00485BF7" w:rsidRPr="0005133B"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(-2,2132)**</w:t>
            </w:r>
          </w:p>
        </w:tc>
      </w:tr>
      <w:tr w:rsidR="00485BF7" w:rsidRPr="0005133B" w:rsidTr="00F17FE5">
        <w:trPr>
          <w:trHeight w:val="777"/>
        </w:trPr>
        <w:tc>
          <w:tcPr>
            <w:cnfStyle w:val="001000000000" w:firstRow="0" w:lastRow="0" w:firstColumn="1" w:lastColumn="0" w:oddVBand="0" w:evenVBand="0" w:oddHBand="0" w:evenHBand="0" w:firstRowFirstColumn="0" w:firstRowLastColumn="0" w:lastRowFirstColumn="0" w:lastRowLastColumn="0"/>
            <w:tcW w:w="4905" w:type="dxa"/>
          </w:tcPr>
          <w:p w:rsidR="00485BF7" w:rsidRPr="0005133B" w:rsidRDefault="00485BF7" w:rsidP="00F17FE5">
            <w:pPr>
              <w:pStyle w:val="BodyText"/>
              <w:rPr>
                <w:rFonts w:ascii="Times New Roman" w:hAnsi="Times New Roman" w:cs="Times New Roman"/>
                <w:lang w:val="en-US"/>
              </w:rPr>
            </w:pPr>
            <w:r>
              <w:rPr>
                <w:rFonts w:ascii="Times New Roman" w:hAnsi="Times New Roman" w:cs="Times New Roman"/>
                <w:lang w:val="en-US"/>
              </w:rPr>
              <w:t>Exchange Rate</w:t>
            </w:r>
          </w:p>
        </w:tc>
        <w:tc>
          <w:tcPr>
            <w:tcW w:w="4969" w:type="dxa"/>
          </w:tcPr>
          <w:p w:rsidR="00485BF7"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0,2202</w:t>
            </w:r>
          </w:p>
          <w:p w:rsidR="00485BF7" w:rsidRPr="0005133B" w:rsidRDefault="00485BF7" w:rsidP="00485BF7">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(1,0181)</w:t>
            </w:r>
          </w:p>
        </w:tc>
      </w:tr>
      <w:tr w:rsidR="00485BF7" w:rsidRPr="0005133B" w:rsidTr="00F17FE5">
        <w:trPr>
          <w:trHeight w:val="777"/>
        </w:trPr>
        <w:tc>
          <w:tcPr>
            <w:cnfStyle w:val="001000000000" w:firstRow="0" w:lastRow="0" w:firstColumn="1" w:lastColumn="0" w:oddVBand="0" w:evenVBand="0" w:oddHBand="0" w:evenHBand="0" w:firstRowFirstColumn="0" w:firstRowLastColumn="0" w:lastRowFirstColumn="0" w:lastRowLastColumn="0"/>
            <w:tcW w:w="4905" w:type="dxa"/>
          </w:tcPr>
          <w:p w:rsidR="00485BF7" w:rsidRDefault="00485BF7" w:rsidP="00F17FE5">
            <w:pPr>
              <w:pStyle w:val="BodyText"/>
              <w:rPr>
                <w:rFonts w:ascii="Times New Roman" w:hAnsi="Times New Roman" w:cs="Times New Roman"/>
                <w:lang w:val="en-US"/>
              </w:rPr>
            </w:pPr>
            <w:r>
              <w:rPr>
                <w:rFonts w:ascii="Times New Roman" w:hAnsi="Times New Roman" w:cs="Times New Roman"/>
                <w:lang w:val="en-US"/>
              </w:rPr>
              <w:t>Oil Price</w:t>
            </w:r>
          </w:p>
        </w:tc>
        <w:tc>
          <w:tcPr>
            <w:tcW w:w="4969" w:type="dxa"/>
          </w:tcPr>
          <w:p w:rsidR="00485BF7"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0,1230</w:t>
            </w:r>
          </w:p>
          <w:p w:rsidR="00485BF7"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(1,0596)</w:t>
            </w:r>
          </w:p>
        </w:tc>
      </w:tr>
      <w:tr w:rsidR="00485BF7" w:rsidRPr="0005133B" w:rsidTr="00F17FE5">
        <w:trPr>
          <w:trHeight w:val="574"/>
        </w:trPr>
        <w:tc>
          <w:tcPr>
            <w:cnfStyle w:val="001000000000" w:firstRow="0" w:lastRow="0" w:firstColumn="1" w:lastColumn="0" w:oddVBand="0" w:evenVBand="0" w:oddHBand="0" w:evenHBand="0" w:firstRowFirstColumn="0" w:firstRowLastColumn="0" w:lastRowFirstColumn="0" w:lastRowLastColumn="0"/>
            <w:tcW w:w="4905" w:type="dxa"/>
          </w:tcPr>
          <w:p w:rsidR="00485BF7" w:rsidRPr="0005133B" w:rsidRDefault="00485BF7" w:rsidP="00F17FE5">
            <w:pPr>
              <w:pStyle w:val="BodyText"/>
              <w:rPr>
                <w:rFonts w:ascii="Times New Roman" w:hAnsi="Times New Roman" w:cs="Times New Roman"/>
                <w:lang w:val="en-US"/>
              </w:rPr>
            </w:pPr>
            <w:r>
              <w:rPr>
                <w:rFonts w:ascii="Times New Roman" w:hAnsi="Times New Roman" w:cs="Times New Roman"/>
                <w:lang w:val="en-US"/>
              </w:rPr>
              <w:t>T-Bills</w:t>
            </w:r>
          </w:p>
        </w:tc>
        <w:tc>
          <w:tcPr>
            <w:tcW w:w="4969" w:type="dxa"/>
          </w:tcPr>
          <w:p w:rsidR="00485BF7"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-4,8899</w:t>
            </w:r>
          </w:p>
          <w:p w:rsidR="00485BF7" w:rsidRPr="0005133B"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(-1,3613)</w:t>
            </w:r>
          </w:p>
        </w:tc>
      </w:tr>
      <w:tr w:rsidR="00485BF7" w:rsidRPr="0005133B" w:rsidTr="00F17FE5">
        <w:trPr>
          <w:trHeight w:val="777"/>
        </w:trPr>
        <w:tc>
          <w:tcPr>
            <w:cnfStyle w:val="001000000000" w:firstRow="0" w:lastRow="0" w:firstColumn="1" w:lastColumn="0" w:oddVBand="0" w:evenVBand="0" w:oddHBand="0" w:evenHBand="0" w:firstRowFirstColumn="0" w:firstRowLastColumn="0" w:lastRowFirstColumn="0" w:lastRowLastColumn="0"/>
            <w:tcW w:w="4905" w:type="dxa"/>
          </w:tcPr>
          <w:p w:rsidR="00485BF7" w:rsidRPr="0005133B" w:rsidRDefault="00485BF7" w:rsidP="00F17FE5">
            <w:pPr>
              <w:pStyle w:val="BodyText"/>
              <w:rPr>
                <w:rFonts w:ascii="Times New Roman" w:hAnsi="Times New Roman" w:cs="Times New Roman"/>
                <w:lang w:val="en-US"/>
              </w:rPr>
            </w:pPr>
            <w:r>
              <w:rPr>
                <w:rFonts w:ascii="Times New Roman" w:hAnsi="Times New Roman" w:cs="Times New Roman"/>
                <w:lang w:val="en-US"/>
              </w:rPr>
              <w:t>Gold Reserves</w:t>
            </w:r>
          </w:p>
        </w:tc>
        <w:tc>
          <w:tcPr>
            <w:tcW w:w="4969" w:type="dxa"/>
          </w:tcPr>
          <w:p w:rsidR="00485BF7"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0,0001</w:t>
            </w:r>
          </w:p>
          <w:p w:rsidR="00485BF7" w:rsidRPr="0005133B"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(0,7066)</w:t>
            </w:r>
          </w:p>
        </w:tc>
      </w:tr>
      <w:tr w:rsidR="00485BF7" w:rsidRPr="0005133B" w:rsidTr="00F17FE5">
        <w:trPr>
          <w:trHeight w:val="639"/>
        </w:trPr>
        <w:tc>
          <w:tcPr>
            <w:cnfStyle w:val="001000000000" w:firstRow="0" w:lastRow="0" w:firstColumn="1" w:lastColumn="0" w:oddVBand="0" w:evenVBand="0" w:oddHBand="0" w:evenHBand="0" w:firstRowFirstColumn="0" w:firstRowLastColumn="0" w:lastRowFirstColumn="0" w:lastRowLastColumn="0"/>
            <w:tcW w:w="4905" w:type="dxa"/>
          </w:tcPr>
          <w:p w:rsidR="00485BF7" w:rsidRPr="0005133B" w:rsidRDefault="00485BF7" w:rsidP="00F17FE5">
            <w:pPr>
              <w:pStyle w:val="BodyText"/>
              <w:rPr>
                <w:rFonts w:ascii="Times New Roman" w:hAnsi="Times New Roman" w:cs="Times New Roman"/>
                <w:lang w:val="en-US"/>
              </w:rPr>
            </w:pPr>
            <w:r>
              <w:rPr>
                <w:rFonts w:ascii="Times New Roman" w:hAnsi="Times New Roman" w:cs="Times New Roman"/>
                <w:lang w:val="en-US"/>
              </w:rPr>
              <w:t>MIBOR</w:t>
            </w:r>
          </w:p>
        </w:tc>
        <w:tc>
          <w:tcPr>
            <w:tcW w:w="4969" w:type="dxa"/>
          </w:tcPr>
          <w:p w:rsidR="00485BF7"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-0,1333</w:t>
            </w:r>
          </w:p>
          <w:p w:rsidR="00485BF7" w:rsidRPr="0005133B"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(-0.2396)</w:t>
            </w:r>
          </w:p>
        </w:tc>
      </w:tr>
      <w:tr w:rsidR="00485BF7" w:rsidRPr="0005133B" w:rsidTr="00F17FE5">
        <w:trPr>
          <w:trHeight w:val="367"/>
        </w:trPr>
        <w:tc>
          <w:tcPr>
            <w:cnfStyle w:val="001000000000" w:firstRow="0" w:lastRow="0" w:firstColumn="1" w:lastColumn="0" w:oddVBand="0" w:evenVBand="0" w:oddHBand="0" w:evenHBand="0" w:firstRowFirstColumn="0" w:firstRowLastColumn="0" w:lastRowFirstColumn="0" w:lastRowLastColumn="0"/>
            <w:tcW w:w="4905" w:type="dxa"/>
          </w:tcPr>
          <w:p w:rsidR="00485BF7" w:rsidRDefault="00485BF7" w:rsidP="00F17FE5">
            <w:pPr>
              <w:pStyle w:val="BodyText"/>
              <w:rPr>
                <w:rFonts w:ascii="Times New Roman" w:hAnsi="Times New Roman" w:cs="Times New Roman"/>
                <w:lang w:val="en-US"/>
              </w:rPr>
            </w:pPr>
            <w:r>
              <w:rPr>
                <w:rFonts w:ascii="Times New Roman" w:hAnsi="Times New Roman" w:cs="Times New Roman"/>
                <w:lang w:val="en-US"/>
              </w:rPr>
              <w:t>Adjusted R-square</w:t>
            </w:r>
          </w:p>
        </w:tc>
        <w:tc>
          <w:tcPr>
            <w:tcW w:w="4969" w:type="dxa"/>
          </w:tcPr>
          <w:p w:rsidR="00485BF7"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0,9995</w:t>
            </w:r>
          </w:p>
        </w:tc>
      </w:tr>
      <w:tr w:rsidR="00485BF7" w:rsidRPr="0005133B" w:rsidTr="00F17FE5">
        <w:trPr>
          <w:trHeight w:val="389"/>
        </w:trPr>
        <w:tc>
          <w:tcPr>
            <w:cnfStyle w:val="001000000000" w:firstRow="0" w:lastRow="0" w:firstColumn="1" w:lastColumn="0" w:oddVBand="0" w:evenVBand="0" w:oddHBand="0" w:evenHBand="0" w:firstRowFirstColumn="0" w:firstRowLastColumn="0" w:lastRowFirstColumn="0" w:lastRowLastColumn="0"/>
            <w:tcW w:w="4905" w:type="dxa"/>
          </w:tcPr>
          <w:p w:rsidR="00485BF7" w:rsidRDefault="00485BF7" w:rsidP="00F17FE5">
            <w:pPr>
              <w:pStyle w:val="BodyText"/>
              <w:rPr>
                <w:rFonts w:ascii="Times New Roman" w:hAnsi="Times New Roman" w:cs="Times New Roman"/>
                <w:lang w:val="en-US"/>
              </w:rPr>
            </w:pPr>
            <w:r>
              <w:rPr>
                <w:rFonts w:ascii="Times New Roman" w:hAnsi="Times New Roman" w:cs="Times New Roman"/>
                <w:lang w:val="en-US"/>
              </w:rPr>
              <w:t>F test</w:t>
            </w:r>
          </w:p>
        </w:tc>
        <w:tc>
          <w:tcPr>
            <w:tcW w:w="4969" w:type="dxa"/>
          </w:tcPr>
          <w:p w:rsidR="00485BF7"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2.613.273 ***</w:t>
            </w:r>
          </w:p>
        </w:tc>
      </w:tr>
      <w:tr w:rsidR="00485BF7" w:rsidRPr="0005133B" w:rsidTr="00F17FE5">
        <w:trPr>
          <w:trHeight w:val="389"/>
        </w:trPr>
        <w:tc>
          <w:tcPr>
            <w:cnfStyle w:val="001000000000" w:firstRow="0" w:lastRow="0" w:firstColumn="1" w:lastColumn="0" w:oddVBand="0" w:evenVBand="0" w:oddHBand="0" w:evenHBand="0" w:firstRowFirstColumn="0" w:firstRowLastColumn="0" w:lastRowFirstColumn="0" w:lastRowLastColumn="0"/>
            <w:tcW w:w="4905" w:type="dxa"/>
          </w:tcPr>
          <w:p w:rsidR="00485BF7" w:rsidRDefault="00485BF7" w:rsidP="00F17FE5">
            <w:pPr>
              <w:pStyle w:val="BodyText"/>
              <w:rPr>
                <w:rFonts w:ascii="Times New Roman" w:hAnsi="Times New Roman" w:cs="Times New Roman"/>
                <w:lang w:val="en-US"/>
              </w:rPr>
            </w:pPr>
            <w:r>
              <w:rPr>
                <w:rFonts w:ascii="Times New Roman" w:hAnsi="Times New Roman" w:cs="Times New Roman"/>
                <w:lang w:val="en-US"/>
              </w:rPr>
              <w:t>DW test</w:t>
            </w:r>
          </w:p>
        </w:tc>
        <w:tc>
          <w:tcPr>
            <w:tcW w:w="4969" w:type="dxa"/>
          </w:tcPr>
          <w:p w:rsidR="00485BF7"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1,95</w:t>
            </w:r>
          </w:p>
        </w:tc>
      </w:tr>
      <w:tr w:rsidR="00485BF7" w:rsidRPr="0005133B" w:rsidTr="00F17FE5">
        <w:trPr>
          <w:trHeight w:val="367"/>
        </w:trPr>
        <w:tc>
          <w:tcPr>
            <w:cnfStyle w:val="001000000000" w:firstRow="0" w:lastRow="0" w:firstColumn="1" w:lastColumn="0" w:oddVBand="0" w:evenVBand="0" w:oddHBand="0" w:evenHBand="0" w:firstRowFirstColumn="0" w:firstRowLastColumn="0" w:lastRowFirstColumn="0" w:lastRowLastColumn="0"/>
            <w:tcW w:w="4905" w:type="dxa"/>
          </w:tcPr>
          <w:p w:rsidR="00485BF7" w:rsidRDefault="00485BF7" w:rsidP="00F17FE5">
            <w:pPr>
              <w:pStyle w:val="BodyText"/>
              <w:rPr>
                <w:rFonts w:ascii="Times New Roman" w:hAnsi="Times New Roman" w:cs="Times New Roman"/>
                <w:lang w:val="en-US"/>
              </w:rPr>
            </w:pPr>
            <w:r>
              <w:rPr>
                <w:rFonts w:ascii="Times New Roman" w:hAnsi="Times New Roman" w:cs="Times New Roman"/>
                <w:lang w:val="en-US"/>
              </w:rPr>
              <w:t>Observations</w:t>
            </w:r>
          </w:p>
        </w:tc>
        <w:tc>
          <w:tcPr>
            <w:tcW w:w="4969" w:type="dxa"/>
          </w:tcPr>
          <w:p w:rsidR="00485BF7" w:rsidRDefault="00485BF7" w:rsidP="00F17FE5">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8.646</w:t>
            </w:r>
          </w:p>
        </w:tc>
      </w:tr>
      <w:tr w:rsidR="00485BF7" w:rsidRPr="0005133B" w:rsidTr="00F17FE5">
        <w:trPr>
          <w:trHeight w:val="367"/>
        </w:trPr>
        <w:tc>
          <w:tcPr>
            <w:cnfStyle w:val="001000000000" w:firstRow="0" w:lastRow="0" w:firstColumn="1" w:lastColumn="0" w:oddVBand="0" w:evenVBand="0" w:oddHBand="0" w:evenHBand="0" w:firstRowFirstColumn="0" w:firstRowLastColumn="0" w:lastRowFirstColumn="0" w:lastRowLastColumn="0"/>
            <w:tcW w:w="9874" w:type="dxa"/>
            <w:gridSpan w:val="2"/>
          </w:tcPr>
          <w:p w:rsidR="00485BF7" w:rsidRDefault="00485BF7" w:rsidP="00F17FE5">
            <w:pPr>
              <w:pStyle w:val="BodyText"/>
              <w:spacing w:line="360" w:lineRule="auto"/>
              <w:jc w:val="both"/>
              <w:rPr>
                <w:rFonts w:ascii="Times New Roman" w:hAnsi="Times New Roman" w:cs="Times New Roman"/>
                <w:lang w:val="en-US"/>
              </w:rPr>
            </w:pPr>
            <w:r>
              <w:rPr>
                <w:rFonts w:ascii="Times New Roman" w:hAnsi="Times New Roman" w:cs="Times New Roman"/>
                <w:lang w:val="en-US"/>
              </w:rPr>
              <w:t>*** - statistically significant at 1 percent level</w:t>
            </w:r>
          </w:p>
        </w:tc>
      </w:tr>
      <w:tr w:rsidR="00485BF7" w:rsidRPr="0005133B" w:rsidTr="00F17FE5">
        <w:trPr>
          <w:trHeight w:val="367"/>
        </w:trPr>
        <w:tc>
          <w:tcPr>
            <w:cnfStyle w:val="001000000000" w:firstRow="0" w:lastRow="0" w:firstColumn="1" w:lastColumn="0" w:oddVBand="0" w:evenVBand="0" w:oddHBand="0" w:evenHBand="0" w:firstRowFirstColumn="0" w:firstRowLastColumn="0" w:lastRowFirstColumn="0" w:lastRowLastColumn="0"/>
            <w:tcW w:w="9874" w:type="dxa"/>
            <w:gridSpan w:val="2"/>
          </w:tcPr>
          <w:p w:rsidR="00485BF7" w:rsidRDefault="00485BF7" w:rsidP="00F17FE5">
            <w:pPr>
              <w:pStyle w:val="BodyText"/>
              <w:spacing w:line="360" w:lineRule="auto"/>
              <w:jc w:val="both"/>
              <w:rPr>
                <w:rFonts w:ascii="Times New Roman" w:hAnsi="Times New Roman" w:cs="Times New Roman"/>
                <w:lang w:val="en-US"/>
              </w:rPr>
            </w:pPr>
            <w:r>
              <w:rPr>
                <w:rFonts w:ascii="Times New Roman" w:hAnsi="Times New Roman" w:cs="Times New Roman"/>
                <w:lang w:val="en-US"/>
              </w:rPr>
              <w:t>** - statistically significant at 5 percent level</w:t>
            </w:r>
          </w:p>
        </w:tc>
      </w:tr>
      <w:tr w:rsidR="00485BF7" w:rsidRPr="0005133B" w:rsidTr="00F17FE5">
        <w:trPr>
          <w:trHeight w:val="367"/>
        </w:trPr>
        <w:tc>
          <w:tcPr>
            <w:cnfStyle w:val="001000000000" w:firstRow="0" w:lastRow="0" w:firstColumn="1" w:lastColumn="0" w:oddVBand="0" w:evenVBand="0" w:oddHBand="0" w:evenHBand="0" w:firstRowFirstColumn="0" w:firstRowLastColumn="0" w:lastRowFirstColumn="0" w:lastRowLastColumn="0"/>
            <w:tcW w:w="9874" w:type="dxa"/>
            <w:gridSpan w:val="2"/>
          </w:tcPr>
          <w:p w:rsidR="00485BF7" w:rsidRDefault="00485BF7" w:rsidP="00F17FE5">
            <w:pPr>
              <w:pStyle w:val="BodyText"/>
              <w:spacing w:line="360" w:lineRule="auto"/>
              <w:jc w:val="both"/>
              <w:rPr>
                <w:rFonts w:ascii="Times New Roman" w:hAnsi="Times New Roman" w:cs="Times New Roman"/>
                <w:lang w:val="en-US"/>
              </w:rPr>
            </w:pPr>
            <w:r>
              <w:rPr>
                <w:rFonts w:ascii="Times New Roman" w:hAnsi="Times New Roman" w:cs="Times New Roman"/>
                <w:lang w:val="en-US"/>
              </w:rPr>
              <w:t>* - statistically significant at 10 percent level</w:t>
            </w:r>
          </w:p>
        </w:tc>
      </w:tr>
    </w:tbl>
    <w:p w:rsidR="00A37F79" w:rsidRDefault="00F21577" w:rsidP="008E1892">
      <w:pPr>
        <w:pStyle w:val="BodyText"/>
        <w:spacing w:line="360" w:lineRule="auto"/>
        <w:ind w:firstLine="567"/>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Based on the obtained coefficient results only Stock price in prior period and event dummy variable are statistically significant. Based on the sing of coefficient and statistical significance at 5 percent level, sanctions had negative impact on the stock prices of non-oil and gas companies. </w:t>
      </w:r>
      <w:r w:rsidR="00714077">
        <w:rPr>
          <w:rFonts w:ascii="Times New Roman" w:eastAsiaTheme="minorEastAsia" w:hAnsi="Times New Roman" w:cs="Times New Roman"/>
          <w:sz w:val="24"/>
          <w:szCs w:val="24"/>
          <w:lang w:val="en-US"/>
        </w:rPr>
        <w:t xml:space="preserve">Surprisingly, the oil price itself is not statistically significant. This can be explained by the nature of </w:t>
      </w:r>
      <w:r w:rsidR="00851D22">
        <w:rPr>
          <w:rFonts w:ascii="Times New Roman" w:eastAsiaTheme="minorEastAsia" w:hAnsi="Times New Roman" w:cs="Times New Roman"/>
          <w:sz w:val="24"/>
          <w:szCs w:val="24"/>
          <w:lang w:val="en-US"/>
        </w:rPr>
        <w:t xml:space="preserve">operations of </w:t>
      </w:r>
      <w:r w:rsidR="00714077">
        <w:rPr>
          <w:rFonts w:ascii="Times New Roman" w:eastAsiaTheme="minorEastAsia" w:hAnsi="Times New Roman" w:cs="Times New Roman"/>
          <w:sz w:val="24"/>
          <w:szCs w:val="24"/>
          <w:lang w:val="en-US"/>
        </w:rPr>
        <w:t xml:space="preserve">companies </w:t>
      </w:r>
      <w:r w:rsidR="00851D22">
        <w:rPr>
          <w:rFonts w:ascii="Times New Roman" w:eastAsiaTheme="minorEastAsia" w:hAnsi="Times New Roman" w:cs="Times New Roman"/>
          <w:sz w:val="24"/>
          <w:szCs w:val="24"/>
          <w:lang w:val="en-US"/>
        </w:rPr>
        <w:t xml:space="preserve">whose stock price performance was assessed. For example, NorNickel, Magnit, Sberbank, Alrosa, etc. have low dependency on oil and gas industry. Therefore, those stocks are not affected by the price of oil. </w:t>
      </w:r>
    </w:p>
    <w:p w:rsidR="00DA085C" w:rsidRDefault="00DA085C" w:rsidP="008E1892">
      <w:pPr>
        <w:pStyle w:val="BodyText"/>
        <w:spacing w:line="360" w:lineRule="auto"/>
        <w:ind w:firstLine="567"/>
        <w:jc w:val="both"/>
        <w:rPr>
          <w:rFonts w:ascii="Times New Roman" w:eastAsiaTheme="minorEastAsia" w:hAnsi="Times New Roman" w:cs="Times New Roman"/>
          <w:sz w:val="24"/>
          <w:szCs w:val="24"/>
          <w:lang w:val="en-US"/>
        </w:rPr>
      </w:pPr>
    </w:p>
    <w:p w:rsidR="008965CD" w:rsidRPr="00BF42B6" w:rsidRDefault="00BF42B6" w:rsidP="00B43B98">
      <w:pPr>
        <w:pStyle w:val="Heading1"/>
        <w:numPr>
          <w:ilvl w:val="0"/>
          <w:numId w:val="0"/>
        </w:numPr>
        <w:spacing w:line="360" w:lineRule="auto"/>
        <w:ind w:left="567" w:hanging="567"/>
        <w:rPr>
          <w:rFonts w:ascii="Times New Roman" w:eastAsiaTheme="minorEastAsia" w:hAnsi="Times New Roman" w:cs="Times New Roman"/>
          <w:i w:val="0"/>
          <w:szCs w:val="24"/>
          <w:lang w:val="en-US"/>
        </w:rPr>
      </w:pPr>
      <w:bookmarkStart w:id="24" w:name="_Toc15473249"/>
      <w:r w:rsidRPr="00BF42B6">
        <w:rPr>
          <w:rFonts w:ascii="Times New Roman" w:eastAsiaTheme="minorEastAsia" w:hAnsi="Times New Roman" w:cs="Times New Roman"/>
          <w:i w:val="0"/>
          <w:szCs w:val="24"/>
          <w:lang w:val="en-US"/>
        </w:rPr>
        <w:lastRenderedPageBreak/>
        <w:t xml:space="preserve">Chapter 7. </w:t>
      </w:r>
      <w:r w:rsidR="008965CD" w:rsidRPr="00BF42B6">
        <w:rPr>
          <w:rFonts w:ascii="Times New Roman" w:eastAsiaTheme="minorEastAsia" w:hAnsi="Times New Roman" w:cs="Times New Roman"/>
          <w:i w:val="0"/>
          <w:szCs w:val="24"/>
          <w:lang w:val="en-US"/>
        </w:rPr>
        <w:t>Conclusion</w:t>
      </w:r>
      <w:bookmarkEnd w:id="24"/>
    </w:p>
    <w:p w:rsidR="008965CD" w:rsidRDefault="00B43B98" w:rsidP="0023433A">
      <w:pPr>
        <w:pStyle w:val="BodyText"/>
        <w:spacing w:line="360" w:lineRule="auto"/>
        <w:ind w:firstLine="567"/>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In March 2014, the Russian Federation has adjoined the Crimea peninsula based on the referendum held in the Crimea. Despite the disagreement voice from the European Union and the United States of America, the Crimea peninsula was added to administrative regions of the Russian Federation. In response to actions by the Russian government, the United States and the European Union have imposed various sanctions on the Russian Federation. The sanctions were directed at Russian government, Russian firms as well as Russian individuals (both businessmen and politicians). </w:t>
      </w:r>
      <w:r w:rsidR="0023433A">
        <w:rPr>
          <w:rFonts w:ascii="Times New Roman" w:eastAsiaTheme="minorEastAsia" w:hAnsi="Times New Roman" w:cs="Times New Roman"/>
          <w:sz w:val="24"/>
          <w:szCs w:val="24"/>
          <w:lang w:val="en-US"/>
        </w:rPr>
        <w:t xml:space="preserve">Those sanctions had a goal of refraining the aggression of Russia towards Ukraine through weakening the economy of Russian government. Despite the fact that 5 years have passed since the date of first sanctions (first sanctions were imposed in March 2014), the situation around Crimea has not been resolved yet. Based on this I formulated a research question of whether the sanctions against the Russia had impact on the stock market performance of Russian listed firms.  </w:t>
      </w:r>
    </w:p>
    <w:p w:rsidR="00307DB5" w:rsidRDefault="00307DB5" w:rsidP="0023433A">
      <w:pPr>
        <w:pStyle w:val="BodyText"/>
        <w:spacing w:line="360" w:lineRule="auto"/>
        <w:ind w:firstLine="567"/>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Various literature in the past have found the negative impact of political conflicts and sanctions on the stock market performance</w:t>
      </w:r>
      <w:r w:rsidR="001A28D9">
        <w:rPr>
          <w:rFonts w:ascii="Times New Roman" w:eastAsiaTheme="minorEastAsia" w:hAnsi="Times New Roman" w:cs="Times New Roman"/>
          <w:sz w:val="24"/>
          <w:szCs w:val="24"/>
          <w:lang w:val="en-US"/>
        </w:rPr>
        <w:t xml:space="preserve"> </w:t>
      </w:r>
      <w:sdt>
        <w:sdtPr>
          <w:rPr>
            <w:rFonts w:ascii="Times New Roman" w:eastAsiaTheme="minorEastAsia" w:hAnsi="Times New Roman" w:cs="Times New Roman"/>
            <w:sz w:val="24"/>
            <w:szCs w:val="24"/>
            <w:lang w:val="en-US"/>
          </w:rPr>
          <w:id w:val="2001618616"/>
          <w:citation/>
        </w:sdtPr>
        <w:sdtEndPr/>
        <w:sdtContent>
          <w:r w:rsidR="001A28D9">
            <w:rPr>
              <w:rFonts w:ascii="Times New Roman" w:eastAsiaTheme="minorEastAsia" w:hAnsi="Times New Roman" w:cs="Times New Roman"/>
              <w:sz w:val="24"/>
              <w:szCs w:val="24"/>
              <w:lang w:val="en-US"/>
            </w:rPr>
            <w:fldChar w:fldCharType="begin"/>
          </w:r>
          <w:r w:rsidR="001A28D9">
            <w:rPr>
              <w:rFonts w:ascii="Times New Roman" w:eastAsiaTheme="minorEastAsia" w:hAnsi="Times New Roman" w:cs="Times New Roman"/>
              <w:sz w:val="24"/>
              <w:szCs w:val="24"/>
              <w:lang w:val="en-US"/>
            </w:rPr>
            <w:instrText xml:space="preserve"> CITATION Abd13 \l 1033 </w:instrText>
          </w:r>
          <w:r w:rsidR="001A28D9">
            <w:rPr>
              <w:rFonts w:ascii="Times New Roman" w:eastAsiaTheme="minorEastAsia" w:hAnsi="Times New Roman" w:cs="Times New Roman"/>
              <w:sz w:val="24"/>
              <w:szCs w:val="24"/>
              <w:lang w:val="en-US"/>
            </w:rPr>
            <w:fldChar w:fldCharType="separate"/>
          </w:r>
          <w:r w:rsidR="00AE6A31" w:rsidRPr="00AE6A31">
            <w:rPr>
              <w:rFonts w:ascii="Times New Roman" w:eastAsiaTheme="minorEastAsia" w:hAnsi="Times New Roman" w:cs="Times New Roman"/>
              <w:noProof/>
              <w:sz w:val="24"/>
              <w:szCs w:val="24"/>
              <w:lang w:val="en-US"/>
            </w:rPr>
            <w:t>(Abdelbaki, 2013)</w:t>
          </w:r>
          <w:r w:rsidR="001A28D9">
            <w:rPr>
              <w:rFonts w:ascii="Times New Roman" w:eastAsiaTheme="minorEastAsia" w:hAnsi="Times New Roman" w:cs="Times New Roman"/>
              <w:sz w:val="24"/>
              <w:szCs w:val="24"/>
              <w:lang w:val="en-US"/>
            </w:rPr>
            <w:fldChar w:fldCharType="end"/>
          </w:r>
        </w:sdtContent>
      </w:sdt>
      <w:sdt>
        <w:sdtPr>
          <w:rPr>
            <w:rFonts w:ascii="Times New Roman" w:eastAsiaTheme="minorEastAsia" w:hAnsi="Times New Roman" w:cs="Times New Roman"/>
            <w:sz w:val="24"/>
            <w:szCs w:val="24"/>
            <w:lang w:val="en-US"/>
          </w:rPr>
          <w:id w:val="-868294582"/>
          <w:citation/>
        </w:sdtPr>
        <w:sdtEndPr/>
        <w:sdtContent>
          <w:r w:rsidR="001A28D9">
            <w:rPr>
              <w:rFonts w:ascii="Times New Roman" w:eastAsiaTheme="minorEastAsia" w:hAnsi="Times New Roman" w:cs="Times New Roman"/>
              <w:sz w:val="24"/>
              <w:szCs w:val="24"/>
              <w:lang w:val="en-US"/>
            </w:rPr>
            <w:fldChar w:fldCharType="begin"/>
          </w:r>
          <w:r w:rsidR="001A28D9">
            <w:rPr>
              <w:rFonts w:ascii="Times New Roman" w:eastAsiaTheme="minorEastAsia" w:hAnsi="Times New Roman" w:cs="Times New Roman"/>
              <w:sz w:val="24"/>
              <w:szCs w:val="24"/>
              <w:lang w:val="en-US"/>
            </w:rPr>
            <w:instrText xml:space="preserve"> CITATION Ank17 \l 1033 </w:instrText>
          </w:r>
          <w:r w:rsidR="001A28D9">
            <w:rPr>
              <w:rFonts w:ascii="Times New Roman" w:eastAsiaTheme="minorEastAsia" w:hAnsi="Times New Roman" w:cs="Times New Roman"/>
              <w:sz w:val="24"/>
              <w:szCs w:val="24"/>
              <w:lang w:val="en-US"/>
            </w:rPr>
            <w:fldChar w:fldCharType="separate"/>
          </w:r>
          <w:r w:rsidR="00AE6A31">
            <w:rPr>
              <w:rFonts w:ascii="Times New Roman" w:eastAsiaTheme="minorEastAsia" w:hAnsi="Times New Roman" w:cs="Times New Roman"/>
              <w:noProof/>
              <w:sz w:val="24"/>
              <w:szCs w:val="24"/>
              <w:lang w:val="en-US"/>
            </w:rPr>
            <w:t xml:space="preserve"> </w:t>
          </w:r>
          <w:r w:rsidR="00AE6A31" w:rsidRPr="00AE6A31">
            <w:rPr>
              <w:rFonts w:ascii="Times New Roman" w:eastAsiaTheme="minorEastAsia" w:hAnsi="Times New Roman" w:cs="Times New Roman"/>
              <w:noProof/>
              <w:sz w:val="24"/>
              <w:szCs w:val="24"/>
              <w:lang w:val="en-US"/>
            </w:rPr>
            <w:t>(Ankudinov, Ibragimov, &amp; Lebedev, 2017)</w:t>
          </w:r>
          <w:r w:rsidR="001A28D9">
            <w:rPr>
              <w:rFonts w:ascii="Times New Roman" w:eastAsiaTheme="minorEastAsia" w:hAnsi="Times New Roman" w:cs="Times New Roman"/>
              <w:sz w:val="24"/>
              <w:szCs w:val="24"/>
              <w:lang w:val="en-US"/>
            </w:rPr>
            <w:fldChar w:fldCharType="end"/>
          </w:r>
        </w:sdtContent>
      </w:sdt>
      <w:sdt>
        <w:sdtPr>
          <w:rPr>
            <w:rFonts w:ascii="Times New Roman" w:eastAsiaTheme="minorEastAsia" w:hAnsi="Times New Roman" w:cs="Times New Roman"/>
            <w:sz w:val="24"/>
            <w:szCs w:val="24"/>
            <w:lang w:val="en-US"/>
          </w:rPr>
          <w:id w:val="813601273"/>
          <w:citation/>
        </w:sdtPr>
        <w:sdtEndPr/>
        <w:sdtContent>
          <w:r w:rsidR="001A28D9">
            <w:rPr>
              <w:rFonts w:ascii="Times New Roman" w:eastAsiaTheme="minorEastAsia" w:hAnsi="Times New Roman" w:cs="Times New Roman"/>
              <w:sz w:val="24"/>
              <w:szCs w:val="24"/>
              <w:lang w:val="en-US"/>
            </w:rPr>
            <w:fldChar w:fldCharType="begin"/>
          </w:r>
          <w:r w:rsidR="001A28D9">
            <w:rPr>
              <w:rFonts w:ascii="Times New Roman" w:eastAsiaTheme="minorEastAsia" w:hAnsi="Times New Roman" w:cs="Times New Roman"/>
              <w:sz w:val="24"/>
              <w:szCs w:val="24"/>
              <w:lang w:val="en-US"/>
            </w:rPr>
            <w:instrText xml:space="preserve"> CITATION Dre14 \l 1033 </w:instrText>
          </w:r>
          <w:r w:rsidR="001A28D9">
            <w:rPr>
              <w:rFonts w:ascii="Times New Roman" w:eastAsiaTheme="minorEastAsia" w:hAnsi="Times New Roman" w:cs="Times New Roman"/>
              <w:sz w:val="24"/>
              <w:szCs w:val="24"/>
              <w:lang w:val="en-US"/>
            </w:rPr>
            <w:fldChar w:fldCharType="separate"/>
          </w:r>
          <w:r w:rsidR="00AE6A31">
            <w:rPr>
              <w:rFonts w:ascii="Times New Roman" w:eastAsiaTheme="minorEastAsia" w:hAnsi="Times New Roman" w:cs="Times New Roman"/>
              <w:noProof/>
              <w:sz w:val="24"/>
              <w:szCs w:val="24"/>
              <w:lang w:val="en-US"/>
            </w:rPr>
            <w:t xml:space="preserve"> </w:t>
          </w:r>
          <w:r w:rsidR="00AE6A31" w:rsidRPr="00AE6A31">
            <w:rPr>
              <w:rFonts w:ascii="Times New Roman" w:eastAsiaTheme="minorEastAsia" w:hAnsi="Times New Roman" w:cs="Times New Roman"/>
              <w:noProof/>
              <w:sz w:val="24"/>
              <w:szCs w:val="24"/>
              <w:lang w:val="en-US"/>
            </w:rPr>
            <w:t>(Dreyer &amp; Popescu, 2014)</w:t>
          </w:r>
          <w:r w:rsidR="001A28D9">
            <w:rPr>
              <w:rFonts w:ascii="Times New Roman" w:eastAsiaTheme="minorEastAsia" w:hAnsi="Times New Roman" w:cs="Times New Roman"/>
              <w:sz w:val="24"/>
              <w:szCs w:val="24"/>
              <w:lang w:val="en-US"/>
            </w:rPr>
            <w:fldChar w:fldCharType="end"/>
          </w:r>
        </w:sdtContent>
      </w:sdt>
      <w:r>
        <w:rPr>
          <w:rFonts w:ascii="Times New Roman" w:eastAsiaTheme="minorEastAsia" w:hAnsi="Times New Roman" w:cs="Times New Roman"/>
          <w:sz w:val="24"/>
          <w:szCs w:val="24"/>
          <w:lang w:val="en-US"/>
        </w:rPr>
        <w:t xml:space="preserve">. </w:t>
      </w:r>
      <w:r w:rsidR="00FE41EF">
        <w:rPr>
          <w:rFonts w:ascii="Times New Roman" w:eastAsiaTheme="minorEastAsia" w:hAnsi="Times New Roman" w:cs="Times New Roman"/>
          <w:sz w:val="24"/>
          <w:szCs w:val="24"/>
          <w:lang w:val="en-US"/>
        </w:rPr>
        <w:t xml:space="preserve">This stems from the idea that political conflicts and sanctions hurt the economic activity of the country and therefore directly </w:t>
      </w:r>
      <w:r w:rsidR="00BC5575">
        <w:rPr>
          <w:rFonts w:ascii="Times New Roman" w:eastAsiaTheme="minorEastAsia" w:hAnsi="Times New Roman" w:cs="Times New Roman"/>
          <w:sz w:val="24"/>
          <w:szCs w:val="24"/>
          <w:lang w:val="en-US"/>
        </w:rPr>
        <w:t>affect</w:t>
      </w:r>
      <w:r w:rsidR="00FE41EF">
        <w:rPr>
          <w:rFonts w:ascii="Times New Roman" w:eastAsiaTheme="minorEastAsia" w:hAnsi="Times New Roman" w:cs="Times New Roman"/>
          <w:sz w:val="24"/>
          <w:szCs w:val="24"/>
          <w:lang w:val="en-US"/>
        </w:rPr>
        <w:t xml:space="preserve"> the operation of </w:t>
      </w:r>
      <w:r w:rsidR="00BC5575">
        <w:rPr>
          <w:rFonts w:ascii="Times New Roman" w:eastAsiaTheme="minorEastAsia" w:hAnsi="Times New Roman" w:cs="Times New Roman"/>
          <w:sz w:val="24"/>
          <w:szCs w:val="24"/>
          <w:lang w:val="en-US"/>
        </w:rPr>
        <w:t xml:space="preserve">firms. Lower future profitability of firms listed in stock exchange should result in declining stock prices. </w:t>
      </w:r>
      <w:r w:rsidR="005F6A48">
        <w:rPr>
          <w:rFonts w:ascii="Times New Roman" w:eastAsiaTheme="minorEastAsia" w:hAnsi="Times New Roman" w:cs="Times New Roman"/>
          <w:sz w:val="24"/>
          <w:szCs w:val="24"/>
          <w:lang w:val="en-US"/>
        </w:rPr>
        <w:t>The findings of the paper suggested that despite increase in the stock prices of firms</w:t>
      </w:r>
      <w:r w:rsidR="001E73B6">
        <w:rPr>
          <w:rFonts w:ascii="Times New Roman" w:eastAsiaTheme="minorEastAsia" w:hAnsi="Times New Roman" w:cs="Times New Roman"/>
          <w:sz w:val="24"/>
          <w:szCs w:val="24"/>
          <w:lang w:val="en-US"/>
        </w:rPr>
        <w:t>,</w:t>
      </w:r>
      <w:r w:rsidR="005F6A48">
        <w:rPr>
          <w:rFonts w:ascii="Times New Roman" w:eastAsiaTheme="minorEastAsia" w:hAnsi="Times New Roman" w:cs="Times New Roman"/>
          <w:sz w:val="24"/>
          <w:szCs w:val="24"/>
          <w:lang w:val="en-US"/>
        </w:rPr>
        <w:t xml:space="preserve"> which constitutes the MICEX 10 index, the sanctions had negative impact on the value of these stocks. </w:t>
      </w:r>
      <w:r w:rsidR="0013432F">
        <w:rPr>
          <w:rFonts w:ascii="Times New Roman" w:eastAsiaTheme="minorEastAsia" w:hAnsi="Times New Roman" w:cs="Times New Roman"/>
          <w:sz w:val="24"/>
          <w:szCs w:val="24"/>
          <w:lang w:val="en-US"/>
        </w:rPr>
        <w:t xml:space="preserve">It can be said that without sanctions return and growth of those stocks would have been higher. </w:t>
      </w:r>
    </w:p>
    <w:p w:rsidR="00DA085C" w:rsidRDefault="00B55052" w:rsidP="0023433A">
      <w:pPr>
        <w:pStyle w:val="BodyText"/>
        <w:spacing w:line="360" w:lineRule="auto"/>
        <w:ind w:firstLine="567"/>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The next table presents the actual sign of coefficient of independent variables and compares them to expected signs based on the prior literature. Except for exchange rate and MIBOR, signs for all other independent variables were in line with the prior literature review. </w:t>
      </w:r>
    </w:p>
    <w:p w:rsidR="0086355F" w:rsidRPr="00A72FEB" w:rsidRDefault="0086355F" w:rsidP="0086355F">
      <w:pPr>
        <w:pStyle w:val="BodyText"/>
        <w:spacing w:line="360" w:lineRule="auto"/>
        <w:ind w:firstLine="567"/>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Surprisingly, based on the results of the regression model it seems that exchange rate has positive impact on the growth of the stock price. This can be explained as follows. The firms under study represented ten firms with the most liquid stock on the Russian stock exchange. Among those 10 firms, 3 firms were in oil and gas industry, and the rest 7 firms were in mining (1 firm), retail (1), precious and ferroneous metals (1 firm) and financials industry (4 firms). Firms in oil and gas sector incur costs in rubles and earn revenues in USD. Therefore, weakening Russian ruble increases their gross margins. From the regression results in table 8 and 9, exchange rate has positive coefficient and is statistically significant for oil and gas companies, whereas for non-oil and gas companies the variable is statistically not significant. Moreover, during the period of sanctions, when the Russian ruble was depreciating every </w:t>
      </w:r>
      <w:r>
        <w:rPr>
          <w:rFonts w:ascii="Times New Roman" w:eastAsiaTheme="minorEastAsia" w:hAnsi="Times New Roman" w:cs="Times New Roman"/>
          <w:sz w:val="24"/>
          <w:szCs w:val="24"/>
          <w:lang w:val="en-US"/>
        </w:rPr>
        <w:lastRenderedPageBreak/>
        <w:t>day, in order to maintain liquidity and trust in the market, the Russian Central bank was constantly intervening in the market. Therefore, depreciating Russian ruble had no impact on the stock performance of those firms. And finally, Anotolyev (2008) when assessing the determinants of the stock market, used MSCI</w:t>
      </w:r>
      <w:r>
        <w:rPr>
          <w:rFonts w:ascii="Times New Roman" w:eastAsiaTheme="minorEastAsia" w:hAnsi="Times New Roman" w:cs="Times New Roman"/>
          <w:sz w:val="24"/>
          <w:szCs w:val="24"/>
          <w:vertAlign w:val="superscript"/>
          <w:lang w:val="en-US"/>
        </w:rPr>
        <w:t>ru</w:t>
      </w:r>
      <w:r>
        <w:rPr>
          <w:rFonts w:ascii="Times New Roman" w:eastAsiaTheme="minorEastAsia" w:hAnsi="Times New Roman" w:cs="Times New Roman"/>
          <w:sz w:val="24"/>
          <w:szCs w:val="24"/>
          <w:lang w:val="en-US"/>
        </w:rPr>
        <w:t xml:space="preserve"> as a proxy for the Russian stock market performance. MSCI</w:t>
      </w:r>
      <w:r>
        <w:rPr>
          <w:rFonts w:ascii="Times New Roman" w:eastAsiaTheme="minorEastAsia" w:hAnsi="Times New Roman" w:cs="Times New Roman"/>
          <w:sz w:val="24"/>
          <w:szCs w:val="24"/>
          <w:vertAlign w:val="superscript"/>
          <w:lang w:val="en-US"/>
        </w:rPr>
        <w:t xml:space="preserve">ru </w:t>
      </w:r>
      <w:r>
        <w:rPr>
          <w:rFonts w:ascii="Times New Roman" w:eastAsiaTheme="minorEastAsia" w:hAnsi="Times New Roman" w:cs="Times New Roman"/>
          <w:sz w:val="24"/>
          <w:szCs w:val="24"/>
          <w:lang w:val="en-US"/>
        </w:rPr>
        <w:t xml:space="preserve">index (Morgan Stanley Capital International) is expressed in USD, therefore depreciating ruble also decreases the value of the index. Despite having the contradicting sign of regression coefficient, MIBOR variable is statistically not significant and therefore does not impact the regression model and results.  </w:t>
      </w:r>
    </w:p>
    <w:p w:rsidR="00FA327E" w:rsidRPr="00FA327E" w:rsidRDefault="00FA327E" w:rsidP="00FA327E">
      <w:pPr>
        <w:pStyle w:val="Caption"/>
        <w:keepNext/>
        <w:rPr>
          <w:rFonts w:ascii="Times New Roman" w:hAnsi="Times New Roman" w:cs="Times New Roman"/>
          <w:sz w:val="20"/>
          <w:szCs w:val="20"/>
        </w:rPr>
      </w:pPr>
      <w:bookmarkStart w:id="25" w:name="_Toc15484948"/>
      <w:r w:rsidRPr="00FA327E">
        <w:rPr>
          <w:rFonts w:ascii="Times New Roman" w:hAnsi="Times New Roman" w:cs="Times New Roman"/>
          <w:color w:val="auto"/>
          <w:sz w:val="20"/>
          <w:szCs w:val="20"/>
        </w:rPr>
        <w:t xml:space="preserve">Table </w:t>
      </w:r>
      <w:r w:rsidRPr="00FA327E">
        <w:rPr>
          <w:rFonts w:ascii="Times New Roman" w:hAnsi="Times New Roman" w:cs="Times New Roman"/>
          <w:color w:val="auto"/>
          <w:sz w:val="20"/>
          <w:szCs w:val="20"/>
        </w:rPr>
        <w:fldChar w:fldCharType="begin"/>
      </w:r>
      <w:r w:rsidRPr="00FA327E">
        <w:rPr>
          <w:rFonts w:ascii="Times New Roman" w:hAnsi="Times New Roman" w:cs="Times New Roman"/>
          <w:color w:val="auto"/>
          <w:sz w:val="20"/>
          <w:szCs w:val="20"/>
        </w:rPr>
        <w:instrText xml:space="preserve"> SEQ Table \* ARABIC </w:instrText>
      </w:r>
      <w:r w:rsidRPr="00FA327E">
        <w:rPr>
          <w:rFonts w:ascii="Times New Roman" w:hAnsi="Times New Roman" w:cs="Times New Roman"/>
          <w:color w:val="auto"/>
          <w:sz w:val="20"/>
          <w:szCs w:val="20"/>
        </w:rPr>
        <w:fldChar w:fldCharType="separate"/>
      </w:r>
      <w:r w:rsidRPr="00FA327E">
        <w:rPr>
          <w:rFonts w:ascii="Times New Roman" w:hAnsi="Times New Roman" w:cs="Times New Roman"/>
          <w:noProof/>
          <w:color w:val="auto"/>
          <w:sz w:val="20"/>
          <w:szCs w:val="20"/>
        </w:rPr>
        <w:t>10</w:t>
      </w:r>
      <w:r w:rsidRPr="00FA327E">
        <w:rPr>
          <w:rFonts w:ascii="Times New Roman" w:hAnsi="Times New Roman" w:cs="Times New Roman"/>
          <w:color w:val="auto"/>
          <w:sz w:val="20"/>
          <w:szCs w:val="20"/>
        </w:rPr>
        <w:fldChar w:fldCharType="end"/>
      </w:r>
      <w:r w:rsidRPr="00FA327E">
        <w:rPr>
          <w:rFonts w:ascii="Times New Roman" w:hAnsi="Times New Roman" w:cs="Times New Roman"/>
          <w:color w:val="auto"/>
          <w:sz w:val="20"/>
          <w:szCs w:val="20"/>
        </w:rPr>
        <w:t xml:space="preserve">. </w:t>
      </w:r>
      <w:r w:rsidR="003E4FA8">
        <w:rPr>
          <w:rFonts w:ascii="Times New Roman" w:hAnsi="Times New Roman" w:cs="Times New Roman"/>
          <w:color w:val="auto"/>
          <w:sz w:val="20"/>
          <w:szCs w:val="20"/>
        </w:rPr>
        <w:t xml:space="preserve">Comparison of </w:t>
      </w:r>
      <w:r w:rsidRPr="00FA327E">
        <w:rPr>
          <w:rFonts w:ascii="Times New Roman" w:hAnsi="Times New Roman" w:cs="Times New Roman"/>
          <w:color w:val="auto"/>
          <w:sz w:val="20"/>
          <w:szCs w:val="20"/>
        </w:rPr>
        <w:t>Actual vs. Expected signs of regression coefficients</w:t>
      </w:r>
      <w:bookmarkEnd w:id="25"/>
    </w:p>
    <w:tbl>
      <w:tblPr>
        <w:tblStyle w:val="PlainTable5"/>
        <w:tblW w:w="0" w:type="auto"/>
        <w:tblLook w:val="04A0" w:firstRow="1" w:lastRow="0" w:firstColumn="1" w:lastColumn="0" w:noHBand="0" w:noVBand="1"/>
      </w:tblPr>
      <w:tblGrid>
        <w:gridCol w:w="2183"/>
        <w:gridCol w:w="1882"/>
        <w:gridCol w:w="2003"/>
        <w:gridCol w:w="1975"/>
        <w:gridCol w:w="1821"/>
      </w:tblGrid>
      <w:tr w:rsidR="00F96601" w:rsidRPr="009014D2" w:rsidTr="00F96601">
        <w:trPr>
          <w:cnfStyle w:val="100000000000" w:firstRow="1" w:lastRow="0" w:firstColumn="0" w:lastColumn="0" w:oddVBand="0" w:evenVBand="0" w:oddHBand="0" w:evenHBand="0" w:firstRowFirstColumn="0" w:firstRowLastColumn="0" w:lastRowFirstColumn="0" w:lastRowLastColumn="0"/>
          <w:trHeight w:val="389"/>
        </w:trPr>
        <w:tc>
          <w:tcPr>
            <w:cnfStyle w:val="001000000100" w:firstRow="0" w:lastRow="0" w:firstColumn="1" w:lastColumn="0" w:oddVBand="0" w:evenVBand="0" w:oddHBand="0" w:evenHBand="0" w:firstRowFirstColumn="1" w:firstRowLastColumn="0" w:lastRowFirstColumn="0" w:lastRowLastColumn="0"/>
            <w:tcW w:w="2183" w:type="dxa"/>
          </w:tcPr>
          <w:p w:rsidR="00F96601" w:rsidRPr="009014D2" w:rsidRDefault="00F96601" w:rsidP="004729BE">
            <w:pPr>
              <w:pStyle w:val="BodyText"/>
              <w:spacing w:line="360" w:lineRule="auto"/>
              <w:jc w:val="both"/>
              <w:rPr>
                <w:rFonts w:ascii="Times New Roman" w:eastAsiaTheme="minorEastAsia" w:hAnsi="Times New Roman" w:cs="Times New Roman"/>
                <w:sz w:val="20"/>
                <w:lang w:val="en-US"/>
              </w:rPr>
            </w:pPr>
            <w:r>
              <w:rPr>
                <w:rFonts w:ascii="Times New Roman" w:eastAsiaTheme="minorEastAsia" w:hAnsi="Times New Roman" w:cs="Times New Roman"/>
                <w:sz w:val="20"/>
                <w:lang w:val="en-US"/>
              </w:rPr>
              <w:t>Explanatory Variables</w:t>
            </w:r>
          </w:p>
        </w:tc>
        <w:tc>
          <w:tcPr>
            <w:tcW w:w="1882" w:type="dxa"/>
          </w:tcPr>
          <w:p w:rsidR="00F96601" w:rsidRPr="009014D2" w:rsidRDefault="00F96601" w:rsidP="004729BE">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Paper</w:t>
            </w:r>
          </w:p>
        </w:tc>
        <w:tc>
          <w:tcPr>
            <w:tcW w:w="2003" w:type="dxa"/>
          </w:tcPr>
          <w:p w:rsidR="00F96601" w:rsidRPr="009014D2" w:rsidRDefault="00F96601" w:rsidP="004729BE">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Expected Sign</w:t>
            </w:r>
          </w:p>
        </w:tc>
        <w:tc>
          <w:tcPr>
            <w:tcW w:w="1975" w:type="dxa"/>
          </w:tcPr>
          <w:p w:rsidR="00F96601" w:rsidRPr="009014D2" w:rsidRDefault="00F96601" w:rsidP="004729BE">
            <w:pPr>
              <w:pStyle w:val="BodyText"/>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sz w:val="20"/>
                <w:lang w:val="en-US"/>
              </w:rPr>
            </w:pPr>
            <w:r>
              <w:rPr>
                <w:rFonts w:ascii="Times New Roman" w:eastAsiaTheme="minorEastAsia" w:hAnsi="Times New Roman" w:cs="Times New Roman"/>
                <w:sz w:val="20"/>
                <w:lang w:val="en-US"/>
              </w:rPr>
              <w:t xml:space="preserve">Actual Sign (Oil and Gas companies) </w:t>
            </w:r>
          </w:p>
        </w:tc>
        <w:tc>
          <w:tcPr>
            <w:tcW w:w="1821" w:type="dxa"/>
          </w:tcPr>
          <w:p w:rsidR="00F96601" w:rsidRDefault="00F96601" w:rsidP="00F96601">
            <w:pPr>
              <w:pStyle w:val="BodyText"/>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sz w:val="20"/>
                <w:lang w:val="en-US"/>
              </w:rPr>
              <w:t>Actual Sign (</w:t>
            </w:r>
            <w:r>
              <w:rPr>
                <w:rFonts w:ascii="Times New Roman" w:eastAsiaTheme="minorEastAsia" w:hAnsi="Times New Roman" w:cs="Times New Roman"/>
                <w:sz w:val="20"/>
                <w:lang w:val="en-US"/>
              </w:rPr>
              <w:t>Non-o</w:t>
            </w:r>
            <w:r>
              <w:rPr>
                <w:rFonts w:ascii="Times New Roman" w:eastAsiaTheme="minorEastAsia" w:hAnsi="Times New Roman" w:cs="Times New Roman"/>
                <w:sz w:val="20"/>
                <w:lang w:val="en-US"/>
              </w:rPr>
              <w:t>il and Gas companies)</w:t>
            </w:r>
          </w:p>
        </w:tc>
      </w:tr>
      <w:tr w:rsidR="00F96601" w:rsidRPr="009014D2" w:rsidTr="00F96601">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183" w:type="dxa"/>
          </w:tcPr>
          <w:p w:rsidR="00F96601" w:rsidRPr="009014D2" w:rsidRDefault="00F96601" w:rsidP="004729BE">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Stock Price (t-1)</w:t>
            </w:r>
          </w:p>
        </w:tc>
        <w:tc>
          <w:tcPr>
            <w:tcW w:w="1882" w:type="dxa"/>
          </w:tcPr>
          <w:p w:rsidR="00F96601" w:rsidRPr="009014D2" w:rsidRDefault="00F96601"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Abdelbaki (2013)</w:t>
            </w:r>
          </w:p>
        </w:tc>
        <w:tc>
          <w:tcPr>
            <w:tcW w:w="2003" w:type="dxa"/>
          </w:tcPr>
          <w:p w:rsidR="00F96601" w:rsidRPr="009014D2" w:rsidRDefault="00F96601"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w:t>
            </w:r>
          </w:p>
        </w:tc>
        <w:tc>
          <w:tcPr>
            <w:tcW w:w="1975" w:type="dxa"/>
          </w:tcPr>
          <w:p w:rsidR="00F96601" w:rsidRPr="009014D2" w:rsidRDefault="00F96601"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p>
        </w:tc>
        <w:tc>
          <w:tcPr>
            <w:tcW w:w="1821" w:type="dxa"/>
          </w:tcPr>
          <w:p w:rsidR="00F96601" w:rsidRDefault="009D6D6C"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p>
        </w:tc>
      </w:tr>
      <w:tr w:rsidR="00F96601" w:rsidRPr="009014D2" w:rsidTr="00F96601">
        <w:trPr>
          <w:trHeight w:val="389"/>
        </w:trPr>
        <w:tc>
          <w:tcPr>
            <w:cnfStyle w:val="001000000000" w:firstRow="0" w:lastRow="0" w:firstColumn="1" w:lastColumn="0" w:oddVBand="0" w:evenVBand="0" w:oddHBand="0" w:evenHBand="0" w:firstRowFirstColumn="0" w:firstRowLastColumn="0" w:lastRowFirstColumn="0" w:lastRowLastColumn="0"/>
            <w:tcW w:w="2183" w:type="dxa"/>
          </w:tcPr>
          <w:p w:rsidR="00F96601" w:rsidRPr="009014D2" w:rsidRDefault="00F96601" w:rsidP="004729BE">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Oil and Gas Dummy</w:t>
            </w:r>
          </w:p>
        </w:tc>
        <w:tc>
          <w:tcPr>
            <w:tcW w:w="1882" w:type="dxa"/>
          </w:tcPr>
          <w:p w:rsidR="00F96601" w:rsidRPr="009014D2" w:rsidRDefault="00F96601"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N/A</w:t>
            </w:r>
          </w:p>
        </w:tc>
        <w:tc>
          <w:tcPr>
            <w:tcW w:w="2003" w:type="dxa"/>
          </w:tcPr>
          <w:p w:rsidR="00F96601" w:rsidRPr="009014D2" w:rsidRDefault="00F96601"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N/A</w:t>
            </w:r>
          </w:p>
        </w:tc>
        <w:tc>
          <w:tcPr>
            <w:tcW w:w="1975" w:type="dxa"/>
          </w:tcPr>
          <w:p w:rsidR="00F96601" w:rsidRPr="009014D2" w:rsidRDefault="00F96601"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p>
        </w:tc>
        <w:tc>
          <w:tcPr>
            <w:tcW w:w="1821" w:type="dxa"/>
          </w:tcPr>
          <w:p w:rsidR="00F96601" w:rsidRDefault="00F96601"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N/A</w:t>
            </w:r>
          </w:p>
        </w:tc>
      </w:tr>
      <w:tr w:rsidR="00F96601" w:rsidRPr="009014D2" w:rsidTr="00F96601">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183" w:type="dxa"/>
          </w:tcPr>
          <w:p w:rsidR="00F96601" w:rsidRPr="009014D2" w:rsidRDefault="00F96601" w:rsidP="004729BE">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Events Dummy</w:t>
            </w:r>
          </w:p>
        </w:tc>
        <w:tc>
          <w:tcPr>
            <w:tcW w:w="1882" w:type="dxa"/>
          </w:tcPr>
          <w:p w:rsidR="00F96601" w:rsidRPr="009014D2" w:rsidRDefault="00F96601"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Abdelbaki (2013)</w:t>
            </w:r>
          </w:p>
        </w:tc>
        <w:tc>
          <w:tcPr>
            <w:tcW w:w="2003" w:type="dxa"/>
          </w:tcPr>
          <w:p w:rsidR="00F96601" w:rsidRPr="009014D2" w:rsidRDefault="00F96601"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 xml:space="preserve">- </w:t>
            </w:r>
          </w:p>
        </w:tc>
        <w:tc>
          <w:tcPr>
            <w:tcW w:w="1975" w:type="dxa"/>
          </w:tcPr>
          <w:p w:rsidR="00F96601" w:rsidRPr="009014D2" w:rsidRDefault="009D6D6C"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p>
        </w:tc>
        <w:tc>
          <w:tcPr>
            <w:tcW w:w="1821" w:type="dxa"/>
          </w:tcPr>
          <w:p w:rsidR="00F96601" w:rsidRDefault="009D6D6C"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p>
        </w:tc>
      </w:tr>
      <w:tr w:rsidR="00F96601" w:rsidRPr="009014D2" w:rsidTr="00F96601">
        <w:trPr>
          <w:trHeight w:val="389"/>
        </w:trPr>
        <w:tc>
          <w:tcPr>
            <w:cnfStyle w:val="001000000000" w:firstRow="0" w:lastRow="0" w:firstColumn="1" w:lastColumn="0" w:oddVBand="0" w:evenVBand="0" w:oddHBand="0" w:evenHBand="0" w:firstRowFirstColumn="0" w:firstRowLastColumn="0" w:lastRowFirstColumn="0" w:lastRowLastColumn="0"/>
            <w:tcW w:w="2183" w:type="dxa"/>
          </w:tcPr>
          <w:p w:rsidR="00F96601" w:rsidRPr="009014D2" w:rsidRDefault="00F96601" w:rsidP="004729BE">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Oil Price</w:t>
            </w:r>
          </w:p>
        </w:tc>
        <w:tc>
          <w:tcPr>
            <w:tcW w:w="1882" w:type="dxa"/>
          </w:tcPr>
          <w:p w:rsidR="00F96601" w:rsidRPr="009014D2" w:rsidRDefault="00F96601"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Anotolyev (2008)</w:t>
            </w:r>
          </w:p>
        </w:tc>
        <w:tc>
          <w:tcPr>
            <w:tcW w:w="2003" w:type="dxa"/>
          </w:tcPr>
          <w:p w:rsidR="00F96601" w:rsidRPr="009014D2" w:rsidRDefault="00F96601"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w:t>
            </w:r>
          </w:p>
        </w:tc>
        <w:tc>
          <w:tcPr>
            <w:tcW w:w="1975" w:type="dxa"/>
          </w:tcPr>
          <w:p w:rsidR="00F96601" w:rsidRPr="009014D2" w:rsidRDefault="00F96601"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r w:rsidR="009D6D6C">
              <w:rPr>
                <w:rFonts w:ascii="Times New Roman" w:eastAsiaTheme="minorEastAsia" w:hAnsi="Times New Roman" w:cs="Times New Roman"/>
                <w:lang w:val="en-US"/>
              </w:rPr>
              <w:t>**</w:t>
            </w:r>
          </w:p>
        </w:tc>
        <w:tc>
          <w:tcPr>
            <w:tcW w:w="1821" w:type="dxa"/>
          </w:tcPr>
          <w:p w:rsidR="00F96601" w:rsidRDefault="009D6D6C"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p>
        </w:tc>
      </w:tr>
      <w:tr w:rsidR="00F96601" w:rsidRPr="009014D2" w:rsidTr="00F96601">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183" w:type="dxa"/>
          </w:tcPr>
          <w:p w:rsidR="00F96601" w:rsidRPr="009014D2" w:rsidRDefault="00F96601" w:rsidP="004729BE">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EXRATE</w:t>
            </w:r>
          </w:p>
        </w:tc>
        <w:tc>
          <w:tcPr>
            <w:tcW w:w="1882" w:type="dxa"/>
          </w:tcPr>
          <w:p w:rsidR="00F96601" w:rsidRPr="009014D2" w:rsidRDefault="00F96601"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Anotolyev (2008)</w:t>
            </w:r>
          </w:p>
        </w:tc>
        <w:tc>
          <w:tcPr>
            <w:tcW w:w="2003" w:type="dxa"/>
          </w:tcPr>
          <w:p w:rsidR="00F96601" w:rsidRPr="009014D2" w:rsidRDefault="00F96601"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w:t>
            </w:r>
          </w:p>
        </w:tc>
        <w:tc>
          <w:tcPr>
            <w:tcW w:w="1975" w:type="dxa"/>
          </w:tcPr>
          <w:p w:rsidR="00F96601" w:rsidRPr="009014D2" w:rsidRDefault="00F96601"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r w:rsidR="009D6D6C">
              <w:rPr>
                <w:rFonts w:ascii="Times New Roman" w:eastAsiaTheme="minorEastAsia" w:hAnsi="Times New Roman" w:cs="Times New Roman"/>
                <w:lang w:val="en-US"/>
              </w:rPr>
              <w:t>**</w:t>
            </w:r>
          </w:p>
        </w:tc>
        <w:tc>
          <w:tcPr>
            <w:tcW w:w="1821" w:type="dxa"/>
          </w:tcPr>
          <w:p w:rsidR="00F96601" w:rsidRDefault="009D6D6C"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p>
        </w:tc>
      </w:tr>
      <w:tr w:rsidR="00F96601" w:rsidRPr="009014D2" w:rsidTr="00F96601">
        <w:trPr>
          <w:trHeight w:val="389"/>
        </w:trPr>
        <w:tc>
          <w:tcPr>
            <w:cnfStyle w:val="001000000000" w:firstRow="0" w:lastRow="0" w:firstColumn="1" w:lastColumn="0" w:oddVBand="0" w:evenVBand="0" w:oddHBand="0" w:evenHBand="0" w:firstRowFirstColumn="0" w:firstRowLastColumn="0" w:lastRowFirstColumn="0" w:lastRowLastColumn="0"/>
            <w:tcW w:w="2183" w:type="dxa"/>
          </w:tcPr>
          <w:p w:rsidR="00F96601" w:rsidRPr="009014D2" w:rsidRDefault="00F96601" w:rsidP="004729BE">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TBill</w:t>
            </w:r>
          </w:p>
        </w:tc>
        <w:tc>
          <w:tcPr>
            <w:tcW w:w="1882" w:type="dxa"/>
          </w:tcPr>
          <w:p w:rsidR="00F96601" w:rsidRPr="009014D2" w:rsidRDefault="00F96601"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Anotolyev (2008)</w:t>
            </w:r>
          </w:p>
        </w:tc>
        <w:tc>
          <w:tcPr>
            <w:tcW w:w="2003" w:type="dxa"/>
          </w:tcPr>
          <w:p w:rsidR="00F96601" w:rsidRPr="009014D2" w:rsidRDefault="00F96601"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w:t>
            </w:r>
          </w:p>
        </w:tc>
        <w:tc>
          <w:tcPr>
            <w:tcW w:w="1975" w:type="dxa"/>
          </w:tcPr>
          <w:p w:rsidR="00F96601" w:rsidRPr="009014D2" w:rsidRDefault="00F96601"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r w:rsidR="009D6D6C">
              <w:rPr>
                <w:rFonts w:ascii="Times New Roman" w:eastAsiaTheme="minorEastAsia" w:hAnsi="Times New Roman" w:cs="Times New Roman"/>
                <w:lang w:val="en-US"/>
              </w:rPr>
              <w:t>*</w:t>
            </w:r>
          </w:p>
        </w:tc>
        <w:tc>
          <w:tcPr>
            <w:tcW w:w="1821" w:type="dxa"/>
          </w:tcPr>
          <w:p w:rsidR="00F96601" w:rsidRDefault="009D6D6C"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p>
        </w:tc>
      </w:tr>
      <w:tr w:rsidR="00F96601" w:rsidRPr="009014D2" w:rsidTr="00F96601">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183" w:type="dxa"/>
          </w:tcPr>
          <w:p w:rsidR="00F96601" w:rsidRPr="009014D2" w:rsidRDefault="00F96601" w:rsidP="004729BE">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MIBOR</w:t>
            </w:r>
          </w:p>
        </w:tc>
        <w:tc>
          <w:tcPr>
            <w:tcW w:w="1882" w:type="dxa"/>
          </w:tcPr>
          <w:p w:rsidR="00F96601" w:rsidRPr="009014D2" w:rsidRDefault="00F96601"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Anotolyev (2008)</w:t>
            </w:r>
          </w:p>
        </w:tc>
        <w:tc>
          <w:tcPr>
            <w:tcW w:w="2003" w:type="dxa"/>
          </w:tcPr>
          <w:p w:rsidR="00F96601" w:rsidRPr="009014D2" w:rsidRDefault="00F96601"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w:t>
            </w:r>
          </w:p>
        </w:tc>
        <w:tc>
          <w:tcPr>
            <w:tcW w:w="1975" w:type="dxa"/>
          </w:tcPr>
          <w:p w:rsidR="00F96601" w:rsidRPr="009014D2" w:rsidRDefault="00F96601"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p>
        </w:tc>
        <w:tc>
          <w:tcPr>
            <w:tcW w:w="1821" w:type="dxa"/>
          </w:tcPr>
          <w:p w:rsidR="00F96601" w:rsidRDefault="009D6D6C" w:rsidP="004729BE">
            <w:pPr>
              <w:pStyle w:val="BodyT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p>
        </w:tc>
      </w:tr>
      <w:tr w:rsidR="00F96601" w:rsidRPr="009014D2" w:rsidTr="00F96601">
        <w:trPr>
          <w:trHeight w:val="389"/>
        </w:trPr>
        <w:tc>
          <w:tcPr>
            <w:cnfStyle w:val="001000000000" w:firstRow="0" w:lastRow="0" w:firstColumn="1" w:lastColumn="0" w:oddVBand="0" w:evenVBand="0" w:oddHBand="0" w:evenHBand="0" w:firstRowFirstColumn="0" w:firstRowLastColumn="0" w:lastRowFirstColumn="0" w:lastRowLastColumn="0"/>
            <w:tcW w:w="2183" w:type="dxa"/>
          </w:tcPr>
          <w:p w:rsidR="00F96601" w:rsidRPr="009014D2" w:rsidRDefault="00F96601" w:rsidP="004729BE">
            <w:pPr>
              <w:pStyle w:val="BodyText"/>
              <w:spacing w:line="360" w:lineRule="auto"/>
              <w:jc w:val="both"/>
              <w:rPr>
                <w:rFonts w:ascii="Times New Roman" w:eastAsiaTheme="minorEastAsia" w:hAnsi="Times New Roman" w:cs="Times New Roman"/>
                <w:sz w:val="20"/>
                <w:lang w:val="en-US"/>
              </w:rPr>
            </w:pPr>
            <w:r w:rsidRPr="009014D2">
              <w:rPr>
                <w:rFonts w:ascii="Times New Roman" w:eastAsiaTheme="minorEastAsia" w:hAnsi="Times New Roman" w:cs="Times New Roman"/>
                <w:sz w:val="20"/>
                <w:lang w:val="en-US"/>
              </w:rPr>
              <w:t>Gold</w:t>
            </w:r>
          </w:p>
        </w:tc>
        <w:tc>
          <w:tcPr>
            <w:tcW w:w="1882" w:type="dxa"/>
          </w:tcPr>
          <w:p w:rsidR="00F96601" w:rsidRPr="009014D2" w:rsidRDefault="00F96601"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Anotolyev (2008)</w:t>
            </w:r>
          </w:p>
        </w:tc>
        <w:tc>
          <w:tcPr>
            <w:tcW w:w="2003" w:type="dxa"/>
          </w:tcPr>
          <w:p w:rsidR="00F96601" w:rsidRPr="009014D2" w:rsidRDefault="00F96601"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sidRPr="009014D2">
              <w:rPr>
                <w:rFonts w:ascii="Times New Roman" w:eastAsiaTheme="minorEastAsia" w:hAnsi="Times New Roman" w:cs="Times New Roman"/>
                <w:lang w:val="en-US"/>
              </w:rPr>
              <w:t>+</w:t>
            </w:r>
          </w:p>
        </w:tc>
        <w:tc>
          <w:tcPr>
            <w:tcW w:w="1975" w:type="dxa"/>
          </w:tcPr>
          <w:p w:rsidR="00F96601" w:rsidRPr="009014D2" w:rsidRDefault="00F96601"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r w:rsidR="009D6D6C">
              <w:rPr>
                <w:rFonts w:ascii="Times New Roman" w:eastAsiaTheme="minorEastAsia" w:hAnsi="Times New Roman" w:cs="Times New Roman"/>
                <w:lang w:val="en-US"/>
              </w:rPr>
              <w:t>*</w:t>
            </w:r>
          </w:p>
        </w:tc>
        <w:tc>
          <w:tcPr>
            <w:tcW w:w="1821" w:type="dxa"/>
          </w:tcPr>
          <w:p w:rsidR="00F96601" w:rsidRDefault="009D6D6C" w:rsidP="004729BE">
            <w:pPr>
              <w:pStyle w:val="BodyT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lang w:val="en-US"/>
              </w:rPr>
            </w:pPr>
            <w:r>
              <w:rPr>
                <w:rFonts w:ascii="Times New Roman" w:eastAsiaTheme="minorEastAsia" w:hAnsi="Times New Roman" w:cs="Times New Roman"/>
                <w:lang w:val="en-US"/>
              </w:rPr>
              <w:t>+</w:t>
            </w:r>
          </w:p>
        </w:tc>
      </w:tr>
      <w:tr w:rsidR="00F96601" w:rsidRPr="009014D2" w:rsidTr="004C37CE">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9864" w:type="dxa"/>
            <w:gridSpan w:val="5"/>
          </w:tcPr>
          <w:p w:rsidR="00F96601" w:rsidRPr="003E4FA8" w:rsidRDefault="00F96601" w:rsidP="003E4FA8">
            <w:pPr>
              <w:pStyle w:val="BodyText"/>
              <w:spacing w:line="360" w:lineRule="auto"/>
              <w:jc w:val="both"/>
              <w:rPr>
                <w:rFonts w:ascii="Times New Roman" w:hAnsi="Times New Roman" w:cs="Times New Roman"/>
                <w:b/>
                <w:lang w:val="en-US"/>
              </w:rPr>
            </w:pPr>
            <w:r w:rsidRPr="003E4FA8">
              <w:rPr>
                <w:rFonts w:ascii="Times New Roman" w:hAnsi="Times New Roman" w:cs="Times New Roman"/>
                <w:b/>
                <w:i w:val="0"/>
                <w:sz w:val="20"/>
                <w:lang w:val="en-US"/>
              </w:rPr>
              <w:t>*** - statistically significant at 1 percent level</w:t>
            </w:r>
          </w:p>
        </w:tc>
      </w:tr>
      <w:tr w:rsidR="00F96601" w:rsidRPr="009014D2" w:rsidTr="00960876">
        <w:trPr>
          <w:trHeight w:val="389"/>
        </w:trPr>
        <w:tc>
          <w:tcPr>
            <w:cnfStyle w:val="001000000000" w:firstRow="0" w:lastRow="0" w:firstColumn="1" w:lastColumn="0" w:oddVBand="0" w:evenVBand="0" w:oddHBand="0" w:evenHBand="0" w:firstRowFirstColumn="0" w:firstRowLastColumn="0" w:lastRowFirstColumn="0" w:lastRowLastColumn="0"/>
            <w:tcW w:w="9864" w:type="dxa"/>
            <w:gridSpan w:val="5"/>
          </w:tcPr>
          <w:p w:rsidR="00F96601" w:rsidRPr="003E4FA8" w:rsidRDefault="00F96601" w:rsidP="003E4FA8">
            <w:pPr>
              <w:pStyle w:val="BodyText"/>
              <w:spacing w:line="360" w:lineRule="auto"/>
              <w:jc w:val="both"/>
              <w:rPr>
                <w:rFonts w:ascii="Times New Roman" w:hAnsi="Times New Roman" w:cs="Times New Roman"/>
                <w:b/>
                <w:lang w:val="en-US"/>
              </w:rPr>
            </w:pPr>
            <w:r w:rsidRPr="003E4FA8">
              <w:rPr>
                <w:rFonts w:ascii="Times New Roman" w:hAnsi="Times New Roman" w:cs="Times New Roman"/>
                <w:b/>
                <w:i w:val="0"/>
                <w:sz w:val="20"/>
                <w:lang w:val="en-US"/>
              </w:rPr>
              <w:t>** - statistically significant at 5 percent level</w:t>
            </w:r>
          </w:p>
        </w:tc>
      </w:tr>
      <w:tr w:rsidR="00F96601" w:rsidRPr="009014D2" w:rsidTr="00D21F77">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9864" w:type="dxa"/>
            <w:gridSpan w:val="5"/>
          </w:tcPr>
          <w:p w:rsidR="00F96601" w:rsidRPr="003E4FA8" w:rsidRDefault="00F96601" w:rsidP="003E4FA8">
            <w:pPr>
              <w:pStyle w:val="BodyText"/>
              <w:spacing w:line="360" w:lineRule="auto"/>
              <w:jc w:val="both"/>
              <w:rPr>
                <w:rFonts w:ascii="Times New Roman" w:hAnsi="Times New Roman" w:cs="Times New Roman"/>
                <w:b/>
                <w:lang w:val="en-US"/>
              </w:rPr>
            </w:pPr>
            <w:r w:rsidRPr="003E4FA8">
              <w:rPr>
                <w:rFonts w:ascii="Times New Roman" w:hAnsi="Times New Roman" w:cs="Times New Roman"/>
                <w:b/>
                <w:i w:val="0"/>
                <w:sz w:val="20"/>
                <w:lang w:val="en-US"/>
              </w:rPr>
              <w:t>* - statistically significant at 10 percent level</w:t>
            </w:r>
          </w:p>
        </w:tc>
      </w:tr>
    </w:tbl>
    <w:p w:rsidR="00B645D9" w:rsidRDefault="001E73B6" w:rsidP="0023433A">
      <w:pPr>
        <w:pStyle w:val="BodyText"/>
        <w:spacing w:line="360" w:lineRule="auto"/>
        <w:ind w:firstLine="567"/>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This paper has furth</w:t>
      </w:r>
      <w:r w:rsidR="00393012">
        <w:rPr>
          <w:rFonts w:ascii="Times New Roman" w:eastAsiaTheme="minorEastAsia" w:hAnsi="Times New Roman" w:cs="Times New Roman"/>
          <w:sz w:val="24"/>
          <w:szCs w:val="24"/>
          <w:lang w:val="en-US"/>
        </w:rPr>
        <w:t xml:space="preserve">er contributed to the existing literature assessing the impact of sanctions on the Russian Federation. However, in comparison to prior papers, this paper has focused on a period of 5 years to assess the impact of sanctions. The results of the paper can be further improved by focusing on performance of a wider range of stocks. The stocks covered in the analysis were ten the most liquid stocks traded in the Russian stock exchange. </w:t>
      </w:r>
      <w:r w:rsidR="00042695">
        <w:rPr>
          <w:rFonts w:ascii="Times New Roman" w:eastAsiaTheme="minorEastAsia" w:hAnsi="Times New Roman" w:cs="Times New Roman"/>
          <w:sz w:val="24"/>
          <w:szCs w:val="24"/>
          <w:lang w:val="en-US"/>
        </w:rPr>
        <w:t xml:space="preserve">Wider assessment of firms listed in the Russian Stock Exchange may yield more insight into the situation. </w:t>
      </w:r>
    </w:p>
    <w:p w:rsidR="001E73B6" w:rsidRDefault="00B645D9" w:rsidP="0023433A">
      <w:pPr>
        <w:pStyle w:val="BodyText"/>
        <w:spacing w:line="360" w:lineRule="auto"/>
        <w:ind w:firstLine="567"/>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Furthermore, this research can also be interesting for policy makers. </w:t>
      </w:r>
      <w:r w:rsidR="000855DA">
        <w:rPr>
          <w:rFonts w:ascii="Times New Roman" w:eastAsiaTheme="minorEastAsia" w:hAnsi="Times New Roman" w:cs="Times New Roman"/>
          <w:sz w:val="24"/>
          <w:szCs w:val="24"/>
          <w:lang w:val="en-US"/>
        </w:rPr>
        <w:t xml:space="preserve">Nowadays, politicians prefer to impose sanctions on countries rather than to be involved in military conflicts. However, the success of sanctions depends on the nature of those sanctions. Inappropriately designed or soft sanctions may have no impact on a country against which the sanctions were imposed. In order to prevent the aggressive behavior of the Russian Federation against Ukraine (in annexation of Crimea), the EU and </w:t>
      </w:r>
      <w:r w:rsidR="000855DA">
        <w:rPr>
          <w:rFonts w:ascii="Times New Roman" w:eastAsiaTheme="minorEastAsia" w:hAnsi="Times New Roman" w:cs="Times New Roman"/>
          <w:sz w:val="24"/>
          <w:szCs w:val="24"/>
          <w:lang w:val="en-US"/>
        </w:rPr>
        <w:lastRenderedPageBreak/>
        <w:t xml:space="preserve">the US imposed various economic sanctions on Russian Federation. Five years later since the annexation of Crimea, the economy of </w:t>
      </w:r>
      <w:r w:rsidR="00BB3AC5">
        <w:rPr>
          <w:rFonts w:ascii="Times New Roman" w:eastAsiaTheme="minorEastAsia" w:hAnsi="Times New Roman" w:cs="Times New Roman"/>
          <w:sz w:val="24"/>
          <w:szCs w:val="24"/>
          <w:lang w:val="en-US"/>
        </w:rPr>
        <w:t>Russia has not demonstrated signs</w:t>
      </w:r>
      <w:r w:rsidR="000855DA">
        <w:rPr>
          <w:rFonts w:ascii="Times New Roman" w:eastAsiaTheme="minorEastAsia" w:hAnsi="Times New Roman" w:cs="Times New Roman"/>
          <w:sz w:val="24"/>
          <w:szCs w:val="24"/>
          <w:lang w:val="en-US"/>
        </w:rPr>
        <w:t xml:space="preserve"> of crumbling as it was predicted. The results of the paper showed that due to lack of sanctions directly impacting the oil and gas sector, sanctions had no impact on firms in oil and gas industry. Moreover, weakening Russian ruble has positively contributed to the growth of stock price of firms in oil and gas sector.  While it is true that sanctions had negative impact on the firms in non-oil and gas sector, however, the stock price of those firms have demonstrated </w:t>
      </w:r>
      <w:r w:rsidR="00263854">
        <w:rPr>
          <w:rFonts w:ascii="Times New Roman" w:eastAsiaTheme="minorEastAsia" w:hAnsi="Times New Roman" w:cs="Times New Roman"/>
          <w:sz w:val="24"/>
          <w:szCs w:val="24"/>
          <w:lang w:val="en-US"/>
        </w:rPr>
        <w:t xml:space="preserve">cumulative growth over the past 5 years. </w:t>
      </w:r>
      <w:r w:rsidR="002E19DA">
        <w:rPr>
          <w:rFonts w:ascii="Times New Roman" w:eastAsiaTheme="minorEastAsia" w:hAnsi="Times New Roman" w:cs="Times New Roman"/>
          <w:sz w:val="24"/>
          <w:szCs w:val="24"/>
          <w:lang w:val="en-US"/>
        </w:rPr>
        <w:t xml:space="preserve">Therefore, properly </w:t>
      </w:r>
      <w:r>
        <w:rPr>
          <w:rFonts w:ascii="Times New Roman" w:eastAsiaTheme="minorEastAsia" w:hAnsi="Times New Roman" w:cs="Times New Roman"/>
          <w:sz w:val="24"/>
          <w:szCs w:val="24"/>
          <w:lang w:val="en-US"/>
        </w:rPr>
        <w:t>designed sanctions</w:t>
      </w:r>
      <w:r w:rsidR="00263854">
        <w:rPr>
          <w:rFonts w:ascii="Times New Roman" w:eastAsiaTheme="minorEastAsia" w:hAnsi="Times New Roman" w:cs="Times New Roman"/>
          <w:sz w:val="24"/>
          <w:szCs w:val="24"/>
          <w:lang w:val="en-US"/>
        </w:rPr>
        <w:t xml:space="preserve"> (sanctions based on the understanding the economy of the Russian Federation)</w:t>
      </w:r>
      <w:r>
        <w:rPr>
          <w:rFonts w:ascii="Times New Roman" w:eastAsiaTheme="minorEastAsia" w:hAnsi="Times New Roman" w:cs="Times New Roman"/>
          <w:sz w:val="24"/>
          <w:szCs w:val="24"/>
          <w:lang w:val="en-US"/>
        </w:rPr>
        <w:t xml:space="preserve"> could have achieved </w:t>
      </w:r>
      <w:r w:rsidR="002E19DA">
        <w:rPr>
          <w:rFonts w:ascii="Times New Roman" w:eastAsiaTheme="minorEastAsia" w:hAnsi="Times New Roman" w:cs="Times New Roman"/>
          <w:sz w:val="24"/>
          <w:szCs w:val="24"/>
          <w:lang w:val="en-US"/>
        </w:rPr>
        <w:t xml:space="preserve">better </w:t>
      </w:r>
      <w:r>
        <w:rPr>
          <w:rFonts w:ascii="Times New Roman" w:eastAsiaTheme="minorEastAsia" w:hAnsi="Times New Roman" w:cs="Times New Roman"/>
          <w:sz w:val="24"/>
          <w:szCs w:val="24"/>
          <w:lang w:val="en-US"/>
        </w:rPr>
        <w:t>result</w:t>
      </w:r>
      <w:r w:rsidR="002E19DA">
        <w:rPr>
          <w:rFonts w:ascii="Times New Roman" w:eastAsiaTheme="minorEastAsia" w:hAnsi="Times New Roman" w:cs="Times New Roman"/>
          <w:sz w:val="24"/>
          <w:szCs w:val="24"/>
          <w:lang w:val="en-US"/>
        </w:rPr>
        <w:t>s</w:t>
      </w:r>
      <w:r>
        <w:rPr>
          <w:rFonts w:ascii="Times New Roman" w:eastAsiaTheme="minorEastAsia" w:hAnsi="Times New Roman" w:cs="Times New Roman"/>
          <w:sz w:val="24"/>
          <w:szCs w:val="24"/>
          <w:lang w:val="en-US"/>
        </w:rPr>
        <w:t xml:space="preserve"> rather than general trading restrictions.  </w:t>
      </w:r>
    </w:p>
    <w:p w:rsidR="0023433A" w:rsidRDefault="0023433A" w:rsidP="00B43B98">
      <w:pPr>
        <w:pStyle w:val="BodyText"/>
        <w:spacing w:line="360" w:lineRule="auto"/>
        <w:jc w:val="both"/>
        <w:rPr>
          <w:rFonts w:ascii="Times New Roman" w:eastAsiaTheme="minorEastAsia" w:hAnsi="Times New Roman" w:cs="Times New Roman"/>
          <w:sz w:val="24"/>
          <w:szCs w:val="24"/>
          <w:lang w:val="en-US"/>
        </w:rPr>
      </w:pPr>
    </w:p>
    <w:p w:rsidR="008965CD" w:rsidRDefault="008965CD" w:rsidP="00782D68">
      <w:pPr>
        <w:pStyle w:val="BodyText"/>
        <w:spacing w:line="360" w:lineRule="auto"/>
        <w:jc w:val="both"/>
        <w:rPr>
          <w:rFonts w:ascii="Times New Roman" w:eastAsiaTheme="minorEastAsia" w:hAnsi="Times New Roman" w:cs="Times New Roman"/>
          <w:sz w:val="24"/>
          <w:szCs w:val="24"/>
          <w:lang w:val="en-US"/>
        </w:rPr>
      </w:pPr>
    </w:p>
    <w:p w:rsidR="00691B57" w:rsidRDefault="00691B57" w:rsidP="00782D68">
      <w:pPr>
        <w:pStyle w:val="BodyText"/>
        <w:spacing w:line="360" w:lineRule="auto"/>
        <w:jc w:val="both"/>
        <w:rPr>
          <w:rFonts w:ascii="Times New Roman" w:eastAsiaTheme="minorEastAsia" w:hAnsi="Times New Roman" w:cs="Times New Roman"/>
          <w:sz w:val="24"/>
          <w:szCs w:val="24"/>
          <w:lang w:val="en-US"/>
        </w:rPr>
      </w:pPr>
    </w:p>
    <w:p w:rsidR="00691B57" w:rsidRDefault="00691B57" w:rsidP="00782D68">
      <w:pPr>
        <w:pStyle w:val="BodyText"/>
        <w:spacing w:line="360" w:lineRule="auto"/>
        <w:jc w:val="both"/>
        <w:rPr>
          <w:rFonts w:ascii="Times New Roman" w:eastAsiaTheme="minorEastAsia" w:hAnsi="Times New Roman" w:cs="Times New Roman"/>
          <w:sz w:val="24"/>
          <w:szCs w:val="24"/>
          <w:lang w:val="en-US"/>
        </w:rPr>
      </w:pPr>
    </w:p>
    <w:p w:rsidR="00691B57" w:rsidRPr="00933728" w:rsidRDefault="00691B57" w:rsidP="00782D68">
      <w:pPr>
        <w:pStyle w:val="BodyText"/>
        <w:spacing w:line="360" w:lineRule="auto"/>
        <w:jc w:val="both"/>
        <w:rPr>
          <w:rFonts w:ascii="Times New Roman" w:eastAsiaTheme="minorEastAsia" w:hAnsi="Times New Roman" w:cs="Times New Roman"/>
          <w:sz w:val="24"/>
          <w:szCs w:val="24"/>
          <w:lang w:val="en-US"/>
        </w:rPr>
        <w:sectPr w:rsidR="00691B57" w:rsidRPr="00933728" w:rsidSect="00A0419D">
          <w:pgSz w:w="11906" w:h="16838" w:code="9"/>
          <w:pgMar w:top="1474" w:right="1021" w:bottom="1474" w:left="1021" w:header="567" w:footer="567" w:gutter="0"/>
          <w:cols w:space="708"/>
          <w:docGrid w:linePitch="360"/>
        </w:sectPr>
      </w:pPr>
    </w:p>
    <w:bookmarkStart w:id="26" w:name="_Toc15473250" w:displacedByCustomXml="next"/>
    <w:sdt>
      <w:sdtPr>
        <w:rPr>
          <w:rFonts w:eastAsiaTheme="minorHAnsi" w:cstheme="minorBidi"/>
          <w:b w:val="0"/>
          <w:bCs w:val="0"/>
          <w:i w:val="0"/>
          <w:sz w:val="20"/>
          <w:szCs w:val="20"/>
        </w:rPr>
        <w:id w:val="-401608145"/>
        <w:docPartObj>
          <w:docPartGallery w:val="Bibliographies"/>
          <w:docPartUnique/>
        </w:docPartObj>
      </w:sdtPr>
      <w:sdtEndPr/>
      <w:sdtContent>
        <w:p w:rsidR="00FE15E1" w:rsidRDefault="00FE15E1" w:rsidP="00275681">
          <w:pPr>
            <w:pStyle w:val="Heading1"/>
            <w:numPr>
              <w:ilvl w:val="0"/>
              <w:numId w:val="0"/>
            </w:numPr>
            <w:ind w:left="567" w:hanging="567"/>
          </w:pPr>
          <w:r>
            <w:t>References</w:t>
          </w:r>
          <w:bookmarkEnd w:id="26"/>
        </w:p>
        <w:sdt>
          <w:sdtPr>
            <w:id w:val="-573587230"/>
            <w:bibliography/>
          </w:sdtPr>
          <w:sdtEndPr/>
          <w:sdtContent>
            <w:p w:rsidR="00AE6A31" w:rsidRDefault="00FE15E1" w:rsidP="00AE6A31">
              <w:pPr>
                <w:pStyle w:val="Bibliography"/>
                <w:ind w:left="720" w:hanging="720"/>
                <w:rPr>
                  <w:noProof/>
                  <w:sz w:val="24"/>
                  <w:szCs w:val="24"/>
                </w:rPr>
              </w:pPr>
              <w:r>
                <w:fldChar w:fldCharType="begin"/>
              </w:r>
              <w:r>
                <w:instrText xml:space="preserve"> BIBLIOGRAPHY </w:instrText>
              </w:r>
              <w:r>
                <w:fldChar w:fldCharType="separate"/>
              </w:r>
              <w:r w:rsidR="00AE6A31">
                <w:rPr>
                  <w:noProof/>
                </w:rPr>
                <w:t xml:space="preserve">Abdelbaki, H. H. (2013). The impact of Arab Spring on Stock Market Performance. </w:t>
              </w:r>
              <w:r w:rsidR="00AE6A31">
                <w:rPr>
                  <w:i/>
                  <w:iCs/>
                  <w:noProof/>
                </w:rPr>
                <w:t>British Journal of Economics, Management and Trade</w:t>
              </w:r>
              <w:r w:rsidR="00AE6A31">
                <w:rPr>
                  <w:noProof/>
                </w:rPr>
                <w:t>, 169-185.</w:t>
              </w:r>
            </w:p>
            <w:p w:rsidR="00AE6A31" w:rsidRDefault="00AE6A31" w:rsidP="00AE6A31">
              <w:pPr>
                <w:pStyle w:val="Bibliography"/>
                <w:ind w:left="720" w:hanging="720"/>
                <w:rPr>
                  <w:noProof/>
                </w:rPr>
              </w:pPr>
              <w:r>
                <w:rPr>
                  <w:noProof/>
                </w:rPr>
                <w:t xml:space="preserve">Amihud, Y., &amp; Wohl, A. (2004). Political news and stock prices: the case of Saddam Hussein. </w:t>
              </w:r>
              <w:r>
                <w:rPr>
                  <w:i/>
                  <w:iCs/>
                  <w:noProof/>
                </w:rPr>
                <w:t>Journal of Banking and Finance, vol. 28. N5</w:t>
              </w:r>
              <w:r>
                <w:rPr>
                  <w:noProof/>
                </w:rPr>
                <w:t>, 1185-1200.</w:t>
              </w:r>
            </w:p>
            <w:p w:rsidR="00AE6A31" w:rsidRDefault="00AE6A31" w:rsidP="00AE6A31">
              <w:pPr>
                <w:pStyle w:val="Bibliography"/>
                <w:ind w:left="720" w:hanging="720"/>
                <w:rPr>
                  <w:noProof/>
                </w:rPr>
              </w:pPr>
              <w:r>
                <w:rPr>
                  <w:noProof/>
                </w:rPr>
                <w:t xml:space="preserve">Ankudinov, A., Ibragimov, R., &amp; Lebedev, O. (2017). Sanctions and the Russian stock market. </w:t>
              </w:r>
              <w:r>
                <w:rPr>
                  <w:i/>
                  <w:iCs/>
                  <w:noProof/>
                </w:rPr>
                <w:t>Research in International Business and Finance</w:t>
              </w:r>
              <w:r>
                <w:rPr>
                  <w:noProof/>
                </w:rPr>
                <w:t>, 150-162.</w:t>
              </w:r>
            </w:p>
            <w:p w:rsidR="00AE6A31" w:rsidRDefault="00AE6A31" w:rsidP="00AE6A31">
              <w:pPr>
                <w:pStyle w:val="Bibliography"/>
                <w:ind w:left="720" w:hanging="720"/>
                <w:rPr>
                  <w:noProof/>
                </w:rPr>
              </w:pPr>
              <w:r>
                <w:rPr>
                  <w:noProof/>
                </w:rPr>
                <w:t xml:space="preserve">Anotolyev, S. (2008). A 10-year retrospective on the determinants of Russian Stock Returns. </w:t>
              </w:r>
              <w:r>
                <w:rPr>
                  <w:i/>
                  <w:iCs/>
                  <w:noProof/>
                </w:rPr>
                <w:t>Research in International Business and Finance</w:t>
              </w:r>
              <w:r>
                <w:rPr>
                  <w:noProof/>
                </w:rPr>
                <w:t>.</w:t>
              </w:r>
            </w:p>
            <w:p w:rsidR="00AE6A31" w:rsidRDefault="00AE6A31" w:rsidP="00AE6A31">
              <w:pPr>
                <w:pStyle w:val="Bibliography"/>
                <w:ind w:left="720" w:hanging="720"/>
                <w:rPr>
                  <w:noProof/>
                </w:rPr>
              </w:pPr>
              <w:r>
                <w:rPr>
                  <w:noProof/>
                </w:rPr>
                <w:t xml:space="preserve">BBC. (2015, March 15`). </w:t>
              </w:r>
              <w:r>
                <w:rPr>
                  <w:i/>
                  <w:iCs/>
                  <w:noProof/>
                </w:rPr>
                <w:t>Crimea annexation: One year on</w:t>
              </w:r>
              <w:r>
                <w:rPr>
                  <w:noProof/>
                </w:rPr>
                <w:t>. Retrieved from BBC: https://www.bbc.com/news/av/world-europe-31901039/crimea-annexation-by-russia-one-year-on</w:t>
              </w:r>
            </w:p>
            <w:p w:rsidR="00AE6A31" w:rsidRDefault="00AE6A31" w:rsidP="00AE6A31">
              <w:pPr>
                <w:pStyle w:val="Bibliography"/>
                <w:ind w:left="720" w:hanging="720"/>
                <w:rPr>
                  <w:noProof/>
                </w:rPr>
              </w:pPr>
              <w:r>
                <w:rPr>
                  <w:noProof/>
                </w:rPr>
                <w:t xml:space="preserve">Beckley, M. (2010). Economic Development and Military Effectiveness. </w:t>
              </w:r>
              <w:r>
                <w:rPr>
                  <w:i/>
                  <w:iCs/>
                  <w:noProof/>
                </w:rPr>
                <w:t>The Journal of Strategic Studies</w:t>
              </w:r>
              <w:r>
                <w:rPr>
                  <w:noProof/>
                </w:rPr>
                <w:t>, 43-79.</w:t>
              </w:r>
            </w:p>
            <w:p w:rsidR="00AE6A31" w:rsidRDefault="00AE6A31" w:rsidP="00AE6A31">
              <w:pPr>
                <w:pStyle w:val="Bibliography"/>
                <w:ind w:left="720" w:hanging="720"/>
                <w:rPr>
                  <w:noProof/>
                </w:rPr>
              </w:pPr>
              <w:r>
                <w:rPr>
                  <w:noProof/>
                </w:rPr>
                <w:t xml:space="preserve">Benoit, E. (1978). growth and defense in LDCs. </w:t>
              </w:r>
              <w:r>
                <w:rPr>
                  <w:i/>
                  <w:iCs/>
                  <w:noProof/>
                </w:rPr>
                <w:t>Economic Development and Cultural Change</w:t>
              </w:r>
              <w:r>
                <w:rPr>
                  <w:noProof/>
                </w:rPr>
                <w:t>, 271-280.</w:t>
              </w:r>
            </w:p>
            <w:p w:rsidR="00AE6A31" w:rsidRDefault="00AE6A31" w:rsidP="00AE6A31">
              <w:pPr>
                <w:pStyle w:val="Bibliography"/>
                <w:ind w:left="720" w:hanging="720"/>
                <w:rPr>
                  <w:noProof/>
                </w:rPr>
              </w:pPr>
              <w:r>
                <w:rPr>
                  <w:noProof/>
                </w:rPr>
                <w:t xml:space="preserve">Bialkowski, J., Gottschalk, K., &amp; Wisniewski, T. (2008). Stock market volatility around national election. </w:t>
              </w:r>
              <w:r>
                <w:rPr>
                  <w:i/>
                  <w:iCs/>
                  <w:noProof/>
                </w:rPr>
                <w:t>Journal of Banking and Finance</w:t>
              </w:r>
              <w:r>
                <w:rPr>
                  <w:noProof/>
                </w:rPr>
                <w:t>, 1942-1953.</w:t>
              </w:r>
            </w:p>
            <w:p w:rsidR="00AE6A31" w:rsidRDefault="00AE6A31" w:rsidP="00AE6A31">
              <w:pPr>
                <w:pStyle w:val="Bibliography"/>
                <w:ind w:left="720" w:hanging="720"/>
                <w:rPr>
                  <w:noProof/>
                </w:rPr>
              </w:pPr>
              <w:r>
                <w:rPr>
                  <w:noProof/>
                </w:rPr>
                <w:t xml:space="preserve">Brune, A., Hens, T., Rieger, M. O., &amp; Wang, M. (2015). The war puzzle: contradictory effects of international conflicts on stock markets. </w:t>
              </w:r>
              <w:r>
                <w:rPr>
                  <w:i/>
                  <w:iCs/>
                  <w:noProof/>
                </w:rPr>
                <w:t>International Review of Economics</w:t>
              </w:r>
              <w:r>
                <w:rPr>
                  <w:noProof/>
                </w:rPr>
                <w:t>, 1-21.</w:t>
              </w:r>
            </w:p>
            <w:p w:rsidR="00AE6A31" w:rsidRDefault="00AE6A31" w:rsidP="00AE6A31">
              <w:pPr>
                <w:pStyle w:val="Bibliography"/>
                <w:ind w:left="720" w:hanging="720"/>
                <w:rPr>
                  <w:noProof/>
                </w:rPr>
              </w:pPr>
              <w:r>
                <w:rPr>
                  <w:noProof/>
                </w:rPr>
                <w:t xml:space="preserve">Carl, M. (2001). </w:t>
              </w:r>
              <w:r>
                <w:rPr>
                  <w:i/>
                  <w:iCs/>
                  <w:noProof/>
                </w:rPr>
                <w:t>Technology, Urbanization, and Economic Growth.</w:t>
              </w:r>
              <w:r>
                <w:rPr>
                  <w:noProof/>
                </w:rPr>
                <w:t xml:space="preserve"> New York: Taylor and Francis Group.</w:t>
              </w:r>
            </w:p>
            <w:p w:rsidR="00AE6A31" w:rsidRDefault="00AE6A31" w:rsidP="00AE6A31">
              <w:pPr>
                <w:pStyle w:val="Bibliography"/>
                <w:ind w:left="720" w:hanging="720"/>
                <w:rPr>
                  <w:noProof/>
                </w:rPr>
              </w:pPr>
              <w:r>
                <w:rPr>
                  <w:noProof/>
                </w:rPr>
                <w:t xml:space="preserve">Chen, A., &amp; Siems, T. (2004). The effect of terrorism on global capital markets. </w:t>
              </w:r>
              <w:r>
                <w:rPr>
                  <w:i/>
                  <w:iCs/>
                  <w:noProof/>
                </w:rPr>
                <w:t>European Journal of Political Economy</w:t>
              </w:r>
              <w:r>
                <w:rPr>
                  <w:noProof/>
                </w:rPr>
                <w:t>, 249-366.</w:t>
              </w:r>
            </w:p>
            <w:p w:rsidR="00AE6A31" w:rsidRDefault="00AE6A31" w:rsidP="00AE6A31">
              <w:pPr>
                <w:pStyle w:val="Bibliography"/>
                <w:ind w:left="720" w:hanging="720"/>
                <w:rPr>
                  <w:noProof/>
                </w:rPr>
              </w:pPr>
              <w:r>
                <w:rPr>
                  <w:noProof/>
                </w:rPr>
                <w:t xml:space="preserve">Chesney, M., Reshetarb, G., &amp; Karamana, M. (2011). The Impact of terrorism on financial markets: an empirical study. </w:t>
              </w:r>
              <w:r>
                <w:rPr>
                  <w:i/>
                  <w:iCs/>
                  <w:noProof/>
                </w:rPr>
                <w:t>Journal of Banking and Finance</w:t>
              </w:r>
              <w:r>
                <w:rPr>
                  <w:noProof/>
                </w:rPr>
                <w:t>, 253-267.</w:t>
              </w:r>
            </w:p>
            <w:p w:rsidR="00AE6A31" w:rsidRDefault="00AE6A31" w:rsidP="00AE6A31">
              <w:pPr>
                <w:pStyle w:val="Bibliography"/>
                <w:ind w:left="720" w:hanging="720"/>
                <w:rPr>
                  <w:noProof/>
                </w:rPr>
              </w:pPr>
              <w:r>
                <w:rPr>
                  <w:noProof/>
                </w:rPr>
                <w:t xml:space="preserve">Dreyer, I., &amp; Popescu, N. (2014). Do sanctions against Russia work? </w:t>
              </w:r>
              <w:r>
                <w:rPr>
                  <w:i/>
                  <w:iCs/>
                  <w:noProof/>
                </w:rPr>
                <w:t>European Union Institute for Security Studies</w:t>
              </w:r>
              <w:r>
                <w:rPr>
                  <w:noProof/>
                </w:rPr>
                <w:t>, 1-4.</w:t>
              </w:r>
            </w:p>
            <w:p w:rsidR="00AE6A31" w:rsidRDefault="00AE6A31" w:rsidP="00AE6A31">
              <w:pPr>
                <w:pStyle w:val="Bibliography"/>
                <w:ind w:left="720" w:hanging="720"/>
                <w:rPr>
                  <w:noProof/>
                </w:rPr>
              </w:pPr>
              <w:r>
                <w:rPr>
                  <w:noProof/>
                </w:rPr>
                <w:t xml:space="preserve">Dunne, P. J., &amp; Tian, N. (2015). Military Expenditure, Economic Growth and Heterogeneity. </w:t>
              </w:r>
              <w:r>
                <w:rPr>
                  <w:i/>
                  <w:iCs/>
                  <w:noProof/>
                </w:rPr>
                <w:t>Defense and Peace Economics</w:t>
              </w:r>
              <w:r>
                <w:rPr>
                  <w:noProof/>
                </w:rPr>
                <w:t>, 15-31.</w:t>
              </w:r>
            </w:p>
            <w:p w:rsidR="00AE6A31" w:rsidRDefault="00AE6A31" w:rsidP="00AE6A31">
              <w:pPr>
                <w:pStyle w:val="Bibliography"/>
                <w:ind w:left="720" w:hanging="720"/>
                <w:rPr>
                  <w:noProof/>
                </w:rPr>
              </w:pPr>
              <w:r>
                <w:rPr>
                  <w:noProof/>
                </w:rPr>
                <w:t xml:space="preserve">Eltis, W. (2000). Adam Smith's Theory of Economic Growth. In W. Eltis, </w:t>
              </w:r>
              <w:r>
                <w:rPr>
                  <w:i/>
                  <w:iCs/>
                  <w:noProof/>
                </w:rPr>
                <w:t>The Classifical Theory of Economic Growh</w:t>
              </w:r>
              <w:r>
                <w:rPr>
                  <w:noProof/>
                </w:rPr>
                <w:t xml:space="preserve"> (pp. 68-105). London: Palgrave Macmillan.</w:t>
              </w:r>
            </w:p>
            <w:p w:rsidR="00AE6A31" w:rsidRDefault="00AE6A31" w:rsidP="00AE6A31">
              <w:pPr>
                <w:pStyle w:val="Bibliography"/>
                <w:ind w:left="720" w:hanging="720"/>
                <w:rPr>
                  <w:noProof/>
                </w:rPr>
              </w:pPr>
              <w:r>
                <w:rPr>
                  <w:noProof/>
                </w:rPr>
                <w:t xml:space="preserve">Gurvich, E., &amp; Prilepskiy, I. (2015). The impact of financial sanctions on the Russian economy. </w:t>
              </w:r>
              <w:r>
                <w:rPr>
                  <w:i/>
                  <w:iCs/>
                  <w:noProof/>
                </w:rPr>
                <w:t>Russian Journal of Economics</w:t>
              </w:r>
              <w:r>
                <w:rPr>
                  <w:noProof/>
                </w:rPr>
                <w:t>, 359-385.</w:t>
              </w:r>
            </w:p>
            <w:p w:rsidR="00AE6A31" w:rsidRDefault="00AE6A31" w:rsidP="00AE6A31">
              <w:pPr>
                <w:pStyle w:val="Bibliography"/>
                <w:ind w:left="720" w:hanging="720"/>
                <w:rPr>
                  <w:noProof/>
                </w:rPr>
              </w:pPr>
              <w:r>
                <w:rPr>
                  <w:noProof/>
                </w:rPr>
                <w:t xml:space="preserve">Hou, N., &amp; Chen, B. (2013). Military Expenditure and Economic Growth in Developing Countries: Evidence from System GMM Estimates. </w:t>
              </w:r>
              <w:r>
                <w:rPr>
                  <w:i/>
                  <w:iCs/>
                  <w:noProof/>
                </w:rPr>
                <w:t>Defense and Peace Economics</w:t>
              </w:r>
              <w:r>
                <w:rPr>
                  <w:noProof/>
                </w:rPr>
                <w:t>, 183-193.</w:t>
              </w:r>
            </w:p>
            <w:p w:rsidR="00AE6A31" w:rsidRDefault="00AE6A31" w:rsidP="00AE6A31">
              <w:pPr>
                <w:pStyle w:val="Bibliography"/>
                <w:ind w:left="720" w:hanging="720"/>
                <w:rPr>
                  <w:noProof/>
                </w:rPr>
              </w:pPr>
              <w:r>
                <w:rPr>
                  <w:noProof/>
                </w:rPr>
                <w:t xml:space="preserve">Kaun, D. E. (1990). War and Wall Street: the impact of military conflict on investor attitudes. </w:t>
              </w:r>
              <w:r>
                <w:rPr>
                  <w:i/>
                  <w:iCs/>
                  <w:noProof/>
                </w:rPr>
                <w:t>Journal of Economics</w:t>
              </w:r>
              <w:r>
                <w:rPr>
                  <w:noProof/>
                </w:rPr>
                <w:t>, 439-452.</w:t>
              </w:r>
            </w:p>
            <w:p w:rsidR="00AE6A31" w:rsidRDefault="00AE6A31" w:rsidP="00AE6A31">
              <w:pPr>
                <w:pStyle w:val="Bibliography"/>
                <w:ind w:left="720" w:hanging="720"/>
                <w:rPr>
                  <w:noProof/>
                </w:rPr>
              </w:pPr>
              <w:r>
                <w:rPr>
                  <w:noProof/>
                </w:rPr>
                <w:t xml:space="preserve">Kholodilin, K. A., &amp; Netsunajev, A. (2017). Crimea and punishment: The impact of sanctions on Russian and European economies. </w:t>
              </w:r>
              <w:r>
                <w:rPr>
                  <w:i/>
                  <w:iCs/>
                  <w:noProof/>
                </w:rPr>
                <w:t xml:space="preserve">Workin Paper Series </w:t>
              </w:r>
              <w:r>
                <w:rPr>
                  <w:noProof/>
                </w:rPr>
                <w:t>.</w:t>
              </w:r>
            </w:p>
            <w:p w:rsidR="00AE6A31" w:rsidRDefault="00AE6A31" w:rsidP="00AE6A31">
              <w:pPr>
                <w:pStyle w:val="Bibliography"/>
                <w:ind w:left="720" w:hanging="720"/>
                <w:rPr>
                  <w:noProof/>
                </w:rPr>
              </w:pPr>
              <w:r>
                <w:rPr>
                  <w:noProof/>
                </w:rPr>
                <w:lastRenderedPageBreak/>
                <w:t xml:space="preserve">Kollias, C., &amp; Paleologou, S.-M. (2019). Military spending, economic growth and investment: a disaggregated analysis by income group. </w:t>
              </w:r>
              <w:r>
                <w:rPr>
                  <w:i/>
                  <w:iCs/>
                  <w:noProof/>
                </w:rPr>
                <w:t>Empirical Economics</w:t>
              </w:r>
              <w:r>
                <w:rPr>
                  <w:noProof/>
                </w:rPr>
                <w:t>, 935-958.</w:t>
              </w:r>
            </w:p>
            <w:p w:rsidR="00AE6A31" w:rsidRDefault="00AE6A31" w:rsidP="00AE6A31">
              <w:pPr>
                <w:pStyle w:val="Bibliography"/>
                <w:ind w:left="720" w:hanging="720"/>
                <w:rPr>
                  <w:noProof/>
                </w:rPr>
              </w:pPr>
              <w:r>
                <w:rPr>
                  <w:noProof/>
                </w:rPr>
                <w:t xml:space="preserve">Konstatin, A., Kholodilin, A., &amp; Netsunayev, A. (2018). Crimea and punishment: the impact of sanctions on Russian economy and economies of the euro are. </w:t>
              </w:r>
              <w:r>
                <w:rPr>
                  <w:i/>
                  <w:iCs/>
                  <w:noProof/>
                </w:rPr>
                <w:t>Baltic Journal of Economics</w:t>
              </w:r>
              <w:r>
                <w:rPr>
                  <w:noProof/>
                </w:rPr>
                <w:t>, 39-51.</w:t>
              </w:r>
            </w:p>
            <w:p w:rsidR="00AE6A31" w:rsidRDefault="00AE6A31" w:rsidP="00AE6A31">
              <w:pPr>
                <w:pStyle w:val="Bibliography"/>
                <w:ind w:left="720" w:hanging="720"/>
                <w:rPr>
                  <w:noProof/>
                </w:rPr>
              </w:pPr>
              <w:r>
                <w:rPr>
                  <w:noProof/>
                </w:rPr>
                <w:t xml:space="preserve">Maillet, B., &amp; Micheal, T. (2005). The impact of the 9/11 events on the American and French stock markets. </w:t>
              </w:r>
              <w:r>
                <w:rPr>
                  <w:i/>
                  <w:iCs/>
                  <w:noProof/>
                </w:rPr>
                <w:t>Review of International Economy</w:t>
              </w:r>
              <w:r>
                <w:rPr>
                  <w:noProof/>
                </w:rPr>
                <w:t>, 597-611.</w:t>
              </w:r>
            </w:p>
            <w:p w:rsidR="00AE6A31" w:rsidRDefault="00AE6A31" w:rsidP="00AE6A31">
              <w:pPr>
                <w:pStyle w:val="Bibliography"/>
                <w:ind w:left="720" w:hanging="720"/>
                <w:rPr>
                  <w:noProof/>
                </w:rPr>
              </w:pPr>
              <w:r>
                <w:rPr>
                  <w:noProof/>
                </w:rPr>
                <w:t xml:space="preserve">Mei, J., &amp; Guo, L. (2004). Political Uncertainty, Financial Crisis and Market Volatility. </w:t>
              </w:r>
              <w:r>
                <w:rPr>
                  <w:i/>
                  <w:iCs/>
                  <w:noProof/>
                </w:rPr>
                <w:t>European Financial Management</w:t>
              </w:r>
              <w:r>
                <w:rPr>
                  <w:noProof/>
                </w:rPr>
                <w:t>.</w:t>
              </w:r>
            </w:p>
            <w:p w:rsidR="00AE6A31" w:rsidRDefault="00AE6A31" w:rsidP="00AE6A31">
              <w:pPr>
                <w:pStyle w:val="Bibliography"/>
                <w:ind w:left="720" w:hanging="720"/>
                <w:rPr>
                  <w:noProof/>
                </w:rPr>
              </w:pPr>
              <w:r>
                <w:rPr>
                  <w:noProof/>
                </w:rPr>
                <w:t xml:space="preserve">Pietak, L. (2014). Review of Theories and Models of Economic Growth. </w:t>
              </w:r>
              <w:r>
                <w:rPr>
                  <w:i/>
                  <w:iCs/>
                  <w:noProof/>
                </w:rPr>
                <w:t>Comparative Economic Research</w:t>
              </w:r>
              <w:r>
                <w:rPr>
                  <w:noProof/>
                </w:rPr>
                <w:t>.</w:t>
              </w:r>
            </w:p>
            <w:p w:rsidR="00AE6A31" w:rsidRDefault="00AE6A31" w:rsidP="00AE6A31">
              <w:pPr>
                <w:pStyle w:val="Bibliography"/>
                <w:ind w:left="720" w:hanging="720"/>
                <w:rPr>
                  <w:noProof/>
                </w:rPr>
              </w:pPr>
              <w:r>
                <w:rPr>
                  <w:noProof/>
                </w:rPr>
                <w:t xml:space="preserve">Pol, A. (2004). Is the US Aggregate Production Function Cobb-Douglas? New Estimates of the Elasticity of Substitution. </w:t>
              </w:r>
              <w:r>
                <w:rPr>
                  <w:i/>
                  <w:iCs/>
                  <w:noProof/>
                </w:rPr>
                <w:t>Contributions to Macroeconomics, vol. 4</w:t>
              </w:r>
              <w:r>
                <w:rPr>
                  <w:noProof/>
                </w:rPr>
                <w:t>.</w:t>
              </w:r>
            </w:p>
            <w:p w:rsidR="00AE6A31" w:rsidRDefault="00AE6A31" w:rsidP="00AE6A31">
              <w:pPr>
                <w:pStyle w:val="Bibliography"/>
                <w:ind w:left="720" w:hanging="720"/>
                <w:rPr>
                  <w:noProof/>
                </w:rPr>
              </w:pPr>
              <w:r>
                <w:rPr>
                  <w:noProof/>
                </w:rPr>
                <w:t xml:space="preserve">Ratanapakorn, O., &amp; Sharma, S. C. (2007). Dynamic analysis between the US stock returns and the marcoeconomic variables. </w:t>
              </w:r>
              <w:r>
                <w:rPr>
                  <w:i/>
                  <w:iCs/>
                  <w:noProof/>
                </w:rPr>
                <w:t>Applied Financial Economics</w:t>
              </w:r>
              <w:r>
                <w:rPr>
                  <w:noProof/>
                </w:rPr>
                <w:t>, 369-377.</w:t>
              </w:r>
            </w:p>
            <w:p w:rsidR="00AE6A31" w:rsidRDefault="00AE6A31" w:rsidP="00AE6A31">
              <w:pPr>
                <w:pStyle w:val="Bibliography"/>
                <w:ind w:left="720" w:hanging="720"/>
                <w:rPr>
                  <w:noProof/>
                </w:rPr>
              </w:pPr>
              <w:r>
                <w:rPr>
                  <w:noProof/>
                </w:rPr>
                <w:t xml:space="preserve">Rigobon, R., &amp; Sack, B. (2005). The effects of war risk on U.S. financial marketrs. </w:t>
              </w:r>
              <w:r>
                <w:rPr>
                  <w:i/>
                  <w:iCs/>
                  <w:noProof/>
                </w:rPr>
                <w:t>Journal of Banking and Finance</w:t>
              </w:r>
              <w:r>
                <w:rPr>
                  <w:noProof/>
                </w:rPr>
                <w:t>, 1769-1789.</w:t>
              </w:r>
            </w:p>
            <w:p w:rsidR="00AE6A31" w:rsidRDefault="00AE6A31" w:rsidP="00AE6A31">
              <w:pPr>
                <w:pStyle w:val="Bibliography"/>
                <w:ind w:left="720" w:hanging="720"/>
                <w:rPr>
                  <w:noProof/>
                </w:rPr>
              </w:pPr>
              <w:r>
                <w:rPr>
                  <w:noProof/>
                </w:rPr>
                <w:t xml:space="preserve">Robalino-Lopez, A., Mena-Nieto, A., Garcia-Ramos, J.-E., &amp; Golpe, A. (2015). Studying the relationship between economic growth, CO2 emissions, and the environmental Kuznets curve in Venezuela. </w:t>
              </w:r>
              <w:r>
                <w:rPr>
                  <w:i/>
                  <w:iCs/>
                  <w:noProof/>
                </w:rPr>
                <w:t>Renewable and Sustainable Energy Reviews</w:t>
              </w:r>
              <w:r>
                <w:rPr>
                  <w:noProof/>
                </w:rPr>
                <w:t>, 602-614.</w:t>
              </w:r>
            </w:p>
            <w:p w:rsidR="00AE6A31" w:rsidRDefault="00AE6A31" w:rsidP="00AE6A31">
              <w:pPr>
                <w:pStyle w:val="Bibliography"/>
                <w:ind w:left="720" w:hanging="720"/>
                <w:rPr>
                  <w:noProof/>
                </w:rPr>
              </w:pPr>
              <w:r>
                <w:rPr>
                  <w:noProof/>
                </w:rPr>
                <w:t xml:space="preserve">Rutland, P. (2016, December 7). </w:t>
              </w:r>
              <w:r>
                <w:rPr>
                  <w:i/>
                  <w:iCs/>
                  <w:noProof/>
                </w:rPr>
                <w:t>History in the Making: The agreement that ended the Soviet Union</w:t>
              </w:r>
              <w:r>
                <w:rPr>
                  <w:noProof/>
                </w:rPr>
                <w:t>. Retrieved from The Moscow Times: https://www.themoscowtimes.com/2016/12/07/history-in-the-making-the-agreement-that-ended-the-soviet-union-a56456</w:t>
              </w:r>
            </w:p>
            <w:p w:rsidR="00AE6A31" w:rsidRDefault="00AE6A31" w:rsidP="00AE6A31">
              <w:pPr>
                <w:pStyle w:val="Bibliography"/>
                <w:ind w:left="720" w:hanging="720"/>
                <w:rPr>
                  <w:noProof/>
                </w:rPr>
              </w:pPr>
              <w:r>
                <w:rPr>
                  <w:noProof/>
                </w:rPr>
                <w:t xml:space="preserve">Schneider, G., &amp; Troeger, V. (2006). War and the world economy: stock market reactions to international conflicts. </w:t>
              </w:r>
              <w:r>
                <w:rPr>
                  <w:i/>
                  <w:iCs/>
                  <w:noProof/>
                </w:rPr>
                <w:t>Journal of Conflict Resolution, vol. 50</w:t>
              </w:r>
              <w:r>
                <w:rPr>
                  <w:noProof/>
                </w:rPr>
                <w:t>, 623-645.</w:t>
              </w:r>
            </w:p>
            <w:p w:rsidR="00AE6A31" w:rsidRDefault="00AE6A31" w:rsidP="00AE6A31">
              <w:pPr>
                <w:pStyle w:val="Bibliography"/>
                <w:ind w:left="720" w:hanging="720"/>
                <w:rPr>
                  <w:noProof/>
                </w:rPr>
              </w:pPr>
              <w:r>
                <w:rPr>
                  <w:noProof/>
                </w:rPr>
                <w:t xml:space="preserve">Schumpeter, J. (1934). </w:t>
              </w:r>
              <w:r>
                <w:rPr>
                  <w:i/>
                  <w:iCs/>
                  <w:noProof/>
                </w:rPr>
                <w:t>The Theory of Economic Development.</w:t>
              </w:r>
              <w:r>
                <w:rPr>
                  <w:noProof/>
                </w:rPr>
                <w:t xml:space="preserve"> Cambridge: Harvard University Press.</w:t>
              </w:r>
            </w:p>
            <w:p w:rsidR="00AE6A31" w:rsidRDefault="00AE6A31" w:rsidP="00AE6A31">
              <w:pPr>
                <w:pStyle w:val="Bibliography"/>
                <w:ind w:left="720" w:hanging="720"/>
                <w:rPr>
                  <w:noProof/>
                </w:rPr>
              </w:pPr>
              <w:r>
                <w:rPr>
                  <w:noProof/>
                </w:rPr>
                <w:t xml:space="preserve">Sigerson, F. J. (2015, February 4). </w:t>
              </w:r>
              <w:r>
                <w:rPr>
                  <w:i/>
                  <w:iCs/>
                  <w:noProof/>
                </w:rPr>
                <w:t>The impact of the Russia-Ukraine conflict on stock investments</w:t>
              </w:r>
              <w:r>
                <w:rPr>
                  <w:noProof/>
                </w:rPr>
                <w:t>. Retrieved from Markets: https://born2invest.com/articles/the-impact-of-the-russia-ukraine-conflict-on-stock-investments/</w:t>
              </w:r>
            </w:p>
            <w:p w:rsidR="00AE6A31" w:rsidRDefault="00AE6A31" w:rsidP="00AE6A31">
              <w:pPr>
                <w:pStyle w:val="Bibliography"/>
                <w:ind w:left="720" w:hanging="720"/>
                <w:rPr>
                  <w:noProof/>
                </w:rPr>
              </w:pPr>
              <w:r>
                <w:rPr>
                  <w:noProof/>
                </w:rPr>
                <w:t xml:space="preserve">Straetmans, S., Verschoor, W., &amp; Wolff, C. (2008). Extreme US Stock market fluctuations in the wake of 9/11. </w:t>
              </w:r>
              <w:r>
                <w:rPr>
                  <w:i/>
                  <w:iCs/>
                  <w:noProof/>
                </w:rPr>
                <w:t>Journal of Applied Econometrics</w:t>
              </w:r>
              <w:r>
                <w:rPr>
                  <w:noProof/>
                </w:rPr>
                <w:t>.</w:t>
              </w:r>
            </w:p>
            <w:p w:rsidR="00FE15E1" w:rsidRDefault="00FE15E1" w:rsidP="00AE6A31">
              <w:r>
                <w:rPr>
                  <w:b/>
                  <w:bCs/>
                  <w:noProof/>
                </w:rPr>
                <w:fldChar w:fldCharType="end"/>
              </w:r>
            </w:p>
          </w:sdtContent>
        </w:sdt>
      </w:sdtContent>
    </w:sdt>
    <w:p w:rsidR="00457CEE" w:rsidRDefault="00457CEE" w:rsidP="00457CEE">
      <w:pPr>
        <w:pStyle w:val="BodyText"/>
        <w:spacing w:line="360" w:lineRule="auto"/>
        <w:jc w:val="both"/>
        <w:rPr>
          <w:rFonts w:ascii="Times New Roman" w:hAnsi="Times New Roman" w:cs="Times New Roman"/>
          <w:sz w:val="24"/>
          <w:szCs w:val="24"/>
          <w:lang w:val="en-US"/>
        </w:rPr>
      </w:pPr>
    </w:p>
    <w:p w:rsidR="00D55224" w:rsidRDefault="00D55224" w:rsidP="00457CEE">
      <w:pPr>
        <w:pStyle w:val="BodyText"/>
        <w:spacing w:line="360" w:lineRule="auto"/>
        <w:jc w:val="both"/>
        <w:rPr>
          <w:rFonts w:ascii="Times New Roman" w:hAnsi="Times New Roman" w:cs="Times New Roman"/>
          <w:sz w:val="24"/>
          <w:szCs w:val="24"/>
          <w:lang w:val="en-US"/>
        </w:rPr>
      </w:pPr>
    </w:p>
    <w:p w:rsidR="002E49C6" w:rsidRDefault="002E49C6" w:rsidP="00457CEE">
      <w:pPr>
        <w:pStyle w:val="BodyText"/>
        <w:spacing w:line="360" w:lineRule="auto"/>
        <w:jc w:val="both"/>
        <w:rPr>
          <w:rFonts w:ascii="Times New Roman" w:hAnsi="Times New Roman" w:cs="Times New Roman"/>
          <w:sz w:val="24"/>
          <w:szCs w:val="24"/>
          <w:lang w:val="en-US"/>
        </w:rPr>
        <w:sectPr w:rsidR="002E49C6" w:rsidSect="00A0419D">
          <w:pgSz w:w="11906" w:h="16838" w:code="9"/>
          <w:pgMar w:top="1474" w:right="1021" w:bottom="1474" w:left="1021" w:header="567" w:footer="567" w:gutter="0"/>
          <w:cols w:space="708"/>
          <w:docGrid w:linePitch="360"/>
        </w:sectPr>
      </w:pPr>
    </w:p>
    <w:p w:rsidR="00D55224" w:rsidRDefault="00D55224" w:rsidP="00D55224">
      <w:pPr>
        <w:pStyle w:val="Heading1"/>
        <w:numPr>
          <w:ilvl w:val="0"/>
          <w:numId w:val="0"/>
        </w:numPr>
        <w:ind w:left="567" w:hanging="567"/>
        <w:rPr>
          <w:rFonts w:ascii="Times New Roman" w:hAnsi="Times New Roman" w:cs="Times New Roman"/>
          <w:lang w:val="en-US"/>
        </w:rPr>
      </w:pPr>
      <w:bookmarkStart w:id="27" w:name="_Toc15473251"/>
      <w:r w:rsidRPr="00D55224">
        <w:rPr>
          <w:rFonts w:ascii="Times New Roman" w:hAnsi="Times New Roman" w:cs="Times New Roman"/>
          <w:i w:val="0"/>
          <w:lang w:val="en-US"/>
        </w:rPr>
        <w:lastRenderedPageBreak/>
        <w:t>Appendix 1</w:t>
      </w:r>
      <w:bookmarkEnd w:id="27"/>
    </w:p>
    <w:p w:rsidR="003F126F" w:rsidRDefault="003F126F" w:rsidP="00D55224">
      <w:pPr>
        <w:pStyle w:val="Heading1"/>
        <w:numPr>
          <w:ilvl w:val="0"/>
          <w:numId w:val="0"/>
        </w:numPr>
        <w:ind w:left="567" w:hanging="567"/>
        <w:rPr>
          <w:rFonts w:ascii="Times New Roman" w:hAnsi="Times New Roman" w:cs="Times New Roman"/>
          <w:lang w:val="en-US"/>
        </w:rPr>
      </w:pPr>
    </w:p>
    <w:p w:rsidR="003F126F" w:rsidRPr="00D55224" w:rsidRDefault="00D55224" w:rsidP="00D55224">
      <w:pPr>
        <w:pStyle w:val="Heading1"/>
        <w:numPr>
          <w:ilvl w:val="0"/>
          <w:numId w:val="0"/>
        </w:numPr>
        <w:ind w:left="567" w:hanging="567"/>
        <w:rPr>
          <w:rFonts w:ascii="Times New Roman" w:hAnsi="Times New Roman" w:cs="Times New Roman"/>
          <w:lang w:val="en-US"/>
        </w:rPr>
      </w:pPr>
      <w:r w:rsidRPr="00D55224">
        <w:rPr>
          <w:rFonts w:ascii="Times New Roman" w:hAnsi="Times New Roman" w:cs="Times New Roman"/>
          <w:lang w:val="en-US"/>
        </w:rPr>
        <w:t xml:space="preserve"> </w:t>
      </w:r>
    </w:p>
    <w:tbl>
      <w:tblPr>
        <w:tblW w:w="4822" w:type="dxa"/>
        <w:tblLook w:val="04A0" w:firstRow="1" w:lastRow="0" w:firstColumn="1" w:lastColumn="0" w:noHBand="0" w:noVBand="1"/>
      </w:tblPr>
      <w:tblGrid>
        <w:gridCol w:w="2474"/>
        <w:gridCol w:w="2348"/>
      </w:tblGrid>
      <w:tr w:rsidR="003F126F" w:rsidRPr="003F126F" w:rsidTr="003F126F">
        <w:trPr>
          <w:trHeight w:val="227"/>
        </w:trPr>
        <w:tc>
          <w:tcPr>
            <w:tcW w:w="4822" w:type="dxa"/>
            <w:gridSpan w:val="2"/>
            <w:tcBorders>
              <w:top w:val="single" w:sz="8" w:space="0" w:color="auto"/>
              <w:left w:val="nil"/>
              <w:bottom w:val="single" w:sz="4" w:space="0" w:color="auto"/>
              <w:right w:val="nil"/>
            </w:tcBorders>
            <w:shd w:val="clear" w:color="auto" w:fill="auto"/>
            <w:noWrap/>
            <w:vAlign w:val="bottom"/>
            <w:hideMark/>
          </w:tcPr>
          <w:p w:rsidR="003F126F" w:rsidRPr="003F126F" w:rsidRDefault="003F126F" w:rsidP="003F126F">
            <w:pPr>
              <w:spacing w:after="0" w:line="240" w:lineRule="auto"/>
              <w:jc w:val="center"/>
              <w:rPr>
                <w:rFonts w:ascii="Times New Roman" w:eastAsia="Times New Roman" w:hAnsi="Times New Roman" w:cs="Times New Roman"/>
                <w:i/>
                <w:iCs/>
                <w:color w:val="000000"/>
                <w:lang w:val="en-US"/>
              </w:rPr>
            </w:pPr>
            <w:r w:rsidRPr="003F126F">
              <w:rPr>
                <w:rFonts w:ascii="Times New Roman" w:eastAsia="Times New Roman" w:hAnsi="Times New Roman" w:cs="Times New Roman"/>
                <w:i/>
                <w:iCs/>
                <w:color w:val="000000"/>
                <w:lang w:val="en-US"/>
              </w:rPr>
              <w:t>Stock Price</w:t>
            </w:r>
          </w:p>
        </w:tc>
      </w:tr>
      <w:tr w:rsidR="003F126F" w:rsidRPr="003F126F" w:rsidTr="003F126F">
        <w:trPr>
          <w:trHeight w:val="227"/>
        </w:trPr>
        <w:tc>
          <w:tcPr>
            <w:tcW w:w="2474"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jc w:val="center"/>
              <w:rPr>
                <w:rFonts w:ascii="Times New Roman" w:eastAsia="Times New Roman" w:hAnsi="Times New Roman" w:cs="Times New Roman"/>
                <w:i/>
                <w:iCs/>
                <w:color w:val="000000"/>
                <w:lang w:val="en-US"/>
              </w:rPr>
            </w:pPr>
          </w:p>
        </w:tc>
        <w:tc>
          <w:tcPr>
            <w:tcW w:w="2347"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lang w:val="en-US"/>
              </w:rPr>
            </w:pPr>
          </w:p>
        </w:tc>
      </w:tr>
      <w:tr w:rsidR="003F126F" w:rsidRPr="003F126F" w:rsidTr="003F126F">
        <w:trPr>
          <w:trHeight w:val="227"/>
        </w:trPr>
        <w:tc>
          <w:tcPr>
            <w:tcW w:w="2474"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Mean </w:t>
            </w:r>
          </w:p>
        </w:tc>
        <w:tc>
          <w:tcPr>
            <w:tcW w:w="2347"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1.265,6580 </w:t>
            </w:r>
          </w:p>
        </w:tc>
      </w:tr>
      <w:tr w:rsidR="003F126F" w:rsidRPr="003F126F" w:rsidTr="003F126F">
        <w:trPr>
          <w:trHeight w:val="227"/>
        </w:trPr>
        <w:tc>
          <w:tcPr>
            <w:tcW w:w="2474"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Standard Error </w:t>
            </w:r>
          </w:p>
        </w:tc>
        <w:tc>
          <w:tcPr>
            <w:tcW w:w="2347"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25,0763 </w:t>
            </w:r>
          </w:p>
        </w:tc>
      </w:tr>
      <w:tr w:rsidR="003F126F" w:rsidRPr="003F126F" w:rsidTr="003F126F">
        <w:trPr>
          <w:trHeight w:val="227"/>
        </w:trPr>
        <w:tc>
          <w:tcPr>
            <w:tcW w:w="2474"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Median </w:t>
            </w:r>
          </w:p>
        </w:tc>
        <w:tc>
          <w:tcPr>
            <w:tcW w:w="2347"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119,9800 </w:t>
            </w:r>
          </w:p>
        </w:tc>
      </w:tr>
      <w:tr w:rsidR="003F126F" w:rsidRPr="003F126F" w:rsidTr="003F126F">
        <w:trPr>
          <w:trHeight w:val="227"/>
        </w:trPr>
        <w:tc>
          <w:tcPr>
            <w:tcW w:w="2474"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Mode </w:t>
            </w:r>
          </w:p>
        </w:tc>
        <w:tc>
          <w:tcPr>
            <w:tcW w:w="2347"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0,0675 </w:t>
            </w:r>
          </w:p>
        </w:tc>
      </w:tr>
      <w:tr w:rsidR="003F126F" w:rsidRPr="003F126F" w:rsidTr="003F126F">
        <w:trPr>
          <w:trHeight w:val="227"/>
        </w:trPr>
        <w:tc>
          <w:tcPr>
            <w:tcW w:w="2474"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Standard Deviation </w:t>
            </w:r>
          </w:p>
        </w:tc>
        <w:tc>
          <w:tcPr>
            <w:tcW w:w="2347" w:type="dxa"/>
            <w:tcBorders>
              <w:top w:val="nil"/>
              <w:left w:val="nil"/>
              <w:bottom w:val="nil"/>
              <w:right w:val="nil"/>
            </w:tcBorders>
            <w:shd w:val="clear" w:color="auto" w:fill="auto"/>
            <w:noWrap/>
            <w:vAlign w:val="bottom"/>
            <w:hideMark/>
          </w:tcPr>
          <w:p w:rsidR="003F126F" w:rsidRPr="003F126F" w:rsidRDefault="00E866C9" w:rsidP="003F126F">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         2.786,8611</w:t>
            </w:r>
          </w:p>
        </w:tc>
      </w:tr>
      <w:tr w:rsidR="003F126F" w:rsidRPr="003F126F" w:rsidTr="003F126F">
        <w:trPr>
          <w:trHeight w:val="227"/>
        </w:trPr>
        <w:tc>
          <w:tcPr>
            <w:tcW w:w="2474"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Sample Variance </w:t>
            </w:r>
          </w:p>
        </w:tc>
        <w:tc>
          <w:tcPr>
            <w:tcW w:w="2347"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7.766.594,8512 </w:t>
            </w:r>
          </w:p>
        </w:tc>
      </w:tr>
      <w:tr w:rsidR="003F126F" w:rsidRPr="003F126F" w:rsidTr="003F126F">
        <w:trPr>
          <w:trHeight w:val="227"/>
        </w:trPr>
        <w:tc>
          <w:tcPr>
            <w:tcW w:w="2474"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Kurtosis </w:t>
            </w:r>
          </w:p>
        </w:tc>
        <w:tc>
          <w:tcPr>
            <w:tcW w:w="2347"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5,5387 </w:t>
            </w:r>
          </w:p>
        </w:tc>
      </w:tr>
      <w:tr w:rsidR="003F126F" w:rsidRPr="003F126F" w:rsidTr="003F126F">
        <w:trPr>
          <w:trHeight w:val="227"/>
        </w:trPr>
        <w:tc>
          <w:tcPr>
            <w:tcW w:w="2474"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Skewness </w:t>
            </w:r>
          </w:p>
        </w:tc>
        <w:tc>
          <w:tcPr>
            <w:tcW w:w="2347"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2,5713 </w:t>
            </w:r>
          </w:p>
        </w:tc>
      </w:tr>
      <w:tr w:rsidR="003F126F" w:rsidRPr="003F126F" w:rsidTr="003F126F">
        <w:trPr>
          <w:trHeight w:val="227"/>
        </w:trPr>
        <w:tc>
          <w:tcPr>
            <w:tcW w:w="2474"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Range </w:t>
            </w:r>
          </w:p>
        </w:tc>
        <w:tc>
          <w:tcPr>
            <w:tcW w:w="2347"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12.730,7682 </w:t>
            </w:r>
          </w:p>
        </w:tc>
      </w:tr>
      <w:tr w:rsidR="003F126F" w:rsidRPr="003F126F" w:rsidTr="003F126F">
        <w:trPr>
          <w:trHeight w:val="227"/>
        </w:trPr>
        <w:tc>
          <w:tcPr>
            <w:tcW w:w="2474"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Minimum </w:t>
            </w:r>
          </w:p>
        </w:tc>
        <w:tc>
          <w:tcPr>
            <w:tcW w:w="2347"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0,0318 </w:t>
            </w:r>
          </w:p>
        </w:tc>
      </w:tr>
      <w:tr w:rsidR="003F126F" w:rsidRPr="003F126F" w:rsidTr="003F126F">
        <w:trPr>
          <w:trHeight w:val="227"/>
        </w:trPr>
        <w:tc>
          <w:tcPr>
            <w:tcW w:w="2474"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Maximum </w:t>
            </w:r>
          </w:p>
        </w:tc>
        <w:tc>
          <w:tcPr>
            <w:tcW w:w="2347"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12.730,8000 </w:t>
            </w:r>
          </w:p>
        </w:tc>
      </w:tr>
      <w:tr w:rsidR="003F126F" w:rsidRPr="003F126F" w:rsidTr="003F126F">
        <w:trPr>
          <w:trHeight w:val="227"/>
        </w:trPr>
        <w:tc>
          <w:tcPr>
            <w:tcW w:w="2474"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Sum </w:t>
            </w:r>
          </w:p>
        </w:tc>
        <w:tc>
          <w:tcPr>
            <w:tcW w:w="2347" w:type="dxa"/>
            <w:tcBorders>
              <w:top w:val="nil"/>
              <w:left w:val="nil"/>
              <w:bottom w:val="nil"/>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15.632.141,4681 </w:t>
            </w:r>
          </w:p>
        </w:tc>
      </w:tr>
      <w:tr w:rsidR="003F126F" w:rsidRPr="003F126F" w:rsidTr="003F126F">
        <w:trPr>
          <w:trHeight w:val="240"/>
        </w:trPr>
        <w:tc>
          <w:tcPr>
            <w:tcW w:w="2474" w:type="dxa"/>
            <w:tcBorders>
              <w:top w:val="nil"/>
              <w:left w:val="nil"/>
              <w:bottom w:val="single" w:sz="8" w:space="0" w:color="auto"/>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Count </w:t>
            </w:r>
          </w:p>
        </w:tc>
        <w:tc>
          <w:tcPr>
            <w:tcW w:w="2347" w:type="dxa"/>
            <w:tcBorders>
              <w:top w:val="nil"/>
              <w:left w:val="nil"/>
              <w:bottom w:val="single" w:sz="8" w:space="0" w:color="auto"/>
              <w:right w:val="nil"/>
            </w:tcBorders>
            <w:shd w:val="clear" w:color="auto" w:fill="auto"/>
            <w:noWrap/>
            <w:vAlign w:val="bottom"/>
            <w:hideMark/>
          </w:tcPr>
          <w:p w:rsidR="003F126F" w:rsidRPr="003F126F" w:rsidRDefault="003F126F" w:rsidP="003F126F">
            <w:pPr>
              <w:spacing w:after="0" w:line="240" w:lineRule="auto"/>
              <w:rPr>
                <w:rFonts w:ascii="Times New Roman" w:eastAsia="Times New Roman" w:hAnsi="Times New Roman" w:cs="Times New Roman"/>
                <w:color w:val="000000"/>
                <w:lang w:val="en-US"/>
              </w:rPr>
            </w:pPr>
            <w:r w:rsidRPr="003F126F">
              <w:rPr>
                <w:rFonts w:ascii="Times New Roman" w:eastAsia="Times New Roman" w:hAnsi="Times New Roman" w:cs="Times New Roman"/>
                <w:color w:val="000000"/>
                <w:lang w:val="en-US"/>
              </w:rPr>
              <w:t xml:space="preserve">        12.351,0000 </w:t>
            </w:r>
          </w:p>
        </w:tc>
      </w:tr>
    </w:tbl>
    <w:tbl>
      <w:tblPr>
        <w:tblpPr w:leftFromText="180" w:rightFromText="180" w:vertAnchor="page" w:horzAnchor="page" w:tblpX="6451" w:tblpY="2401"/>
        <w:tblW w:w="4903" w:type="dxa"/>
        <w:tblLook w:val="04A0" w:firstRow="1" w:lastRow="0" w:firstColumn="1" w:lastColumn="0" w:noHBand="0" w:noVBand="1"/>
      </w:tblPr>
      <w:tblGrid>
        <w:gridCol w:w="2723"/>
        <w:gridCol w:w="2180"/>
      </w:tblGrid>
      <w:tr w:rsidR="002E49C6" w:rsidRPr="002E49C6" w:rsidTr="002E49C6">
        <w:trPr>
          <w:trHeight w:val="236"/>
        </w:trPr>
        <w:tc>
          <w:tcPr>
            <w:tcW w:w="4903" w:type="dxa"/>
            <w:gridSpan w:val="2"/>
            <w:tcBorders>
              <w:top w:val="single" w:sz="8" w:space="0" w:color="auto"/>
              <w:left w:val="nil"/>
              <w:bottom w:val="single" w:sz="4" w:space="0" w:color="auto"/>
              <w:right w:val="nil"/>
            </w:tcBorders>
            <w:shd w:val="clear" w:color="auto" w:fill="auto"/>
            <w:noWrap/>
            <w:vAlign w:val="bottom"/>
            <w:hideMark/>
          </w:tcPr>
          <w:p w:rsidR="002E49C6" w:rsidRPr="002E49C6" w:rsidRDefault="002E49C6" w:rsidP="002E49C6">
            <w:pPr>
              <w:spacing w:after="0" w:line="240" w:lineRule="auto"/>
              <w:jc w:val="center"/>
              <w:rPr>
                <w:rFonts w:ascii="Times New Roman" w:eastAsia="Times New Roman" w:hAnsi="Times New Roman" w:cs="Times New Roman"/>
                <w:i/>
                <w:iCs/>
                <w:color w:val="000000"/>
                <w:lang w:val="en-US"/>
              </w:rPr>
            </w:pPr>
            <w:r w:rsidRPr="002E49C6">
              <w:rPr>
                <w:rFonts w:ascii="Times New Roman" w:eastAsia="Times New Roman" w:hAnsi="Times New Roman" w:cs="Times New Roman"/>
                <w:i/>
                <w:iCs/>
                <w:color w:val="000000"/>
                <w:lang w:val="en-US"/>
              </w:rPr>
              <w:t>Exchange rate</w:t>
            </w:r>
          </w:p>
        </w:tc>
      </w:tr>
      <w:tr w:rsidR="002E49C6" w:rsidRPr="002E49C6" w:rsidTr="002E49C6">
        <w:trPr>
          <w:trHeight w:val="236"/>
        </w:trPr>
        <w:tc>
          <w:tcPr>
            <w:tcW w:w="2723"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jc w:val="center"/>
              <w:rPr>
                <w:rFonts w:ascii="Times New Roman" w:eastAsia="Times New Roman" w:hAnsi="Times New Roman" w:cs="Times New Roman"/>
                <w:i/>
                <w:iCs/>
                <w:color w:val="000000"/>
                <w:lang w:val="en-US"/>
              </w:rPr>
            </w:pPr>
          </w:p>
        </w:tc>
        <w:tc>
          <w:tcPr>
            <w:tcW w:w="2180"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lang w:val="en-US"/>
              </w:rPr>
            </w:pPr>
          </w:p>
        </w:tc>
      </w:tr>
      <w:tr w:rsidR="002E49C6" w:rsidRPr="002E49C6" w:rsidTr="002E49C6">
        <w:trPr>
          <w:trHeight w:val="236"/>
        </w:trPr>
        <w:tc>
          <w:tcPr>
            <w:tcW w:w="2723"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Mean</w:t>
            </w:r>
          </w:p>
        </w:tc>
        <w:tc>
          <w:tcPr>
            <w:tcW w:w="2180"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57,6216 </w:t>
            </w:r>
          </w:p>
        </w:tc>
      </w:tr>
      <w:tr w:rsidR="002E49C6" w:rsidRPr="002E49C6" w:rsidTr="002E49C6">
        <w:trPr>
          <w:trHeight w:val="236"/>
        </w:trPr>
        <w:tc>
          <w:tcPr>
            <w:tcW w:w="2723"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Standard Error</w:t>
            </w:r>
          </w:p>
        </w:tc>
        <w:tc>
          <w:tcPr>
            <w:tcW w:w="2180"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0,0993 </w:t>
            </w:r>
          </w:p>
        </w:tc>
      </w:tr>
      <w:tr w:rsidR="002E49C6" w:rsidRPr="002E49C6" w:rsidTr="002E49C6">
        <w:trPr>
          <w:trHeight w:val="236"/>
        </w:trPr>
        <w:tc>
          <w:tcPr>
            <w:tcW w:w="2723"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Median</w:t>
            </w:r>
          </w:p>
        </w:tc>
        <w:tc>
          <w:tcPr>
            <w:tcW w:w="2180"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59,9298 </w:t>
            </w:r>
          </w:p>
        </w:tc>
      </w:tr>
      <w:tr w:rsidR="002E49C6" w:rsidRPr="002E49C6" w:rsidTr="002E49C6">
        <w:trPr>
          <w:trHeight w:val="236"/>
        </w:trPr>
        <w:tc>
          <w:tcPr>
            <w:tcW w:w="2723"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Mode</w:t>
            </w:r>
          </w:p>
        </w:tc>
        <w:tc>
          <w:tcPr>
            <w:tcW w:w="2180"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56,6019 </w:t>
            </w:r>
          </w:p>
        </w:tc>
      </w:tr>
      <w:tr w:rsidR="002E49C6" w:rsidRPr="002E49C6" w:rsidTr="002E49C6">
        <w:trPr>
          <w:trHeight w:val="236"/>
        </w:trPr>
        <w:tc>
          <w:tcPr>
            <w:tcW w:w="2723"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Standard Deviation</w:t>
            </w:r>
          </w:p>
        </w:tc>
        <w:tc>
          <w:tcPr>
            <w:tcW w:w="2180"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11,0327 </w:t>
            </w:r>
          </w:p>
        </w:tc>
      </w:tr>
      <w:tr w:rsidR="002E49C6" w:rsidRPr="002E49C6" w:rsidTr="002E49C6">
        <w:trPr>
          <w:trHeight w:val="236"/>
        </w:trPr>
        <w:tc>
          <w:tcPr>
            <w:tcW w:w="2723"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Sample Variance</w:t>
            </w:r>
          </w:p>
        </w:tc>
        <w:tc>
          <w:tcPr>
            <w:tcW w:w="2180"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121,7198 </w:t>
            </w:r>
          </w:p>
        </w:tc>
      </w:tr>
      <w:tr w:rsidR="002E49C6" w:rsidRPr="002E49C6" w:rsidTr="002E49C6">
        <w:trPr>
          <w:trHeight w:val="236"/>
        </w:trPr>
        <w:tc>
          <w:tcPr>
            <w:tcW w:w="2723"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Kurtosis</w:t>
            </w:r>
          </w:p>
        </w:tc>
        <w:tc>
          <w:tcPr>
            <w:tcW w:w="2180"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0,0643 </w:t>
            </w:r>
          </w:p>
        </w:tc>
      </w:tr>
      <w:tr w:rsidR="002E49C6" w:rsidRPr="002E49C6" w:rsidTr="002E49C6">
        <w:trPr>
          <w:trHeight w:val="236"/>
        </w:trPr>
        <w:tc>
          <w:tcPr>
            <w:tcW w:w="2723"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Skewness</w:t>
            </w:r>
          </w:p>
        </w:tc>
        <w:tc>
          <w:tcPr>
            <w:tcW w:w="2180"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-0,9247 </w:t>
            </w:r>
          </w:p>
        </w:tc>
      </w:tr>
      <w:tr w:rsidR="002E49C6" w:rsidRPr="002E49C6" w:rsidTr="002E49C6">
        <w:trPr>
          <w:trHeight w:val="236"/>
        </w:trPr>
        <w:tc>
          <w:tcPr>
            <w:tcW w:w="2723"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Range</w:t>
            </w:r>
          </w:p>
        </w:tc>
        <w:tc>
          <w:tcPr>
            <w:tcW w:w="2180"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50,9326 </w:t>
            </w:r>
          </w:p>
        </w:tc>
      </w:tr>
      <w:tr w:rsidR="002E49C6" w:rsidRPr="002E49C6" w:rsidTr="002E49C6">
        <w:trPr>
          <w:trHeight w:val="236"/>
        </w:trPr>
        <w:tc>
          <w:tcPr>
            <w:tcW w:w="2723"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Minimum</w:t>
            </w:r>
          </w:p>
        </w:tc>
        <w:tc>
          <w:tcPr>
            <w:tcW w:w="2180"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32,6587 </w:t>
            </w:r>
          </w:p>
        </w:tc>
      </w:tr>
      <w:tr w:rsidR="002E49C6" w:rsidRPr="002E49C6" w:rsidTr="002E49C6">
        <w:trPr>
          <w:trHeight w:val="236"/>
        </w:trPr>
        <w:tc>
          <w:tcPr>
            <w:tcW w:w="2723"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Maximum</w:t>
            </w:r>
          </w:p>
        </w:tc>
        <w:tc>
          <w:tcPr>
            <w:tcW w:w="2180"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83,5913 </w:t>
            </w:r>
          </w:p>
        </w:tc>
      </w:tr>
      <w:tr w:rsidR="002E49C6" w:rsidRPr="002E49C6" w:rsidTr="002E49C6">
        <w:trPr>
          <w:trHeight w:val="236"/>
        </w:trPr>
        <w:tc>
          <w:tcPr>
            <w:tcW w:w="2723"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Sum</w:t>
            </w:r>
          </w:p>
        </w:tc>
        <w:tc>
          <w:tcPr>
            <w:tcW w:w="2180"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711.684,8797 </w:t>
            </w:r>
          </w:p>
        </w:tc>
      </w:tr>
      <w:tr w:rsidR="002E49C6" w:rsidRPr="002E49C6" w:rsidTr="002E49C6">
        <w:trPr>
          <w:trHeight w:val="249"/>
        </w:trPr>
        <w:tc>
          <w:tcPr>
            <w:tcW w:w="2723" w:type="dxa"/>
            <w:tcBorders>
              <w:top w:val="nil"/>
              <w:left w:val="nil"/>
              <w:bottom w:val="single" w:sz="8" w:space="0" w:color="auto"/>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Count</w:t>
            </w:r>
          </w:p>
        </w:tc>
        <w:tc>
          <w:tcPr>
            <w:tcW w:w="2180" w:type="dxa"/>
            <w:tcBorders>
              <w:top w:val="nil"/>
              <w:left w:val="nil"/>
              <w:bottom w:val="single" w:sz="8" w:space="0" w:color="auto"/>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12.351,0000 </w:t>
            </w:r>
          </w:p>
        </w:tc>
      </w:tr>
    </w:tbl>
    <w:p w:rsidR="00D55224" w:rsidRDefault="00D55224" w:rsidP="00D55224">
      <w:pPr>
        <w:pStyle w:val="Heading1"/>
        <w:numPr>
          <w:ilvl w:val="0"/>
          <w:numId w:val="0"/>
        </w:numPr>
        <w:ind w:left="567" w:hanging="567"/>
        <w:rPr>
          <w:rFonts w:ascii="Times New Roman" w:hAnsi="Times New Roman" w:cs="Times New Roman"/>
          <w:lang w:val="en-US"/>
        </w:rPr>
      </w:pPr>
    </w:p>
    <w:tbl>
      <w:tblPr>
        <w:tblW w:w="4774" w:type="dxa"/>
        <w:tblLook w:val="04A0" w:firstRow="1" w:lastRow="0" w:firstColumn="1" w:lastColumn="0" w:noHBand="0" w:noVBand="1"/>
      </w:tblPr>
      <w:tblGrid>
        <w:gridCol w:w="2730"/>
        <w:gridCol w:w="2044"/>
      </w:tblGrid>
      <w:tr w:rsidR="00E866C9" w:rsidRPr="00E866C9" w:rsidTr="00E866C9">
        <w:trPr>
          <w:trHeight w:val="226"/>
        </w:trPr>
        <w:tc>
          <w:tcPr>
            <w:tcW w:w="4774" w:type="dxa"/>
            <w:gridSpan w:val="2"/>
            <w:tcBorders>
              <w:top w:val="single" w:sz="8" w:space="0" w:color="auto"/>
              <w:left w:val="nil"/>
              <w:bottom w:val="single" w:sz="4" w:space="0" w:color="auto"/>
              <w:right w:val="nil"/>
            </w:tcBorders>
            <w:shd w:val="clear" w:color="auto" w:fill="auto"/>
            <w:noWrap/>
            <w:vAlign w:val="bottom"/>
            <w:hideMark/>
          </w:tcPr>
          <w:p w:rsidR="00E866C9" w:rsidRPr="00E866C9" w:rsidRDefault="00E866C9" w:rsidP="00E866C9">
            <w:pPr>
              <w:spacing w:after="0" w:line="240" w:lineRule="auto"/>
              <w:jc w:val="center"/>
              <w:rPr>
                <w:rFonts w:ascii="Times New Roman" w:eastAsia="Times New Roman" w:hAnsi="Times New Roman" w:cs="Times New Roman"/>
                <w:i/>
                <w:iCs/>
                <w:color w:val="000000"/>
                <w:lang w:val="en-US"/>
              </w:rPr>
            </w:pPr>
            <w:r w:rsidRPr="00E866C9">
              <w:rPr>
                <w:rFonts w:ascii="Times New Roman" w:eastAsia="Times New Roman" w:hAnsi="Times New Roman" w:cs="Times New Roman"/>
                <w:i/>
                <w:iCs/>
                <w:color w:val="000000"/>
                <w:lang w:val="en-US"/>
              </w:rPr>
              <w:t>Oil and Gas Dummy</w:t>
            </w:r>
          </w:p>
        </w:tc>
      </w:tr>
      <w:tr w:rsidR="00E866C9" w:rsidRPr="00E866C9" w:rsidTr="00E866C9">
        <w:trPr>
          <w:trHeight w:val="226"/>
        </w:trPr>
        <w:tc>
          <w:tcPr>
            <w:tcW w:w="2730"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jc w:val="center"/>
              <w:rPr>
                <w:rFonts w:ascii="Times New Roman" w:eastAsia="Times New Roman" w:hAnsi="Times New Roman" w:cs="Times New Roman"/>
                <w:i/>
                <w:iCs/>
                <w:color w:val="000000"/>
                <w:lang w:val="en-US"/>
              </w:rPr>
            </w:pPr>
          </w:p>
        </w:tc>
        <w:tc>
          <w:tcPr>
            <w:tcW w:w="2044"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lang w:val="en-US"/>
              </w:rPr>
            </w:pPr>
          </w:p>
        </w:tc>
      </w:tr>
      <w:tr w:rsidR="00E866C9" w:rsidRPr="00E866C9" w:rsidTr="00E866C9">
        <w:trPr>
          <w:trHeight w:val="226"/>
        </w:trPr>
        <w:tc>
          <w:tcPr>
            <w:tcW w:w="2730"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Mean</w:t>
            </w:r>
          </w:p>
        </w:tc>
        <w:tc>
          <w:tcPr>
            <w:tcW w:w="2044"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 xml:space="preserve">          0,3000 </w:t>
            </w:r>
          </w:p>
        </w:tc>
      </w:tr>
      <w:tr w:rsidR="00E866C9" w:rsidRPr="00E866C9" w:rsidTr="00E866C9">
        <w:trPr>
          <w:trHeight w:val="226"/>
        </w:trPr>
        <w:tc>
          <w:tcPr>
            <w:tcW w:w="2730"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Standard Error</w:t>
            </w:r>
          </w:p>
        </w:tc>
        <w:tc>
          <w:tcPr>
            <w:tcW w:w="2044"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 xml:space="preserve">          0,0041 </w:t>
            </w:r>
          </w:p>
        </w:tc>
      </w:tr>
      <w:tr w:rsidR="00E866C9" w:rsidRPr="00E866C9" w:rsidTr="00E866C9">
        <w:trPr>
          <w:trHeight w:val="226"/>
        </w:trPr>
        <w:tc>
          <w:tcPr>
            <w:tcW w:w="2730"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Median</w:t>
            </w:r>
          </w:p>
        </w:tc>
        <w:tc>
          <w:tcPr>
            <w:tcW w:w="2044"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 xml:space="preserve">                -   </w:t>
            </w:r>
          </w:p>
        </w:tc>
      </w:tr>
      <w:tr w:rsidR="00E866C9" w:rsidRPr="00E866C9" w:rsidTr="00E866C9">
        <w:trPr>
          <w:trHeight w:val="226"/>
        </w:trPr>
        <w:tc>
          <w:tcPr>
            <w:tcW w:w="2730"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Mode</w:t>
            </w:r>
          </w:p>
        </w:tc>
        <w:tc>
          <w:tcPr>
            <w:tcW w:w="2044"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 xml:space="preserve">                -   </w:t>
            </w:r>
          </w:p>
        </w:tc>
      </w:tr>
      <w:tr w:rsidR="00E866C9" w:rsidRPr="00E866C9" w:rsidTr="00E866C9">
        <w:trPr>
          <w:trHeight w:val="226"/>
        </w:trPr>
        <w:tc>
          <w:tcPr>
            <w:tcW w:w="2730"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Standard Deviation</w:t>
            </w:r>
          </w:p>
        </w:tc>
        <w:tc>
          <w:tcPr>
            <w:tcW w:w="2044"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 xml:space="preserve">          0,4583 </w:t>
            </w:r>
          </w:p>
        </w:tc>
      </w:tr>
      <w:tr w:rsidR="00E866C9" w:rsidRPr="00E866C9" w:rsidTr="00E866C9">
        <w:trPr>
          <w:trHeight w:val="226"/>
        </w:trPr>
        <w:tc>
          <w:tcPr>
            <w:tcW w:w="2730"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Sample Variance</w:t>
            </w:r>
          </w:p>
        </w:tc>
        <w:tc>
          <w:tcPr>
            <w:tcW w:w="2044"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 xml:space="preserve">          0,2100 </w:t>
            </w:r>
          </w:p>
        </w:tc>
      </w:tr>
      <w:tr w:rsidR="00E866C9" w:rsidRPr="00E866C9" w:rsidTr="00E866C9">
        <w:trPr>
          <w:trHeight w:val="226"/>
        </w:trPr>
        <w:tc>
          <w:tcPr>
            <w:tcW w:w="2730"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Kurtosis</w:t>
            </w:r>
          </w:p>
        </w:tc>
        <w:tc>
          <w:tcPr>
            <w:tcW w:w="2044"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 xml:space="preserve">         -1,2379 </w:t>
            </w:r>
          </w:p>
        </w:tc>
      </w:tr>
      <w:tr w:rsidR="00E866C9" w:rsidRPr="00E866C9" w:rsidTr="00E866C9">
        <w:trPr>
          <w:trHeight w:val="226"/>
        </w:trPr>
        <w:tc>
          <w:tcPr>
            <w:tcW w:w="2730"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Skewness</w:t>
            </w:r>
          </w:p>
        </w:tc>
        <w:tc>
          <w:tcPr>
            <w:tcW w:w="2044"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 xml:space="preserve">          0,8731 </w:t>
            </w:r>
          </w:p>
        </w:tc>
      </w:tr>
      <w:tr w:rsidR="00E866C9" w:rsidRPr="00E866C9" w:rsidTr="00E866C9">
        <w:trPr>
          <w:trHeight w:val="226"/>
        </w:trPr>
        <w:tc>
          <w:tcPr>
            <w:tcW w:w="2730"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Range</w:t>
            </w:r>
          </w:p>
        </w:tc>
        <w:tc>
          <w:tcPr>
            <w:tcW w:w="2044"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 xml:space="preserve">          1,0000 </w:t>
            </w:r>
          </w:p>
        </w:tc>
      </w:tr>
      <w:tr w:rsidR="00E866C9" w:rsidRPr="00E866C9" w:rsidTr="00E866C9">
        <w:trPr>
          <w:trHeight w:val="226"/>
        </w:trPr>
        <w:tc>
          <w:tcPr>
            <w:tcW w:w="2730"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Minimum</w:t>
            </w:r>
          </w:p>
        </w:tc>
        <w:tc>
          <w:tcPr>
            <w:tcW w:w="2044"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 xml:space="preserve">                -   </w:t>
            </w:r>
          </w:p>
        </w:tc>
      </w:tr>
      <w:tr w:rsidR="00E866C9" w:rsidRPr="00E866C9" w:rsidTr="00E866C9">
        <w:trPr>
          <w:trHeight w:val="226"/>
        </w:trPr>
        <w:tc>
          <w:tcPr>
            <w:tcW w:w="2730"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Maximum</w:t>
            </w:r>
          </w:p>
        </w:tc>
        <w:tc>
          <w:tcPr>
            <w:tcW w:w="2044"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 xml:space="preserve">          1,0000 </w:t>
            </w:r>
          </w:p>
        </w:tc>
      </w:tr>
      <w:tr w:rsidR="00E866C9" w:rsidRPr="00E866C9" w:rsidTr="00E866C9">
        <w:trPr>
          <w:trHeight w:val="226"/>
        </w:trPr>
        <w:tc>
          <w:tcPr>
            <w:tcW w:w="2730"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Sum</w:t>
            </w:r>
          </w:p>
        </w:tc>
        <w:tc>
          <w:tcPr>
            <w:tcW w:w="2044" w:type="dxa"/>
            <w:tcBorders>
              <w:top w:val="nil"/>
              <w:left w:val="nil"/>
              <w:bottom w:val="nil"/>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 xml:space="preserve">   3.705,0000 </w:t>
            </w:r>
          </w:p>
        </w:tc>
      </w:tr>
      <w:tr w:rsidR="00E866C9" w:rsidRPr="00E866C9" w:rsidTr="00E866C9">
        <w:trPr>
          <w:trHeight w:val="240"/>
        </w:trPr>
        <w:tc>
          <w:tcPr>
            <w:tcW w:w="2730" w:type="dxa"/>
            <w:tcBorders>
              <w:top w:val="nil"/>
              <w:left w:val="nil"/>
              <w:bottom w:val="single" w:sz="8" w:space="0" w:color="auto"/>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Count</w:t>
            </w:r>
          </w:p>
        </w:tc>
        <w:tc>
          <w:tcPr>
            <w:tcW w:w="2044" w:type="dxa"/>
            <w:tcBorders>
              <w:top w:val="nil"/>
              <w:left w:val="nil"/>
              <w:bottom w:val="single" w:sz="8" w:space="0" w:color="auto"/>
              <w:right w:val="nil"/>
            </w:tcBorders>
            <w:shd w:val="clear" w:color="auto" w:fill="auto"/>
            <w:noWrap/>
            <w:vAlign w:val="bottom"/>
            <w:hideMark/>
          </w:tcPr>
          <w:p w:rsidR="00E866C9" w:rsidRPr="00E866C9" w:rsidRDefault="00E866C9" w:rsidP="00E866C9">
            <w:pPr>
              <w:spacing w:after="0" w:line="240" w:lineRule="auto"/>
              <w:rPr>
                <w:rFonts w:ascii="Times New Roman" w:eastAsia="Times New Roman" w:hAnsi="Times New Roman" w:cs="Times New Roman"/>
                <w:color w:val="000000"/>
                <w:lang w:val="en-US"/>
              </w:rPr>
            </w:pPr>
            <w:r w:rsidRPr="00E866C9">
              <w:rPr>
                <w:rFonts w:ascii="Times New Roman" w:eastAsia="Times New Roman" w:hAnsi="Times New Roman" w:cs="Times New Roman"/>
                <w:color w:val="000000"/>
                <w:lang w:val="en-US"/>
              </w:rPr>
              <w:t xml:space="preserve">  12.351,0000 </w:t>
            </w:r>
          </w:p>
        </w:tc>
      </w:tr>
    </w:tbl>
    <w:p w:rsidR="003F126F" w:rsidRDefault="003F126F" w:rsidP="003F126F">
      <w:pPr>
        <w:pStyle w:val="BodyText"/>
        <w:rPr>
          <w:lang w:val="en-US"/>
        </w:rPr>
      </w:pPr>
    </w:p>
    <w:tbl>
      <w:tblPr>
        <w:tblW w:w="4832" w:type="dxa"/>
        <w:tblLook w:val="04A0" w:firstRow="1" w:lastRow="0" w:firstColumn="1" w:lastColumn="0" w:noHBand="0" w:noVBand="1"/>
      </w:tblPr>
      <w:tblGrid>
        <w:gridCol w:w="2778"/>
        <w:gridCol w:w="2054"/>
      </w:tblGrid>
      <w:tr w:rsidR="002E49C6" w:rsidRPr="002E49C6" w:rsidTr="002E49C6">
        <w:trPr>
          <w:trHeight w:val="228"/>
        </w:trPr>
        <w:tc>
          <w:tcPr>
            <w:tcW w:w="4832" w:type="dxa"/>
            <w:gridSpan w:val="2"/>
            <w:tcBorders>
              <w:top w:val="single" w:sz="8" w:space="0" w:color="auto"/>
              <w:left w:val="nil"/>
              <w:bottom w:val="single" w:sz="4" w:space="0" w:color="auto"/>
              <w:right w:val="nil"/>
            </w:tcBorders>
            <w:shd w:val="clear" w:color="auto" w:fill="auto"/>
            <w:noWrap/>
            <w:vAlign w:val="bottom"/>
            <w:hideMark/>
          </w:tcPr>
          <w:p w:rsidR="002E49C6" w:rsidRPr="002E49C6" w:rsidRDefault="002E49C6" w:rsidP="002E49C6">
            <w:pPr>
              <w:spacing w:after="0" w:line="240" w:lineRule="auto"/>
              <w:jc w:val="center"/>
              <w:rPr>
                <w:rFonts w:ascii="Times New Roman" w:eastAsia="Times New Roman" w:hAnsi="Times New Roman" w:cs="Times New Roman"/>
                <w:i/>
                <w:iCs/>
                <w:color w:val="000000"/>
                <w:lang w:val="en-US"/>
              </w:rPr>
            </w:pPr>
            <w:r w:rsidRPr="002E49C6">
              <w:rPr>
                <w:rFonts w:ascii="Times New Roman" w:eastAsia="Times New Roman" w:hAnsi="Times New Roman" w:cs="Times New Roman"/>
                <w:i/>
                <w:iCs/>
                <w:color w:val="000000"/>
                <w:lang w:val="en-US"/>
              </w:rPr>
              <w:t>Event Dummy</w:t>
            </w:r>
          </w:p>
        </w:tc>
      </w:tr>
      <w:tr w:rsidR="002E49C6" w:rsidRPr="002E49C6" w:rsidTr="002E49C6">
        <w:trPr>
          <w:trHeight w:val="228"/>
        </w:trPr>
        <w:tc>
          <w:tcPr>
            <w:tcW w:w="277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jc w:val="center"/>
              <w:rPr>
                <w:rFonts w:ascii="Times New Roman" w:eastAsia="Times New Roman" w:hAnsi="Times New Roman" w:cs="Times New Roman"/>
                <w:i/>
                <w:iCs/>
                <w:color w:val="000000"/>
                <w:lang w:val="en-US"/>
              </w:rPr>
            </w:pPr>
          </w:p>
        </w:tc>
        <w:tc>
          <w:tcPr>
            <w:tcW w:w="205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lang w:val="en-US"/>
              </w:rPr>
            </w:pPr>
          </w:p>
        </w:tc>
      </w:tr>
      <w:tr w:rsidR="002E49C6" w:rsidRPr="002E49C6" w:rsidTr="002E49C6">
        <w:trPr>
          <w:trHeight w:val="228"/>
        </w:trPr>
        <w:tc>
          <w:tcPr>
            <w:tcW w:w="277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Mean</w:t>
            </w:r>
          </w:p>
        </w:tc>
        <w:tc>
          <w:tcPr>
            <w:tcW w:w="205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0,0421 </w:t>
            </w:r>
          </w:p>
        </w:tc>
      </w:tr>
      <w:tr w:rsidR="002E49C6" w:rsidRPr="002E49C6" w:rsidTr="002E49C6">
        <w:trPr>
          <w:trHeight w:val="228"/>
        </w:trPr>
        <w:tc>
          <w:tcPr>
            <w:tcW w:w="277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Standard Error</w:t>
            </w:r>
          </w:p>
        </w:tc>
        <w:tc>
          <w:tcPr>
            <w:tcW w:w="205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0,0018 </w:t>
            </w:r>
          </w:p>
        </w:tc>
      </w:tr>
      <w:tr w:rsidR="002E49C6" w:rsidRPr="002E49C6" w:rsidTr="002E49C6">
        <w:trPr>
          <w:trHeight w:val="228"/>
        </w:trPr>
        <w:tc>
          <w:tcPr>
            <w:tcW w:w="277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Median</w:t>
            </w:r>
          </w:p>
        </w:tc>
        <w:tc>
          <w:tcPr>
            <w:tcW w:w="205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   </w:t>
            </w:r>
          </w:p>
        </w:tc>
      </w:tr>
      <w:tr w:rsidR="002E49C6" w:rsidRPr="002E49C6" w:rsidTr="002E49C6">
        <w:trPr>
          <w:trHeight w:val="228"/>
        </w:trPr>
        <w:tc>
          <w:tcPr>
            <w:tcW w:w="277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Mode</w:t>
            </w:r>
          </w:p>
        </w:tc>
        <w:tc>
          <w:tcPr>
            <w:tcW w:w="205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   </w:t>
            </w:r>
          </w:p>
        </w:tc>
      </w:tr>
      <w:tr w:rsidR="002E49C6" w:rsidRPr="002E49C6" w:rsidTr="002E49C6">
        <w:trPr>
          <w:trHeight w:val="228"/>
        </w:trPr>
        <w:tc>
          <w:tcPr>
            <w:tcW w:w="277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Standard Deviation</w:t>
            </w:r>
          </w:p>
        </w:tc>
        <w:tc>
          <w:tcPr>
            <w:tcW w:w="205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0,2008 </w:t>
            </w:r>
          </w:p>
        </w:tc>
      </w:tr>
      <w:tr w:rsidR="002E49C6" w:rsidRPr="002E49C6" w:rsidTr="002E49C6">
        <w:trPr>
          <w:trHeight w:val="228"/>
        </w:trPr>
        <w:tc>
          <w:tcPr>
            <w:tcW w:w="277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Sample Variance</w:t>
            </w:r>
          </w:p>
        </w:tc>
        <w:tc>
          <w:tcPr>
            <w:tcW w:w="205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0,0403 </w:t>
            </w:r>
          </w:p>
        </w:tc>
      </w:tr>
      <w:tr w:rsidR="002E49C6" w:rsidRPr="002E49C6" w:rsidTr="002E49C6">
        <w:trPr>
          <w:trHeight w:val="228"/>
        </w:trPr>
        <w:tc>
          <w:tcPr>
            <w:tcW w:w="277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Kurtosis</w:t>
            </w:r>
          </w:p>
        </w:tc>
        <w:tc>
          <w:tcPr>
            <w:tcW w:w="205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18,8040 </w:t>
            </w:r>
          </w:p>
        </w:tc>
      </w:tr>
      <w:tr w:rsidR="002E49C6" w:rsidRPr="002E49C6" w:rsidTr="002E49C6">
        <w:trPr>
          <w:trHeight w:val="228"/>
        </w:trPr>
        <w:tc>
          <w:tcPr>
            <w:tcW w:w="277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Skewness</w:t>
            </w:r>
          </w:p>
        </w:tc>
        <w:tc>
          <w:tcPr>
            <w:tcW w:w="205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4,5608 </w:t>
            </w:r>
          </w:p>
        </w:tc>
      </w:tr>
      <w:tr w:rsidR="002E49C6" w:rsidRPr="002E49C6" w:rsidTr="002E49C6">
        <w:trPr>
          <w:trHeight w:val="228"/>
        </w:trPr>
        <w:tc>
          <w:tcPr>
            <w:tcW w:w="277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Range</w:t>
            </w:r>
          </w:p>
        </w:tc>
        <w:tc>
          <w:tcPr>
            <w:tcW w:w="205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1,0000 </w:t>
            </w:r>
          </w:p>
        </w:tc>
      </w:tr>
      <w:tr w:rsidR="002E49C6" w:rsidRPr="002E49C6" w:rsidTr="002E49C6">
        <w:trPr>
          <w:trHeight w:val="228"/>
        </w:trPr>
        <w:tc>
          <w:tcPr>
            <w:tcW w:w="277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Minimum</w:t>
            </w:r>
          </w:p>
        </w:tc>
        <w:tc>
          <w:tcPr>
            <w:tcW w:w="205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   </w:t>
            </w:r>
          </w:p>
        </w:tc>
      </w:tr>
      <w:tr w:rsidR="002E49C6" w:rsidRPr="002E49C6" w:rsidTr="002E49C6">
        <w:trPr>
          <w:trHeight w:val="228"/>
        </w:trPr>
        <w:tc>
          <w:tcPr>
            <w:tcW w:w="277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Maximum</w:t>
            </w:r>
          </w:p>
        </w:tc>
        <w:tc>
          <w:tcPr>
            <w:tcW w:w="205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1,0000 </w:t>
            </w:r>
          </w:p>
        </w:tc>
      </w:tr>
      <w:tr w:rsidR="002E49C6" w:rsidRPr="002E49C6" w:rsidTr="002E49C6">
        <w:trPr>
          <w:trHeight w:val="228"/>
        </w:trPr>
        <w:tc>
          <w:tcPr>
            <w:tcW w:w="277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Sum</w:t>
            </w:r>
          </w:p>
        </w:tc>
        <w:tc>
          <w:tcPr>
            <w:tcW w:w="205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520,0000 </w:t>
            </w:r>
          </w:p>
        </w:tc>
      </w:tr>
      <w:tr w:rsidR="002E49C6" w:rsidRPr="002E49C6" w:rsidTr="002E49C6">
        <w:trPr>
          <w:trHeight w:val="242"/>
        </w:trPr>
        <w:tc>
          <w:tcPr>
            <w:tcW w:w="2778" w:type="dxa"/>
            <w:tcBorders>
              <w:top w:val="nil"/>
              <w:left w:val="nil"/>
              <w:bottom w:val="single" w:sz="8" w:space="0" w:color="auto"/>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Count</w:t>
            </w:r>
          </w:p>
        </w:tc>
        <w:tc>
          <w:tcPr>
            <w:tcW w:w="2054" w:type="dxa"/>
            <w:tcBorders>
              <w:top w:val="nil"/>
              <w:left w:val="nil"/>
              <w:bottom w:val="single" w:sz="8" w:space="0" w:color="auto"/>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12.351,0000 </w:t>
            </w:r>
          </w:p>
        </w:tc>
      </w:tr>
    </w:tbl>
    <w:p w:rsidR="00E866C9" w:rsidRDefault="00E866C9" w:rsidP="003F126F">
      <w:pPr>
        <w:pStyle w:val="BodyText"/>
        <w:rPr>
          <w:lang w:val="en-US"/>
        </w:rPr>
      </w:pPr>
    </w:p>
    <w:p w:rsidR="002E49C6" w:rsidRDefault="002E49C6" w:rsidP="003F126F">
      <w:pPr>
        <w:pStyle w:val="BodyText"/>
        <w:rPr>
          <w:lang w:val="en-US"/>
        </w:rPr>
      </w:pPr>
    </w:p>
    <w:p w:rsidR="002E49C6" w:rsidRDefault="002E49C6" w:rsidP="003F126F">
      <w:pPr>
        <w:pStyle w:val="BodyText"/>
        <w:rPr>
          <w:lang w:val="en-US"/>
        </w:rPr>
      </w:pPr>
    </w:p>
    <w:p w:rsidR="002E49C6" w:rsidRDefault="002E49C6" w:rsidP="003F126F">
      <w:pPr>
        <w:pStyle w:val="BodyText"/>
        <w:rPr>
          <w:lang w:val="en-US"/>
        </w:rPr>
      </w:pPr>
    </w:p>
    <w:p w:rsidR="002E49C6" w:rsidRDefault="002E49C6" w:rsidP="003F126F">
      <w:pPr>
        <w:pStyle w:val="BodyText"/>
        <w:rPr>
          <w:lang w:val="en-US"/>
        </w:rPr>
      </w:pPr>
    </w:p>
    <w:p w:rsidR="002E49C6" w:rsidRDefault="002E49C6" w:rsidP="003F126F">
      <w:pPr>
        <w:pStyle w:val="BodyText"/>
        <w:rPr>
          <w:lang w:val="en-US"/>
        </w:rPr>
      </w:pPr>
    </w:p>
    <w:tbl>
      <w:tblPr>
        <w:tblpPr w:leftFromText="180" w:rightFromText="180" w:vertAnchor="text" w:horzAnchor="page" w:tblpX="6451" w:tblpY="-122"/>
        <w:tblW w:w="5115" w:type="dxa"/>
        <w:tblLook w:val="04A0" w:firstRow="1" w:lastRow="0" w:firstColumn="1" w:lastColumn="0" w:noHBand="0" w:noVBand="1"/>
      </w:tblPr>
      <w:tblGrid>
        <w:gridCol w:w="2841"/>
        <w:gridCol w:w="2274"/>
      </w:tblGrid>
      <w:tr w:rsidR="002E49C6" w:rsidRPr="002E49C6" w:rsidTr="002E49C6">
        <w:trPr>
          <w:trHeight w:val="217"/>
        </w:trPr>
        <w:tc>
          <w:tcPr>
            <w:tcW w:w="5115" w:type="dxa"/>
            <w:gridSpan w:val="2"/>
            <w:tcBorders>
              <w:top w:val="single" w:sz="8" w:space="0" w:color="auto"/>
              <w:left w:val="nil"/>
              <w:bottom w:val="single" w:sz="4" w:space="0" w:color="auto"/>
              <w:right w:val="nil"/>
            </w:tcBorders>
            <w:shd w:val="clear" w:color="auto" w:fill="auto"/>
            <w:noWrap/>
            <w:vAlign w:val="bottom"/>
            <w:hideMark/>
          </w:tcPr>
          <w:p w:rsidR="002E49C6" w:rsidRPr="002E49C6" w:rsidRDefault="002E49C6" w:rsidP="002E49C6">
            <w:pPr>
              <w:spacing w:after="0" w:line="240" w:lineRule="auto"/>
              <w:jc w:val="center"/>
              <w:rPr>
                <w:rFonts w:ascii="Times New Roman" w:eastAsia="Times New Roman" w:hAnsi="Times New Roman" w:cs="Times New Roman"/>
                <w:i/>
                <w:iCs/>
                <w:color w:val="000000"/>
                <w:lang w:val="en-US"/>
              </w:rPr>
            </w:pPr>
            <w:r w:rsidRPr="002E49C6">
              <w:rPr>
                <w:rFonts w:ascii="Times New Roman" w:eastAsia="Times New Roman" w:hAnsi="Times New Roman" w:cs="Times New Roman"/>
                <w:i/>
                <w:iCs/>
                <w:color w:val="000000"/>
                <w:lang w:val="en-US"/>
              </w:rPr>
              <w:t>Oil Price</w:t>
            </w:r>
          </w:p>
        </w:tc>
      </w:tr>
      <w:tr w:rsidR="002E49C6" w:rsidRPr="002E49C6" w:rsidTr="002E49C6">
        <w:trPr>
          <w:trHeight w:val="217"/>
        </w:trPr>
        <w:tc>
          <w:tcPr>
            <w:tcW w:w="2841"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jc w:val="center"/>
              <w:rPr>
                <w:rFonts w:ascii="Times New Roman" w:eastAsia="Times New Roman" w:hAnsi="Times New Roman" w:cs="Times New Roman"/>
                <w:i/>
                <w:iCs/>
                <w:color w:val="000000"/>
                <w:lang w:val="en-US"/>
              </w:rPr>
            </w:pPr>
          </w:p>
        </w:tc>
        <w:tc>
          <w:tcPr>
            <w:tcW w:w="227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lang w:val="en-US"/>
              </w:rPr>
            </w:pPr>
          </w:p>
        </w:tc>
      </w:tr>
      <w:tr w:rsidR="002E49C6" w:rsidRPr="002E49C6" w:rsidTr="002E49C6">
        <w:trPr>
          <w:trHeight w:val="217"/>
        </w:trPr>
        <w:tc>
          <w:tcPr>
            <w:tcW w:w="2841"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Mean</w:t>
            </w:r>
          </w:p>
        </w:tc>
        <w:tc>
          <w:tcPr>
            <w:tcW w:w="227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64,5330 </w:t>
            </w:r>
          </w:p>
        </w:tc>
      </w:tr>
      <w:tr w:rsidR="002E49C6" w:rsidRPr="002E49C6" w:rsidTr="002E49C6">
        <w:trPr>
          <w:trHeight w:val="217"/>
        </w:trPr>
        <w:tc>
          <w:tcPr>
            <w:tcW w:w="2841"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Standard Error</w:t>
            </w:r>
          </w:p>
        </w:tc>
        <w:tc>
          <w:tcPr>
            <w:tcW w:w="227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0,1888 </w:t>
            </w:r>
          </w:p>
        </w:tc>
      </w:tr>
      <w:tr w:rsidR="002E49C6" w:rsidRPr="002E49C6" w:rsidTr="002E49C6">
        <w:trPr>
          <w:trHeight w:val="217"/>
        </w:trPr>
        <w:tc>
          <w:tcPr>
            <w:tcW w:w="2841"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Median</w:t>
            </w:r>
          </w:p>
        </w:tc>
        <w:tc>
          <w:tcPr>
            <w:tcW w:w="227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57,1700 </w:t>
            </w:r>
          </w:p>
        </w:tc>
      </w:tr>
      <w:tr w:rsidR="002E49C6" w:rsidRPr="002E49C6" w:rsidTr="002E49C6">
        <w:trPr>
          <w:trHeight w:val="217"/>
        </w:trPr>
        <w:tc>
          <w:tcPr>
            <w:tcW w:w="2841"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Mode</w:t>
            </w:r>
          </w:p>
        </w:tc>
        <w:tc>
          <w:tcPr>
            <w:tcW w:w="227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108,9800 </w:t>
            </w:r>
          </w:p>
        </w:tc>
      </w:tr>
      <w:tr w:rsidR="002E49C6" w:rsidRPr="002E49C6" w:rsidTr="002E49C6">
        <w:trPr>
          <w:trHeight w:val="217"/>
        </w:trPr>
        <w:tc>
          <w:tcPr>
            <w:tcW w:w="2841"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Standard Deviation</w:t>
            </w:r>
          </w:p>
        </w:tc>
        <w:tc>
          <w:tcPr>
            <w:tcW w:w="227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20,9810 </w:t>
            </w:r>
          </w:p>
        </w:tc>
      </w:tr>
      <w:tr w:rsidR="002E49C6" w:rsidRPr="002E49C6" w:rsidTr="002E49C6">
        <w:trPr>
          <w:trHeight w:val="217"/>
        </w:trPr>
        <w:tc>
          <w:tcPr>
            <w:tcW w:w="2841"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Sample Variance</w:t>
            </w:r>
          </w:p>
        </w:tc>
        <w:tc>
          <w:tcPr>
            <w:tcW w:w="227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440,2028 </w:t>
            </w:r>
          </w:p>
        </w:tc>
      </w:tr>
      <w:tr w:rsidR="002E49C6" w:rsidRPr="002E49C6" w:rsidTr="002E49C6">
        <w:trPr>
          <w:trHeight w:val="217"/>
        </w:trPr>
        <w:tc>
          <w:tcPr>
            <w:tcW w:w="2841"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Kurtosis</w:t>
            </w:r>
          </w:p>
        </w:tc>
        <w:tc>
          <w:tcPr>
            <w:tcW w:w="227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-0,0721 </w:t>
            </w:r>
          </w:p>
        </w:tc>
      </w:tr>
      <w:tr w:rsidR="002E49C6" w:rsidRPr="002E49C6" w:rsidTr="002E49C6">
        <w:trPr>
          <w:trHeight w:val="217"/>
        </w:trPr>
        <w:tc>
          <w:tcPr>
            <w:tcW w:w="2841"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Skewness</w:t>
            </w:r>
          </w:p>
        </w:tc>
        <w:tc>
          <w:tcPr>
            <w:tcW w:w="227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0,9457 </w:t>
            </w:r>
          </w:p>
        </w:tc>
      </w:tr>
      <w:tr w:rsidR="002E49C6" w:rsidRPr="002E49C6" w:rsidTr="002E49C6">
        <w:trPr>
          <w:trHeight w:val="217"/>
        </w:trPr>
        <w:tc>
          <w:tcPr>
            <w:tcW w:w="2841"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Range</w:t>
            </w:r>
          </w:p>
        </w:tc>
        <w:tc>
          <w:tcPr>
            <w:tcW w:w="227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87,3100 </w:t>
            </w:r>
          </w:p>
        </w:tc>
      </w:tr>
      <w:tr w:rsidR="002E49C6" w:rsidRPr="002E49C6" w:rsidTr="002E49C6">
        <w:trPr>
          <w:trHeight w:val="217"/>
        </w:trPr>
        <w:tc>
          <w:tcPr>
            <w:tcW w:w="2841"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Minimum</w:t>
            </w:r>
          </w:p>
        </w:tc>
        <w:tc>
          <w:tcPr>
            <w:tcW w:w="227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27,8800 </w:t>
            </w:r>
          </w:p>
        </w:tc>
      </w:tr>
      <w:tr w:rsidR="002E49C6" w:rsidRPr="002E49C6" w:rsidTr="002E49C6">
        <w:trPr>
          <w:trHeight w:val="217"/>
        </w:trPr>
        <w:tc>
          <w:tcPr>
            <w:tcW w:w="2841"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Maximum</w:t>
            </w:r>
          </w:p>
        </w:tc>
        <w:tc>
          <w:tcPr>
            <w:tcW w:w="227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115,1900 </w:t>
            </w:r>
          </w:p>
        </w:tc>
      </w:tr>
      <w:tr w:rsidR="002E49C6" w:rsidRPr="002E49C6" w:rsidTr="002E49C6">
        <w:trPr>
          <w:trHeight w:val="217"/>
        </w:trPr>
        <w:tc>
          <w:tcPr>
            <w:tcW w:w="2841"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Sum</w:t>
            </w:r>
          </w:p>
        </w:tc>
        <w:tc>
          <w:tcPr>
            <w:tcW w:w="2274"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797.047,4400 </w:t>
            </w:r>
          </w:p>
        </w:tc>
      </w:tr>
      <w:tr w:rsidR="002E49C6" w:rsidRPr="002E49C6" w:rsidTr="002E49C6">
        <w:trPr>
          <w:trHeight w:val="230"/>
        </w:trPr>
        <w:tc>
          <w:tcPr>
            <w:tcW w:w="2841" w:type="dxa"/>
            <w:tcBorders>
              <w:top w:val="nil"/>
              <w:left w:val="nil"/>
              <w:bottom w:val="single" w:sz="8" w:space="0" w:color="auto"/>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Count</w:t>
            </w:r>
          </w:p>
        </w:tc>
        <w:tc>
          <w:tcPr>
            <w:tcW w:w="2274" w:type="dxa"/>
            <w:tcBorders>
              <w:top w:val="nil"/>
              <w:left w:val="nil"/>
              <w:bottom w:val="single" w:sz="8" w:space="0" w:color="auto"/>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12.351,0000 </w:t>
            </w:r>
          </w:p>
        </w:tc>
      </w:tr>
    </w:tbl>
    <w:p w:rsidR="002E49C6" w:rsidRDefault="002E49C6" w:rsidP="003F126F">
      <w:pPr>
        <w:pStyle w:val="BodyText"/>
        <w:rPr>
          <w:lang w:val="en-US"/>
        </w:rPr>
      </w:pPr>
    </w:p>
    <w:tbl>
      <w:tblPr>
        <w:tblW w:w="5191" w:type="dxa"/>
        <w:tblLook w:val="04A0" w:firstRow="1" w:lastRow="0" w:firstColumn="1" w:lastColumn="0" w:noHBand="0" w:noVBand="1"/>
      </w:tblPr>
      <w:tblGrid>
        <w:gridCol w:w="2968"/>
        <w:gridCol w:w="2223"/>
      </w:tblGrid>
      <w:tr w:rsidR="002E49C6" w:rsidRPr="002E49C6" w:rsidTr="002E49C6">
        <w:trPr>
          <w:trHeight w:val="71"/>
        </w:trPr>
        <w:tc>
          <w:tcPr>
            <w:tcW w:w="5191" w:type="dxa"/>
            <w:gridSpan w:val="2"/>
            <w:tcBorders>
              <w:top w:val="single" w:sz="8" w:space="0" w:color="auto"/>
              <w:left w:val="nil"/>
              <w:bottom w:val="single" w:sz="4" w:space="0" w:color="auto"/>
              <w:right w:val="nil"/>
            </w:tcBorders>
            <w:shd w:val="clear" w:color="auto" w:fill="auto"/>
            <w:noWrap/>
            <w:vAlign w:val="bottom"/>
            <w:hideMark/>
          </w:tcPr>
          <w:p w:rsidR="002E49C6" w:rsidRPr="002E49C6" w:rsidRDefault="002E49C6" w:rsidP="002E49C6">
            <w:pPr>
              <w:spacing w:after="0" w:line="240" w:lineRule="auto"/>
              <w:jc w:val="center"/>
              <w:rPr>
                <w:rFonts w:ascii="Times New Roman" w:eastAsia="Times New Roman" w:hAnsi="Times New Roman" w:cs="Times New Roman"/>
                <w:i/>
                <w:iCs/>
                <w:color w:val="000000"/>
                <w:lang w:val="en-US"/>
              </w:rPr>
            </w:pPr>
            <w:r w:rsidRPr="002E49C6">
              <w:rPr>
                <w:rFonts w:ascii="Times New Roman" w:eastAsia="Times New Roman" w:hAnsi="Times New Roman" w:cs="Times New Roman"/>
                <w:i/>
                <w:iCs/>
                <w:color w:val="000000"/>
                <w:lang w:val="en-US"/>
              </w:rPr>
              <w:t>T-Bills</w:t>
            </w:r>
          </w:p>
        </w:tc>
      </w:tr>
      <w:tr w:rsidR="002E49C6" w:rsidRPr="002E49C6" w:rsidTr="002E49C6">
        <w:trPr>
          <w:trHeight w:val="71"/>
        </w:trPr>
        <w:tc>
          <w:tcPr>
            <w:tcW w:w="296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jc w:val="center"/>
              <w:rPr>
                <w:rFonts w:ascii="Times New Roman" w:eastAsia="Times New Roman" w:hAnsi="Times New Roman" w:cs="Times New Roman"/>
                <w:i/>
                <w:iCs/>
                <w:color w:val="000000"/>
                <w:lang w:val="en-US"/>
              </w:rPr>
            </w:pPr>
          </w:p>
        </w:tc>
        <w:tc>
          <w:tcPr>
            <w:tcW w:w="2222"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lang w:val="en-US"/>
              </w:rPr>
            </w:pPr>
          </w:p>
        </w:tc>
      </w:tr>
      <w:tr w:rsidR="002E49C6" w:rsidRPr="002E49C6" w:rsidTr="002E49C6">
        <w:trPr>
          <w:trHeight w:val="71"/>
        </w:trPr>
        <w:tc>
          <w:tcPr>
            <w:tcW w:w="296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Mean</w:t>
            </w:r>
          </w:p>
        </w:tc>
        <w:tc>
          <w:tcPr>
            <w:tcW w:w="2222"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0,9215 </w:t>
            </w:r>
          </w:p>
        </w:tc>
      </w:tr>
      <w:tr w:rsidR="002E49C6" w:rsidRPr="002E49C6" w:rsidTr="002E49C6">
        <w:trPr>
          <w:trHeight w:val="71"/>
        </w:trPr>
        <w:tc>
          <w:tcPr>
            <w:tcW w:w="296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Standard Error</w:t>
            </w:r>
          </w:p>
        </w:tc>
        <w:tc>
          <w:tcPr>
            <w:tcW w:w="2222"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0,0074 </w:t>
            </w:r>
          </w:p>
        </w:tc>
      </w:tr>
      <w:tr w:rsidR="002E49C6" w:rsidRPr="002E49C6" w:rsidTr="002E49C6">
        <w:trPr>
          <w:trHeight w:val="71"/>
        </w:trPr>
        <w:tc>
          <w:tcPr>
            <w:tcW w:w="296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Median</w:t>
            </w:r>
          </w:p>
        </w:tc>
        <w:tc>
          <w:tcPr>
            <w:tcW w:w="2222"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0,6008 </w:t>
            </w:r>
          </w:p>
        </w:tc>
      </w:tr>
      <w:tr w:rsidR="002E49C6" w:rsidRPr="002E49C6" w:rsidTr="002E49C6">
        <w:trPr>
          <w:trHeight w:val="71"/>
        </w:trPr>
        <w:tc>
          <w:tcPr>
            <w:tcW w:w="296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Mode</w:t>
            </w:r>
          </w:p>
        </w:tc>
        <w:tc>
          <w:tcPr>
            <w:tcW w:w="2222"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0,1100 </w:t>
            </w:r>
          </w:p>
        </w:tc>
      </w:tr>
      <w:tr w:rsidR="002E49C6" w:rsidRPr="002E49C6" w:rsidTr="002E49C6">
        <w:trPr>
          <w:trHeight w:val="71"/>
        </w:trPr>
        <w:tc>
          <w:tcPr>
            <w:tcW w:w="296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Standard Deviation</w:t>
            </w:r>
          </w:p>
        </w:tc>
        <w:tc>
          <w:tcPr>
            <w:tcW w:w="2222"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0,8216 </w:t>
            </w:r>
          </w:p>
        </w:tc>
      </w:tr>
      <w:tr w:rsidR="002E49C6" w:rsidRPr="002E49C6" w:rsidTr="002E49C6">
        <w:trPr>
          <w:trHeight w:val="71"/>
        </w:trPr>
        <w:tc>
          <w:tcPr>
            <w:tcW w:w="296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Sample Variance</w:t>
            </w:r>
          </w:p>
        </w:tc>
        <w:tc>
          <w:tcPr>
            <w:tcW w:w="2222"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0,6750 </w:t>
            </w:r>
          </w:p>
        </w:tc>
      </w:tr>
      <w:tr w:rsidR="002E49C6" w:rsidRPr="002E49C6" w:rsidTr="002E49C6">
        <w:trPr>
          <w:trHeight w:val="71"/>
        </w:trPr>
        <w:tc>
          <w:tcPr>
            <w:tcW w:w="296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Kurtosis</w:t>
            </w:r>
          </w:p>
        </w:tc>
        <w:tc>
          <w:tcPr>
            <w:tcW w:w="2222"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-0,5192 </w:t>
            </w:r>
          </w:p>
        </w:tc>
      </w:tr>
      <w:tr w:rsidR="002E49C6" w:rsidRPr="002E49C6" w:rsidTr="002E49C6">
        <w:trPr>
          <w:trHeight w:val="71"/>
        </w:trPr>
        <w:tc>
          <w:tcPr>
            <w:tcW w:w="296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Skewness</w:t>
            </w:r>
          </w:p>
        </w:tc>
        <w:tc>
          <w:tcPr>
            <w:tcW w:w="2222"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0,9035 </w:t>
            </w:r>
          </w:p>
        </w:tc>
      </w:tr>
      <w:tr w:rsidR="002E49C6" w:rsidRPr="002E49C6" w:rsidTr="002E49C6">
        <w:trPr>
          <w:trHeight w:val="71"/>
        </w:trPr>
        <w:tc>
          <w:tcPr>
            <w:tcW w:w="296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Range</w:t>
            </w:r>
          </w:p>
        </w:tc>
        <w:tc>
          <w:tcPr>
            <w:tcW w:w="2222"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2,6500 </w:t>
            </w:r>
          </w:p>
        </w:tc>
      </w:tr>
      <w:tr w:rsidR="002E49C6" w:rsidRPr="002E49C6" w:rsidTr="002E49C6">
        <w:trPr>
          <w:trHeight w:val="71"/>
        </w:trPr>
        <w:tc>
          <w:tcPr>
            <w:tcW w:w="296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Minimum</w:t>
            </w:r>
          </w:p>
        </w:tc>
        <w:tc>
          <w:tcPr>
            <w:tcW w:w="2222"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0,0900 </w:t>
            </w:r>
          </w:p>
        </w:tc>
      </w:tr>
      <w:tr w:rsidR="002E49C6" w:rsidRPr="002E49C6" w:rsidTr="002E49C6">
        <w:trPr>
          <w:trHeight w:val="71"/>
        </w:trPr>
        <w:tc>
          <w:tcPr>
            <w:tcW w:w="296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Maximum</w:t>
            </w:r>
          </w:p>
        </w:tc>
        <w:tc>
          <w:tcPr>
            <w:tcW w:w="2222"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2,7400 </w:t>
            </w:r>
          </w:p>
        </w:tc>
      </w:tr>
      <w:tr w:rsidR="002E49C6" w:rsidRPr="002E49C6" w:rsidTr="002E49C6">
        <w:trPr>
          <w:trHeight w:val="71"/>
        </w:trPr>
        <w:tc>
          <w:tcPr>
            <w:tcW w:w="296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Sum</w:t>
            </w:r>
          </w:p>
        </w:tc>
        <w:tc>
          <w:tcPr>
            <w:tcW w:w="2222"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11.381,6140 </w:t>
            </w:r>
          </w:p>
        </w:tc>
      </w:tr>
      <w:tr w:rsidR="002E49C6" w:rsidRPr="002E49C6" w:rsidTr="002E49C6">
        <w:trPr>
          <w:trHeight w:val="76"/>
        </w:trPr>
        <w:tc>
          <w:tcPr>
            <w:tcW w:w="2968" w:type="dxa"/>
            <w:tcBorders>
              <w:top w:val="nil"/>
              <w:left w:val="nil"/>
              <w:bottom w:val="single" w:sz="8" w:space="0" w:color="auto"/>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Count</w:t>
            </w:r>
          </w:p>
        </w:tc>
        <w:tc>
          <w:tcPr>
            <w:tcW w:w="2222" w:type="dxa"/>
            <w:tcBorders>
              <w:top w:val="nil"/>
              <w:left w:val="nil"/>
              <w:bottom w:val="single" w:sz="8" w:space="0" w:color="auto"/>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12.351,0000 </w:t>
            </w:r>
          </w:p>
        </w:tc>
      </w:tr>
    </w:tbl>
    <w:p w:rsidR="002E49C6" w:rsidRDefault="002E49C6" w:rsidP="003F126F">
      <w:pPr>
        <w:pStyle w:val="BodyText"/>
        <w:rPr>
          <w:lang w:val="en-US"/>
        </w:rPr>
      </w:pPr>
    </w:p>
    <w:p w:rsidR="002E49C6" w:rsidRDefault="002E49C6" w:rsidP="003F126F">
      <w:pPr>
        <w:pStyle w:val="BodyText"/>
        <w:rPr>
          <w:lang w:val="en-US"/>
        </w:rPr>
      </w:pPr>
    </w:p>
    <w:p w:rsidR="002E49C6" w:rsidRDefault="002E49C6" w:rsidP="003F126F">
      <w:pPr>
        <w:pStyle w:val="BodyText"/>
        <w:rPr>
          <w:lang w:val="en-US"/>
        </w:rPr>
      </w:pPr>
    </w:p>
    <w:tbl>
      <w:tblPr>
        <w:tblW w:w="4795" w:type="dxa"/>
        <w:tblLook w:val="04A0" w:firstRow="1" w:lastRow="0" w:firstColumn="1" w:lastColumn="0" w:noHBand="0" w:noVBand="1"/>
      </w:tblPr>
      <w:tblGrid>
        <w:gridCol w:w="2528"/>
        <w:gridCol w:w="2267"/>
      </w:tblGrid>
      <w:tr w:rsidR="002E49C6" w:rsidRPr="002E49C6" w:rsidTr="002E49C6">
        <w:trPr>
          <w:trHeight w:val="233"/>
        </w:trPr>
        <w:tc>
          <w:tcPr>
            <w:tcW w:w="4795" w:type="dxa"/>
            <w:gridSpan w:val="2"/>
            <w:tcBorders>
              <w:top w:val="single" w:sz="8" w:space="0" w:color="auto"/>
              <w:left w:val="nil"/>
              <w:bottom w:val="single" w:sz="4" w:space="0" w:color="auto"/>
              <w:right w:val="nil"/>
            </w:tcBorders>
            <w:shd w:val="clear" w:color="auto" w:fill="auto"/>
            <w:noWrap/>
            <w:vAlign w:val="bottom"/>
            <w:hideMark/>
          </w:tcPr>
          <w:p w:rsidR="002E49C6" w:rsidRPr="002E49C6" w:rsidRDefault="002E49C6" w:rsidP="002E49C6">
            <w:pPr>
              <w:spacing w:after="0" w:line="240" w:lineRule="auto"/>
              <w:jc w:val="center"/>
              <w:rPr>
                <w:rFonts w:ascii="Times New Roman" w:eastAsia="Times New Roman" w:hAnsi="Times New Roman" w:cs="Times New Roman"/>
                <w:i/>
                <w:iCs/>
                <w:color w:val="000000"/>
                <w:lang w:val="en-US"/>
              </w:rPr>
            </w:pPr>
            <w:r w:rsidRPr="002E49C6">
              <w:rPr>
                <w:rFonts w:ascii="Times New Roman" w:eastAsia="Times New Roman" w:hAnsi="Times New Roman" w:cs="Times New Roman"/>
                <w:i/>
                <w:iCs/>
                <w:color w:val="000000"/>
                <w:lang w:val="en-US"/>
              </w:rPr>
              <w:lastRenderedPageBreak/>
              <w:t>Gold Reserves</w:t>
            </w:r>
          </w:p>
        </w:tc>
      </w:tr>
      <w:tr w:rsidR="002E49C6" w:rsidRPr="002E49C6" w:rsidTr="002E49C6">
        <w:trPr>
          <w:trHeight w:val="233"/>
        </w:trPr>
        <w:tc>
          <w:tcPr>
            <w:tcW w:w="252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jc w:val="center"/>
              <w:rPr>
                <w:rFonts w:ascii="Times New Roman" w:eastAsia="Times New Roman" w:hAnsi="Times New Roman" w:cs="Times New Roman"/>
                <w:i/>
                <w:iCs/>
                <w:color w:val="000000"/>
                <w:lang w:val="en-US"/>
              </w:rPr>
            </w:pPr>
          </w:p>
        </w:tc>
        <w:tc>
          <w:tcPr>
            <w:tcW w:w="226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lang w:val="en-US"/>
              </w:rPr>
            </w:pPr>
          </w:p>
        </w:tc>
      </w:tr>
      <w:tr w:rsidR="002E49C6" w:rsidRPr="002E49C6" w:rsidTr="002E49C6">
        <w:trPr>
          <w:trHeight w:val="233"/>
        </w:trPr>
        <w:tc>
          <w:tcPr>
            <w:tcW w:w="252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Mean</w:t>
            </w:r>
          </w:p>
        </w:tc>
        <w:tc>
          <w:tcPr>
            <w:tcW w:w="226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60.311,09 </w:t>
            </w:r>
          </w:p>
        </w:tc>
      </w:tr>
      <w:tr w:rsidR="002E49C6" w:rsidRPr="002E49C6" w:rsidTr="002E49C6">
        <w:trPr>
          <w:trHeight w:val="233"/>
        </w:trPr>
        <w:tc>
          <w:tcPr>
            <w:tcW w:w="252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Standard Error</w:t>
            </w:r>
          </w:p>
        </w:tc>
        <w:tc>
          <w:tcPr>
            <w:tcW w:w="226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121,76 </w:t>
            </w:r>
          </w:p>
        </w:tc>
      </w:tr>
      <w:tr w:rsidR="002E49C6" w:rsidRPr="002E49C6" w:rsidTr="002E49C6">
        <w:trPr>
          <w:trHeight w:val="233"/>
        </w:trPr>
        <w:tc>
          <w:tcPr>
            <w:tcW w:w="252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Median</w:t>
            </w:r>
          </w:p>
        </w:tc>
        <w:tc>
          <w:tcPr>
            <w:tcW w:w="226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60.506,00 </w:t>
            </w:r>
          </w:p>
        </w:tc>
      </w:tr>
      <w:tr w:rsidR="002E49C6" w:rsidRPr="002E49C6" w:rsidTr="002E49C6">
        <w:trPr>
          <w:trHeight w:val="233"/>
        </w:trPr>
        <w:tc>
          <w:tcPr>
            <w:tcW w:w="252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Mode</w:t>
            </w:r>
          </w:p>
        </w:tc>
        <w:tc>
          <w:tcPr>
            <w:tcW w:w="226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46.292,00 </w:t>
            </w:r>
          </w:p>
        </w:tc>
      </w:tr>
      <w:tr w:rsidR="002E49C6" w:rsidRPr="002E49C6" w:rsidTr="002E49C6">
        <w:trPr>
          <w:trHeight w:val="233"/>
        </w:trPr>
        <w:tc>
          <w:tcPr>
            <w:tcW w:w="252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Standard Deviation</w:t>
            </w:r>
          </w:p>
        </w:tc>
        <w:tc>
          <w:tcPr>
            <w:tcW w:w="226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13.531,45 </w:t>
            </w:r>
          </w:p>
        </w:tc>
      </w:tr>
      <w:tr w:rsidR="002E49C6" w:rsidRPr="002E49C6" w:rsidTr="002E49C6">
        <w:trPr>
          <w:trHeight w:val="233"/>
        </w:trPr>
        <w:tc>
          <w:tcPr>
            <w:tcW w:w="252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Sample Variance</w:t>
            </w:r>
          </w:p>
        </w:tc>
        <w:tc>
          <w:tcPr>
            <w:tcW w:w="226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183.100.177,62 </w:t>
            </w:r>
          </w:p>
        </w:tc>
      </w:tr>
      <w:tr w:rsidR="002E49C6" w:rsidRPr="002E49C6" w:rsidTr="002E49C6">
        <w:trPr>
          <w:trHeight w:val="233"/>
        </w:trPr>
        <w:tc>
          <w:tcPr>
            <w:tcW w:w="252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Kurtosis</w:t>
            </w:r>
          </w:p>
        </w:tc>
        <w:tc>
          <w:tcPr>
            <w:tcW w:w="226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-1,46 </w:t>
            </w:r>
          </w:p>
        </w:tc>
      </w:tr>
      <w:tr w:rsidR="002E49C6" w:rsidRPr="002E49C6" w:rsidTr="002E49C6">
        <w:trPr>
          <w:trHeight w:val="233"/>
        </w:trPr>
        <w:tc>
          <w:tcPr>
            <w:tcW w:w="252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Skewness</w:t>
            </w:r>
          </w:p>
        </w:tc>
        <w:tc>
          <w:tcPr>
            <w:tcW w:w="226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0,18 </w:t>
            </w:r>
          </w:p>
        </w:tc>
      </w:tr>
      <w:tr w:rsidR="002E49C6" w:rsidRPr="002E49C6" w:rsidTr="002E49C6">
        <w:trPr>
          <w:trHeight w:val="233"/>
        </w:trPr>
        <w:tc>
          <w:tcPr>
            <w:tcW w:w="252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Range</w:t>
            </w:r>
          </w:p>
        </w:tc>
        <w:tc>
          <w:tcPr>
            <w:tcW w:w="226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42.935,00 </w:t>
            </w:r>
          </w:p>
        </w:tc>
      </w:tr>
      <w:tr w:rsidR="002E49C6" w:rsidRPr="002E49C6" w:rsidTr="002E49C6">
        <w:trPr>
          <w:trHeight w:val="233"/>
        </w:trPr>
        <w:tc>
          <w:tcPr>
            <w:tcW w:w="252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Minimum</w:t>
            </w:r>
          </w:p>
        </w:tc>
        <w:tc>
          <w:tcPr>
            <w:tcW w:w="226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39.990,00 </w:t>
            </w:r>
          </w:p>
        </w:tc>
      </w:tr>
      <w:tr w:rsidR="002E49C6" w:rsidRPr="002E49C6" w:rsidTr="002E49C6">
        <w:trPr>
          <w:trHeight w:val="233"/>
        </w:trPr>
        <w:tc>
          <w:tcPr>
            <w:tcW w:w="252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Maximum</w:t>
            </w:r>
          </w:p>
        </w:tc>
        <w:tc>
          <w:tcPr>
            <w:tcW w:w="226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82.925,00 </w:t>
            </w:r>
          </w:p>
        </w:tc>
      </w:tr>
      <w:tr w:rsidR="002E49C6" w:rsidRPr="002E49C6" w:rsidTr="002E49C6">
        <w:trPr>
          <w:trHeight w:val="233"/>
        </w:trPr>
        <w:tc>
          <w:tcPr>
            <w:tcW w:w="2528"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Sum</w:t>
            </w:r>
          </w:p>
        </w:tc>
        <w:tc>
          <w:tcPr>
            <w:tcW w:w="226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744.902.220,00 </w:t>
            </w:r>
          </w:p>
        </w:tc>
      </w:tr>
      <w:tr w:rsidR="002E49C6" w:rsidRPr="002E49C6" w:rsidTr="002E49C6">
        <w:trPr>
          <w:trHeight w:val="246"/>
        </w:trPr>
        <w:tc>
          <w:tcPr>
            <w:tcW w:w="2528" w:type="dxa"/>
            <w:tcBorders>
              <w:top w:val="nil"/>
              <w:left w:val="nil"/>
              <w:bottom w:val="single" w:sz="8" w:space="0" w:color="auto"/>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Count</w:t>
            </w:r>
          </w:p>
        </w:tc>
        <w:tc>
          <w:tcPr>
            <w:tcW w:w="2267" w:type="dxa"/>
            <w:tcBorders>
              <w:top w:val="nil"/>
              <w:left w:val="nil"/>
              <w:bottom w:val="single" w:sz="8" w:space="0" w:color="auto"/>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12.351,00 </w:t>
            </w:r>
          </w:p>
        </w:tc>
      </w:tr>
    </w:tbl>
    <w:p w:rsidR="002E49C6" w:rsidRDefault="002E49C6" w:rsidP="003F126F">
      <w:pPr>
        <w:pStyle w:val="BodyText"/>
        <w:rPr>
          <w:lang w:val="en-US"/>
        </w:rPr>
      </w:pPr>
    </w:p>
    <w:tbl>
      <w:tblPr>
        <w:tblW w:w="4806" w:type="dxa"/>
        <w:tblLook w:val="04A0" w:firstRow="1" w:lastRow="0" w:firstColumn="1" w:lastColumn="0" w:noHBand="0" w:noVBand="1"/>
      </w:tblPr>
      <w:tblGrid>
        <w:gridCol w:w="2669"/>
        <w:gridCol w:w="2137"/>
      </w:tblGrid>
      <w:tr w:rsidR="002E49C6" w:rsidRPr="002E49C6" w:rsidTr="002E49C6">
        <w:trPr>
          <w:trHeight w:val="234"/>
        </w:trPr>
        <w:tc>
          <w:tcPr>
            <w:tcW w:w="4806" w:type="dxa"/>
            <w:gridSpan w:val="2"/>
            <w:tcBorders>
              <w:top w:val="single" w:sz="8" w:space="0" w:color="auto"/>
              <w:left w:val="nil"/>
              <w:bottom w:val="single" w:sz="4" w:space="0" w:color="auto"/>
              <w:right w:val="nil"/>
            </w:tcBorders>
            <w:shd w:val="clear" w:color="auto" w:fill="auto"/>
            <w:noWrap/>
            <w:vAlign w:val="bottom"/>
            <w:hideMark/>
          </w:tcPr>
          <w:p w:rsidR="002E49C6" w:rsidRPr="002E49C6" w:rsidRDefault="002E49C6" w:rsidP="002E49C6">
            <w:pPr>
              <w:spacing w:after="0" w:line="240" w:lineRule="auto"/>
              <w:jc w:val="center"/>
              <w:rPr>
                <w:rFonts w:ascii="Times New Roman" w:eastAsia="Times New Roman" w:hAnsi="Times New Roman" w:cs="Times New Roman"/>
                <w:i/>
                <w:iCs/>
                <w:color w:val="000000"/>
                <w:lang w:val="en-US"/>
              </w:rPr>
            </w:pPr>
            <w:r w:rsidRPr="002E49C6">
              <w:rPr>
                <w:rFonts w:ascii="Times New Roman" w:eastAsia="Times New Roman" w:hAnsi="Times New Roman" w:cs="Times New Roman"/>
                <w:i/>
                <w:iCs/>
                <w:color w:val="000000"/>
                <w:lang w:val="en-US"/>
              </w:rPr>
              <w:t>MIBOR</w:t>
            </w:r>
          </w:p>
        </w:tc>
      </w:tr>
      <w:tr w:rsidR="002E49C6" w:rsidRPr="002E49C6" w:rsidTr="002E49C6">
        <w:trPr>
          <w:trHeight w:val="234"/>
        </w:trPr>
        <w:tc>
          <w:tcPr>
            <w:tcW w:w="2669"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jc w:val="center"/>
              <w:rPr>
                <w:rFonts w:ascii="Times New Roman" w:eastAsia="Times New Roman" w:hAnsi="Times New Roman" w:cs="Times New Roman"/>
                <w:i/>
                <w:iCs/>
                <w:color w:val="000000"/>
                <w:lang w:val="en-US"/>
              </w:rPr>
            </w:pPr>
          </w:p>
        </w:tc>
        <w:tc>
          <w:tcPr>
            <w:tcW w:w="213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lang w:val="en-US"/>
              </w:rPr>
            </w:pPr>
          </w:p>
        </w:tc>
      </w:tr>
      <w:tr w:rsidR="002E49C6" w:rsidRPr="002E49C6" w:rsidTr="002E49C6">
        <w:trPr>
          <w:trHeight w:val="234"/>
        </w:trPr>
        <w:tc>
          <w:tcPr>
            <w:tcW w:w="2669"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Mean</w:t>
            </w:r>
          </w:p>
        </w:tc>
        <w:tc>
          <w:tcPr>
            <w:tcW w:w="213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9,5736 </w:t>
            </w:r>
          </w:p>
        </w:tc>
      </w:tr>
      <w:tr w:rsidR="002E49C6" w:rsidRPr="002E49C6" w:rsidTr="002E49C6">
        <w:trPr>
          <w:trHeight w:val="234"/>
        </w:trPr>
        <w:tc>
          <w:tcPr>
            <w:tcW w:w="2669"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Standard Error</w:t>
            </w:r>
          </w:p>
        </w:tc>
        <w:tc>
          <w:tcPr>
            <w:tcW w:w="213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0,0212 </w:t>
            </w:r>
          </w:p>
        </w:tc>
      </w:tr>
      <w:tr w:rsidR="002E49C6" w:rsidRPr="002E49C6" w:rsidTr="002E49C6">
        <w:trPr>
          <w:trHeight w:val="234"/>
        </w:trPr>
        <w:tc>
          <w:tcPr>
            <w:tcW w:w="2669"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Median</w:t>
            </w:r>
          </w:p>
        </w:tc>
        <w:tc>
          <w:tcPr>
            <w:tcW w:w="213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9,1300 </w:t>
            </w:r>
          </w:p>
        </w:tc>
      </w:tr>
      <w:tr w:rsidR="002E49C6" w:rsidRPr="002E49C6" w:rsidTr="002E49C6">
        <w:trPr>
          <w:trHeight w:val="234"/>
        </w:trPr>
        <w:tc>
          <w:tcPr>
            <w:tcW w:w="2669"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Mode</w:t>
            </w:r>
          </w:p>
        </w:tc>
        <w:tc>
          <w:tcPr>
            <w:tcW w:w="213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7,1500 </w:t>
            </w:r>
          </w:p>
        </w:tc>
      </w:tr>
      <w:tr w:rsidR="002E49C6" w:rsidRPr="002E49C6" w:rsidTr="002E49C6">
        <w:trPr>
          <w:trHeight w:val="234"/>
        </w:trPr>
        <w:tc>
          <w:tcPr>
            <w:tcW w:w="2669"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Standard Deviation</w:t>
            </w:r>
          </w:p>
        </w:tc>
        <w:tc>
          <w:tcPr>
            <w:tcW w:w="213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2,3574 </w:t>
            </w:r>
          </w:p>
        </w:tc>
      </w:tr>
      <w:tr w:rsidR="002E49C6" w:rsidRPr="002E49C6" w:rsidTr="002E49C6">
        <w:trPr>
          <w:trHeight w:val="234"/>
        </w:trPr>
        <w:tc>
          <w:tcPr>
            <w:tcW w:w="2669"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Sample Variance</w:t>
            </w:r>
          </w:p>
        </w:tc>
        <w:tc>
          <w:tcPr>
            <w:tcW w:w="213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5,5573 </w:t>
            </w:r>
          </w:p>
        </w:tc>
      </w:tr>
      <w:tr w:rsidR="002E49C6" w:rsidRPr="002E49C6" w:rsidTr="002E49C6">
        <w:trPr>
          <w:trHeight w:val="234"/>
        </w:trPr>
        <w:tc>
          <w:tcPr>
            <w:tcW w:w="2669"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Kurtosis</w:t>
            </w:r>
          </w:p>
        </w:tc>
        <w:tc>
          <w:tcPr>
            <w:tcW w:w="213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0,6972 </w:t>
            </w:r>
          </w:p>
        </w:tc>
      </w:tr>
      <w:tr w:rsidR="002E49C6" w:rsidRPr="002E49C6" w:rsidTr="002E49C6">
        <w:trPr>
          <w:trHeight w:val="234"/>
        </w:trPr>
        <w:tc>
          <w:tcPr>
            <w:tcW w:w="2669"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Skewness</w:t>
            </w:r>
          </w:p>
        </w:tc>
        <w:tc>
          <w:tcPr>
            <w:tcW w:w="213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0,9576 </w:t>
            </w:r>
          </w:p>
        </w:tc>
      </w:tr>
      <w:tr w:rsidR="002E49C6" w:rsidRPr="002E49C6" w:rsidTr="002E49C6">
        <w:trPr>
          <w:trHeight w:val="234"/>
        </w:trPr>
        <w:tc>
          <w:tcPr>
            <w:tcW w:w="2669"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Range</w:t>
            </w:r>
          </w:p>
        </w:tc>
        <w:tc>
          <w:tcPr>
            <w:tcW w:w="213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10,9700 </w:t>
            </w:r>
          </w:p>
        </w:tc>
      </w:tr>
      <w:tr w:rsidR="002E49C6" w:rsidRPr="002E49C6" w:rsidTr="002E49C6">
        <w:trPr>
          <w:trHeight w:val="234"/>
        </w:trPr>
        <w:tc>
          <w:tcPr>
            <w:tcW w:w="2669"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Minimum</w:t>
            </w:r>
          </w:p>
        </w:tc>
        <w:tc>
          <w:tcPr>
            <w:tcW w:w="213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5,9900 </w:t>
            </w:r>
          </w:p>
        </w:tc>
      </w:tr>
      <w:tr w:rsidR="002E49C6" w:rsidRPr="002E49C6" w:rsidTr="002E49C6">
        <w:trPr>
          <w:trHeight w:val="234"/>
        </w:trPr>
        <w:tc>
          <w:tcPr>
            <w:tcW w:w="2669"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Maximum</w:t>
            </w:r>
          </w:p>
        </w:tc>
        <w:tc>
          <w:tcPr>
            <w:tcW w:w="213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16,9600 </w:t>
            </w:r>
          </w:p>
        </w:tc>
      </w:tr>
      <w:tr w:rsidR="002E49C6" w:rsidRPr="002E49C6" w:rsidTr="002E49C6">
        <w:trPr>
          <w:trHeight w:val="234"/>
        </w:trPr>
        <w:tc>
          <w:tcPr>
            <w:tcW w:w="2669"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Sum</w:t>
            </w:r>
          </w:p>
        </w:tc>
        <w:tc>
          <w:tcPr>
            <w:tcW w:w="2137" w:type="dxa"/>
            <w:tcBorders>
              <w:top w:val="nil"/>
              <w:left w:val="nil"/>
              <w:bottom w:val="nil"/>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118.243,7600 </w:t>
            </w:r>
          </w:p>
        </w:tc>
      </w:tr>
      <w:tr w:rsidR="002E49C6" w:rsidRPr="002E49C6" w:rsidTr="002E49C6">
        <w:trPr>
          <w:trHeight w:val="247"/>
        </w:trPr>
        <w:tc>
          <w:tcPr>
            <w:tcW w:w="2669" w:type="dxa"/>
            <w:tcBorders>
              <w:top w:val="nil"/>
              <w:left w:val="nil"/>
              <w:bottom w:val="single" w:sz="8" w:space="0" w:color="auto"/>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Count</w:t>
            </w:r>
          </w:p>
        </w:tc>
        <w:tc>
          <w:tcPr>
            <w:tcW w:w="2137" w:type="dxa"/>
            <w:tcBorders>
              <w:top w:val="nil"/>
              <w:left w:val="nil"/>
              <w:bottom w:val="single" w:sz="8" w:space="0" w:color="auto"/>
              <w:right w:val="nil"/>
            </w:tcBorders>
            <w:shd w:val="clear" w:color="auto" w:fill="auto"/>
            <w:noWrap/>
            <w:vAlign w:val="bottom"/>
            <w:hideMark/>
          </w:tcPr>
          <w:p w:rsidR="002E49C6" w:rsidRPr="002E49C6" w:rsidRDefault="002E49C6" w:rsidP="002E49C6">
            <w:pPr>
              <w:spacing w:after="0" w:line="240" w:lineRule="auto"/>
              <w:rPr>
                <w:rFonts w:ascii="Times New Roman" w:eastAsia="Times New Roman" w:hAnsi="Times New Roman" w:cs="Times New Roman"/>
                <w:color w:val="000000"/>
                <w:lang w:val="en-US"/>
              </w:rPr>
            </w:pPr>
            <w:r w:rsidRPr="002E49C6">
              <w:rPr>
                <w:rFonts w:ascii="Times New Roman" w:eastAsia="Times New Roman" w:hAnsi="Times New Roman" w:cs="Times New Roman"/>
                <w:color w:val="000000"/>
                <w:lang w:val="en-US"/>
              </w:rPr>
              <w:t xml:space="preserve">   12.351,0000 </w:t>
            </w:r>
          </w:p>
        </w:tc>
      </w:tr>
    </w:tbl>
    <w:p w:rsidR="002E49C6" w:rsidRPr="003F126F" w:rsidRDefault="002E49C6" w:rsidP="003F126F">
      <w:pPr>
        <w:pStyle w:val="BodyText"/>
        <w:rPr>
          <w:lang w:val="en-US"/>
        </w:rPr>
      </w:pPr>
    </w:p>
    <w:sectPr w:rsidR="002E49C6" w:rsidRPr="003F126F" w:rsidSect="002E49C6">
      <w:pgSz w:w="11906" w:h="16838" w:code="9"/>
      <w:pgMar w:top="1474" w:right="1021" w:bottom="1474" w:left="1021" w:header="567" w:footer="567"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498" w:rsidRDefault="00380498" w:rsidP="00436A45">
      <w:pPr>
        <w:spacing w:after="0" w:line="240" w:lineRule="auto"/>
      </w:pPr>
      <w:r>
        <w:separator/>
      </w:r>
    </w:p>
  </w:endnote>
  <w:endnote w:type="continuationSeparator" w:id="0">
    <w:p w:rsidR="00380498" w:rsidRDefault="00380498" w:rsidP="00436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eorgi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wC_Logo 3.0">
    <w:panose1 w:val="050004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5274351"/>
      <w:docPartObj>
        <w:docPartGallery w:val="Page Numbers (Bottom of Page)"/>
        <w:docPartUnique/>
      </w:docPartObj>
    </w:sdtPr>
    <w:sdtEndPr>
      <w:rPr>
        <w:noProof/>
      </w:rPr>
    </w:sdtEndPr>
    <w:sdtContent>
      <w:p w:rsidR="00D05EB6" w:rsidRDefault="00D05EB6">
        <w:pPr>
          <w:pStyle w:val="Footer"/>
          <w:jc w:val="right"/>
        </w:pPr>
        <w:r>
          <w:fldChar w:fldCharType="begin"/>
        </w:r>
        <w:r>
          <w:instrText xml:space="preserve"> PAGE   \* MERGEFORMAT </w:instrText>
        </w:r>
        <w:r>
          <w:fldChar w:fldCharType="separate"/>
        </w:r>
        <w:r w:rsidR="004E5388">
          <w:rPr>
            <w:noProof/>
          </w:rPr>
          <w:t>1</w:t>
        </w:r>
        <w:r>
          <w:rPr>
            <w:noProof/>
          </w:rPr>
          <w:fldChar w:fldCharType="end"/>
        </w:r>
      </w:p>
    </w:sdtContent>
  </w:sdt>
  <w:p w:rsidR="00D05EB6" w:rsidRDefault="00D05E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498" w:rsidRDefault="00380498" w:rsidP="00436A45">
      <w:pPr>
        <w:spacing w:after="0" w:line="240" w:lineRule="auto"/>
      </w:pPr>
      <w:r>
        <w:separator/>
      </w:r>
    </w:p>
  </w:footnote>
  <w:footnote w:type="continuationSeparator" w:id="0">
    <w:p w:rsidR="00380498" w:rsidRDefault="00380498" w:rsidP="00436A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544DDE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9A8AD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616644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D28FD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7E2DF9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54CA6A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8F0324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DC21C3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E6EA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0908EE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A90531"/>
    <w:multiLevelType w:val="multilevel"/>
    <w:tmpl w:val="F912C916"/>
    <w:name w:val="Headings33"/>
    <w:lvl w:ilvl="0">
      <w:start w:val="1"/>
      <w:numFmt w:val="decimal"/>
      <w:pStyle w:val="Heading1"/>
      <w:lvlText w:val="%1."/>
      <w:lvlJc w:val="left"/>
      <w:pPr>
        <w:ind w:left="567" w:hanging="567"/>
      </w:pPr>
    </w:lvl>
    <w:lvl w:ilvl="1">
      <w:start w:val="1"/>
      <w:numFmt w:val="decimal"/>
      <w:pStyle w:val="Heading2"/>
      <w:lvlText w:val="%1.%2."/>
      <w:lvlJc w:val="left"/>
      <w:pPr>
        <w:ind w:left="680" w:hanging="680"/>
      </w:pPr>
    </w:lvl>
    <w:lvl w:ilvl="2">
      <w:start w:val="1"/>
      <w:numFmt w:val="decimal"/>
      <w:pStyle w:val="Heading3"/>
      <w:lvlText w:val="%1.%2.%3."/>
      <w:lvlJc w:val="left"/>
      <w:pPr>
        <w:ind w:left="794" w:hanging="794"/>
      </w:pPr>
    </w:lvl>
    <w:lvl w:ilvl="3">
      <w:start w:val="1"/>
      <w:numFmt w:val="decimal"/>
      <w:pStyle w:val="Heading4"/>
      <w:lvlText w:val="%1.%2.%3.%4."/>
      <w:lvlJc w:val="left"/>
      <w:pPr>
        <w:ind w:left="907" w:hanging="907"/>
      </w:pPr>
    </w:lvl>
    <w:lvl w:ilvl="4">
      <w:start w:val="1"/>
      <w:numFmt w:val="decimal"/>
      <w:pStyle w:val="Heading5"/>
      <w:lvlText w:val="%1.%2.%3.%4.%5."/>
      <w:lvlJc w:val="left"/>
      <w:pPr>
        <w:ind w:left="1021" w:hanging="1021"/>
      </w:pPr>
    </w:lvl>
    <w:lvl w:ilvl="5">
      <w:start w:val="1"/>
      <w:numFmt w:val="decimal"/>
      <w:pStyle w:val="Heading6"/>
      <w:lvlText w:val="%1.%2.%3.%4.%5.%6."/>
      <w:lvlJc w:val="left"/>
      <w:pPr>
        <w:ind w:left="1134" w:hanging="1134"/>
      </w:pPr>
    </w:lvl>
    <w:lvl w:ilvl="6">
      <w:start w:val="1"/>
      <w:numFmt w:val="decimal"/>
      <w:pStyle w:val="Heading7"/>
      <w:lvlText w:val="%1.%2.%3.%4.%5.%6.%7."/>
      <w:lvlJc w:val="left"/>
      <w:pPr>
        <w:ind w:left="1247" w:hanging="1247"/>
      </w:pPr>
    </w:lvl>
    <w:lvl w:ilvl="7">
      <w:start w:val="1"/>
      <w:numFmt w:val="decimal"/>
      <w:pStyle w:val="Heading8"/>
      <w:lvlText w:val="%1.%2.%3.%4.%5.%6.%7.%8."/>
      <w:lvlJc w:val="left"/>
      <w:pPr>
        <w:ind w:left="1361" w:hanging="1361"/>
      </w:pPr>
    </w:lvl>
    <w:lvl w:ilvl="8">
      <w:start w:val="1"/>
      <w:numFmt w:val="decimal"/>
      <w:pStyle w:val="Heading9"/>
      <w:lvlText w:val="%1.%2.%3.%4.%5.%6.%7.%8.%9."/>
      <w:lvlJc w:val="left"/>
      <w:pPr>
        <w:ind w:left="1474" w:hanging="1474"/>
      </w:pPr>
    </w:lvl>
  </w:abstractNum>
  <w:abstractNum w:abstractNumId="11" w15:restartNumberingAfterBreak="0">
    <w:nsid w:val="084204C2"/>
    <w:multiLevelType w:val="multilevel"/>
    <w:tmpl w:val="6220F2E4"/>
    <w:name w:val="PwCListBullets15"/>
    <w:numStyleLink w:val="PwCListBullets1"/>
  </w:abstractNum>
  <w:abstractNum w:abstractNumId="12" w15:restartNumberingAfterBreak="0">
    <w:nsid w:val="0984408E"/>
    <w:multiLevelType w:val="multilevel"/>
    <w:tmpl w:val="0508789A"/>
    <w:name w:val="PwCListNumbers1"/>
    <w:styleLink w:val="PwCListNumbers1"/>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left"/>
      <w:pPr>
        <w:tabs>
          <w:tab w:val="num" w:pos="2381"/>
        </w:tabs>
        <w:ind w:left="2382" w:hanging="397"/>
      </w:pPr>
      <w:rPr>
        <w:rFonts w:hint="default"/>
      </w:rPr>
    </w:lvl>
    <w:lvl w:ilvl="6">
      <w:start w:val="1"/>
      <w:numFmt w:val="decimal"/>
      <w:lvlText w:val="%7."/>
      <w:lvlJc w:val="left"/>
      <w:pPr>
        <w:tabs>
          <w:tab w:val="num" w:pos="2778"/>
        </w:tabs>
        <w:ind w:left="2779" w:hanging="397"/>
      </w:pPr>
      <w:rPr>
        <w:rFonts w:hint="default"/>
      </w:rPr>
    </w:lvl>
    <w:lvl w:ilvl="7">
      <w:start w:val="1"/>
      <w:numFmt w:val="lowerLetter"/>
      <w:lvlText w:val="%8."/>
      <w:lvlJc w:val="left"/>
      <w:pPr>
        <w:tabs>
          <w:tab w:val="num" w:pos="3175"/>
        </w:tabs>
        <w:ind w:left="3176" w:hanging="397"/>
      </w:pPr>
      <w:rPr>
        <w:rFonts w:hint="default"/>
      </w:rPr>
    </w:lvl>
    <w:lvl w:ilvl="8">
      <w:start w:val="1"/>
      <w:numFmt w:val="lowerRoman"/>
      <w:lvlText w:val="%9."/>
      <w:lvlJc w:val="left"/>
      <w:pPr>
        <w:tabs>
          <w:tab w:val="num" w:pos="3572"/>
        </w:tabs>
        <w:ind w:left="3573" w:hanging="397"/>
      </w:pPr>
      <w:rPr>
        <w:rFonts w:hint="default"/>
      </w:rPr>
    </w:lvl>
  </w:abstractNum>
  <w:abstractNum w:abstractNumId="13" w15:restartNumberingAfterBreak="0">
    <w:nsid w:val="11453771"/>
    <w:multiLevelType w:val="multilevel"/>
    <w:tmpl w:val="742899AC"/>
    <w:name w:val="PwCListBullets33"/>
    <w:lvl w:ilvl="0">
      <w:start w:val="1"/>
      <w:numFmt w:val="bullet"/>
      <w:pStyle w:val="ListBullet"/>
      <w:lvlText w:val=""/>
      <w:lvlJc w:val="left"/>
      <w:pPr>
        <w:ind w:left="567" w:hanging="567"/>
      </w:pPr>
      <w:rPr>
        <w:rFonts w:ascii="Symbol" w:hAnsi="Symbol" w:hint="default"/>
      </w:rPr>
    </w:lvl>
    <w:lvl w:ilvl="1">
      <w:start w:val="1"/>
      <w:numFmt w:val="bullet"/>
      <w:pStyle w:val="ListBullet2"/>
      <w:lvlText w:val=""/>
      <w:lvlJc w:val="left"/>
      <w:pPr>
        <w:ind w:left="1134" w:hanging="567"/>
      </w:pPr>
      <w:rPr>
        <w:rFonts w:ascii="Symbol" w:hAnsi="Symbol" w:hint="default"/>
      </w:rPr>
    </w:lvl>
    <w:lvl w:ilvl="2">
      <w:start w:val="1"/>
      <w:numFmt w:val="bullet"/>
      <w:pStyle w:val="ListBullet3"/>
      <w:lvlText w:val="◦"/>
      <w:lvlJc w:val="left"/>
      <w:pPr>
        <w:ind w:left="1701" w:hanging="567"/>
      </w:pPr>
    </w:lvl>
    <w:lvl w:ilvl="3">
      <w:start w:val="1"/>
      <w:numFmt w:val="bullet"/>
      <w:pStyle w:val="ListBullet4"/>
      <w:lvlText w:val=""/>
      <w:lvlJc w:val="left"/>
      <w:pPr>
        <w:ind w:left="2268" w:hanging="567"/>
      </w:pPr>
      <w:rPr>
        <w:rFonts w:ascii="Symbol" w:hAnsi="Symbol" w:hint="default"/>
      </w:rPr>
    </w:lvl>
    <w:lvl w:ilvl="4">
      <w:start w:val="1"/>
      <w:numFmt w:val="bullet"/>
      <w:pStyle w:val="ListBullet5"/>
      <w:lvlText w:val="~"/>
      <w:lvlJc w:val="left"/>
      <w:pPr>
        <w:ind w:left="2835" w:hanging="567"/>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1AD4DE4"/>
    <w:multiLevelType w:val="multilevel"/>
    <w:tmpl w:val="04130023"/>
    <w:styleLink w:val="ArticleSection"/>
    <w:lvl w:ilvl="0">
      <w:start w:val="1"/>
      <w:numFmt w:val="upperRoman"/>
      <w:lvlText w:val="Article %1."/>
      <w:lvlJc w:val="left"/>
      <w:pPr>
        <w:ind w:left="0" w:firstLine="0"/>
      </w:pPr>
      <w:rPr>
        <w:color w:val="auto"/>
        <w:spacing w:val="0"/>
        <w:kern w:val="0"/>
        <w:u w:val="none"/>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17EB576D"/>
    <w:multiLevelType w:val="multilevel"/>
    <w:tmpl w:val="7C6A7CD8"/>
    <w:name w:val="Headings"/>
    <w:lvl w:ilvl="0">
      <w:start w:val="1"/>
      <w:numFmt w:val="decimal"/>
      <w:lvlText w:val="%1"/>
      <w:lvlJc w:val="left"/>
      <w:pPr>
        <w:ind w:left="567" w:hanging="567"/>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907" w:hanging="907"/>
      </w:pPr>
      <w:rPr>
        <w:rFonts w:hint="default"/>
      </w:rPr>
    </w:lvl>
    <w:lvl w:ilvl="4">
      <w:start w:val="1"/>
      <w:numFmt w:val="decimal"/>
      <w:lvlText w:val="%1.%2.%3.%4.%5"/>
      <w:lvlJc w:val="left"/>
      <w:pPr>
        <w:ind w:left="1021" w:hanging="102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47" w:hanging="1247"/>
      </w:pPr>
      <w:rPr>
        <w:rFonts w:hint="default"/>
      </w:rPr>
    </w:lvl>
    <w:lvl w:ilvl="7">
      <w:start w:val="1"/>
      <w:numFmt w:val="decimal"/>
      <w:lvlText w:val="%1.%2.%3.%4.%5.%6.%7.%8"/>
      <w:lvlJc w:val="left"/>
      <w:pPr>
        <w:ind w:left="1361" w:hanging="1361"/>
      </w:pPr>
      <w:rPr>
        <w:rFonts w:hint="default"/>
      </w:rPr>
    </w:lvl>
    <w:lvl w:ilvl="8">
      <w:start w:val="1"/>
      <w:numFmt w:val="decimal"/>
      <w:lvlText w:val="%1.%2.%3.%4.%5.%6.%7.%8.%9"/>
      <w:lvlJc w:val="left"/>
      <w:pPr>
        <w:ind w:left="1474" w:hanging="1474"/>
      </w:pPr>
      <w:rPr>
        <w:rFonts w:hint="default"/>
      </w:rPr>
    </w:lvl>
  </w:abstractNum>
  <w:abstractNum w:abstractNumId="16" w15:restartNumberingAfterBreak="0">
    <w:nsid w:val="191A2D33"/>
    <w:multiLevelType w:val="multilevel"/>
    <w:tmpl w:val="20D88340"/>
    <w:name w:val="PwCListNumber33"/>
    <w:lvl w:ilvl="0">
      <w:start w:val="1"/>
      <w:numFmt w:val="decimal"/>
      <w:pStyle w:val="ListNumber"/>
      <w:lvlText w:val="%1."/>
      <w:lvlJc w:val="left"/>
      <w:pPr>
        <w:ind w:left="567" w:hanging="567"/>
      </w:pPr>
    </w:lvl>
    <w:lvl w:ilvl="1">
      <w:start w:val="1"/>
      <w:numFmt w:val="lowerLetter"/>
      <w:pStyle w:val="ListNumber2"/>
      <w:lvlText w:val="%2."/>
      <w:lvlJc w:val="left"/>
      <w:pPr>
        <w:ind w:left="1134" w:hanging="567"/>
      </w:pPr>
    </w:lvl>
    <w:lvl w:ilvl="2">
      <w:start w:val="1"/>
      <w:numFmt w:val="lowerRoman"/>
      <w:pStyle w:val="ListNumber3"/>
      <w:lvlText w:val="%3."/>
      <w:lvlJc w:val="left"/>
      <w:pPr>
        <w:ind w:left="1701" w:hanging="567"/>
      </w:pPr>
    </w:lvl>
    <w:lvl w:ilvl="3">
      <w:start w:val="1"/>
      <w:numFmt w:val="decimal"/>
      <w:pStyle w:val="ListNumber4"/>
      <w:lvlText w:val="%4."/>
      <w:lvlJc w:val="left"/>
      <w:pPr>
        <w:ind w:left="2268" w:hanging="567"/>
      </w:pPr>
    </w:lvl>
    <w:lvl w:ilvl="4">
      <w:start w:val="1"/>
      <w:numFmt w:val="lowerLetter"/>
      <w:pStyle w:val="ListNumber5"/>
      <w:lvlText w:val="%5."/>
      <w:lvlJc w:val="left"/>
      <w:pPr>
        <w:ind w:left="2835" w:hanging="567"/>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1DD4328"/>
    <w:multiLevelType w:val="multilevel"/>
    <w:tmpl w:val="526202C0"/>
    <w:lvl w:ilvl="0">
      <w:start w:val="1"/>
      <w:numFmt w:val="upperLetter"/>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851" w:hanging="851"/>
      </w:pPr>
      <w:rPr>
        <w:rFonts w:hint="default"/>
      </w:rPr>
    </w:lvl>
    <w:lvl w:ilvl="5">
      <w:start w:val="1"/>
      <w:numFmt w:val="lowerRoman"/>
      <w:lvlText w:val="(%6)"/>
      <w:lvlJc w:val="left"/>
      <w:pPr>
        <w:ind w:left="851" w:hanging="851"/>
      </w:pPr>
      <w:rPr>
        <w:rFonts w:hint="default"/>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left"/>
      <w:pPr>
        <w:ind w:left="851" w:hanging="851"/>
      </w:pPr>
      <w:rPr>
        <w:rFonts w:hint="default"/>
      </w:rPr>
    </w:lvl>
  </w:abstractNum>
  <w:abstractNum w:abstractNumId="18" w15:restartNumberingAfterBreak="0">
    <w:nsid w:val="23B62FBF"/>
    <w:multiLevelType w:val="multilevel"/>
    <w:tmpl w:val="6220F2E4"/>
    <w:name w:val="PwCListBullets16"/>
    <w:numStyleLink w:val="PwCListBullets1"/>
  </w:abstractNum>
  <w:abstractNum w:abstractNumId="19" w15:restartNumberingAfterBreak="0">
    <w:nsid w:val="270C3AB4"/>
    <w:multiLevelType w:val="multilevel"/>
    <w:tmpl w:val="0413001D"/>
    <w:name w:val="Appendices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AF667C2"/>
    <w:multiLevelType w:val="multilevel"/>
    <w:tmpl w:val="6220F2E4"/>
    <w:name w:val="PwCListBullets13"/>
    <w:numStyleLink w:val="PwCListBullets1"/>
  </w:abstractNum>
  <w:abstractNum w:abstractNumId="21" w15:restartNumberingAfterBreak="0">
    <w:nsid w:val="3677385F"/>
    <w:multiLevelType w:val="multilevel"/>
    <w:tmpl w:val="0508789A"/>
    <w:name w:val="PwCListNumbers12"/>
    <w:numStyleLink w:val="PwCListNumbers1"/>
  </w:abstractNum>
  <w:abstractNum w:abstractNumId="22" w15:restartNumberingAfterBreak="0">
    <w:nsid w:val="3D145FD4"/>
    <w:multiLevelType w:val="multilevel"/>
    <w:tmpl w:val="2C80770C"/>
    <w:name w:val="PwCListBullets17"/>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23" w15:restartNumberingAfterBreak="0">
    <w:nsid w:val="40C803EE"/>
    <w:multiLevelType w:val="multilevel"/>
    <w:tmpl w:val="985A4402"/>
    <w:name w:val="AppendixNumbering"/>
    <w:lvl w:ilvl="0">
      <w:start w:val="1"/>
      <w:numFmt w:val="upperLetter"/>
      <w:lvlText w:val="%1"/>
      <w:lvlJc w:val="left"/>
      <w:pPr>
        <w:ind w:left="851" w:hanging="851"/>
      </w:pPr>
      <w:rPr>
        <w:rFonts w:hint="default"/>
      </w:rPr>
    </w:lvl>
    <w:lvl w:ilvl="1">
      <w:start w:val="1"/>
      <w:numFmt w:val="lowerLetter"/>
      <w:lvlText w:val="%2)"/>
      <w:lvlJc w:val="left"/>
      <w:pPr>
        <w:ind w:left="851" w:hanging="851"/>
      </w:pPr>
      <w:rPr>
        <w:rFonts w:hint="default"/>
      </w:rPr>
    </w:lvl>
    <w:lvl w:ilvl="2">
      <w:start w:val="1"/>
      <w:numFmt w:val="lowerRoman"/>
      <w:lvlText w:val="%3)"/>
      <w:lvlJc w:val="left"/>
      <w:pPr>
        <w:ind w:left="851" w:hanging="851"/>
      </w:pPr>
      <w:rPr>
        <w:rFonts w:hint="default"/>
      </w:rPr>
    </w:lvl>
    <w:lvl w:ilvl="3">
      <w:start w:val="1"/>
      <w:numFmt w:val="decimal"/>
      <w:lvlText w:val="(%4)"/>
      <w:lvlJc w:val="left"/>
      <w:pPr>
        <w:ind w:left="851" w:hanging="851"/>
      </w:pPr>
      <w:rPr>
        <w:rFonts w:hint="default"/>
      </w:rPr>
    </w:lvl>
    <w:lvl w:ilvl="4">
      <w:start w:val="1"/>
      <w:numFmt w:val="lowerLetter"/>
      <w:lvlText w:val="(%5)"/>
      <w:lvlJc w:val="left"/>
      <w:pPr>
        <w:ind w:left="851" w:hanging="851"/>
      </w:pPr>
      <w:rPr>
        <w:rFonts w:hint="default"/>
      </w:rPr>
    </w:lvl>
    <w:lvl w:ilvl="5">
      <w:start w:val="1"/>
      <w:numFmt w:val="lowerRoman"/>
      <w:lvlText w:val="(%6)"/>
      <w:lvlJc w:val="left"/>
      <w:pPr>
        <w:ind w:left="851" w:hanging="851"/>
      </w:pPr>
      <w:rPr>
        <w:rFonts w:hint="default"/>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left"/>
      <w:pPr>
        <w:ind w:left="851" w:hanging="851"/>
      </w:pPr>
      <w:rPr>
        <w:rFonts w:hint="default"/>
      </w:rPr>
    </w:lvl>
  </w:abstractNum>
  <w:abstractNum w:abstractNumId="24" w15:restartNumberingAfterBreak="0">
    <w:nsid w:val="44B16D24"/>
    <w:multiLevelType w:val="multilevel"/>
    <w:tmpl w:val="6220F2E4"/>
    <w:name w:val="PwCListBullets14"/>
    <w:numStyleLink w:val="PwCListBullets1"/>
  </w:abstractNum>
  <w:abstractNum w:abstractNumId="25" w15:restartNumberingAfterBreak="0">
    <w:nsid w:val="48F82588"/>
    <w:multiLevelType w:val="multilevel"/>
    <w:tmpl w:val="0413001F"/>
    <w:styleLink w:val="111111"/>
    <w:lvl w:ilvl="0">
      <w:start w:val="1"/>
      <w:numFmt w:val="decimal"/>
      <w:lvlText w:val="%1."/>
      <w:lvlJc w:val="left"/>
      <w:pPr>
        <w:ind w:left="360" w:hanging="360"/>
      </w:pPr>
      <w:rPr>
        <w:color w:val="auto"/>
        <w:spacing w:val="0"/>
        <w:kern w:val="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94B747C"/>
    <w:multiLevelType w:val="multilevel"/>
    <w:tmpl w:val="0508789A"/>
    <w:name w:val="PwCListNumbers13"/>
    <w:numStyleLink w:val="PwCListNumbers1"/>
  </w:abstractNum>
  <w:abstractNum w:abstractNumId="27" w15:restartNumberingAfterBreak="0">
    <w:nsid w:val="54840A41"/>
    <w:multiLevelType w:val="multilevel"/>
    <w:tmpl w:val="0508789A"/>
    <w:name w:val="PwCListNumbers14"/>
    <w:numStyleLink w:val="PwCListNumbers1"/>
  </w:abstractNum>
  <w:abstractNum w:abstractNumId="28" w15:restartNumberingAfterBreak="0">
    <w:nsid w:val="55642580"/>
    <w:multiLevelType w:val="multilevel"/>
    <w:tmpl w:val="D58C0034"/>
    <w:name w:val="Appendices33"/>
    <w:lvl w:ilvl="0">
      <w:start w:val="1"/>
      <w:numFmt w:val="upperLetter"/>
      <w:pStyle w:val="Appendix1"/>
      <w:lvlText w:val="%1."/>
      <w:lvlJc w:val="left"/>
      <w:pPr>
        <w:ind w:left="567" w:hanging="567"/>
      </w:pPr>
    </w:lvl>
    <w:lvl w:ilvl="1">
      <w:start w:val="1"/>
      <w:numFmt w:val="decimal"/>
      <w:pStyle w:val="Appendix2"/>
      <w:lvlText w:val="%1.%2."/>
      <w:lvlJc w:val="left"/>
      <w:pPr>
        <w:ind w:left="680" w:hanging="680"/>
      </w:pPr>
    </w:lvl>
    <w:lvl w:ilvl="2">
      <w:start w:val="1"/>
      <w:numFmt w:val="decimal"/>
      <w:pStyle w:val="Appendix3"/>
      <w:lvlText w:val="%1.%2.%3."/>
      <w:lvlJc w:val="left"/>
      <w:pPr>
        <w:ind w:left="794" w:hanging="794"/>
      </w:pPr>
    </w:lvl>
    <w:lvl w:ilvl="3">
      <w:start w:val="1"/>
      <w:numFmt w:val="decimal"/>
      <w:pStyle w:val="Appendix4"/>
      <w:lvlText w:val="%1.%2.%3.%4."/>
      <w:lvlJc w:val="left"/>
      <w:pPr>
        <w:ind w:left="907" w:hanging="907"/>
      </w:pPr>
    </w:lvl>
    <w:lvl w:ilvl="4">
      <w:start w:val="1"/>
      <w:numFmt w:val="decimal"/>
      <w:pStyle w:val="Appendix5"/>
      <w:lvlText w:val="%1.%2.%3.%4.%5."/>
      <w:lvlJc w:val="left"/>
      <w:pPr>
        <w:ind w:left="1021" w:hanging="1021"/>
      </w:pPr>
    </w:lvl>
    <w:lvl w:ilvl="5">
      <w:start w:val="1"/>
      <w:numFmt w:val="decimal"/>
      <w:pStyle w:val="Appendix6"/>
      <w:lvlText w:val="%1.%2.%3.%4.%5.%6."/>
      <w:lvlJc w:val="left"/>
      <w:pPr>
        <w:ind w:left="1134" w:hanging="1134"/>
      </w:pPr>
    </w:lvl>
    <w:lvl w:ilvl="6">
      <w:start w:val="1"/>
      <w:numFmt w:val="decimal"/>
      <w:pStyle w:val="Appendix7"/>
      <w:lvlText w:val="%1.%2.%3.%4.%5.%6.%7."/>
      <w:lvlJc w:val="left"/>
      <w:pPr>
        <w:ind w:left="1247" w:hanging="1247"/>
      </w:pPr>
    </w:lvl>
    <w:lvl w:ilvl="7">
      <w:start w:val="1"/>
      <w:numFmt w:val="decimal"/>
      <w:pStyle w:val="Appendix8"/>
      <w:lvlText w:val="%1.%2.%3.%4.%5.%6.%7.%8."/>
      <w:lvlJc w:val="left"/>
      <w:pPr>
        <w:ind w:left="1361" w:hanging="1361"/>
      </w:pPr>
    </w:lvl>
    <w:lvl w:ilvl="8">
      <w:start w:val="1"/>
      <w:numFmt w:val="decimal"/>
      <w:pStyle w:val="Appendix9"/>
      <w:lvlText w:val="%1.%2.%3.%4.%5.%6.%7.%8.%9."/>
      <w:lvlJc w:val="left"/>
      <w:pPr>
        <w:ind w:left="1474" w:hanging="1474"/>
      </w:pPr>
    </w:lvl>
  </w:abstractNum>
  <w:abstractNum w:abstractNumId="29" w15:restartNumberingAfterBreak="0">
    <w:nsid w:val="5C3D4B59"/>
    <w:multiLevelType w:val="multilevel"/>
    <w:tmpl w:val="6220F2E4"/>
    <w:name w:val="PwCListBullets12"/>
    <w:numStyleLink w:val="PwCListBullets1"/>
  </w:abstractNum>
  <w:abstractNum w:abstractNumId="30" w15:restartNumberingAfterBreak="0">
    <w:nsid w:val="62F23C61"/>
    <w:multiLevelType w:val="hybridMultilevel"/>
    <w:tmpl w:val="386CEFEE"/>
    <w:lvl w:ilvl="0" w:tplc="099CEFEC">
      <w:start w:val="1"/>
      <w:numFmt w:val="bullet"/>
      <w:pStyle w:val="InvisibleComment"/>
      <w:lvlText w:val=""/>
      <w:lvlJc w:val="left"/>
      <w:pPr>
        <w:ind w:left="1287" w:hanging="360"/>
      </w:pPr>
      <w:rPr>
        <w:rFonts w:ascii="Symbol" w:hAnsi="Symbol"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31" w15:restartNumberingAfterBreak="0">
    <w:nsid w:val="6BFE3F8E"/>
    <w:multiLevelType w:val="multilevel"/>
    <w:tmpl w:val="B56EDEB6"/>
    <w:name w:val="PwCListNumber34"/>
    <w:lvl w:ilvl="0">
      <w:start w:val="1"/>
      <w:numFmt w:val="decimal"/>
      <w:pStyle w:val="NoteNumber"/>
      <w:lvlText w:val="%1."/>
      <w:lvlJc w:val="left"/>
      <w:pPr>
        <w:ind w:left="567" w:hanging="465"/>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02A3BCC"/>
    <w:multiLevelType w:val="multilevel"/>
    <w:tmpl w:val="0413001D"/>
    <w:styleLink w:val="1ai"/>
    <w:lvl w:ilvl="0">
      <w:start w:val="1"/>
      <w:numFmt w:val="decimal"/>
      <w:lvlText w:val="%1)"/>
      <w:lvlJc w:val="left"/>
      <w:pPr>
        <w:ind w:left="360" w:hanging="360"/>
      </w:pPr>
      <w:rPr>
        <w:color w:val="auto"/>
        <w:spacing w:val="0"/>
        <w:kern w:val="0"/>
        <w:u w:val="non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2591CA9"/>
    <w:multiLevelType w:val="multilevel"/>
    <w:tmpl w:val="6220F2E4"/>
    <w:name w:val="PwCListBullets1"/>
    <w:styleLink w:val="PwCListBullets1"/>
    <w:lvl w:ilvl="0">
      <w:start w:val="1"/>
      <w:numFmt w:val="bullet"/>
      <w:lvlText w:val=""/>
      <w:lvlJc w:val="left"/>
      <w:pPr>
        <w:tabs>
          <w:tab w:val="num" w:pos="397"/>
        </w:tabs>
        <w:ind w:left="397" w:hanging="397"/>
      </w:pPr>
      <w:rPr>
        <w:rFonts w:ascii="Symbol" w:hAnsi="Symbol" w:hint="default"/>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Symbol" w:hAnsi="Symbol" w:hint="default"/>
      </w:rPr>
    </w:lvl>
    <w:lvl w:ilvl="3">
      <w:start w:val="1"/>
      <w:numFmt w:val="bullet"/>
      <w:lvlText w:val=""/>
      <w:lvlJc w:val="left"/>
      <w:pPr>
        <w:tabs>
          <w:tab w:val="num" w:pos="1588"/>
        </w:tabs>
        <w:ind w:left="1588" w:hanging="397"/>
      </w:pPr>
      <w:rPr>
        <w:rFonts w:ascii="Symbol" w:hAnsi="Symbol"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1"/>
        </w:tabs>
        <w:ind w:left="2382" w:hanging="397"/>
      </w:pPr>
      <w:rPr>
        <w:rFonts w:ascii="Symbol" w:hAnsi="Symbol" w:hint="default"/>
      </w:rPr>
    </w:lvl>
    <w:lvl w:ilvl="6">
      <w:start w:val="1"/>
      <w:numFmt w:val="bullet"/>
      <w:lvlText w:val=""/>
      <w:lvlJc w:val="left"/>
      <w:pPr>
        <w:tabs>
          <w:tab w:val="num" w:pos="2778"/>
        </w:tabs>
        <w:ind w:left="2779" w:hanging="397"/>
      </w:pPr>
      <w:rPr>
        <w:rFonts w:ascii="Symbol" w:hAnsi="Symbol" w:hint="default"/>
      </w:rPr>
    </w:lvl>
    <w:lvl w:ilvl="7">
      <w:start w:val="1"/>
      <w:numFmt w:val="bullet"/>
      <w:lvlText w:val=""/>
      <w:lvlJc w:val="left"/>
      <w:pPr>
        <w:tabs>
          <w:tab w:val="num" w:pos="3175"/>
        </w:tabs>
        <w:ind w:left="3176" w:hanging="397"/>
      </w:pPr>
      <w:rPr>
        <w:rFonts w:ascii="Symbol" w:hAnsi="Symbol" w:hint="default"/>
      </w:rPr>
    </w:lvl>
    <w:lvl w:ilvl="8">
      <w:start w:val="1"/>
      <w:numFmt w:val="bullet"/>
      <w:lvlText w:val=""/>
      <w:lvlJc w:val="left"/>
      <w:pPr>
        <w:tabs>
          <w:tab w:val="num" w:pos="3572"/>
        </w:tabs>
        <w:ind w:left="3573" w:hanging="397"/>
      </w:pPr>
      <w:rPr>
        <w:rFonts w:ascii="Symbol" w:hAnsi="Symbol" w:hint="default"/>
      </w:rPr>
    </w:lvl>
  </w:abstractNum>
  <w:abstractNum w:abstractNumId="34" w15:restartNumberingAfterBreak="0">
    <w:nsid w:val="7355491B"/>
    <w:multiLevelType w:val="multilevel"/>
    <w:tmpl w:val="747E98B4"/>
    <w:name w:val="Appendices34"/>
    <w:lvl w:ilvl="0">
      <w:start w:val="1"/>
      <w:numFmt w:val="upperLetter"/>
      <w:pStyle w:val="AppendixNumbering"/>
      <w:lvlText w:val="%1."/>
      <w:lvlJc w:val="left"/>
      <w:pPr>
        <w:ind w:left="567" w:hanging="56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64E6823"/>
    <w:multiLevelType w:val="multilevel"/>
    <w:tmpl w:val="1CECF9B2"/>
    <w:name w:val="Appendices22"/>
    <w:lvl w:ilvl="0">
      <w:start w:val="1"/>
      <w:numFmt w:val="upperLetter"/>
      <w:lvlText w:val="%1"/>
      <w:lvlJc w:val="left"/>
      <w:pPr>
        <w:ind w:left="567" w:hanging="567"/>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907" w:hanging="907"/>
      </w:pPr>
      <w:rPr>
        <w:rFonts w:hint="default"/>
      </w:rPr>
    </w:lvl>
    <w:lvl w:ilvl="4">
      <w:start w:val="1"/>
      <w:numFmt w:val="decimal"/>
      <w:lvlText w:val="%1.%2.%3.%4.%5"/>
      <w:lvlJc w:val="left"/>
      <w:pPr>
        <w:ind w:left="1021" w:hanging="102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47" w:hanging="1247"/>
      </w:pPr>
      <w:rPr>
        <w:rFonts w:hint="default"/>
      </w:rPr>
    </w:lvl>
    <w:lvl w:ilvl="7">
      <w:start w:val="1"/>
      <w:numFmt w:val="decimal"/>
      <w:lvlText w:val="%1.%2.%3.%4.%5.%6.%7.%8"/>
      <w:lvlJc w:val="left"/>
      <w:pPr>
        <w:ind w:left="1361" w:hanging="1361"/>
      </w:pPr>
      <w:rPr>
        <w:rFonts w:hint="default"/>
      </w:rPr>
    </w:lvl>
    <w:lvl w:ilvl="8">
      <w:start w:val="1"/>
      <w:numFmt w:val="decimal"/>
      <w:lvlText w:val="%1.%2.%3.%4.%5.%6.%7.%8.%9"/>
      <w:lvlJc w:val="left"/>
      <w:pPr>
        <w:ind w:left="1474" w:hanging="1474"/>
      </w:pPr>
      <w:rPr>
        <w:rFonts w:hint="default"/>
      </w:rPr>
    </w:lvl>
  </w:abstractNum>
  <w:abstractNum w:abstractNumId="36" w15:restartNumberingAfterBreak="0">
    <w:nsid w:val="7B303BC2"/>
    <w:multiLevelType w:val="multilevel"/>
    <w:tmpl w:val="04130027"/>
    <w:name w:val="Appendices"/>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7" w15:restartNumberingAfterBreak="0">
    <w:nsid w:val="7BDD1E31"/>
    <w:multiLevelType w:val="multilevel"/>
    <w:tmpl w:val="F9003268"/>
    <w:name w:val="PwCListBullets34"/>
    <w:lvl w:ilvl="0">
      <w:start w:val="1"/>
      <w:numFmt w:val="bullet"/>
      <w:pStyle w:val="NoteBullet"/>
      <w:lvlText w:val=""/>
      <w:lvlJc w:val="left"/>
      <w:pPr>
        <w:ind w:left="567" w:hanging="465"/>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3"/>
  </w:num>
  <w:num w:numId="12">
    <w:abstractNumId w:val="29"/>
  </w:num>
  <w:num w:numId="13">
    <w:abstractNumId w:val="20"/>
  </w:num>
  <w:num w:numId="14">
    <w:abstractNumId w:val="24"/>
  </w:num>
  <w:num w:numId="15">
    <w:abstractNumId w:val="12"/>
  </w:num>
  <w:num w:numId="16">
    <w:abstractNumId w:val="21"/>
  </w:num>
  <w:num w:numId="17">
    <w:abstractNumId w:val="11"/>
  </w:num>
  <w:num w:numId="18">
    <w:abstractNumId w:val="18"/>
  </w:num>
  <w:num w:numId="19">
    <w:abstractNumId w:val="26"/>
  </w:num>
  <w:num w:numId="20">
    <w:abstractNumId w:val="2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36"/>
  </w:num>
  <w:num w:numId="27">
    <w:abstractNumId w:val="36"/>
  </w:num>
  <w:num w:numId="28">
    <w:abstractNumId w:val="19"/>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num>
  <w:num w:numId="33">
    <w:abstractNumId w:val="30"/>
  </w:num>
  <w:num w:numId="34">
    <w:abstractNumId w:val="23"/>
  </w:num>
  <w:num w:numId="35">
    <w:abstractNumId w:val="17"/>
  </w:num>
  <w:num w:numId="36">
    <w:abstractNumId w:val="22"/>
  </w:num>
  <w:num w:numId="37">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32"/>
  </w:num>
  <w:num w:numId="40">
    <w:abstractNumId w:val="25"/>
  </w:num>
  <w:num w:numId="41">
    <w:abstractNumId w:val="13"/>
  </w:num>
  <w:num w:numId="42">
    <w:abstractNumId w:val="37"/>
  </w:num>
  <w:num w:numId="43">
    <w:abstractNumId w:val="16"/>
  </w:num>
  <w:num w:numId="44">
    <w:abstractNumId w:val="31"/>
  </w:num>
  <w:num w:numId="45">
    <w:abstractNumId w:val="28"/>
  </w:num>
  <w:num w:numId="46">
    <w:abstractNumId w:val="10"/>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021"/>
    <w:rsid w:val="0000208B"/>
    <w:rsid w:val="00002A44"/>
    <w:rsid w:val="00004D10"/>
    <w:rsid w:val="0001339C"/>
    <w:rsid w:val="00013B58"/>
    <w:rsid w:val="000268A5"/>
    <w:rsid w:val="00026D4B"/>
    <w:rsid w:val="00026F74"/>
    <w:rsid w:val="00031770"/>
    <w:rsid w:val="00032D86"/>
    <w:rsid w:val="000343E2"/>
    <w:rsid w:val="00036AF8"/>
    <w:rsid w:val="00040A3B"/>
    <w:rsid w:val="00042695"/>
    <w:rsid w:val="00044184"/>
    <w:rsid w:val="000472DC"/>
    <w:rsid w:val="00053276"/>
    <w:rsid w:val="00056071"/>
    <w:rsid w:val="00061A9A"/>
    <w:rsid w:val="000644C2"/>
    <w:rsid w:val="000646D2"/>
    <w:rsid w:val="0006516F"/>
    <w:rsid w:val="000652D0"/>
    <w:rsid w:val="00072177"/>
    <w:rsid w:val="000734EF"/>
    <w:rsid w:val="00073746"/>
    <w:rsid w:val="00074A78"/>
    <w:rsid w:val="00075BA4"/>
    <w:rsid w:val="00076625"/>
    <w:rsid w:val="00077B61"/>
    <w:rsid w:val="00080644"/>
    <w:rsid w:val="00081B19"/>
    <w:rsid w:val="00081DD5"/>
    <w:rsid w:val="000825A3"/>
    <w:rsid w:val="00084531"/>
    <w:rsid w:val="000846C0"/>
    <w:rsid w:val="000850D9"/>
    <w:rsid w:val="000855DA"/>
    <w:rsid w:val="000859B7"/>
    <w:rsid w:val="00086C1E"/>
    <w:rsid w:val="00093925"/>
    <w:rsid w:val="00097402"/>
    <w:rsid w:val="000A09A2"/>
    <w:rsid w:val="000A0FA9"/>
    <w:rsid w:val="000A14B7"/>
    <w:rsid w:val="000A4482"/>
    <w:rsid w:val="000A6367"/>
    <w:rsid w:val="000A76A3"/>
    <w:rsid w:val="000B3809"/>
    <w:rsid w:val="000B3C73"/>
    <w:rsid w:val="000B40F0"/>
    <w:rsid w:val="000B7017"/>
    <w:rsid w:val="000C219E"/>
    <w:rsid w:val="000C2BC3"/>
    <w:rsid w:val="000C3A2C"/>
    <w:rsid w:val="000C3F9F"/>
    <w:rsid w:val="000C5021"/>
    <w:rsid w:val="000C654F"/>
    <w:rsid w:val="000C7100"/>
    <w:rsid w:val="000D4337"/>
    <w:rsid w:val="000D4C62"/>
    <w:rsid w:val="000D7DAE"/>
    <w:rsid w:val="000E22D1"/>
    <w:rsid w:val="000E247E"/>
    <w:rsid w:val="000E39CD"/>
    <w:rsid w:val="000E490F"/>
    <w:rsid w:val="000E4DCA"/>
    <w:rsid w:val="000E69D9"/>
    <w:rsid w:val="000F2057"/>
    <w:rsid w:val="000F6FB3"/>
    <w:rsid w:val="00105D33"/>
    <w:rsid w:val="001114AF"/>
    <w:rsid w:val="00113152"/>
    <w:rsid w:val="0012075A"/>
    <w:rsid w:val="0012353B"/>
    <w:rsid w:val="00125AFE"/>
    <w:rsid w:val="001325A2"/>
    <w:rsid w:val="00133530"/>
    <w:rsid w:val="0013432F"/>
    <w:rsid w:val="00134676"/>
    <w:rsid w:val="001359A9"/>
    <w:rsid w:val="00135E9B"/>
    <w:rsid w:val="00136C49"/>
    <w:rsid w:val="0014332F"/>
    <w:rsid w:val="00145DEF"/>
    <w:rsid w:val="001567E1"/>
    <w:rsid w:val="00161134"/>
    <w:rsid w:val="00163EE1"/>
    <w:rsid w:val="00166A80"/>
    <w:rsid w:val="00170C07"/>
    <w:rsid w:val="00170E7A"/>
    <w:rsid w:val="00170EFA"/>
    <w:rsid w:val="001739F2"/>
    <w:rsid w:val="001754C9"/>
    <w:rsid w:val="001776FA"/>
    <w:rsid w:val="00183C01"/>
    <w:rsid w:val="00185EEA"/>
    <w:rsid w:val="00186AD4"/>
    <w:rsid w:val="00193313"/>
    <w:rsid w:val="001A062E"/>
    <w:rsid w:val="001A0935"/>
    <w:rsid w:val="001A28D9"/>
    <w:rsid w:val="001A3513"/>
    <w:rsid w:val="001A3B39"/>
    <w:rsid w:val="001B1239"/>
    <w:rsid w:val="001B6EA2"/>
    <w:rsid w:val="001C01C5"/>
    <w:rsid w:val="001C1562"/>
    <w:rsid w:val="001C1DA4"/>
    <w:rsid w:val="001C339F"/>
    <w:rsid w:val="001C38BC"/>
    <w:rsid w:val="001C3988"/>
    <w:rsid w:val="001C57AC"/>
    <w:rsid w:val="001C63F6"/>
    <w:rsid w:val="001C6630"/>
    <w:rsid w:val="001D020C"/>
    <w:rsid w:val="001E5839"/>
    <w:rsid w:val="001E6FB0"/>
    <w:rsid w:val="001E73B6"/>
    <w:rsid w:val="001F523F"/>
    <w:rsid w:val="001F7FC2"/>
    <w:rsid w:val="0020083A"/>
    <w:rsid w:val="00202FC2"/>
    <w:rsid w:val="00203C13"/>
    <w:rsid w:val="00203ED4"/>
    <w:rsid w:val="0020494F"/>
    <w:rsid w:val="00207806"/>
    <w:rsid w:val="00216A4B"/>
    <w:rsid w:val="00221D7A"/>
    <w:rsid w:val="002235EC"/>
    <w:rsid w:val="00227DBA"/>
    <w:rsid w:val="002331D8"/>
    <w:rsid w:val="0023433A"/>
    <w:rsid w:val="0024418B"/>
    <w:rsid w:val="00246116"/>
    <w:rsid w:val="00251714"/>
    <w:rsid w:val="00254951"/>
    <w:rsid w:val="00256E86"/>
    <w:rsid w:val="00260F61"/>
    <w:rsid w:val="00263854"/>
    <w:rsid w:val="002639B6"/>
    <w:rsid w:val="00263E61"/>
    <w:rsid w:val="0026455C"/>
    <w:rsid w:val="002649B9"/>
    <w:rsid w:val="002720F0"/>
    <w:rsid w:val="00272D84"/>
    <w:rsid w:val="00274340"/>
    <w:rsid w:val="00275681"/>
    <w:rsid w:val="0027769C"/>
    <w:rsid w:val="002832C4"/>
    <w:rsid w:val="00283B75"/>
    <w:rsid w:val="00285090"/>
    <w:rsid w:val="002869DD"/>
    <w:rsid w:val="00290D91"/>
    <w:rsid w:val="00291AB8"/>
    <w:rsid w:val="0029269A"/>
    <w:rsid w:val="00292D0D"/>
    <w:rsid w:val="00292FD0"/>
    <w:rsid w:val="002A12F4"/>
    <w:rsid w:val="002A5E1B"/>
    <w:rsid w:val="002A635A"/>
    <w:rsid w:val="002A7437"/>
    <w:rsid w:val="002B03F3"/>
    <w:rsid w:val="002B0F3D"/>
    <w:rsid w:val="002B5000"/>
    <w:rsid w:val="002B55E0"/>
    <w:rsid w:val="002B6DA8"/>
    <w:rsid w:val="002B71E5"/>
    <w:rsid w:val="002B7CDD"/>
    <w:rsid w:val="002C0F83"/>
    <w:rsid w:val="002C1E97"/>
    <w:rsid w:val="002C3DFF"/>
    <w:rsid w:val="002C462A"/>
    <w:rsid w:val="002C609F"/>
    <w:rsid w:val="002D0712"/>
    <w:rsid w:val="002D3926"/>
    <w:rsid w:val="002D47F1"/>
    <w:rsid w:val="002D6105"/>
    <w:rsid w:val="002E19DA"/>
    <w:rsid w:val="002E1B61"/>
    <w:rsid w:val="002E49C6"/>
    <w:rsid w:val="002F0C1E"/>
    <w:rsid w:val="002F447E"/>
    <w:rsid w:val="002F620A"/>
    <w:rsid w:val="002F6CD1"/>
    <w:rsid w:val="002F7369"/>
    <w:rsid w:val="00303068"/>
    <w:rsid w:val="003059B8"/>
    <w:rsid w:val="00307DB5"/>
    <w:rsid w:val="00311666"/>
    <w:rsid w:val="00312B62"/>
    <w:rsid w:val="00313243"/>
    <w:rsid w:val="0031358E"/>
    <w:rsid w:val="003158F6"/>
    <w:rsid w:val="0031763A"/>
    <w:rsid w:val="00317B4E"/>
    <w:rsid w:val="003207DD"/>
    <w:rsid w:val="00321ADD"/>
    <w:rsid w:val="00321C67"/>
    <w:rsid w:val="0032290D"/>
    <w:rsid w:val="00323237"/>
    <w:rsid w:val="00323DB9"/>
    <w:rsid w:val="00324288"/>
    <w:rsid w:val="00327CD6"/>
    <w:rsid w:val="00327D88"/>
    <w:rsid w:val="00330FAC"/>
    <w:rsid w:val="00335188"/>
    <w:rsid w:val="00336C69"/>
    <w:rsid w:val="00340E49"/>
    <w:rsid w:val="00342AD2"/>
    <w:rsid w:val="003455EF"/>
    <w:rsid w:val="00345BDC"/>
    <w:rsid w:val="0034637D"/>
    <w:rsid w:val="00350FC6"/>
    <w:rsid w:val="003574E0"/>
    <w:rsid w:val="003636B5"/>
    <w:rsid w:val="00364B6C"/>
    <w:rsid w:val="003678EE"/>
    <w:rsid w:val="00370703"/>
    <w:rsid w:val="003753FE"/>
    <w:rsid w:val="00377219"/>
    <w:rsid w:val="00377DF9"/>
    <w:rsid w:val="00380498"/>
    <w:rsid w:val="00381987"/>
    <w:rsid w:val="00381FAA"/>
    <w:rsid w:val="003832D7"/>
    <w:rsid w:val="00384226"/>
    <w:rsid w:val="003862F9"/>
    <w:rsid w:val="003863E7"/>
    <w:rsid w:val="003865E0"/>
    <w:rsid w:val="00393012"/>
    <w:rsid w:val="00393BAC"/>
    <w:rsid w:val="00393DD7"/>
    <w:rsid w:val="00394E9C"/>
    <w:rsid w:val="00395FCB"/>
    <w:rsid w:val="003A0852"/>
    <w:rsid w:val="003A12BB"/>
    <w:rsid w:val="003A6D50"/>
    <w:rsid w:val="003A6E70"/>
    <w:rsid w:val="003A706F"/>
    <w:rsid w:val="003B0B76"/>
    <w:rsid w:val="003B1750"/>
    <w:rsid w:val="003B26A2"/>
    <w:rsid w:val="003C0277"/>
    <w:rsid w:val="003C2CF9"/>
    <w:rsid w:val="003C3A14"/>
    <w:rsid w:val="003C4171"/>
    <w:rsid w:val="003C488E"/>
    <w:rsid w:val="003C4CB9"/>
    <w:rsid w:val="003C6F13"/>
    <w:rsid w:val="003D04D8"/>
    <w:rsid w:val="003D212E"/>
    <w:rsid w:val="003E1751"/>
    <w:rsid w:val="003E359B"/>
    <w:rsid w:val="003E4E19"/>
    <w:rsid w:val="003E4FA8"/>
    <w:rsid w:val="003F126F"/>
    <w:rsid w:val="003F1B55"/>
    <w:rsid w:val="003F6ED0"/>
    <w:rsid w:val="003F79B5"/>
    <w:rsid w:val="003F79B6"/>
    <w:rsid w:val="00402027"/>
    <w:rsid w:val="00403EFA"/>
    <w:rsid w:val="00403F1B"/>
    <w:rsid w:val="004047BB"/>
    <w:rsid w:val="0041053A"/>
    <w:rsid w:val="00413DF3"/>
    <w:rsid w:val="00414681"/>
    <w:rsid w:val="00421EB2"/>
    <w:rsid w:val="004224F8"/>
    <w:rsid w:val="0042373C"/>
    <w:rsid w:val="004240E3"/>
    <w:rsid w:val="00424609"/>
    <w:rsid w:val="00424D1F"/>
    <w:rsid w:val="00430EB5"/>
    <w:rsid w:val="004330FF"/>
    <w:rsid w:val="00436A45"/>
    <w:rsid w:val="0044607B"/>
    <w:rsid w:val="004504AD"/>
    <w:rsid w:val="00452289"/>
    <w:rsid w:val="004524C5"/>
    <w:rsid w:val="00452688"/>
    <w:rsid w:val="0045324C"/>
    <w:rsid w:val="00453882"/>
    <w:rsid w:val="00457CEE"/>
    <w:rsid w:val="00463603"/>
    <w:rsid w:val="0046433E"/>
    <w:rsid w:val="00470945"/>
    <w:rsid w:val="0047275F"/>
    <w:rsid w:val="004729A5"/>
    <w:rsid w:val="004729BE"/>
    <w:rsid w:val="004729FC"/>
    <w:rsid w:val="004754CE"/>
    <w:rsid w:val="00475DB4"/>
    <w:rsid w:val="004771F6"/>
    <w:rsid w:val="004802D2"/>
    <w:rsid w:val="00481104"/>
    <w:rsid w:val="00481448"/>
    <w:rsid w:val="0048281F"/>
    <w:rsid w:val="00483C16"/>
    <w:rsid w:val="004847B4"/>
    <w:rsid w:val="00485BF7"/>
    <w:rsid w:val="004861EA"/>
    <w:rsid w:val="00491983"/>
    <w:rsid w:val="00495821"/>
    <w:rsid w:val="0049623B"/>
    <w:rsid w:val="004B0CD4"/>
    <w:rsid w:val="004B1A0B"/>
    <w:rsid w:val="004B2C88"/>
    <w:rsid w:val="004B34C1"/>
    <w:rsid w:val="004B5795"/>
    <w:rsid w:val="004B611E"/>
    <w:rsid w:val="004B7A98"/>
    <w:rsid w:val="004C01D0"/>
    <w:rsid w:val="004C2451"/>
    <w:rsid w:val="004C29EF"/>
    <w:rsid w:val="004C34C6"/>
    <w:rsid w:val="004C38BB"/>
    <w:rsid w:val="004C4B16"/>
    <w:rsid w:val="004C6F71"/>
    <w:rsid w:val="004D0915"/>
    <w:rsid w:val="004D17CD"/>
    <w:rsid w:val="004D6ADE"/>
    <w:rsid w:val="004E4976"/>
    <w:rsid w:val="004E5388"/>
    <w:rsid w:val="004E7B9D"/>
    <w:rsid w:val="004E7D23"/>
    <w:rsid w:val="004F2142"/>
    <w:rsid w:val="004F368E"/>
    <w:rsid w:val="004F3C4C"/>
    <w:rsid w:val="004F404E"/>
    <w:rsid w:val="004F41E8"/>
    <w:rsid w:val="004F6105"/>
    <w:rsid w:val="004F642C"/>
    <w:rsid w:val="00507558"/>
    <w:rsid w:val="005103B9"/>
    <w:rsid w:val="00511148"/>
    <w:rsid w:val="00512CFA"/>
    <w:rsid w:val="00517259"/>
    <w:rsid w:val="005218AC"/>
    <w:rsid w:val="005221BC"/>
    <w:rsid w:val="005243A6"/>
    <w:rsid w:val="00524407"/>
    <w:rsid w:val="00527874"/>
    <w:rsid w:val="00527FD5"/>
    <w:rsid w:val="00535410"/>
    <w:rsid w:val="0053675B"/>
    <w:rsid w:val="00541FF2"/>
    <w:rsid w:val="0054330C"/>
    <w:rsid w:val="00544083"/>
    <w:rsid w:val="005447CC"/>
    <w:rsid w:val="00546F5A"/>
    <w:rsid w:val="005473E9"/>
    <w:rsid w:val="005509F0"/>
    <w:rsid w:val="00553EB4"/>
    <w:rsid w:val="00554116"/>
    <w:rsid w:val="0055669B"/>
    <w:rsid w:val="00566657"/>
    <w:rsid w:val="00571562"/>
    <w:rsid w:val="00571982"/>
    <w:rsid w:val="0057464A"/>
    <w:rsid w:val="00574C8A"/>
    <w:rsid w:val="00574CA1"/>
    <w:rsid w:val="00575E14"/>
    <w:rsid w:val="005855D7"/>
    <w:rsid w:val="00587FD9"/>
    <w:rsid w:val="00590685"/>
    <w:rsid w:val="00590C51"/>
    <w:rsid w:val="00592336"/>
    <w:rsid w:val="00592F18"/>
    <w:rsid w:val="00596770"/>
    <w:rsid w:val="00596FB9"/>
    <w:rsid w:val="005A12F3"/>
    <w:rsid w:val="005A30B3"/>
    <w:rsid w:val="005A3807"/>
    <w:rsid w:val="005B0803"/>
    <w:rsid w:val="005B2B04"/>
    <w:rsid w:val="005B3217"/>
    <w:rsid w:val="005C12B8"/>
    <w:rsid w:val="005C1F94"/>
    <w:rsid w:val="005C2C0F"/>
    <w:rsid w:val="005C4AC3"/>
    <w:rsid w:val="005D1275"/>
    <w:rsid w:val="005D147A"/>
    <w:rsid w:val="005D3A33"/>
    <w:rsid w:val="005D6919"/>
    <w:rsid w:val="005D7F75"/>
    <w:rsid w:val="005E5FC0"/>
    <w:rsid w:val="005E6CF6"/>
    <w:rsid w:val="005F144D"/>
    <w:rsid w:val="005F15E2"/>
    <w:rsid w:val="005F6A48"/>
    <w:rsid w:val="00601A0A"/>
    <w:rsid w:val="00604825"/>
    <w:rsid w:val="00607A0A"/>
    <w:rsid w:val="00607BE6"/>
    <w:rsid w:val="006131DC"/>
    <w:rsid w:val="006151A1"/>
    <w:rsid w:val="00616F1A"/>
    <w:rsid w:val="00620643"/>
    <w:rsid w:val="006209BB"/>
    <w:rsid w:val="00624AC9"/>
    <w:rsid w:val="00626685"/>
    <w:rsid w:val="006277A2"/>
    <w:rsid w:val="006301D0"/>
    <w:rsid w:val="00631560"/>
    <w:rsid w:val="00631906"/>
    <w:rsid w:val="00633C15"/>
    <w:rsid w:val="00634278"/>
    <w:rsid w:val="00637DC9"/>
    <w:rsid w:val="00641C70"/>
    <w:rsid w:val="00652497"/>
    <w:rsid w:val="00652727"/>
    <w:rsid w:val="006533BC"/>
    <w:rsid w:val="0065623A"/>
    <w:rsid w:val="006567E4"/>
    <w:rsid w:val="0067067A"/>
    <w:rsid w:val="00670C7E"/>
    <w:rsid w:val="00670EB5"/>
    <w:rsid w:val="00671115"/>
    <w:rsid w:val="00671799"/>
    <w:rsid w:val="006720E3"/>
    <w:rsid w:val="00675358"/>
    <w:rsid w:val="00675968"/>
    <w:rsid w:val="00675D08"/>
    <w:rsid w:val="00676394"/>
    <w:rsid w:val="0067690F"/>
    <w:rsid w:val="00680F58"/>
    <w:rsid w:val="00683649"/>
    <w:rsid w:val="00683D3E"/>
    <w:rsid w:val="006844CE"/>
    <w:rsid w:val="00685085"/>
    <w:rsid w:val="00685985"/>
    <w:rsid w:val="006879A8"/>
    <w:rsid w:val="00691B57"/>
    <w:rsid w:val="00691FA8"/>
    <w:rsid w:val="0069372C"/>
    <w:rsid w:val="006941B9"/>
    <w:rsid w:val="0069420E"/>
    <w:rsid w:val="00695C26"/>
    <w:rsid w:val="00696B50"/>
    <w:rsid w:val="006A273A"/>
    <w:rsid w:val="006A2F9F"/>
    <w:rsid w:val="006A32CF"/>
    <w:rsid w:val="006A4EEA"/>
    <w:rsid w:val="006A5619"/>
    <w:rsid w:val="006A7C2D"/>
    <w:rsid w:val="006C178E"/>
    <w:rsid w:val="006C4E75"/>
    <w:rsid w:val="006D148B"/>
    <w:rsid w:val="006D25AE"/>
    <w:rsid w:val="006D4068"/>
    <w:rsid w:val="006D4AA2"/>
    <w:rsid w:val="006E5264"/>
    <w:rsid w:val="006E5E1E"/>
    <w:rsid w:val="006E6BF2"/>
    <w:rsid w:val="006E6E77"/>
    <w:rsid w:val="006E792B"/>
    <w:rsid w:val="006F0F2E"/>
    <w:rsid w:val="006F1328"/>
    <w:rsid w:val="006F18E5"/>
    <w:rsid w:val="006F2A21"/>
    <w:rsid w:val="006F4E9E"/>
    <w:rsid w:val="006F71D7"/>
    <w:rsid w:val="00702D6F"/>
    <w:rsid w:val="00703A0D"/>
    <w:rsid w:val="00705C3B"/>
    <w:rsid w:val="00706661"/>
    <w:rsid w:val="007068DD"/>
    <w:rsid w:val="00710ED5"/>
    <w:rsid w:val="0071101B"/>
    <w:rsid w:val="00711F3F"/>
    <w:rsid w:val="00714077"/>
    <w:rsid w:val="007140A7"/>
    <w:rsid w:val="00721010"/>
    <w:rsid w:val="00727A43"/>
    <w:rsid w:val="00727CD4"/>
    <w:rsid w:val="00736F2C"/>
    <w:rsid w:val="00737557"/>
    <w:rsid w:val="00737C68"/>
    <w:rsid w:val="00737EE3"/>
    <w:rsid w:val="007401BB"/>
    <w:rsid w:val="00741437"/>
    <w:rsid w:val="00747D8C"/>
    <w:rsid w:val="007525FF"/>
    <w:rsid w:val="00756FEA"/>
    <w:rsid w:val="0075752F"/>
    <w:rsid w:val="00757E42"/>
    <w:rsid w:val="00760550"/>
    <w:rsid w:val="007627B1"/>
    <w:rsid w:val="00766720"/>
    <w:rsid w:val="007674AA"/>
    <w:rsid w:val="00770A45"/>
    <w:rsid w:val="007746EB"/>
    <w:rsid w:val="00776D48"/>
    <w:rsid w:val="0078274F"/>
    <w:rsid w:val="00782D68"/>
    <w:rsid w:val="00785179"/>
    <w:rsid w:val="00792B16"/>
    <w:rsid w:val="007A1496"/>
    <w:rsid w:val="007A7B95"/>
    <w:rsid w:val="007A7FB7"/>
    <w:rsid w:val="007B1083"/>
    <w:rsid w:val="007B2997"/>
    <w:rsid w:val="007B34ED"/>
    <w:rsid w:val="007B35E9"/>
    <w:rsid w:val="007B360C"/>
    <w:rsid w:val="007B4509"/>
    <w:rsid w:val="007B596F"/>
    <w:rsid w:val="007B6405"/>
    <w:rsid w:val="007B7C48"/>
    <w:rsid w:val="007C0656"/>
    <w:rsid w:val="007C10CA"/>
    <w:rsid w:val="007C3483"/>
    <w:rsid w:val="007C3958"/>
    <w:rsid w:val="007C4DF2"/>
    <w:rsid w:val="007C54FF"/>
    <w:rsid w:val="007C7DFF"/>
    <w:rsid w:val="007D2909"/>
    <w:rsid w:val="007D3098"/>
    <w:rsid w:val="007D33A1"/>
    <w:rsid w:val="007D3575"/>
    <w:rsid w:val="007D79AC"/>
    <w:rsid w:val="007D79D5"/>
    <w:rsid w:val="007E0662"/>
    <w:rsid w:val="007E18F6"/>
    <w:rsid w:val="007E3145"/>
    <w:rsid w:val="007E40C6"/>
    <w:rsid w:val="007E7875"/>
    <w:rsid w:val="007F5D27"/>
    <w:rsid w:val="007F6198"/>
    <w:rsid w:val="00800FE7"/>
    <w:rsid w:val="00803569"/>
    <w:rsid w:val="008040B3"/>
    <w:rsid w:val="008044B6"/>
    <w:rsid w:val="008050C4"/>
    <w:rsid w:val="0081216A"/>
    <w:rsid w:val="00814342"/>
    <w:rsid w:val="0081491C"/>
    <w:rsid w:val="008165D6"/>
    <w:rsid w:val="00817204"/>
    <w:rsid w:val="00821D5B"/>
    <w:rsid w:val="0082355B"/>
    <w:rsid w:val="0082381C"/>
    <w:rsid w:val="008239CC"/>
    <w:rsid w:val="0082744B"/>
    <w:rsid w:val="008277F7"/>
    <w:rsid w:val="0083509E"/>
    <w:rsid w:val="00835B89"/>
    <w:rsid w:val="0084399A"/>
    <w:rsid w:val="00845F21"/>
    <w:rsid w:val="008465CB"/>
    <w:rsid w:val="00846885"/>
    <w:rsid w:val="00847128"/>
    <w:rsid w:val="00847770"/>
    <w:rsid w:val="00851D22"/>
    <w:rsid w:val="00855B85"/>
    <w:rsid w:val="008573C4"/>
    <w:rsid w:val="00861B4C"/>
    <w:rsid w:val="0086355F"/>
    <w:rsid w:val="008661FA"/>
    <w:rsid w:val="0086669F"/>
    <w:rsid w:val="00871457"/>
    <w:rsid w:val="00871737"/>
    <w:rsid w:val="008718C3"/>
    <w:rsid w:val="008736F4"/>
    <w:rsid w:val="00874E53"/>
    <w:rsid w:val="00876E0C"/>
    <w:rsid w:val="0089050D"/>
    <w:rsid w:val="00890F9F"/>
    <w:rsid w:val="00891C66"/>
    <w:rsid w:val="00891C8C"/>
    <w:rsid w:val="00895BA0"/>
    <w:rsid w:val="008965CD"/>
    <w:rsid w:val="0089674A"/>
    <w:rsid w:val="00897E19"/>
    <w:rsid w:val="008A0F5A"/>
    <w:rsid w:val="008A2BBB"/>
    <w:rsid w:val="008A5FD2"/>
    <w:rsid w:val="008A6B37"/>
    <w:rsid w:val="008B0524"/>
    <w:rsid w:val="008B17DF"/>
    <w:rsid w:val="008B1B6B"/>
    <w:rsid w:val="008B2D80"/>
    <w:rsid w:val="008B2DD2"/>
    <w:rsid w:val="008C042B"/>
    <w:rsid w:val="008C3CBD"/>
    <w:rsid w:val="008C5834"/>
    <w:rsid w:val="008C63CD"/>
    <w:rsid w:val="008C6C96"/>
    <w:rsid w:val="008D10F6"/>
    <w:rsid w:val="008D5347"/>
    <w:rsid w:val="008D7F56"/>
    <w:rsid w:val="008E064A"/>
    <w:rsid w:val="008E1892"/>
    <w:rsid w:val="008E481F"/>
    <w:rsid w:val="008E742E"/>
    <w:rsid w:val="008E787F"/>
    <w:rsid w:val="008F07D8"/>
    <w:rsid w:val="008F294B"/>
    <w:rsid w:val="008F4E70"/>
    <w:rsid w:val="008F5758"/>
    <w:rsid w:val="00900284"/>
    <w:rsid w:val="00900BD6"/>
    <w:rsid w:val="009013DE"/>
    <w:rsid w:val="009014D2"/>
    <w:rsid w:val="00904A04"/>
    <w:rsid w:val="00905957"/>
    <w:rsid w:val="00905F71"/>
    <w:rsid w:val="009079E9"/>
    <w:rsid w:val="00907DB8"/>
    <w:rsid w:val="00911145"/>
    <w:rsid w:val="0091219D"/>
    <w:rsid w:val="00912980"/>
    <w:rsid w:val="00912B33"/>
    <w:rsid w:val="00913A8D"/>
    <w:rsid w:val="009145B5"/>
    <w:rsid w:val="009278F8"/>
    <w:rsid w:val="00931257"/>
    <w:rsid w:val="00931EF6"/>
    <w:rsid w:val="00932E58"/>
    <w:rsid w:val="00933728"/>
    <w:rsid w:val="00935EC6"/>
    <w:rsid w:val="00940C1E"/>
    <w:rsid w:val="0094559F"/>
    <w:rsid w:val="00945D07"/>
    <w:rsid w:val="00945E6E"/>
    <w:rsid w:val="00945F3C"/>
    <w:rsid w:val="0094633D"/>
    <w:rsid w:val="00952245"/>
    <w:rsid w:val="00952845"/>
    <w:rsid w:val="00952ABB"/>
    <w:rsid w:val="00952B87"/>
    <w:rsid w:val="00953EDF"/>
    <w:rsid w:val="00954199"/>
    <w:rsid w:val="00954316"/>
    <w:rsid w:val="00955023"/>
    <w:rsid w:val="00955343"/>
    <w:rsid w:val="0095677F"/>
    <w:rsid w:val="00956EBA"/>
    <w:rsid w:val="00957047"/>
    <w:rsid w:val="00963764"/>
    <w:rsid w:val="009717C1"/>
    <w:rsid w:val="00974266"/>
    <w:rsid w:val="009778F1"/>
    <w:rsid w:val="00980942"/>
    <w:rsid w:val="0098227E"/>
    <w:rsid w:val="00987073"/>
    <w:rsid w:val="00992F39"/>
    <w:rsid w:val="009A269B"/>
    <w:rsid w:val="009A70CD"/>
    <w:rsid w:val="009B21FB"/>
    <w:rsid w:val="009B3699"/>
    <w:rsid w:val="009B5065"/>
    <w:rsid w:val="009C250D"/>
    <w:rsid w:val="009C26BC"/>
    <w:rsid w:val="009C3D4A"/>
    <w:rsid w:val="009D0490"/>
    <w:rsid w:val="009D10AD"/>
    <w:rsid w:val="009D38B1"/>
    <w:rsid w:val="009D529A"/>
    <w:rsid w:val="009D57C3"/>
    <w:rsid w:val="009D6D6C"/>
    <w:rsid w:val="009D708F"/>
    <w:rsid w:val="009E790F"/>
    <w:rsid w:val="009F0DAC"/>
    <w:rsid w:val="009F3B53"/>
    <w:rsid w:val="009F5368"/>
    <w:rsid w:val="009F77D7"/>
    <w:rsid w:val="00A03F03"/>
    <w:rsid w:val="00A0405B"/>
    <w:rsid w:val="00A0419D"/>
    <w:rsid w:val="00A07218"/>
    <w:rsid w:val="00A078FA"/>
    <w:rsid w:val="00A109EF"/>
    <w:rsid w:val="00A1446A"/>
    <w:rsid w:val="00A14E40"/>
    <w:rsid w:val="00A218F4"/>
    <w:rsid w:val="00A24FAF"/>
    <w:rsid w:val="00A26430"/>
    <w:rsid w:val="00A32B8D"/>
    <w:rsid w:val="00A34DBA"/>
    <w:rsid w:val="00A376BB"/>
    <w:rsid w:val="00A37F79"/>
    <w:rsid w:val="00A43C37"/>
    <w:rsid w:val="00A536B3"/>
    <w:rsid w:val="00A54611"/>
    <w:rsid w:val="00A556F8"/>
    <w:rsid w:val="00A55E2A"/>
    <w:rsid w:val="00A57B66"/>
    <w:rsid w:val="00A57F3B"/>
    <w:rsid w:val="00A63E72"/>
    <w:rsid w:val="00A66182"/>
    <w:rsid w:val="00A7182C"/>
    <w:rsid w:val="00A72FEB"/>
    <w:rsid w:val="00A74A3B"/>
    <w:rsid w:val="00A77473"/>
    <w:rsid w:val="00A80177"/>
    <w:rsid w:val="00A807A7"/>
    <w:rsid w:val="00A8228C"/>
    <w:rsid w:val="00A87346"/>
    <w:rsid w:val="00A91A0C"/>
    <w:rsid w:val="00A92414"/>
    <w:rsid w:val="00A94FCD"/>
    <w:rsid w:val="00AA13A2"/>
    <w:rsid w:val="00AA26F0"/>
    <w:rsid w:val="00AA2A67"/>
    <w:rsid w:val="00AA4A1A"/>
    <w:rsid w:val="00AA5EDD"/>
    <w:rsid w:val="00AB1C48"/>
    <w:rsid w:val="00AB34A4"/>
    <w:rsid w:val="00AB4AB3"/>
    <w:rsid w:val="00AC0B8C"/>
    <w:rsid w:val="00AC32EB"/>
    <w:rsid w:val="00AC7441"/>
    <w:rsid w:val="00AD251D"/>
    <w:rsid w:val="00AD3A1C"/>
    <w:rsid w:val="00AD4A34"/>
    <w:rsid w:val="00AD5EC6"/>
    <w:rsid w:val="00AD6FF5"/>
    <w:rsid w:val="00AD70F9"/>
    <w:rsid w:val="00AD77BE"/>
    <w:rsid w:val="00AD7D92"/>
    <w:rsid w:val="00AE491F"/>
    <w:rsid w:val="00AE537A"/>
    <w:rsid w:val="00AE6A31"/>
    <w:rsid w:val="00AF13C8"/>
    <w:rsid w:val="00AF4D46"/>
    <w:rsid w:val="00AF679D"/>
    <w:rsid w:val="00B0327E"/>
    <w:rsid w:val="00B03475"/>
    <w:rsid w:val="00B03EAA"/>
    <w:rsid w:val="00B05025"/>
    <w:rsid w:val="00B05452"/>
    <w:rsid w:val="00B06065"/>
    <w:rsid w:val="00B06508"/>
    <w:rsid w:val="00B14807"/>
    <w:rsid w:val="00B16CC7"/>
    <w:rsid w:val="00B264DC"/>
    <w:rsid w:val="00B2757D"/>
    <w:rsid w:val="00B308E8"/>
    <w:rsid w:val="00B314ED"/>
    <w:rsid w:val="00B33290"/>
    <w:rsid w:val="00B342C3"/>
    <w:rsid w:val="00B34EDF"/>
    <w:rsid w:val="00B3506D"/>
    <w:rsid w:val="00B35641"/>
    <w:rsid w:val="00B35A88"/>
    <w:rsid w:val="00B40128"/>
    <w:rsid w:val="00B40BAA"/>
    <w:rsid w:val="00B42507"/>
    <w:rsid w:val="00B43B98"/>
    <w:rsid w:val="00B453EA"/>
    <w:rsid w:val="00B47E76"/>
    <w:rsid w:val="00B51B60"/>
    <w:rsid w:val="00B522FB"/>
    <w:rsid w:val="00B55052"/>
    <w:rsid w:val="00B61C00"/>
    <w:rsid w:val="00B623F1"/>
    <w:rsid w:val="00B635D7"/>
    <w:rsid w:val="00B645D9"/>
    <w:rsid w:val="00B65FB2"/>
    <w:rsid w:val="00B71A11"/>
    <w:rsid w:val="00B72001"/>
    <w:rsid w:val="00B72F10"/>
    <w:rsid w:val="00B74488"/>
    <w:rsid w:val="00B75850"/>
    <w:rsid w:val="00B758C1"/>
    <w:rsid w:val="00B81608"/>
    <w:rsid w:val="00B817E2"/>
    <w:rsid w:val="00B81A50"/>
    <w:rsid w:val="00B841E0"/>
    <w:rsid w:val="00B84486"/>
    <w:rsid w:val="00B8726B"/>
    <w:rsid w:val="00B93AA2"/>
    <w:rsid w:val="00B950A8"/>
    <w:rsid w:val="00BA0B19"/>
    <w:rsid w:val="00BA1BAF"/>
    <w:rsid w:val="00BA1E20"/>
    <w:rsid w:val="00BA3B93"/>
    <w:rsid w:val="00BA6EC1"/>
    <w:rsid w:val="00BA7459"/>
    <w:rsid w:val="00BB1E5B"/>
    <w:rsid w:val="00BB3AC5"/>
    <w:rsid w:val="00BB6748"/>
    <w:rsid w:val="00BB789B"/>
    <w:rsid w:val="00BC160E"/>
    <w:rsid w:val="00BC4895"/>
    <w:rsid w:val="00BC5575"/>
    <w:rsid w:val="00BD279E"/>
    <w:rsid w:val="00BD353B"/>
    <w:rsid w:val="00BD3A9F"/>
    <w:rsid w:val="00BD3B14"/>
    <w:rsid w:val="00BD3E23"/>
    <w:rsid w:val="00BD7E36"/>
    <w:rsid w:val="00BE0560"/>
    <w:rsid w:val="00BE2386"/>
    <w:rsid w:val="00BE6218"/>
    <w:rsid w:val="00BF3041"/>
    <w:rsid w:val="00BF42B6"/>
    <w:rsid w:val="00C02556"/>
    <w:rsid w:val="00C025F4"/>
    <w:rsid w:val="00C03CB1"/>
    <w:rsid w:val="00C03F68"/>
    <w:rsid w:val="00C03F8B"/>
    <w:rsid w:val="00C042B2"/>
    <w:rsid w:val="00C05950"/>
    <w:rsid w:val="00C06C47"/>
    <w:rsid w:val="00C076BB"/>
    <w:rsid w:val="00C10E4B"/>
    <w:rsid w:val="00C116CB"/>
    <w:rsid w:val="00C130C4"/>
    <w:rsid w:val="00C1387D"/>
    <w:rsid w:val="00C15E49"/>
    <w:rsid w:val="00C15F0D"/>
    <w:rsid w:val="00C208EE"/>
    <w:rsid w:val="00C21A3E"/>
    <w:rsid w:val="00C22BA9"/>
    <w:rsid w:val="00C22DCE"/>
    <w:rsid w:val="00C23F09"/>
    <w:rsid w:val="00C2517E"/>
    <w:rsid w:val="00C36F42"/>
    <w:rsid w:val="00C40E2B"/>
    <w:rsid w:val="00C41312"/>
    <w:rsid w:val="00C41B2F"/>
    <w:rsid w:val="00C4213C"/>
    <w:rsid w:val="00C43DBD"/>
    <w:rsid w:val="00C45A1C"/>
    <w:rsid w:val="00C52374"/>
    <w:rsid w:val="00C53AD5"/>
    <w:rsid w:val="00C5498C"/>
    <w:rsid w:val="00C560BD"/>
    <w:rsid w:val="00C5647E"/>
    <w:rsid w:val="00C57EBA"/>
    <w:rsid w:val="00C602E1"/>
    <w:rsid w:val="00C612F1"/>
    <w:rsid w:val="00C6294F"/>
    <w:rsid w:val="00C643EB"/>
    <w:rsid w:val="00C70038"/>
    <w:rsid w:val="00C74997"/>
    <w:rsid w:val="00C7638F"/>
    <w:rsid w:val="00C82AC8"/>
    <w:rsid w:val="00C83D28"/>
    <w:rsid w:val="00C85338"/>
    <w:rsid w:val="00C91FAF"/>
    <w:rsid w:val="00C943E4"/>
    <w:rsid w:val="00C947FC"/>
    <w:rsid w:val="00CA1435"/>
    <w:rsid w:val="00CA1943"/>
    <w:rsid w:val="00CA5CB6"/>
    <w:rsid w:val="00CA7E4D"/>
    <w:rsid w:val="00CB588E"/>
    <w:rsid w:val="00CC13B3"/>
    <w:rsid w:val="00CC41CC"/>
    <w:rsid w:val="00CC4322"/>
    <w:rsid w:val="00CD1CB8"/>
    <w:rsid w:val="00CD5CE3"/>
    <w:rsid w:val="00CD66A7"/>
    <w:rsid w:val="00CD789D"/>
    <w:rsid w:val="00CD7E94"/>
    <w:rsid w:val="00CE1F4E"/>
    <w:rsid w:val="00CE531F"/>
    <w:rsid w:val="00CE55E9"/>
    <w:rsid w:val="00CF0476"/>
    <w:rsid w:val="00CF2BF1"/>
    <w:rsid w:val="00CF385F"/>
    <w:rsid w:val="00CF3E7F"/>
    <w:rsid w:val="00D000DA"/>
    <w:rsid w:val="00D02BF9"/>
    <w:rsid w:val="00D04169"/>
    <w:rsid w:val="00D04DA0"/>
    <w:rsid w:val="00D05942"/>
    <w:rsid w:val="00D05EB6"/>
    <w:rsid w:val="00D0623B"/>
    <w:rsid w:val="00D0689F"/>
    <w:rsid w:val="00D12724"/>
    <w:rsid w:val="00D21D8D"/>
    <w:rsid w:val="00D225BB"/>
    <w:rsid w:val="00D251A2"/>
    <w:rsid w:val="00D25EAD"/>
    <w:rsid w:val="00D323FD"/>
    <w:rsid w:val="00D35A6F"/>
    <w:rsid w:val="00D36955"/>
    <w:rsid w:val="00D40FF8"/>
    <w:rsid w:val="00D428E7"/>
    <w:rsid w:val="00D42BCD"/>
    <w:rsid w:val="00D43221"/>
    <w:rsid w:val="00D43521"/>
    <w:rsid w:val="00D4353E"/>
    <w:rsid w:val="00D44C8B"/>
    <w:rsid w:val="00D454ED"/>
    <w:rsid w:val="00D511DC"/>
    <w:rsid w:val="00D52DC8"/>
    <w:rsid w:val="00D55224"/>
    <w:rsid w:val="00D572C0"/>
    <w:rsid w:val="00D57BC1"/>
    <w:rsid w:val="00D62095"/>
    <w:rsid w:val="00D6577F"/>
    <w:rsid w:val="00D6579F"/>
    <w:rsid w:val="00D65CB7"/>
    <w:rsid w:val="00D706CD"/>
    <w:rsid w:val="00D7228C"/>
    <w:rsid w:val="00D771C9"/>
    <w:rsid w:val="00D820D6"/>
    <w:rsid w:val="00D8345F"/>
    <w:rsid w:val="00D842B9"/>
    <w:rsid w:val="00D87A84"/>
    <w:rsid w:val="00D90DDC"/>
    <w:rsid w:val="00D91D6B"/>
    <w:rsid w:val="00D94791"/>
    <w:rsid w:val="00D95107"/>
    <w:rsid w:val="00D95C41"/>
    <w:rsid w:val="00D95E61"/>
    <w:rsid w:val="00D95EA1"/>
    <w:rsid w:val="00DA085C"/>
    <w:rsid w:val="00DA19C9"/>
    <w:rsid w:val="00DA3B69"/>
    <w:rsid w:val="00DA6BA3"/>
    <w:rsid w:val="00DB04FE"/>
    <w:rsid w:val="00DB3B2A"/>
    <w:rsid w:val="00DB5919"/>
    <w:rsid w:val="00DC1004"/>
    <w:rsid w:val="00DC3BFB"/>
    <w:rsid w:val="00DC44EB"/>
    <w:rsid w:val="00DC5C44"/>
    <w:rsid w:val="00DC6295"/>
    <w:rsid w:val="00DC6886"/>
    <w:rsid w:val="00DD2AF2"/>
    <w:rsid w:val="00DD303C"/>
    <w:rsid w:val="00DD60AE"/>
    <w:rsid w:val="00DF03FA"/>
    <w:rsid w:val="00DF2FFE"/>
    <w:rsid w:val="00DF6453"/>
    <w:rsid w:val="00DF7501"/>
    <w:rsid w:val="00DF769D"/>
    <w:rsid w:val="00DF7F70"/>
    <w:rsid w:val="00E00E6D"/>
    <w:rsid w:val="00E05E9A"/>
    <w:rsid w:val="00E07F60"/>
    <w:rsid w:val="00E10C21"/>
    <w:rsid w:val="00E1175D"/>
    <w:rsid w:val="00E1175F"/>
    <w:rsid w:val="00E127C1"/>
    <w:rsid w:val="00E14399"/>
    <w:rsid w:val="00E144F4"/>
    <w:rsid w:val="00E15C36"/>
    <w:rsid w:val="00E1736E"/>
    <w:rsid w:val="00E207BB"/>
    <w:rsid w:val="00E24F36"/>
    <w:rsid w:val="00E251DF"/>
    <w:rsid w:val="00E313A4"/>
    <w:rsid w:val="00E32003"/>
    <w:rsid w:val="00E328D8"/>
    <w:rsid w:val="00E33429"/>
    <w:rsid w:val="00E3382B"/>
    <w:rsid w:val="00E37079"/>
    <w:rsid w:val="00E40676"/>
    <w:rsid w:val="00E42989"/>
    <w:rsid w:val="00E44D87"/>
    <w:rsid w:val="00E4655B"/>
    <w:rsid w:val="00E476EA"/>
    <w:rsid w:val="00E50560"/>
    <w:rsid w:val="00E5119C"/>
    <w:rsid w:val="00E5297E"/>
    <w:rsid w:val="00E52CB2"/>
    <w:rsid w:val="00E5447E"/>
    <w:rsid w:val="00E64CA1"/>
    <w:rsid w:val="00E7124B"/>
    <w:rsid w:val="00E71402"/>
    <w:rsid w:val="00E83546"/>
    <w:rsid w:val="00E852F9"/>
    <w:rsid w:val="00E85664"/>
    <w:rsid w:val="00E866C9"/>
    <w:rsid w:val="00E918FB"/>
    <w:rsid w:val="00E937C8"/>
    <w:rsid w:val="00E93BF0"/>
    <w:rsid w:val="00E967B7"/>
    <w:rsid w:val="00EA0CAE"/>
    <w:rsid w:val="00EA3DFC"/>
    <w:rsid w:val="00EB1392"/>
    <w:rsid w:val="00EC064C"/>
    <w:rsid w:val="00EC0B46"/>
    <w:rsid w:val="00EC0CC3"/>
    <w:rsid w:val="00EC4AF2"/>
    <w:rsid w:val="00ED4200"/>
    <w:rsid w:val="00ED4452"/>
    <w:rsid w:val="00ED5D5A"/>
    <w:rsid w:val="00ED686E"/>
    <w:rsid w:val="00ED73E5"/>
    <w:rsid w:val="00EE0C5B"/>
    <w:rsid w:val="00EE29CE"/>
    <w:rsid w:val="00EE3806"/>
    <w:rsid w:val="00EE4026"/>
    <w:rsid w:val="00EE79DF"/>
    <w:rsid w:val="00EF18F0"/>
    <w:rsid w:val="00EF3A0D"/>
    <w:rsid w:val="00EF402A"/>
    <w:rsid w:val="00EF41B2"/>
    <w:rsid w:val="00EF4C8D"/>
    <w:rsid w:val="00EF6BEC"/>
    <w:rsid w:val="00F04215"/>
    <w:rsid w:val="00F05F46"/>
    <w:rsid w:val="00F07444"/>
    <w:rsid w:val="00F100D9"/>
    <w:rsid w:val="00F1034F"/>
    <w:rsid w:val="00F11EAB"/>
    <w:rsid w:val="00F14EF8"/>
    <w:rsid w:val="00F1504D"/>
    <w:rsid w:val="00F17FE5"/>
    <w:rsid w:val="00F20D49"/>
    <w:rsid w:val="00F212EE"/>
    <w:rsid w:val="00F21577"/>
    <w:rsid w:val="00F21A59"/>
    <w:rsid w:val="00F22AAE"/>
    <w:rsid w:val="00F24659"/>
    <w:rsid w:val="00F25C85"/>
    <w:rsid w:val="00F26FF2"/>
    <w:rsid w:val="00F32366"/>
    <w:rsid w:val="00F34D56"/>
    <w:rsid w:val="00F364F7"/>
    <w:rsid w:val="00F42238"/>
    <w:rsid w:val="00F42AF3"/>
    <w:rsid w:val="00F431F6"/>
    <w:rsid w:val="00F50A65"/>
    <w:rsid w:val="00F52A69"/>
    <w:rsid w:val="00F53934"/>
    <w:rsid w:val="00F54F15"/>
    <w:rsid w:val="00F60149"/>
    <w:rsid w:val="00F60216"/>
    <w:rsid w:val="00F606C2"/>
    <w:rsid w:val="00F60CA2"/>
    <w:rsid w:val="00F61417"/>
    <w:rsid w:val="00F627A5"/>
    <w:rsid w:val="00F65F77"/>
    <w:rsid w:val="00F66FE9"/>
    <w:rsid w:val="00F67510"/>
    <w:rsid w:val="00F702B2"/>
    <w:rsid w:val="00F715AC"/>
    <w:rsid w:val="00F80A96"/>
    <w:rsid w:val="00F8190C"/>
    <w:rsid w:val="00F839A9"/>
    <w:rsid w:val="00F87B15"/>
    <w:rsid w:val="00F93BE3"/>
    <w:rsid w:val="00F94D05"/>
    <w:rsid w:val="00F94F12"/>
    <w:rsid w:val="00F94FBD"/>
    <w:rsid w:val="00F96601"/>
    <w:rsid w:val="00FA229E"/>
    <w:rsid w:val="00FA2E85"/>
    <w:rsid w:val="00FA327E"/>
    <w:rsid w:val="00FA7B17"/>
    <w:rsid w:val="00FA7FC4"/>
    <w:rsid w:val="00FB03EA"/>
    <w:rsid w:val="00FB15C0"/>
    <w:rsid w:val="00FB4ABE"/>
    <w:rsid w:val="00FB5755"/>
    <w:rsid w:val="00FB63CC"/>
    <w:rsid w:val="00FC1453"/>
    <w:rsid w:val="00FC21B6"/>
    <w:rsid w:val="00FC3646"/>
    <w:rsid w:val="00FC4B4D"/>
    <w:rsid w:val="00FC69AA"/>
    <w:rsid w:val="00FC7B76"/>
    <w:rsid w:val="00FD5C5C"/>
    <w:rsid w:val="00FD7F37"/>
    <w:rsid w:val="00FE08F8"/>
    <w:rsid w:val="00FE092A"/>
    <w:rsid w:val="00FE15E1"/>
    <w:rsid w:val="00FE3ECF"/>
    <w:rsid w:val="00FE3FB6"/>
    <w:rsid w:val="00FE41EF"/>
    <w:rsid w:val="00FF4434"/>
    <w:rsid w:val="00FF49BF"/>
    <w:rsid w:val="00FF7458"/>
    <w:rsid w:val="00FF78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270CB"/>
  <w15:chartTrackingRefBased/>
  <w15:docId w15:val="{2F87EAE6-CFDF-4411-86A7-3D2DE71CB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eorgia" w:eastAsiaTheme="minorHAnsi" w:hAnsi="Georgia" w:cstheme="minorBidi"/>
        <w:lang w:val="en-GB" w:eastAsia="en-US" w:bidi="ar-SA"/>
      </w:rPr>
    </w:rPrDefault>
    <w:pPrDefault>
      <w:pPr>
        <w:spacing w:after="240" w:line="240" w:lineRule="atLeast"/>
      </w:pPr>
    </w:pPrDefault>
  </w:docDefaults>
  <w:latentStyles w:defLockedState="0" w:defUIPriority="99" w:defSemiHidden="0" w:defUnhideWhenUsed="0" w:defQFormat="0" w:count="371">
    <w:lsdException w:name="Normal" w:uiPriority="34"/>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qFormat="1"/>
    <w:lsdException w:name="List" w:semiHidden="1" w:uiPriority="14" w:unhideWhenUsed="1"/>
    <w:lsdException w:name="List Bullet" w:semiHidden="1" w:uiPriority="13" w:unhideWhenUsed="1" w:qFormat="1"/>
    <w:lsdException w:name="List Number" w:semiHidden="1" w:unhideWhenUsed="1" w:qFormat="1"/>
    <w:lsdException w:name="List 2" w:semiHidden="1" w:uiPriority="14" w:unhideWhenUsed="1"/>
    <w:lsdException w:name="List 3" w:semiHidden="1" w:uiPriority="14" w:unhideWhenUsed="1"/>
    <w:lsdException w:name="List 4" w:semiHidden="1" w:uiPriority="14" w:unhideWhenUsed="1"/>
    <w:lsdException w:name="List 5" w:semiHidden="1" w:uiPriority="14" w:unhideWhenUsed="1"/>
    <w:lsdException w:name="List Bullet 2" w:semiHidden="1" w:uiPriority="13" w:unhideWhenUsed="1"/>
    <w:lsdException w:name="List Bullet 3" w:semiHidden="1" w:uiPriority="13" w:unhideWhenUsed="1"/>
    <w:lsdException w:name="List Bullet 4" w:semiHidden="1" w:uiPriority="13" w:unhideWhenUsed="1"/>
    <w:lsdException w:name="List Bullet 5" w:semiHidden="1" w:uiPriority="13" w:unhideWhenUsed="1"/>
    <w:lsdException w:name="List Number 2" w:uiPriority="14"/>
    <w:lsdException w:name="List Number 3" w:uiPriority="14"/>
    <w:lsdException w:name="List Number 4" w:semiHidden="1" w:uiPriority="14" w:unhideWhenUsed="1"/>
    <w:lsdException w:name="List Number 5" w:semiHidden="1" w:uiPriority="14"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14" w:unhideWhenUsed="1" w:qFormat="1"/>
    <w:lsdException w:name="List Continue 2" w:semiHidden="1" w:uiPriority="14" w:unhideWhenUsed="1"/>
    <w:lsdException w:name="List Continue 3" w:semiHidden="1" w:uiPriority="14" w:unhideWhenUsed="1"/>
    <w:lsdException w:name="List Continue 4" w:semiHidden="1" w:uiPriority="14" w:unhideWhenUsed="1"/>
    <w:lsdException w:name="List Continue 5" w:semiHidden="1" w:uiPriority="14" w:unhideWhenUsed="1"/>
    <w:lsdException w:name="Message Header" w:semiHidden="1" w:unhideWhenUsed="1"/>
    <w:lsdException w:name="Subtitle" w:uiPriority="11"/>
    <w:lsdException w:name="Salutation" w:uiPriority="34"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34"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uiPriority w:val="34"/>
    <w:rsid w:val="00BB789B"/>
  </w:style>
  <w:style w:type="paragraph" w:styleId="Heading1">
    <w:name w:val="heading 1"/>
    <w:basedOn w:val="BodyText"/>
    <w:next w:val="BodyText"/>
    <w:link w:val="Heading1Char"/>
    <w:uiPriority w:val="9"/>
    <w:qFormat/>
    <w:rsid w:val="0012353B"/>
    <w:pPr>
      <w:keepNext/>
      <w:keepLines/>
      <w:numPr>
        <w:numId w:val="46"/>
      </w:numPr>
      <w:spacing w:after="40" w:line="240" w:lineRule="auto"/>
      <w:outlineLvl w:val="0"/>
    </w:pPr>
    <w:rPr>
      <w:rFonts w:eastAsiaTheme="majorEastAsia" w:cstheme="majorBidi"/>
      <w:b/>
      <w:bCs/>
      <w:i/>
      <w:sz w:val="24"/>
      <w:szCs w:val="28"/>
    </w:rPr>
  </w:style>
  <w:style w:type="paragraph" w:styleId="Heading2">
    <w:name w:val="heading 2"/>
    <w:basedOn w:val="BodyText"/>
    <w:next w:val="BodyText"/>
    <w:link w:val="Heading2Char"/>
    <w:uiPriority w:val="9"/>
    <w:qFormat/>
    <w:rsid w:val="0012353B"/>
    <w:pPr>
      <w:keepNext/>
      <w:keepLines/>
      <w:numPr>
        <w:ilvl w:val="1"/>
        <w:numId w:val="46"/>
      </w:numPr>
      <w:spacing w:after="40" w:line="240" w:lineRule="auto"/>
      <w:outlineLvl w:val="1"/>
    </w:pPr>
    <w:rPr>
      <w:rFonts w:eastAsiaTheme="majorEastAsia" w:cstheme="majorBidi"/>
      <w:b/>
      <w:bCs/>
      <w:i/>
      <w:sz w:val="22"/>
      <w:szCs w:val="26"/>
    </w:rPr>
  </w:style>
  <w:style w:type="paragraph" w:styleId="Heading3">
    <w:name w:val="heading 3"/>
    <w:basedOn w:val="BodyText"/>
    <w:next w:val="BodyText"/>
    <w:link w:val="Heading3Char"/>
    <w:uiPriority w:val="9"/>
    <w:qFormat/>
    <w:rsid w:val="0012353B"/>
    <w:pPr>
      <w:keepNext/>
      <w:keepLines/>
      <w:numPr>
        <w:ilvl w:val="2"/>
        <w:numId w:val="46"/>
      </w:numPr>
      <w:spacing w:after="40" w:line="240" w:lineRule="auto"/>
      <w:outlineLvl w:val="2"/>
    </w:pPr>
    <w:rPr>
      <w:rFonts w:eastAsiaTheme="majorEastAsia" w:cstheme="majorBidi"/>
      <w:bCs/>
      <w:i/>
      <w:sz w:val="22"/>
    </w:rPr>
  </w:style>
  <w:style w:type="paragraph" w:styleId="Heading4">
    <w:name w:val="heading 4"/>
    <w:basedOn w:val="BodyText"/>
    <w:next w:val="BodyText"/>
    <w:link w:val="Heading4Char"/>
    <w:uiPriority w:val="9"/>
    <w:unhideWhenUsed/>
    <w:qFormat/>
    <w:rsid w:val="00BB789B"/>
    <w:pPr>
      <w:keepNext/>
      <w:keepLines/>
      <w:numPr>
        <w:ilvl w:val="3"/>
        <w:numId w:val="46"/>
      </w:numPr>
      <w:spacing w:after="40" w:line="240" w:lineRule="auto"/>
      <w:outlineLvl w:val="3"/>
    </w:pPr>
    <w:rPr>
      <w:rFonts w:eastAsiaTheme="majorEastAsia" w:cstheme="majorBidi"/>
      <w:bCs/>
      <w:i/>
      <w:iCs/>
    </w:rPr>
  </w:style>
  <w:style w:type="paragraph" w:styleId="Heading5">
    <w:name w:val="heading 5"/>
    <w:basedOn w:val="BodyText"/>
    <w:next w:val="BodyText"/>
    <w:link w:val="Heading5Char"/>
    <w:uiPriority w:val="9"/>
    <w:unhideWhenUsed/>
    <w:qFormat/>
    <w:rsid w:val="00BB789B"/>
    <w:pPr>
      <w:keepNext/>
      <w:keepLines/>
      <w:numPr>
        <w:ilvl w:val="4"/>
        <w:numId w:val="46"/>
      </w:numPr>
      <w:spacing w:after="40" w:line="240" w:lineRule="auto"/>
      <w:outlineLvl w:val="4"/>
    </w:pPr>
    <w:rPr>
      <w:rFonts w:eastAsiaTheme="majorEastAsia" w:cstheme="majorBidi"/>
    </w:rPr>
  </w:style>
  <w:style w:type="paragraph" w:styleId="Heading6">
    <w:name w:val="heading 6"/>
    <w:basedOn w:val="BodyText"/>
    <w:next w:val="BodyText"/>
    <w:link w:val="Heading6Char"/>
    <w:uiPriority w:val="9"/>
    <w:unhideWhenUsed/>
    <w:rsid w:val="00BB789B"/>
    <w:pPr>
      <w:keepNext/>
      <w:keepLines/>
      <w:numPr>
        <w:ilvl w:val="5"/>
        <w:numId w:val="46"/>
      </w:numPr>
      <w:spacing w:after="40" w:line="240" w:lineRule="auto"/>
      <w:outlineLvl w:val="5"/>
    </w:pPr>
    <w:rPr>
      <w:rFonts w:eastAsiaTheme="majorEastAsia" w:cstheme="majorBidi"/>
      <w:iCs/>
    </w:rPr>
  </w:style>
  <w:style w:type="paragraph" w:styleId="Heading7">
    <w:name w:val="heading 7"/>
    <w:basedOn w:val="BodyText"/>
    <w:next w:val="BodyText"/>
    <w:link w:val="Heading7Char"/>
    <w:uiPriority w:val="9"/>
    <w:unhideWhenUsed/>
    <w:rsid w:val="00BB789B"/>
    <w:pPr>
      <w:keepNext/>
      <w:keepLines/>
      <w:numPr>
        <w:ilvl w:val="6"/>
        <w:numId w:val="46"/>
      </w:numPr>
      <w:spacing w:after="40" w:line="240" w:lineRule="auto"/>
      <w:outlineLvl w:val="6"/>
    </w:pPr>
    <w:rPr>
      <w:rFonts w:eastAsiaTheme="majorEastAsia" w:cstheme="majorBidi"/>
      <w:iCs/>
    </w:rPr>
  </w:style>
  <w:style w:type="paragraph" w:styleId="Heading8">
    <w:name w:val="heading 8"/>
    <w:basedOn w:val="BodyText"/>
    <w:next w:val="BodyText"/>
    <w:link w:val="Heading8Char"/>
    <w:uiPriority w:val="9"/>
    <w:unhideWhenUsed/>
    <w:rsid w:val="00BB789B"/>
    <w:pPr>
      <w:keepNext/>
      <w:keepLines/>
      <w:numPr>
        <w:ilvl w:val="7"/>
        <w:numId w:val="46"/>
      </w:numPr>
      <w:spacing w:after="40" w:line="240" w:lineRule="auto"/>
      <w:outlineLvl w:val="7"/>
    </w:pPr>
    <w:rPr>
      <w:rFonts w:eastAsiaTheme="majorEastAsia" w:cstheme="majorBidi"/>
    </w:rPr>
  </w:style>
  <w:style w:type="paragraph" w:styleId="Heading9">
    <w:name w:val="heading 9"/>
    <w:basedOn w:val="BodyText"/>
    <w:next w:val="BodyText"/>
    <w:link w:val="Heading9Char"/>
    <w:uiPriority w:val="9"/>
    <w:unhideWhenUsed/>
    <w:rsid w:val="00BB789B"/>
    <w:pPr>
      <w:keepNext/>
      <w:keepLines/>
      <w:numPr>
        <w:ilvl w:val="8"/>
        <w:numId w:val="46"/>
      </w:numPr>
      <w:spacing w:after="40" w:line="240" w:lineRule="auto"/>
      <w:outlineLvl w:val="8"/>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BB789B"/>
  </w:style>
  <w:style w:type="character" w:customStyle="1" w:styleId="BodyTextChar">
    <w:name w:val="Body Text Char"/>
    <w:basedOn w:val="DefaultParagraphFont"/>
    <w:link w:val="BodyText"/>
    <w:rsid w:val="00BB789B"/>
  </w:style>
  <w:style w:type="character" w:customStyle="1" w:styleId="Heading1Char">
    <w:name w:val="Heading 1 Char"/>
    <w:basedOn w:val="DefaultParagraphFont"/>
    <w:link w:val="Heading1"/>
    <w:uiPriority w:val="9"/>
    <w:rsid w:val="0012353B"/>
    <w:rPr>
      <w:rFonts w:eastAsiaTheme="majorEastAsia" w:cstheme="majorBidi"/>
      <w:b/>
      <w:bCs/>
      <w:i/>
      <w:sz w:val="24"/>
      <w:szCs w:val="28"/>
    </w:rPr>
  </w:style>
  <w:style w:type="paragraph" w:styleId="TOCHeading">
    <w:name w:val="TOC Heading"/>
    <w:basedOn w:val="BodyText"/>
    <w:next w:val="BodyText"/>
    <w:uiPriority w:val="39"/>
    <w:unhideWhenUsed/>
    <w:qFormat/>
    <w:rsid w:val="0012353B"/>
    <w:pPr>
      <w:keepNext/>
      <w:spacing w:before="480" w:after="40" w:line="240" w:lineRule="auto"/>
    </w:pPr>
    <w:rPr>
      <w:b/>
      <w:i/>
      <w:sz w:val="28"/>
    </w:rPr>
  </w:style>
  <w:style w:type="character" w:customStyle="1" w:styleId="Heading2Char">
    <w:name w:val="Heading 2 Char"/>
    <w:basedOn w:val="DefaultParagraphFont"/>
    <w:link w:val="Heading2"/>
    <w:uiPriority w:val="9"/>
    <w:rsid w:val="0012353B"/>
    <w:rPr>
      <w:rFonts w:eastAsiaTheme="majorEastAsia" w:cstheme="majorBidi"/>
      <w:b/>
      <w:bCs/>
      <w:i/>
      <w:sz w:val="22"/>
      <w:szCs w:val="26"/>
    </w:rPr>
  </w:style>
  <w:style w:type="character" w:customStyle="1" w:styleId="Heading3Char">
    <w:name w:val="Heading 3 Char"/>
    <w:basedOn w:val="DefaultParagraphFont"/>
    <w:link w:val="Heading3"/>
    <w:uiPriority w:val="9"/>
    <w:rsid w:val="0012353B"/>
    <w:rPr>
      <w:rFonts w:eastAsiaTheme="majorEastAsia" w:cstheme="majorBidi"/>
      <w:bCs/>
      <w:i/>
      <w:sz w:val="22"/>
    </w:rPr>
  </w:style>
  <w:style w:type="character" w:customStyle="1" w:styleId="Heading4Char">
    <w:name w:val="Heading 4 Char"/>
    <w:basedOn w:val="DefaultParagraphFont"/>
    <w:link w:val="Heading4"/>
    <w:uiPriority w:val="9"/>
    <w:rsid w:val="00BB789B"/>
    <w:rPr>
      <w:rFonts w:eastAsiaTheme="majorEastAsia" w:cstheme="majorBidi"/>
      <w:bCs/>
      <w:i/>
      <w:iCs/>
    </w:rPr>
  </w:style>
  <w:style w:type="character" w:customStyle="1" w:styleId="Heading5Char">
    <w:name w:val="Heading 5 Char"/>
    <w:basedOn w:val="DefaultParagraphFont"/>
    <w:link w:val="Heading5"/>
    <w:uiPriority w:val="9"/>
    <w:rsid w:val="00BB789B"/>
    <w:rPr>
      <w:rFonts w:eastAsiaTheme="majorEastAsia" w:cstheme="majorBidi"/>
    </w:rPr>
  </w:style>
  <w:style w:type="character" w:customStyle="1" w:styleId="Heading6Char">
    <w:name w:val="Heading 6 Char"/>
    <w:basedOn w:val="DefaultParagraphFont"/>
    <w:link w:val="Heading6"/>
    <w:uiPriority w:val="9"/>
    <w:rsid w:val="00BB789B"/>
    <w:rPr>
      <w:rFonts w:eastAsiaTheme="majorEastAsia" w:cstheme="majorBidi"/>
      <w:iCs/>
    </w:rPr>
  </w:style>
  <w:style w:type="character" w:customStyle="1" w:styleId="Heading7Char">
    <w:name w:val="Heading 7 Char"/>
    <w:basedOn w:val="DefaultParagraphFont"/>
    <w:link w:val="Heading7"/>
    <w:uiPriority w:val="9"/>
    <w:rsid w:val="00BB789B"/>
    <w:rPr>
      <w:rFonts w:eastAsiaTheme="majorEastAsia" w:cstheme="majorBidi"/>
      <w:iCs/>
    </w:rPr>
  </w:style>
  <w:style w:type="character" w:customStyle="1" w:styleId="Heading8Char">
    <w:name w:val="Heading 8 Char"/>
    <w:basedOn w:val="DefaultParagraphFont"/>
    <w:link w:val="Heading8"/>
    <w:uiPriority w:val="9"/>
    <w:rsid w:val="00BB789B"/>
    <w:rPr>
      <w:rFonts w:eastAsiaTheme="majorEastAsia" w:cstheme="majorBidi"/>
    </w:rPr>
  </w:style>
  <w:style w:type="character" w:customStyle="1" w:styleId="Heading9Char">
    <w:name w:val="Heading 9 Char"/>
    <w:basedOn w:val="DefaultParagraphFont"/>
    <w:link w:val="Heading9"/>
    <w:uiPriority w:val="9"/>
    <w:rsid w:val="00BB789B"/>
    <w:rPr>
      <w:rFonts w:eastAsiaTheme="majorEastAsia" w:cstheme="majorBidi"/>
      <w:iCs/>
    </w:rPr>
  </w:style>
  <w:style w:type="paragraph" w:styleId="Title">
    <w:name w:val="Title"/>
    <w:basedOn w:val="BodyText"/>
    <w:next w:val="BodyText"/>
    <w:link w:val="TitleChar"/>
    <w:uiPriority w:val="10"/>
    <w:qFormat/>
    <w:rsid w:val="00BB789B"/>
    <w:pPr>
      <w:keepNext/>
      <w:spacing w:after="0" w:line="240" w:lineRule="auto"/>
    </w:pPr>
    <w:rPr>
      <w:rFonts w:eastAsiaTheme="majorEastAsia" w:cstheme="majorBidi"/>
      <w:b/>
      <w:i/>
      <w:spacing w:val="5"/>
      <w:kern w:val="28"/>
      <w:sz w:val="56"/>
      <w:szCs w:val="52"/>
    </w:rPr>
  </w:style>
  <w:style w:type="character" w:customStyle="1" w:styleId="TitleChar">
    <w:name w:val="Title Char"/>
    <w:basedOn w:val="DefaultParagraphFont"/>
    <w:link w:val="Title"/>
    <w:uiPriority w:val="10"/>
    <w:rsid w:val="00BB789B"/>
    <w:rPr>
      <w:rFonts w:eastAsiaTheme="majorEastAsia" w:cstheme="majorBidi"/>
      <w:b/>
      <w:i/>
      <w:spacing w:val="5"/>
      <w:kern w:val="28"/>
      <w:sz w:val="56"/>
      <w:szCs w:val="52"/>
    </w:rPr>
  </w:style>
  <w:style w:type="paragraph" w:styleId="Subtitle">
    <w:name w:val="Subtitle"/>
    <w:basedOn w:val="Normal"/>
    <w:next w:val="BodyText"/>
    <w:link w:val="SubtitleChar"/>
    <w:hidden/>
    <w:uiPriority w:val="11"/>
    <w:rsid w:val="000734EF"/>
    <w:pPr>
      <w:numPr>
        <w:ilvl w:val="1"/>
      </w:numPr>
      <w:spacing w:after="1200" w:line="240" w:lineRule="auto"/>
    </w:pPr>
    <w:rPr>
      <w:rFonts w:eastAsiaTheme="majorEastAsia" w:cstheme="majorBidi"/>
      <w:iCs/>
      <w:sz w:val="40"/>
      <w:szCs w:val="24"/>
    </w:rPr>
  </w:style>
  <w:style w:type="character" w:customStyle="1" w:styleId="SubtitleChar">
    <w:name w:val="Subtitle Char"/>
    <w:basedOn w:val="DefaultParagraphFont"/>
    <w:link w:val="Subtitle"/>
    <w:uiPriority w:val="11"/>
    <w:rsid w:val="000734EF"/>
    <w:rPr>
      <w:rFonts w:eastAsiaTheme="majorEastAsia" w:cstheme="majorBidi"/>
      <w:iCs/>
      <w:sz w:val="40"/>
      <w:szCs w:val="24"/>
    </w:rPr>
  </w:style>
  <w:style w:type="paragraph" w:styleId="Caption">
    <w:name w:val="caption"/>
    <w:basedOn w:val="Normal"/>
    <w:next w:val="Normal"/>
    <w:uiPriority w:val="35"/>
    <w:unhideWhenUsed/>
    <w:qFormat/>
    <w:rsid w:val="00BB789B"/>
    <w:pPr>
      <w:spacing w:line="240" w:lineRule="auto"/>
    </w:pPr>
    <w:rPr>
      <w:b/>
      <w:bCs/>
      <w:color w:val="DC6900" w:themeColor="accent1"/>
      <w:sz w:val="18"/>
      <w:szCs w:val="18"/>
    </w:rPr>
  </w:style>
  <w:style w:type="paragraph" w:styleId="BlockText">
    <w:name w:val="Block Text"/>
    <w:basedOn w:val="Normal"/>
    <w:next w:val="BodyText"/>
    <w:uiPriority w:val="99"/>
    <w:unhideWhenUsed/>
    <w:rsid w:val="00FE3FB6"/>
    <w:pPr>
      <w:spacing w:line="240" w:lineRule="auto"/>
    </w:pPr>
    <w:rPr>
      <w:rFonts w:ascii="Georgie" w:hAnsi="Georgie"/>
      <w:b/>
      <w:i/>
      <w:color w:val="DC6900" w:themeColor="text2"/>
      <w:sz w:val="48"/>
      <w:szCs w:val="48"/>
    </w:rPr>
  </w:style>
  <w:style w:type="character" w:styleId="IntenseEmphasis">
    <w:name w:val="Intense Emphasis"/>
    <w:basedOn w:val="DefaultParagraphFont"/>
    <w:hidden/>
    <w:uiPriority w:val="21"/>
    <w:rsid w:val="00313243"/>
    <w:rPr>
      <w:b/>
      <w:bCs/>
      <w:i/>
      <w:iCs/>
      <w:color w:val="DC6900" w:themeColor="accent1"/>
    </w:rPr>
  </w:style>
  <w:style w:type="paragraph" w:styleId="IntenseQuote">
    <w:name w:val="Intense Quote"/>
    <w:basedOn w:val="Normal"/>
    <w:next w:val="Normal"/>
    <w:link w:val="IntenseQuoteChar"/>
    <w:hidden/>
    <w:uiPriority w:val="30"/>
    <w:unhideWhenUsed/>
    <w:rsid w:val="00604825"/>
    <w:pPr>
      <w:pBdr>
        <w:bottom w:val="single" w:sz="4" w:space="4" w:color="auto"/>
      </w:pBdr>
      <w:spacing w:before="200" w:after="280"/>
      <w:ind w:left="936" w:right="936"/>
    </w:pPr>
    <w:rPr>
      <w:b/>
      <w:bCs/>
      <w:i/>
      <w:iCs/>
      <w:color w:val="DC6900" w:themeColor="accent1"/>
      <w:sz w:val="22"/>
      <w:szCs w:val="22"/>
    </w:rPr>
  </w:style>
  <w:style w:type="character" w:customStyle="1" w:styleId="IntenseQuoteChar">
    <w:name w:val="Intense Quote Char"/>
    <w:basedOn w:val="DefaultParagraphFont"/>
    <w:link w:val="IntenseQuote"/>
    <w:uiPriority w:val="30"/>
    <w:rsid w:val="00604825"/>
    <w:rPr>
      <w:b/>
      <w:bCs/>
      <w:i/>
      <w:iCs/>
      <w:color w:val="DC6900" w:themeColor="accent1"/>
      <w:sz w:val="22"/>
      <w:szCs w:val="22"/>
    </w:rPr>
  </w:style>
  <w:style w:type="character" w:styleId="IntenseReference">
    <w:name w:val="Intense Reference"/>
    <w:basedOn w:val="DefaultParagraphFont"/>
    <w:hidden/>
    <w:uiPriority w:val="32"/>
    <w:semiHidden/>
    <w:unhideWhenUsed/>
    <w:rsid w:val="00313243"/>
    <w:rPr>
      <w:b/>
      <w:bCs/>
      <w:i w:val="0"/>
      <w:smallCaps/>
      <w:color w:val="FFB600" w:themeColor="accent2"/>
      <w:spacing w:val="5"/>
      <w:u w:val="none"/>
    </w:rPr>
  </w:style>
  <w:style w:type="character" w:styleId="SubtleEmphasis">
    <w:name w:val="Subtle Emphasis"/>
    <w:basedOn w:val="DefaultParagraphFont"/>
    <w:hidden/>
    <w:uiPriority w:val="19"/>
    <w:semiHidden/>
    <w:unhideWhenUsed/>
    <w:rsid w:val="00756FEA"/>
    <w:rPr>
      <w:b w:val="0"/>
      <w:i/>
      <w:iCs/>
      <w:color w:val="auto"/>
      <w:u w:val="none"/>
    </w:rPr>
  </w:style>
  <w:style w:type="character" w:styleId="SubtleReference">
    <w:name w:val="Subtle Reference"/>
    <w:basedOn w:val="DefaultParagraphFont"/>
    <w:uiPriority w:val="31"/>
    <w:semiHidden/>
    <w:unhideWhenUsed/>
    <w:qFormat/>
    <w:rsid w:val="00313243"/>
    <w:rPr>
      <w:b w:val="0"/>
      <w:i w:val="0"/>
      <w:smallCaps/>
      <w:color w:val="FFB600" w:themeColor="accent2"/>
      <w:u w:val="single"/>
    </w:rPr>
  </w:style>
  <w:style w:type="paragraph" w:styleId="ListBullet">
    <w:name w:val="List Bullet"/>
    <w:basedOn w:val="Normal"/>
    <w:uiPriority w:val="13"/>
    <w:qFormat/>
    <w:rsid w:val="00BB789B"/>
    <w:pPr>
      <w:numPr>
        <w:numId w:val="41"/>
      </w:numPr>
      <w:contextualSpacing/>
    </w:pPr>
  </w:style>
  <w:style w:type="paragraph" w:styleId="ListBullet2">
    <w:name w:val="List Bullet 2"/>
    <w:basedOn w:val="Normal"/>
    <w:uiPriority w:val="13"/>
    <w:rsid w:val="00BB789B"/>
    <w:pPr>
      <w:numPr>
        <w:ilvl w:val="1"/>
        <w:numId w:val="41"/>
      </w:numPr>
      <w:contextualSpacing/>
    </w:pPr>
  </w:style>
  <w:style w:type="paragraph" w:styleId="ListBullet3">
    <w:name w:val="List Bullet 3"/>
    <w:basedOn w:val="Normal"/>
    <w:uiPriority w:val="13"/>
    <w:rsid w:val="00BB789B"/>
    <w:pPr>
      <w:numPr>
        <w:ilvl w:val="2"/>
        <w:numId w:val="41"/>
      </w:numPr>
      <w:contextualSpacing/>
    </w:pPr>
  </w:style>
  <w:style w:type="table" w:styleId="TableGrid">
    <w:name w:val="Table Grid"/>
    <w:basedOn w:val="TableNormal"/>
    <w:uiPriority w:val="59"/>
    <w:rsid w:val="00B635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hidden/>
    <w:uiPriority w:val="22"/>
    <w:rsid w:val="00CD5CE3"/>
    <w:rPr>
      <w:rFonts w:ascii="Georgia" w:hAnsi="Georgia"/>
      <w:b/>
      <w:bCs/>
      <w:sz w:val="20"/>
    </w:rPr>
  </w:style>
  <w:style w:type="paragraph" w:styleId="ListNumber">
    <w:name w:val="List Number"/>
    <w:basedOn w:val="Normal"/>
    <w:uiPriority w:val="14"/>
    <w:qFormat/>
    <w:rsid w:val="00BB789B"/>
    <w:pPr>
      <w:numPr>
        <w:numId w:val="43"/>
      </w:numPr>
      <w:contextualSpacing/>
    </w:pPr>
  </w:style>
  <w:style w:type="paragraph" w:customStyle="1" w:styleId="BodySingle">
    <w:name w:val="Body Single"/>
    <w:basedOn w:val="BodyText"/>
    <w:link w:val="BodySingleChar"/>
    <w:uiPriority w:val="1"/>
    <w:qFormat/>
    <w:rsid w:val="00BB789B"/>
    <w:pPr>
      <w:spacing w:after="0"/>
    </w:pPr>
  </w:style>
  <w:style w:type="character" w:customStyle="1" w:styleId="BodySingleChar">
    <w:name w:val="Body Single Char"/>
    <w:basedOn w:val="BodyTextChar"/>
    <w:link w:val="BodySingle"/>
    <w:uiPriority w:val="1"/>
    <w:rsid w:val="00BB789B"/>
  </w:style>
  <w:style w:type="paragraph" w:styleId="ListParagraph">
    <w:name w:val="List Paragraph"/>
    <w:basedOn w:val="Normal"/>
    <w:hidden/>
    <w:uiPriority w:val="34"/>
    <w:unhideWhenUsed/>
    <w:rsid w:val="0029269A"/>
    <w:pPr>
      <w:ind w:left="720"/>
      <w:contextualSpacing/>
    </w:pPr>
  </w:style>
  <w:style w:type="paragraph" w:styleId="Header">
    <w:name w:val="header"/>
    <w:basedOn w:val="Normal"/>
    <w:link w:val="HeaderChar"/>
    <w:hidden/>
    <w:uiPriority w:val="99"/>
    <w:unhideWhenUsed/>
    <w:rsid w:val="007E18F6"/>
    <w:pPr>
      <w:tabs>
        <w:tab w:val="center" w:pos="4536"/>
        <w:tab w:val="right" w:pos="9072"/>
      </w:tabs>
      <w:spacing w:after="0" w:line="240" w:lineRule="auto"/>
    </w:pPr>
    <w:rPr>
      <w:rFonts w:ascii="Arial" w:hAnsi="Arial"/>
      <w:sz w:val="18"/>
    </w:rPr>
  </w:style>
  <w:style w:type="character" w:customStyle="1" w:styleId="HeaderChar">
    <w:name w:val="Header Char"/>
    <w:basedOn w:val="DefaultParagraphFont"/>
    <w:link w:val="Header"/>
    <w:uiPriority w:val="99"/>
    <w:rsid w:val="007E18F6"/>
    <w:rPr>
      <w:rFonts w:ascii="Arial" w:hAnsi="Arial"/>
      <w:sz w:val="18"/>
    </w:rPr>
  </w:style>
  <w:style w:type="paragraph" w:styleId="Footer">
    <w:name w:val="footer"/>
    <w:basedOn w:val="Normal"/>
    <w:link w:val="FooterChar"/>
    <w:hidden/>
    <w:uiPriority w:val="99"/>
    <w:unhideWhenUsed/>
    <w:rsid w:val="007E18F6"/>
    <w:pPr>
      <w:tabs>
        <w:tab w:val="center" w:pos="4536"/>
        <w:tab w:val="right" w:pos="9072"/>
      </w:tabs>
      <w:spacing w:after="0" w:line="240" w:lineRule="auto"/>
    </w:pPr>
    <w:rPr>
      <w:rFonts w:ascii="Arial" w:hAnsi="Arial"/>
      <w:sz w:val="18"/>
    </w:rPr>
  </w:style>
  <w:style w:type="character" w:customStyle="1" w:styleId="FooterChar">
    <w:name w:val="Footer Char"/>
    <w:basedOn w:val="DefaultParagraphFont"/>
    <w:link w:val="Footer"/>
    <w:uiPriority w:val="99"/>
    <w:rsid w:val="007E18F6"/>
    <w:rPr>
      <w:rFonts w:ascii="Arial" w:hAnsi="Arial"/>
      <w:sz w:val="18"/>
    </w:rPr>
  </w:style>
  <w:style w:type="table" w:styleId="LightShading-Accent2">
    <w:name w:val="Light Shading Accent 2"/>
    <w:basedOn w:val="TableNormal"/>
    <w:hidden/>
    <w:uiPriority w:val="60"/>
    <w:rsid w:val="000D7DAE"/>
    <w:pPr>
      <w:spacing w:after="0" w:line="240" w:lineRule="auto"/>
    </w:pPr>
    <w:rPr>
      <w:color w:val="BF8800" w:themeColor="accent2" w:themeShade="BF"/>
    </w:rPr>
    <w:tblPr>
      <w:tblStyleRowBandSize w:val="1"/>
      <w:tblStyleColBandSize w:val="1"/>
      <w:tblBorders>
        <w:top w:val="single" w:sz="8" w:space="0" w:color="FFB600" w:themeColor="accent2"/>
        <w:bottom w:val="single" w:sz="8" w:space="0" w:color="FFB600" w:themeColor="accent2"/>
      </w:tblBorders>
    </w:tblPr>
    <w:tblStylePr w:type="firstRow">
      <w:pPr>
        <w:spacing w:before="0" w:after="0" w:line="240" w:lineRule="auto"/>
      </w:pPr>
      <w:rPr>
        <w:b/>
        <w:bCs/>
      </w:rPr>
      <w:tblPr/>
      <w:tcPr>
        <w:tcBorders>
          <w:top w:val="single" w:sz="8" w:space="0" w:color="FFB600" w:themeColor="accent2"/>
          <w:left w:val="nil"/>
          <w:bottom w:val="single" w:sz="8" w:space="0" w:color="FFB600" w:themeColor="accent2"/>
          <w:right w:val="nil"/>
          <w:insideH w:val="nil"/>
          <w:insideV w:val="nil"/>
        </w:tcBorders>
      </w:tcPr>
    </w:tblStylePr>
    <w:tblStylePr w:type="lastRow">
      <w:pPr>
        <w:spacing w:before="0" w:after="0" w:line="240" w:lineRule="auto"/>
      </w:pPr>
      <w:rPr>
        <w:b/>
        <w:bCs/>
      </w:rPr>
      <w:tblPr/>
      <w:tcPr>
        <w:tcBorders>
          <w:top w:val="single" w:sz="8" w:space="0" w:color="FFB600" w:themeColor="accent2"/>
          <w:left w:val="nil"/>
          <w:bottom w:val="single" w:sz="8" w:space="0" w:color="FFB6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hemeFill="accent2" w:themeFillTint="3F"/>
      </w:tcPr>
    </w:tblStylePr>
    <w:tblStylePr w:type="band1Horz">
      <w:tblPr/>
      <w:tcPr>
        <w:tcBorders>
          <w:left w:val="nil"/>
          <w:right w:val="nil"/>
          <w:insideH w:val="nil"/>
          <w:insideV w:val="nil"/>
        </w:tcBorders>
        <w:shd w:val="clear" w:color="auto" w:fill="FFECC0" w:themeFill="accent2" w:themeFillTint="3F"/>
      </w:tcPr>
    </w:tblStylePr>
  </w:style>
  <w:style w:type="table" w:styleId="MediumShading1-Accent4">
    <w:name w:val="Medium Shading 1 Accent 4"/>
    <w:basedOn w:val="TableNormal"/>
    <w:hidden/>
    <w:uiPriority w:val="63"/>
    <w:rsid w:val="000D7DAE"/>
    <w:pPr>
      <w:spacing w:after="0" w:line="240" w:lineRule="auto"/>
    </w:pPr>
    <w:tblPr>
      <w:tblStyleRowBandSize w:val="1"/>
      <w:tblStyleColBandSize w:val="1"/>
      <w:tblBorders>
        <w:top w:val="single" w:sz="8" w:space="0" w:color="E997A5" w:themeColor="accent4" w:themeTint="BF"/>
        <w:left w:val="single" w:sz="8" w:space="0" w:color="E997A5" w:themeColor="accent4" w:themeTint="BF"/>
        <w:bottom w:val="single" w:sz="8" w:space="0" w:color="E997A5" w:themeColor="accent4" w:themeTint="BF"/>
        <w:right w:val="single" w:sz="8" w:space="0" w:color="E997A5" w:themeColor="accent4" w:themeTint="BF"/>
        <w:insideH w:val="single" w:sz="8" w:space="0" w:color="E997A5" w:themeColor="accent4" w:themeTint="BF"/>
      </w:tblBorders>
    </w:tblPr>
    <w:tblStylePr w:type="firstRow">
      <w:pPr>
        <w:spacing w:before="0" w:after="0" w:line="240" w:lineRule="auto"/>
      </w:pPr>
      <w:rPr>
        <w:b/>
        <w:bCs/>
        <w:color w:val="FFFFFF" w:themeColor="background1"/>
      </w:rPr>
      <w:tblPr/>
      <w:tcPr>
        <w:tcBorders>
          <w:top w:val="single" w:sz="8" w:space="0" w:color="E997A5" w:themeColor="accent4" w:themeTint="BF"/>
          <w:left w:val="single" w:sz="8" w:space="0" w:color="E997A5" w:themeColor="accent4" w:themeTint="BF"/>
          <w:bottom w:val="single" w:sz="8" w:space="0" w:color="E997A5" w:themeColor="accent4" w:themeTint="BF"/>
          <w:right w:val="single" w:sz="8" w:space="0" w:color="E997A5" w:themeColor="accent4" w:themeTint="BF"/>
          <w:insideH w:val="nil"/>
          <w:insideV w:val="nil"/>
        </w:tcBorders>
        <w:shd w:val="clear" w:color="auto" w:fill="E27588" w:themeFill="accent4"/>
      </w:tcPr>
    </w:tblStylePr>
    <w:tblStylePr w:type="lastRow">
      <w:pPr>
        <w:spacing w:before="0" w:after="0" w:line="240" w:lineRule="auto"/>
      </w:pPr>
      <w:rPr>
        <w:b/>
        <w:bCs/>
      </w:rPr>
      <w:tblPr/>
      <w:tcPr>
        <w:tcBorders>
          <w:top w:val="double" w:sz="6" w:space="0" w:color="E997A5" w:themeColor="accent4" w:themeTint="BF"/>
          <w:left w:val="single" w:sz="8" w:space="0" w:color="E997A5" w:themeColor="accent4" w:themeTint="BF"/>
          <w:bottom w:val="single" w:sz="8" w:space="0" w:color="E997A5" w:themeColor="accent4" w:themeTint="BF"/>
          <w:right w:val="single" w:sz="8" w:space="0" w:color="E997A5" w:themeColor="accent4" w:themeTint="BF"/>
          <w:insideH w:val="nil"/>
          <w:insideV w:val="nil"/>
        </w:tcBorders>
      </w:tcPr>
    </w:tblStylePr>
    <w:tblStylePr w:type="firstCol">
      <w:rPr>
        <w:b/>
        <w:bCs/>
      </w:rPr>
    </w:tblStylePr>
    <w:tblStylePr w:type="lastCol">
      <w:rPr>
        <w:b/>
        <w:bCs/>
      </w:rPr>
    </w:tblStylePr>
    <w:tblStylePr w:type="band1Vert">
      <w:tblPr/>
      <w:tcPr>
        <w:shd w:val="clear" w:color="auto" w:fill="F7DCE1" w:themeFill="accent4" w:themeFillTint="3F"/>
      </w:tcPr>
    </w:tblStylePr>
    <w:tblStylePr w:type="band1Horz">
      <w:tblPr/>
      <w:tcPr>
        <w:tcBorders>
          <w:insideH w:val="nil"/>
          <w:insideV w:val="nil"/>
        </w:tcBorders>
        <w:shd w:val="clear" w:color="auto" w:fill="F7DCE1" w:themeFill="accent4" w:themeFillTint="3F"/>
      </w:tcPr>
    </w:tblStylePr>
    <w:tblStylePr w:type="band2Horz">
      <w:tblPr/>
      <w:tcPr>
        <w:tcBorders>
          <w:insideH w:val="nil"/>
          <w:insideV w:val="nil"/>
        </w:tcBorders>
      </w:tcPr>
    </w:tblStylePr>
  </w:style>
  <w:style w:type="table" w:customStyle="1" w:styleId="MediumShading11">
    <w:name w:val="Medium Shading 11"/>
    <w:basedOn w:val="TableNormal"/>
    <w:uiPriority w:val="63"/>
    <w:rsid w:val="000D7DAE"/>
    <w:pPr>
      <w:spacing w:after="0" w:line="240" w:lineRule="auto"/>
    </w:pPr>
    <w:rPr>
      <w:sz w:val="16"/>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0D7DAE"/>
    <w:pPr>
      <w:spacing w:after="0" w:line="240" w:lineRule="auto"/>
    </w:pPr>
    <w:tblPr>
      <w:tblStyleRowBandSize w:val="1"/>
      <w:tblStyleColBandSize w:val="1"/>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tblBorders>
    </w:tblPr>
    <w:tblStylePr w:type="firstRow">
      <w:pPr>
        <w:spacing w:before="0" w:after="0" w:line="240" w:lineRule="auto"/>
      </w:pPr>
      <w:rPr>
        <w:b/>
        <w:bCs/>
        <w:color w:val="FFFFFF" w:themeColor="background1"/>
      </w:rPr>
      <w:tblPr/>
      <w:tcPr>
        <w:tc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shd w:val="clear" w:color="auto" w:fill="DC6900" w:themeFill="accent1"/>
      </w:tcPr>
    </w:tblStylePr>
    <w:tblStylePr w:type="lastRow">
      <w:pPr>
        <w:spacing w:before="0" w:after="0" w:line="240" w:lineRule="auto"/>
      </w:pPr>
      <w:rPr>
        <w:b/>
        <w:bCs/>
      </w:rPr>
      <w:tblPr/>
      <w:tcPr>
        <w:tcBorders>
          <w:top w:val="double" w:sz="6"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D9B7" w:themeFill="accent1" w:themeFillTint="3F"/>
      </w:tcPr>
    </w:tblStylePr>
    <w:tblStylePr w:type="band1Horz">
      <w:tblPr/>
      <w:tcPr>
        <w:tcBorders>
          <w:insideH w:val="nil"/>
          <w:insideV w:val="nil"/>
        </w:tcBorders>
        <w:shd w:val="clear" w:color="auto" w:fill="FFD9B7" w:themeFill="accent1" w:themeFillTint="3F"/>
      </w:tcPr>
    </w:tblStylePr>
    <w:tblStylePr w:type="band2Horz">
      <w:tblPr/>
      <w:tcPr>
        <w:tcBorders>
          <w:insideH w:val="nil"/>
          <w:insideV w:val="nil"/>
        </w:tcBorders>
      </w:tcPr>
    </w:tblStylePr>
  </w:style>
  <w:style w:type="table" w:customStyle="1" w:styleId="LightList1">
    <w:name w:val="Light List1"/>
    <w:basedOn w:val="TableNormal"/>
    <w:uiPriority w:val="61"/>
    <w:rsid w:val="000D7DA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0D7DAE"/>
    <w:pPr>
      <w:spacing w:after="0" w:line="240" w:lineRule="auto"/>
    </w:p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tblBorders>
    </w:tblPr>
    <w:tblStylePr w:type="firstRow">
      <w:pPr>
        <w:spacing w:before="0" w:after="0" w:line="240" w:lineRule="auto"/>
      </w:pPr>
      <w:rPr>
        <w:b/>
        <w:bCs/>
        <w:color w:val="FFFFFF" w:themeColor="background1"/>
      </w:rPr>
      <w:tblPr/>
      <w:tcPr>
        <w:shd w:val="clear" w:color="auto" w:fill="DC6900" w:themeFill="accent1"/>
      </w:tcPr>
    </w:tblStylePr>
    <w:tblStylePr w:type="lastRow">
      <w:pPr>
        <w:spacing w:before="0" w:after="0" w:line="240" w:lineRule="auto"/>
      </w:pPr>
      <w:rPr>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tcBorders>
      </w:tcPr>
    </w:tblStylePr>
    <w:tblStylePr w:type="firstCol">
      <w:rPr>
        <w:b/>
        <w:bCs/>
      </w:rPr>
    </w:tblStylePr>
    <w:tblStylePr w:type="lastCol">
      <w:rPr>
        <w:b/>
        <w:bCs/>
      </w:r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style>
  <w:style w:type="paragraph" w:customStyle="1" w:styleId="LocalLegalName">
    <w:name w:val="LocalLegalName"/>
    <w:basedOn w:val="Normal"/>
    <w:uiPriority w:val="34"/>
    <w:rsid w:val="00931EF6"/>
    <w:pPr>
      <w:spacing w:after="0" w:line="220" w:lineRule="atLeast"/>
    </w:pPr>
    <w:rPr>
      <w:i/>
      <w:sz w:val="18"/>
    </w:rPr>
  </w:style>
  <w:style w:type="paragraph" w:customStyle="1" w:styleId="Appendix5">
    <w:name w:val="Appendix 5"/>
    <w:basedOn w:val="BodyText"/>
    <w:next w:val="BodyText"/>
    <w:uiPriority w:val="34"/>
    <w:qFormat/>
    <w:rsid w:val="00BB789B"/>
    <w:pPr>
      <w:keepNext/>
      <w:numPr>
        <w:ilvl w:val="4"/>
        <w:numId w:val="45"/>
      </w:numPr>
      <w:spacing w:after="40" w:line="240" w:lineRule="auto"/>
      <w:outlineLvl w:val="4"/>
    </w:pPr>
  </w:style>
  <w:style w:type="paragraph" w:styleId="ListNumber2">
    <w:name w:val="List Number 2"/>
    <w:basedOn w:val="Normal"/>
    <w:uiPriority w:val="14"/>
    <w:rsid w:val="00BB789B"/>
    <w:pPr>
      <w:numPr>
        <w:ilvl w:val="1"/>
        <w:numId w:val="43"/>
      </w:numPr>
      <w:contextualSpacing/>
    </w:pPr>
  </w:style>
  <w:style w:type="paragraph" w:styleId="ListNumber3">
    <w:name w:val="List Number 3"/>
    <w:basedOn w:val="Normal"/>
    <w:uiPriority w:val="14"/>
    <w:rsid w:val="00BB789B"/>
    <w:pPr>
      <w:numPr>
        <w:ilvl w:val="2"/>
        <w:numId w:val="43"/>
      </w:numPr>
      <w:contextualSpacing/>
    </w:pPr>
  </w:style>
  <w:style w:type="table" w:customStyle="1" w:styleId="PwCTable1">
    <w:name w:val="PwC Table 1"/>
    <w:basedOn w:val="TableNormal"/>
    <w:uiPriority w:val="99"/>
    <w:qFormat/>
    <w:rsid w:val="007746EB"/>
    <w:pPr>
      <w:spacing w:after="0" w:line="240" w:lineRule="auto"/>
    </w:pPr>
    <w:rPr>
      <w:sz w:val="18"/>
      <w:szCs w:val="22"/>
    </w:rPr>
    <w:tblPr>
      <w:tblStyleRowBandSize w:val="1"/>
      <w:tblBorders>
        <w:bottom w:val="single" w:sz="4" w:space="0" w:color="DC6900" w:themeColor="accent1"/>
        <w:insideH w:val="single" w:sz="4" w:space="0" w:color="DC6900" w:themeColor="accent1"/>
      </w:tblBorders>
      <w:tblCellMar>
        <w:top w:w="57" w:type="dxa"/>
        <w:left w:w="0" w:type="dxa"/>
        <w:bottom w:w="57" w:type="dxa"/>
        <w:right w:w="0" w:type="dxa"/>
      </w:tblCellMar>
    </w:tblPr>
    <w:tblStylePr w:type="firstRow">
      <w:pPr>
        <w:wordWrap/>
        <w:spacing w:beforeLines="0" w:beforeAutospacing="0" w:afterLines="0" w:afterAutospacing="0" w:line="210" w:lineRule="atLeast"/>
        <w:contextualSpacing w:val="0"/>
      </w:pPr>
      <w:rPr>
        <w:rFonts w:asciiTheme="majorHAnsi" w:hAnsiTheme="majorHAnsi"/>
        <w:b/>
        <w:color w:val="DC6900" w:themeColor="accent1"/>
        <w:sz w:val="18"/>
      </w:rPr>
      <w:tblPr/>
      <w:tcPr>
        <w:tcBorders>
          <w:top w:val="nil"/>
          <w:left w:val="nil"/>
          <w:bottom w:val="single" w:sz="8" w:space="0" w:color="DC6900" w:themeColor="text2"/>
          <w:right w:val="nil"/>
          <w:insideH w:val="nil"/>
          <w:insideV w:val="nil"/>
          <w:tl2br w:val="nil"/>
          <w:tr2bl w:val="nil"/>
        </w:tcBorders>
      </w:tcPr>
    </w:tblStylePr>
    <w:tblStylePr w:type="lastRow">
      <w:tblPr/>
      <w:tcPr>
        <w:tcBorders>
          <w:top w:val="nil"/>
          <w:left w:val="nil"/>
          <w:bottom w:val="single" w:sz="4" w:space="0" w:color="DC6900" w:themeColor="accent1"/>
          <w:right w:val="nil"/>
          <w:insideH w:val="nil"/>
          <w:insideV w:val="nil"/>
          <w:tl2br w:val="nil"/>
          <w:tr2bl w:val="nil"/>
        </w:tcBorders>
      </w:tcPr>
    </w:tblStylePr>
    <w:tblStylePr w:type="band1Horz">
      <w:pPr>
        <w:wordWrap/>
        <w:spacing w:beforeLines="0" w:beforeAutospacing="0" w:afterLines="0" w:afterAutospacing="0" w:line="210" w:lineRule="atLeast"/>
      </w:pPr>
    </w:tblStylePr>
    <w:tblStylePr w:type="band2Horz">
      <w:pPr>
        <w:wordWrap/>
        <w:spacing w:beforeLines="0" w:beforeAutospacing="0" w:afterLines="0" w:afterAutospacing="0" w:line="210" w:lineRule="atLeast"/>
      </w:pPr>
    </w:tblStylePr>
  </w:style>
  <w:style w:type="numbering" w:customStyle="1" w:styleId="PwCListBullets1">
    <w:name w:val="PwC List Bullets 1"/>
    <w:uiPriority w:val="99"/>
    <w:rsid w:val="00ED73E5"/>
    <w:pPr>
      <w:numPr>
        <w:numId w:val="11"/>
      </w:numPr>
    </w:pPr>
  </w:style>
  <w:style w:type="numbering" w:customStyle="1" w:styleId="PwCListNumbers1">
    <w:name w:val="PwC List Numbers 1"/>
    <w:uiPriority w:val="99"/>
    <w:rsid w:val="00ED73E5"/>
    <w:pPr>
      <w:numPr>
        <w:numId w:val="15"/>
      </w:numPr>
    </w:pPr>
  </w:style>
  <w:style w:type="paragraph" w:styleId="ListBullet4">
    <w:name w:val="List Bullet 4"/>
    <w:basedOn w:val="Normal"/>
    <w:uiPriority w:val="13"/>
    <w:unhideWhenUsed/>
    <w:rsid w:val="00BB789B"/>
    <w:pPr>
      <w:numPr>
        <w:ilvl w:val="3"/>
        <w:numId w:val="41"/>
      </w:numPr>
      <w:contextualSpacing/>
    </w:pPr>
  </w:style>
  <w:style w:type="paragraph" w:styleId="ListContinue">
    <w:name w:val="List Continue"/>
    <w:basedOn w:val="BodyText"/>
    <w:uiPriority w:val="14"/>
    <w:unhideWhenUsed/>
    <w:qFormat/>
    <w:rsid w:val="00BB789B"/>
    <w:pPr>
      <w:ind w:left="567"/>
      <w:contextualSpacing/>
    </w:pPr>
  </w:style>
  <w:style w:type="paragraph" w:styleId="ListContinue2">
    <w:name w:val="List Continue 2"/>
    <w:basedOn w:val="BodyText"/>
    <w:uiPriority w:val="14"/>
    <w:unhideWhenUsed/>
    <w:rsid w:val="00BB789B"/>
    <w:pPr>
      <w:ind w:left="1134"/>
      <w:contextualSpacing/>
    </w:pPr>
  </w:style>
  <w:style w:type="paragraph" w:styleId="List3">
    <w:name w:val="List 3"/>
    <w:basedOn w:val="BodyText"/>
    <w:uiPriority w:val="14"/>
    <w:rsid w:val="00BB789B"/>
    <w:pPr>
      <w:ind w:left="1701" w:hanging="567"/>
      <w:contextualSpacing/>
    </w:pPr>
  </w:style>
  <w:style w:type="paragraph" w:styleId="List4">
    <w:name w:val="List 4"/>
    <w:basedOn w:val="BodyText"/>
    <w:uiPriority w:val="14"/>
    <w:unhideWhenUsed/>
    <w:rsid w:val="00BB789B"/>
    <w:pPr>
      <w:ind w:left="2268" w:hanging="567"/>
      <w:contextualSpacing/>
    </w:pPr>
  </w:style>
  <w:style w:type="paragraph" w:styleId="List5">
    <w:name w:val="List 5"/>
    <w:basedOn w:val="BodyText"/>
    <w:uiPriority w:val="14"/>
    <w:unhideWhenUsed/>
    <w:rsid w:val="00BB789B"/>
    <w:pPr>
      <w:ind w:left="2835" w:hanging="567"/>
      <w:contextualSpacing/>
    </w:pPr>
  </w:style>
  <w:style w:type="paragraph" w:styleId="ListContinue3">
    <w:name w:val="List Continue 3"/>
    <w:basedOn w:val="BodyText"/>
    <w:uiPriority w:val="14"/>
    <w:unhideWhenUsed/>
    <w:rsid w:val="00BB789B"/>
    <w:pPr>
      <w:ind w:left="1701"/>
      <w:contextualSpacing/>
    </w:pPr>
  </w:style>
  <w:style w:type="paragraph" w:styleId="ListContinue4">
    <w:name w:val="List Continue 4"/>
    <w:basedOn w:val="BodyText"/>
    <w:uiPriority w:val="14"/>
    <w:unhideWhenUsed/>
    <w:rsid w:val="00BB789B"/>
    <w:pPr>
      <w:ind w:left="2268"/>
      <w:contextualSpacing/>
    </w:pPr>
  </w:style>
  <w:style w:type="paragraph" w:styleId="ListContinue5">
    <w:name w:val="List Continue 5"/>
    <w:basedOn w:val="BodyText"/>
    <w:uiPriority w:val="14"/>
    <w:unhideWhenUsed/>
    <w:rsid w:val="00BB789B"/>
    <w:pPr>
      <w:ind w:left="2835"/>
      <w:contextualSpacing/>
    </w:pPr>
  </w:style>
  <w:style w:type="paragraph" w:styleId="ListNumber4">
    <w:name w:val="List Number 4"/>
    <w:basedOn w:val="Normal"/>
    <w:uiPriority w:val="14"/>
    <w:unhideWhenUsed/>
    <w:rsid w:val="00BB789B"/>
    <w:pPr>
      <w:numPr>
        <w:ilvl w:val="3"/>
        <w:numId w:val="43"/>
      </w:numPr>
      <w:contextualSpacing/>
    </w:pPr>
  </w:style>
  <w:style w:type="paragraph" w:styleId="ListNumber5">
    <w:name w:val="List Number 5"/>
    <w:basedOn w:val="Normal"/>
    <w:uiPriority w:val="14"/>
    <w:unhideWhenUsed/>
    <w:rsid w:val="00BB789B"/>
    <w:pPr>
      <w:numPr>
        <w:ilvl w:val="4"/>
        <w:numId w:val="43"/>
      </w:numPr>
      <w:contextualSpacing/>
    </w:pPr>
  </w:style>
  <w:style w:type="paragraph" w:styleId="ListBullet5">
    <w:name w:val="List Bullet 5"/>
    <w:basedOn w:val="Normal"/>
    <w:uiPriority w:val="13"/>
    <w:unhideWhenUsed/>
    <w:rsid w:val="00BB789B"/>
    <w:pPr>
      <w:numPr>
        <w:ilvl w:val="4"/>
        <w:numId w:val="41"/>
      </w:numPr>
      <w:contextualSpacing/>
    </w:pPr>
  </w:style>
  <w:style w:type="paragraph" w:styleId="List2">
    <w:name w:val="List 2"/>
    <w:basedOn w:val="BodyText"/>
    <w:uiPriority w:val="14"/>
    <w:rsid w:val="00BB789B"/>
    <w:pPr>
      <w:ind w:left="1134" w:hanging="567"/>
      <w:contextualSpacing/>
    </w:pPr>
  </w:style>
  <w:style w:type="paragraph" w:styleId="List">
    <w:name w:val="List"/>
    <w:basedOn w:val="BodyText"/>
    <w:uiPriority w:val="14"/>
    <w:rsid w:val="00BB789B"/>
    <w:pPr>
      <w:ind w:left="567" w:hanging="567"/>
      <w:contextualSpacing/>
    </w:pPr>
  </w:style>
  <w:style w:type="paragraph" w:customStyle="1" w:styleId="Appendix4">
    <w:name w:val="Appendix 4"/>
    <w:basedOn w:val="BodyText"/>
    <w:next w:val="BodyText"/>
    <w:uiPriority w:val="34"/>
    <w:qFormat/>
    <w:rsid w:val="00BB789B"/>
    <w:pPr>
      <w:keepNext/>
      <w:numPr>
        <w:ilvl w:val="3"/>
        <w:numId w:val="45"/>
      </w:numPr>
      <w:spacing w:after="40" w:line="240" w:lineRule="auto"/>
      <w:outlineLvl w:val="3"/>
    </w:pPr>
    <w:rPr>
      <w:i/>
    </w:rPr>
  </w:style>
  <w:style w:type="paragraph" w:customStyle="1" w:styleId="Appendix3">
    <w:name w:val="Appendix 3"/>
    <w:basedOn w:val="BodyText"/>
    <w:next w:val="BodyText"/>
    <w:uiPriority w:val="34"/>
    <w:qFormat/>
    <w:rsid w:val="0012353B"/>
    <w:pPr>
      <w:keepNext/>
      <w:numPr>
        <w:ilvl w:val="2"/>
        <w:numId w:val="45"/>
      </w:numPr>
      <w:spacing w:after="40" w:line="240" w:lineRule="auto"/>
      <w:outlineLvl w:val="2"/>
    </w:pPr>
    <w:rPr>
      <w:i/>
      <w:sz w:val="22"/>
    </w:rPr>
  </w:style>
  <w:style w:type="paragraph" w:customStyle="1" w:styleId="Appendix2">
    <w:name w:val="Appendix 2"/>
    <w:basedOn w:val="BodyText"/>
    <w:next w:val="BodyText"/>
    <w:uiPriority w:val="34"/>
    <w:qFormat/>
    <w:rsid w:val="0012353B"/>
    <w:pPr>
      <w:keepNext/>
      <w:numPr>
        <w:ilvl w:val="1"/>
        <w:numId w:val="45"/>
      </w:numPr>
      <w:spacing w:after="40" w:line="240" w:lineRule="auto"/>
      <w:outlineLvl w:val="1"/>
    </w:pPr>
    <w:rPr>
      <w:b/>
      <w:i/>
      <w:sz w:val="22"/>
    </w:rPr>
  </w:style>
  <w:style w:type="paragraph" w:customStyle="1" w:styleId="Appendix1">
    <w:name w:val="Appendix 1"/>
    <w:basedOn w:val="BodyText"/>
    <w:next w:val="BodyText"/>
    <w:uiPriority w:val="34"/>
    <w:qFormat/>
    <w:rsid w:val="0012353B"/>
    <w:pPr>
      <w:keepNext/>
      <w:numPr>
        <w:numId w:val="45"/>
      </w:numPr>
      <w:spacing w:after="40" w:line="240" w:lineRule="auto"/>
      <w:outlineLvl w:val="0"/>
    </w:pPr>
    <w:rPr>
      <w:b/>
      <w:i/>
      <w:sz w:val="24"/>
    </w:rPr>
  </w:style>
  <w:style w:type="paragraph" w:styleId="TOC1">
    <w:name w:val="toc 1"/>
    <w:basedOn w:val="Normal"/>
    <w:next w:val="Normal"/>
    <w:uiPriority w:val="39"/>
    <w:unhideWhenUsed/>
    <w:qFormat/>
    <w:rsid w:val="00BB789B"/>
    <w:pPr>
      <w:pBdr>
        <w:top w:val="single" w:sz="8" w:space="4" w:color="auto"/>
      </w:pBdr>
      <w:tabs>
        <w:tab w:val="right" w:pos="9071"/>
      </w:tabs>
      <w:spacing w:before="120" w:after="120"/>
      <w:ind w:left="567" w:hanging="567"/>
    </w:pPr>
    <w:rPr>
      <w:noProof/>
    </w:rPr>
  </w:style>
  <w:style w:type="paragraph" w:styleId="TOC2">
    <w:name w:val="toc 2"/>
    <w:basedOn w:val="Normal"/>
    <w:next w:val="Normal"/>
    <w:uiPriority w:val="39"/>
    <w:unhideWhenUsed/>
    <w:qFormat/>
    <w:rsid w:val="003A706F"/>
    <w:pPr>
      <w:pBdr>
        <w:top w:val="dotted" w:sz="8" w:space="4" w:color="auto"/>
      </w:pBdr>
      <w:tabs>
        <w:tab w:val="right" w:pos="9071"/>
      </w:tabs>
      <w:spacing w:before="120" w:after="120"/>
      <w:ind w:left="567" w:hanging="567"/>
    </w:pPr>
    <w:rPr>
      <w:noProof/>
    </w:rPr>
  </w:style>
  <w:style w:type="paragraph" w:styleId="TOC3">
    <w:name w:val="toc 3"/>
    <w:basedOn w:val="Normal"/>
    <w:next w:val="Normal"/>
    <w:uiPriority w:val="39"/>
    <w:unhideWhenUsed/>
    <w:qFormat/>
    <w:rsid w:val="003A706F"/>
    <w:pPr>
      <w:tabs>
        <w:tab w:val="right" w:pos="9071"/>
      </w:tabs>
      <w:spacing w:before="120" w:after="120"/>
      <w:ind w:left="992" w:hanging="709"/>
    </w:pPr>
    <w:rPr>
      <w:noProof/>
    </w:rPr>
  </w:style>
  <w:style w:type="character" w:styleId="Hyperlink">
    <w:name w:val="Hyperlink"/>
    <w:basedOn w:val="DefaultParagraphFont"/>
    <w:uiPriority w:val="99"/>
    <w:unhideWhenUsed/>
    <w:rsid w:val="00727A43"/>
    <w:rPr>
      <w:color w:val="0000FF" w:themeColor="hyperlink"/>
      <w:u w:val="single"/>
    </w:rPr>
  </w:style>
  <w:style w:type="paragraph" w:styleId="BalloonText">
    <w:name w:val="Balloon Text"/>
    <w:basedOn w:val="Normal"/>
    <w:link w:val="BalloonTextChar"/>
    <w:uiPriority w:val="99"/>
    <w:unhideWhenUsed/>
    <w:rsid w:val="00BB78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BB789B"/>
    <w:rPr>
      <w:rFonts w:ascii="Tahoma" w:hAnsi="Tahoma" w:cs="Tahoma"/>
      <w:sz w:val="16"/>
      <w:szCs w:val="16"/>
    </w:rPr>
  </w:style>
  <w:style w:type="paragraph" w:customStyle="1" w:styleId="LocalLegalAddress">
    <w:name w:val="LocalLegalAddress"/>
    <w:basedOn w:val="BodyText"/>
    <w:next w:val="LocalLegalContact"/>
    <w:uiPriority w:val="34"/>
    <w:rsid w:val="00BB789B"/>
    <w:pPr>
      <w:spacing w:after="0" w:line="220" w:lineRule="atLeast"/>
    </w:pPr>
    <w:rPr>
      <w:i/>
      <w:sz w:val="18"/>
    </w:rPr>
  </w:style>
  <w:style w:type="paragraph" w:customStyle="1" w:styleId="NamePosition">
    <w:name w:val="NamePosition"/>
    <w:basedOn w:val="Normal"/>
    <w:uiPriority w:val="34"/>
    <w:qFormat/>
    <w:rsid w:val="00931EF6"/>
    <w:pPr>
      <w:spacing w:after="0"/>
    </w:pPr>
  </w:style>
  <w:style w:type="paragraph" w:customStyle="1" w:styleId="AuditFirm">
    <w:name w:val="AuditFirm"/>
    <w:basedOn w:val="Normal"/>
    <w:next w:val="NamePosition"/>
    <w:uiPriority w:val="34"/>
    <w:qFormat/>
    <w:rsid w:val="00BB789B"/>
    <w:pPr>
      <w:spacing w:after="720"/>
    </w:pPr>
  </w:style>
  <w:style w:type="paragraph" w:customStyle="1" w:styleId="ChartTableTitle">
    <w:name w:val="Chart Table Title"/>
    <w:basedOn w:val="Normal"/>
    <w:uiPriority w:val="34"/>
    <w:qFormat/>
    <w:rsid w:val="00FE3FB6"/>
    <w:pPr>
      <w:spacing w:after="0"/>
    </w:pPr>
    <w:rPr>
      <w:b/>
    </w:rPr>
  </w:style>
  <w:style w:type="paragraph" w:customStyle="1" w:styleId="CompanyContactName">
    <w:name w:val="CompanyContactName"/>
    <w:basedOn w:val="Normal"/>
    <w:uiPriority w:val="34"/>
    <w:qFormat/>
    <w:rsid w:val="00FE3FB6"/>
    <w:pPr>
      <w:spacing w:after="0"/>
    </w:pPr>
  </w:style>
  <w:style w:type="paragraph" w:customStyle="1" w:styleId="LetterDate">
    <w:name w:val="LetterDate"/>
    <w:basedOn w:val="Normal"/>
    <w:next w:val="LetterRef"/>
    <w:uiPriority w:val="34"/>
    <w:qFormat/>
    <w:rsid w:val="00931EF6"/>
    <w:pPr>
      <w:spacing w:before="480"/>
    </w:pPr>
  </w:style>
  <w:style w:type="paragraph" w:customStyle="1" w:styleId="FooterLegalDetails">
    <w:name w:val="FooterLegalDetails"/>
    <w:basedOn w:val="Normal"/>
    <w:next w:val="BodySingle"/>
    <w:uiPriority w:val="34"/>
    <w:rsid w:val="00FB5755"/>
    <w:pPr>
      <w:spacing w:after="0" w:line="140" w:lineRule="exact"/>
    </w:pPr>
    <w:rPr>
      <w:rFonts w:ascii="Arial" w:hAnsi="Arial" w:cs="Arial"/>
      <w:sz w:val="12"/>
    </w:rPr>
  </w:style>
  <w:style w:type="paragraph" w:customStyle="1" w:styleId="FormalSignOff">
    <w:name w:val="FormalSignOff"/>
    <w:basedOn w:val="BodyText"/>
    <w:next w:val="AuditFirm"/>
    <w:uiPriority w:val="34"/>
    <w:qFormat/>
    <w:rsid w:val="00FB5755"/>
    <w:pPr>
      <w:spacing w:before="240" w:after="0"/>
    </w:pPr>
  </w:style>
  <w:style w:type="paragraph" w:customStyle="1" w:styleId="LetterRef">
    <w:name w:val="LetterRef"/>
    <w:basedOn w:val="Normal"/>
    <w:next w:val="BodyText"/>
    <w:uiPriority w:val="34"/>
    <w:qFormat/>
    <w:rsid w:val="00BB789B"/>
  </w:style>
  <w:style w:type="paragraph" w:customStyle="1" w:styleId="PageNumber">
    <w:name w:val="PageNumber"/>
    <w:basedOn w:val="Normal"/>
    <w:uiPriority w:val="34"/>
    <w:rsid w:val="00931EF6"/>
    <w:pPr>
      <w:spacing w:after="0" w:line="240" w:lineRule="auto"/>
    </w:pPr>
  </w:style>
  <w:style w:type="paragraph" w:customStyle="1" w:styleId="ContactHeading">
    <w:name w:val="ContactHeading"/>
    <w:basedOn w:val="Normal"/>
    <w:uiPriority w:val="34"/>
    <w:rsid w:val="005D1275"/>
    <w:pPr>
      <w:spacing w:after="0" w:line="290" w:lineRule="atLeast"/>
    </w:pPr>
    <w:rPr>
      <w:sz w:val="18"/>
    </w:rPr>
  </w:style>
  <w:style w:type="paragraph" w:styleId="Salutation">
    <w:name w:val="Salutation"/>
    <w:basedOn w:val="Normal"/>
    <w:next w:val="BodyText"/>
    <w:link w:val="SalutationChar"/>
    <w:uiPriority w:val="34"/>
    <w:qFormat/>
    <w:rsid w:val="00BB789B"/>
  </w:style>
  <w:style w:type="character" w:customStyle="1" w:styleId="SalutationChar">
    <w:name w:val="Salutation Char"/>
    <w:basedOn w:val="DefaultParagraphFont"/>
    <w:link w:val="Salutation"/>
    <w:uiPriority w:val="34"/>
    <w:rsid w:val="00BB789B"/>
  </w:style>
  <w:style w:type="paragraph" w:customStyle="1" w:styleId="Spacing20mm">
    <w:name w:val="Spacing 20 mm"/>
    <w:basedOn w:val="Normal"/>
    <w:next w:val="BodyText"/>
    <w:uiPriority w:val="34"/>
    <w:rsid w:val="003A706F"/>
    <w:pPr>
      <w:spacing w:after="0" w:line="1021" w:lineRule="exact"/>
    </w:pPr>
    <w:rPr>
      <w:sz w:val="14"/>
    </w:rPr>
  </w:style>
  <w:style w:type="paragraph" w:customStyle="1" w:styleId="Spacing295mm">
    <w:name w:val="Spacing 29_5 mm"/>
    <w:basedOn w:val="Normal"/>
    <w:next w:val="BodyText"/>
    <w:uiPriority w:val="34"/>
    <w:rsid w:val="003A706F"/>
    <w:pPr>
      <w:spacing w:after="0" w:line="1276" w:lineRule="exact"/>
    </w:pPr>
    <w:rPr>
      <w:sz w:val="14"/>
    </w:rPr>
  </w:style>
  <w:style w:type="paragraph" w:customStyle="1" w:styleId="Spacing4mm">
    <w:name w:val="Spacing 4 mm"/>
    <w:basedOn w:val="Normal"/>
    <w:next w:val="BodyText"/>
    <w:uiPriority w:val="34"/>
    <w:rsid w:val="003A706F"/>
    <w:pPr>
      <w:spacing w:after="0" w:line="170" w:lineRule="exact"/>
    </w:pPr>
    <w:rPr>
      <w:rFonts w:ascii="Arial" w:hAnsi="Arial" w:cs="Arial"/>
      <w:sz w:val="2"/>
    </w:rPr>
  </w:style>
  <w:style w:type="paragraph" w:customStyle="1" w:styleId="Spacing46mm">
    <w:name w:val="Spacing 46 mm"/>
    <w:basedOn w:val="Normal"/>
    <w:next w:val="BodyText"/>
    <w:uiPriority w:val="34"/>
    <w:rsid w:val="003A706F"/>
    <w:pPr>
      <w:spacing w:after="0" w:line="2720" w:lineRule="exact"/>
    </w:pPr>
    <w:rPr>
      <w:rFonts w:ascii="Arial" w:hAnsi="Arial" w:cs="Arial"/>
      <w:sz w:val="14"/>
    </w:rPr>
  </w:style>
  <w:style w:type="paragraph" w:customStyle="1" w:styleId="Spacing465mm">
    <w:name w:val="Spacing 46_5 mm"/>
    <w:basedOn w:val="Normal"/>
    <w:next w:val="BodyText"/>
    <w:uiPriority w:val="34"/>
    <w:rsid w:val="003A706F"/>
    <w:pPr>
      <w:spacing w:after="0" w:line="2637" w:lineRule="exact"/>
    </w:pPr>
    <w:rPr>
      <w:sz w:val="14"/>
    </w:rPr>
  </w:style>
  <w:style w:type="paragraph" w:customStyle="1" w:styleId="Spacing675mm">
    <w:name w:val="Spacing 67_5 mm"/>
    <w:basedOn w:val="Normal"/>
    <w:uiPriority w:val="34"/>
    <w:rsid w:val="003A706F"/>
    <w:pPr>
      <w:spacing w:after="0" w:line="3317" w:lineRule="exact"/>
    </w:pPr>
    <w:rPr>
      <w:sz w:val="14"/>
    </w:rPr>
  </w:style>
  <w:style w:type="paragraph" w:customStyle="1" w:styleId="Spacing7mm">
    <w:name w:val="Spacing 7 mm"/>
    <w:basedOn w:val="Normal"/>
    <w:next w:val="BodyText"/>
    <w:uiPriority w:val="34"/>
    <w:rsid w:val="003A706F"/>
    <w:pPr>
      <w:spacing w:after="0" w:line="397" w:lineRule="exact"/>
    </w:pPr>
    <w:rPr>
      <w:sz w:val="14"/>
    </w:rPr>
  </w:style>
  <w:style w:type="paragraph" w:customStyle="1" w:styleId="Headline1">
    <w:name w:val="Headline 1"/>
    <w:basedOn w:val="BodyText"/>
    <w:next w:val="BodyText"/>
    <w:uiPriority w:val="34"/>
    <w:qFormat/>
    <w:rsid w:val="0012353B"/>
    <w:pPr>
      <w:keepNext/>
      <w:spacing w:after="40" w:line="240" w:lineRule="auto"/>
    </w:pPr>
    <w:rPr>
      <w:b/>
      <w:i/>
      <w:sz w:val="24"/>
    </w:rPr>
  </w:style>
  <w:style w:type="paragraph" w:customStyle="1" w:styleId="Headline2">
    <w:name w:val="Headline 2"/>
    <w:basedOn w:val="BodyText"/>
    <w:next w:val="BodyText"/>
    <w:uiPriority w:val="34"/>
    <w:qFormat/>
    <w:rsid w:val="0012353B"/>
    <w:pPr>
      <w:keepNext/>
      <w:spacing w:after="40" w:line="240" w:lineRule="auto"/>
    </w:pPr>
    <w:rPr>
      <w:b/>
      <w:i/>
      <w:sz w:val="22"/>
    </w:rPr>
  </w:style>
  <w:style w:type="paragraph" w:customStyle="1" w:styleId="Headline3">
    <w:name w:val="Headline 3"/>
    <w:basedOn w:val="BodyText"/>
    <w:next w:val="BodyText"/>
    <w:uiPriority w:val="34"/>
    <w:qFormat/>
    <w:rsid w:val="0012353B"/>
    <w:pPr>
      <w:keepNext/>
      <w:spacing w:after="40" w:line="240" w:lineRule="auto"/>
    </w:pPr>
    <w:rPr>
      <w:i/>
      <w:sz w:val="22"/>
    </w:rPr>
  </w:style>
  <w:style w:type="paragraph" w:customStyle="1" w:styleId="Headline4">
    <w:name w:val="Headline 4"/>
    <w:basedOn w:val="BodyText"/>
    <w:next w:val="BodyText"/>
    <w:uiPriority w:val="34"/>
    <w:qFormat/>
    <w:rsid w:val="00FB5755"/>
    <w:pPr>
      <w:keepNext/>
      <w:spacing w:after="40" w:line="240" w:lineRule="auto"/>
    </w:pPr>
    <w:rPr>
      <w:i/>
    </w:rPr>
  </w:style>
  <w:style w:type="paragraph" w:customStyle="1" w:styleId="Headline5">
    <w:name w:val="Headline 5"/>
    <w:basedOn w:val="BodyText"/>
    <w:next w:val="BodyText"/>
    <w:uiPriority w:val="34"/>
    <w:qFormat/>
    <w:rsid w:val="00FB5755"/>
    <w:pPr>
      <w:keepNext/>
      <w:spacing w:after="40" w:line="240" w:lineRule="auto"/>
    </w:pPr>
  </w:style>
  <w:style w:type="paragraph" w:customStyle="1" w:styleId="InvisibleComment">
    <w:name w:val="Invisible Comment"/>
    <w:uiPriority w:val="99"/>
    <w:rsid w:val="00FB5755"/>
    <w:pPr>
      <w:numPr>
        <w:numId w:val="33"/>
      </w:numPr>
      <w:spacing w:after="0" w:line="240" w:lineRule="auto"/>
    </w:pPr>
    <w:rPr>
      <w:rFonts w:ascii="Arial" w:eastAsia="Times New Roman" w:hAnsi="Arial" w:cs="Times New Roman"/>
      <w:i/>
      <w:color w:val="FF0000"/>
      <w:sz w:val="16"/>
      <w:szCs w:val="24"/>
      <w:lang w:eastAsia="nl-NL"/>
    </w:rPr>
  </w:style>
  <w:style w:type="paragraph" w:customStyle="1" w:styleId="Disclaimer">
    <w:name w:val="Disclaimer"/>
    <w:basedOn w:val="Normal"/>
    <w:uiPriority w:val="34"/>
    <w:rsid w:val="00FE3FB6"/>
    <w:pPr>
      <w:spacing w:before="40" w:after="80" w:line="140" w:lineRule="exact"/>
    </w:pPr>
    <w:rPr>
      <w:rFonts w:ascii="Arial" w:hAnsi="Arial"/>
      <w:sz w:val="12"/>
    </w:rPr>
  </w:style>
  <w:style w:type="paragraph" w:customStyle="1" w:styleId="AddresseeCompanyHeader">
    <w:name w:val="AddresseeCompanyHeader"/>
    <w:basedOn w:val="Normal"/>
    <w:uiPriority w:val="34"/>
    <w:rsid w:val="00324288"/>
    <w:pPr>
      <w:spacing w:after="0" w:line="200" w:lineRule="exact"/>
    </w:pPr>
    <w:rPr>
      <w:i/>
      <w:sz w:val="18"/>
    </w:rPr>
  </w:style>
  <w:style w:type="character" w:styleId="Emphasis">
    <w:name w:val="Emphasis"/>
    <w:basedOn w:val="DefaultParagraphFont"/>
    <w:hidden/>
    <w:uiPriority w:val="20"/>
    <w:rsid w:val="00AB1C48"/>
    <w:rPr>
      <w:i/>
      <w:iCs/>
    </w:rPr>
  </w:style>
  <w:style w:type="paragraph" w:customStyle="1" w:styleId="NoteBody">
    <w:name w:val="Note Body"/>
    <w:basedOn w:val="Normal"/>
    <w:link w:val="NoteBodyChar"/>
    <w:uiPriority w:val="34"/>
    <w:rsid w:val="00931EF6"/>
    <w:pPr>
      <w:pBdr>
        <w:top w:val="single" w:sz="8" w:space="4" w:color="auto"/>
        <w:left w:val="single" w:sz="8" w:space="4" w:color="auto"/>
        <w:bottom w:val="single" w:sz="8" w:space="4" w:color="auto"/>
        <w:right w:val="single" w:sz="8" w:space="4" w:color="auto"/>
      </w:pBdr>
      <w:shd w:val="solid" w:color="DBE5F1" w:fill="auto"/>
      <w:spacing w:before="120" w:after="0" w:line="240" w:lineRule="auto"/>
      <w:ind w:left="102" w:right="102"/>
    </w:pPr>
    <w:rPr>
      <w:rFonts w:eastAsia="Times New Roman" w:cs="Arial"/>
      <w:szCs w:val="16"/>
      <w:lang w:eastAsia="nl-NL"/>
    </w:rPr>
  </w:style>
  <w:style w:type="paragraph" w:customStyle="1" w:styleId="NoteTitle">
    <w:name w:val="Note Title"/>
    <w:basedOn w:val="Normal"/>
    <w:next w:val="NoteBody"/>
    <w:uiPriority w:val="34"/>
    <w:rsid w:val="00931EF6"/>
    <w:pPr>
      <w:keepNext/>
      <w:keepLines/>
      <w:pBdr>
        <w:top w:val="single" w:sz="8" w:space="4" w:color="auto"/>
        <w:left w:val="single" w:sz="8" w:space="4" w:color="auto"/>
        <w:bottom w:val="single" w:sz="8" w:space="4" w:color="auto"/>
        <w:right w:val="single" w:sz="8" w:space="4" w:color="auto"/>
      </w:pBdr>
      <w:shd w:val="solid" w:color="DBE5F1" w:fill="auto"/>
      <w:spacing w:before="120" w:after="0" w:line="240" w:lineRule="auto"/>
      <w:ind w:left="102" w:right="102"/>
    </w:pPr>
    <w:rPr>
      <w:rFonts w:eastAsia="Times New Roman" w:cs="Arial"/>
      <w:b/>
      <w:i/>
      <w:szCs w:val="16"/>
      <w:lang w:eastAsia="nl-NL"/>
    </w:rPr>
  </w:style>
  <w:style w:type="paragraph" w:styleId="TOC4">
    <w:name w:val="toc 4"/>
    <w:basedOn w:val="Normal"/>
    <w:next w:val="Normal"/>
    <w:uiPriority w:val="39"/>
    <w:unhideWhenUsed/>
    <w:rsid w:val="003A706F"/>
    <w:pPr>
      <w:tabs>
        <w:tab w:val="right" w:pos="9071"/>
      </w:tabs>
      <w:spacing w:before="120" w:after="120"/>
      <w:ind w:left="1417" w:hanging="850"/>
    </w:pPr>
    <w:rPr>
      <w:noProof/>
    </w:rPr>
  </w:style>
  <w:style w:type="paragraph" w:styleId="TOC5">
    <w:name w:val="toc 5"/>
    <w:basedOn w:val="Normal"/>
    <w:next w:val="Normal"/>
    <w:uiPriority w:val="39"/>
    <w:unhideWhenUsed/>
    <w:rsid w:val="003A706F"/>
    <w:pPr>
      <w:tabs>
        <w:tab w:val="right" w:pos="9071"/>
      </w:tabs>
      <w:spacing w:before="120" w:after="120"/>
      <w:ind w:left="1843" w:hanging="992"/>
    </w:pPr>
    <w:rPr>
      <w:noProof/>
    </w:rPr>
  </w:style>
  <w:style w:type="paragraph" w:customStyle="1" w:styleId="Spacing1mm">
    <w:name w:val="Spacing 1 mm"/>
    <w:basedOn w:val="Normal"/>
    <w:next w:val="BodyText"/>
    <w:uiPriority w:val="34"/>
    <w:rsid w:val="003A706F"/>
    <w:pPr>
      <w:spacing w:after="0" w:line="57" w:lineRule="exact"/>
    </w:pPr>
    <w:rPr>
      <w:rFonts w:ascii="Arial" w:hAnsi="Arial" w:cs="Arial"/>
      <w:sz w:val="2"/>
    </w:rPr>
  </w:style>
  <w:style w:type="paragraph" w:customStyle="1" w:styleId="LocalLegalNameHeader">
    <w:name w:val="LocalLegalName_Header"/>
    <w:basedOn w:val="Normal"/>
    <w:next w:val="LocalLegalAddress"/>
    <w:uiPriority w:val="34"/>
    <w:rsid w:val="00931EF6"/>
    <w:pPr>
      <w:pBdr>
        <w:top w:val="dotted" w:sz="8" w:space="10" w:color="auto"/>
        <w:left w:val="dotted" w:sz="8" w:space="10" w:color="auto"/>
      </w:pBdr>
      <w:spacing w:after="0" w:line="240" w:lineRule="auto"/>
    </w:pPr>
    <w:rPr>
      <w:rFonts w:ascii="Arial" w:hAnsi="Arial" w:cs="Arial"/>
      <w:sz w:val="2"/>
    </w:rPr>
  </w:style>
  <w:style w:type="paragraph" w:customStyle="1" w:styleId="LocalLegalContact">
    <w:name w:val="LocalLegalContact"/>
    <w:basedOn w:val="BodyText"/>
    <w:next w:val="Spacing4mm"/>
    <w:uiPriority w:val="34"/>
    <w:rsid w:val="00BB789B"/>
    <w:pPr>
      <w:spacing w:after="0" w:line="220" w:lineRule="atLeast"/>
    </w:pPr>
    <w:rPr>
      <w:i/>
      <w:sz w:val="18"/>
    </w:rPr>
  </w:style>
  <w:style w:type="paragraph" w:customStyle="1" w:styleId="Warning">
    <w:name w:val="Warning"/>
    <w:basedOn w:val="Normal"/>
    <w:uiPriority w:val="34"/>
    <w:rsid w:val="003A706F"/>
    <w:pPr>
      <w:shd w:val="solid" w:color="F2F2F2" w:themeColor="background2" w:themeShade="F2" w:fill="auto"/>
    </w:pPr>
    <w:rPr>
      <w:b/>
      <w:i/>
      <w:color w:val="FF0000"/>
      <w:sz w:val="36"/>
    </w:rPr>
  </w:style>
  <w:style w:type="paragraph" w:customStyle="1" w:styleId="PlaceDate">
    <w:name w:val="PlaceDate"/>
    <w:basedOn w:val="Normal"/>
    <w:next w:val="AuditFirm"/>
    <w:uiPriority w:val="34"/>
    <w:rsid w:val="002C0F83"/>
    <w:pPr>
      <w:spacing w:before="240" w:after="0"/>
    </w:pPr>
  </w:style>
  <w:style w:type="paragraph" w:customStyle="1" w:styleId="ContactDetail">
    <w:name w:val="ContactDetail"/>
    <w:basedOn w:val="Normal"/>
    <w:uiPriority w:val="34"/>
    <w:rsid w:val="00E44D87"/>
    <w:pPr>
      <w:spacing w:after="0" w:line="290" w:lineRule="atLeast"/>
    </w:pPr>
    <w:rPr>
      <w:rFonts w:ascii="Arial" w:hAnsi="Arial"/>
      <w:sz w:val="22"/>
      <w:szCs w:val="22"/>
    </w:rPr>
  </w:style>
  <w:style w:type="paragraph" w:customStyle="1" w:styleId="ContactLine">
    <w:name w:val="ContactLine"/>
    <w:basedOn w:val="Normal"/>
    <w:uiPriority w:val="34"/>
    <w:rsid w:val="00955343"/>
    <w:pPr>
      <w:pBdr>
        <w:bottom w:val="single" w:sz="4" w:space="0" w:color="auto"/>
      </w:pBdr>
      <w:ind w:left="28" w:right="28"/>
    </w:pPr>
    <w:rPr>
      <w:rFonts w:ascii="Arial" w:hAnsi="Arial"/>
      <w:sz w:val="2"/>
    </w:rPr>
  </w:style>
  <w:style w:type="paragraph" w:customStyle="1" w:styleId="LocalLegalContinue">
    <w:name w:val="LocalLegalContinue"/>
    <w:basedOn w:val="BodyText"/>
    <w:next w:val="Spacing4mm"/>
    <w:uiPriority w:val="34"/>
    <w:rsid w:val="00BB789B"/>
    <w:pPr>
      <w:spacing w:after="0" w:line="220" w:lineRule="atLeast"/>
    </w:pPr>
    <w:rPr>
      <w:i/>
      <w:sz w:val="18"/>
    </w:rPr>
  </w:style>
  <w:style w:type="paragraph" w:customStyle="1" w:styleId="Spacing50mm">
    <w:name w:val="Spacing 50 mm"/>
    <w:basedOn w:val="Normal"/>
    <w:uiPriority w:val="34"/>
    <w:rsid w:val="00F94F12"/>
    <w:pPr>
      <w:spacing w:after="0" w:line="2890" w:lineRule="exact"/>
    </w:pPr>
    <w:rPr>
      <w:sz w:val="14"/>
    </w:rPr>
  </w:style>
  <w:style w:type="paragraph" w:customStyle="1" w:styleId="OutlinedLogo">
    <w:name w:val="OutlinedLogo"/>
    <w:basedOn w:val="Normal"/>
    <w:uiPriority w:val="34"/>
    <w:rsid w:val="00203ED4"/>
    <w:pPr>
      <w:spacing w:before="600" w:after="0"/>
      <w:ind w:left="-975"/>
    </w:pPr>
    <w:rPr>
      <w:rFonts w:ascii="PwC_Logo 3.0" w:hAnsi="PwC_Logo 3.0"/>
      <w:sz w:val="32"/>
    </w:rPr>
  </w:style>
  <w:style w:type="paragraph" w:customStyle="1" w:styleId="AppendixNumbering">
    <w:name w:val="Appendix Numbering"/>
    <w:basedOn w:val="Normal"/>
    <w:uiPriority w:val="34"/>
    <w:qFormat/>
    <w:rsid w:val="00BB789B"/>
    <w:pPr>
      <w:numPr>
        <w:numId w:val="47"/>
      </w:numPr>
      <w:spacing w:after="0"/>
    </w:pPr>
  </w:style>
  <w:style w:type="paragraph" w:customStyle="1" w:styleId="ContactDetailMemo">
    <w:name w:val="ContactDetailMemo"/>
    <w:basedOn w:val="Normal"/>
    <w:uiPriority w:val="34"/>
    <w:rsid w:val="00E44D87"/>
    <w:pPr>
      <w:spacing w:line="290" w:lineRule="atLeast"/>
      <w:contextualSpacing/>
    </w:pPr>
  </w:style>
  <w:style w:type="character" w:customStyle="1" w:styleId="NoteBody-i">
    <w:name w:val="NoteBody-i"/>
    <w:basedOn w:val="NoteBodyChar"/>
    <w:uiPriority w:val="1"/>
    <w:rsid w:val="00BD3A9F"/>
    <w:rPr>
      <w:rFonts w:eastAsiaTheme="minorHAnsi" w:cs="Arial"/>
      <w:i/>
      <w:szCs w:val="16"/>
      <w:shd w:val="solid" w:color="DBE5F1" w:fill="auto"/>
      <w:lang w:eastAsia="nl-NL"/>
    </w:rPr>
  </w:style>
  <w:style w:type="character" w:customStyle="1" w:styleId="NoteBodyChar">
    <w:name w:val="Note Body Char"/>
    <w:basedOn w:val="DefaultParagraphFont"/>
    <w:link w:val="NoteBody"/>
    <w:uiPriority w:val="34"/>
    <w:rsid w:val="00931EF6"/>
    <w:rPr>
      <w:rFonts w:eastAsia="Times New Roman" w:cs="Arial"/>
      <w:szCs w:val="16"/>
      <w:shd w:val="solid" w:color="DBE5F1" w:fill="auto"/>
      <w:lang w:eastAsia="nl-NL"/>
    </w:rPr>
  </w:style>
  <w:style w:type="character" w:customStyle="1" w:styleId="NoteBody-b">
    <w:name w:val="NoteBody-b"/>
    <w:basedOn w:val="NoteBodyChar"/>
    <w:uiPriority w:val="1"/>
    <w:rsid w:val="007C10CA"/>
    <w:rPr>
      <w:rFonts w:eastAsia="Times New Roman" w:cs="Arial"/>
      <w:b/>
      <w:szCs w:val="16"/>
      <w:shd w:val="solid" w:color="DBE5F1" w:fill="auto"/>
      <w:lang w:eastAsia="nl-NL"/>
    </w:rPr>
  </w:style>
  <w:style w:type="character" w:customStyle="1" w:styleId="NoteBody-a">
    <w:name w:val="NoteBody-a"/>
    <w:basedOn w:val="NoteBodyChar"/>
    <w:uiPriority w:val="1"/>
    <w:rsid w:val="00BD3A9F"/>
    <w:rPr>
      <w:rFonts w:eastAsiaTheme="minorHAnsi" w:cs="Arial"/>
      <w:szCs w:val="16"/>
      <w:u w:val="single"/>
      <w:shd w:val="solid" w:color="DBE5F1" w:fill="auto"/>
      <w:lang w:eastAsia="nl-NL"/>
    </w:rPr>
  </w:style>
  <w:style w:type="character" w:customStyle="1" w:styleId="Italics">
    <w:name w:val="Italics"/>
    <w:uiPriority w:val="1"/>
    <w:rsid w:val="00C1387D"/>
    <w:rPr>
      <w:b w:val="0"/>
      <w:i/>
      <w:smallCaps w:val="0"/>
      <w:color w:val="auto"/>
      <w:spacing w:val="0"/>
      <w:kern w:val="0"/>
      <w:u w:val="none"/>
    </w:rPr>
  </w:style>
  <w:style w:type="character" w:customStyle="1" w:styleId="Bold">
    <w:name w:val="Bold"/>
    <w:uiPriority w:val="1"/>
    <w:rsid w:val="00CD5CE3"/>
    <w:rPr>
      <w:b/>
      <w:i w:val="0"/>
      <w:smallCaps w:val="0"/>
      <w:color w:val="auto"/>
      <w:spacing w:val="0"/>
      <w:kern w:val="0"/>
      <w:u w:val="none"/>
    </w:rPr>
  </w:style>
  <w:style w:type="character" w:customStyle="1" w:styleId="Underline">
    <w:name w:val="Underline"/>
    <w:uiPriority w:val="1"/>
    <w:rsid w:val="00C1387D"/>
    <w:rPr>
      <w:b w:val="0"/>
      <w:i w:val="0"/>
      <w:smallCaps w:val="0"/>
      <w:color w:val="auto"/>
      <w:spacing w:val="0"/>
      <w:kern w:val="0"/>
      <w:u w:val="single"/>
    </w:rPr>
  </w:style>
  <w:style w:type="character" w:customStyle="1" w:styleId="BoldItalics">
    <w:name w:val="Bold Italics"/>
    <w:uiPriority w:val="1"/>
    <w:rsid w:val="00C1387D"/>
    <w:rPr>
      <w:b/>
      <w:i/>
      <w:smallCaps w:val="0"/>
      <w:color w:val="auto"/>
      <w:spacing w:val="0"/>
      <w:kern w:val="0"/>
      <w:u w:val="none"/>
    </w:rPr>
  </w:style>
  <w:style w:type="character" w:customStyle="1" w:styleId="BoldUnderline">
    <w:name w:val="Bold Underline"/>
    <w:uiPriority w:val="1"/>
    <w:rsid w:val="00C1387D"/>
    <w:rPr>
      <w:b/>
      <w:i w:val="0"/>
      <w:smallCaps w:val="0"/>
      <w:color w:val="auto"/>
      <w:spacing w:val="0"/>
      <w:kern w:val="0"/>
      <w:u w:val="single"/>
    </w:rPr>
  </w:style>
  <w:style w:type="character" w:customStyle="1" w:styleId="BoldItalicsUnderline">
    <w:name w:val="Bold Italics Underline"/>
    <w:uiPriority w:val="1"/>
    <w:rsid w:val="00C1387D"/>
    <w:rPr>
      <w:b/>
      <w:i/>
      <w:smallCaps w:val="0"/>
      <w:color w:val="auto"/>
      <w:spacing w:val="0"/>
      <w:kern w:val="0"/>
      <w:u w:val="single"/>
    </w:rPr>
  </w:style>
  <w:style w:type="character" w:customStyle="1" w:styleId="ItalicsUnderline">
    <w:name w:val="Italics Underline"/>
    <w:uiPriority w:val="1"/>
    <w:rsid w:val="00C1387D"/>
    <w:rPr>
      <w:b w:val="0"/>
      <w:i/>
      <w:smallCaps w:val="0"/>
      <w:color w:val="auto"/>
      <w:spacing w:val="0"/>
      <w:kern w:val="0"/>
      <w:u w:val="single"/>
    </w:rPr>
  </w:style>
  <w:style w:type="paragraph" w:customStyle="1" w:styleId="SummaryHeading">
    <w:name w:val="Summary Heading"/>
    <w:basedOn w:val="Normal"/>
    <w:uiPriority w:val="34"/>
    <w:rsid w:val="008B2D80"/>
    <w:pPr>
      <w:pBdr>
        <w:bottom w:val="single" w:sz="8" w:space="12" w:color="auto"/>
      </w:pBdr>
      <w:jc w:val="center"/>
    </w:pPr>
    <w:rPr>
      <w:b/>
      <w:i/>
      <w:sz w:val="28"/>
    </w:rPr>
  </w:style>
  <w:style w:type="paragraph" w:customStyle="1" w:styleId="SummaryTopic">
    <w:name w:val="Summary Topic"/>
    <w:basedOn w:val="Normal"/>
    <w:uiPriority w:val="34"/>
    <w:rsid w:val="008B2D80"/>
    <w:pPr>
      <w:spacing w:before="480"/>
    </w:pPr>
    <w:rPr>
      <w:b/>
      <w:i/>
      <w:sz w:val="24"/>
    </w:rPr>
  </w:style>
  <w:style w:type="paragraph" w:customStyle="1" w:styleId="SummaryQuestion">
    <w:name w:val="Summary Question"/>
    <w:basedOn w:val="BodyText"/>
    <w:uiPriority w:val="34"/>
    <w:rsid w:val="008B2D80"/>
    <w:pPr>
      <w:spacing w:after="120"/>
    </w:pPr>
  </w:style>
  <w:style w:type="paragraph" w:customStyle="1" w:styleId="SummaryAnswer">
    <w:name w:val="Summary Answer"/>
    <w:basedOn w:val="BodyText"/>
    <w:uiPriority w:val="34"/>
    <w:rsid w:val="008B2D80"/>
    <w:pPr>
      <w:ind w:left="567"/>
    </w:pPr>
    <w:rPr>
      <w:i/>
    </w:rPr>
  </w:style>
  <w:style w:type="paragraph" w:customStyle="1" w:styleId="SmartModuleExternalsSectionHeading">
    <w:name w:val="SmartModule Externals Section Heading"/>
    <w:basedOn w:val="Normal"/>
    <w:uiPriority w:val="34"/>
    <w:rsid w:val="0012353B"/>
    <w:rPr>
      <w:b/>
      <w:i/>
      <w:color w:val="0070C0"/>
      <w:sz w:val="28"/>
    </w:rPr>
  </w:style>
  <w:style w:type="character" w:customStyle="1" w:styleId="Subscript">
    <w:name w:val="Subscript"/>
    <w:uiPriority w:val="1"/>
    <w:rsid w:val="008B2D80"/>
    <w:rPr>
      <w:vertAlign w:val="subscript"/>
    </w:rPr>
  </w:style>
  <w:style w:type="character" w:customStyle="1" w:styleId="Superscript">
    <w:name w:val="Superscript"/>
    <w:uiPriority w:val="1"/>
    <w:rsid w:val="008B2D80"/>
    <w:rPr>
      <w:vertAlign w:val="superscript"/>
    </w:rPr>
  </w:style>
  <w:style w:type="character" w:styleId="FollowedHyperlink">
    <w:name w:val="FollowedHyperlink"/>
    <w:basedOn w:val="DefaultParagraphFont"/>
    <w:hidden/>
    <w:uiPriority w:val="99"/>
    <w:rsid w:val="002E1B61"/>
    <w:rPr>
      <w:color w:val="800080"/>
      <w:u w:val="single"/>
    </w:rPr>
  </w:style>
  <w:style w:type="paragraph" w:styleId="Index1">
    <w:name w:val="index 1"/>
    <w:basedOn w:val="BodyText"/>
    <w:uiPriority w:val="99"/>
    <w:unhideWhenUsed/>
    <w:rsid w:val="00BB789B"/>
    <w:pPr>
      <w:spacing w:after="0" w:line="240" w:lineRule="auto"/>
      <w:ind w:left="198" w:hanging="198"/>
    </w:pPr>
  </w:style>
  <w:style w:type="paragraph" w:styleId="Index2">
    <w:name w:val="index 2"/>
    <w:basedOn w:val="BodyText"/>
    <w:uiPriority w:val="99"/>
    <w:unhideWhenUsed/>
    <w:rsid w:val="00BB789B"/>
    <w:pPr>
      <w:spacing w:after="0" w:line="240" w:lineRule="auto"/>
      <w:ind w:left="397" w:hanging="198"/>
    </w:pPr>
  </w:style>
  <w:style w:type="paragraph" w:styleId="Index3">
    <w:name w:val="index 3"/>
    <w:basedOn w:val="BodyText"/>
    <w:uiPriority w:val="99"/>
    <w:unhideWhenUsed/>
    <w:rsid w:val="00BB789B"/>
    <w:pPr>
      <w:spacing w:after="0" w:line="240" w:lineRule="auto"/>
      <w:ind w:left="601" w:hanging="198"/>
    </w:pPr>
  </w:style>
  <w:style w:type="paragraph" w:styleId="Index4">
    <w:name w:val="index 4"/>
    <w:basedOn w:val="BodyText"/>
    <w:uiPriority w:val="99"/>
    <w:unhideWhenUsed/>
    <w:rsid w:val="00BB789B"/>
    <w:pPr>
      <w:spacing w:after="0" w:line="240" w:lineRule="auto"/>
      <w:ind w:left="799" w:hanging="198"/>
    </w:pPr>
  </w:style>
  <w:style w:type="paragraph" w:styleId="Index5">
    <w:name w:val="index 5"/>
    <w:basedOn w:val="BodyText"/>
    <w:uiPriority w:val="99"/>
    <w:unhideWhenUsed/>
    <w:rsid w:val="00BB789B"/>
    <w:pPr>
      <w:spacing w:after="0" w:line="240" w:lineRule="auto"/>
      <w:ind w:left="998" w:hanging="198"/>
    </w:pPr>
  </w:style>
  <w:style w:type="paragraph" w:styleId="Index6">
    <w:name w:val="index 6"/>
    <w:basedOn w:val="BodyText"/>
    <w:uiPriority w:val="99"/>
    <w:unhideWhenUsed/>
    <w:rsid w:val="00BB789B"/>
    <w:pPr>
      <w:spacing w:after="0" w:line="240" w:lineRule="auto"/>
      <w:ind w:left="1196" w:hanging="198"/>
    </w:pPr>
  </w:style>
  <w:style w:type="paragraph" w:styleId="Index7">
    <w:name w:val="index 7"/>
    <w:basedOn w:val="BodyText"/>
    <w:uiPriority w:val="99"/>
    <w:unhideWhenUsed/>
    <w:rsid w:val="00BB789B"/>
    <w:pPr>
      <w:spacing w:after="0" w:line="240" w:lineRule="auto"/>
      <w:ind w:left="1400" w:hanging="198"/>
    </w:pPr>
  </w:style>
  <w:style w:type="paragraph" w:styleId="Index8">
    <w:name w:val="index 8"/>
    <w:basedOn w:val="BodyText"/>
    <w:uiPriority w:val="99"/>
    <w:unhideWhenUsed/>
    <w:rsid w:val="00BB789B"/>
    <w:pPr>
      <w:spacing w:after="0" w:line="240" w:lineRule="auto"/>
      <w:ind w:left="1599" w:hanging="198"/>
    </w:pPr>
  </w:style>
  <w:style w:type="paragraph" w:styleId="Index9">
    <w:name w:val="index 9"/>
    <w:basedOn w:val="BodyText"/>
    <w:uiPriority w:val="99"/>
    <w:unhideWhenUsed/>
    <w:rsid w:val="00BB789B"/>
    <w:pPr>
      <w:spacing w:after="0" w:line="240" w:lineRule="auto"/>
      <w:ind w:left="1797" w:hanging="198"/>
    </w:pPr>
  </w:style>
  <w:style w:type="paragraph" w:styleId="TOC6">
    <w:name w:val="toc 6"/>
    <w:basedOn w:val="Normal"/>
    <w:next w:val="Normal"/>
    <w:uiPriority w:val="39"/>
    <w:unhideWhenUsed/>
    <w:rsid w:val="003A706F"/>
    <w:pPr>
      <w:tabs>
        <w:tab w:val="right" w:pos="9071"/>
      </w:tabs>
      <w:spacing w:before="120" w:after="120"/>
      <w:ind w:left="2268" w:hanging="1134"/>
    </w:pPr>
    <w:rPr>
      <w:noProof/>
    </w:rPr>
  </w:style>
  <w:style w:type="paragraph" w:styleId="TOC7">
    <w:name w:val="toc 7"/>
    <w:basedOn w:val="Normal"/>
    <w:next w:val="Normal"/>
    <w:uiPriority w:val="39"/>
    <w:unhideWhenUsed/>
    <w:rsid w:val="003A706F"/>
    <w:pPr>
      <w:tabs>
        <w:tab w:val="right" w:pos="9071"/>
      </w:tabs>
      <w:spacing w:before="120" w:after="120"/>
      <w:ind w:left="2693" w:hanging="1276"/>
    </w:pPr>
    <w:rPr>
      <w:noProof/>
    </w:rPr>
  </w:style>
  <w:style w:type="paragraph" w:styleId="TOC8">
    <w:name w:val="toc 8"/>
    <w:basedOn w:val="Normal"/>
    <w:next w:val="Normal"/>
    <w:uiPriority w:val="39"/>
    <w:unhideWhenUsed/>
    <w:rsid w:val="003A706F"/>
    <w:pPr>
      <w:tabs>
        <w:tab w:val="right" w:pos="9071"/>
      </w:tabs>
      <w:spacing w:before="120" w:after="120"/>
      <w:ind w:left="3118" w:hanging="1417"/>
    </w:pPr>
    <w:rPr>
      <w:noProof/>
    </w:rPr>
  </w:style>
  <w:style w:type="paragraph" w:styleId="TOC9">
    <w:name w:val="toc 9"/>
    <w:basedOn w:val="Normal"/>
    <w:next w:val="Normal"/>
    <w:uiPriority w:val="39"/>
    <w:unhideWhenUsed/>
    <w:rsid w:val="003A706F"/>
    <w:pPr>
      <w:tabs>
        <w:tab w:val="right" w:pos="9071"/>
      </w:tabs>
      <w:spacing w:before="120" w:after="120"/>
      <w:ind w:left="3543" w:hanging="1559"/>
    </w:pPr>
    <w:rPr>
      <w:noProof/>
    </w:rPr>
  </w:style>
  <w:style w:type="paragraph" w:customStyle="1" w:styleId="Appendix6">
    <w:name w:val="Appendix 6"/>
    <w:basedOn w:val="BodyText"/>
    <w:next w:val="BodyText"/>
    <w:uiPriority w:val="34"/>
    <w:rsid w:val="00BB789B"/>
    <w:pPr>
      <w:keepNext/>
      <w:numPr>
        <w:ilvl w:val="5"/>
        <w:numId w:val="45"/>
      </w:numPr>
      <w:spacing w:after="40" w:line="240" w:lineRule="auto"/>
      <w:outlineLvl w:val="5"/>
    </w:pPr>
  </w:style>
  <w:style w:type="paragraph" w:customStyle="1" w:styleId="Appendix7">
    <w:name w:val="Appendix 7"/>
    <w:basedOn w:val="BodyText"/>
    <w:next w:val="BodyText"/>
    <w:uiPriority w:val="34"/>
    <w:rsid w:val="00BB789B"/>
    <w:pPr>
      <w:keepNext/>
      <w:numPr>
        <w:ilvl w:val="6"/>
        <w:numId w:val="45"/>
      </w:numPr>
      <w:spacing w:after="40" w:line="240" w:lineRule="auto"/>
      <w:outlineLvl w:val="6"/>
    </w:pPr>
  </w:style>
  <w:style w:type="paragraph" w:customStyle="1" w:styleId="Appendix8">
    <w:name w:val="Appendix 8"/>
    <w:basedOn w:val="BodyText"/>
    <w:next w:val="BodyText"/>
    <w:uiPriority w:val="34"/>
    <w:rsid w:val="00BB789B"/>
    <w:pPr>
      <w:keepNext/>
      <w:numPr>
        <w:ilvl w:val="7"/>
        <w:numId w:val="45"/>
      </w:numPr>
      <w:spacing w:after="40" w:line="240" w:lineRule="auto"/>
      <w:outlineLvl w:val="7"/>
    </w:pPr>
  </w:style>
  <w:style w:type="paragraph" w:customStyle="1" w:styleId="Appendix9">
    <w:name w:val="Appendix 9"/>
    <w:basedOn w:val="BodyText"/>
    <w:next w:val="BodyText"/>
    <w:uiPriority w:val="34"/>
    <w:rsid w:val="00BB789B"/>
    <w:pPr>
      <w:keepNext/>
      <w:numPr>
        <w:ilvl w:val="8"/>
        <w:numId w:val="45"/>
      </w:numPr>
      <w:spacing w:after="40" w:line="240" w:lineRule="auto"/>
      <w:outlineLvl w:val="8"/>
    </w:pPr>
  </w:style>
  <w:style w:type="paragraph" w:styleId="TOAHeading">
    <w:name w:val="toa heading"/>
    <w:basedOn w:val="BodyText"/>
    <w:next w:val="BodyText"/>
    <w:uiPriority w:val="99"/>
    <w:unhideWhenUsed/>
    <w:qFormat/>
    <w:rsid w:val="0012353B"/>
    <w:pPr>
      <w:keepNext/>
      <w:spacing w:before="480" w:after="40" w:line="240" w:lineRule="auto"/>
    </w:pPr>
    <w:rPr>
      <w:rFonts w:eastAsiaTheme="majorEastAsia" w:cstheme="majorBidi"/>
      <w:b/>
      <w:bCs/>
      <w:i/>
      <w:sz w:val="28"/>
      <w:szCs w:val="24"/>
    </w:rPr>
  </w:style>
  <w:style w:type="paragraph" w:styleId="Date">
    <w:name w:val="Date"/>
    <w:basedOn w:val="Normal"/>
    <w:next w:val="Normal"/>
    <w:link w:val="DateChar"/>
    <w:hidden/>
    <w:uiPriority w:val="99"/>
    <w:unhideWhenUsed/>
    <w:rsid w:val="005D1275"/>
  </w:style>
  <w:style w:type="character" w:customStyle="1" w:styleId="DateChar">
    <w:name w:val="Date Char"/>
    <w:basedOn w:val="DefaultParagraphFont"/>
    <w:link w:val="Date"/>
    <w:uiPriority w:val="99"/>
    <w:rsid w:val="005D1275"/>
  </w:style>
  <w:style w:type="paragraph" w:styleId="CommentText">
    <w:name w:val="annotation text"/>
    <w:basedOn w:val="Normal"/>
    <w:link w:val="CommentTextChar"/>
    <w:hidden/>
    <w:uiPriority w:val="99"/>
    <w:unhideWhenUsed/>
    <w:rsid w:val="005D1275"/>
    <w:pPr>
      <w:spacing w:line="240" w:lineRule="auto"/>
    </w:pPr>
  </w:style>
  <w:style w:type="character" w:customStyle="1" w:styleId="CommentTextChar">
    <w:name w:val="Comment Text Char"/>
    <w:basedOn w:val="DefaultParagraphFont"/>
    <w:link w:val="CommentText"/>
    <w:uiPriority w:val="99"/>
    <w:rsid w:val="005D1275"/>
  </w:style>
  <w:style w:type="paragraph" w:styleId="CommentSubject">
    <w:name w:val="annotation subject"/>
    <w:basedOn w:val="CommentText"/>
    <w:next w:val="CommentText"/>
    <w:link w:val="CommentSubjectChar"/>
    <w:uiPriority w:val="99"/>
    <w:unhideWhenUsed/>
    <w:rsid w:val="005D1275"/>
    <w:rPr>
      <w:b/>
      <w:bCs/>
    </w:rPr>
  </w:style>
  <w:style w:type="character" w:customStyle="1" w:styleId="CommentSubjectChar">
    <w:name w:val="Comment Subject Char"/>
    <w:basedOn w:val="CommentTextChar"/>
    <w:link w:val="CommentSubject"/>
    <w:uiPriority w:val="99"/>
    <w:rsid w:val="005D1275"/>
    <w:rPr>
      <w:b/>
      <w:bCs/>
    </w:rPr>
  </w:style>
  <w:style w:type="paragraph" w:styleId="TableofFigures">
    <w:name w:val="table of figures"/>
    <w:basedOn w:val="Normal"/>
    <w:next w:val="Normal"/>
    <w:hidden/>
    <w:uiPriority w:val="99"/>
    <w:unhideWhenUsed/>
    <w:rsid w:val="005221BC"/>
    <w:pPr>
      <w:spacing w:after="0"/>
    </w:pPr>
  </w:style>
  <w:style w:type="paragraph" w:styleId="TableofAuthorities">
    <w:name w:val="table of authorities"/>
    <w:basedOn w:val="Normal"/>
    <w:next w:val="Normal"/>
    <w:uiPriority w:val="99"/>
    <w:unhideWhenUsed/>
    <w:rsid w:val="00954316"/>
    <w:pPr>
      <w:tabs>
        <w:tab w:val="right" w:leader="dot" w:pos="9060"/>
      </w:tabs>
      <w:spacing w:after="0"/>
      <w:ind w:left="198" w:hanging="198"/>
    </w:pPr>
  </w:style>
  <w:style w:type="paragraph" w:styleId="Signature">
    <w:name w:val="Signature"/>
    <w:basedOn w:val="Normal"/>
    <w:link w:val="SignatureChar"/>
    <w:hidden/>
    <w:uiPriority w:val="99"/>
    <w:unhideWhenUsed/>
    <w:rsid w:val="005221BC"/>
    <w:pPr>
      <w:spacing w:after="0" w:line="240" w:lineRule="auto"/>
      <w:ind w:left="4253"/>
    </w:pPr>
  </w:style>
  <w:style w:type="character" w:customStyle="1" w:styleId="SignatureChar">
    <w:name w:val="Signature Char"/>
    <w:basedOn w:val="DefaultParagraphFont"/>
    <w:link w:val="Signature"/>
    <w:uiPriority w:val="99"/>
    <w:rsid w:val="005221BC"/>
  </w:style>
  <w:style w:type="paragraph" w:styleId="Quote">
    <w:name w:val="Quote"/>
    <w:basedOn w:val="Normal"/>
    <w:next w:val="Normal"/>
    <w:link w:val="QuoteChar"/>
    <w:hidden/>
    <w:uiPriority w:val="29"/>
    <w:unhideWhenUsed/>
    <w:rsid w:val="004D17CD"/>
    <w:rPr>
      <w:i/>
      <w:iCs/>
      <w:color w:val="000000" w:themeColor="text1"/>
    </w:rPr>
  </w:style>
  <w:style w:type="character" w:customStyle="1" w:styleId="QuoteChar">
    <w:name w:val="Quote Char"/>
    <w:basedOn w:val="DefaultParagraphFont"/>
    <w:link w:val="Quote"/>
    <w:uiPriority w:val="29"/>
    <w:rsid w:val="004D17CD"/>
    <w:rPr>
      <w:i/>
      <w:iCs/>
      <w:color w:val="000000" w:themeColor="text1"/>
    </w:rPr>
  </w:style>
  <w:style w:type="paragraph" w:styleId="PlainText">
    <w:name w:val="Plain Text"/>
    <w:basedOn w:val="Normal"/>
    <w:link w:val="PlainTextChar"/>
    <w:uiPriority w:val="99"/>
    <w:unhideWhenUsed/>
    <w:rsid w:val="007D79D5"/>
    <w:pPr>
      <w:spacing w:after="0" w:line="240" w:lineRule="auto"/>
    </w:pPr>
    <w:rPr>
      <w:rFonts w:ascii="Consolas" w:hAnsi="Consolas"/>
      <w:szCs w:val="21"/>
    </w:rPr>
  </w:style>
  <w:style w:type="character" w:customStyle="1" w:styleId="PlainTextChar">
    <w:name w:val="Plain Text Char"/>
    <w:basedOn w:val="DefaultParagraphFont"/>
    <w:link w:val="PlainText"/>
    <w:uiPriority w:val="99"/>
    <w:rsid w:val="007D79D5"/>
    <w:rPr>
      <w:rFonts w:ascii="Consolas" w:hAnsi="Consolas"/>
      <w:szCs w:val="21"/>
    </w:rPr>
  </w:style>
  <w:style w:type="paragraph" w:styleId="NoteHeading">
    <w:name w:val="Note Heading"/>
    <w:basedOn w:val="Normal"/>
    <w:next w:val="Normal"/>
    <w:link w:val="NoteHeadingChar"/>
    <w:hidden/>
    <w:uiPriority w:val="99"/>
    <w:unhideWhenUsed/>
    <w:rsid w:val="007D79D5"/>
    <w:pPr>
      <w:spacing w:after="0" w:line="240" w:lineRule="auto"/>
    </w:pPr>
  </w:style>
  <w:style w:type="character" w:customStyle="1" w:styleId="NoteHeadingChar">
    <w:name w:val="Note Heading Char"/>
    <w:basedOn w:val="DefaultParagraphFont"/>
    <w:link w:val="NoteHeading"/>
    <w:uiPriority w:val="99"/>
    <w:rsid w:val="007D79D5"/>
  </w:style>
  <w:style w:type="paragraph" w:styleId="NormalIndent">
    <w:name w:val="Normal Indent"/>
    <w:basedOn w:val="Normal"/>
    <w:hidden/>
    <w:uiPriority w:val="99"/>
    <w:unhideWhenUsed/>
    <w:rsid w:val="004D17CD"/>
    <w:pPr>
      <w:ind w:left="720"/>
    </w:pPr>
  </w:style>
  <w:style w:type="paragraph" w:styleId="NormalWeb">
    <w:name w:val="Normal (Web)"/>
    <w:basedOn w:val="Normal"/>
    <w:hidden/>
    <w:uiPriority w:val="99"/>
    <w:unhideWhenUsed/>
    <w:rsid w:val="004D17CD"/>
    <w:rPr>
      <w:rFonts w:ascii="Times New Roman" w:hAnsi="Times New Roman" w:cs="Times New Roman"/>
      <w:sz w:val="24"/>
      <w:szCs w:val="24"/>
    </w:rPr>
  </w:style>
  <w:style w:type="paragraph" w:styleId="NoSpacing">
    <w:name w:val="No Spacing"/>
    <w:uiPriority w:val="34"/>
    <w:unhideWhenUsed/>
    <w:rsid w:val="00BB789B"/>
    <w:pPr>
      <w:spacing w:after="0" w:line="240" w:lineRule="auto"/>
    </w:pPr>
  </w:style>
  <w:style w:type="paragraph" w:styleId="MessageHeader">
    <w:name w:val="Message Header"/>
    <w:basedOn w:val="Normal"/>
    <w:link w:val="MessageHeaderChar"/>
    <w:hidden/>
    <w:uiPriority w:val="99"/>
    <w:unhideWhenUsed/>
    <w:rsid w:val="006048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heme="majorEastAsia" w:cstheme="majorBidi"/>
      <w:sz w:val="24"/>
      <w:szCs w:val="24"/>
    </w:rPr>
  </w:style>
  <w:style w:type="character" w:customStyle="1" w:styleId="MessageHeaderChar">
    <w:name w:val="Message Header Char"/>
    <w:basedOn w:val="DefaultParagraphFont"/>
    <w:link w:val="MessageHeader"/>
    <w:uiPriority w:val="99"/>
    <w:rsid w:val="00604825"/>
    <w:rPr>
      <w:rFonts w:eastAsiaTheme="majorEastAsia" w:cstheme="majorBidi"/>
      <w:sz w:val="24"/>
      <w:szCs w:val="24"/>
      <w:shd w:val="pct20" w:color="auto" w:fill="auto"/>
    </w:rPr>
  </w:style>
  <w:style w:type="paragraph" w:styleId="MacroText">
    <w:name w:val="macro"/>
    <w:link w:val="MacroTextChar"/>
    <w:hidden/>
    <w:uiPriority w:val="99"/>
    <w:unhideWhenUsed/>
    <w:rsid w:val="00604825"/>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rPr>
  </w:style>
  <w:style w:type="character" w:customStyle="1" w:styleId="MacroTextChar">
    <w:name w:val="Macro Text Char"/>
    <w:basedOn w:val="DefaultParagraphFont"/>
    <w:link w:val="MacroText"/>
    <w:uiPriority w:val="99"/>
    <w:rsid w:val="00604825"/>
    <w:rPr>
      <w:rFonts w:ascii="Consolas" w:hAnsi="Consolas"/>
    </w:rPr>
  </w:style>
  <w:style w:type="paragraph" w:styleId="IndexHeading">
    <w:name w:val="index heading"/>
    <w:basedOn w:val="Normal"/>
    <w:next w:val="Index1"/>
    <w:hidden/>
    <w:uiPriority w:val="99"/>
    <w:unhideWhenUsed/>
    <w:rsid w:val="009B21FB"/>
    <w:rPr>
      <w:rFonts w:eastAsiaTheme="majorEastAsia" w:cstheme="majorBidi"/>
      <w:b/>
      <w:bCs/>
    </w:rPr>
  </w:style>
  <w:style w:type="paragraph" w:styleId="HTMLPreformatted">
    <w:name w:val="HTML Preformatted"/>
    <w:basedOn w:val="Normal"/>
    <w:link w:val="HTMLPreformattedChar"/>
    <w:hidden/>
    <w:uiPriority w:val="99"/>
    <w:unhideWhenUsed/>
    <w:rsid w:val="009B21FB"/>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rsid w:val="009B21FB"/>
    <w:rPr>
      <w:rFonts w:ascii="Consolas" w:hAnsi="Consolas"/>
    </w:rPr>
  </w:style>
  <w:style w:type="paragraph" w:styleId="HTMLAddress">
    <w:name w:val="HTML Address"/>
    <w:basedOn w:val="Normal"/>
    <w:link w:val="HTMLAddressChar"/>
    <w:uiPriority w:val="99"/>
    <w:unhideWhenUsed/>
    <w:rsid w:val="009B21FB"/>
    <w:pPr>
      <w:spacing w:after="0" w:line="240" w:lineRule="auto"/>
    </w:pPr>
    <w:rPr>
      <w:i/>
      <w:iCs/>
    </w:rPr>
  </w:style>
  <w:style w:type="character" w:customStyle="1" w:styleId="HTMLAddressChar">
    <w:name w:val="HTML Address Char"/>
    <w:basedOn w:val="DefaultParagraphFont"/>
    <w:link w:val="HTMLAddress"/>
    <w:uiPriority w:val="99"/>
    <w:rsid w:val="009B21FB"/>
    <w:rPr>
      <w:i/>
      <w:iCs/>
    </w:rPr>
  </w:style>
  <w:style w:type="paragraph" w:styleId="FootnoteText">
    <w:name w:val="footnote text"/>
    <w:basedOn w:val="Normal"/>
    <w:link w:val="FootnoteTextChar"/>
    <w:uiPriority w:val="99"/>
    <w:unhideWhenUsed/>
    <w:rsid w:val="00BB789B"/>
    <w:pPr>
      <w:spacing w:after="60" w:line="240" w:lineRule="auto"/>
    </w:pPr>
    <w:rPr>
      <w:sz w:val="18"/>
    </w:rPr>
  </w:style>
  <w:style w:type="character" w:customStyle="1" w:styleId="FootnoteTextChar">
    <w:name w:val="Footnote Text Char"/>
    <w:basedOn w:val="DefaultParagraphFont"/>
    <w:link w:val="FootnoteText"/>
    <w:uiPriority w:val="99"/>
    <w:rsid w:val="00BB789B"/>
    <w:rPr>
      <w:sz w:val="18"/>
    </w:rPr>
  </w:style>
  <w:style w:type="paragraph" w:styleId="EnvelopeReturn">
    <w:name w:val="envelope return"/>
    <w:basedOn w:val="Normal"/>
    <w:hidden/>
    <w:uiPriority w:val="99"/>
    <w:unhideWhenUsed/>
    <w:rsid w:val="007E18F6"/>
    <w:pPr>
      <w:spacing w:after="0" w:line="240" w:lineRule="auto"/>
    </w:pPr>
    <w:rPr>
      <w:rFonts w:eastAsiaTheme="majorEastAsia" w:cstheme="majorBidi"/>
    </w:rPr>
  </w:style>
  <w:style w:type="paragraph" w:styleId="EnvelopeAddress">
    <w:name w:val="envelope address"/>
    <w:basedOn w:val="Normal"/>
    <w:hidden/>
    <w:uiPriority w:val="99"/>
    <w:unhideWhenUsed/>
    <w:rsid w:val="007E18F6"/>
    <w:pPr>
      <w:framePr w:w="7920" w:h="1980" w:hRule="exact" w:hSpace="141" w:wrap="auto" w:hAnchor="page" w:xAlign="center" w:yAlign="bottom"/>
      <w:spacing w:after="0" w:line="240" w:lineRule="auto"/>
      <w:ind w:left="2880"/>
    </w:pPr>
    <w:rPr>
      <w:rFonts w:eastAsiaTheme="majorEastAsia" w:cstheme="majorBidi"/>
      <w:sz w:val="24"/>
      <w:szCs w:val="24"/>
    </w:rPr>
  </w:style>
  <w:style w:type="paragraph" w:styleId="EndnoteText">
    <w:name w:val="endnote text"/>
    <w:basedOn w:val="Normal"/>
    <w:link w:val="EndnoteTextChar"/>
    <w:uiPriority w:val="99"/>
    <w:unhideWhenUsed/>
    <w:rsid w:val="007E18F6"/>
    <w:pPr>
      <w:spacing w:after="0" w:line="240" w:lineRule="auto"/>
    </w:pPr>
  </w:style>
  <w:style w:type="character" w:customStyle="1" w:styleId="EndnoteTextChar">
    <w:name w:val="Endnote Text Char"/>
    <w:basedOn w:val="DefaultParagraphFont"/>
    <w:link w:val="EndnoteText"/>
    <w:uiPriority w:val="99"/>
    <w:rsid w:val="007E18F6"/>
  </w:style>
  <w:style w:type="paragraph" w:styleId="E-mailSignature">
    <w:name w:val="E-mail Signature"/>
    <w:basedOn w:val="Normal"/>
    <w:link w:val="E-mailSignatureChar"/>
    <w:hidden/>
    <w:uiPriority w:val="99"/>
    <w:unhideWhenUsed/>
    <w:rsid w:val="007E18F6"/>
    <w:pPr>
      <w:spacing w:after="0" w:line="240" w:lineRule="auto"/>
    </w:pPr>
  </w:style>
  <w:style w:type="character" w:customStyle="1" w:styleId="E-mailSignatureChar">
    <w:name w:val="E-mail Signature Char"/>
    <w:basedOn w:val="DefaultParagraphFont"/>
    <w:link w:val="E-mailSignature"/>
    <w:uiPriority w:val="99"/>
    <w:rsid w:val="007E18F6"/>
  </w:style>
  <w:style w:type="paragraph" w:styleId="DocumentMap">
    <w:name w:val="Document Map"/>
    <w:basedOn w:val="Normal"/>
    <w:link w:val="DocumentMapChar"/>
    <w:hidden/>
    <w:uiPriority w:val="99"/>
    <w:unhideWhenUsed/>
    <w:rsid w:val="007E18F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rsid w:val="007E18F6"/>
    <w:rPr>
      <w:rFonts w:ascii="Tahoma" w:hAnsi="Tahoma" w:cs="Tahoma"/>
      <w:sz w:val="16"/>
      <w:szCs w:val="16"/>
    </w:rPr>
  </w:style>
  <w:style w:type="paragraph" w:styleId="Closing">
    <w:name w:val="Closing"/>
    <w:basedOn w:val="Normal"/>
    <w:link w:val="ClosingChar"/>
    <w:hidden/>
    <w:uiPriority w:val="99"/>
    <w:unhideWhenUsed/>
    <w:rsid w:val="007E18F6"/>
    <w:pPr>
      <w:spacing w:after="0" w:line="240" w:lineRule="auto"/>
      <w:ind w:left="4252"/>
    </w:pPr>
  </w:style>
  <w:style w:type="character" w:customStyle="1" w:styleId="ClosingChar">
    <w:name w:val="Closing Char"/>
    <w:basedOn w:val="DefaultParagraphFont"/>
    <w:link w:val="Closing"/>
    <w:uiPriority w:val="99"/>
    <w:rsid w:val="007E18F6"/>
  </w:style>
  <w:style w:type="paragraph" w:styleId="BodyTextIndent3">
    <w:name w:val="Body Text Indent 3"/>
    <w:basedOn w:val="Normal"/>
    <w:next w:val="BodyTextIndent"/>
    <w:link w:val="BodyTextIndent3Char"/>
    <w:uiPriority w:val="99"/>
    <w:unhideWhenUsed/>
    <w:rsid w:val="00BB789B"/>
    <w:pPr>
      <w:spacing w:after="120" w:line="480" w:lineRule="auto"/>
      <w:ind w:left="283"/>
    </w:pPr>
    <w:rPr>
      <w:sz w:val="16"/>
      <w:szCs w:val="16"/>
    </w:rPr>
  </w:style>
  <w:style w:type="character" w:customStyle="1" w:styleId="BodyTextIndent3Char">
    <w:name w:val="Body Text Indent 3 Char"/>
    <w:basedOn w:val="DefaultParagraphFont"/>
    <w:link w:val="BodyTextIndent3"/>
    <w:uiPriority w:val="99"/>
    <w:rsid w:val="00BB789B"/>
    <w:rPr>
      <w:sz w:val="16"/>
      <w:szCs w:val="16"/>
    </w:rPr>
  </w:style>
  <w:style w:type="paragraph" w:styleId="BodyTextIndent2">
    <w:name w:val="Body Text Indent 2"/>
    <w:basedOn w:val="Normal"/>
    <w:next w:val="BodyTextIndent"/>
    <w:link w:val="BodyTextIndent2Char"/>
    <w:uiPriority w:val="99"/>
    <w:unhideWhenUsed/>
    <w:rsid w:val="00BB789B"/>
    <w:pPr>
      <w:spacing w:after="120" w:line="480" w:lineRule="auto"/>
      <w:ind w:left="283"/>
    </w:pPr>
  </w:style>
  <w:style w:type="character" w:customStyle="1" w:styleId="BodyTextIndent2Char">
    <w:name w:val="Body Text Indent 2 Char"/>
    <w:basedOn w:val="DefaultParagraphFont"/>
    <w:link w:val="BodyTextIndent2"/>
    <w:uiPriority w:val="99"/>
    <w:rsid w:val="00BB789B"/>
  </w:style>
  <w:style w:type="paragraph" w:styleId="BodyTextIndent">
    <w:name w:val="Body Text Indent"/>
    <w:basedOn w:val="Normal"/>
    <w:link w:val="BodyTextIndentChar"/>
    <w:uiPriority w:val="99"/>
    <w:unhideWhenUsed/>
    <w:rsid w:val="00BB789B"/>
    <w:pPr>
      <w:spacing w:after="120"/>
      <w:ind w:left="283"/>
    </w:pPr>
  </w:style>
  <w:style w:type="character" w:customStyle="1" w:styleId="BodyTextIndentChar">
    <w:name w:val="Body Text Indent Char"/>
    <w:basedOn w:val="DefaultParagraphFont"/>
    <w:link w:val="BodyTextIndent"/>
    <w:uiPriority w:val="99"/>
    <w:rsid w:val="00BB789B"/>
  </w:style>
  <w:style w:type="paragraph" w:styleId="BodyTextFirstIndent2">
    <w:name w:val="Body Text First Indent 2"/>
    <w:basedOn w:val="Normal"/>
    <w:link w:val="BodyTextFirstIndent2Char"/>
    <w:uiPriority w:val="99"/>
    <w:unhideWhenUsed/>
    <w:rsid w:val="00BB789B"/>
    <w:pPr>
      <w:ind w:left="283" w:firstLine="283"/>
    </w:pPr>
  </w:style>
  <w:style w:type="character" w:customStyle="1" w:styleId="BodyTextFirstIndent2Char">
    <w:name w:val="Body Text First Indent 2 Char"/>
    <w:basedOn w:val="BodyTextIndentChar"/>
    <w:link w:val="BodyTextFirstIndent2"/>
    <w:uiPriority w:val="99"/>
    <w:rsid w:val="00BB789B"/>
  </w:style>
  <w:style w:type="paragraph" w:styleId="BodyTextFirstIndent">
    <w:name w:val="Body Text First Indent"/>
    <w:basedOn w:val="BodyText"/>
    <w:link w:val="BodyTextFirstIndentChar"/>
    <w:uiPriority w:val="99"/>
    <w:unhideWhenUsed/>
    <w:rsid w:val="00BB789B"/>
    <w:pPr>
      <w:ind w:firstLine="283"/>
    </w:pPr>
  </w:style>
  <w:style w:type="character" w:customStyle="1" w:styleId="BodyTextFirstIndentChar">
    <w:name w:val="Body Text First Indent Char"/>
    <w:basedOn w:val="BodyTextChar"/>
    <w:link w:val="BodyTextFirstIndent"/>
    <w:uiPriority w:val="99"/>
    <w:rsid w:val="00BB789B"/>
  </w:style>
  <w:style w:type="paragraph" w:styleId="BodyText3">
    <w:name w:val="Body Text 3"/>
    <w:basedOn w:val="Normal"/>
    <w:link w:val="BodyText3Char"/>
    <w:uiPriority w:val="99"/>
    <w:unhideWhenUsed/>
    <w:rsid w:val="00BB789B"/>
    <w:pPr>
      <w:spacing w:after="120"/>
    </w:pPr>
    <w:rPr>
      <w:sz w:val="16"/>
      <w:szCs w:val="16"/>
    </w:rPr>
  </w:style>
  <w:style w:type="character" w:customStyle="1" w:styleId="BodyText3Char">
    <w:name w:val="Body Text 3 Char"/>
    <w:basedOn w:val="DefaultParagraphFont"/>
    <w:link w:val="BodyText3"/>
    <w:uiPriority w:val="99"/>
    <w:rsid w:val="00BB789B"/>
    <w:rPr>
      <w:sz w:val="16"/>
      <w:szCs w:val="16"/>
    </w:rPr>
  </w:style>
  <w:style w:type="paragraph" w:styleId="BodyText2">
    <w:name w:val="Body Text 2"/>
    <w:basedOn w:val="Normal"/>
    <w:link w:val="BodyText2Char"/>
    <w:uiPriority w:val="99"/>
    <w:unhideWhenUsed/>
    <w:rsid w:val="00BB789B"/>
    <w:pPr>
      <w:spacing w:after="120" w:line="480" w:lineRule="auto"/>
    </w:pPr>
  </w:style>
  <w:style w:type="character" w:customStyle="1" w:styleId="BodyText2Char">
    <w:name w:val="Body Text 2 Char"/>
    <w:basedOn w:val="DefaultParagraphFont"/>
    <w:link w:val="BodyText2"/>
    <w:uiPriority w:val="99"/>
    <w:rsid w:val="00BB789B"/>
  </w:style>
  <w:style w:type="paragraph" w:styleId="Bibliography">
    <w:name w:val="Bibliography"/>
    <w:basedOn w:val="Normal"/>
    <w:uiPriority w:val="37"/>
    <w:unhideWhenUsed/>
    <w:rsid w:val="00BB789B"/>
  </w:style>
  <w:style w:type="paragraph" w:customStyle="1" w:styleId="BlockText2">
    <w:name w:val="Block Text 2"/>
    <w:basedOn w:val="Normal"/>
    <w:next w:val="BodyText2"/>
    <w:uiPriority w:val="99"/>
    <w:rsid w:val="00BB789B"/>
    <w:pPr>
      <w:pBdr>
        <w:top w:val="single" w:sz="8" w:space="10" w:color="DC6900" w:themeColor="text2"/>
        <w:left w:val="single" w:sz="8" w:space="10" w:color="DC6900" w:themeColor="text2"/>
        <w:bottom w:val="single" w:sz="8" w:space="10" w:color="DC6900" w:themeColor="text2"/>
        <w:right w:val="single" w:sz="8" w:space="10" w:color="DC6900" w:themeColor="text2"/>
      </w:pBdr>
      <w:shd w:val="solid" w:color="DC6900" w:themeColor="text2" w:fill="DC6900" w:themeFill="text2"/>
      <w:spacing w:line="240" w:lineRule="auto"/>
      <w:ind w:left="227" w:right="227"/>
    </w:pPr>
    <w:rPr>
      <w:b/>
      <w:i/>
      <w:color w:val="FFFFFF" w:themeColor="background2"/>
      <w:sz w:val="48"/>
      <w:szCs w:val="48"/>
    </w:rPr>
  </w:style>
  <w:style w:type="paragraph" w:customStyle="1" w:styleId="BlockText3">
    <w:name w:val="Block Text 3"/>
    <w:basedOn w:val="Normal"/>
    <w:next w:val="BodyText3"/>
    <w:uiPriority w:val="99"/>
    <w:rsid w:val="00BB789B"/>
    <w:pPr>
      <w:pBdr>
        <w:top w:val="single" w:sz="8" w:space="10" w:color="F2F2F2" w:themeColor="background2" w:themeShade="F2"/>
        <w:left w:val="single" w:sz="8" w:space="10" w:color="F2F2F2" w:themeColor="background2" w:themeShade="F2"/>
        <w:bottom w:val="single" w:sz="8" w:space="10" w:color="F2F2F2" w:themeColor="background2" w:themeShade="F2"/>
        <w:right w:val="single" w:sz="8" w:space="10" w:color="F2F2F2" w:themeColor="background2" w:themeShade="F2"/>
      </w:pBdr>
      <w:shd w:val="solid" w:color="F2F2F2" w:themeColor="background2" w:themeShade="F2" w:fill="F2F2F2" w:themeFill="background2" w:themeFillShade="F2"/>
      <w:spacing w:line="240" w:lineRule="auto"/>
      <w:ind w:left="227" w:right="227"/>
    </w:pPr>
    <w:rPr>
      <w:rFonts w:eastAsiaTheme="minorEastAsia"/>
      <w:b/>
      <w:i/>
      <w:iCs/>
      <w:color w:val="DC6900" w:themeColor="accent1"/>
      <w:sz w:val="96"/>
    </w:rPr>
  </w:style>
  <w:style w:type="paragraph" w:customStyle="1" w:styleId="Version-2010001">
    <w:name w:val="Version-2010.001"/>
    <w:basedOn w:val="Normal"/>
    <w:uiPriority w:val="34"/>
    <w:rsid w:val="00BB789B"/>
  </w:style>
  <w:style w:type="paragraph" w:customStyle="1" w:styleId="Headline6">
    <w:name w:val="Headline 6"/>
    <w:basedOn w:val="BodyText"/>
    <w:next w:val="BodyText"/>
    <w:uiPriority w:val="34"/>
    <w:rsid w:val="00BB789B"/>
    <w:pPr>
      <w:keepNext/>
      <w:spacing w:after="40" w:line="240" w:lineRule="auto"/>
    </w:pPr>
  </w:style>
  <w:style w:type="paragraph" w:customStyle="1" w:styleId="Headline7">
    <w:name w:val="Headline 7"/>
    <w:basedOn w:val="BodyText"/>
    <w:next w:val="BodyText"/>
    <w:uiPriority w:val="34"/>
    <w:rsid w:val="00BB789B"/>
    <w:pPr>
      <w:keepNext/>
      <w:spacing w:after="40" w:line="240" w:lineRule="auto"/>
    </w:pPr>
  </w:style>
  <w:style w:type="paragraph" w:customStyle="1" w:styleId="Headline8">
    <w:name w:val="Headline 8"/>
    <w:basedOn w:val="BodyText"/>
    <w:next w:val="BodyText"/>
    <w:uiPriority w:val="34"/>
    <w:rsid w:val="00BB789B"/>
    <w:pPr>
      <w:keepNext/>
      <w:spacing w:after="40" w:line="240" w:lineRule="auto"/>
    </w:pPr>
  </w:style>
  <w:style w:type="paragraph" w:customStyle="1" w:styleId="Headline9">
    <w:name w:val="Headline 9"/>
    <w:basedOn w:val="BodyText"/>
    <w:next w:val="BodyText"/>
    <w:uiPriority w:val="34"/>
    <w:rsid w:val="00BB789B"/>
    <w:pPr>
      <w:keepNext/>
      <w:spacing w:after="40" w:line="240" w:lineRule="auto"/>
    </w:pPr>
  </w:style>
  <w:style w:type="paragraph" w:customStyle="1" w:styleId="NoteBullet">
    <w:name w:val="Note Bullet"/>
    <w:basedOn w:val="NoteBody"/>
    <w:uiPriority w:val="34"/>
    <w:rsid w:val="00BB789B"/>
    <w:pPr>
      <w:numPr>
        <w:numId w:val="42"/>
      </w:numPr>
      <w:contextualSpacing/>
    </w:pPr>
  </w:style>
  <w:style w:type="paragraph" w:customStyle="1" w:styleId="NoteNumber">
    <w:name w:val="Note Number"/>
    <w:basedOn w:val="NoteBody"/>
    <w:uiPriority w:val="34"/>
    <w:rsid w:val="00BB789B"/>
    <w:pPr>
      <w:numPr>
        <w:numId w:val="44"/>
      </w:numPr>
      <w:contextualSpacing/>
    </w:pPr>
  </w:style>
  <w:style w:type="numbering" w:styleId="ArticleSection">
    <w:name w:val="Outline List 3"/>
    <w:basedOn w:val="NoList"/>
    <w:uiPriority w:val="99"/>
    <w:semiHidden/>
    <w:unhideWhenUsed/>
    <w:rsid w:val="00BB789B"/>
    <w:pPr>
      <w:numPr>
        <w:numId w:val="38"/>
      </w:numPr>
    </w:pPr>
  </w:style>
  <w:style w:type="numbering" w:styleId="1ai">
    <w:name w:val="Outline List 1"/>
    <w:basedOn w:val="NoList"/>
    <w:uiPriority w:val="99"/>
    <w:semiHidden/>
    <w:unhideWhenUsed/>
    <w:rsid w:val="00BB789B"/>
    <w:pPr>
      <w:numPr>
        <w:numId w:val="39"/>
      </w:numPr>
    </w:pPr>
  </w:style>
  <w:style w:type="numbering" w:styleId="111111">
    <w:name w:val="Outline List 2"/>
    <w:basedOn w:val="NoList"/>
    <w:uiPriority w:val="99"/>
    <w:semiHidden/>
    <w:unhideWhenUsed/>
    <w:rsid w:val="00BB789B"/>
    <w:pPr>
      <w:numPr>
        <w:numId w:val="40"/>
      </w:numPr>
    </w:pPr>
  </w:style>
  <w:style w:type="character" w:styleId="BookTitle">
    <w:name w:val="Book Title"/>
    <w:basedOn w:val="DefaultParagraphFont"/>
    <w:uiPriority w:val="33"/>
    <w:semiHidden/>
    <w:unhideWhenUsed/>
    <w:qFormat/>
    <w:rsid w:val="00BB789B"/>
    <w:rPr>
      <w:b/>
      <w:bCs/>
      <w:i w:val="0"/>
      <w:caps w:val="0"/>
      <w:smallCaps/>
      <w:color w:val="auto"/>
      <w:spacing w:val="5"/>
      <w:kern w:val="0"/>
      <w:u w:val="none"/>
    </w:rPr>
  </w:style>
  <w:style w:type="paragraph" w:customStyle="1" w:styleId="ChartTableTitleRight">
    <w:name w:val="Chart Table Title Right"/>
    <w:basedOn w:val="Normal"/>
    <w:uiPriority w:val="34"/>
    <w:qFormat/>
    <w:rsid w:val="00BB789B"/>
    <w:pPr>
      <w:spacing w:after="0"/>
      <w:jc w:val="right"/>
    </w:pPr>
    <w:rPr>
      <w:b/>
    </w:rPr>
  </w:style>
  <w:style w:type="paragraph" w:customStyle="1" w:styleId="ChartTableTitleArial">
    <w:name w:val="Chart Table Title Arial"/>
    <w:basedOn w:val="Normal"/>
    <w:next w:val="ChartTableTitle"/>
    <w:uiPriority w:val="34"/>
    <w:qFormat/>
    <w:rsid w:val="00BB789B"/>
    <w:pPr>
      <w:spacing w:after="0"/>
    </w:pPr>
    <w:rPr>
      <w:rFonts w:ascii="Arial" w:hAnsi="Arial" w:cs="Arial"/>
      <w:b/>
    </w:rPr>
  </w:style>
  <w:style w:type="paragraph" w:customStyle="1" w:styleId="ChartTableTitleArialRight">
    <w:name w:val="Chart Table Title Arial Right"/>
    <w:basedOn w:val="Normal"/>
    <w:next w:val="ChartTableTitleRight"/>
    <w:uiPriority w:val="34"/>
    <w:qFormat/>
    <w:rsid w:val="00BB789B"/>
    <w:pPr>
      <w:spacing w:after="0"/>
      <w:jc w:val="right"/>
    </w:pPr>
    <w:rPr>
      <w:rFonts w:ascii="Arial" w:hAnsi="Arial" w:cs="Arial"/>
      <w:b/>
    </w:rPr>
  </w:style>
  <w:style w:type="paragraph" w:customStyle="1" w:styleId="ChartText">
    <w:name w:val="Chart Text"/>
    <w:basedOn w:val="BodyText"/>
    <w:uiPriority w:val="34"/>
    <w:qFormat/>
    <w:rsid w:val="00BB789B"/>
    <w:pPr>
      <w:spacing w:after="0"/>
    </w:pPr>
    <w:rPr>
      <w:rFonts w:ascii="Arial" w:hAnsi="Arial" w:cs="Arial"/>
    </w:rPr>
  </w:style>
  <w:style w:type="paragraph" w:customStyle="1" w:styleId="ChartTextRight">
    <w:name w:val="Chart Text Right"/>
    <w:basedOn w:val="BodyText"/>
    <w:uiPriority w:val="34"/>
    <w:qFormat/>
    <w:rsid w:val="00BB789B"/>
    <w:pPr>
      <w:spacing w:after="0"/>
      <w:jc w:val="right"/>
    </w:pPr>
    <w:rPr>
      <w:rFonts w:ascii="Arial" w:hAnsi="Arial" w:cs="Arial"/>
    </w:rPr>
  </w:style>
  <w:style w:type="table" w:customStyle="1" w:styleId="ColorfulGrid1">
    <w:name w:val="Colorful Grid1"/>
    <w:basedOn w:val="TableNormal"/>
    <w:hidden/>
    <w:uiPriority w:val="73"/>
    <w:rsid w:val="00BB789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hidden/>
    <w:uiPriority w:val="73"/>
    <w:rsid w:val="00BB789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0C5" w:themeFill="accent1" w:themeFillTint="33"/>
    </w:tcPr>
    <w:tblStylePr w:type="firstRow">
      <w:rPr>
        <w:b/>
        <w:bCs/>
      </w:rPr>
      <w:tblPr/>
      <w:tcPr>
        <w:shd w:val="clear" w:color="auto" w:fill="FFC28B" w:themeFill="accent1" w:themeFillTint="66"/>
      </w:tcPr>
    </w:tblStylePr>
    <w:tblStylePr w:type="lastRow">
      <w:rPr>
        <w:b/>
        <w:bCs/>
        <w:color w:val="000000" w:themeColor="text1"/>
      </w:rPr>
      <w:tblPr/>
      <w:tcPr>
        <w:shd w:val="clear" w:color="auto" w:fill="FFC28B" w:themeFill="accent1" w:themeFillTint="66"/>
      </w:tcPr>
    </w:tblStylePr>
    <w:tblStylePr w:type="firstCol">
      <w:rPr>
        <w:color w:val="FFFFFF" w:themeColor="background1"/>
      </w:rPr>
      <w:tblPr/>
      <w:tcPr>
        <w:shd w:val="clear" w:color="auto" w:fill="A44E00" w:themeFill="accent1" w:themeFillShade="BF"/>
      </w:tcPr>
    </w:tblStylePr>
    <w:tblStylePr w:type="lastCol">
      <w:rPr>
        <w:color w:val="FFFFFF" w:themeColor="background1"/>
      </w:rPr>
      <w:tblPr/>
      <w:tcPr>
        <w:shd w:val="clear" w:color="auto" w:fill="A44E00" w:themeFill="accent1" w:themeFillShade="BF"/>
      </w:tcPr>
    </w:tblStylePr>
    <w:tblStylePr w:type="band1Vert">
      <w:tblPr/>
      <w:tcPr>
        <w:shd w:val="clear" w:color="auto" w:fill="FFB26E" w:themeFill="accent1" w:themeFillTint="7F"/>
      </w:tcPr>
    </w:tblStylePr>
    <w:tblStylePr w:type="band1Horz">
      <w:tblPr/>
      <w:tcPr>
        <w:shd w:val="clear" w:color="auto" w:fill="FFB26E" w:themeFill="accent1" w:themeFillTint="7F"/>
      </w:tcPr>
    </w:tblStylePr>
  </w:style>
  <w:style w:type="table" w:styleId="ColorfulGrid-Accent2">
    <w:name w:val="Colorful Grid Accent 2"/>
    <w:basedOn w:val="TableNormal"/>
    <w:hidden/>
    <w:uiPriority w:val="73"/>
    <w:rsid w:val="00BB789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0CC" w:themeFill="accent2" w:themeFillTint="33"/>
    </w:tcPr>
    <w:tblStylePr w:type="firstRow">
      <w:rPr>
        <w:b/>
        <w:bCs/>
      </w:rPr>
      <w:tblPr/>
      <w:tcPr>
        <w:shd w:val="clear" w:color="auto" w:fill="FFE199" w:themeFill="accent2" w:themeFillTint="66"/>
      </w:tcPr>
    </w:tblStylePr>
    <w:tblStylePr w:type="lastRow">
      <w:rPr>
        <w:b/>
        <w:bCs/>
        <w:color w:val="000000" w:themeColor="text1"/>
      </w:rPr>
      <w:tblPr/>
      <w:tcPr>
        <w:shd w:val="clear" w:color="auto" w:fill="FFE199" w:themeFill="accent2" w:themeFillTint="66"/>
      </w:tcPr>
    </w:tblStylePr>
    <w:tblStylePr w:type="firstCol">
      <w:rPr>
        <w:color w:val="FFFFFF" w:themeColor="background1"/>
      </w:rPr>
      <w:tblPr/>
      <w:tcPr>
        <w:shd w:val="clear" w:color="auto" w:fill="BF8800" w:themeFill="accent2" w:themeFillShade="BF"/>
      </w:tcPr>
    </w:tblStylePr>
    <w:tblStylePr w:type="lastCol">
      <w:rPr>
        <w:color w:val="FFFFFF" w:themeColor="background1"/>
      </w:rPr>
      <w:tblPr/>
      <w:tcPr>
        <w:shd w:val="clear" w:color="auto" w:fill="BF8800" w:themeFill="accent2" w:themeFillShade="BF"/>
      </w:tcPr>
    </w:tblStylePr>
    <w:tblStylePr w:type="band1Vert">
      <w:tblPr/>
      <w:tcPr>
        <w:shd w:val="clear" w:color="auto" w:fill="FFDA80" w:themeFill="accent2" w:themeFillTint="7F"/>
      </w:tcPr>
    </w:tblStylePr>
    <w:tblStylePr w:type="band1Horz">
      <w:tblPr/>
      <w:tcPr>
        <w:shd w:val="clear" w:color="auto" w:fill="FFDA80" w:themeFill="accent2" w:themeFillTint="7F"/>
      </w:tcPr>
    </w:tblStylePr>
  </w:style>
  <w:style w:type="table" w:styleId="ColorfulGrid-Accent3">
    <w:name w:val="Colorful Grid Accent 3"/>
    <w:basedOn w:val="TableNormal"/>
    <w:hidden/>
    <w:uiPriority w:val="73"/>
    <w:rsid w:val="00BB789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C7C5" w:themeFill="accent3" w:themeFillTint="33"/>
    </w:tcPr>
    <w:tblStylePr w:type="firstRow">
      <w:rPr>
        <w:b/>
        <w:bCs/>
      </w:rPr>
      <w:tblPr/>
      <w:tcPr>
        <w:shd w:val="clear" w:color="auto" w:fill="D88F8C" w:themeFill="accent3" w:themeFillTint="66"/>
      </w:tcPr>
    </w:tblStylePr>
    <w:tblStylePr w:type="lastRow">
      <w:rPr>
        <w:b/>
        <w:bCs/>
        <w:color w:val="000000" w:themeColor="text1"/>
      </w:rPr>
      <w:tblPr/>
      <w:tcPr>
        <w:shd w:val="clear" w:color="auto" w:fill="D88F8C" w:themeFill="accent3" w:themeFillTint="66"/>
      </w:tcPr>
    </w:tblStylePr>
    <w:tblStylePr w:type="firstCol">
      <w:rPr>
        <w:color w:val="FFFFFF" w:themeColor="background1"/>
      </w:rPr>
      <w:tblPr/>
      <w:tcPr>
        <w:shd w:val="clear" w:color="auto" w:fill="471A18" w:themeFill="accent3" w:themeFillShade="BF"/>
      </w:tcPr>
    </w:tblStylePr>
    <w:tblStylePr w:type="lastCol">
      <w:rPr>
        <w:color w:val="FFFFFF" w:themeColor="background1"/>
      </w:rPr>
      <w:tblPr/>
      <w:tcPr>
        <w:shd w:val="clear" w:color="auto" w:fill="471A18" w:themeFill="accent3" w:themeFillShade="BF"/>
      </w:tcPr>
    </w:tblStylePr>
    <w:tblStylePr w:type="band1Vert">
      <w:tblPr/>
      <w:tcPr>
        <w:shd w:val="clear" w:color="auto" w:fill="CF7470" w:themeFill="accent3" w:themeFillTint="7F"/>
      </w:tcPr>
    </w:tblStylePr>
    <w:tblStylePr w:type="band1Horz">
      <w:tblPr/>
      <w:tcPr>
        <w:shd w:val="clear" w:color="auto" w:fill="CF7470" w:themeFill="accent3" w:themeFillTint="7F"/>
      </w:tcPr>
    </w:tblStylePr>
  </w:style>
  <w:style w:type="table" w:styleId="ColorfulGrid-Accent4">
    <w:name w:val="Colorful Grid Accent 4"/>
    <w:basedOn w:val="TableNormal"/>
    <w:hidden/>
    <w:uiPriority w:val="73"/>
    <w:rsid w:val="00BB789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9E3E6" w:themeFill="accent4" w:themeFillTint="33"/>
    </w:tcPr>
    <w:tblStylePr w:type="firstRow">
      <w:rPr>
        <w:b/>
        <w:bCs/>
      </w:rPr>
      <w:tblPr/>
      <w:tcPr>
        <w:shd w:val="clear" w:color="auto" w:fill="F3C7CF" w:themeFill="accent4" w:themeFillTint="66"/>
      </w:tcPr>
    </w:tblStylePr>
    <w:tblStylePr w:type="lastRow">
      <w:rPr>
        <w:b/>
        <w:bCs/>
        <w:color w:val="000000" w:themeColor="text1"/>
      </w:rPr>
      <w:tblPr/>
      <w:tcPr>
        <w:shd w:val="clear" w:color="auto" w:fill="F3C7CF" w:themeFill="accent4" w:themeFillTint="66"/>
      </w:tcPr>
    </w:tblStylePr>
    <w:tblStylePr w:type="firstCol">
      <w:rPr>
        <w:color w:val="FFFFFF" w:themeColor="background1"/>
      </w:rPr>
      <w:tblPr/>
      <w:tcPr>
        <w:shd w:val="clear" w:color="auto" w:fill="D32D4A" w:themeFill="accent4" w:themeFillShade="BF"/>
      </w:tcPr>
    </w:tblStylePr>
    <w:tblStylePr w:type="lastCol">
      <w:rPr>
        <w:color w:val="FFFFFF" w:themeColor="background1"/>
      </w:rPr>
      <w:tblPr/>
      <w:tcPr>
        <w:shd w:val="clear" w:color="auto" w:fill="D32D4A" w:themeFill="accent4" w:themeFillShade="BF"/>
      </w:tcPr>
    </w:tblStylePr>
    <w:tblStylePr w:type="band1Vert">
      <w:tblPr/>
      <w:tcPr>
        <w:shd w:val="clear" w:color="auto" w:fill="F0BAC3" w:themeFill="accent4" w:themeFillTint="7F"/>
      </w:tcPr>
    </w:tblStylePr>
    <w:tblStylePr w:type="band1Horz">
      <w:tblPr/>
      <w:tcPr>
        <w:shd w:val="clear" w:color="auto" w:fill="F0BAC3" w:themeFill="accent4" w:themeFillTint="7F"/>
      </w:tcPr>
    </w:tblStylePr>
  </w:style>
  <w:style w:type="table" w:styleId="ColorfulGrid-Accent5">
    <w:name w:val="Colorful Grid Accent 5"/>
    <w:basedOn w:val="TableNormal"/>
    <w:hidden/>
    <w:uiPriority w:val="73"/>
    <w:rsid w:val="00BB789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CACA" w:themeFill="accent5" w:themeFillTint="33"/>
    </w:tcPr>
    <w:tblStylePr w:type="firstRow">
      <w:rPr>
        <w:b/>
        <w:bCs/>
      </w:rPr>
      <w:tblPr/>
      <w:tcPr>
        <w:shd w:val="clear" w:color="auto" w:fill="EA9595" w:themeFill="accent5" w:themeFillTint="66"/>
      </w:tcPr>
    </w:tblStylePr>
    <w:tblStylePr w:type="lastRow">
      <w:rPr>
        <w:b/>
        <w:bCs/>
        <w:color w:val="000000" w:themeColor="text1"/>
      </w:rPr>
      <w:tblPr/>
      <w:tcPr>
        <w:shd w:val="clear" w:color="auto" w:fill="EA9595" w:themeFill="accent5" w:themeFillTint="66"/>
      </w:tcPr>
    </w:tblStylePr>
    <w:tblStylePr w:type="firstCol">
      <w:rPr>
        <w:color w:val="FFFFFF" w:themeColor="background1"/>
      </w:rPr>
      <w:tblPr/>
      <w:tcPr>
        <w:shd w:val="clear" w:color="auto" w:fill="7A1818" w:themeFill="accent5" w:themeFillShade="BF"/>
      </w:tcPr>
    </w:tblStylePr>
    <w:tblStylePr w:type="lastCol">
      <w:rPr>
        <w:color w:val="FFFFFF" w:themeColor="background1"/>
      </w:rPr>
      <w:tblPr/>
      <w:tcPr>
        <w:shd w:val="clear" w:color="auto" w:fill="7A1818" w:themeFill="accent5" w:themeFillShade="BF"/>
      </w:tcPr>
    </w:tblStylePr>
    <w:tblStylePr w:type="band1Vert">
      <w:tblPr/>
      <w:tcPr>
        <w:shd w:val="clear" w:color="auto" w:fill="E57B7B" w:themeFill="accent5" w:themeFillTint="7F"/>
      </w:tcPr>
    </w:tblStylePr>
    <w:tblStylePr w:type="band1Horz">
      <w:tblPr/>
      <w:tcPr>
        <w:shd w:val="clear" w:color="auto" w:fill="E57B7B" w:themeFill="accent5" w:themeFillTint="7F"/>
      </w:tcPr>
    </w:tblStylePr>
  </w:style>
  <w:style w:type="table" w:styleId="ColorfulGrid-Accent6">
    <w:name w:val="Colorful Grid Accent 6"/>
    <w:basedOn w:val="TableNormal"/>
    <w:hidden/>
    <w:uiPriority w:val="73"/>
    <w:rsid w:val="00BB789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9D5D1" w:themeFill="accent6" w:themeFillTint="33"/>
    </w:tcPr>
    <w:tblStylePr w:type="firstRow">
      <w:rPr>
        <w:b/>
        <w:bCs/>
      </w:rPr>
      <w:tblPr/>
      <w:tcPr>
        <w:shd w:val="clear" w:color="auto" w:fill="F3ABA4" w:themeFill="accent6" w:themeFillTint="66"/>
      </w:tcPr>
    </w:tblStylePr>
    <w:tblStylePr w:type="lastRow">
      <w:rPr>
        <w:b/>
        <w:bCs/>
        <w:color w:val="000000" w:themeColor="text1"/>
      </w:rPr>
      <w:tblPr/>
      <w:tcPr>
        <w:shd w:val="clear" w:color="auto" w:fill="F3ABA4" w:themeFill="accent6" w:themeFillTint="66"/>
      </w:tcPr>
    </w:tblStylePr>
    <w:tblStylePr w:type="firstCol">
      <w:rPr>
        <w:color w:val="FFFFFF" w:themeColor="background1"/>
      </w:rPr>
      <w:tblPr/>
      <w:tcPr>
        <w:shd w:val="clear" w:color="auto" w:fill="A72316" w:themeFill="accent6" w:themeFillShade="BF"/>
      </w:tcPr>
    </w:tblStylePr>
    <w:tblStylePr w:type="lastCol">
      <w:rPr>
        <w:color w:val="FFFFFF" w:themeColor="background1"/>
      </w:rPr>
      <w:tblPr/>
      <w:tcPr>
        <w:shd w:val="clear" w:color="auto" w:fill="A72316" w:themeFill="accent6" w:themeFillShade="BF"/>
      </w:tcPr>
    </w:tblStylePr>
    <w:tblStylePr w:type="band1Vert">
      <w:tblPr/>
      <w:tcPr>
        <w:shd w:val="clear" w:color="auto" w:fill="F0978E" w:themeFill="accent6" w:themeFillTint="7F"/>
      </w:tcPr>
    </w:tblStylePr>
    <w:tblStylePr w:type="band1Horz">
      <w:tblPr/>
      <w:tcPr>
        <w:shd w:val="clear" w:color="auto" w:fill="F0978E" w:themeFill="accent6" w:themeFillTint="7F"/>
      </w:tcPr>
    </w:tblStylePr>
  </w:style>
  <w:style w:type="table" w:customStyle="1" w:styleId="ColorfulList1">
    <w:name w:val="Colorful List1"/>
    <w:basedOn w:val="TableNormal"/>
    <w:hidden/>
    <w:uiPriority w:val="72"/>
    <w:rsid w:val="00BB789B"/>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hidden/>
    <w:uiPriority w:val="72"/>
    <w:rsid w:val="00BB789B"/>
    <w:pPr>
      <w:spacing w:after="0" w:line="240" w:lineRule="auto"/>
    </w:pPr>
    <w:rPr>
      <w:color w:val="000000" w:themeColor="text1"/>
    </w:rPr>
    <w:tblPr>
      <w:tblStyleRowBandSize w:val="1"/>
      <w:tblStyleColBandSize w:val="1"/>
    </w:tblPr>
    <w:tcPr>
      <w:shd w:val="clear" w:color="auto" w:fill="FFEFE2" w:themeFill="accent1"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9B7" w:themeFill="accent1" w:themeFillTint="3F"/>
      </w:tcPr>
    </w:tblStylePr>
    <w:tblStylePr w:type="band1Horz">
      <w:tblPr/>
      <w:tcPr>
        <w:shd w:val="clear" w:color="auto" w:fill="FFE0C5" w:themeFill="accent1" w:themeFillTint="33"/>
      </w:tcPr>
    </w:tblStylePr>
  </w:style>
  <w:style w:type="table" w:styleId="ColorfulList-Accent2">
    <w:name w:val="Colorful List Accent 2"/>
    <w:basedOn w:val="TableNormal"/>
    <w:hidden/>
    <w:uiPriority w:val="72"/>
    <w:rsid w:val="00BB789B"/>
    <w:pPr>
      <w:spacing w:after="0" w:line="240" w:lineRule="auto"/>
    </w:pPr>
    <w:rPr>
      <w:color w:val="000000" w:themeColor="text1"/>
    </w:rPr>
    <w:tblPr>
      <w:tblStyleRowBandSize w:val="1"/>
      <w:tblStyleColBandSize w:val="1"/>
    </w:tblPr>
    <w:tcPr>
      <w:shd w:val="clear" w:color="auto" w:fill="FFF7E6" w:themeFill="accent2"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CC0" w:themeFill="accent2" w:themeFillTint="3F"/>
      </w:tcPr>
    </w:tblStylePr>
    <w:tblStylePr w:type="band1Horz">
      <w:tblPr/>
      <w:tcPr>
        <w:shd w:val="clear" w:color="auto" w:fill="FFF0CC" w:themeFill="accent2" w:themeFillTint="33"/>
      </w:tcPr>
    </w:tblStylePr>
  </w:style>
  <w:style w:type="table" w:styleId="ColorfulList-Accent3">
    <w:name w:val="Colorful List Accent 3"/>
    <w:basedOn w:val="TableNormal"/>
    <w:hidden/>
    <w:uiPriority w:val="72"/>
    <w:rsid w:val="00BB789B"/>
    <w:pPr>
      <w:spacing w:after="0" w:line="240" w:lineRule="auto"/>
    </w:pPr>
    <w:rPr>
      <w:color w:val="000000" w:themeColor="text1"/>
    </w:rPr>
    <w:tblPr>
      <w:tblStyleRowBandSize w:val="1"/>
      <w:tblStyleColBandSize w:val="1"/>
    </w:tblPr>
    <w:tcPr>
      <w:shd w:val="clear" w:color="auto" w:fill="F5E3E2" w:themeFill="accent3" w:themeFillTint="19"/>
    </w:tcPr>
    <w:tblStylePr w:type="firstRow">
      <w:rPr>
        <w:b/>
        <w:bCs/>
        <w:color w:val="FFFFFF" w:themeColor="background1"/>
      </w:rPr>
      <w:tblPr/>
      <w:tcPr>
        <w:tcBorders>
          <w:bottom w:val="single" w:sz="12" w:space="0" w:color="FFFFFF" w:themeColor="background1"/>
        </w:tcBorders>
        <w:shd w:val="clear" w:color="auto" w:fill="D63C56" w:themeFill="accent4" w:themeFillShade="CC"/>
      </w:tcPr>
    </w:tblStylePr>
    <w:tblStylePr w:type="lastRow">
      <w:rPr>
        <w:b/>
        <w:bCs/>
        <w:color w:val="D63C5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BAB8" w:themeFill="accent3" w:themeFillTint="3F"/>
      </w:tcPr>
    </w:tblStylePr>
    <w:tblStylePr w:type="band1Horz">
      <w:tblPr/>
      <w:tcPr>
        <w:shd w:val="clear" w:color="auto" w:fill="EBC7C5" w:themeFill="accent3" w:themeFillTint="33"/>
      </w:tcPr>
    </w:tblStylePr>
  </w:style>
  <w:style w:type="table" w:styleId="ColorfulList-Accent4">
    <w:name w:val="Colorful List Accent 4"/>
    <w:basedOn w:val="TableNormal"/>
    <w:hidden/>
    <w:uiPriority w:val="72"/>
    <w:rsid w:val="00BB789B"/>
    <w:pPr>
      <w:spacing w:after="0" w:line="240" w:lineRule="auto"/>
    </w:pPr>
    <w:rPr>
      <w:color w:val="000000" w:themeColor="text1"/>
    </w:rPr>
    <w:tblPr>
      <w:tblStyleRowBandSize w:val="1"/>
      <w:tblStyleColBandSize w:val="1"/>
    </w:tblPr>
    <w:tcPr>
      <w:shd w:val="clear" w:color="auto" w:fill="FCF1F3" w:themeFill="accent4" w:themeFillTint="19"/>
    </w:tcPr>
    <w:tblStylePr w:type="firstRow">
      <w:rPr>
        <w:b/>
        <w:bCs/>
        <w:color w:val="FFFFFF" w:themeColor="background1"/>
      </w:rPr>
      <w:tblPr/>
      <w:tcPr>
        <w:tcBorders>
          <w:bottom w:val="single" w:sz="12" w:space="0" w:color="FFFFFF" w:themeColor="background1"/>
        </w:tcBorders>
        <w:shd w:val="clear" w:color="auto" w:fill="4C1B19" w:themeFill="accent3" w:themeFillShade="CC"/>
      </w:tcPr>
    </w:tblStylePr>
    <w:tblStylePr w:type="lastRow">
      <w:rPr>
        <w:b/>
        <w:bCs/>
        <w:color w:val="4C1B19"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DCE1" w:themeFill="accent4" w:themeFillTint="3F"/>
      </w:tcPr>
    </w:tblStylePr>
    <w:tblStylePr w:type="band1Horz">
      <w:tblPr/>
      <w:tcPr>
        <w:shd w:val="clear" w:color="auto" w:fill="F9E3E6" w:themeFill="accent4" w:themeFillTint="33"/>
      </w:tcPr>
    </w:tblStylePr>
  </w:style>
  <w:style w:type="table" w:styleId="ColorfulList-Accent5">
    <w:name w:val="Colorful List Accent 5"/>
    <w:basedOn w:val="TableNormal"/>
    <w:hidden/>
    <w:uiPriority w:val="72"/>
    <w:rsid w:val="00BB789B"/>
    <w:pPr>
      <w:spacing w:after="0" w:line="240" w:lineRule="auto"/>
    </w:pPr>
    <w:rPr>
      <w:color w:val="000000" w:themeColor="text1"/>
    </w:rPr>
    <w:tblPr>
      <w:tblStyleRowBandSize w:val="1"/>
      <w:tblStyleColBandSize w:val="1"/>
    </w:tblPr>
    <w:tcPr>
      <w:shd w:val="clear" w:color="auto" w:fill="FAE5E5" w:themeFill="accent5" w:themeFillTint="19"/>
    </w:tcPr>
    <w:tblStylePr w:type="firstRow">
      <w:rPr>
        <w:b/>
        <w:bCs/>
        <w:color w:val="FFFFFF" w:themeColor="background1"/>
      </w:rPr>
      <w:tblPr/>
      <w:tcPr>
        <w:tcBorders>
          <w:bottom w:val="single" w:sz="12" w:space="0" w:color="FFFFFF" w:themeColor="background1"/>
        </w:tcBorders>
        <w:shd w:val="clear" w:color="auto" w:fill="B22618" w:themeFill="accent6" w:themeFillShade="CC"/>
      </w:tcPr>
    </w:tblStylePr>
    <w:tblStylePr w:type="lastRow">
      <w:rPr>
        <w:b/>
        <w:bCs/>
        <w:color w:val="B2261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BDBD" w:themeFill="accent5" w:themeFillTint="3F"/>
      </w:tcPr>
    </w:tblStylePr>
    <w:tblStylePr w:type="band1Horz">
      <w:tblPr/>
      <w:tcPr>
        <w:shd w:val="clear" w:color="auto" w:fill="F4CACA" w:themeFill="accent5" w:themeFillTint="33"/>
      </w:tcPr>
    </w:tblStylePr>
  </w:style>
  <w:style w:type="table" w:styleId="ColorfulList-Accent6">
    <w:name w:val="Colorful List Accent 6"/>
    <w:basedOn w:val="TableNormal"/>
    <w:hidden/>
    <w:uiPriority w:val="72"/>
    <w:rsid w:val="00BB789B"/>
    <w:pPr>
      <w:spacing w:after="0" w:line="240" w:lineRule="auto"/>
    </w:pPr>
    <w:rPr>
      <w:color w:val="000000" w:themeColor="text1"/>
    </w:rPr>
    <w:tblPr>
      <w:tblStyleRowBandSize w:val="1"/>
      <w:tblStyleColBandSize w:val="1"/>
    </w:tblPr>
    <w:tcPr>
      <w:shd w:val="clear" w:color="auto" w:fill="FCEAE8" w:themeFill="accent6" w:themeFillTint="19"/>
    </w:tcPr>
    <w:tblStylePr w:type="firstRow">
      <w:rPr>
        <w:b/>
        <w:bCs/>
        <w:color w:val="FFFFFF" w:themeColor="background1"/>
      </w:rPr>
      <w:tblPr/>
      <w:tcPr>
        <w:tcBorders>
          <w:bottom w:val="single" w:sz="12" w:space="0" w:color="FFFFFF" w:themeColor="background1"/>
        </w:tcBorders>
        <w:shd w:val="clear" w:color="auto" w:fill="821919" w:themeFill="accent5" w:themeFillShade="CC"/>
      </w:tcPr>
    </w:tblStylePr>
    <w:tblStylePr w:type="lastRow">
      <w:rPr>
        <w:b/>
        <w:bCs/>
        <w:color w:val="82191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CBC7" w:themeFill="accent6" w:themeFillTint="3F"/>
      </w:tcPr>
    </w:tblStylePr>
    <w:tblStylePr w:type="band1Horz">
      <w:tblPr/>
      <w:tcPr>
        <w:shd w:val="clear" w:color="auto" w:fill="F9D5D1" w:themeFill="accent6" w:themeFillTint="33"/>
      </w:tcPr>
    </w:tblStylePr>
  </w:style>
  <w:style w:type="table" w:customStyle="1" w:styleId="ColorfulShading1">
    <w:name w:val="Colorful Shading1"/>
    <w:basedOn w:val="TableNormal"/>
    <w:hidden/>
    <w:uiPriority w:val="71"/>
    <w:rsid w:val="00BB789B"/>
    <w:pPr>
      <w:spacing w:after="0" w:line="240" w:lineRule="auto"/>
    </w:pPr>
    <w:rPr>
      <w:color w:val="000000" w:themeColor="text1"/>
    </w:rPr>
    <w:tblPr>
      <w:tblStyleRowBandSize w:val="1"/>
      <w:tblStyleColBandSize w:val="1"/>
      <w:tblBorders>
        <w:top w:val="single" w:sz="24" w:space="0" w:color="FFB6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hidden/>
    <w:uiPriority w:val="71"/>
    <w:rsid w:val="00BB789B"/>
    <w:pPr>
      <w:spacing w:after="0" w:line="240" w:lineRule="auto"/>
    </w:pPr>
    <w:rPr>
      <w:color w:val="000000" w:themeColor="text1"/>
    </w:rPr>
    <w:tblPr>
      <w:tblStyleRowBandSize w:val="1"/>
      <w:tblStyleColBandSize w:val="1"/>
      <w:tblBorders>
        <w:top w:val="single" w:sz="24" w:space="0" w:color="FFB600" w:themeColor="accent2"/>
        <w:left w:val="single" w:sz="4" w:space="0" w:color="DC6900" w:themeColor="accent1"/>
        <w:bottom w:val="single" w:sz="4" w:space="0" w:color="DC6900" w:themeColor="accent1"/>
        <w:right w:val="single" w:sz="4" w:space="0" w:color="DC6900" w:themeColor="accent1"/>
        <w:insideH w:val="single" w:sz="4" w:space="0" w:color="FFFFFF" w:themeColor="background1"/>
        <w:insideV w:val="single" w:sz="4" w:space="0" w:color="FFFFFF" w:themeColor="background1"/>
      </w:tblBorders>
    </w:tblPr>
    <w:tcPr>
      <w:shd w:val="clear" w:color="auto" w:fill="FFEFE2" w:themeFill="accent1"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43E00" w:themeFill="accent1" w:themeFillShade="99"/>
      </w:tcPr>
    </w:tblStylePr>
    <w:tblStylePr w:type="firstCol">
      <w:rPr>
        <w:color w:val="FFFFFF" w:themeColor="background1"/>
      </w:rPr>
      <w:tblPr/>
      <w:tcPr>
        <w:tcBorders>
          <w:top w:val="nil"/>
          <w:left w:val="nil"/>
          <w:bottom w:val="nil"/>
          <w:right w:val="nil"/>
          <w:insideH w:val="single" w:sz="4" w:space="0" w:color="843E00" w:themeColor="accent1" w:themeShade="99"/>
          <w:insideV w:val="nil"/>
        </w:tcBorders>
        <w:shd w:val="clear" w:color="auto" w:fill="843E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43E00" w:themeFill="accent1" w:themeFillShade="99"/>
      </w:tcPr>
    </w:tblStylePr>
    <w:tblStylePr w:type="band1Vert">
      <w:tblPr/>
      <w:tcPr>
        <w:shd w:val="clear" w:color="auto" w:fill="FFC28B" w:themeFill="accent1" w:themeFillTint="66"/>
      </w:tcPr>
    </w:tblStylePr>
    <w:tblStylePr w:type="band1Horz">
      <w:tblPr/>
      <w:tcPr>
        <w:shd w:val="clear" w:color="auto" w:fill="FFB26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hidden/>
    <w:uiPriority w:val="71"/>
    <w:rsid w:val="00BB789B"/>
    <w:pPr>
      <w:spacing w:after="0" w:line="240" w:lineRule="auto"/>
    </w:pPr>
    <w:rPr>
      <w:color w:val="000000" w:themeColor="text1"/>
    </w:rPr>
    <w:tblPr>
      <w:tblStyleRowBandSize w:val="1"/>
      <w:tblStyleColBandSize w:val="1"/>
      <w:tblBorders>
        <w:top w:val="single" w:sz="24" w:space="0" w:color="FFB600" w:themeColor="accent2"/>
        <w:left w:val="single" w:sz="4" w:space="0" w:color="FFB600" w:themeColor="accent2"/>
        <w:bottom w:val="single" w:sz="4" w:space="0" w:color="FFB600" w:themeColor="accent2"/>
        <w:right w:val="single" w:sz="4" w:space="0" w:color="FFB600" w:themeColor="accent2"/>
        <w:insideH w:val="single" w:sz="4" w:space="0" w:color="FFFFFF" w:themeColor="background1"/>
        <w:insideV w:val="single" w:sz="4" w:space="0" w:color="FFFFFF" w:themeColor="background1"/>
      </w:tblBorders>
    </w:tblPr>
    <w:tcPr>
      <w:shd w:val="clear" w:color="auto" w:fill="FFF7E6" w:themeFill="accent2"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6D00" w:themeFill="accent2" w:themeFillShade="99"/>
      </w:tcPr>
    </w:tblStylePr>
    <w:tblStylePr w:type="firstCol">
      <w:rPr>
        <w:color w:val="FFFFFF" w:themeColor="background1"/>
      </w:rPr>
      <w:tblPr/>
      <w:tcPr>
        <w:tcBorders>
          <w:top w:val="nil"/>
          <w:left w:val="nil"/>
          <w:bottom w:val="nil"/>
          <w:right w:val="nil"/>
          <w:insideH w:val="single" w:sz="4" w:space="0" w:color="996D00" w:themeColor="accent2" w:themeShade="99"/>
          <w:insideV w:val="nil"/>
        </w:tcBorders>
        <w:shd w:val="clear" w:color="auto" w:fill="996D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6D00" w:themeFill="accent2" w:themeFillShade="99"/>
      </w:tcPr>
    </w:tblStylePr>
    <w:tblStylePr w:type="band1Vert">
      <w:tblPr/>
      <w:tcPr>
        <w:shd w:val="clear" w:color="auto" w:fill="FFE199" w:themeFill="accent2" w:themeFillTint="66"/>
      </w:tcPr>
    </w:tblStylePr>
    <w:tblStylePr w:type="band1Horz">
      <w:tblPr/>
      <w:tcPr>
        <w:shd w:val="clear" w:color="auto" w:fill="FFDA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hidden/>
    <w:uiPriority w:val="71"/>
    <w:rsid w:val="00BB789B"/>
    <w:pPr>
      <w:spacing w:after="0" w:line="240" w:lineRule="auto"/>
    </w:pPr>
    <w:rPr>
      <w:color w:val="000000" w:themeColor="text1"/>
    </w:rPr>
    <w:tblPr>
      <w:tblStyleRowBandSize w:val="1"/>
      <w:tblStyleColBandSize w:val="1"/>
      <w:tblBorders>
        <w:top w:val="single" w:sz="24" w:space="0" w:color="E27588" w:themeColor="accent4"/>
        <w:left w:val="single" w:sz="4" w:space="0" w:color="602320" w:themeColor="accent3"/>
        <w:bottom w:val="single" w:sz="4" w:space="0" w:color="602320" w:themeColor="accent3"/>
        <w:right w:val="single" w:sz="4" w:space="0" w:color="602320" w:themeColor="accent3"/>
        <w:insideH w:val="single" w:sz="4" w:space="0" w:color="FFFFFF" w:themeColor="background1"/>
        <w:insideV w:val="single" w:sz="4" w:space="0" w:color="FFFFFF" w:themeColor="background1"/>
      </w:tblBorders>
    </w:tblPr>
    <w:tcPr>
      <w:shd w:val="clear" w:color="auto" w:fill="F5E3E2" w:themeFill="accent3" w:themeFillTint="19"/>
    </w:tcPr>
    <w:tblStylePr w:type="firstRow">
      <w:rPr>
        <w:b/>
        <w:bCs/>
      </w:rPr>
      <w:tblPr/>
      <w:tcPr>
        <w:tcBorders>
          <w:top w:val="nil"/>
          <w:left w:val="nil"/>
          <w:bottom w:val="single" w:sz="24" w:space="0" w:color="E2758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1413" w:themeFill="accent3" w:themeFillShade="99"/>
      </w:tcPr>
    </w:tblStylePr>
    <w:tblStylePr w:type="firstCol">
      <w:rPr>
        <w:color w:val="FFFFFF" w:themeColor="background1"/>
      </w:rPr>
      <w:tblPr/>
      <w:tcPr>
        <w:tcBorders>
          <w:top w:val="nil"/>
          <w:left w:val="nil"/>
          <w:bottom w:val="nil"/>
          <w:right w:val="nil"/>
          <w:insideH w:val="single" w:sz="4" w:space="0" w:color="391413" w:themeColor="accent3" w:themeShade="99"/>
          <w:insideV w:val="nil"/>
        </w:tcBorders>
        <w:shd w:val="clear" w:color="auto" w:fill="39141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91413" w:themeFill="accent3" w:themeFillShade="99"/>
      </w:tcPr>
    </w:tblStylePr>
    <w:tblStylePr w:type="band1Vert">
      <w:tblPr/>
      <w:tcPr>
        <w:shd w:val="clear" w:color="auto" w:fill="D88F8C" w:themeFill="accent3" w:themeFillTint="66"/>
      </w:tcPr>
    </w:tblStylePr>
    <w:tblStylePr w:type="band1Horz">
      <w:tblPr/>
      <w:tcPr>
        <w:shd w:val="clear" w:color="auto" w:fill="CF7470" w:themeFill="accent3" w:themeFillTint="7F"/>
      </w:tcPr>
    </w:tblStylePr>
  </w:style>
  <w:style w:type="table" w:styleId="ColorfulShading-Accent4">
    <w:name w:val="Colorful Shading Accent 4"/>
    <w:basedOn w:val="TableNormal"/>
    <w:hidden/>
    <w:uiPriority w:val="71"/>
    <w:rsid w:val="00BB789B"/>
    <w:pPr>
      <w:spacing w:after="0" w:line="240" w:lineRule="auto"/>
    </w:pPr>
    <w:rPr>
      <w:color w:val="000000" w:themeColor="text1"/>
    </w:rPr>
    <w:tblPr>
      <w:tblStyleRowBandSize w:val="1"/>
      <w:tblStyleColBandSize w:val="1"/>
      <w:tblBorders>
        <w:top w:val="single" w:sz="24" w:space="0" w:color="602320" w:themeColor="accent3"/>
        <w:left w:val="single" w:sz="4" w:space="0" w:color="E27588" w:themeColor="accent4"/>
        <w:bottom w:val="single" w:sz="4" w:space="0" w:color="E27588" w:themeColor="accent4"/>
        <w:right w:val="single" w:sz="4" w:space="0" w:color="E27588" w:themeColor="accent4"/>
        <w:insideH w:val="single" w:sz="4" w:space="0" w:color="FFFFFF" w:themeColor="background1"/>
        <w:insideV w:val="single" w:sz="4" w:space="0" w:color="FFFFFF" w:themeColor="background1"/>
      </w:tblBorders>
    </w:tblPr>
    <w:tcPr>
      <w:shd w:val="clear" w:color="auto" w:fill="FCF1F3" w:themeFill="accent4" w:themeFillTint="19"/>
    </w:tcPr>
    <w:tblStylePr w:type="firstRow">
      <w:rPr>
        <w:b/>
        <w:bCs/>
      </w:rPr>
      <w:tblPr/>
      <w:tcPr>
        <w:tcBorders>
          <w:top w:val="nil"/>
          <w:left w:val="nil"/>
          <w:bottom w:val="single" w:sz="24" w:space="0" w:color="60232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9233A" w:themeFill="accent4" w:themeFillShade="99"/>
      </w:tcPr>
    </w:tblStylePr>
    <w:tblStylePr w:type="firstCol">
      <w:rPr>
        <w:color w:val="FFFFFF" w:themeColor="background1"/>
      </w:rPr>
      <w:tblPr/>
      <w:tcPr>
        <w:tcBorders>
          <w:top w:val="nil"/>
          <w:left w:val="nil"/>
          <w:bottom w:val="nil"/>
          <w:right w:val="nil"/>
          <w:insideH w:val="single" w:sz="4" w:space="0" w:color="A9233A" w:themeColor="accent4" w:themeShade="99"/>
          <w:insideV w:val="nil"/>
        </w:tcBorders>
        <w:shd w:val="clear" w:color="auto" w:fill="A9233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A9233A" w:themeFill="accent4" w:themeFillShade="99"/>
      </w:tcPr>
    </w:tblStylePr>
    <w:tblStylePr w:type="band1Vert">
      <w:tblPr/>
      <w:tcPr>
        <w:shd w:val="clear" w:color="auto" w:fill="F3C7CF" w:themeFill="accent4" w:themeFillTint="66"/>
      </w:tcPr>
    </w:tblStylePr>
    <w:tblStylePr w:type="band1Horz">
      <w:tblPr/>
      <w:tcPr>
        <w:shd w:val="clear" w:color="auto" w:fill="F0BAC3"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hidden/>
    <w:uiPriority w:val="71"/>
    <w:rsid w:val="00BB789B"/>
    <w:pPr>
      <w:spacing w:after="0" w:line="240" w:lineRule="auto"/>
    </w:pPr>
    <w:rPr>
      <w:color w:val="000000" w:themeColor="text1"/>
    </w:rPr>
    <w:tblPr>
      <w:tblStyleRowBandSize w:val="1"/>
      <w:tblStyleColBandSize w:val="1"/>
      <w:tblBorders>
        <w:top w:val="single" w:sz="24" w:space="0" w:color="E0301E" w:themeColor="accent6"/>
        <w:left w:val="single" w:sz="4" w:space="0" w:color="A32020" w:themeColor="accent5"/>
        <w:bottom w:val="single" w:sz="4" w:space="0" w:color="A32020" w:themeColor="accent5"/>
        <w:right w:val="single" w:sz="4" w:space="0" w:color="A32020" w:themeColor="accent5"/>
        <w:insideH w:val="single" w:sz="4" w:space="0" w:color="FFFFFF" w:themeColor="background1"/>
        <w:insideV w:val="single" w:sz="4" w:space="0" w:color="FFFFFF" w:themeColor="background1"/>
      </w:tblBorders>
    </w:tblPr>
    <w:tcPr>
      <w:shd w:val="clear" w:color="auto" w:fill="FAE5E5" w:themeFill="accent5" w:themeFillTint="19"/>
    </w:tcPr>
    <w:tblStylePr w:type="firstRow">
      <w:rPr>
        <w:b/>
        <w:bCs/>
      </w:rPr>
      <w:tblPr/>
      <w:tcPr>
        <w:tcBorders>
          <w:top w:val="nil"/>
          <w:left w:val="nil"/>
          <w:bottom w:val="single" w:sz="24" w:space="0" w:color="E0301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11313" w:themeFill="accent5" w:themeFillShade="99"/>
      </w:tcPr>
    </w:tblStylePr>
    <w:tblStylePr w:type="firstCol">
      <w:rPr>
        <w:color w:val="FFFFFF" w:themeColor="background1"/>
      </w:rPr>
      <w:tblPr/>
      <w:tcPr>
        <w:tcBorders>
          <w:top w:val="nil"/>
          <w:left w:val="nil"/>
          <w:bottom w:val="nil"/>
          <w:right w:val="nil"/>
          <w:insideH w:val="single" w:sz="4" w:space="0" w:color="611313" w:themeColor="accent5" w:themeShade="99"/>
          <w:insideV w:val="nil"/>
        </w:tcBorders>
        <w:shd w:val="clear" w:color="auto" w:fill="611313"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611313" w:themeFill="accent5" w:themeFillShade="99"/>
      </w:tcPr>
    </w:tblStylePr>
    <w:tblStylePr w:type="band1Vert">
      <w:tblPr/>
      <w:tcPr>
        <w:shd w:val="clear" w:color="auto" w:fill="EA9595" w:themeFill="accent5" w:themeFillTint="66"/>
      </w:tcPr>
    </w:tblStylePr>
    <w:tblStylePr w:type="band1Horz">
      <w:tblPr/>
      <w:tcPr>
        <w:shd w:val="clear" w:color="auto" w:fill="E57B7B"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hidden/>
    <w:uiPriority w:val="71"/>
    <w:rsid w:val="00BB789B"/>
    <w:pPr>
      <w:spacing w:after="0" w:line="240" w:lineRule="auto"/>
    </w:pPr>
    <w:rPr>
      <w:color w:val="000000" w:themeColor="text1"/>
    </w:rPr>
    <w:tblPr>
      <w:tblStyleRowBandSize w:val="1"/>
      <w:tblStyleColBandSize w:val="1"/>
      <w:tblBorders>
        <w:top w:val="single" w:sz="24" w:space="0" w:color="A32020" w:themeColor="accent5"/>
        <w:left w:val="single" w:sz="4" w:space="0" w:color="E0301E" w:themeColor="accent6"/>
        <w:bottom w:val="single" w:sz="4" w:space="0" w:color="E0301E" w:themeColor="accent6"/>
        <w:right w:val="single" w:sz="4" w:space="0" w:color="E0301E" w:themeColor="accent6"/>
        <w:insideH w:val="single" w:sz="4" w:space="0" w:color="FFFFFF" w:themeColor="background1"/>
        <w:insideV w:val="single" w:sz="4" w:space="0" w:color="FFFFFF" w:themeColor="background1"/>
      </w:tblBorders>
    </w:tblPr>
    <w:tcPr>
      <w:shd w:val="clear" w:color="auto" w:fill="FCEAE8" w:themeFill="accent6" w:themeFillTint="19"/>
    </w:tcPr>
    <w:tblStylePr w:type="firstRow">
      <w:rPr>
        <w:b/>
        <w:bCs/>
      </w:rPr>
      <w:tblPr/>
      <w:tcPr>
        <w:tcBorders>
          <w:top w:val="nil"/>
          <w:left w:val="nil"/>
          <w:bottom w:val="single" w:sz="24" w:space="0" w:color="A3202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61C12" w:themeFill="accent6" w:themeFillShade="99"/>
      </w:tcPr>
    </w:tblStylePr>
    <w:tblStylePr w:type="firstCol">
      <w:rPr>
        <w:color w:val="FFFFFF" w:themeColor="background1"/>
      </w:rPr>
      <w:tblPr/>
      <w:tcPr>
        <w:tcBorders>
          <w:top w:val="nil"/>
          <w:left w:val="nil"/>
          <w:bottom w:val="nil"/>
          <w:right w:val="nil"/>
          <w:insideH w:val="single" w:sz="4" w:space="0" w:color="861C12" w:themeColor="accent6" w:themeShade="99"/>
          <w:insideV w:val="nil"/>
        </w:tcBorders>
        <w:shd w:val="clear" w:color="auto" w:fill="861C12"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861C12" w:themeFill="accent6" w:themeFillShade="99"/>
      </w:tcPr>
    </w:tblStylePr>
    <w:tblStylePr w:type="band1Vert">
      <w:tblPr/>
      <w:tcPr>
        <w:shd w:val="clear" w:color="auto" w:fill="F3ABA4" w:themeFill="accent6" w:themeFillTint="66"/>
      </w:tcPr>
    </w:tblStylePr>
    <w:tblStylePr w:type="band1Horz">
      <w:tblPr/>
      <w:tcPr>
        <w:shd w:val="clear" w:color="auto" w:fill="F0978E"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hidden/>
    <w:uiPriority w:val="99"/>
    <w:semiHidden/>
    <w:unhideWhenUsed/>
    <w:rsid w:val="00BB789B"/>
    <w:rPr>
      <w:sz w:val="16"/>
      <w:szCs w:val="16"/>
    </w:rPr>
  </w:style>
  <w:style w:type="table" w:customStyle="1" w:styleId="DarkList1">
    <w:name w:val="Dark List1"/>
    <w:basedOn w:val="TableNormal"/>
    <w:hidden/>
    <w:uiPriority w:val="70"/>
    <w:rsid w:val="00BB789B"/>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hidden/>
    <w:uiPriority w:val="70"/>
    <w:rsid w:val="00BB789B"/>
    <w:pPr>
      <w:spacing w:after="0" w:line="240" w:lineRule="auto"/>
    </w:pPr>
    <w:rPr>
      <w:color w:val="FFFFFF" w:themeColor="background1"/>
    </w:rPr>
    <w:tblPr>
      <w:tblStyleRowBandSize w:val="1"/>
      <w:tblStyleColBandSize w:val="1"/>
    </w:tblPr>
    <w:tcPr>
      <w:shd w:val="clear" w:color="auto" w:fill="DC690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D33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44E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44E00" w:themeFill="accent1" w:themeFillShade="BF"/>
      </w:tcPr>
    </w:tblStylePr>
    <w:tblStylePr w:type="band1Vert">
      <w:tblPr/>
      <w:tcPr>
        <w:tcBorders>
          <w:top w:val="nil"/>
          <w:left w:val="nil"/>
          <w:bottom w:val="nil"/>
          <w:right w:val="nil"/>
          <w:insideH w:val="nil"/>
          <w:insideV w:val="nil"/>
        </w:tcBorders>
        <w:shd w:val="clear" w:color="auto" w:fill="A44E00" w:themeFill="accent1" w:themeFillShade="BF"/>
      </w:tcPr>
    </w:tblStylePr>
    <w:tblStylePr w:type="band1Horz">
      <w:tblPr/>
      <w:tcPr>
        <w:tcBorders>
          <w:top w:val="nil"/>
          <w:left w:val="nil"/>
          <w:bottom w:val="nil"/>
          <w:right w:val="nil"/>
          <w:insideH w:val="nil"/>
          <w:insideV w:val="nil"/>
        </w:tcBorders>
        <w:shd w:val="clear" w:color="auto" w:fill="A44E00" w:themeFill="accent1" w:themeFillShade="BF"/>
      </w:tcPr>
    </w:tblStylePr>
  </w:style>
  <w:style w:type="table" w:styleId="DarkList-Accent2">
    <w:name w:val="Dark List Accent 2"/>
    <w:basedOn w:val="TableNormal"/>
    <w:hidden/>
    <w:uiPriority w:val="70"/>
    <w:rsid w:val="00BB789B"/>
    <w:pPr>
      <w:spacing w:after="0" w:line="240" w:lineRule="auto"/>
    </w:pPr>
    <w:rPr>
      <w:color w:val="FFFFFF" w:themeColor="background1"/>
    </w:rPr>
    <w:tblPr>
      <w:tblStyleRowBandSize w:val="1"/>
      <w:tblStyleColBandSize w:val="1"/>
    </w:tblPr>
    <w:tcPr>
      <w:shd w:val="clear" w:color="auto" w:fill="FFB6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A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88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8800" w:themeFill="accent2" w:themeFillShade="BF"/>
      </w:tcPr>
    </w:tblStylePr>
    <w:tblStylePr w:type="band1Vert">
      <w:tblPr/>
      <w:tcPr>
        <w:tcBorders>
          <w:top w:val="nil"/>
          <w:left w:val="nil"/>
          <w:bottom w:val="nil"/>
          <w:right w:val="nil"/>
          <w:insideH w:val="nil"/>
          <w:insideV w:val="nil"/>
        </w:tcBorders>
        <w:shd w:val="clear" w:color="auto" w:fill="BF8800" w:themeFill="accent2" w:themeFillShade="BF"/>
      </w:tcPr>
    </w:tblStylePr>
    <w:tblStylePr w:type="band1Horz">
      <w:tblPr/>
      <w:tcPr>
        <w:tcBorders>
          <w:top w:val="nil"/>
          <w:left w:val="nil"/>
          <w:bottom w:val="nil"/>
          <w:right w:val="nil"/>
          <w:insideH w:val="nil"/>
          <w:insideV w:val="nil"/>
        </w:tcBorders>
        <w:shd w:val="clear" w:color="auto" w:fill="BF8800" w:themeFill="accent2" w:themeFillShade="BF"/>
      </w:tcPr>
    </w:tblStylePr>
  </w:style>
  <w:style w:type="table" w:styleId="DarkList-Accent3">
    <w:name w:val="Dark List Accent 3"/>
    <w:basedOn w:val="TableNormal"/>
    <w:hidden/>
    <w:uiPriority w:val="70"/>
    <w:rsid w:val="00BB789B"/>
    <w:pPr>
      <w:spacing w:after="0" w:line="240" w:lineRule="auto"/>
    </w:pPr>
    <w:rPr>
      <w:color w:val="FFFFFF" w:themeColor="background1"/>
    </w:rPr>
    <w:tblPr>
      <w:tblStyleRowBandSize w:val="1"/>
      <w:tblStyleColBandSize w:val="1"/>
    </w:tblPr>
    <w:tcPr>
      <w:shd w:val="clear" w:color="auto" w:fill="60232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111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71A1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71A18" w:themeFill="accent3" w:themeFillShade="BF"/>
      </w:tcPr>
    </w:tblStylePr>
    <w:tblStylePr w:type="band1Vert">
      <w:tblPr/>
      <w:tcPr>
        <w:tcBorders>
          <w:top w:val="nil"/>
          <w:left w:val="nil"/>
          <w:bottom w:val="nil"/>
          <w:right w:val="nil"/>
          <w:insideH w:val="nil"/>
          <w:insideV w:val="nil"/>
        </w:tcBorders>
        <w:shd w:val="clear" w:color="auto" w:fill="471A18" w:themeFill="accent3" w:themeFillShade="BF"/>
      </w:tcPr>
    </w:tblStylePr>
    <w:tblStylePr w:type="band1Horz">
      <w:tblPr/>
      <w:tcPr>
        <w:tcBorders>
          <w:top w:val="nil"/>
          <w:left w:val="nil"/>
          <w:bottom w:val="nil"/>
          <w:right w:val="nil"/>
          <w:insideH w:val="nil"/>
          <w:insideV w:val="nil"/>
        </w:tcBorders>
        <w:shd w:val="clear" w:color="auto" w:fill="471A18" w:themeFill="accent3" w:themeFillShade="BF"/>
      </w:tcPr>
    </w:tblStylePr>
  </w:style>
  <w:style w:type="table" w:styleId="DarkList-Accent4">
    <w:name w:val="Dark List Accent 4"/>
    <w:basedOn w:val="TableNormal"/>
    <w:hidden/>
    <w:uiPriority w:val="70"/>
    <w:rsid w:val="00BB789B"/>
    <w:pPr>
      <w:spacing w:after="0" w:line="240" w:lineRule="auto"/>
    </w:pPr>
    <w:rPr>
      <w:color w:val="FFFFFF" w:themeColor="background1"/>
    </w:rPr>
    <w:tblPr>
      <w:tblStyleRowBandSize w:val="1"/>
      <w:tblStyleColBandSize w:val="1"/>
    </w:tblPr>
    <w:tcPr>
      <w:shd w:val="clear" w:color="auto" w:fill="E2758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C1D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D32D4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D32D4A" w:themeFill="accent4" w:themeFillShade="BF"/>
      </w:tcPr>
    </w:tblStylePr>
    <w:tblStylePr w:type="band1Vert">
      <w:tblPr/>
      <w:tcPr>
        <w:tcBorders>
          <w:top w:val="nil"/>
          <w:left w:val="nil"/>
          <w:bottom w:val="nil"/>
          <w:right w:val="nil"/>
          <w:insideH w:val="nil"/>
          <w:insideV w:val="nil"/>
        </w:tcBorders>
        <w:shd w:val="clear" w:color="auto" w:fill="D32D4A" w:themeFill="accent4" w:themeFillShade="BF"/>
      </w:tcPr>
    </w:tblStylePr>
    <w:tblStylePr w:type="band1Horz">
      <w:tblPr/>
      <w:tcPr>
        <w:tcBorders>
          <w:top w:val="nil"/>
          <w:left w:val="nil"/>
          <w:bottom w:val="nil"/>
          <w:right w:val="nil"/>
          <w:insideH w:val="nil"/>
          <w:insideV w:val="nil"/>
        </w:tcBorders>
        <w:shd w:val="clear" w:color="auto" w:fill="D32D4A" w:themeFill="accent4" w:themeFillShade="BF"/>
      </w:tcPr>
    </w:tblStylePr>
  </w:style>
  <w:style w:type="table" w:styleId="DarkList-Accent5">
    <w:name w:val="Dark List Accent 5"/>
    <w:basedOn w:val="TableNormal"/>
    <w:hidden/>
    <w:uiPriority w:val="70"/>
    <w:rsid w:val="00BB789B"/>
    <w:pPr>
      <w:spacing w:after="0" w:line="240" w:lineRule="auto"/>
    </w:pPr>
    <w:rPr>
      <w:color w:val="FFFFFF" w:themeColor="background1"/>
    </w:rPr>
    <w:tblPr>
      <w:tblStyleRowBandSize w:val="1"/>
      <w:tblStyleColBandSize w:val="1"/>
    </w:tblPr>
    <w:tcPr>
      <w:shd w:val="clear" w:color="auto" w:fill="A3202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101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A181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A1818" w:themeFill="accent5" w:themeFillShade="BF"/>
      </w:tcPr>
    </w:tblStylePr>
    <w:tblStylePr w:type="band1Vert">
      <w:tblPr/>
      <w:tcPr>
        <w:tcBorders>
          <w:top w:val="nil"/>
          <w:left w:val="nil"/>
          <w:bottom w:val="nil"/>
          <w:right w:val="nil"/>
          <w:insideH w:val="nil"/>
          <w:insideV w:val="nil"/>
        </w:tcBorders>
        <w:shd w:val="clear" w:color="auto" w:fill="7A1818" w:themeFill="accent5" w:themeFillShade="BF"/>
      </w:tcPr>
    </w:tblStylePr>
    <w:tblStylePr w:type="band1Horz">
      <w:tblPr/>
      <w:tcPr>
        <w:tcBorders>
          <w:top w:val="nil"/>
          <w:left w:val="nil"/>
          <w:bottom w:val="nil"/>
          <w:right w:val="nil"/>
          <w:insideH w:val="nil"/>
          <w:insideV w:val="nil"/>
        </w:tcBorders>
        <w:shd w:val="clear" w:color="auto" w:fill="7A1818" w:themeFill="accent5" w:themeFillShade="BF"/>
      </w:tcPr>
    </w:tblStylePr>
  </w:style>
  <w:style w:type="table" w:styleId="DarkList-Accent6">
    <w:name w:val="Dark List Accent 6"/>
    <w:basedOn w:val="TableNormal"/>
    <w:hidden/>
    <w:uiPriority w:val="70"/>
    <w:rsid w:val="00BB789B"/>
    <w:pPr>
      <w:spacing w:after="0" w:line="240" w:lineRule="auto"/>
    </w:pPr>
    <w:rPr>
      <w:color w:val="FFFFFF" w:themeColor="background1"/>
    </w:rPr>
    <w:tblPr>
      <w:tblStyleRowBandSize w:val="1"/>
      <w:tblStyleColBandSize w:val="1"/>
    </w:tblPr>
    <w:tcPr>
      <w:shd w:val="clear" w:color="auto" w:fill="E0301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F170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A72316"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A72316" w:themeFill="accent6" w:themeFillShade="BF"/>
      </w:tcPr>
    </w:tblStylePr>
    <w:tblStylePr w:type="band1Vert">
      <w:tblPr/>
      <w:tcPr>
        <w:tcBorders>
          <w:top w:val="nil"/>
          <w:left w:val="nil"/>
          <w:bottom w:val="nil"/>
          <w:right w:val="nil"/>
          <w:insideH w:val="nil"/>
          <w:insideV w:val="nil"/>
        </w:tcBorders>
        <w:shd w:val="clear" w:color="auto" w:fill="A72316" w:themeFill="accent6" w:themeFillShade="BF"/>
      </w:tcPr>
    </w:tblStylePr>
    <w:tblStylePr w:type="band1Horz">
      <w:tblPr/>
      <w:tcPr>
        <w:tcBorders>
          <w:top w:val="nil"/>
          <w:left w:val="nil"/>
          <w:bottom w:val="nil"/>
          <w:right w:val="nil"/>
          <w:insideH w:val="nil"/>
          <w:insideV w:val="nil"/>
        </w:tcBorders>
        <w:shd w:val="clear" w:color="auto" w:fill="A72316" w:themeFill="accent6" w:themeFillShade="BF"/>
      </w:tcPr>
    </w:tblStylePr>
  </w:style>
  <w:style w:type="character" w:styleId="EndnoteReference">
    <w:name w:val="endnote reference"/>
    <w:basedOn w:val="DefaultParagraphFont"/>
    <w:hidden/>
    <w:uiPriority w:val="99"/>
    <w:semiHidden/>
    <w:unhideWhenUsed/>
    <w:rsid w:val="00BB789B"/>
    <w:rPr>
      <w:vertAlign w:val="superscript"/>
    </w:rPr>
  </w:style>
  <w:style w:type="character" w:styleId="FootnoteReference">
    <w:name w:val="footnote reference"/>
    <w:basedOn w:val="DefaultParagraphFont"/>
    <w:hidden/>
    <w:uiPriority w:val="99"/>
    <w:semiHidden/>
    <w:unhideWhenUsed/>
    <w:rsid w:val="00BB789B"/>
    <w:rPr>
      <w:vertAlign w:val="superscript"/>
    </w:rPr>
  </w:style>
  <w:style w:type="character" w:styleId="HTMLAcronym">
    <w:name w:val="HTML Acronym"/>
    <w:basedOn w:val="DefaultParagraphFont"/>
    <w:hidden/>
    <w:uiPriority w:val="99"/>
    <w:semiHidden/>
    <w:unhideWhenUsed/>
    <w:rsid w:val="00BB789B"/>
  </w:style>
  <w:style w:type="character" w:styleId="HTMLCite">
    <w:name w:val="HTML Cite"/>
    <w:basedOn w:val="DefaultParagraphFont"/>
    <w:hidden/>
    <w:uiPriority w:val="99"/>
    <w:semiHidden/>
    <w:unhideWhenUsed/>
    <w:rsid w:val="00BB789B"/>
    <w:rPr>
      <w:i/>
      <w:iCs/>
    </w:rPr>
  </w:style>
  <w:style w:type="character" w:styleId="HTMLDefinition">
    <w:name w:val="HTML Definition"/>
    <w:basedOn w:val="DefaultParagraphFont"/>
    <w:hidden/>
    <w:uiPriority w:val="99"/>
    <w:semiHidden/>
    <w:unhideWhenUsed/>
    <w:rsid w:val="00BB789B"/>
    <w:rPr>
      <w:i/>
      <w:iCs/>
    </w:rPr>
  </w:style>
  <w:style w:type="character" w:styleId="HTMLSample">
    <w:name w:val="HTML Sample"/>
    <w:basedOn w:val="DefaultParagraphFont"/>
    <w:hidden/>
    <w:uiPriority w:val="99"/>
    <w:semiHidden/>
    <w:unhideWhenUsed/>
    <w:rsid w:val="00BB789B"/>
    <w:rPr>
      <w:rFonts w:ascii="Consolas" w:hAnsi="Consolas"/>
      <w:sz w:val="24"/>
      <w:szCs w:val="24"/>
    </w:rPr>
  </w:style>
  <w:style w:type="character" w:styleId="HTMLVariable">
    <w:name w:val="HTML Variable"/>
    <w:basedOn w:val="DefaultParagraphFont"/>
    <w:hidden/>
    <w:uiPriority w:val="99"/>
    <w:semiHidden/>
    <w:unhideWhenUsed/>
    <w:rsid w:val="00BB789B"/>
    <w:rPr>
      <w:i/>
      <w:iCs/>
    </w:rPr>
  </w:style>
  <w:style w:type="table" w:customStyle="1" w:styleId="LightGrid1">
    <w:name w:val="Light Grid1"/>
    <w:basedOn w:val="TableNormal"/>
    <w:hidden/>
    <w:uiPriority w:val="62"/>
    <w:rsid w:val="00BB789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hidden/>
    <w:uiPriority w:val="62"/>
    <w:rsid w:val="00BB789B"/>
    <w:pPr>
      <w:spacing w:after="0" w:line="240" w:lineRule="auto"/>
    </w:p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insideH w:val="single" w:sz="8" w:space="0" w:color="DC6900" w:themeColor="accent1"/>
        <w:insideV w:val="single" w:sz="8" w:space="0" w:color="DC690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C6900" w:themeColor="accent1"/>
          <w:left w:val="single" w:sz="8" w:space="0" w:color="DC6900" w:themeColor="accent1"/>
          <w:bottom w:val="single" w:sz="18" w:space="0" w:color="DC6900" w:themeColor="accent1"/>
          <w:right w:val="single" w:sz="8" w:space="0" w:color="DC6900" w:themeColor="accent1"/>
          <w:insideH w:val="nil"/>
          <w:insideV w:val="single" w:sz="8" w:space="0" w:color="DC69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insideH w:val="nil"/>
          <w:insideV w:val="single" w:sz="8" w:space="0" w:color="DC69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shd w:val="clear" w:color="auto" w:fill="FFD9B7" w:themeFill="accent1" w:themeFillTint="3F"/>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insideV w:val="single" w:sz="8" w:space="0" w:color="DC6900" w:themeColor="accent1"/>
        </w:tcBorders>
        <w:shd w:val="clear" w:color="auto" w:fill="FFD9B7" w:themeFill="accent1" w:themeFillTint="3F"/>
      </w:tcPr>
    </w:tblStylePr>
    <w:tblStylePr w:type="band2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insideV w:val="single" w:sz="8" w:space="0" w:color="DC6900" w:themeColor="accent1"/>
        </w:tcBorders>
      </w:tcPr>
    </w:tblStylePr>
  </w:style>
  <w:style w:type="table" w:styleId="LightGrid-Accent2">
    <w:name w:val="Light Grid Accent 2"/>
    <w:basedOn w:val="TableNormal"/>
    <w:hidden/>
    <w:uiPriority w:val="62"/>
    <w:rsid w:val="00BB789B"/>
    <w:pPr>
      <w:spacing w:after="0" w:line="240" w:lineRule="auto"/>
    </w:pPr>
    <w:tblPr>
      <w:tblStyleRowBandSize w:val="1"/>
      <w:tblStyleColBandSize w:val="1"/>
      <w:tblBorders>
        <w:top w:val="single" w:sz="8" w:space="0" w:color="FFB600" w:themeColor="accent2"/>
        <w:left w:val="single" w:sz="8" w:space="0" w:color="FFB600" w:themeColor="accent2"/>
        <w:bottom w:val="single" w:sz="8" w:space="0" w:color="FFB600" w:themeColor="accent2"/>
        <w:right w:val="single" w:sz="8" w:space="0" w:color="FFB600" w:themeColor="accent2"/>
        <w:insideH w:val="single" w:sz="8" w:space="0" w:color="FFB600" w:themeColor="accent2"/>
        <w:insideV w:val="single" w:sz="8" w:space="0" w:color="FFB6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B600" w:themeColor="accent2"/>
          <w:left w:val="single" w:sz="8" w:space="0" w:color="FFB600" w:themeColor="accent2"/>
          <w:bottom w:val="single" w:sz="18" w:space="0" w:color="FFB600" w:themeColor="accent2"/>
          <w:right w:val="single" w:sz="8" w:space="0" w:color="FFB600" w:themeColor="accent2"/>
          <w:insideH w:val="nil"/>
          <w:insideV w:val="single" w:sz="8" w:space="0" w:color="FFB6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B600" w:themeColor="accent2"/>
          <w:left w:val="single" w:sz="8" w:space="0" w:color="FFB600" w:themeColor="accent2"/>
          <w:bottom w:val="single" w:sz="8" w:space="0" w:color="FFB600" w:themeColor="accent2"/>
          <w:right w:val="single" w:sz="8" w:space="0" w:color="FFB600" w:themeColor="accent2"/>
          <w:insideH w:val="nil"/>
          <w:insideV w:val="single" w:sz="8" w:space="0" w:color="FFB6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tblStylePr w:type="band1Vert">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shd w:val="clear" w:color="auto" w:fill="FFECC0" w:themeFill="accent2" w:themeFillTint="3F"/>
      </w:tcPr>
    </w:tblStylePr>
    <w:tblStylePr w:type="band1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insideV w:val="single" w:sz="8" w:space="0" w:color="FFB600" w:themeColor="accent2"/>
        </w:tcBorders>
        <w:shd w:val="clear" w:color="auto" w:fill="FFECC0" w:themeFill="accent2" w:themeFillTint="3F"/>
      </w:tcPr>
    </w:tblStylePr>
    <w:tblStylePr w:type="band2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insideV w:val="single" w:sz="8" w:space="0" w:color="FFB600" w:themeColor="accent2"/>
        </w:tcBorders>
      </w:tcPr>
    </w:tblStylePr>
  </w:style>
  <w:style w:type="table" w:styleId="LightGrid-Accent3">
    <w:name w:val="Light Grid Accent 3"/>
    <w:basedOn w:val="TableNormal"/>
    <w:hidden/>
    <w:uiPriority w:val="62"/>
    <w:rsid w:val="00BB789B"/>
    <w:pPr>
      <w:spacing w:after="0" w:line="240" w:lineRule="auto"/>
    </w:pPr>
    <w:tblPr>
      <w:tblStyleRowBandSize w:val="1"/>
      <w:tblStyleColBandSize w:val="1"/>
      <w:tblBorders>
        <w:top w:val="single" w:sz="8" w:space="0" w:color="602320" w:themeColor="accent3"/>
        <w:left w:val="single" w:sz="8" w:space="0" w:color="602320" w:themeColor="accent3"/>
        <w:bottom w:val="single" w:sz="8" w:space="0" w:color="602320" w:themeColor="accent3"/>
        <w:right w:val="single" w:sz="8" w:space="0" w:color="602320" w:themeColor="accent3"/>
        <w:insideH w:val="single" w:sz="8" w:space="0" w:color="602320" w:themeColor="accent3"/>
        <w:insideV w:val="single" w:sz="8" w:space="0" w:color="60232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02320" w:themeColor="accent3"/>
          <w:left w:val="single" w:sz="8" w:space="0" w:color="602320" w:themeColor="accent3"/>
          <w:bottom w:val="single" w:sz="18" w:space="0" w:color="602320" w:themeColor="accent3"/>
          <w:right w:val="single" w:sz="8" w:space="0" w:color="602320" w:themeColor="accent3"/>
          <w:insideH w:val="nil"/>
          <w:insideV w:val="single" w:sz="8" w:space="0" w:color="60232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2320" w:themeColor="accent3"/>
          <w:left w:val="single" w:sz="8" w:space="0" w:color="602320" w:themeColor="accent3"/>
          <w:bottom w:val="single" w:sz="8" w:space="0" w:color="602320" w:themeColor="accent3"/>
          <w:right w:val="single" w:sz="8" w:space="0" w:color="602320" w:themeColor="accent3"/>
          <w:insideH w:val="nil"/>
          <w:insideV w:val="single" w:sz="8" w:space="0" w:color="60232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tblStylePr w:type="band1Vert">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shd w:val="clear" w:color="auto" w:fill="E7BAB8" w:themeFill="accent3" w:themeFillTint="3F"/>
      </w:tcPr>
    </w:tblStylePr>
    <w:tblStylePr w:type="band1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insideV w:val="single" w:sz="8" w:space="0" w:color="602320" w:themeColor="accent3"/>
        </w:tcBorders>
        <w:shd w:val="clear" w:color="auto" w:fill="E7BAB8" w:themeFill="accent3" w:themeFillTint="3F"/>
      </w:tcPr>
    </w:tblStylePr>
    <w:tblStylePr w:type="band2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insideV w:val="single" w:sz="8" w:space="0" w:color="602320" w:themeColor="accent3"/>
        </w:tcBorders>
      </w:tcPr>
    </w:tblStylePr>
  </w:style>
  <w:style w:type="table" w:styleId="LightGrid-Accent4">
    <w:name w:val="Light Grid Accent 4"/>
    <w:basedOn w:val="TableNormal"/>
    <w:hidden/>
    <w:uiPriority w:val="62"/>
    <w:rsid w:val="00BB789B"/>
    <w:pPr>
      <w:spacing w:after="0" w:line="240" w:lineRule="auto"/>
    </w:pPr>
    <w:tblPr>
      <w:tblStyleRowBandSize w:val="1"/>
      <w:tblStyleColBandSize w:val="1"/>
      <w:tblBorders>
        <w:top w:val="single" w:sz="8" w:space="0" w:color="E27588" w:themeColor="accent4"/>
        <w:left w:val="single" w:sz="8" w:space="0" w:color="E27588" w:themeColor="accent4"/>
        <w:bottom w:val="single" w:sz="8" w:space="0" w:color="E27588" w:themeColor="accent4"/>
        <w:right w:val="single" w:sz="8" w:space="0" w:color="E27588" w:themeColor="accent4"/>
        <w:insideH w:val="single" w:sz="8" w:space="0" w:color="E27588" w:themeColor="accent4"/>
        <w:insideV w:val="single" w:sz="8" w:space="0" w:color="E2758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27588" w:themeColor="accent4"/>
          <w:left w:val="single" w:sz="8" w:space="0" w:color="E27588" w:themeColor="accent4"/>
          <w:bottom w:val="single" w:sz="18" w:space="0" w:color="E27588" w:themeColor="accent4"/>
          <w:right w:val="single" w:sz="8" w:space="0" w:color="E27588" w:themeColor="accent4"/>
          <w:insideH w:val="nil"/>
          <w:insideV w:val="single" w:sz="8" w:space="0" w:color="E2758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27588" w:themeColor="accent4"/>
          <w:left w:val="single" w:sz="8" w:space="0" w:color="E27588" w:themeColor="accent4"/>
          <w:bottom w:val="single" w:sz="8" w:space="0" w:color="E27588" w:themeColor="accent4"/>
          <w:right w:val="single" w:sz="8" w:space="0" w:color="E27588" w:themeColor="accent4"/>
          <w:insideH w:val="nil"/>
          <w:insideV w:val="single" w:sz="8" w:space="0" w:color="E2758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27588" w:themeColor="accent4"/>
          <w:left w:val="single" w:sz="8" w:space="0" w:color="E27588" w:themeColor="accent4"/>
          <w:bottom w:val="single" w:sz="8" w:space="0" w:color="E27588" w:themeColor="accent4"/>
          <w:right w:val="single" w:sz="8" w:space="0" w:color="E27588" w:themeColor="accent4"/>
        </w:tcBorders>
      </w:tcPr>
    </w:tblStylePr>
    <w:tblStylePr w:type="band1Vert">
      <w:tblPr/>
      <w:tcPr>
        <w:tcBorders>
          <w:top w:val="single" w:sz="8" w:space="0" w:color="E27588" w:themeColor="accent4"/>
          <w:left w:val="single" w:sz="8" w:space="0" w:color="E27588" w:themeColor="accent4"/>
          <w:bottom w:val="single" w:sz="8" w:space="0" w:color="E27588" w:themeColor="accent4"/>
          <w:right w:val="single" w:sz="8" w:space="0" w:color="E27588" w:themeColor="accent4"/>
        </w:tcBorders>
        <w:shd w:val="clear" w:color="auto" w:fill="F7DCE1" w:themeFill="accent4" w:themeFillTint="3F"/>
      </w:tcPr>
    </w:tblStylePr>
    <w:tblStylePr w:type="band1Horz">
      <w:tblPr/>
      <w:tcPr>
        <w:tcBorders>
          <w:top w:val="single" w:sz="8" w:space="0" w:color="E27588" w:themeColor="accent4"/>
          <w:left w:val="single" w:sz="8" w:space="0" w:color="E27588" w:themeColor="accent4"/>
          <w:bottom w:val="single" w:sz="8" w:space="0" w:color="E27588" w:themeColor="accent4"/>
          <w:right w:val="single" w:sz="8" w:space="0" w:color="E27588" w:themeColor="accent4"/>
          <w:insideV w:val="single" w:sz="8" w:space="0" w:color="E27588" w:themeColor="accent4"/>
        </w:tcBorders>
        <w:shd w:val="clear" w:color="auto" w:fill="F7DCE1" w:themeFill="accent4" w:themeFillTint="3F"/>
      </w:tcPr>
    </w:tblStylePr>
    <w:tblStylePr w:type="band2Horz">
      <w:tblPr/>
      <w:tcPr>
        <w:tcBorders>
          <w:top w:val="single" w:sz="8" w:space="0" w:color="E27588" w:themeColor="accent4"/>
          <w:left w:val="single" w:sz="8" w:space="0" w:color="E27588" w:themeColor="accent4"/>
          <w:bottom w:val="single" w:sz="8" w:space="0" w:color="E27588" w:themeColor="accent4"/>
          <w:right w:val="single" w:sz="8" w:space="0" w:color="E27588" w:themeColor="accent4"/>
          <w:insideV w:val="single" w:sz="8" w:space="0" w:color="E27588" w:themeColor="accent4"/>
        </w:tcBorders>
      </w:tcPr>
    </w:tblStylePr>
  </w:style>
  <w:style w:type="table" w:styleId="LightGrid-Accent5">
    <w:name w:val="Light Grid Accent 5"/>
    <w:basedOn w:val="TableNormal"/>
    <w:hidden/>
    <w:uiPriority w:val="62"/>
    <w:rsid w:val="00BB789B"/>
    <w:pPr>
      <w:spacing w:after="0" w:line="240" w:lineRule="auto"/>
    </w:pPr>
    <w:tblPr>
      <w:tblStyleRowBandSize w:val="1"/>
      <w:tblStyleColBandSize w:val="1"/>
      <w:tblBorders>
        <w:top w:val="single" w:sz="8" w:space="0" w:color="A32020" w:themeColor="accent5"/>
        <w:left w:val="single" w:sz="8" w:space="0" w:color="A32020" w:themeColor="accent5"/>
        <w:bottom w:val="single" w:sz="8" w:space="0" w:color="A32020" w:themeColor="accent5"/>
        <w:right w:val="single" w:sz="8" w:space="0" w:color="A32020" w:themeColor="accent5"/>
        <w:insideH w:val="single" w:sz="8" w:space="0" w:color="A32020" w:themeColor="accent5"/>
        <w:insideV w:val="single" w:sz="8" w:space="0" w:color="A3202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32020" w:themeColor="accent5"/>
          <w:left w:val="single" w:sz="8" w:space="0" w:color="A32020" w:themeColor="accent5"/>
          <w:bottom w:val="single" w:sz="18" w:space="0" w:color="A32020" w:themeColor="accent5"/>
          <w:right w:val="single" w:sz="8" w:space="0" w:color="A32020" w:themeColor="accent5"/>
          <w:insideH w:val="nil"/>
          <w:insideV w:val="single" w:sz="8" w:space="0" w:color="A3202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32020" w:themeColor="accent5"/>
          <w:left w:val="single" w:sz="8" w:space="0" w:color="A32020" w:themeColor="accent5"/>
          <w:bottom w:val="single" w:sz="8" w:space="0" w:color="A32020" w:themeColor="accent5"/>
          <w:right w:val="single" w:sz="8" w:space="0" w:color="A32020" w:themeColor="accent5"/>
          <w:insideH w:val="nil"/>
          <w:insideV w:val="single" w:sz="8" w:space="0" w:color="A3202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tblStylePr w:type="band1Vert">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shd w:val="clear" w:color="auto" w:fill="F2BDBD" w:themeFill="accent5" w:themeFillTint="3F"/>
      </w:tcPr>
    </w:tblStylePr>
    <w:tblStylePr w:type="band1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insideV w:val="single" w:sz="8" w:space="0" w:color="A32020" w:themeColor="accent5"/>
        </w:tcBorders>
        <w:shd w:val="clear" w:color="auto" w:fill="F2BDBD" w:themeFill="accent5" w:themeFillTint="3F"/>
      </w:tcPr>
    </w:tblStylePr>
    <w:tblStylePr w:type="band2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insideV w:val="single" w:sz="8" w:space="0" w:color="A32020" w:themeColor="accent5"/>
        </w:tcBorders>
      </w:tcPr>
    </w:tblStylePr>
  </w:style>
  <w:style w:type="table" w:styleId="LightGrid-Accent6">
    <w:name w:val="Light Grid Accent 6"/>
    <w:basedOn w:val="TableNormal"/>
    <w:hidden/>
    <w:uiPriority w:val="62"/>
    <w:rsid w:val="00BB789B"/>
    <w:pPr>
      <w:spacing w:after="0" w:line="240" w:lineRule="auto"/>
    </w:p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insideH w:val="single" w:sz="8" w:space="0" w:color="E0301E" w:themeColor="accent6"/>
        <w:insideV w:val="single" w:sz="8" w:space="0" w:color="E0301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0301E" w:themeColor="accent6"/>
          <w:left w:val="single" w:sz="8" w:space="0" w:color="E0301E" w:themeColor="accent6"/>
          <w:bottom w:val="single" w:sz="18" w:space="0" w:color="E0301E" w:themeColor="accent6"/>
          <w:right w:val="single" w:sz="8" w:space="0" w:color="E0301E" w:themeColor="accent6"/>
          <w:insideH w:val="nil"/>
          <w:insideV w:val="single" w:sz="8" w:space="0" w:color="E0301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insideH w:val="nil"/>
          <w:insideV w:val="single" w:sz="8" w:space="0" w:color="E0301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shd w:val="clear" w:color="auto" w:fill="F7CBC7" w:themeFill="accent6" w:themeFillTint="3F"/>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insideV w:val="single" w:sz="8" w:space="0" w:color="E0301E" w:themeColor="accent6"/>
        </w:tcBorders>
        <w:shd w:val="clear" w:color="auto" w:fill="F7CBC7" w:themeFill="accent6" w:themeFillTint="3F"/>
      </w:tcPr>
    </w:tblStylePr>
    <w:tblStylePr w:type="band2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insideV w:val="single" w:sz="8" w:space="0" w:color="E0301E" w:themeColor="accent6"/>
        </w:tcBorders>
      </w:tcPr>
    </w:tblStylePr>
  </w:style>
  <w:style w:type="table" w:customStyle="1" w:styleId="LightList2">
    <w:name w:val="Light List2"/>
    <w:basedOn w:val="TableNormal"/>
    <w:hidden/>
    <w:uiPriority w:val="61"/>
    <w:rsid w:val="00BB789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2">
    <w:name w:val="Light List - Accent 12"/>
    <w:basedOn w:val="TableNormal"/>
    <w:hidden/>
    <w:uiPriority w:val="61"/>
    <w:rsid w:val="00BB789B"/>
    <w:pPr>
      <w:spacing w:after="0" w:line="240" w:lineRule="auto"/>
    </w:p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tblBorders>
    </w:tblPr>
    <w:tblStylePr w:type="firstRow">
      <w:pPr>
        <w:spacing w:before="0" w:after="0" w:line="240" w:lineRule="auto"/>
      </w:pPr>
      <w:rPr>
        <w:b/>
        <w:bCs/>
        <w:color w:val="FFFFFF" w:themeColor="background1"/>
      </w:rPr>
      <w:tblPr/>
      <w:tcPr>
        <w:shd w:val="clear" w:color="auto" w:fill="DC6900" w:themeFill="accent1"/>
      </w:tcPr>
    </w:tblStylePr>
    <w:tblStylePr w:type="lastRow">
      <w:pPr>
        <w:spacing w:before="0" w:after="0" w:line="240" w:lineRule="auto"/>
      </w:pPr>
      <w:rPr>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tcBorders>
      </w:tcPr>
    </w:tblStylePr>
    <w:tblStylePr w:type="firstCol">
      <w:rPr>
        <w:b/>
        <w:bCs/>
      </w:rPr>
    </w:tblStylePr>
    <w:tblStylePr w:type="lastCol">
      <w:rPr>
        <w:b/>
        <w:bCs/>
      </w:r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style>
  <w:style w:type="table" w:styleId="LightList-Accent2">
    <w:name w:val="Light List Accent 2"/>
    <w:basedOn w:val="TableNormal"/>
    <w:hidden/>
    <w:uiPriority w:val="61"/>
    <w:rsid w:val="00BB789B"/>
    <w:pPr>
      <w:spacing w:after="0" w:line="240" w:lineRule="auto"/>
    </w:pPr>
    <w:tblPr>
      <w:tblStyleRowBandSize w:val="1"/>
      <w:tblStyleColBandSize w:val="1"/>
      <w:tblBorders>
        <w:top w:val="single" w:sz="8" w:space="0" w:color="FFB600" w:themeColor="accent2"/>
        <w:left w:val="single" w:sz="8" w:space="0" w:color="FFB600" w:themeColor="accent2"/>
        <w:bottom w:val="single" w:sz="8" w:space="0" w:color="FFB600" w:themeColor="accent2"/>
        <w:right w:val="single" w:sz="8" w:space="0" w:color="FFB600" w:themeColor="accent2"/>
      </w:tblBorders>
    </w:tblPr>
    <w:tblStylePr w:type="firstRow">
      <w:pPr>
        <w:spacing w:before="0" w:after="0" w:line="240" w:lineRule="auto"/>
      </w:pPr>
      <w:rPr>
        <w:b/>
        <w:bCs/>
        <w:color w:val="FFFFFF" w:themeColor="background1"/>
      </w:rPr>
      <w:tblPr/>
      <w:tcPr>
        <w:shd w:val="clear" w:color="auto" w:fill="FFB600" w:themeFill="accent2"/>
      </w:tcPr>
    </w:tblStylePr>
    <w:tblStylePr w:type="lastRow">
      <w:pPr>
        <w:spacing w:before="0" w:after="0" w:line="240" w:lineRule="auto"/>
      </w:pPr>
      <w:rPr>
        <w:b/>
        <w:bCs/>
      </w:rPr>
      <w:tblPr/>
      <w:tcPr>
        <w:tcBorders>
          <w:top w:val="double" w:sz="6" w:space="0" w:color="FFB600" w:themeColor="accent2"/>
          <w:left w:val="single" w:sz="8" w:space="0" w:color="FFB600" w:themeColor="accent2"/>
          <w:bottom w:val="single" w:sz="8" w:space="0" w:color="FFB600" w:themeColor="accent2"/>
          <w:right w:val="single" w:sz="8" w:space="0" w:color="FFB600" w:themeColor="accent2"/>
        </w:tcBorders>
      </w:tcPr>
    </w:tblStylePr>
    <w:tblStylePr w:type="firstCol">
      <w:rPr>
        <w:b/>
        <w:bCs/>
      </w:rPr>
    </w:tblStylePr>
    <w:tblStylePr w:type="lastCol">
      <w:rPr>
        <w:b/>
        <w:bCs/>
      </w:rPr>
    </w:tblStylePr>
    <w:tblStylePr w:type="band1Vert">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tblStylePr w:type="band1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style>
  <w:style w:type="table" w:styleId="LightList-Accent3">
    <w:name w:val="Light List Accent 3"/>
    <w:basedOn w:val="TableNormal"/>
    <w:hidden/>
    <w:uiPriority w:val="61"/>
    <w:rsid w:val="00BB789B"/>
    <w:pPr>
      <w:spacing w:after="0" w:line="240" w:lineRule="auto"/>
    </w:pPr>
    <w:tblPr>
      <w:tblStyleRowBandSize w:val="1"/>
      <w:tblStyleColBandSize w:val="1"/>
      <w:tblBorders>
        <w:top w:val="single" w:sz="8" w:space="0" w:color="602320" w:themeColor="accent3"/>
        <w:left w:val="single" w:sz="8" w:space="0" w:color="602320" w:themeColor="accent3"/>
        <w:bottom w:val="single" w:sz="8" w:space="0" w:color="602320" w:themeColor="accent3"/>
        <w:right w:val="single" w:sz="8" w:space="0" w:color="602320" w:themeColor="accent3"/>
      </w:tblBorders>
    </w:tblPr>
    <w:tblStylePr w:type="firstRow">
      <w:pPr>
        <w:spacing w:before="0" w:after="0" w:line="240" w:lineRule="auto"/>
      </w:pPr>
      <w:rPr>
        <w:b/>
        <w:bCs/>
        <w:color w:val="FFFFFF" w:themeColor="background1"/>
      </w:rPr>
      <w:tblPr/>
      <w:tcPr>
        <w:shd w:val="clear" w:color="auto" w:fill="602320" w:themeFill="accent3"/>
      </w:tcPr>
    </w:tblStylePr>
    <w:tblStylePr w:type="lastRow">
      <w:pPr>
        <w:spacing w:before="0" w:after="0" w:line="240" w:lineRule="auto"/>
      </w:pPr>
      <w:rPr>
        <w:b/>
        <w:bCs/>
      </w:rPr>
      <w:tblPr/>
      <w:tcPr>
        <w:tcBorders>
          <w:top w:val="double" w:sz="6" w:space="0" w:color="602320" w:themeColor="accent3"/>
          <w:left w:val="single" w:sz="8" w:space="0" w:color="602320" w:themeColor="accent3"/>
          <w:bottom w:val="single" w:sz="8" w:space="0" w:color="602320" w:themeColor="accent3"/>
          <w:right w:val="single" w:sz="8" w:space="0" w:color="602320" w:themeColor="accent3"/>
        </w:tcBorders>
      </w:tcPr>
    </w:tblStylePr>
    <w:tblStylePr w:type="firstCol">
      <w:rPr>
        <w:b/>
        <w:bCs/>
      </w:rPr>
    </w:tblStylePr>
    <w:tblStylePr w:type="lastCol">
      <w:rPr>
        <w:b/>
        <w:bCs/>
      </w:rPr>
    </w:tblStylePr>
    <w:tblStylePr w:type="band1Vert">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tblStylePr w:type="band1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style>
  <w:style w:type="table" w:styleId="LightList-Accent4">
    <w:name w:val="Light List Accent 4"/>
    <w:basedOn w:val="TableNormal"/>
    <w:hidden/>
    <w:uiPriority w:val="61"/>
    <w:rsid w:val="00BB789B"/>
    <w:pPr>
      <w:spacing w:after="0" w:line="240" w:lineRule="auto"/>
    </w:pPr>
    <w:tblPr>
      <w:tblStyleRowBandSize w:val="1"/>
      <w:tblStyleColBandSize w:val="1"/>
      <w:tblBorders>
        <w:top w:val="single" w:sz="8" w:space="0" w:color="E27588" w:themeColor="accent4"/>
        <w:left w:val="single" w:sz="8" w:space="0" w:color="E27588" w:themeColor="accent4"/>
        <w:bottom w:val="single" w:sz="8" w:space="0" w:color="E27588" w:themeColor="accent4"/>
        <w:right w:val="single" w:sz="8" w:space="0" w:color="E27588" w:themeColor="accent4"/>
      </w:tblBorders>
    </w:tblPr>
    <w:tblStylePr w:type="firstRow">
      <w:pPr>
        <w:spacing w:before="0" w:after="0" w:line="240" w:lineRule="auto"/>
      </w:pPr>
      <w:rPr>
        <w:b/>
        <w:bCs/>
        <w:color w:val="FFFFFF" w:themeColor="background1"/>
      </w:rPr>
      <w:tblPr/>
      <w:tcPr>
        <w:shd w:val="clear" w:color="auto" w:fill="E27588" w:themeFill="accent4"/>
      </w:tcPr>
    </w:tblStylePr>
    <w:tblStylePr w:type="lastRow">
      <w:pPr>
        <w:spacing w:before="0" w:after="0" w:line="240" w:lineRule="auto"/>
      </w:pPr>
      <w:rPr>
        <w:b/>
        <w:bCs/>
      </w:rPr>
      <w:tblPr/>
      <w:tcPr>
        <w:tcBorders>
          <w:top w:val="double" w:sz="6" w:space="0" w:color="E27588" w:themeColor="accent4"/>
          <w:left w:val="single" w:sz="8" w:space="0" w:color="E27588" w:themeColor="accent4"/>
          <w:bottom w:val="single" w:sz="8" w:space="0" w:color="E27588" w:themeColor="accent4"/>
          <w:right w:val="single" w:sz="8" w:space="0" w:color="E27588" w:themeColor="accent4"/>
        </w:tcBorders>
      </w:tcPr>
    </w:tblStylePr>
    <w:tblStylePr w:type="firstCol">
      <w:rPr>
        <w:b/>
        <w:bCs/>
      </w:rPr>
    </w:tblStylePr>
    <w:tblStylePr w:type="lastCol">
      <w:rPr>
        <w:b/>
        <w:bCs/>
      </w:rPr>
    </w:tblStylePr>
    <w:tblStylePr w:type="band1Vert">
      <w:tblPr/>
      <w:tcPr>
        <w:tcBorders>
          <w:top w:val="single" w:sz="8" w:space="0" w:color="E27588" w:themeColor="accent4"/>
          <w:left w:val="single" w:sz="8" w:space="0" w:color="E27588" w:themeColor="accent4"/>
          <w:bottom w:val="single" w:sz="8" w:space="0" w:color="E27588" w:themeColor="accent4"/>
          <w:right w:val="single" w:sz="8" w:space="0" w:color="E27588" w:themeColor="accent4"/>
        </w:tcBorders>
      </w:tcPr>
    </w:tblStylePr>
    <w:tblStylePr w:type="band1Horz">
      <w:tblPr/>
      <w:tcPr>
        <w:tcBorders>
          <w:top w:val="single" w:sz="8" w:space="0" w:color="E27588" w:themeColor="accent4"/>
          <w:left w:val="single" w:sz="8" w:space="0" w:color="E27588" w:themeColor="accent4"/>
          <w:bottom w:val="single" w:sz="8" w:space="0" w:color="E27588" w:themeColor="accent4"/>
          <w:right w:val="single" w:sz="8" w:space="0" w:color="E27588" w:themeColor="accent4"/>
        </w:tcBorders>
      </w:tcPr>
    </w:tblStylePr>
  </w:style>
  <w:style w:type="table" w:styleId="LightList-Accent5">
    <w:name w:val="Light List Accent 5"/>
    <w:basedOn w:val="TableNormal"/>
    <w:hidden/>
    <w:uiPriority w:val="61"/>
    <w:rsid w:val="00BB789B"/>
    <w:pPr>
      <w:spacing w:after="0" w:line="240" w:lineRule="auto"/>
    </w:pPr>
    <w:tblPr>
      <w:tblStyleRowBandSize w:val="1"/>
      <w:tblStyleColBandSize w:val="1"/>
      <w:tblBorders>
        <w:top w:val="single" w:sz="8" w:space="0" w:color="A32020" w:themeColor="accent5"/>
        <w:left w:val="single" w:sz="8" w:space="0" w:color="A32020" w:themeColor="accent5"/>
        <w:bottom w:val="single" w:sz="8" w:space="0" w:color="A32020" w:themeColor="accent5"/>
        <w:right w:val="single" w:sz="8" w:space="0" w:color="A32020" w:themeColor="accent5"/>
      </w:tblBorders>
    </w:tblPr>
    <w:tblStylePr w:type="firstRow">
      <w:pPr>
        <w:spacing w:before="0" w:after="0" w:line="240" w:lineRule="auto"/>
      </w:pPr>
      <w:rPr>
        <w:b/>
        <w:bCs/>
        <w:color w:val="FFFFFF" w:themeColor="background1"/>
      </w:rPr>
      <w:tblPr/>
      <w:tcPr>
        <w:shd w:val="clear" w:color="auto" w:fill="A32020" w:themeFill="accent5"/>
      </w:tcPr>
    </w:tblStylePr>
    <w:tblStylePr w:type="lastRow">
      <w:pPr>
        <w:spacing w:before="0" w:after="0" w:line="240" w:lineRule="auto"/>
      </w:pPr>
      <w:rPr>
        <w:b/>
        <w:bCs/>
      </w:rPr>
      <w:tblPr/>
      <w:tcPr>
        <w:tcBorders>
          <w:top w:val="double" w:sz="6" w:space="0" w:color="A32020" w:themeColor="accent5"/>
          <w:left w:val="single" w:sz="8" w:space="0" w:color="A32020" w:themeColor="accent5"/>
          <w:bottom w:val="single" w:sz="8" w:space="0" w:color="A32020" w:themeColor="accent5"/>
          <w:right w:val="single" w:sz="8" w:space="0" w:color="A32020" w:themeColor="accent5"/>
        </w:tcBorders>
      </w:tcPr>
    </w:tblStylePr>
    <w:tblStylePr w:type="firstCol">
      <w:rPr>
        <w:b/>
        <w:bCs/>
      </w:rPr>
    </w:tblStylePr>
    <w:tblStylePr w:type="lastCol">
      <w:rPr>
        <w:b/>
        <w:bCs/>
      </w:rPr>
    </w:tblStylePr>
    <w:tblStylePr w:type="band1Vert">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tblStylePr w:type="band1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style>
  <w:style w:type="table" w:styleId="LightList-Accent6">
    <w:name w:val="Light List Accent 6"/>
    <w:basedOn w:val="TableNormal"/>
    <w:hidden/>
    <w:uiPriority w:val="61"/>
    <w:rsid w:val="00BB789B"/>
    <w:pPr>
      <w:spacing w:after="0" w:line="240" w:lineRule="auto"/>
    </w:p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tblBorders>
    </w:tblPr>
    <w:tblStylePr w:type="firstRow">
      <w:pPr>
        <w:spacing w:before="0" w:after="0" w:line="240" w:lineRule="auto"/>
      </w:pPr>
      <w:rPr>
        <w:b/>
        <w:bCs/>
        <w:color w:val="FFFFFF" w:themeColor="background1"/>
      </w:rPr>
      <w:tblPr/>
      <w:tcPr>
        <w:shd w:val="clear" w:color="auto" w:fill="E0301E" w:themeFill="accent6"/>
      </w:tcPr>
    </w:tblStylePr>
    <w:tblStylePr w:type="lastRow">
      <w:pPr>
        <w:spacing w:before="0" w:after="0" w:line="240" w:lineRule="auto"/>
      </w:pPr>
      <w:rPr>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tcBorders>
      </w:tcPr>
    </w:tblStylePr>
    <w:tblStylePr w:type="firstCol">
      <w:rPr>
        <w:b/>
        <w:bCs/>
      </w:rPr>
    </w:tblStylePr>
    <w:tblStylePr w:type="lastCol">
      <w:rPr>
        <w:b/>
        <w:bCs/>
      </w:r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style>
  <w:style w:type="table" w:customStyle="1" w:styleId="LightShading1">
    <w:name w:val="Light Shading1"/>
    <w:basedOn w:val="TableNormal"/>
    <w:hidden/>
    <w:uiPriority w:val="60"/>
    <w:rsid w:val="00BB789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hidden/>
    <w:uiPriority w:val="60"/>
    <w:rsid w:val="00BB789B"/>
    <w:pPr>
      <w:spacing w:after="0" w:line="240" w:lineRule="auto"/>
    </w:pPr>
    <w:rPr>
      <w:color w:val="A44E00" w:themeColor="accent1" w:themeShade="BF"/>
    </w:rPr>
    <w:tblPr>
      <w:tblStyleRowBandSize w:val="1"/>
      <w:tblStyleColBandSize w:val="1"/>
      <w:tblBorders>
        <w:top w:val="single" w:sz="8" w:space="0" w:color="DC6900" w:themeColor="accent1"/>
        <w:bottom w:val="single" w:sz="8" w:space="0" w:color="DC6900" w:themeColor="accent1"/>
      </w:tblBorders>
    </w:tblPr>
    <w:tblStylePr w:type="firstRow">
      <w:pPr>
        <w:spacing w:before="0" w:after="0" w:line="240" w:lineRule="auto"/>
      </w:pPr>
      <w:rPr>
        <w:b/>
        <w:bCs/>
      </w:rPr>
      <w:tblPr/>
      <w:tcPr>
        <w:tcBorders>
          <w:top w:val="single" w:sz="8" w:space="0" w:color="DC6900" w:themeColor="accent1"/>
          <w:left w:val="nil"/>
          <w:bottom w:val="single" w:sz="8" w:space="0" w:color="DC6900" w:themeColor="accent1"/>
          <w:right w:val="nil"/>
          <w:insideH w:val="nil"/>
          <w:insideV w:val="nil"/>
        </w:tcBorders>
      </w:tcPr>
    </w:tblStylePr>
    <w:tblStylePr w:type="lastRow">
      <w:pPr>
        <w:spacing w:before="0" w:after="0" w:line="240" w:lineRule="auto"/>
      </w:pPr>
      <w:rPr>
        <w:b/>
        <w:bCs/>
      </w:rPr>
      <w:tblPr/>
      <w:tcPr>
        <w:tcBorders>
          <w:top w:val="single" w:sz="8" w:space="0" w:color="DC6900" w:themeColor="accent1"/>
          <w:left w:val="nil"/>
          <w:bottom w:val="single" w:sz="8" w:space="0" w:color="DC69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9B7" w:themeFill="accent1" w:themeFillTint="3F"/>
      </w:tcPr>
    </w:tblStylePr>
    <w:tblStylePr w:type="band1Horz">
      <w:tblPr/>
      <w:tcPr>
        <w:tcBorders>
          <w:left w:val="nil"/>
          <w:right w:val="nil"/>
          <w:insideH w:val="nil"/>
          <w:insideV w:val="nil"/>
        </w:tcBorders>
        <w:shd w:val="clear" w:color="auto" w:fill="FFD9B7" w:themeFill="accent1" w:themeFillTint="3F"/>
      </w:tcPr>
    </w:tblStylePr>
  </w:style>
  <w:style w:type="table" w:styleId="LightShading-Accent3">
    <w:name w:val="Light Shading Accent 3"/>
    <w:basedOn w:val="TableNormal"/>
    <w:hidden/>
    <w:uiPriority w:val="60"/>
    <w:rsid w:val="00BB789B"/>
    <w:pPr>
      <w:spacing w:after="0" w:line="240" w:lineRule="auto"/>
    </w:pPr>
    <w:rPr>
      <w:color w:val="471A18" w:themeColor="accent3" w:themeShade="BF"/>
    </w:rPr>
    <w:tblPr>
      <w:tblStyleRowBandSize w:val="1"/>
      <w:tblStyleColBandSize w:val="1"/>
      <w:tblBorders>
        <w:top w:val="single" w:sz="8" w:space="0" w:color="602320" w:themeColor="accent3"/>
        <w:bottom w:val="single" w:sz="8" w:space="0" w:color="602320" w:themeColor="accent3"/>
      </w:tblBorders>
    </w:tblPr>
    <w:tblStylePr w:type="firstRow">
      <w:pPr>
        <w:spacing w:before="0" w:after="0" w:line="240" w:lineRule="auto"/>
      </w:pPr>
      <w:rPr>
        <w:b/>
        <w:bCs/>
      </w:rPr>
      <w:tblPr/>
      <w:tcPr>
        <w:tcBorders>
          <w:top w:val="single" w:sz="8" w:space="0" w:color="602320" w:themeColor="accent3"/>
          <w:left w:val="nil"/>
          <w:bottom w:val="single" w:sz="8" w:space="0" w:color="602320" w:themeColor="accent3"/>
          <w:right w:val="nil"/>
          <w:insideH w:val="nil"/>
          <w:insideV w:val="nil"/>
        </w:tcBorders>
      </w:tcPr>
    </w:tblStylePr>
    <w:tblStylePr w:type="lastRow">
      <w:pPr>
        <w:spacing w:before="0" w:after="0" w:line="240" w:lineRule="auto"/>
      </w:pPr>
      <w:rPr>
        <w:b/>
        <w:bCs/>
      </w:rPr>
      <w:tblPr/>
      <w:tcPr>
        <w:tcBorders>
          <w:top w:val="single" w:sz="8" w:space="0" w:color="602320" w:themeColor="accent3"/>
          <w:left w:val="nil"/>
          <w:bottom w:val="single" w:sz="8" w:space="0" w:color="60232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BAB8" w:themeFill="accent3" w:themeFillTint="3F"/>
      </w:tcPr>
    </w:tblStylePr>
    <w:tblStylePr w:type="band1Horz">
      <w:tblPr/>
      <w:tcPr>
        <w:tcBorders>
          <w:left w:val="nil"/>
          <w:right w:val="nil"/>
          <w:insideH w:val="nil"/>
          <w:insideV w:val="nil"/>
        </w:tcBorders>
        <w:shd w:val="clear" w:color="auto" w:fill="E7BAB8" w:themeFill="accent3" w:themeFillTint="3F"/>
      </w:tcPr>
    </w:tblStylePr>
  </w:style>
  <w:style w:type="table" w:styleId="LightShading-Accent4">
    <w:name w:val="Light Shading Accent 4"/>
    <w:basedOn w:val="TableNormal"/>
    <w:hidden/>
    <w:uiPriority w:val="60"/>
    <w:rsid w:val="00BB789B"/>
    <w:pPr>
      <w:spacing w:after="0" w:line="240" w:lineRule="auto"/>
    </w:pPr>
    <w:rPr>
      <w:color w:val="D32D4A" w:themeColor="accent4" w:themeShade="BF"/>
    </w:rPr>
    <w:tblPr>
      <w:tblStyleRowBandSize w:val="1"/>
      <w:tblStyleColBandSize w:val="1"/>
      <w:tblBorders>
        <w:top w:val="single" w:sz="8" w:space="0" w:color="E27588" w:themeColor="accent4"/>
        <w:bottom w:val="single" w:sz="8" w:space="0" w:color="E27588" w:themeColor="accent4"/>
      </w:tblBorders>
    </w:tblPr>
    <w:tblStylePr w:type="firstRow">
      <w:pPr>
        <w:spacing w:before="0" w:after="0" w:line="240" w:lineRule="auto"/>
      </w:pPr>
      <w:rPr>
        <w:b/>
        <w:bCs/>
      </w:rPr>
      <w:tblPr/>
      <w:tcPr>
        <w:tcBorders>
          <w:top w:val="single" w:sz="8" w:space="0" w:color="E27588" w:themeColor="accent4"/>
          <w:left w:val="nil"/>
          <w:bottom w:val="single" w:sz="8" w:space="0" w:color="E27588" w:themeColor="accent4"/>
          <w:right w:val="nil"/>
          <w:insideH w:val="nil"/>
          <w:insideV w:val="nil"/>
        </w:tcBorders>
      </w:tcPr>
    </w:tblStylePr>
    <w:tblStylePr w:type="lastRow">
      <w:pPr>
        <w:spacing w:before="0" w:after="0" w:line="240" w:lineRule="auto"/>
      </w:pPr>
      <w:rPr>
        <w:b/>
        <w:bCs/>
      </w:rPr>
      <w:tblPr/>
      <w:tcPr>
        <w:tcBorders>
          <w:top w:val="single" w:sz="8" w:space="0" w:color="E27588" w:themeColor="accent4"/>
          <w:left w:val="nil"/>
          <w:bottom w:val="single" w:sz="8" w:space="0" w:color="E2758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DCE1" w:themeFill="accent4" w:themeFillTint="3F"/>
      </w:tcPr>
    </w:tblStylePr>
    <w:tblStylePr w:type="band1Horz">
      <w:tblPr/>
      <w:tcPr>
        <w:tcBorders>
          <w:left w:val="nil"/>
          <w:right w:val="nil"/>
          <w:insideH w:val="nil"/>
          <w:insideV w:val="nil"/>
        </w:tcBorders>
        <w:shd w:val="clear" w:color="auto" w:fill="F7DCE1" w:themeFill="accent4" w:themeFillTint="3F"/>
      </w:tcPr>
    </w:tblStylePr>
  </w:style>
  <w:style w:type="table" w:styleId="LightShading-Accent5">
    <w:name w:val="Light Shading Accent 5"/>
    <w:basedOn w:val="TableNormal"/>
    <w:hidden/>
    <w:uiPriority w:val="60"/>
    <w:rsid w:val="00BB789B"/>
    <w:pPr>
      <w:spacing w:after="0" w:line="240" w:lineRule="auto"/>
    </w:pPr>
    <w:rPr>
      <w:color w:val="7A1818" w:themeColor="accent5" w:themeShade="BF"/>
    </w:rPr>
    <w:tblPr>
      <w:tblStyleRowBandSize w:val="1"/>
      <w:tblStyleColBandSize w:val="1"/>
      <w:tblBorders>
        <w:top w:val="single" w:sz="8" w:space="0" w:color="A32020" w:themeColor="accent5"/>
        <w:bottom w:val="single" w:sz="8" w:space="0" w:color="A32020" w:themeColor="accent5"/>
      </w:tblBorders>
    </w:tblPr>
    <w:tblStylePr w:type="firstRow">
      <w:pPr>
        <w:spacing w:before="0" w:after="0" w:line="240" w:lineRule="auto"/>
      </w:pPr>
      <w:rPr>
        <w:b/>
        <w:bCs/>
      </w:rPr>
      <w:tblPr/>
      <w:tcPr>
        <w:tcBorders>
          <w:top w:val="single" w:sz="8" w:space="0" w:color="A32020" w:themeColor="accent5"/>
          <w:left w:val="nil"/>
          <w:bottom w:val="single" w:sz="8" w:space="0" w:color="A32020" w:themeColor="accent5"/>
          <w:right w:val="nil"/>
          <w:insideH w:val="nil"/>
          <w:insideV w:val="nil"/>
        </w:tcBorders>
      </w:tcPr>
    </w:tblStylePr>
    <w:tblStylePr w:type="lastRow">
      <w:pPr>
        <w:spacing w:before="0" w:after="0" w:line="240" w:lineRule="auto"/>
      </w:pPr>
      <w:rPr>
        <w:b/>
        <w:bCs/>
      </w:rPr>
      <w:tblPr/>
      <w:tcPr>
        <w:tcBorders>
          <w:top w:val="single" w:sz="8" w:space="0" w:color="A32020" w:themeColor="accent5"/>
          <w:left w:val="nil"/>
          <w:bottom w:val="single" w:sz="8" w:space="0" w:color="A3202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BDBD" w:themeFill="accent5" w:themeFillTint="3F"/>
      </w:tcPr>
    </w:tblStylePr>
    <w:tblStylePr w:type="band1Horz">
      <w:tblPr/>
      <w:tcPr>
        <w:tcBorders>
          <w:left w:val="nil"/>
          <w:right w:val="nil"/>
          <w:insideH w:val="nil"/>
          <w:insideV w:val="nil"/>
        </w:tcBorders>
        <w:shd w:val="clear" w:color="auto" w:fill="F2BDBD" w:themeFill="accent5" w:themeFillTint="3F"/>
      </w:tcPr>
    </w:tblStylePr>
  </w:style>
  <w:style w:type="table" w:styleId="LightShading-Accent6">
    <w:name w:val="Light Shading Accent 6"/>
    <w:basedOn w:val="TableNormal"/>
    <w:hidden/>
    <w:uiPriority w:val="60"/>
    <w:rsid w:val="00BB789B"/>
    <w:pPr>
      <w:spacing w:after="0" w:line="240" w:lineRule="auto"/>
    </w:pPr>
    <w:rPr>
      <w:color w:val="A72316" w:themeColor="accent6" w:themeShade="BF"/>
    </w:rPr>
    <w:tblPr>
      <w:tblStyleRowBandSize w:val="1"/>
      <w:tblStyleColBandSize w:val="1"/>
      <w:tblBorders>
        <w:top w:val="single" w:sz="8" w:space="0" w:color="E0301E" w:themeColor="accent6"/>
        <w:bottom w:val="single" w:sz="8" w:space="0" w:color="E0301E" w:themeColor="accent6"/>
      </w:tblBorders>
    </w:tblPr>
    <w:tblStylePr w:type="firstRow">
      <w:pPr>
        <w:spacing w:before="0" w:after="0" w:line="240" w:lineRule="auto"/>
      </w:pPr>
      <w:rPr>
        <w:b/>
        <w:bCs/>
      </w:rPr>
      <w:tblPr/>
      <w:tcPr>
        <w:tcBorders>
          <w:top w:val="single" w:sz="8" w:space="0" w:color="E0301E" w:themeColor="accent6"/>
          <w:left w:val="nil"/>
          <w:bottom w:val="single" w:sz="8" w:space="0" w:color="E0301E" w:themeColor="accent6"/>
          <w:right w:val="nil"/>
          <w:insideH w:val="nil"/>
          <w:insideV w:val="nil"/>
        </w:tcBorders>
      </w:tcPr>
    </w:tblStylePr>
    <w:tblStylePr w:type="lastRow">
      <w:pPr>
        <w:spacing w:before="0" w:after="0" w:line="240" w:lineRule="auto"/>
      </w:pPr>
      <w:rPr>
        <w:b/>
        <w:bCs/>
      </w:rPr>
      <w:tblPr/>
      <w:tcPr>
        <w:tcBorders>
          <w:top w:val="single" w:sz="8" w:space="0" w:color="E0301E" w:themeColor="accent6"/>
          <w:left w:val="nil"/>
          <w:bottom w:val="single" w:sz="8" w:space="0" w:color="E0301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CBC7" w:themeFill="accent6" w:themeFillTint="3F"/>
      </w:tcPr>
    </w:tblStylePr>
    <w:tblStylePr w:type="band1Horz">
      <w:tblPr/>
      <w:tcPr>
        <w:tcBorders>
          <w:left w:val="nil"/>
          <w:right w:val="nil"/>
          <w:insideH w:val="nil"/>
          <w:insideV w:val="nil"/>
        </w:tcBorders>
        <w:shd w:val="clear" w:color="auto" w:fill="F7CBC7" w:themeFill="accent6" w:themeFillTint="3F"/>
      </w:tcPr>
    </w:tblStylePr>
  </w:style>
  <w:style w:type="character" w:styleId="LineNumber">
    <w:name w:val="line number"/>
    <w:basedOn w:val="DefaultParagraphFont"/>
    <w:hidden/>
    <w:uiPriority w:val="99"/>
    <w:semiHidden/>
    <w:unhideWhenUsed/>
    <w:rsid w:val="00BB789B"/>
  </w:style>
  <w:style w:type="table" w:customStyle="1" w:styleId="MediumGrid11">
    <w:name w:val="Medium Grid 11"/>
    <w:basedOn w:val="TableNormal"/>
    <w:hidden/>
    <w:uiPriority w:val="67"/>
    <w:rsid w:val="00BB789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hidden/>
    <w:uiPriority w:val="67"/>
    <w:rsid w:val="00BB789B"/>
    <w:pPr>
      <w:spacing w:after="0" w:line="240" w:lineRule="auto"/>
    </w:pPr>
    <w:tblPr>
      <w:tblStyleRowBandSize w:val="1"/>
      <w:tblStyleColBandSize w:val="1"/>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insideV w:val="single" w:sz="8" w:space="0" w:color="FF8C25" w:themeColor="accent1" w:themeTint="BF"/>
      </w:tblBorders>
    </w:tblPr>
    <w:tcPr>
      <w:shd w:val="clear" w:color="auto" w:fill="FFD9B7" w:themeFill="accent1" w:themeFillTint="3F"/>
    </w:tcPr>
    <w:tblStylePr w:type="firstRow">
      <w:rPr>
        <w:b/>
        <w:bCs/>
      </w:rPr>
    </w:tblStylePr>
    <w:tblStylePr w:type="lastRow">
      <w:rPr>
        <w:b/>
        <w:bCs/>
      </w:rPr>
      <w:tblPr/>
      <w:tcPr>
        <w:tcBorders>
          <w:top w:val="single" w:sz="18" w:space="0" w:color="FF8C25" w:themeColor="accent1" w:themeTint="BF"/>
        </w:tcBorders>
      </w:tcPr>
    </w:tblStylePr>
    <w:tblStylePr w:type="firstCol">
      <w:rPr>
        <w:b/>
        <w:bCs/>
      </w:rPr>
    </w:tblStylePr>
    <w:tblStylePr w:type="lastCol">
      <w:rPr>
        <w:b/>
        <w:bCs/>
      </w:rPr>
    </w:tblStylePr>
    <w:tblStylePr w:type="band1Vert">
      <w:tblPr/>
      <w:tcPr>
        <w:shd w:val="clear" w:color="auto" w:fill="FFB26E" w:themeFill="accent1" w:themeFillTint="7F"/>
      </w:tcPr>
    </w:tblStylePr>
    <w:tblStylePr w:type="band1Horz">
      <w:tblPr/>
      <w:tcPr>
        <w:shd w:val="clear" w:color="auto" w:fill="FFB26E" w:themeFill="accent1" w:themeFillTint="7F"/>
      </w:tcPr>
    </w:tblStylePr>
  </w:style>
  <w:style w:type="table" w:styleId="MediumGrid1-Accent2">
    <w:name w:val="Medium Grid 1 Accent 2"/>
    <w:basedOn w:val="TableNormal"/>
    <w:hidden/>
    <w:uiPriority w:val="67"/>
    <w:rsid w:val="00BB789B"/>
    <w:pPr>
      <w:spacing w:after="0" w:line="240" w:lineRule="auto"/>
    </w:pPr>
    <w:tblPr>
      <w:tblStyleRowBandSize w:val="1"/>
      <w:tblStyleColBandSize w:val="1"/>
      <w:tbl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single" w:sz="8" w:space="0" w:color="FFC840" w:themeColor="accent2" w:themeTint="BF"/>
        <w:insideV w:val="single" w:sz="8" w:space="0" w:color="FFC840" w:themeColor="accent2" w:themeTint="BF"/>
      </w:tblBorders>
    </w:tblPr>
    <w:tcPr>
      <w:shd w:val="clear" w:color="auto" w:fill="FFECC0" w:themeFill="accent2" w:themeFillTint="3F"/>
    </w:tcPr>
    <w:tblStylePr w:type="firstRow">
      <w:rPr>
        <w:b/>
        <w:bCs/>
      </w:rPr>
    </w:tblStylePr>
    <w:tblStylePr w:type="lastRow">
      <w:rPr>
        <w:b/>
        <w:bCs/>
      </w:rPr>
      <w:tblPr/>
      <w:tcPr>
        <w:tcBorders>
          <w:top w:val="single" w:sz="18" w:space="0" w:color="FFC840" w:themeColor="accent2" w:themeTint="BF"/>
        </w:tcBorders>
      </w:tcPr>
    </w:tblStylePr>
    <w:tblStylePr w:type="firstCol">
      <w:rPr>
        <w:b/>
        <w:bCs/>
      </w:rPr>
    </w:tblStylePr>
    <w:tblStylePr w:type="lastCol">
      <w:rPr>
        <w:b/>
        <w:bCs/>
      </w:rPr>
    </w:tblStylePr>
    <w:tblStylePr w:type="band1Vert">
      <w:tblPr/>
      <w:tcPr>
        <w:shd w:val="clear" w:color="auto" w:fill="FFDA80" w:themeFill="accent2" w:themeFillTint="7F"/>
      </w:tcPr>
    </w:tblStylePr>
    <w:tblStylePr w:type="band1Horz">
      <w:tblPr/>
      <w:tcPr>
        <w:shd w:val="clear" w:color="auto" w:fill="FFDA80" w:themeFill="accent2" w:themeFillTint="7F"/>
      </w:tcPr>
    </w:tblStylePr>
  </w:style>
  <w:style w:type="table" w:styleId="MediumGrid1-Accent3">
    <w:name w:val="Medium Grid 1 Accent 3"/>
    <w:basedOn w:val="TableNormal"/>
    <w:hidden/>
    <w:uiPriority w:val="67"/>
    <w:rsid w:val="00BB789B"/>
    <w:pPr>
      <w:spacing w:after="0" w:line="240" w:lineRule="auto"/>
    </w:pPr>
    <w:tblPr>
      <w:tblStyleRowBandSize w:val="1"/>
      <w:tblStyleColBandSize w:val="1"/>
      <w:tbl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single" w:sz="8" w:space="0" w:color="A73C38" w:themeColor="accent3" w:themeTint="BF"/>
        <w:insideV w:val="single" w:sz="8" w:space="0" w:color="A73C38" w:themeColor="accent3" w:themeTint="BF"/>
      </w:tblBorders>
    </w:tblPr>
    <w:tcPr>
      <w:shd w:val="clear" w:color="auto" w:fill="E7BAB8" w:themeFill="accent3" w:themeFillTint="3F"/>
    </w:tcPr>
    <w:tblStylePr w:type="firstRow">
      <w:rPr>
        <w:b/>
        <w:bCs/>
      </w:rPr>
    </w:tblStylePr>
    <w:tblStylePr w:type="lastRow">
      <w:rPr>
        <w:b/>
        <w:bCs/>
      </w:rPr>
      <w:tblPr/>
      <w:tcPr>
        <w:tcBorders>
          <w:top w:val="single" w:sz="18" w:space="0" w:color="A73C38" w:themeColor="accent3" w:themeTint="BF"/>
        </w:tcBorders>
      </w:tcPr>
    </w:tblStylePr>
    <w:tblStylePr w:type="firstCol">
      <w:rPr>
        <w:b/>
        <w:bCs/>
      </w:rPr>
    </w:tblStylePr>
    <w:tblStylePr w:type="lastCol">
      <w:rPr>
        <w:b/>
        <w:bCs/>
      </w:rPr>
    </w:tblStylePr>
    <w:tblStylePr w:type="band1Vert">
      <w:tblPr/>
      <w:tcPr>
        <w:shd w:val="clear" w:color="auto" w:fill="CF7470" w:themeFill="accent3" w:themeFillTint="7F"/>
      </w:tcPr>
    </w:tblStylePr>
    <w:tblStylePr w:type="band1Horz">
      <w:tblPr/>
      <w:tcPr>
        <w:shd w:val="clear" w:color="auto" w:fill="CF7470" w:themeFill="accent3" w:themeFillTint="7F"/>
      </w:tcPr>
    </w:tblStylePr>
  </w:style>
  <w:style w:type="table" w:styleId="MediumGrid1-Accent4">
    <w:name w:val="Medium Grid 1 Accent 4"/>
    <w:basedOn w:val="TableNormal"/>
    <w:hidden/>
    <w:uiPriority w:val="67"/>
    <w:rsid w:val="00BB789B"/>
    <w:pPr>
      <w:spacing w:after="0" w:line="240" w:lineRule="auto"/>
    </w:pPr>
    <w:tblPr>
      <w:tblStyleRowBandSize w:val="1"/>
      <w:tblStyleColBandSize w:val="1"/>
      <w:tblBorders>
        <w:top w:val="single" w:sz="8" w:space="0" w:color="E997A5" w:themeColor="accent4" w:themeTint="BF"/>
        <w:left w:val="single" w:sz="8" w:space="0" w:color="E997A5" w:themeColor="accent4" w:themeTint="BF"/>
        <w:bottom w:val="single" w:sz="8" w:space="0" w:color="E997A5" w:themeColor="accent4" w:themeTint="BF"/>
        <w:right w:val="single" w:sz="8" w:space="0" w:color="E997A5" w:themeColor="accent4" w:themeTint="BF"/>
        <w:insideH w:val="single" w:sz="8" w:space="0" w:color="E997A5" w:themeColor="accent4" w:themeTint="BF"/>
        <w:insideV w:val="single" w:sz="8" w:space="0" w:color="E997A5" w:themeColor="accent4" w:themeTint="BF"/>
      </w:tblBorders>
    </w:tblPr>
    <w:tcPr>
      <w:shd w:val="clear" w:color="auto" w:fill="F7DCE1" w:themeFill="accent4" w:themeFillTint="3F"/>
    </w:tcPr>
    <w:tblStylePr w:type="firstRow">
      <w:rPr>
        <w:b/>
        <w:bCs/>
      </w:rPr>
    </w:tblStylePr>
    <w:tblStylePr w:type="lastRow">
      <w:rPr>
        <w:b/>
        <w:bCs/>
      </w:rPr>
      <w:tblPr/>
      <w:tcPr>
        <w:tcBorders>
          <w:top w:val="single" w:sz="18" w:space="0" w:color="E997A5" w:themeColor="accent4" w:themeTint="BF"/>
        </w:tcBorders>
      </w:tcPr>
    </w:tblStylePr>
    <w:tblStylePr w:type="firstCol">
      <w:rPr>
        <w:b/>
        <w:bCs/>
      </w:rPr>
    </w:tblStylePr>
    <w:tblStylePr w:type="lastCol">
      <w:rPr>
        <w:b/>
        <w:bCs/>
      </w:rPr>
    </w:tblStylePr>
    <w:tblStylePr w:type="band1Vert">
      <w:tblPr/>
      <w:tcPr>
        <w:shd w:val="clear" w:color="auto" w:fill="F0BAC3" w:themeFill="accent4" w:themeFillTint="7F"/>
      </w:tcPr>
    </w:tblStylePr>
    <w:tblStylePr w:type="band1Horz">
      <w:tblPr/>
      <w:tcPr>
        <w:shd w:val="clear" w:color="auto" w:fill="F0BAC3" w:themeFill="accent4" w:themeFillTint="7F"/>
      </w:tcPr>
    </w:tblStylePr>
  </w:style>
  <w:style w:type="table" w:styleId="MediumGrid1-Accent5">
    <w:name w:val="Medium Grid 1 Accent 5"/>
    <w:basedOn w:val="TableNormal"/>
    <w:hidden/>
    <w:uiPriority w:val="67"/>
    <w:rsid w:val="00BB789B"/>
    <w:pPr>
      <w:spacing w:after="0" w:line="240" w:lineRule="auto"/>
    </w:pPr>
    <w:tblPr>
      <w:tblStyleRowBandSize w:val="1"/>
      <w:tblStyleColBandSize w:val="1"/>
      <w:tbl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single" w:sz="8" w:space="0" w:color="D83939" w:themeColor="accent5" w:themeTint="BF"/>
        <w:insideV w:val="single" w:sz="8" w:space="0" w:color="D83939" w:themeColor="accent5" w:themeTint="BF"/>
      </w:tblBorders>
    </w:tblPr>
    <w:tcPr>
      <w:shd w:val="clear" w:color="auto" w:fill="F2BDBD" w:themeFill="accent5" w:themeFillTint="3F"/>
    </w:tcPr>
    <w:tblStylePr w:type="firstRow">
      <w:rPr>
        <w:b/>
        <w:bCs/>
      </w:rPr>
    </w:tblStylePr>
    <w:tblStylePr w:type="lastRow">
      <w:rPr>
        <w:b/>
        <w:bCs/>
      </w:rPr>
      <w:tblPr/>
      <w:tcPr>
        <w:tcBorders>
          <w:top w:val="single" w:sz="18" w:space="0" w:color="D83939" w:themeColor="accent5" w:themeTint="BF"/>
        </w:tcBorders>
      </w:tcPr>
    </w:tblStylePr>
    <w:tblStylePr w:type="firstCol">
      <w:rPr>
        <w:b/>
        <w:bCs/>
      </w:rPr>
    </w:tblStylePr>
    <w:tblStylePr w:type="lastCol">
      <w:rPr>
        <w:b/>
        <w:bCs/>
      </w:rPr>
    </w:tblStylePr>
    <w:tblStylePr w:type="band1Vert">
      <w:tblPr/>
      <w:tcPr>
        <w:shd w:val="clear" w:color="auto" w:fill="E57B7B" w:themeFill="accent5" w:themeFillTint="7F"/>
      </w:tcPr>
    </w:tblStylePr>
    <w:tblStylePr w:type="band1Horz">
      <w:tblPr/>
      <w:tcPr>
        <w:shd w:val="clear" w:color="auto" w:fill="E57B7B" w:themeFill="accent5" w:themeFillTint="7F"/>
      </w:tcPr>
    </w:tblStylePr>
  </w:style>
  <w:style w:type="table" w:styleId="MediumGrid1-Accent6">
    <w:name w:val="Medium Grid 1 Accent 6"/>
    <w:basedOn w:val="TableNormal"/>
    <w:hidden/>
    <w:uiPriority w:val="67"/>
    <w:rsid w:val="00BB789B"/>
    <w:pPr>
      <w:spacing w:after="0" w:line="240" w:lineRule="auto"/>
    </w:pPr>
    <w:tblPr>
      <w:tblStyleRowBandSize w:val="1"/>
      <w:tblStyleColBandSize w:val="1"/>
      <w:tbl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single" w:sz="8" w:space="0" w:color="E86255" w:themeColor="accent6" w:themeTint="BF"/>
        <w:insideV w:val="single" w:sz="8" w:space="0" w:color="E86255" w:themeColor="accent6" w:themeTint="BF"/>
      </w:tblBorders>
    </w:tblPr>
    <w:tcPr>
      <w:shd w:val="clear" w:color="auto" w:fill="F7CBC7" w:themeFill="accent6" w:themeFillTint="3F"/>
    </w:tcPr>
    <w:tblStylePr w:type="firstRow">
      <w:rPr>
        <w:b/>
        <w:bCs/>
      </w:rPr>
    </w:tblStylePr>
    <w:tblStylePr w:type="lastRow">
      <w:rPr>
        <w:b/>
        <w:bCs/>
      </w:rPr>
      <w:tblPr/>
      <w:tcPr>
        <w:tcBorders>
          <w:top w:val="single" w:sz="18" w:space="0" w:color="E86255" w:themeColor="accent6" w:themeTint="BF"/>
        </w:tcBorders>
      </w:tcPr>
    </w:tblStylePr>
    <w:tblStylePr w:type="firstCol">
      <w:rPr>
        <w:b/>
        <w:bCs/>
      </w:rPr>
    </w:tblStylePr>
    <w:tblStylePr w:type="lastCol">
      <w:rPr>
        <w:b/>
        <w:bCs/>
      </w:rPr>
    </w:tblStylePr>
    <w:tblStylePr w:type="band1Vert">
      <w:tblPr/>
      <w:tcPr>
        <w:shd w:val="clear" w:color="auto" w:fill="F0978E" w:themeFill="accent6" w:themeFillTint="7F"/>
      </w:tcPr>
    </w:tblStylePr>
    <w:tblStylePr w:type="band1Horz">
      <w:tblPr/>
      <w:tcPr>
        <w:shd w:val="clear" w:color="auto" w:fill="F0978E" w:themeFill="accent6" w:themeFillTint="7F"/>
      </w:tcPr>
    </w:tblStylePr>
  </w:style>
  <w:style w:type="table" w:customStyle="1" w:styleId="MediumGrid21">
    <w:name w:val="Medium Grid 21"/>
    <w:basedOn w:val="TableNormal"/>
    <w:hidden/>
    <w:uiPriority w:val="68"/>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hidden/>
    <w:uiPriority w:val="68"/>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insideH w:val="single" w:sz="8" w:space="0" w:color="DC6900" w:themeColor="accent1"/>
        <w:insideV w:val="single" w:sz="8" w:space="0" w:color="DC6900" w:themeColor="accent1"/>
      </w:tblBorders>
    </w:tblPr>
    <w:tcPr>
      <w:shd w:val="clear" w:color="auto" w:fill="FFD9B7" w:themeFill="accent1" w:themeFillTint="3F"/>
    </w:tcPr>
    <w:tblStylePr w:type="firstRow">
      <w:rPr>
        <w:b/>
        <w:bCs/>
        <w:color w:val="000000" w:themeColor="text1"/>
      </w:rPr>
      <w:tblPr/>
      <w:tcPr>
        <w:shd w:val="clear" w:color="auto" w:fill="FFEFE2"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5" w:themeFill="accent1" w:themeFillTint="33"/>
      </w:tcPr>
    </w:tblStylePr>
    <w:tblStylePr w:type="band1Vert">
      <w:tblPr/>
      <w:tcPr>
        <w:shd w:val="clear" w:color="auto" w:fill="FFB26E" w:themeFill="accent1" w:themeFillTint="7F"/>
      </w:tcPr>
    </w:tblStylePr>
    <w:tblStylePr w:type="band1Horz">
      <w:tblPr/>
      <w:tcPr>
        <w:tcBorders>
          <w:insideH w:val="single" w:sz="6" w:space="0" w:color="DC6900" w:themeColor="accent1"/>
          <w:insideV w:val="single" w:sz="6" w:space="0" w:color="DC6900" w:themeColor="accent1"/>
        </w:tcBorders>
        <w:shd w:val="clear" w:color="auto" w:fill="FFB26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hidden/>
    <w:uiPriority w:val="68"/>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B600" w:themeColor="accent2"/>
        <w:left w:val="single" w:sz="8" w:space="0" w:color="FFB600" w:themeColor="accent2"/>
        <w:bottom w:val="single" w:sz="8" w:space="0" w:color="FFB600" w:themeColor="accent2"/>
        <w:right w:val="single" w:sz="8" w:space="0" w:color="FFB600" w:themeColor="accent2"/>
        <w:insideH w:val="single" w:sz="8" w:space="0" w:color="FFB600" w:themeColor="accent2"/>
        <w:insideV w:val="single" w:sz="8" w:space="0" w:color="FFB600" w:themeColor="accent2"/>
      </w:tblBorders>
    </w:tblPr>
    <w:tcPr>
      <w:shd w:val="clear" w:color="auto" w:fill="FFECC0" w:themeFill="accent2" w:themeFillTint="3F"/>
    </w:tcPr>
    <w:tblStylePr w:type="firstRow">
      <w:rPr>
        <w:b/>
        <w:bCs/>
        <w:color w:val="000000" w:themeColor="text1"/>
      </w:rPr>
      <w:tblPr/>
      <w:tcPr>
        <w:shd w:val="clear" w:color="auto" w:fill="FFF7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0CC" w:themeFill="accent2" w:themeFillTint="33"/>
      </w:tcPr>
    </w:tblStylePr>
    <w:tblStylePr w:type="band1Vert">
      <w:tblPr/>
      <w:tcPr>
        <w:shd w:val="clear" w:color="auto" w:fill="FFDA80" w:themeFill="accent2" w:themeFillTint="7F"/>
      </w:tcPr>
    </w:tblStylePr>
    <w:tblStylePr w:type="band1Horz">
      <w:tblPr/>
      <w:tcPr>
        <w:tcBorders>
          <w:insideH w:val="single" w:sz="6" w:space="0" w:color="FFB600" w:themeColor="accent2"/>
          <w:insideV w:val="single" w:sz="6" w:space="0" w:color="FFB600" w:themeColor="accent2"/>
        </w:tcBorders>
        <w:shd w:val="clear" w:color="auto" w:fill="FFDA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hidden/>
    <w:uiPriority w:val="68"/>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02320" w:themeColor="accent3"/>
        <w:left w:val="single" w:sz="8" w:space="0" w:color="602320" w:themeColor="accent3"/>
        <w:bottom w:val="single" w:sz="8" w:space="0" w:color="602320" w:themeColor="accent3"/>
        <w:right w:val="single" w:sz="8" w:space="0" w:color="602320" w:themeColor="accent3"/>
        <w:insideH w:val="single" w:sz="8" w:space="0" w:color="602320" w:themeColor="accent3"/>
        <w:insideV w:val="single" w:sz="8" w:space="0" w:color="602320" w:themeColor="accent3"/>
      </w:tblBorders>
    </w:tblPr>
    <w:tcPr>
      <w:shd w:val="clear" w:color="auto" w:fill="E7BAB8" w:themeFill="accent3" w:themeFillTint="3F"/>
    </w:tcPr>
    <w:tblStylePr w:type="firstRow">
      <w:rPr>
        <w:b/>
        <w:bCs/>
        <w:color w:val="000000" w:themeColor="text1"/>
      </w:rPr>
      <w:tblPr/>
      <w:tcPr>
        <w:shd w:val="clear" w:color="auto" w:fill="F5E3E2"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C7C5" w:themeFill="accent3" w:themeFillTint="33"/>
      </w:tcPr>
    </w:tblStylePr>
    <w:tblStylePr w:type="band1Vert">
      <w:tblPr/>
      <w:tcPr>
        <w:shd w:val="clear" w:color="auto" w:fill="CF7470" w:themeFill="accent3" w:themeFillTint="7F"/>
      </w:tcPr>
    </w:tblStylePr>
    <w:tblStylePr w:type="band1Horz">
      <w:tblPr/>
      <w:tcPr>
        <w:tcBorders>
          <w:insideH w:val="single" w:sz="6" w:space="0" w:color="602320" w:themeColor="accent3"/>
          <w:insideV w:val="single" w:sz="6" w:space="0" w:color="602320" w:themeColor="accent3"/>
        </w:tcBorders>
        <w:shd w:val="clear" w:color="auto" w:fill="CF7470"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hidden/>
    <w:uiPriority w:val="68"/>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27588" w:themeColor="accent4"/>
        <w:left w:val="single" w:sz="8" w:space="0" w:color="E27588" w:themeColor="accent4"/>
        <w:bottom w:val="single" w:sz="8" w:space="0" w:color="E27588" w:themeColor="accent4"/>
        <w:right w:val="single" w:sz="8" w:space="0" w:color="E27588" w:themeColor="accent4"/>
        <w:insideH w:val="single" w:sz="8" w:space="0" w:color="E27588" w:themeColor="accent4"/>
        <w:insideV w:val="single" w:sz="8" w:space="0" w:color="E27588" w:themeColor="accent4"/>
      </w:tblBorders>
    </w:tblPr>
    <w:tcPr>
      <w:shd w:val="clear" w:color="auto" w:fill="F7DCE1" w:themeFill="accent4" w:themeFillTint="3F"/>
    </w:tcPr>
    <w:tblStylePr w:type="firstRow">
      <w:rPr>
        <w:b/>
        <w:bCs/>
        <w:color w:val="000000" w:themeColor="text1"/>
      </w:rPr>
      <w:tblPr/>
      <w:tcPr>
        <w:shd w:val="clear" w:color="auto" w:fill="FCF1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E3E6" w:themeFill="accent4" w:themeFillTint="33"/>
      </w:tcPr>
    </w:tblStylePr>
    <w:tblStylePr w:type="band1Vert">
      <w:tblPr/>
      <w:tcPr>
        <w:shd w:val="clear" w:color="auto" w:fill="F0BAC3" w:themeFill="accent4" w:themeFillTint="7F"/>
      </w:tcPr>
    </w:tblStylePr>
    <w:tblStylePr w:type="band1Horz">
      <w:tblPr/>
      <w:tcPr>
        <w:tcBorders>
          <w:insideH w:val="single" w:sz="6" w:space="0" w:color="E27588" w:themeColor="accent4"/>
          <w:insideV w:val="single" w:sz="6" w:space="0" w:color="E27588" w:themeColor="accent4"/>
        </w:tcBorders>
        <w:shd w:val="clear" w:color="auto" w:fill="F0BAC3"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hidden/>
    <w:uiPriority w:val="68"/>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2020" w:themeColor="accent5"/>
        <w:left w:val="single" w:sz="8" w:space="0" w:color="A32020" w:themeColor="accent5"/>
        <w:bottom w:val="single" w:sz="8" w:space="0" w:color="A32020" w:themeColor="accent5"/>
        <w:right w:val="single" w:sz="8" w:space="0" w:color="A32020" w:themeColor="accent5"/>
        <w:insideH w:val="single" w:sz="8" w:space="0" w:color="A32020" w:themeColor="accent5"/>
        <w:insideV w:val="single" w:sz="8" w:space="0" w:color="A32020" w:themeColor="accent5"/>
      </w:tblBorders>
    </w:tblPr>
    <w:tcPr>
      <w:shd w:val="clear" w:color="auto" w:fill="F2BDBD" w:themeFill="accent5" w:themeFillTint="3F"/>
    </w:tcPr>
    <w:tblStylePr w:type="firstRow">
      <w:rPr>
        <w:b/>
        <w:bCs/>
        <w:color w:val="000000" w:themeColor="text1"/>
      </w:rPr>
      <w:tblPr/>
      <w:tcPr>
        <w:shd w:val="clear" w:color="auto" w:fill="FAE5E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CACA" w:themeFill="accent5" w:themeFillTint="33"/>
      </w:tcPr>
    </w:tblStylePr>
    <w:tblStylePr w:type="band1Vert">
      <w:tblPr/>
      <w:tcPr>
        <w:shd w:val="clear" w:color="auto" w:fill="E57B7B" w:themeFill="accent5" w:themeFillTint="7F"/>
      </w:tcPr>
    </w:tblStylePr>
    <w:tblStylePr w:type="band1Horz">
      <w:tblPr/>
      <w:tcPr>
        <w:tcBorders>
          <w:insideH w:val="single" w:sz="6" w:space="0" w:color="A32020" w:themeColor="accent5"/>
          <w:insideV w:val="single" w:sz="6" w:space="0" w:color="A32020" w:themeColor="accent5"/>
        </w:tcBorders>
        <w:shd w:val="clear" w:color="auto" w:fill="E57B7B"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hidden/>
    <w:uiPriority w:val="68"/>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insideH w:val="single" w:sz="8" w:space="0" w:color="E0301E" w:themeColor="accent6"/>
        <w:insideV w:val="single" w:sz="8" w:space="0" w:color="E0301E" w:themeColor="accent6"/>
      </w:tblBorders>
    </w:tblPr>
    <w:tcPr>
      <w:shd w:val="clear" w:color="auto" w:fill="F7CBC7" w:themeFill="accent6" w:themeFillTint="3F"/>
    </w:tcPr>
    <w:tblStylePr w:type="firstRow">
      <w:rPr>
        <w:b/>
        <w:bCs/>
        <w:color w:val="000000" w:themeColor="text1"/>
      </w:rPr>
      <w:tblPr/>
      <w:tcPr>
        <w:shd w:val="clear" w:color="auto" w:fill="FCEA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D5D1" w:themeFill="accent6" w:themeFillTint="33"/>
      </w:tcPr>
    </w:tblStylePr>
    <w:tblStylePr w:type="band1Vert">
      <w:tblPr/>
      <w:tcPr>
        <w:shd w:val="clear" w:color="auto" w:fill="F0978E" w:themeFill="accent6" w:themeFillTint="7F"/>
      </w:tcPr>
    </w:tblStylePr>
    <w:tblStylePr w:type="band1Horz">
      <w:tblPr/>
      <w:tcPr>
        <w:tcBorders>
          <w:insideH w:val="single" w:sz="6" w:space="0" w:color="E0301E" w:themeColor="accent6"/>
          <w:insideV w:val="single" w:sz="6" w:space="0" w:color="E0301E" w:themeColor="accent6"/>
        </w:tcBorders>
        <w:shd w:val="clear" w:color="auto" w:fill="F0978E"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hidden/>
    <w:uiPriority w:val="69"/>
    <w:rsid w:val="00BB78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hidden/>
    <w:uiPriority w:val="69"/>
    <w:rsid w:val="00BB78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9B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C69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C69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C69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C69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26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26E" w:themeFill="accent1" w:themeFillTint="7F"/>
      </w:tcPr>
    </w:tblStylePr>
  </w:style>
  <w:style w:type="table" w:styleId="MediumGrid3-Accent2">
    <w:name w:val="Medium Grid 3 Accent 2"/>
    <w:basedOn w:val="TableNormal"/>
    <w:hidden/>
    <w:uiPriority w:val="69"/>
    <w:rsid w:val="00BB78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C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B6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B6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B6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B6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A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A80" w:themeFill="accent2" w:themeFillTint="7F"/>
      </w:tcPr>
    </w:tblStylePr>
  </w:style>
  <w:style w:type="table" w:styleId="MediumGrid3-Accent3">
    <w:name w:val="Medium Grid 3 Accent 3"/>
    <w:basedOn w:val="TableNormal"/>
    <w:hidden/>
    <w:uiPriority w:val="69"/>
    <w:rsid w:val="00BB78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BAB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232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232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232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232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747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7470" w:themeFill="accent3" w:themeFillTint="7F"/>
      </w:tcPr>
    </w:tblStylePr>
  </w:style>
  <w:style w:type="table" w:styleId="MediumGrid3-Accent4">
    <w:name w:val="Medium Grid 3 Accent 4"/>
    <w:basedOn w:val="TableNormal"/>
    <w:hidden/>
    <w:uiPriority w:val="69"/>
    <w:rsid w:val="00BB78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DCE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2758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2758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2758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2758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0BAC3"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0BAC3" w:themeFill="accent4" w:themeFillTint="7F"/>
      </w:tcPr>
    </w:tblStylePr>
  </w:style>
  <w:style w:type="table" w:styleId="MediumGrid3-Accent5">
    <w:name w:val="Medium Grid 3 Accent 5"/>
    <w:basedOn w:val="TableNormal"/>
    <w:hidden/>
    <w:uiPriority w:val="69"/>
    <w:rsid w:val="00BB78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BDB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3202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3202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3202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3202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7B7B"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7B7B" w:themeFill="accent5" w:themeFillTint="7F"/>
      </w:tcPr>
    </w:tblStylePr>
  </w:style>
  <w:style w:type="table" w:styleId="MediumGrid3-Accent6">
    <w:name w:val="Medium Grid 3 Accent 6"/>
    <w:basedOn w:val="TableNormal"/>
    <w:hidden/>
    <w:uiPriority w:val="69"/>
    <w:rsid w:val="00BB78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CBC7"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301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301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301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301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0978E"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0978E" w:themeFill="accent6" w:themeFillTint="7F"/>
      </w:tcPr>
    </w:tblStylePr>
  </w:style>
  <w:style w:type="table" w:customStyle="1" w:styleId="MediumList11">
    <w:name w:val="Medium List 11"/>
    <w:basedOn w:val="TableNormal"/>
    <w:hidden/>
    <w:uiPriority w:val="65"/>
    <w:rsid w:val="00BB789B"/>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DC69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hidden/>
    <w:uiPriority w:val="65"/>
    <w:rsid w:val="00BB789B"/>
    <w:pPr>
      <w:spacing w:after="0" w:line="240" w:lineRule="auto"/>
    </w:pPr>
    <w:rPr>
      <w:color w:val="000000" w:themeColor="text1"/>
    </w:rPr>
    <w:tblPr>
      <w:tblStyleRowBandSize w:val="1"/>
      <w:tblStyleColBandSize w:val="1"/>
      <w:tblBorders>
        <w:top w:val="single" w:sz="8" w:space="0" w:color="DC6900" w:themeColor="accent1"/>
        <w:bottom w:val="single" w:sz="8" w:space="0" w:color="DC6900" w:themeColor="accent1"/>
      </w:tblBorders>
    </w:tblPr>
    <w:tblStylePr w:type="firstRow">
      <w:rPr>
        <w:rFonts w:asciiTheme="majorHAnsi" w:eastAsiaTheme="majorEastAsia" w:hAnsiTheme="majorHAnsi" w:cstheme="majorBidi"/>
      </w:rPr>
      <w:tblPr/>
      <w:tcPr>
        <w:tcBorders>
          <w:top w:val="nil"/>
          <w:bottom w:val="single" w:sz="8" w:space="0" w:color="DC6900" w:themeColor="accent1"/>
        </w:tcBorders>
      </w:tcPr>
    </w:tblStylePr>
    <w:tblStylePr w:type="lastRow">
      <w:rPr>
        <w:b/>
        <w:bCs/>
        <w:color w:val="DC6900" w:themeColor="text2"/>
      </w:rPr>
      <w:tblPr/>
      <w:tcPr>
        <w:tcBorders>
          <w:top w:val="single" w:sz="8" w:space="0" w:color="DC6900" w:themeColor="accent1"/>
          <w:bottom w:val="single" w:sz="8" w:space="0" w:color="DC6900" w:themeColor="accent1"/>
        </w:tcBorders>
      </w:tcPr>
    </w:tblStylePr>
    <w:tblStylePr w:type="firstCol">
      <w:rPr>
        <w:b/>
        <w:bCs/>
      </w:rPr>
    </w:tblStylePr>
    <w:tblStylePr w:type="lastCol">
      <w:rPr>
        <w:b/>
        <w:bCs/>
      </w:rPr>
      <w:tblPr/>
      <w:tcPr>
        <w:tcBorders>
          <w:top w:val="single" w:sz="8" w:space="0" w:color="DC6900" w:themeColor="accent1"/>
          <w:bottom w:val="single" w:sz="8" w:space="0" w:color="DC6900" w:themeColor="accent1"/>
        </w:tcBorders>
      </w:tcPr>
    </w:tblStylePr>
    <w:tblStylePr w:type="band1Vert">
      <w:tblPr/>
      <w:tcPr>
        <w:shd w:val="clear" w:color="auto" w:fill="FFD9B7" w:themeFill="accent1" w:themeFillTint="3F"/>
      </w:tcPr>
    </w:tblStylePr>
    <w:tblStylePr w:type="band1Horz">
      <w:tblPr/>
      <w:tcPr>
        <w:shd w:val="clear" w:color="auto" w:fill="FFD9B7" w:themeFill="accent1" w:themeFillTint="3F"/>
      </w:tcPr>
    </w:tblStylePr>
  </w:style>
  <w:style w:type="table" w:styleId="MediumList1-Accent2">
    <w:name w:val="Medium List 1 Accent 2"/>
    <w:basedOn w:val="TableNormal"/>
    <w:hidden/>
    <w:uiPriority w:val="65"/>
    <w:rsid w:val="00BB789B"/>
    <w:pPr>
      <w:spacing w:after="0" w:line="240" w:lineRule="auto"/>
    </w:pPr>
    <w:rPr>
      <w:color w:val="000000" w:themeColor="text1"/>
    </w:rPr>
    <w:tblPr>
      <w:tblStyleRowBandSize w:val="1"/>
      <w:tblStyleColBandSize w:val="1"/>
      <w:tblBorders>
        <w:top w:val="single" w:sz="8" w:space="0" w:color="FFB600" w:themeColor="accent2"/>
        <w:bottom w:val="single" w:sz="8" w:space="0" w:color="FFB600" w:themeColor="accent2"/>
      </w:tblBorders>
    </w:tblPr>
    <w:tblStylePr w:type="firstRow">
      <w:rPr>
        <w:rFonts w:asciiTheme="majorHAnsi" w:eastAsiaTheme="majorEastAsia" w:hAnsiTheme="majorHAnsi" w:cstheme="majorBidi"/>
      </w:rPr>
      <w:tblPr/>
      <w:tcPr>
        <w:tcBorders>
          <w:top w:val="nil"/>
          <w:bottom w:val="single" w:sz="8" w:space="0" w:color="FFB600" w:themeColor="accent2"/>
        </w:tcBorders>
      </w:tcPr>
    </w:tblStylePr>
    <w:tblStylePr w:type="lastRow">
      <w:rPr>
        <w:b/>
        <w:bCs/>
        <w:color w:val="DC6900" w:themeColor="text2"/>
      </w:rPr>
      <w:tblPr/>
      <w:tcPr>
        <w:tcBorders>
          <w:top w:val="single" w:sz="8" w:space="0" w:color="FFB600" w:themeColor="accent2"/>
          <w:bottom w:val="single" w:sz="8" w:space="0" w:color="FFB600" w:themeColor="accent2"/>
        </w:tcBorders>
      </w:tcPr>
    </w:tblStylePr>
    <w:tblStylePr w:type="firstCol">
      <w:rPr>
        <w:b/>
        <w:bCs/>
      </w:rPr>
    </w:tblStylePr>
    <w:tblStylePr w:type="lastCol">
      <w:rPr>
        <w:b/>
        <w:bCs/>
      </w:rPr>
      <w:tblPr/>
      <w:tcPr>
        <w:tcBorders>
          <w:top w:val="single" w:sz="8" w:space="0" w:color="FFB600" w:themeColor="accent2"/>
          <w:bottom w:val="single" w:sz="8" w:space="0" w:color="FFB600" w:themeColor="accent2"/>
        </w:tcBorders>
      </w:tcPr>
    </w:tblStylePr>
    <w:tblStylePr w:type="band1Vert">
      <w:tblPr/>
      <w:tcPr>
        <w:shd w:val="clear" w:color="auto" w:fill="FFECC0" w:themeFill="accent2" w:themeFillTint="3F"/>
      </w:tcPr>
    </w:tblStylePr>
    <w:tblStylePr w:type="band1Horz">
      <w:tblPr/>
      <w:tcPr>
        <w:shd w:val="clear" w:color="auto" w:fill="FFECC0" w:themeFill="accent2" w:themeFillTint="3F"/>
      </w:tcPr>
    </w:tblStylePr>
  </w:style>
  <w:style w:type="table" w:styleId="MediumList1-Accent3">
    <w:name w:val="Medium List 1 Accent 3"/>
    <w:basedOn w:val="TableNormal"/>
    <w:hidden/>
    <w:uiPriority w:val="65"/>
    <w:rsid w:val="00BB789B"/>
    <w:pPr>
      <w:spacing w:after="0" w:line="240" w:lineRule="auto"/>
    </w:pPr>
    <w:rPr>
      <w:color w:val="000000" w:themeColor="text1"/>
    </w:rPr>
    <w:tblPr>
      <w:tblStyleRowBandSize w:val="1"/>
      <w:tblStyleColBandSize w:val="1"/>
      <w:tblBorders>
        <w:top w:val="single" w:sz="8" w:space="0" w:color="602320" w:themeColor="accent3"/>
        <w:bottom w:val="single" w:sz="8" w:space="0" w:color="602320" w:themeColor="accent3"/>
      </w:tblBorders>
    </w:tblPr>
    <w:tblStylePr w:type="firstRow">
      <w:rPr>
        <w:rFonts w:asciiTheme="majorHAnsi" w:eastAsiaTheme="majorEastAsia" w:hAnsiTheme="majorHAnsi" w:cstheme="majorBidi"/>
      </w:rPr>
      <w:tblPr/>
      <w:tcPr>
        <w:tcBorders>
          <w:top w:val="nil"/>
          <w:bottom w:val="single" w:sz="8" w:space="0" w:color="602320" w:themeColor="accent3"/>
        </w:tcBorders>
      </w:tcPr>
    </w:tblStylePr>
    <w:tblStylePr w:type="lastRow">
      <w:rPr>
        <w:b/>
        <w:bCs/>
        <w:color w:val="DC6900" w:themeColor="text2"/>
      </w:rPr>
      <w:tblPr/>
      <w:tcPr>
        <w:tcBorders>
          <w:top w:val="single" w:sz="8" w:space="0" w:color="602320" w:themeColor="accent3"/>
          <w:bottom w:val="single" w:sz="8" w:space="0" w:color="602320" w:themeColor="accent3"/>
        </w:tcBorders>
      </w:tcPr>
    </w:tblStylePr>
    <w:tblStylePr w:type="firstCol">
      <w:rPr>
        <w:b/>
        <w:bCs/>
      </w:rPr>
    </w:tblStylePr>
    <w:tblStylePr w:type="lastCol">
      <w:rPr>
        <w:b/>
        <w:bCs/>
      </w:rPr>
      <w:tblPr/>
      <w:tcPr>
        <w:tcBorders>
          <w:top w:val="single" w:sz="8" w:space="0" w:color="602320" w:themeColor="accent3"/>
          <w:bottom w:val="single" w:sz="8" w:space="0" w:color="602320" w:themeColor="accent3"/>
        </w:tcBorders>
      </w:tcPr>
    </w:tblStylePr>
    <w:tblStylePr w:type="band1Vert">
      <w:tblPr/>
      <w:tcPr>
        <w:shd w:val="clear" w:color="auto" w:fill="E7BAB8" w:themeFill="accent3" w:themeFillTint="3F"/>
      </w:tcPr>
    </w:tblStylePr>
    <w:tblStylePr w:type="band1Horz">
      <w:tblPr/>
      <w:tcPr>
        <w:shd w:val="clear" w:color="auto" w:fill="E7BAB8" w:themeFill="accent3" w:themeFillTint="3F"/>
      </w:tcPr>
    </w:tblStylePr>
  </w:style>
  <w:style w:type="table" w:styleId="MediumList1-Accent4">
    <w:name w:val="Medium List 1 Accent 4"/>
    <w:basedOn w:val="TableNormal"/>
    <w:hidden/>
    <w:uiPriority w:val="65"/>
    <w:rsid w:val="00BB789B"/>
    <w:pPr>
      <w:spacing w:after="0" w:line="240" w:lineRule="auto"/>
    </w:pPr>
    <w:rPr>
      <w:color w:val="000000" w:themeColor="text1"/>
    </w:rPr>
    <w:tblPr>
      <w:tblStyleRowBandSize w:val="1"/>
      <w:tblStyleColBandSize w:val="1"/>
      <w:tblBorders>
        <w:top w:val="single" w:sz="8" w:space="0" w:color="E27588" w:themeColor="accent4"/>
        <w:bottom w:val="single" w:sz="8" w:space="0" w:color="E27588" w:themeColor="accent4"/>
      </w:tblBorders>
    </w:tblPr>
    <w:tblStylePr w:type="firstRow">
      <w:rPr>
        <w:rFonts w:asciiTheme="majorHAnsi" w:eastAsiaTheme="majorEastAsia" w:hAnsiTheme="majorHAnsi" w:cstheme="majorBidi"/>
      </w:rPr>
      <w:tblPr/>
      <w:tcPr>
        <w:tcBorders>
          <w:top w:val="nil"/>
          <w:bottom w:val="single" w:sz="8" w:space="0" w:color="E27588" w:themeColor="accent4"/>
        </w:tcBorders>
      </w:tcPr>
    </w:tblStylePr>
    <w:tblStylePr w:type="lastRow">
      <w:rPr>
        <w:b/>
        <w:bCs/>
        <w:color w:val="DC6900" w:themeColor="text2"/>
      </w:rPr>
      <w:tblPr/>
      <w:tcPr>
        <w:tcBorders>
          <w:top w:val="single" w:sz="8" w:space="0" w:color="E27588" w:themeColor="accent4"/>
          <w:bottom w:val="single" w:sz="8" w:space="0" w:color="E27588" w:themeColor="accent4"/>
        </w:tcBorders>
      </w:tcPr>
    </w:tblStylePr>
    <w:tblStylePr w:type="firstCol">
      <w:rPr>
        <w:b/>
        <w:bCs/>
      </w:rPr>
    </w:tblStylePr>
    <w:tblStylePr w:type="lastCol">
      <w:rPr>
        <w:b/>
        <w:bCs/>
      </w:rPr>
      <w:tblPr/>
      <w:tcPr>
        <w:tcBorders>
          <w:top w:val="single" w:sz="8" w:space="0" w:color="E27588" w:themeColor="accent4"/>
          <w:bottom w:val="single" w:sz="8" w:space="0" w:color="E27588" w:themeColor="accent4"/>
        </w:tcBorders>
      </w:tcPr>
    </w:tblStylePr>
    <w:tblStylePr w:type="band1Vert">
      <w:tblPr/>
      <w:tcPr>
        <w:shd w:val="clear" w:color="auto" w:fill="F7DCE1" w:themeFill="accent4" w:themeFillTint="3F"/>
      </w:tcPr>
    </w:tblStylePr>
    <w:tblStylePr w:type="band1Horz">
      <w:tblPr/>
      <w:tcPr>
        <w:shd w:val="clear" w:color="auto" w:fill="F7DCE1" w:themeFill="accent4" w:themeFillTint="3F"/>
      </w:tcPr>
    </w:tblStylePr>
  </w:style>
  <w:style w:type="table" w:styleId="MediumList1-Accent5">
    <w:name w:val="Medium List 1 Accent 5"/>
    <w:basedOn w:val="TableNormal"/>
    <w:hidden/>
    <w:uiPriority w:val="65"/>
    <w:rsid w:val="00BB789B"/>
    <w:pPr>
      <w:spacing w:after="0" w:line="240" w:lineRule="auto"/>
    </w:pPr>
    <w:rPr>
      <w:color w:val="000000" w:themeColor="text1"/>
    </w:rPr>
    <w:tblPr>
      <w:tblStyleRowBandSize w:val="1"/>
      <w:tblStyleColBandSize w:val="1"/>
      <w:tblBorders>
        <w:top w:val="single" w:sz="8" w:space="0" w:color="A32020" w:themeColor="accent5"/>
        <w:bottom w:val="single" w:sz="8" w:space="0" w:color="A32020" w:themeColor="accent5"/>
      </w:tblBorders>
    </w:tblPr>
    <w:tblStylePr w:type="firstRow">
      <w:rPr>
        <w:rFonts w:asciiTheme="majorHAnsi" w:eastAsiaTheme="majorEastAsia" w:hAnsiTheme="majorHAnsi" w:cstheme="majorBidi"/>
      </w:rPr>
      <w:tblPr/>
      <w:tcPr>
        <w:tcBorders>
          <w:top w:val="nil"/>
          <w:bottom w:val="single" w:sz="8" w:space="0" w:color="A32020" w:themeColor="accent5"/>
        </w:tcBorders>
      </w:tcPr>
    </w:tblStylePr>
    <w:tblStylePr w:type="lastRow">
      <w:rPr>
        <w:b/>
        <w:bCs/>
        <w:color w:val="DC6900" w:themeColor="text2"/>
      </w:rPr>
      <w:tblPr/>
      <w:tcPr>
        <w:tcBorders>
          <w:top w:val="single" w:sz="8" w:space="0" w:color="A32020" w:themeColor="accent5"/>
          <w:bottom w:val="single" w:sz="8" w:space="0" w:color="A32020" w:themeColor="accent5"/>
        </w:tcBorders>
      </w:tcPr>
    </w:tblStylePr>
    <w:tblStylePr w:type="firstCol">
      <w:rPr>
        <w:b/>
        <w:bCs/>
      </w:rPr>
    </w:tblStylePr>
    <w:tblStylePr w:type="lastCol">
      <w:rPr>
        <w:b/>
        <w:bCs/>
      </w:rPr>
      <w:tblPr/>
      <w:tcPr>
        <w:tcBorders>
          <w:top w:val="single" w:sz="8" w:space="0" w:color="A32020" w:themeColor="accent5"/>
          <w:bottom w:val="single" w:sz="8" w:space="0" w:color="A32020" w:themeColor="accent5"/>
        </w:tcBorders>
      </w:tcPr>
    </w:tblStylePr>
    <w:tblStylePr w:type="band1Vert">
      <w:tblPr/>
      <w:tcPr>
        <w:shd w:val="clear" w:color="auto" w:fill="F2BDBD" w:themeFill="accent5" w:themeFillTint="3F"/>
      </w:tcPr>
    </w:tblStylePr>
    <w:tblStylePr w:type="band1Horz">
      <w:tblPr/>
      <w:tcPr>
        <w:shd w:val="clear" w:color="auto" w:fill="F2BDBD" w:themeFill="accent5" w:themeFillTint="3F"/>
      </w:tcPr>
    </w:tblStylePr>
  </w:style>
  <w:style w:type="table" w:styleId="MediumList1-Accent6">
    <w:name w:val="Medium List 1 Accent 6"/>
    <w:basedOn w:val="TableNormal"/>
    <w:hidden/>
    <w:uiPriority w:val="65"/>
    <w:rsid w:val="00BB789B"/>
    <w:pPr>
      <w:spacing w:after="0" w:line="240" w:lineRule="auto"/>
    </w:pPr>
    <w:rPr>
      <w:color w:val="000000" w:themeColor="text1"/>
    </w:rPr>
    <w:tblPr>
      <w:tblStyleRowBandSize w:val="1"/>
      <w:tblStyleColBandSize w:val="1"/>
      <w:tblBorders>
        <w:top w:val="single" w:sz="8" w:space="0" w:color="E0301E" w:themeColor="accent6"/>
        <w:bottom w:val="single" w:sz="8" w:space="0" w:color="E0301E" w:themeColor="accent6"/>
      </w:tblBorders>
    </w:tblPr>
    <w:tblStylePr w:type="firstRow">
      <w:rPr>
        <w:rFonts w:asciiTheme="majorHAnsi" w:eastAsiaTheme="majorEastAsia" w:hAnsiTheme="majorHAnsi" w:cstheme="majorBidi"/>
      </w:rPr>
      <w:tblPr/>
      <w:tcPr>
        <w:tcBorders>
          <w:top w:val="nil"/>
          <w:bottom w:val="single" w:sz="8" w:space="0" w:color="E0301E" w:themeColor="accent6"/>
        </w:tcBorders>
      </w:tcPr>
    </w:tblStylePr>
    <w:tblStylePr w:type="lastRow">
      <w:rPr>
        <w:b/>
        <w:bCs/>
        <w:color w:val="DC6900" w:themeColor="text2"/>
      </w:rPr>
      <w:tblPr/>
      <w:tcPr>
        <w:tcBorders>
          <w:top w:val="single" w:sz="8" w:space="0" w:color="E0301E" w:themeColor="accent6"/>
          <w:bottom w:val="single" w:sz="8" w:space="0" w:color="E0301E" w:themeColor="accent6"/>
        </w:tcBorders>
      </w:tcPr>
    </w:tblStylePr>
    <w:tblStylePr w:type="firstCol">
      <w:rPr>
        <w:b/>
        <w:bCs/>
      </w:rPr>
    </w:tblStylePr>
    <w:tblStylePr w:type="lastCol">
      <w:rPr>
        <w:b/>
        <w:bCs/>
      </w:rPr>
      <w:tblPr/>
      <w:tcPr>
        <w:tcBorders>
          <w:top w:val="single" w:sz="8" w:space="0" w:color="E0301E" w:themeColor="accent6"/>
          <w:bottom w:val="single" w:sz="8" w:space="0" w:color="E0301E" w:themeColor="accent6"/>
        </w:tcBorders>
      </w:tcPr>
    </w:tblStylePr>
    <w:tblStylePr w:type="band1Vert">
      <w:tblPr/>
      <w:tcPr>
        <w:shd w:val="clear" w:color="auto" w:fill="F7CBC7" w:themeFill="accent6" w:themeFillTint="3F"/>
      </w:tcPr>
    </w:tblStylePr>
    <w:tblStylePr w:type="band1Horz">
      <w:tblPr/>
      <w:tcPr>
        <w:shd w:val="clear" w:color="auto" w:fill="F7CBC7" w:themeFill="accent6" w:themeFillTint="3F"/>
      </w:tcPr>
    </w:tblStylePr>
  </w:style>
  <w:style w:type="table" w:customStyle="1" w:styleId="MediumList21">
    <w:name w:val="Medium List 21"/>
    <w:basedOn w:val="TableNormal"/>
    <w:hidden/>
    <w:uiPriority w:val="66"/>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hidden/>
    <w:uiPriority w:val="66"/>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tblBorders>
    </w:tblPr>
    <w:tblStylePr w:type="firstRow">
      <w:rPr>
        <w:sz w:val="24"/>
        <w:szCs w:val="24"/>
      </w:rPr>
      <w:tblPr/>
      <w:tcPr>
        <w:tcBorders>
          <w:top w:val="nil"/>
          <w:left w:val="nil"/>
          <w:bottom w:val="single" w:sz="24" w:space="0" w:color="DC6900" w:themeColor="accent1"/>
          <w:right w:val="nil"/>
          <w:insideH w:val="nil"/>
          <w:insideV w:val="nil"/>
        </w:tcBorders>
        <w:shd w:val="clear" w:color="auto" w:fill="FFFFFF" w:themeFill="background1"/>
      </w:tcPr>
    </w:tblStylePr>
    <w:tblStylePr w:type="lastRow">
      <w:tblPr/>
      <w:tcPr>
        <w:tcBorders>
          <w:top w:val="single" w:sz="8" w:space="0" w:color="DC69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C6900" w:themeColor="accent1"/>
          <w:insideH w:val="nil"/>
          <w:insideV w:val="nil"/>
        </w:tcBorders>
        <w:shd w:val="clear" w:color="auto" w:fill="FFFFFF" w:themeFill="background1"/>
      </w:tcPr>
    </w:tblStylePr>
    <w:tblStylePr w:type="lastCol">
      <w:tblPr/>
      <w:tcPr>
        <w:tcBorders>
          <w:top w:val="nil"/>
          <w:left w:val="single" w:sz="8" w:space="0" w:color="DC69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9B7" w:themeFill="accent1" w:themeFillTint="3F"/>
      </w:tcPr>
    </w:tblStylePr>
    <w:tblStylePr w:type="band1Horz">
      <w:tblPr/>
      <w:tcPr>
        <w:tcBorders>
          <w:top w:val="nil"/>
          <w:bottom w:val="nil"/>
          <w:insideH w:val="nil"/>
          <w:insideV w:val="nil"/>
        </w:tcBorders>
        <w:shd w:val="clear" w:color="auto" w:fill="FFD9B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hidden/>
    <w:uiPriority w:val="66"/>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B600" w:themeColor="accent2"/>
        <w:left w:val="single" w:sz="8" w:space="0" w:color="FFB600" w:themeColor="accent2"/>
        <w:bottom w:val="single" w:sz="8" w:space="0" w:color="FFB600" w:themeColor="accent2"/>
        <w:right w:val="single" w:sz="8" w:space="0" w:color="FFB600" w:themeColor="accent2"/>
      </w:tblBorders>
    </w:tblPr>
    <w:tblStylePr w:type="firstRow">
      <w:rPr>
        <w:sz w:val="24"/>
        <w:szCs w:val="24"/>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tblPr/>
      <w:tcPr>
        <w:tcBorders>
          <w:top w:val="single" w:sz="8" w:space="0" w:color="FFB6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B600" w:themeColor="accent2"/>
          <w:insideH w:val="nil"/>
          <w:insideV w:val="nil"/>
        </w:tcBorders>
        <w:shd w:val="clear" w:color="auto" w:fill="FFFFFF" w:themeFill="background1"/>
      </w:tcPr>
    </w:tblStylePr>
    <w:tblStylePr w:type="lastCol">
      <w:tblPr/>
      <w:tcPr>
        <w:tcBorders>
          <w:top w:val="nil"/>
          <w:left w:val="single" w:sz="8" w:space="0" w:color="FFB6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CC0" w:themeFill="accent2" w:themeFillTint="3F"/>
      </w:tcPr>
    </w:tblStylePr>
    <w:tblStylePr w:type="band1Horz">
      <w:tblPr/>
      <w:tcPr>
        <w:tcBorders>
          <w:top w:val="nil"/>
          <w:bottom w:val="nil"/>
          <w:insideH w:val="nil"/>
          <w:insideV w:val="nil"/>
        </w:tcBorders>
        <w:shd w:val="clear" w:color="auto" w:fill="FFEC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hidden/>
    <w:uiPriority w:val="66"/>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02320" w:themeColor="accent3"/>
        <w:left w:val="single" w:sz="8" w:space="0" w:color="602320" w:themeColor="accent3"/>
        <w:bottom w:val="single" w:sz="8" w:space="0" w:color="602320" w:themeColor="accent3"/>
        <w:right w:val="single" w:sz="8" w:space="0" w:color="602320" w:themeColor="accent3"/>
      </w:tblBorders>
    </w:tblPr>
    <w:tblStylePr w:type="firstRow">
      <w:rPr>
        <w:sz w:val="24"/>
        <w:szCs w:val="24"/>
      </w:rPr>
      <w:tblPr/>
      <w:tcPr>
        <w:tcBorders>
          <w:top w:val="nil"/>
          <w:left w:val="nil"/>
          <w:bottom w:val="single" w:sz="24" w:space="0" w:color="602320" w:themeColor="accent3"/>
          <w:right w:val="nil"/>
          <w:insideH w:val="nil"/>
          <w:insideV w:val="nil"/>
        </w:tcBorders>
        <w:shd w:val="clear" w:color="auto" w:fill="FFFFFF" w:themeFill="background1"/>
      </w:tcPr>
    </w:tblStylePr>
    <w:tblStylePr w:type="lastRow">
      <w:tblPr/>
      <w:tcPr>
        <w:tcBorders>
          <w:top w:val="single" w:sz="8" w:space="0" w:color="60232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2320" w:themeColor="accent3"/>
          <w:insideH w:val="nil"/>
          <w:insideV w:val="nil"/>
        </w:tcBorders>
        <w:shd w:val="clear" w:color="auto" w:fill="FFFFFF" w:themeFill="background1"/>
      </w:tcPr>
    </w:tblStylePr>
    <w:tblStylePr w:type="lastCol">
      <w:tblPr/>
      <w:tcPr>
        <w:tcBorders>
          <w:top w:val="nil"/>
          <w:left w:val="single" w:sz="8" w:space="0" w:color="60232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BAB8" w:themeFill="accent3" w:themeFillTint="3F"/>
      </w:tcPr>
    </w:tblStylePr>
    <w:tblStylePr w:type="band1Horz">
      <w:tblPr/>
      <w:tcPr>
        <w:tcBorders>
          <w:top w:val="nil"/>
          <w:bottom w:val="nil"/>
          <w:insideH w:val="nil"/>
          <w:insideV w:val="nil"/>
        </w:tcBorders>
        <w:shd w:val="clear" w:color="auto" w:fill="E7BAB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hidden/>
    <w:uiPriority w:val="66"/>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27588" w:themeColor="accent4"/>
        <w:left w:val="single" w:sz="8" w:space="0" w:color="E27588" w:themeColor="accent4"/>
        <w:bottom w:val="single" w:sz="8" w:space="0" w:color="E27588" w:themeColor="accent4"/>
        <w:right w:val="single" w:sz="8" w:space="0" w:color="E27588" w:themeColor="accent4"/>
      </w:tblBorders>
    </w:tblPr>
    <w:tblStylePr w:type="firstRow">
      <w:rPr>
        <w:sz w:val="24"/>
        <w:szCs w:val="24"/>
      </w:rPr>
      <w:tblPr/>
      <w:tcPr>
        <w:tcBorders>
          <w:top w:val="nil"/>
          <w:left w:val="nil"/>
          <w:bottom w:val="single" w:sz="24" w:space="0" w:color="E27588" w:themeColor="accent4"/>
          <w:right w:val="nil"/>
          <w:insideH w:val="nil"/>
          <w:insideV w:val="nil"/>
        </w:tcBorders>
        <w:shd w:val="clear" w:color="auto" w:fill="FFFFFF" w:themeFill="background1"/>
      </w:tcPr>
    </w:tblStylePr>
    <w:tblStylePr w:type="lastRow">
      <w:tblPr/>
      <w:tcPr>
        <w:tcBorders>
          <w:top w:val="single" w:sz="8" w:space="0" w:color="E27588"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27588" w:themeColor="accent4"/>
          <w:insideH w:val="nil"/>
          <w:insideV w:val="nil"/>
        </w:tcBorders>
        <w:shd w:val="clear" w:color="auto" w:fill="FFFFFF" w:themeFill="background1"/>
      </w:tcPr>
    </w:tblStylePr>
    <w:tblStylePr w:type="lastCol">
      <w:tblPr/>
      <w:tcPr>
        <w:tcBorders>
          <w:top w:val="nil"/>
          <w:left w:val="single" w:sz="8" w:space="0" w:color="E2758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DCE1" w:themeFill="accent4" w:themeFillTint="3F"/>
      </w:tcPr>
    </w:tblStylePr>
    <w:tblStylePr w:type="band1Horz">
      <w:tblPr/>
      <w:tcPr>
        <w:tcBorders>
          <w:top w:val="nil"/>
          <w:bottom w:val="nil"/>
          <w:insideH w:val="nil"/>
          <w:insideV w:val="nil"/>
        </w:tcBorders>
        <w:shd w:val="clear" w:color="auto" w:fill="F7DCE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hidden/>
    <w:uiPriority w:val="66"/>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2020" w:themeColor="accent5"/>
        <w:left w:val="single" w:sz="8" w:space="0" w:color="A32020" w:themeColor="accent5"/>
        <w:bottom w:val="single" w:sz="8" w:space="0" w:color="A32020" w:themeColor="accent5"/>
        <w:right w:val="single" w:sz="8" w:space="0" w:color="A32020" w:themeColor="accent5"/>
      </w:tblBorders>
    </w:tblPr>
    <w:tblStylePr w:type="firstRow">
      <w:rPr>
        <w:sz w:val="24"/>
        <w:szCs w:val="24"/>
      </w:rPr>
      <w:tblPr/>
      <w:tcPr>
        <w:tcBorders>
          <w:top w:val="nil"/>
          <w:left w:val="nil"/>
          <w:bottom w:val="single" w:sz="24" w:space="0" w:color="A32020" w:themeColor="accent5"/>
          <w:right w:val="nil"/>
          <w:insideH w:val="nil"/>
          <w:insideV w:val="nil"/>
        </w:tcBorders>
        <w:shd w:val="clear" w:color="auto" w:fill="FFFFFF" w:themeFill="background1"/>
      </w:tcPr>
    </w:tblStylePr>
    <w:tblStylePr w:type="lastRow">
      <w:tblPr/>
      <w:tcPr>
        <w:tcBorders>
          <w:top w:val="single" w:sz="8" w:space="0" w:color="A32020"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32020" w:themeColor="accent5"/>
          <w:insideH w:val="nil"/>
          <w:insideV w:val="nil"/>
        </w:tcBorders>
        <w:shd w:val="clear" w:color="auto" w:fill="FFFFFF" w:themeFill="background1"/>
      </w:tcPr>
    </w:tblStylePr>
    <w:tblStylePr w:type="lastCol">
      <w:tblPr/>
      <w:tcPr>
        <w:tcBorders>
          <w:top w:val="nil"/>
          <w:left w:val="single" w:sz="8" w:space="0" w:color="A3202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BDBD" w:themeFill="accent5" w:themeFillTint="3F"/>
      </w:tcPr>
    </w:tblStylePr>
    <w:tblStylePr w:type="band1Horz">
      <w:tblPr/>
      <w:tcPr>
        <w:tcBorders>
          <w:top w:val="nil"/>
          <w:bottom w:val="nil"/>
          <w:insideH w:val="nil"/>
          <w:insideV w:val="nil"/>
        </w:tcBorders>
        <w:shd w:val="clear" w:color="auto" w:fill="F2BDB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hidden/>
    <w:uiPriority w:val="66"/>
    <w:rsid w:val="00BB789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tblBorders>
    </w:tblPr>
    <w:tblStylePr w:type="firstRow">
      <w:rPr>
        <w:sz w:val="24"/>
        <w:szCs w:val="24"/>
      </w:rPr>
      <w:tblPr/>
      <w:tcPr>
        <w:tcBorders>
          <w:top w:val="nil"/>
          <w:left w:val="nil"/>
          <w:bottom w:val="single" w:sz="24" w:space="0" w:color="E0301E" w:themeColor="accent6"/>
          <w:right w:val="nil"/>
          <w:insideH w:val="nil"/>
          <w:insideV w:val="nil"/>
        </w:tcBorders>
        <w:shd w:val="clear" w:color="auto" w:fill="FFFFFF" w:themeFill="background1"/>
      </w:tcPr>
    </w:tblStylePr>
    <w:tblStylePr w:type="lastRow">
      <w:tblPr/>
      <w:tcPr>
        <w:tcBorders>
          <w:top w:val="single" w:sz="8" w:space="0" w:color="E0301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301E" w:themeColor="accent6"/>
          <w:insideH w:val="nil"/>
          <w:insideV w:val="nil"/>
        </w:tcBorders>
        <w:shd w:val="clear" w:color="auto" w:fill="FFFFFF" w:themeFill="background1"/>
      </w:tcPr>
    </w:tblStylePr>
    <w:tblStylePr w:type="lastCol">
      <w:tblPr/>
      <w:tcPr>
        <w:tcBorders>
          <w:top w:val="nil"/>
          <w:left w:val="single" w:sz="8" w:space="0" w:color="E0301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CBC7" w:themeFill="accent6" w:themeFillTint="3F"/>
      </w:tcPr>
    </w:tblStylePr>
    <w:tblStylePr w:type="band1Horz">
      <w:tblPr/>
      <w:tcPr>
        <w:tcBorders>
          <w:top w:val="nil"/>
          <w:bottom w:val="nil"/>
          <w:insideH w:val="nil"/>
          <w:insideV w:val="nil"/>
        </w:tcBorders>
        <w:shd w:val="clear" w:color="auto" w:fill="F7CBC7"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2">
    <w:name w:val="Medium Shading 12"/>
    <w:basedOn w:val="TableNormal"/>
    <w:hidden/>
    <w:uiPriority w:val="63"/>
    <w:rsid w:val="00BB789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2">
    <w:name w:val="Medium Shading 1 - Accent 12"/>
    <w:basedOn w:val="TableNormal"/>
    <w:hidden/>
    <w:uiPriority w:val="63"/>
    <w:rsid w:val="00BB789B"/>
    <w:pPr>
      <w:spacing w:after="0" w:line="240" w:lineRule="auto"/>
    </w:pPr>
    <w:tblPr>
      <w:tblStyleRowBandSize w:val="1"/>
      <w:tblStyleColBandSize w:val="1"/>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tblBorders>
    </w:tblPr>
    <w:tblStylePr w:type="firstRow">
      <w:pPr>
        <w:spacing w:before="0" w:after="0" w:line="240" w:lineRule="auto"/>
      </w:pPr>
      <w:rPr>
        <w:b/>
        <w:bCs/>
        <w:color w:val="FFFFFF" w:themeColor="background1"/>
      </w:rPr>
      <w:tblPr/>
      <w:tcPr>
        <w:tc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shd w:val="clear" w:color="auto" w:fill="DC6900" w:themeFill="accent1"/>
      </w:tcPr>
    </w:tblStylePr>
    <w:tblStylePr w:type="lastRow">
      <w:pPr>
        <w:spacing w:before="0" w:after="0" w:line="240" w:lineRule="auto"/>
      </w:pPr>
      <w:rPr>
        <w:b/>
        <w:bCs/>
      </w:rPr>
      <w:tblPr/>
      <w:tcPr>
        <w:tcBorders>
          <w:top w:val="double" w:sz="6"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D9B7" w:themeFill="accent1" w:themeFillTint="3F"/>
      </w:tcPr>
    </w:tblStylePr>
    <w:tblStylePr w:type="band1Horz">
      <w:tblPr/>
      <w:tcPr>
        <w:tcBorders>
          <w:insideH w:val="nil"/>
          <w:insideV w:val="nil"/>
        </w:tcBorders>
        <w:shd w:val="clear" w:color="auto" w:fill="FFD9B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hidden/>
    <w:uiPriority w:val="63"/>
    <w:rsid w:val="00BB789B"/>
    <w:pPr>
      <w:spacing w:after="0" w:line="240" w:lineRule="auto"/>
    </w:pPr>
    <w:tblPr>
      <w:tblStyleRowBandSize w:val="1"/>
      <w:tblStyleColBandSize w:val="1"/>
      <w:tbl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single" w:sz="8" w:space="0" w:color="FFC840" w:themeColor="accent2" w:themeTint="BF"/>
      </w:tblBorders>
    </w:tblPr>
    <w:tblStylePr w:type="firstRow">
      <w:pPr>
        <w:spacing w:before="0" w:after="0" w:line="240" w:lineRule="auto"/>
      </w:pPr>
      <w:rPr>
        <w:b/>
        <w:bCs/>
        <w:color w:val="FFFFFF" w:themeColor="background1"/>
      </w:rPr>
      <w:tblPr/>
      <w:tcPr>
        <w:tc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nil"/>
          <w:insideV w:val="nil"/>
        </w:tcBorders>
        <w:shd w:val="clear" w:color="auto" w:fill="FFB600" w:themeFill="accent2"/>
      </w:tcPr>
    </w:tblStylePr>
    <w:tblStylePr w:type="lastRow">
      <w:pPr>
        <w:spacing w:before="0" w:after="0" w:line="240" w:lineRule="auto"/>
      </w:pPr>
      <w:rPr>
        <w:b/>
        <w:bCs/>
      </w:rPr>
      <w:tblPr/>
      <w:tcPr>
        <w:tcBorders>
          <w:top w:val="double" w:sz="6"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ECC0" w:themeFill="accent2" w:themeFillTint="3F"/>
      </w:tcPr>
    </w:tblStylePr>
    <w:tblStylePr w:type="band1Horz">
      <w:tblPr/>
      <w:tcPr>
        <w:tcBorders>
          <w:insideH w:val="nil"/>
          <w:insideV w:val="nil"/>
        </w:tcBorders>
        <w:shd w:val="clear" w:color="auto" w:fill="FFEC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hidden/>
    <w:uiPriority w:val="63"/>
    <w:rsid w:val="00BB789B"/>
    <w:pPr>
      <w:spacing w:after="0" w:line="240" w:lineRule="auto"/>
    </w:pPr>
    <w:tblPr>
      <w:tblStyleRowBandSize w:val="1"/>
      <w:tblStyleColBandSize w:val="1"/>
      <w:tbl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single" w:sz="8" w:space="0" w:color="A73C38" w:themeColor="accent3" w:themeTint="BF"/>
      </w:tblBorders>
    </w:tblPr>
    <w:tblStylePr w:type="firstRow">
      <w:pPr>
        <w:spacing w:before="0" w:after="0" w:line="240" w:lineRule="auto"/>
      </w:pPr>
      <w:rPr>
        <w:b/>
        <w:bCs/>
        <w:color w:val="FFFFFF" w:themeColor="background1"/>
      </w:rPr>
      <w:tblPr/>
      <w:tcPr>
        <w:tc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nil"/>
          <w:insideV w:val="nil"/>
        </w:tcBorders>
        <w:shd w:val="clear" w:color="auto" w:fill="602320" w:themeFill="accent3"/>
      </w:tcPr>
    </w:tblStylePr>
    <w:tblStylePr w:type="lastRow">
      <w:pPr>
        <w:spacing w:before="0" w:after="0" w:line="240" w:lineRule="auto"/>
      </w:pPr>
      <w:rPr>
        <w:b/>
        <w:bCs/>
      </w:rPr>
      <w:tblPr/>
      <w:tcPr>
        <w:tcBorders>
          <w:top w:val="double" w:sz="6"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nil"/>
          <w:insideV w:val="nil"/>
        </w:tcBorders>
      </w:tcPr>
    </w:tblStylePr>
    <w:tblStylePr w:type="firstCol">
      <w:rPr>
        <w:b/>
        <w:bCs/>
      </w:rPr>
    </w:tblStylePr>
    <w:tblStylePr w:type="lastCol">
      <w:rPr>
        <w:b/>
        <w:bCs/>
      </w:rPr>
    </w:tblStylePr>
    <w:tblStylePr w:type="band1Vert">
      <w:tblPr/>
      <w:tcPr>
        <w:shd w:val="clear" w:color="auto" w:fill="E7BAB8" w:themeFill="accent3" w:themeFillTint="3F"/>
      </w:tcPr>
    </w:tblStylePr>
    <w:tblStylePr w:type="band1Horz">
      <w:tblPr/>
      <w:tcPr>
        <w:tcBorders>
          <w:insideH w:val="nil"/>
          <w:insideV w:val="nil"/>
        </w:tcBorders>
        <w:shd w:val="clear" w:color="auto" w:fill="E7BAB8" w:themeFill="accent3" w:themeFillTint="3F"/>
      </w:tcPr>
    </w:tblStylePr>
    <w:tblStylePr w:type="band2Horz">
      <w:tblPr/>
      <w:tcPr>
        <w:tcBorders>
          <w:insideH w:val="nil"/>
          <w:insideV w:val="nil"/>
        </w:tcBorders>
      </w:tcPr>
    </w:tblStylePr>
  </w:style>
  <w:style w:type="table" w:styleId="MediumShading1-Accent5">
    <w:name w:val="Medium Shading 1 Accent 5"/>
    <w:basedOn w:val="TableNormal"/>
    <w:hidden/>
    <w:uiPriority w:val="63"/>
    <w:rsid w:val="00BB789B"/>
    <w:pPr>
      <w:spacing w:after="0" w:line="240" w:lineRule="auto"/>
    </w:pPr>
    <w:tblPr>
      <w:tblStyleRowBandSize w:val="1"/>
      <w:tblStyleColBandSize w:val="1"/>
      <w:tbl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single" w:sz="8" w:space="0" w:color="D83939" w:themeColor="accent5" w:themeTint="BF"/>
      </w:tblBorders>
    </w:tblPr>
    <w:tblStylePr w:type="firstRow">
      <w:pPr>
        <w:spacing w:before="0" w:after="0" w:line="240" w:lineRule="auto"/>
      </w:pPr>
      <w:rPr>
        <w:b/>
        <w:bCs/>
        <w:color w:val="FFFFFF" w:themeColor="background1"/>
      </w:rPr>
      <w:tblPr/>
      <w:tcPr>
        <w:tc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nil"/>
          <w:insideV w:val="nil"/>
        </w:tcBorders>
        <w:shd w:val="clear" w:color="auto" w:fill="A32020" w:themeFill="accent5"/>
      </w:tcPr>
    </w:tblStylePr>
    <w:tblStylePr w:type="lastRow">
      <w:pPr>
        <w:spacing w:before="0" w:after="0" w:line="240" w:lineRule="auto"/>
      </w:pPr>
      <w:rPr>
        <w:b/>
        <w:bCs/>
      </w:rPr>
      <w:tblPr/>
      <w:tcPr>
        <w:tcBorders>
          <w:top w:val="double" w:sz="6"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nil"/>
          <w:insideV w:val="nil"/>
        </w:tcBorders>
      </w:tcPr>
    </w:tblStylePr>
    <w:tblStylePr w:type="firstCol">
      <w:rPr>
        <w:b/>
        <w:bCs/>
      </w:rPr>
    </w:tblStylePr>
    <w:tblStylePr w:type="lastCol">
      <w:rPr>
        <w:b/>
        <w:bCs/>
      </w:rPr>
    </w:tblStylePr>
    <w:tblStylePr w:type="band1Vert">
      <w:tblPr/>
      <w:tcPr>
        <w:shd w:val="clear" w:color="auto" w:fill="F2BDBD" w:themeFill="accent5" w:themeFillTint="3F"/>
      </w:tcPr>
    </w:tblStylePr>
    <w:tblStylePr w:type="band1Horz">
      <w:tblPr/>
      <w:tcPr>
        <w:tcBorders>
          <w:insideH w:val="nil"/>
          <w:insideV w:val="nil"/>
        </w:tcBorders>
        <w:shd w:val="clear" w:color="auto" w:fill="F2BDB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hidden/>
    <w:uiPriority w:val="63"/>
    <w:rsid w:val="00BB789B"/>
    <w:pPr>
      <w:spacing w:after="0" w:line="240" w:lineRule="auto"/>
    </w:pPr>
    <w:tblPr>
      <w:tblStyleRowBandSize w:val="1"/>
      <w:tblStyleColBandSize w:val="1"/>
      <w:tbl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single" w:sz="8" w:space="0" w:color="E86255" w:themeColor="accent6" w:themeTint="BF"/>
      </w:tblBorders>
    </w:tblPr>
    <w:tblStylePr w:type="firstRow">
      <w:pPr>
        <w:spacing w:before="0" w:after="0" w:line="240" w:lineRule="auto"/>
      </w:pPr>
      <w:rPr>
        <w:b/>
        <w:bCs/>
        <w:color w:val="FFFFFF" w:themeColor="background1"/>
      </w:rPr>
      <w:tblPr/>
      <w:tcPr>
        <w:tc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nil"/>
          <w:insideV w:val="nil"/>
        </w:tcBorders>
        <w:shd w:val="clear" w:color="auto" w:fill="E0301E" w:themeFill="accent6"/>
      </w:tcPr>
    </w:tblStylePr>
    <w:tblStylePr w:type="lastRow">
      <w:pPr>
        <w:spacing w:before="0" w:after="0" w:line="240" w:lineRule="auto"/>
      </w:pPr>
      <w:rPr>
        <w:b/>
        <w:bCs/>
      </w:rPr>
      <w:tblPr/>
      <w:tcPr>
        <w:tcBorders>
          <w:top w:val="double" w:sz="6"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CBC7" w:themeFill="accent6" w:themeFillTint="3F"/>
      </w:tcPr>
    </w:tblStylePr>
    <w:tblStylePr w:type="band1Horz">
      <w:tblPr/>
      <w:tcPr>
        <w:tcBorders>
          <w:insideH w:val="nil"/>
          <w:insideV w:val="nil"/>
        </w:tcBorders>
        <w:shd w:val="clear" w:color="auto" w:fill="F7CBC7"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hidden/>
    <w:uiPriority w:val="64"/>
    <w:rsid w:val="00BB789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hidden/>
    <w:uiPriority w:val="64"/>
    <w:rsid w:val="00BB789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C69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C6900" w:themeFill="accent1"/>
      </w:tcPr>
    </w:tblStylePr>
    <w:tblStylePr w:type="lastCol">
      <w:rPr>
        <w:b/>
        <w:bCs/>
        <w:color w:val="FFFFFF" w:themeColor="background1"/>
      </w:rPr>
      <w:tblPr/>
      <w:tcPr>
        <w:tcBorders>
          <w:left w:val="nil"/>
          <w:right w:val="nil"/>
          <w:insideH w:val="nil"/>
          <w:insideV w:val="nil"/>
        </w:tcBorders>
        <w:shd w:val="clear" w:color="auto" w:fill="DC69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hidden/>
    <w:uiPriority w:val="64"/>
    <w:rsid w:val="00BB789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B6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B600" w:themeFill="accent2"/>
      </w:tcPr>
    </w:tblStylePr>
    <w:tblStylePr w:type="lastCol">
      <w:rPr>
        <w:b/>
        <w:bCs/>
        <w:color w:val="FFFFFF" w:themeColor="background1"/>
      </w:rPr>
      <w:tblPr/>
      <w:tcPr>
        <w:tcBorders>
          <w:left w:val="nil"/>
          <w:right w:val="nil"/>
          <w:insideH w:val="nil"/>
          <w:insideV w:val="nil"/>
        </w:tcBorders>
        <w:shd w:val="clear" w:color="auto" w:fill="FFB6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hidden/>
    <w:uiPriority w:val="64"/>
    <w:rsid w:val="00BB789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232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02320" w:themeFill="accent3"/>
      </w:tcPr>
    </w:tblStylePr>
    <w:tblStylePr w:type="lastCol">
      <w:rPr>
        <w:b/>
        <w:bCs/>
        <w:color w:val="FFFFFF" w:themeColor="background1"/>
      </w:rPr>
      <w:tblPr/>
      <w:tcPr>
        <w:tcBorders>
          <w:left w:val="nil"/>
          <w:right w:val="nil"/>
          <w:insideH w:val="nil"/>
          <w:insideV w:val="nil"/>
        </w:tcBorders>
        <w:shd w:val="clear" w:color="auto" w:fill="60232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hidden/>
    <w:uiPriority w:val="64"/>
    <w:rsid w:val="00BB789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2758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27588" w:themeFill="accent4"/>
      </w:tcPr>
    </w:tblStylePr>
    <w:tblStylePr w:type="lastCol">
      <w:rPr>
        <w:b/>
        <w:bCs/>
        <w:color w:val="FFFFFF" w:themeColor="background1"/>
      </w:rPr>
      <w:tblPr/>
      <w:tcPr>
        <w:tcBorders>
          <w:left w:val="nil"/>
          <w:right w:val="nil"/>
          <w:insideH w:val="nil"/>
          <w:insideV w:val="nil"/>
        </w:tcBorders>
        <w:shd w:val="clear" w:color="auto" w:fill="E2758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hidden/>
    <w:uiPriority w:val="64"/>
    <w:rsid w:val="00BB789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3202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32020" w:themeFill="accent5"/>
      </w:tcPr>
    </w:tblStylePr>
    <w:tblStylePr w:type="lastCol">
      <w:rPr>
        <w:b/>
        <w:bCs/>
        <w:color w:val="FFFFFF" w:themeColor="background1"/>
      </w:rPr>
      <w:tblPr/>
      <w:tcPr>
        <w:tcBorders>
          <w:left w:val="nil"/>
          <w:right w:val="nil"/>
          <w:insideH w:val="nil"/>
          <w:insideV w:val="nil"/>
        </w:tcBorders>
        <w:shd w:val="clear" w:color="auto" w:fill="A3202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hidden/>
    <w:uiPriority w:val="64"/>
    <w:rsid w:val="00BB789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301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0301E" w:themeFill="accent6"/>
      </w:tcPr>
    </w:tblStylePr>
    <w:tblStylePr w:type="lastCol">
      <w:rPr>
        <w:b/>
        <w:bCs/>
        <w:color w:val="FFFFFF" w:themeColor="background1"/>
      </w:rPr>
      <w:tblPr/>
      <w:tcPr>
        <w:tcBorders>
          <w:left w:val="nil"/>
          <w:right w:val="nil"/>
          <w:insideH w:val="nil"/>
          <w:insideV w:val="nil"/>
        </w:tcBorders>
        <w:shd w:val="clear" w:color="auto" w:fill="E0301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PageNumber0">
    <w:name w:val="page number"/>
    <w:basedOn w:val="DefaultParagraphFont"/>
    <w:hidden/>
    <w:uiPriority w:val="99"/>
    <w:semiHidden/>
    <w:unhideWhenUsed/>
    <w:rsid w:val="00BB789B"/>
  </w:style>
  <w:style w:type="character" w:styleId="PlaceholderText">
    <w:name w:val="Placeholder Text"/>
    <w:basedOn w:val="DefaultParagraphFont"/>
    <w:hidden/>
    <w:uiPriority w:val="99"/>
    <w:semiHidden/>
    <w:rsid w:val="00BB789B"/>
    <w:rPr>
      <w:color w:val="808080"/>
    </w:rPr>
  </w:style>
  <w:style w:type="table" w:styleId="Table3Deffects1">
    <w:name w:val="Table 3D effects 1"/>
    <w:basedOn w:val="TableNormal"/>
    <w:hidden/>
    <w:uiPriority w:val="99"/>
    <w:semiHidden/>
    <w:unhideWhenUsed/>
    <w:rsid w:val="00BB789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hidden/>
    <w:uiPriority w:val="99"/>
    <w:semiHidden/>
    <w:unhideWhenUsed/>
    <w:rsid w:val="00BB789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hidden/>
    <w:uiPriority w:val="99"/>
    <w:semiHidden/>
    <w:unhideWhenUsed/>
    <w:rsid w:val="00BB789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4">
    <w:name w:val="Table Classic 4"/>
    <w:basedOn w:val="TableNormal"/>
    <w:hidden/>
    <w:uiPriority w:val="99"/>
    <w:semiHidden/>
    <w:unhideWhenUsed/>
    <w:rsid w:val="00BB789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2">
    <w:name w:val="Table Colorful 2"/>
    <w:basedOn w:val="TableNormal"/>
    <w:hidden/>
    <w:uiPriority w:val="99"/>
    <w:semiHidden/>
    <w:unhideWhenUsed/>
    <w:rsid w:val="00BB789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umns1">
    <w:name w:val="Table Columns 1"/>
    <w:basedOn w:val="TableNormal"/>
    <w:hidden/>
    <w:uiPriority w:val="99"/>
    <w:semiHidden/>
    <w:unhideWhenUsed/>
    <w:rsid w:val="00BB789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hidden/>
    <w:uiPriority w:val="99"/>
    <w:semiHidden/>
    <w:unhideWhenUsed/>
    <w:rsid w:val="00BB789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5">
    <w:name w:val="Table Columns 5"/>
    <w:basedOn w:val="TableNormal"/>
    <w:hidden/>
    <w:uiPriority w:val="99"/>
    <w:semiHidden/>
    <w:unhideWhenUsed/>
    <w:rsid w:val="00BB789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Elegant">
    <w:name w:val="Table Elegant"/>
    <w:basedOn w:val="TableNormal"/>
    <w:hidden/>
    <w:uiPriority w:val="99"/>
    <w:semiHidden/>
    <w:unhideWhenUsed/>
    <w:rsid w:val="00BB789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hidden/>
    <w:uiPriority w:val="99"/>
    <w:semiHidden/>
    <w:unhideWhenUsed/>
    <w:rsid w:val="00BB789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3">
    <w:name w:val="Table Grid 3"/>
    <w:basedOn w:val="TableNormal"/>
    <w:hidden/>
    <w:uiPriority w:val="99"/>
    <w:semiHidden/>
    <w:unhideWhenUsed/>
    <w:rsid w:val="00BB789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5">
    <w:name w:val="Table Grid 5"/>
    <w:basedOn w:val="TableNormal"/>
    <w:hidden/>
    <w:uiPriority w:val="99"/>
    <w:semiHidden/>
    <w:unhideWhenUsed/>
    <w:rsid w:val="00BB789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hidden/>
    <w:uiPriority w:val="99"/>
    <w:semiHidden/>
    <w:unhideWhenUsed/>
    <w:rsid w:val="00BB789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List1">
    <w:name w:val="Table List 1"/>
    <w:basedOn w:val="TableNormal"/>
    <w:hidden/>
    <w:uiPriority w:val="99"/>
    <w:semiHidden/>
    <w:unhideWhenUsed/>
    <w:rsid w:val="00BB789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hidden/>
    <w:uiPriority w:val="99"/>
    <w:semiHidden/>
    <w:unhideWhenUsed/>
    <w:rsid w:val="00BB789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5">
    <w:name w:val="Table List 5"/>
    <w:basedOn w:val="TableNormal"/>
    <w:hidden/>
    <w:uiPriority w:val="99"/>
    <w:semiHidden/>
    <w:unhideWhenUsed/>
    <w:rsid w:val="00BB789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7">
    <w:name w:val="Table List 7"/>
    <w:basedOn w:val="TableNormal"/>
    <w:hidden/>
    <w:uiPriority w:val="99"/>
    <w:semiHidden/>
    <w:unhideWhenUsed/>
    <w:rsid w:val="00BB789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Professional">
    <w:name w:val="Table Professional"/>
    <w:basedOn w:val="TableNormal"/>
    <w:hidden/>
    <w:uiPriority w:val="99"/>
    <w:semiHidden/>
    <w:unhideWhenUsed/>
    <w:rsid w:val="00BB789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2">
    <w:name w:val="Table Simple 2"/>
    <w:basedOn w:val="TableNormal"/>
    <w:hidden/>
    <w:uiPriority w:val="99"/>
    <w:semiHidden/>
    <w:unhideWhenUsed/>
    <w:rsid w:val="00BB789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ubtle1">
    <w:name w:val="Table Subtle 1"/>
    <w:basedOn w:val="TableNormal"/>
    <w:hidden/>
    <w:uiPriority w:val="99"/>
    <w:semiHidden/>
    <w:unhideWhenUsed/>
    <w:rsid w:val="00BB789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hidden/>
    <w:uiPriority w:val="99"/>
    <w:semiHidden/>
    <w:unhideWhenUsed/>
    <w:rsid w:val="00BB78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2">
    <w:name w:val="Table Web 2"/>
    <w:basedOn w:val="TableNormal"/>
    <w:hidden/>
    <w:uiPriority w:val="99"/>
    <w:semiHidden/>
    <w:unhideWhenUsed/>
    <w:rsid w:val="00BB789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pacing365mm">
    <w:name w:val="Spacing 36_5 mm"/>
    <w:basedOn w:val="BodyText"/>
    <w:uiPriority w:val="34"/>
    <w:rsid w:val="003A706F"/>
    <w:pPr>
      <w:spacing w:after="0" w:line="1673" w:lineRule="exact"/>
    </w:pPr>
    <w:rPr>
      <w:rFonts w:ascii="Arial" w:hAnsi="Arial"/>
      <w:sz w:val="2"/>
    </w:rPr>
  </w:style>
  <w:style w:type="paragraph" w:customStyle="1" w:styleId="HeaderProposal">
    <w:name w:val="Header Proposal"/>
    <w:basedOn w:val="Header"/>
    <w:uiPriority w:val="34"/>
    <w:rsid w:val="007A7FB7"/>
    <w:pPr>
      <w:ind w:left="-1349"/>
    </w:pPr>
    <w:rPr>
      <w:sz w:val="19"/>
    </w:rPr>
  </w:style>
  <w:style w:type="table" w:styleId="ColorfulGrid">
    <w:name w:val="Colorful Grid"/>
    <w:basedOn w:val="TableNormal"/>
    <w:uiPriority w:val="73"/>
    <w:rsid w:val="0068598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List">
    <w:name w:val="Colorful List"/>
    <w:basedOn w:val="TableNormal"/>
    <w:uiPriority w:val="72"/>
    <w:rsid w:val="00685985"/>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Shading">
    <w:name w:val="Colorful Shading"/>
    <w:basedOn w:val="TableNormal"/>
    <w:uiPriority w:val="71"/>
    <w:rsid w:val="00685985"/>
    <w:pPr>
      <w:spacing w:after="0" w:line="240" w:lineRule="auto"/>
    </w:pPr>
    <w:rPr>
      <w:color w:val="000000" w:themeColor="text1"/>
    </w:rPr>
    <w:tblPr>
      <w:tblStyleRowBandSize w:val="1"/>
      <w:tblStyleColBandSize w:val="1"/>
      <w:tblBorders>
        <w:top w:val="single" w:sz="24" w:space="0" w:color="FFB6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rsid w:val="00685985"/>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character" w:styleId="HTMLCode">
    <w:name w:val="HTML Code"/>
    <w:basedOn w:val="DefaultParagraphFont"/>
    <w:uiPriority w:val="99"/>
    <w:semiHidden/>
    <w:unhideWhenUsed/>
    <w:rsid w:val="00685985"/>
    <w:rPr>
      <w:rFonts w:ascii="Consolas" w:hAnsi="Consolas"/>
      <w:sz w:val="20"/>
      <w:szCs w:val="20"/>
    </w:rPr>
  </w:style>
  <w:style w:type="character" w:styleId="HTMLKeyboard">
    <w:name w:val="HTML Keyboard"/>
    <w:basedOn w:val="DefaultParagraphFont"/>
    <w:uiPriority w:val="99"/>
    <w:semiHidden/>
    <w:unhideWhenUsed/>
    <w:rsid w:val="00685985"/>
    <w:rPr>
      <w:rFonts w:ascii="Consolas" w:hAnsi="Consolas"/>
      <w:sz w:val="20"/>
      <w:szCs w:val="20"/>
    </w:rPr>
  </w:style>
  <w:style w:type="character" w:styleId="HTMLTypewriter">
    <w:name w:val="HTML Typewriter"/>
    <w:basedOn w:val="DefaultParagraphFont"/>
    <w:uiPriority w:val="99"/>
    <w:semiHidden/>
    <w:unhideWhenUsed/>
    <w:rsid w:val="00685985"/>
    <w:rPr>
      <w:rFonts w:ascii="Consolas" w:hAnsi="Consolas"/>
      <w:sz w:val="20"/>
      <w:szCs w:val="20"/>
    </w:rPr>
  </w:style>
  <w:style w:type="table" w:styleId="LightGrid">
    <w:name w:val="Light Grid"/>
    <w:basedOn w:val="TableNormal"/>
    <w:uiPriority w:val="62"/>
    <w:rsid w:val="0068598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685985"/>
    <w:pPr>
      <w:spacing w:after="0" w:line="240" w:lineRule="auto"/>
    </w:p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insideH w:val="single" w:sz="8" w:space="0" w:color="DC6900" w:themeColor="accent1"/>
        <w:insideV w:val="single" w:sz="8" w:space="0" w:color="DC690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C6900" w:themeColor="accent1"/>
          <w:left w:val="single" w:sz="8" w:space="0" w:color="DC6900" w:themeColor="accent1"/>
          <w:bottom w:val="single" w:sz="18" w:space="0" w:color="DC6900" w:themeColor="accent1"/>
          <w:right w:val="single" w:sz="8" w:space="0" w:color="DC6900" w:themeColor="accent1"/>
          <w:insideH w:val="nil"/>
          <w:insideV w:val="single" w:sz="8" w:space="0" w:color="DC69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insideH w:val="nil"/>
          <w:insideV w:val="single" w:sz="8" w:space="0" w:color="DC69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shd w:val="clear" w:color="auto" w:fill="FFD9B7" w:themeFill="accent1" w:themeFillTint="3F"/>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insideV w:val="single" w:sz="8" w:space="0" w:color="DC6900" w:themeColor="accent1"/>
        </w:tcBorders>
        <w:shd w:val="clear" w:color="auto" w:fill="FFD9B7" w:themeFill="accent1" w:themeFillTint="3F"/>
      </w:tcPr>
    </w:tblStylePr>
    <w:tblStylePr w:type="band2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insideV w:val="single" w:sz="8" w:space="0" w:color="DC6900" w:themeColor="accent1"/>
        </w:tcBorders>
      </w:tcPr>
    </w:tblStylePr>
  </w:style>
  <w:style w:type="table" w:styleId="LightList">
    <w:name w:val="Light List"/>
    <w:basedOn w:val="TableNormal"/>
    <w:uiPriority w:val="61"/>
    <w:rsid w:val="0068598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685985"/>
    <w:pPr>
      <w:spacing w:after="0" w:line="240" w:lineRule="auto"/>
    </w:p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tblBorders>
    </w:tblPr>
    <w:tblStylePr w:type="firstRow">
      <w:pPr>
        <w:spacing w:before="0" w:after="0" w:line="240" w:lineRule="auto"/>
      </w:pPr>
      <w:rPr>
        <w:b/>
        <w:bCs/>
        <w:color w:val="FFFFFF" w:themeColor="background1"/>
      </w:rPr>
      <w:tblPr/>
      <w:tcPr>
        <w:shd w:val="clear" w:color="auto" w:fill="DC6900" w:themeFill="accent1"/>
      </w:tcPr>
    </w:tblStylePr>
    <w:tblStylePr w:type="lastRow">
      <w:pPr>
        <w:spacing w:before="0" w:after="0" w:line="240" w:lineRule="auto"/>
      </w:pPr>
      <w:rPr>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tcBorders>
      </w:tcPr>
    </w:tblStylePr>
    <w:tblStylePr w:type="firstCol">
      <w:rPr>
        <w:b/>
        <w:bCs/>
      </w:rPr>
    </w:tblStylePr>
    <w:tblStylePr w:type="lastCol">
      <w:rPr>
        <w:b/>
        <w:bCs/>
      </w:r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style>
  <w:style w:type="table" w:styleId="LightShading">
    <w:name w:val="Light Shading"/>
    <w:basedOn w:val="TableNormal"/>
    <w:uiPriority w:val="60"/>
    <w:rsid w:val="0068598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685985"/>
    <w:pPr>
      <w:spacing w:after="0" w:line="240" w:lineRule="auto"/>
    </w:pPr>
    <w:rPr>
      <w:color w:val="A44E00" w:themeColor="accent1" w:themeShade="BF"/>
    </w:rPr>
    <w:tblPr>
      <w:tblStyleRowBandSize w:val="1"/>
      <w:tblStyleColBandSize w:val="1"/>
      <w:tblBorders>
        <w:top w:val="single" w:sz="8" w:space="0" w:color="DC6900" w:themeColor="accent1"/>
        <w:bottom w:val="single" w:sz="8" w:space="0" w:color="DC6900" w:themeColor="accent1"/>
      </w:tblBorders>
    </w:tblPr>
    <w:tblStylePr w:type="firstRow">
      <w:pPr>
        <w:spacing w:before="0" w:after="0" w:line="240" w:lineRule="auto"/>
      </w:pPr>
      <w:rPr>
        <w:b/>
        <w:bCs/>
      </w:rPr>
      <w:tblPr/>
      <w:tcPr>
        <w:tcBorders>
          <w:top w:val="single" w:sz="8" w:space="0" w:color="DC6900" w:themeColor="accent1"/>
          <w:left w:val="nil"/>
          <w:bottom w:val="single" w:sz="8" w:space="0" w:color="DC6900" w:themeColor="accent1"/>
          <w:right w:val="nil"/>
          <w:insideH w:val="nil"/>
          <w:insideV w:val="nil"/>
        </w:tcBorders>
      </w:tcPr>
    </w:tblStylePr>
    <w:tblStylePr w:type="lastRow">
      <w:pPr>
        <w:spacing w:before="0" w:after="0" w:line="240" w:lineRule="auto"/>
      </w:pPr>
      <w:rPr>
        <w:b/>
        <w:bCs/>
      </w:rPr>
      <w:tblPr/>
      <w:tcPr>
        <w:tcBorders>
          <w:top w:val="single" w:sz="8" w:space="0" w:color="DC6900" w:themeColor="accent1"/>
          <w:left w:val="nil"/>
          <w:bottom w:val="single" w:sz="8" w:space="0" w:color="DC69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9B7" w:themeFill="accent1" w:themeFillTint="3F"/>
      </w:tcPr>
    </w:tblStylePr>
    <w:tblStylePr w:type="band1Horz">
      <w:tblPr/>
      <w:tcPr>
        <w:tcBorders>
          <w:left w:val="nil"/>
          <w:right w:val="nil"/>
          <w:insideH w:val="nil"/>
          <w:insideV w:val="nil"/>
        </w:tcBorders>
        <w:shd w:val="clear" w:color="auto" w:fill="FFD9B7" w:themeFill="accent1" w:themeFillTint="3F"/>
      </w:tcPr>
    </w:tblStylePr>
  </w:style>
  <w:style w:type="table" w:styleId="MediumGrid1">
    <w:name w:val="Medium Grid 1"/>
    <w:basedOn w:val="TableNormal"/>
    <w:uiPriority w:val="67"/>
    <w:rsid w:val="0068598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2">
    <w:name w:val="Medium Grid 2"/>
    <w:basedOn w:val="TableNormal"/>
    <w:uiPriority w:val="68"/>
    <w:rsid w:val="006859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3">
    <w:name w:val="Medium Grid 3"/>
    <w:basedOn w:val="TableNormal"/>
    <w:uiPriority w:val="69"/>
    <w:rsid w:val="0068598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List1">
    <w:name w:val="Medium List 1"/>
    <w:basedOn w:val="TableNormal"/>
    <w:uiPriority w:val="65"/>
    <w:rsid w:val="0068598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DC69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685985"/>
    <w:pPr>
      <w:spacing w:after="0" w:line="240" w:lineRule="auto"/>
    </w:pPr>
    <w:rPr>
      <w:color w:val="000000" w:themeColor="text1"/>
    </w:rPr>
    <w:tblPr>
      <w:tblStyleRowBandSize w:val="1"/>
      <w:tblStyleColBandSize w:val="1"/>
      <w:tblBorders>
        <w:top w:val="single" w:sz="8" w:space="0" w:color="DC6900" w:themeColor="accent1"/>
        <w:bottom w:val="single" w:sz="8" w:space="0" w:color="DC6900" w:themeColor="accent1"/>
      </w:tblBorders>
    </w:tblPr>
    <w:tblStylePr w:type="firstRow">
      <w:rPr>
        <w:rFonts w:asciiTheme="majorHAnsi" w:eastAsiaTheme="majorEastAsia" w:hAnsiTheme="majorHAnsi" w:cstheme="majorBidi"/>
      </w:rPr>
      <w:tblPr/>
      <w:tcPr>
        <w:tcBorders>
          <w:top w:val="nil"/>
          <w:bottom w:val="single" w:sz="8" w:space="0" w:color="DC6900" w:themeColor="accent1"/>
        </w:tcBorders>
      </w:tcPr>
    </w:tblStylePr>
    <w:tblStylePr w:type="lastRow">
      <w:rPr>
        <w:b/>
        <w:bCs/>
        <w:color w:val="DC6900" w:themeColor="text2"/>
      </w:rPr>
      <w:tblPr/>
      <w:tcPr>
        <w:tcBorders>
          <w:top w:val="single" w:sz="8" w:space="0" w:color="DC6900" w:themeColor="accent1"/>
          <w:bottom w:val="single" w:sz="8" w:space="0" w:color="DC6900" w:themeColor="accent1"/>
        </w:tcBorders>
      </w:tcPr>
    </w:tblStylePr>
    <w:tblStylePr w:type="firstCol">
      <w:rPr>
        <w:b/>
        <w:bCs/>
      </w:rPr>
    </w:tblStylePr>
    <w:tblStylePr w:type="lastCol">
      <w:rPr>
        <w:b/>
        <w:bCs/>
      </w:rPr>
      <w:tblPr/>
      <w:tcPr>
        <w:tcBorders>
          <w:top w:val="single" w:sz="8" w:space="0" w:color="DC6900" w:themeColor="accent1"/>
          <w:bottom w:val="single" w:sz="8" w:space="0" w:color="DC6900" w:themeColor="accent1"/>
        </w:tcBorders>
      </w:tcPr>
    </w:tblStylePr>
    <w:tblStylePr w:type="band1Vert">
      <w:tblPr/>
      <w:tcPr>
        <w:shd w:val="clear" w:color="auto" w:fill="FFD9B7" w:themeFill="accent1" w:themeFillTint="3F"/>
      </w:tcPr>
    </w:tblStylePr>
    <w:tblStylePr w:type="band1Horz">
      <w:tblPr/>
      <w:tcPr>
        <w:shd w:val="clear" w:color="auto" w:fill="FFD9B7" w:themeFill="accent1" w:themeFillTint="3F"/>
      </w:tcPr>
    </w:tblStylePr>
  </w:style>
  <w:style w:type="table" w:styleId="MediumList2">
    <w:name w:val="Medium List 2"/>
    <w:basedOn w:val="TableNormal"/>
    <w:uiPriority w:val="66"/>
    <w:rsid w:val="006859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68598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685985"/>
    <w:pPr>
      <w:spacing w:after="0" w:line="240" w:lineRule="auto"/>
    </w:pPr>
    <w:tblPr>
      <w:tblStyleRowBandSize w:val="1"/>
      <w:tblStyleColBandSize w:val="1"/>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tblBorders>
    </w:tblPr>
    <w:tblStylePr w:type="firstRow">
      <w:pPr>
        <w:spacing w:before="0" w:after="0" w:line="240" w:lineRule="auto"/>
      </w:pPr>
      <w:rPr>
        <w:b/>
        <w:bCs/>
        <w:color w:val="FFFFFF" w:themeColor="background1"/>
      </w:rPr>
      <w:tblPr/>
      <w:tcPr>
        <w:tc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shd w:val="clear" w:color="auto" w:fill="DC6900" w:themeFill="accent1"/>
      </w:tcPr>
    </w:tblStylePr>
    <w:tblStylePr w:type="lastRow">
      <w:pPr>
        <w:spacing w:before="0" w:after="0" w:line="240" w:lineRule="auto"/>
      </w:pPr>
      <w:rPr>
        <w:b/>
        <w:bCs/>
      </w:rPr>
      <w:tblPr/>
      <w:tcPr>
        <w:tcBorders>
          <w:top w:val="double" w:sz="6"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D9B7" w:themeFill="accent1" w:themeFillTint="3F"/>
      </w:tcPr>
    </w:tblStylePr>
    <w:tblStylePr w:type="band1Horz">
      <w:tblPr/>
      <w:tcPr>
        <w:tcBorders>
          <w:insideH w:val="nil"/>
          <w:insideV w:val="nil"/>
        </w:tcBorders>
        <w:shd w:val="clear" w:color="auto" w:fill="FFD9B7" w:themeFill="accent1"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68598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68598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C69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C6900" w:themeFill="accent1"/>
      </w:tcPr>
    </w:tblStylePr>
    <w:tblStylePr w:type="lastCol">
      <w:rPr>
        <w:b/>
        <w:bCs/>
        <w:color w:val="FFFFFF" w:themeColor="background1"/>
      </w:rPr>
      <w:tblPr/>
      <w:tcPr>
        <w:tcBorders>
          <w:left w:val="nil"/>
          <w:right w:val="nil"/>
          <w:insideH w:val="nil"/>
          <w:insideV w:val="nil"/>
        </w:tcBorders>
        <w:shd w:val="clear" w:color="auto" w:fill="DC69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e3Deffects2">
    <w:name w:val="Table 3D effects 2"/>
    <w:basedOn w:val="TableNormal"/>
    <w:uiPriority w:val="99"/>
    <w:semiHidden/>
    <w:unhideWhenUsed/>
    <w:rsid w:val="00685985"/>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8598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85985"/>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85985"/>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85985"/>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2">
    <w:name w:val="Table Columns 2"/>
    <w:basedOn w:val="TableNormal"/>
    <w:uiPriority w:val="99"/>
    <w:semiHidden/>
    <w:unhideWhenUsed/>
    <w:rsid w:val="00685985"/>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85985"/>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ntemporary">
    <w:name w:val="Table Contemporary"/>
    <w:basedOn w:val="TableNormal"/>
    <w:uiPriority w:val="99"/>
    <w:semiHidden/>
    <w:unhideWhenUsed/>
    <w:rsid w:val="00685985"/>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Grid2">
    <w:name w:val="Table Grid 2"/>
    <w:basedOn w:val="TableNormal"/>
    <w:uiPriority w:val="99"/>
    <w:semiHidden/>
    <w:unhideWhenUsed/>
    <w:rsid w:val="00685985"/>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85985"/>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6">
    <w:name w:val="Table Grid 6"/>
    <w:basedOn w:val="TableNormal"/>
    <w:uiPriority w:val="99"/>
    <w:semiHidden/>
    <w:unhideWhenUsed/>
    <w:rsid w:val="00685985"/>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85985"/>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85985"/>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85985"/>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6">
    <w:name w:val="Table List 6"/>
    <w:basedOn w:val="TableNormal"/>
    <w:uiPriority w:val="99"/>
    <w:semiHidden/>
    <w:unhideWhenUsed/>
    <w:rsid w:val="00685985"/>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8">
    <w:name w:val="Table List 8"/>
    <w:basedOn w:val="TableNormal"/>
    <w:uiPriority w:val="99"/>
    <w:semiHidden/>
    <w:unhideWhenUsed/>
    <w:rsid w:val="00685985"/>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Simple1">
    <w:name w:val="Table Simple 1"/>
    <w:basedOn w:val="TableNormal"/>
    <w:uiPriority w:val="99"/>
    <w:semiHidden/>
    <w:unhideWhenUsed/>
    <w:rsid w:val="00685985"/>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3">
    <w:name w:val="Table Simple 3"/>
    <w:basedOn w:val="TableNormal"/>
    <w:uiPriority w:val="99"/>
    <w:semiHidden/>
    <w:unhideWhenUsed/>
    <w:rsid w:val="0068598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2">
    <w:name w:val="Table Subtle 2"/>
    <w:basedOn w:val="TableNormal"/>
    <w:uiPriority w:val="99"/>
    <w:semiHidden/>
    <w:unhideWhenUsed/>
    <w:rsid w:val="00685985"/>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iPriority w:val="99"/>
    <w:semiHidden/>
    <w:unhideWhenUsed/>
    <w:rsid w:val="0068598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85985"/>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PlainTable5">
    <w:name w:val="Plain Table 5"/>
    <w:basedOn w:val="TableNormal"/>
    <w:uiPriority w:val="45"/>
    <w:rsid w:val="0046433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D52D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EF402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98707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701">
      <w:bodyDiv w:val="1"/>
      <w:marLeft w:val="0"/>
      <w:marRight w:val="0"/>
      <w:marTop w:val="0"/>
      <w:marBottom w:val="0"/>
      <w:divBdr>
        <w:top w:val="none" w:sz="0" w:space="0" w:color="auto"/>
        <w:left w:val="none" w:sz="0" w:space="0" w:color="auto"/>
        <w:bottom w:val="none" w:sz="0" w:space="0" w:color="auto"/>
        <w:right w:val="none" w:sz="0" w:space="0" w:color="auto"/>
      </w:divBdr>
    </w:div>
    <w:div w:id="5140408">
      <w:bodyDiv w:val="1"/>
      <w:marLeft w:val="0"/>
      <w:marRight w:val="0"/>
      <w:marTop w:val="0"/>
      <w:marBottom w:val="0"/>
      <w:divBdr>
        <w:top w:val="none" w:sz="0" w:space="0" w:color="auto"/>
        <w:left w:val="none" w:sz="0" w:space="0" w:color="auto"/>
        <w:bottom w:val="none" w:sz="0" w:space="0" w:color="auto"/>
        <w:right w:val="none" w:sz="0" w:space="0" w:color="auto"/>
      </w:divBdr>
    </w:div>
    <w:div w:id="5637363">
      <w:bodyDiv w:val="1"/>
      <w:marLeft w:val="0"/>
      <w:marRight w:val="0"/>
      <w:marTop w:val="0"/>
      <w:marBottom w:val="0"/>
      <w:divBdr>
        <w:top w:val="none" w:sz="0" w:space="0" w:color="auto"/>
        <w:left w:val="none" w:sz="0" w:space="0" w:color="auto"/>
        <w:bottom w:val="none" w:sz="0" w:space="0" w:color="auto"/>
        <w:right w:val="none" w:sz="0" w:space="0" w:color="auto"/>
      </w:divBdr>
    </w:div>
    <w:div w:id="14115260">
      <w:bodyDiv w:val="1"/>
      <w:marLeft w:val="0"/>
      <w:marRight w:val="0"/>
      <w:marTop w:val="0"/>
      <w:marBottom w:val="0"/>
      <w:divBdr>
        <w:top w:val="none" w:sz="0" w:space="0" w:color="auto"/>
        <w:left w:val="none" w:sz="0" w:space="0" w:color="auto"/>
        <w:bottom w:val="none" w:sz="0" w:space="0" w:color="auto"/>
        <w:right w:val="none" w:sz="0" w:space="0" w:color="auto"/>
      </w:divBdr>
    </w:div>
    <w:div w:id="14423704">
      <w:bodyDiv w:val="1"/>
      <w:marLeft w:val="0"/>
      <w:marRight w:val="0"/>
      <w:marTop w:val="0"/>
      <w:marBottom w:val="0"/>
      <w:divBdr>
        <w:top w:val="none" w:sz="0" w:space="0" w:color="auto"/>
        <w:left w:val="none" w:sz="0" w:space="0" w:color="auto"/>
        <w:bottom w:val="none" w:sz="0" w:space="0" w:color="auto"/>
        <w:right w:val="none" w:sz="0" w:space="0" w:color="auto"/>
      </w:divBdr>
    </w:div>
    <w:div w:id="17897954">
      <w:bodyDiv w:val="1"/>
      <w:marLeft w:val="0"/>
      <w:marRight w:val="0"/>
      <w:marTop w:val="0"/>
      <w:marBottom w:val="0"/>
      <w:divBdr>
        <w:top w:val="none" w:sz="0" w:space="0" w:color="auto"/>
        <w:left w:val="none" w:sz="0" w:space="0" w:color="auto"/>
        <w:bottom w:val="none" w:sz="0" w:space="0" w:color="auto"/>
        <w:right w:val="none" w:sz="0" w:space="0" w:color="auto"/>
      </w:divBdr>
    </w:div>
    <w:div w:id="22023155">
      <w:bodyDiv w:val="1"/>
      <w:marLeft w:val="0"/>
      <w:marRight w:val="0"/>
      <w:marTop w:val="0"/>
      <w:marBottom w:val="0"/>
      <w:divBdr>
        <w:top w:val="none" w:sz="0" w:space="0" w:color="auto"/>
        <w:left w:val="none" w:sz="0" w:space="0" w:color="auto"/>
        <w:bottom w:val="none" w:sz="0" w:space="0" w:color="auto"/>
        <w:right w:val="none" w:sz="0" w:space="0" w:color="auto"/>
      </w:divBdr>
    </w:div>
    <w:div w:id="24529537">
      <w:bodyDiv w:val="1"/>
      <w:marLeft w:val="0"/>
      <w:marRight w:val="0"/>
      <w:marTop w:val="0"/>
      <w:marBottom w:val="0"/>
      <w:divBdr>
        <w:top w:val="none" w:sz="0" w:space="0" w:color="auto"/>
        <w:left w:val="none" w:sz="0" w:space="0" w:color="auto"/>
        <w:bottom w:val="none" w:sz="0" w:space="0" w:color="auto"/>
        <w:right w:val="none" w:sz="0" w:space="0" w:color="auto"/>
      </w:divBdr>
    </w:div>
    <w:div w:id="41364780">
      <w:bodyDiv w:val="1"/>
      <w:marLeft w:val="0"/>
      <w:marRight w:val="0"/>
      <w:marTop w:val="0"/>
      <w:marBottom w:val="0"/>
      <w:divBdr>
        <w:top w:val="none" w:sz="0" w:space="0" w:color="auto"/>
        <w:left w:val="none" w:sz="0" w:space="0" w:color="auto"/>
        <w:bottom w:val="none" w:sz="0" w:space="0" w:color="auto"/>
        <w:right w:val="none" w:sz="0" w:space="0" w:color="auto"/>
      </w:divBdr>
    </w:div>
    <w:div w:id="46615289">
      <w:bodyDiv w:val="1"/>
      <w:marLeft w:val="0"/>
      <w:marRight w:val="0"/>
      <w:marTop w:val="0"/>
      <w:marBottom w:val="0"/>
      <w:divBdr>
        <w:top w:val="none" w:sz="0" w:space="0" w:color="auto"/>
        <w:left w:val="none" w:sz="0" w:space="0" w:color="auto"/>
        <w:bottom w:val="none" w:sz="0" w:space="0" w:color="auto"/>
        <w:right w:val="none" w:sz="0" w:space="0" w:color="auto"/>
      </w:divBdr>
    </w:div>
    <w:div w:id="47799300">
      <w:bodyDiv w:val="1"/>
      <w:marLeft w:val="0"/>
      <w:marRight w:val="0"/>
      <w:marTop w:val="0"/>
      <w:marBottom w:val="0"/>
      <w:divBdr>
        <w:top w:val="none" w:sz="0" w:space="0" w:color="auto"/>
        <w:left w:val="none" w:sz="0" w:space="0" w:color="auto"/>
        <w:bottom w:val="none" w:sz="0" w:space="0" w:color="auto"/>
        <w:right w:val="none" w:sz="0" w:space="0" w:color="auto"/>
      </w:divBdr>
    </w:div>
    <w:div w:id="51269558">
      <w:bodyDiv w:val="1"/>
      <w:marLeft w:val="0"/>
      <w:marRight w:val="0"/>
      <w:marTop w:val="0"/>
      <w:marBottom w:val="0"/>
      <w:divBdr>
        <w:top w:val="none" w:sz="0" w:space="0" w:color="auto"/>
        <w:left w:val="none" w:sz="0" w:space="0" w:color="auto"/>
        <w:bottom w:val="none" w:sz="0" w:space="0" w:color="auto"/>
        <w:right w:val="none" w:sz="0" w:space="0" w:color="auto"/>
      </w:divBdr>
    </w:div>
    <w:div w:id="53545971">
      <w:bodyDiv w:val="1"/>
      <w:marLeft w:val="0"/>
      <w:marRight w:val="0"/>
      <w:marTop w:val="0"/>
      <w:marBottom w:val="0"/>
      <w:divBdr>
        <w:top w:val="none" w:sz="0" w:space="0" w:color="auto"/>
        <w:left w:val="none" w:sz="0" w:space="0" w:color="auto"/>
        <w:bottom w:val="none" w:sz="0" w:space="0" w:color="auto"/>
        <w:right w:val="none" w:sz="0" w:space="0" w:color="auto"/>
      </w:divBdr>
    </w:div>
    <w:div w:id="53701266">
      <w:bodyDiv w:val="1"/>
      <w:marLeft w:val="0"/>
      <w:marRight w:val="0"/>
      <w:marTop w:val="0"/>
      <w:marBottom w:val="0"/>
      <w:divBdr>
        <w:top w:val="none" w:sz="0" w:space="0" w:color="auto"/>
        <w:left w:val="none" w:sz="0" w:space="0" w:color="auto"/>
        <w:bottom w:val="none" w:sz="0" w:space="0" w:color="auto"/>
        <w:right w:val="none" w:sz="0" w:space="0" w:color="auto"/>
      </w:divBdr>
    </w:div>
    <w:div w:id="55515946">
      <w:bodyDiv w:val="1"/>
      <w:marLeft w:val="0"/>
      <w:marRight w:val="0"/>
      <w:marTop w:val="0"/>
      <w:marBottom w:val="0"/>
      <w:divBdr>
        <w:top w:val="none" w:sz="0" w:space="0" w:color="auto"/>
        <w:left w:val="none" w:sz="0" w:space="0" w:color="auto"/>
        <w:bottom w:val="none" w:sz="0" w:space="0" w:color="auto"/>
        <w:right w:val="none" w:sz="0" w:space="0" w:color="auto"/>
      </w:divBdr>
    </w:div>
    <w:div w:id="55596563">
      <w:bodyDiv w:val="1"/>
      <w:marLeft w:val="0"/>
      <w:marRight w:val="0"/>
      <w:marTop w:val="0"/>
      <w:marBottom w:val="0"/>
      <w:divBdr>
        <w:top w:val="none" w:sz="0" w:space="0" w:color="auto"/>
        <w:left w:val="none" w:sz="0" w:space="0" w:color="auto"/>
        <w:bottom w:val="none" w:sz="0" w:space="0" w:color="auto"/>
        <w:right w:val="none" w:sz="0" w:space="0" w:color="auto"/>
      </w:divBdr>
    </w:div>
    <w:div w:id="57481614">
      <w:bodyDiv w:val="1"/>
      <w:marLeft w:val="0"/>
      <w:marRight w:val="0"/>
      <w:marTop w:val="0"/>
      <w:marBottom w:val="0"/>
      <w:divBdr>
        <w:top w:val="none" w:sz="0" w:space="0" w:color="auto"/>
        <w:left w:val="none" w:sz="0" w:space="0" w:color="auto"/>
        <w:bottom w:val="none" w:sz="0" w:space="0" w:color="auto"/>
        <w:right w:val="none" w:sz="0" w:space="0" w:color="auto"/>
      </w:divBdr>
    </w:div>
    <w:div w:id="61371046">
      <w:bodyDiv w:val="1"/>
      <w:marLeft w:val="0"/>
      <w:marRight w:val="0"/>
      <w:marTop w:val="0"/>
      <w:marBottom w:val="0"/>
      <w:divBdr>
        <w:top w:val="none" w:sz="0" w:space="0" w:color="auto"/>
        <w:left w:val="none" w:sz="0" w:space="0" w:color="auto"/>
        <w:bottom w:val="none" w:sz="0" w:space="0" w:color="auto"/>
        <w:right w:val="none" w:sz="0" w:space="0" w:color="auto"/>
      </w:divBdr>
    </w:div>
    <w:div w:id="61411744">
      <w:bodyDiv w:val="1"/>
      <w:marLeft w:val="0"/>
      <w:marRight w:val="0"/>
      <w:marTop w:val="0"/>
      <w:marBottom w:val="0"/>
      <w:divBdr>
        <w:top w:val="none" w:sz="0" w:space="0" w:color="auto"/>
        <w:left w:val="none" w:sz="0" w:space="0" w:color="auto"/>
        <w:bottom w:val="none" w:sz="0" w:space="0" w:color="auto"/>
        <w:right w:val="none" w:sz="0" w:space="0" w:color="auto"/>
      </w:divBdr>
    </w:div>
    <w:div w:id="64956944">
      <w:bodyDiv w:val="1"/>
      <w:marLeft w:val="0"/>
      <w:marRight w:val="0"/>
      <w:marTop w:val="0"/>
      <w:marBottom w:val="0"/>
      <w:divBdr>
        <w:top w:val="none" w:sz="0" w:space="0" w:color="auto"/>
        <w:left w:val="none" w:sz="0" w:space="0" w:color="auto"/>
        <w:bottom w:val="none" w:sz="0" w:space="0" w:color="auto"/>
        <w:right w:val="none" w:sz="0" w:space="0" w:color="auto"/>
      </w:divBdr>
    </w:div>
    <w:div w:id="68814676">
      <w:bodyDiv w:val="1"/>
      <w:marLeft w:val="0"/>
      <w:marRight w:val="0"/>
      <w:marTop w:val="0"/>
      <w:marBottom w:val="0"/>
      <w:divBdr>
        <w:top w:val="none" w:sz="0" w:space="0" w:color="auto"/>
        <w:left w:val="none" w:sz="0" w:space="0" w:color="auto"/>
        <w:bottom w:val="none" w:sz="0" w:space="0" w:color="auto"/>
        <w:right w:val="none" w:sz="0" w:space="0" w:color="auto"/>
      </w:divBdr>
    </w:div>
    <w:div w:id="72704593">
      <w:bodyDiv w:val="1"/>
      <w:marLeft w:val="0"/>
      <w:marRight w:val="0"/>
      <w:marTop w:val="0"/>
      <w:marBottom w:val="0"/>
      <w:divBdr>
        <w:top w:val="none" w:sz="0" w:space="0" w:color="auto"/>
        <w:left w:val="none" w:sz="0" w:space="0" w:color="auto"/>
        <w:bottom w:val="none" w:sz="0" w:space="0" w:color="auto"/>
        <w:right w:val="none" w:sz="0" w:space="0" w:color="auto"/>
      </w:divBdr>
    </w:div>
    <w:div w:id="74129758">
      <w:bodyDiv w:val="1"/>
      <w:marLeft w:val="0"/>
      <w:marRight w:val="0"/>
      <w:marTop w:val="0"/>
      <w:marBottom w:val="0"/>
      <w:divBdr>
        <w:top w:val="none" w:sz="0" w:space="0" w:color="auto"/>
        <w:left w:val="none" w:sz="0" w:space="0" w:color="auto"/>
        <w:bottom w:val="none" w:sz="0" w:space="0" w:color="auto"/>
        <w:right w:val="none" w:sz="0" w:space="0" w:color="auto"/>
      </w:divBdr>
    </w:div>
    <w:div w:id="79720869">
      <w:bodyDiv w:val="1"/>
      <w:marLeft w:val="0"/>
      <w:marRight w:val="0"/>
      <w:marTop w:val="0"/>
      <w:marBottom w:val="0"/>
      <w:divBdr>
        <w:top w:val="none" w:sz="0" w:space="0" w:color="auto"/>
        <w:left w:val="none" w:sz="0" w:space="0" w:color="auto"/>
        <w:bottom w:val="none" w:sz="0" w:space="0" w:color="auto"/>
        <w:right w:val="none" w:sz="0" w:space="0" w:color="auto"/>
      </w:divBdr>
    </w:div>
    <w:div w:id="82069622">
      <w:bodyDiv w:val="1"/>
      <w:marLeft w:val="0"/>
      <w:marRight w:val="0"/>
      <w:marTop w:val="0"/>
      <w:marBottom w:val="0"/>
      <w:divBdr>
        <w:top w:val="none" w:sz="0" w:space="0" w:color="auto"/>
        <w:left w:val="none" w:sz="0" w:space="0" w:color="auto"/>
        <w:bottom w:val="none" w:sz="0" w:space="0" w:color="auto"/>
        <w:right w:val="none" w:sz="0" w:space="0" w:color="auto"/>
      </w:divBdr>
    </w:div>
    <w:div w:id="86006172">
      <w:bodyDiv w:val="1"/>
      <w:marLeft w:val="0"/>
      <w:marRight w:val="0"/>
      <w:marTop w:val="0"/>
      <w:marBottom w:val="0"/>
      <w:divBdr>
        <w:top w:val="none" w:sz="0" w:space="0" w:color="auto"/>
        <w:left w:val="none" w:sz="0" w:space="0" w:color="auto"/>
        <w:bottom w:val="none" w:sz="0" w:space="0" w:color="auto"/>
        <w:right w:val="none" w:sz="0" w:space="0" w:color="auto"/>
      </w:divBdr>
    </w:div>
    <w:div w:id="88087214">
      <w:bodyDiv w:val="1"/>
      <w:marLeft w:val="0"/>
      <w:marRight w:val="0"/>
      <w:marTop w:val="0"/>
      <w:marBottom w:val="0"/>
      <w:divBdr>
        <w:top w:val="none" w:sz="0" w:space="0" w:color="auto"/>
        <w:left w:val="none" w:sz="0" w:space="0" w:color="auto"/>
        <w:bottom w:val="none" w:sz="0" w:space="0" w:color="auto"/>
        <w:right w:val="none" w:sz="0" w:space="0" w:color="auto"/>
      </w:divBdr>
    </w:div>
    <w:div w:id="94792785">
      <w:bodyDiv w:val="1"/>
      <w:marLeft w:val="0"/>
      <w:marRight w:val="0"/>
      <w:marTop w:val="0"/>
      <w:marBottom w:val="0"/>
      <w:divBdr>
        <w:top w:val="none" w:sz="0" w:space="0" w:color="auto"/>
        <w:left w:val="none" w:sz="0" w:space="0" w:color="auto"/>
        <w:bottom w:val="none" w:sz="0" w:space="0" w:color="auto"/>
        <w:right w:val="none" w:sz="0" w:space="0" w:color="auto"/>
      </w:divBdr>
    </w:div>
    <w:div w:id="98109815">
      <w:bodyDiv w:val="1"/>
      <w:marLeft w:val="0"/>
      <w:marRight w:val="0"/>
      <w:marTop w:val="0"/>
      <w:marBottom w:val="0"/>
      <w:divBdr>
        <w:top w:val="none" w:sz="0" w:space="0" w:color="auto"/>
        <w:left w:val="none" w:sz="0" w:space="0" w:color="auto"/>
        <w:bottom w:val="none" w:sz="0" w:space="0" w:color="auto"/>
        <w:right w:val="none" w:sz="0" w:space="0" w:color="auto"/>
      </w:divBdr>
    </w:div>
    <w:div w:id="100229684">
      <w:bodyDiv w:val="1"/>
      <w:marLeft w:val="0"/>
      <w:marRight w:val="0"/>
      <w:marTop w:val="0"/>
      <w:marBottom w:val="0"/>
      <w:divBdr>
        <w:top w:val="none" w:sz="0" w:space="0" w:color="auto"/>
        <w:left w:val="none" w:sz="0" w:space="0" w:color="auto"/>
        <w:bottom w:val="none" w:sz="0" w:space="0" w:color="auto"/>
        <w:right w:val="none" w:sz="0" w:space="0" w:color="auto"/>
      </w:divBdr>
    </w:div>
    <w:div w:id="102581104">
      <w:bodyDiv w:val="1"/>
      <w:marLeft w:val="0"/>
      <w:marRight w:val="0"/>
      <w:marTop w:val="0"/>
      <w:marBottom w:val="0"/>
      <w:divBdr>
        <w:top w:val="none" w:sz="0" w:space="0" w:color="auto"/>
        <w:left w:val="none" w:sz="0" w:space="0" w:color="auto"/>
        <w:bottom w:val="none" w:sz="0" w:space="0" w:color="auto"/>
        <w:right w:val="none" w:sz="0" w:space="0" w:color="auto"/>
      </w:divBdr>
    </w:div>
    <w:div w:id="103312691">
      <w:bodyDiv w:val="1"/>
      <w:marLeft w:val="0"/>
      <w:marRight w:val="0"/>
      <w:marTop w:val="0"/>
      <w:marBottom w:val="0"/>
      <w:divBdr>
        <w:top w:val="none" w:sz="0" w:space="0" w:color="auto"/>
        <w:left w:val="none" w:sz="0" w:space="0" w:color="auto"/>
        <w:bottom w:val="none" w:sz="0" w:space="0" w:color="auto"/>
        <w:right w:val="none" w:sz="0" w:space="0" w:color="auto"/>
      </w:divBdr>
    </w:div>
    <w:div w:id="104736057">
      <w:bodyDiv w:val="1"/>
      <w:marLeft w:val="0"/>
      <w:marRight w:val="0"/>
      <w:marTop w:val="0"/>
      <w:marBottom w:val="0"/>
      <w:divBdr>
        <w:top w:val="none" w:sz="0" w:space="0" w:color="auto"/>
        <w:left w:val="none" w:sz="0" w:space="0" w:color="auto"/>
        <w:bottom w:val="none" w:sz="0" w:space="0" w:color="auto"/>
        <w:right w:val="none" w:sz="0" w:space="0" w:color="auto"/>
      </w:divBdr>
    </w:div>
    <w:div w:id="105545334">
      <w:bodyDiv w:val="1"/>
      <w:marLeft w:val="0"/>
      <w:marRight w:val="0"/>
      <w:marTop w:val="0"/>
      <w:marBottom w:val="0"/>
      <w:divBdr>
        <w:top w:val="none" w:sz="0" w:space="0" w:color="auto"/>
        <w:left w:val="none" w:sz="0" w:space="0" w:color="auto"/>
        <w:bottom w:val="none" w:sz="0" w:space="0" w:color="auto"/>
        <w:right w:val="none" w:sz="0" w:space="0" w:color="auto"/>
      </w:divBdr>
    </w:div>
    <w:div w:id="107706890">
      <w:bodyDiv w:val="1"/>
      <w:marLeft w:val="0"/>
      <w:marRight w:val="0"/>
      <w:marTop w:val="0"/>
      <w:marBottom w:val="0"/>
      <w:divBdr>
        <w:top w:val="none" w:sz="0" w:space="0" w:color="auto"/>
        <w:left w:val="none" w:sz="0" w:space="0" w:color="auto"/>
        <w:bottom w:val="none" w:sz="0" w:space="0" w:color="auto"/>
        <w:right w:val="none" w:sz="0" w:space="0" w:color="auto"/>
      </w:divBdr>
    </w:div>
    <w:div w:id="108398974">
      <w:bodyDiv w:val="1"/>
      <w:marLeft w:val="0"/>
      <w:marRight w:val="0"/>
      <w:marTop w:val="0"/>
      <w:marBottom w:val="0"/>
      <w:divBdr>
        <w:top w:val="none" w:sz="0" w:space="0" w:color="auto"/>
        <w:left w:val="none" w:sz="0" w:space="0" w:color="auto"/>
        <w:bottom w:val="none" w:sz="0" w:space="0" w:color="auto"/>
        <w:right w:val="none" w:sz="0" w:space="0" w:color="auto"/>
      </w:divBdr>
    </w:div>
    <w:div w:id="115567370">
      <w:bodyDiv w:val="1"/>
      <w:marLeft w:val="0"/>
      <w:marRight w:val="0"/>
      <w:marTop w:val="0"/>
      <w:marBottom w:val="0"/>
      <w:divBdr>
        <w:top w:val="none" w:sz="0" w:space="0" w:color="auto"/>
        <w:left w:val="none" w:sz="0" w:space="0" w:color="auto"/>
        <w:bottom w:val="none" w:sz="0" w:space="0" w:color="auto"/>
        <w:right w:val="none" w:sz="0" w:space="0" w:color="auto"/>
      </w:divBdr>
    </w:div>
    <w:div w:id="116030517">
      <w:bodyDiv w:val="1"/>
      <w:marLeft w:val="0"/>
      <w:marRight w:val="0"/>
      <w:marTop w:val="0"/>
      <w:marBottom w:val="0"/>
      <w:divBdr>
        <w:top w:val="none" w:sz="0" w:space="0" w:color="auto"/>
        <w:left w:val="none" w:sz="0" w:space="0" w:color="auto"/>
        <w:bottom w:val="none" w:sz="0" w:space="0" w:color="auto"/>
        <w:right w:val="none" w:sz="0" w:space="0" w:color="auto"/>
      </w:divBdr>
    </w:div>
    <w:div w:id="116216493">
      <w:bodyDiv w:val="1"/>
      <w:marLeft w:val="0"/>
      <w:marRight w:val="0"/>
      <w:marTop w:val="0"/>
      <w:marBottom w:val="0"/>
      <w:divBdr>
        <w:top w:val="none" w:sz="0" w:space="0" w:color="auto"/>
        <w:left w:val="none" w:sz="0" w:space="0" w:color="auto"/>
        <w:bottom w:val="none" w:sz="0" w:space="0" w:color="auto"/>
        <w:right w:val="none" w:sz="0" w:space="0" w:color="auto"/>
      </w:divBdr>
    </w:div>
    <w:div w:id="121307922">
      <w:bodyDiv w:val="1"/>
      <w:marLeft w:val="0"/>
      <w:marRight w:val="0"/>
      <w:marTop w:val="0"/>
      <w:marBottom w:val="0"/>
      <w:divBdr>
        <w:top w:val="none" w:sz="0" w:space="0" w:color="auto"/>
        <w:left w:val="none" w:sz="0" w:space="0" w:color="auto"/>
        <w:bottom w:val="none" w:sz="0" w:space="0" w:color="auto"/>
        <w:right w:val="none" w:sz="0" w:space="0" w:color="auto"/>
      </w:divBdr>
    </w:div>
    <w:div w:id="127017325">
      <w:bodyDiv w:val="1"/>
      <w:marLeft w:val="0"/>
      <w:marRight w:val="0"/>
      <w:marTop w:val="0"/>
      <w:marBottom w:val="0"/>
      <w:divBdr>
        <w:top w:val="none" w:sz="0" w:space="0" w:color="auto"/>
        <w:left w:val="none" w:sz="0" w:space="0" w:color="auto"/>
        <w:bottom w:val="none" w:sz="0" w:space="0" w:color="auto"/>
        <w:right w:val="none" w:sz="0" w:space="0" w:color="auto"/>
      </w:divBdr>
    </w:div>
    <w:div w:id="128012368">
      <w:bodyDiv w:val="1"/>
      <w:marLeft w:val="0"/>
      <w:marRight w:val="0"/>
      <w:marTop w:val="0"/>
      <w:marBottom w:val="0"/>
      <w:divBdr>
        <w:top w:val="none" w:sz="0" w:space="0" w:color="auto"/>
        <w:left w:val="none" w:sz="0" w:space="0" w:color="auto"/>
        <w:bottom w:val="none" w:sz="0" w:space="0" w:color="auto"/>
        <w:right w:val="none" w:sz="0" w:space="0" w:color="auto"/>
      </w:divBdr>
    </w:div>
    <w:div w:id="129249889">
      <w:bodyDiv w:val="1"/>
      <w:marLeft w:val="0"/>
      <w:marRight w:val="0"/>
      <w:marTop w:val="0"/>
      <w:marBottom w:val="0"/>
      <w:divBdr>
        <w:top w:val="none" w:sz="0" w:space="0" w:color="auto"/>
        <w:left w:val="none" w:sz="0" w:space="0" w:color="auto"/>
        <w:bottom w:val="none" w:sz="0" w:space="0" w:color="auto"/>
        <w:right w:val="none" w:sz="0" w:space="0" w:color="auto"/>
      </w:divBdr>
    </w:div>
    <w:div w:id="129370626">
      <w:bodyDiv w:val="1"/>
      <w:marLeft w:val="0"/>
      <w:marRight w:val="0"/>
      <w:marTop w:val="0"/>
      <w:marBottom w:val="0"/>
      <w:divBdr>
        <w:top w:val="none" w:sz="0" w:space="0" w:color="auto"/>
        <w:left w:val="none" w:sz="0" w:space="0" w:color="auto"/>
        <w:bottom w:val="none" w:sz="0" w:space="0" w:color="auto"/>
        <w:right w:val="none" w:sz="0" w:space="0" w:color="auto"/>
      </w:divBdr>
    </w:div>
    <w:div w:id="140194963">
      <w:bodyDiv w:val="1"/>
      <w:marLeft w:val="0"/>
      <w:marRight w:val="0"/>
      <w:marTop w:val="0"/>
      <w:marBottom w:val="0"/>
      <w:divBdr>
        <w:top w:val="none" w:sz="0" w:space="0" w:color="auto"/>
        <w:left w:val="none" w:sz="0" w:space="0" w:color="auto"/>
        <w:bottom w:val="none" w:sz="0" w:space="0" w:color="auto"/>
        <w:right w:val="none" w:sz="0" w:space="0" w:color="auto"/>
      </w:divBdr>
    </w:div>
    <w:div w:id="140929252">
      <w:bodyDiv w:val="1"/>
      <w:marLeft w:val="0"/>
      <w:marRight w:val="0"/>
      <w:marTop w:val="0"/>
      <w:marBottom w:val="0"/>
      <w:divBdr>
        <w:top w:val="none" w:sz="0" w:space="0" w:color="auto"/>
        <w:left w:val="none" w:sz="0" w:space="0" w:color="auto"/>
        <w:bottom w:val="none" w:sz="0" w:space="0" w:color="auto"/>
        <w:right w:val="none" w:sz="0" w:space="0" w:color="auto"/>
      </w:divBdr>
    </w:div>
    <w:div w:id="142818392">
      <w:bodyDiv w:val="1"/>
      <w:marLeft w:val="0"/>
      <w:marRight w:val="0"/>
      <w:marTop w:val="0"/>
      <w:marBottom w:val="0"/>
      <w:divBdr>
        <w:top w:val="none" w:sz="0" w:space="0" w:color="auto"/>
        <w:left w:val="none" w:sz="0" w:space="0" w:color="auto"/>
        <w:bottom w:val="none" w:sz="0" w:space="0" w:color="auto"/>
        <w:right w:val="none" w:sz="0" w:space="0" w:color="auto"/>
      </w:divBdr>
    </w:div>
    <w:div w:id="143280508">
      <w:bodyDiv w:val="1"/>
      <w:marLeft w:val="0"/>
      <w:marRight w:val="0"/>
      <w:marTop w:val="0"/>
      <w:marBottom w:val="0"/>
      <w:divBdr>
        <w:top w:val="none" w:sz="0" w:space="0" w:color="auto"/>
        <w:left w:val="none" w:sz="0" w:space="0" w:color="auto"/>
        <w:bottom w:val="none" w:sz="0" w:space="0" w:color="auto"/>
        <w:right w:val="none" w:sz="0" w:space="0" w:color="auto"/>
      </w:divBdr>
    </w:div>
    <w:div w:id="147602790">
      <w:bodyDiv w:val="1"/>
      <w:marLeft w:val="0"/>
      <w:marRight w:val="0"/>
      <w:marTop w:val="0"/>
      <w:marBottom w:val="0"/>
      <w:divBdr>
        <w:top w:val="none" w:sz="0" w:space="0" w:color="auto"/>
        <w:left w:val="none" w:sz="0" w:space="0" w:color="auto"/>
        <w:bottom w:val="none" w:sz="0" w:space="0" w:color="auto"/>
        <w:right w:val="none" w:sz="0" w:space="0" w:color="auto"/>
      </w:divBdr>
    </w:div>
    <w:div w:id="149100548">
      <w:bodyDiv w:val="1"/>
      <w:marLeft w:val="0"/>
      <w:marRight w:val="0"/>
      <w:marTop w:val="0"/>
      <w:marBottom w:val="0"/>
      <w:divBdr>
        <w:top w:val="none" w:sz="0" w:space="0" w:color="auto"/>
        <w:left w:val="none" w:sz="0" w:space="0" w:color="auto"/>
        <w:bottom w:val="none" w:sz="0" w:space="0" w:color="auto"/>
        <w:right w:val="none" w:sz="0" w:space="0" w:color="auto"/>
      </w:divBdr>
    </w:div>
    <w:div w:id="158734358">
      <w:bodyDiv w:val="1"/>
      <w:marLeft w:val="0"/>
      <w:marRight w:val="0"/>
      <w:marTop w:val="0"/>
      <w:marBottom w:val="0"/>
      <w:divBdr>
        <w:top w:val="none" w:sz="0" w:space="0" w:color="auto"/>
        <w:left w:val="none" w:sz="0" w:space="0" w:color="auto"/>
        <w:bottom w:val="none" w:sz="0" w:space="0" w:color="auto"/>
        <w:right w:val="none" w:sz="0" w:space="0" w:color="auto"/>
      </w:divBdr>
    </w:div>
    <w:div w:id="159270105">
      <w:bodyDiv w:val="1"/>
      <w:marLeft w:val="0"/>
      <w:marRight w:val="0"/>
      <w:marTop w:val="0"/>
      <w:marBottom w:val="0"/>
      <w:divBdr>
        <w:top w:val="none" w:sz="0" w:space="0" w:color="auto"/>
        <w:left w:val="none" w:sz="0" w:space="0" w:color="auto"/>
        <w:bottom w:val="none" w:sz="0" w:space="0" w:color="auto"/>
        <w:right w:val="none" w:sz="0" w:space="0" w:color="auto"/>
      </w:divBdr>
    </w:div>
    <w:div w:id="160512694">
      <w:bodyDiv w:val="1"/>
      <w:marLeft w:val="0"/>
      <w:marRight w:val="0"/>
      <w:marTop w:val="0"/>
      <w:marBottom w:val="0"/>
      <w:divBdr>
        <w:top w:val="none" w:sz="0" w:space="0" w:color="auto"/>
        <w:left w:val="none" w:sz="0" w:space="0" w:color="auto"/>
        <w:bottom w:val="none" w:sz="0" w:space="0" w:color="auto"/>
        <w:right w:val="none" w:sz="0" w:space="0" w:color="auto"/>
      </w:divBdr>
    </w:div>
    <w:div w:id="163789420">
      <w:bodyDiv w:val="1"/>
      <w:marLeft w:val="0"/>
      <w:marRight w:val="0"/>
      <w:marTop w:val="0"/>
      <w:marBottom w:val="0"/>
      <w:divBdr>
        <w:top w:val="none" w:sz="0" w:space="0" w:color="auto"/>
        <w:left w:val="none" w:sz="0" w:space="0" w:color="auto"/>
        <w:bottom w:val="none" w:sz="0" w:space="0" w:color="auto"/>
        <w:right w:val="none" w:sz="0" w:space="0" w:color="auto"/>
      </w:divBdr>
    </w:div>
    <w:div w:id="165243774">
      <w:bodyDiv w:val="1"/>
      <w:marLeft w:val="0"/>
      <w:marRight w:val="0"/>
      <w:marTop w:val="0"/>
      <w:marBottom w:val="0"/>
      <w:divBdr>
        <w:top w:val="none" w:sz="0" w:space="0" w:color="auto"/>
        <w:left w:val="none" w:sz="0" w:space="0" w:color="auto"/>
        <w:bottom w:val="none" w:sz="0" w:space="0" w:color="auto"/>
        <w:right w:val="none" w:sz="0" w:space="0" w:color="auto"/>
      </w:divBdr>
    </w:div>
    <w:div w:id="173150921">
      <w:bodyDiv w:val="1"/>
      <w:marLeft w:val="0"/>
      <w:marRight w:val="0"/>
      <w:marTop w:val="0"/>
      <w:marBottom w:val="0"/>
      <w:divBdr>
        <w:top w:val="none" w:sz="0" w:space="0" w:color="auto"/>
        <w:left w:val="none" w:sz="0" w:space="0" w:color="auto"/>
        <w:bottom w:val="none" w:sz="0" w:space="0" w:color="auto"/>
        <w:right w:val="none" w:sz="0" w:space="0" w:color="auto"/>
      </w:divBdr>
    </w:div>
    <w:div w:id="176507359">
      <w:bodyDiv w:val="1"/>
      <w:marLeft w:val="0"/>
      <w:marRight w:val="0"/>
      <w:marTop w:val="0"/>
      <w:marBottom w:val="0"/>
      <w:divBdr>
        <w:top w:val="none" w:sz="0" w:space="0" w:color="auto"/>
        <w:left w:val="none" w:sz="0" w:space="0" w:color="auto"/>
        <w:bottom w:val="none" w:sz="0" w:space="0" w:color="auto"/>
        <w:right w:val="none" w:sz="0" w:space="0" w:color="auto"/>
      </w:divBdr>
    </w:div>
    <w:div w:id="177277262">
      <w:bodyDiv w:val="1"/>
      <w:marLeft w:val="0"/>
      <w:marRight w:val="0"/>
      <w:marTop w:val="0"/>
      <w:marBottom w:val="0"/>
      <w:divBdr>
        <w:top w:val="none" w:sz="0" w:space="0" w:color="auto"/>
        <w:left w:val="none" w:sz="0" w:space="0" w:color="auto"/>
        <w:bottom w:val="none" w:sz="0" w:space="0" w:color="auto"/>
        <w:right w:val="none" w:sz="0" w:space="0" w:color="auto"/>
      </w:divBdr>
    </w:div>
    <w:div w:id="179248632">
      <w:bodyDiv w:val="1"/>
      <w:marLeft w:val="0"/>
      <w:marRight w:val="0"/>
      <w:marTop w:val="0"/>
      <w:marBottom w:val="0"/>
      <w:divBdr>
        <w:top w:val="none" w:sz="0" w:space="0" w:color="auto"/>
        <w:left w:val="none" w:sz="0" w:space="0" w:color="auto"/>
        <w:bottom w:val="none" w:sz="0" w:space="0" w:color="auto"/>
        <w:right w:val="none" w:sz="0" w:space="0" w:color="auto"/>
      </w:divBdr>
    </w:div>
    <w:div w:id="180319195">
      <w:bodyDiv w:val="1"/>
      <w:marLeft w:val="0"/>
      <w:marRight w:val="0"/>
      <w:marTop w:val="0"/>
      <w:marBottom w:val="0"/>
      <w:divBdr>
        <w:top w:val="none" w:sz="0" w:space="0" w:color="auto"/>
        <w:left w:val="none" w:sz="0" w:space="0" w:color="auto"/>
        <w:bottom w:val="none" w:sz="0" w:space="0" w:color="auto"/>
        <w:right w:val="none" w:sz="0" w:space="0" w:color="auto"/>
      </w:divBdr>
    </w:div>
    <w:div w:id="180894172">
      <w:bodyDiv w:val="1"/>
      <w:marLeft w:val="0"/>
      <w:marRight w:val="0"/>
      <w:marTop w:val="0"/>
      <w:marBottom w:val="0"/>
      <w:divBdr>
        <w:top w:val="none" w:sz="0" w:space="0" w:color="auto"/>
        <w:left w:val="none" w:sz="0" w:space="0" w:color="auto"/>
        <w:bottom w:val="none" w:sz="0" w:space="0" w:color="auto"/>
        <w:right w:val="none" w:sz="0" w:space="0" w:color="auto"/>
      </w:divBdr>
    </w:div>
    <w:div w:id="183253104">
      <w:bodyDiv w:val="1"/>
      <w:marLeft w:val="0"/>
      <w:marRight w:val="0"/>
      <w:marTop w:val="0"/>
      <w:marBottom w:val="0"/>
      <w:divBdr>
        <w:top w:val="none" w:sz="0" w:space="0" w:color="auto"/>
        <w:left w:val="none" w:sz="0" w:space="0" w:color="auto"/>
        <w:bottom w:val="none" w:sz="0" w:space="0" w:color="auto"/>
        <w:right w:val="none" w:sz="0" w:space="0" w:color="auto"/>
      </w:divBdr>
    </w:div>
    <w:div w:id="184176825">
      <w:bodyDiv w:val="1"/>
      <w:marLeft w:val="0"/>
      <w:marRight w:val="0"/>
      <w:marTop w:val="0"/>
      <w:marBottom w:val="0"/>
      <w:divBdr>
        <w:top w:val="none" w:sz="0" w:space="0" w:color="auto"/>
        <w:left w:val="none" w:sz="0" w:space="0" w:color="auto"/>
        <w:bottom w:val="none" w:sz="0" w:space="0" w:color="auto"/>
        <w:right w:val="none" w:sz="0" w:space="0" w:color="auto"/>
      </w:divBdr>
    </w:div>
    <w:div w:id="198932093">
      <w:bodyDiv w:val="1"/>
      <w:marLeft w:val="0"/>
      <w:marRight w:val="0"/>
      <w:marTop w:val="0"/>
      <w:marBottom w:val="0"/>
      <w:divBdr>
        <w:top w:val="none" w:sz="0" w:space="0" w:color="auto"/>
        <w:left w:val="none" w:sz="0" w:space="0" w:color="auto"/>
        <w:bottom w:val="none" w:sz="0" w:space="0" w:color="auto"/>
        <w:right w:val="none" w:sz="0" w:space="0" w:color="auto"/>
      </w:divBdr>
    </w:div>
    <w:div w:id="199320554">
      <w:bodyDiv w:val="1"/>
      <w:marLeft w:val="0"/>
      <w:marRight w:val="0"/>
      <w:marTop w:val="0"/>
      <w:marBottom w:val="0"/>
      <w:divBdr>
        <w:top w:val="none" w:sz="0" w:space="0" w:color="auto"/>
        <w:left w:val="none" w:sz="0" w:space="0" w:color="auto"/>
        <w:bottom w:val="none" w:sz="0" w:space="0" w:color="auto"/>
        <w:right w:val="none" w:sz="0" w:space="0" w:color="auto"/>
      </w:divBdr>
    </w:div>
    <w:div w:id="199897582">
      <w:bodyDiv w:val="1"/>
      <w:marLeft w:val="0"/>
      <w:marRight w:val="0"/>
      <w:marTop w:val="0"/>
      <w:marBottom w:val="0"/>
      <w:divBdr>
        <w:top w:val="none" w:sz="0" w:space="0" w:color="auto"/>
        <w:left w:val="none" w:sz="0" w:space="0" w:color="auto"/>
        <w:bottom w:val="none" w:sz="0" w:space="0" w:color="auto"/>
        <w:right w:val="none" w:sz="0" w:space="0" w:color="auto"/>
      </w:divBdr>
    </w:div>
    <w:div w:id="216092286">
      <w:bodyDiv w:val="1"/>
      <w:marLeft w:val="0"/>
      <w:marRight w:val="0"/>
      <w:marTop w:val="0"/>
      <w:marBottom w:val="0"/>
      <w:divBdr>
        <w:top w:val="none" w:sz="0" w:space="0" w:color="auto"/>
        <w:left w:val="none" w:sz="0" w:space="0" w:color="auto"/>
        <w:bottom w:val="none" w:sz="0" w:space="0" w:color="auto"/>
        <w:right w:val="none" w:sz="0" w:space="0" w:color="auto"/>
      </w:divBdr>
    </w:div>
    <w:div w:id="224492834">
      <w:bodyDiv w:val="1"/>
      <w:marLeft w:val="0"/>
      <w:marRight w:val="0"/>
      <w:marTop w:val="0"/>
      <w:marBottom w:val="0"/>
      <w:divBdr>
        <w:top w:val="none" w:sz="0" w:space="0" w:color="auto"/>
        <w:left w:val="none" w:sz="0" w:space="0" w:color="auto"/>
        <w:bottom w:val="none" w:sz="0" w:space="0" w:color="auto"/>
        <w:right w:val="none" w:sz="0" w:space="0" w:color="auto"/>
      </w:divBdr>
    </w:div>
    <w:div w:id="225191314">
      <w:bodyDiv w:val="1"/>
      <w:marLeft w:val="0"/>
      <w:marRight w:val="0"/>
      <w:marTop w:val="0"/>
      <w:marBottom w:val="0"/>
      <w:divBdr>
        <w:top w:val="none" w:sz="0" w:space="0" w:color="auto"/>
        <w:left w:val="none" w:sz="0" w:space="0" w:color="auto"/>
        <w:bottom w:val="none" w:sz="0" w:space="0" w:color="auto"/>
        <w:right w:val="none" w:sz="0" w:space="0" w:color="auto"/>
      </w:divBdr>
    </w:div>
    <w:div w:id="229123279">
      <w:bodyDiv w:val="1"/>
      <w:marLeft w:val="0"/>
      <w:marRight w:val="0"/>
      <w:marTop w:val="0"/>
      <w:marBottom w:val="0"/>
      <w:divBdr>
        <w:top w:val="none" w:sz="0" w:space="0" w:color="auto"/>
        <w:left w:val="none" w:sz="0" w:space="0" w:color="auto"/>
        <w:bottom w:val="none" w:sz="0" w:space="0" w:color="auto"/>
        <w:right w:val="none" w:sz="0" w:space="0" w:color="auto"/>
      </w:divBdr>
    </w:div>
    <w:div w:id="234978928">
      <w:bodyDiv w:val="1"/>
      <w:marLeft w:val="0"/>
      <w:marRight w:val="0"/>
      <w:marTop w:val="0"/>
      <w:marBottom w:val="0"/>
      <w:divBdr>
        <w:top w:val="none" w:sz="0" w:space="0" w:color="auto"/>
        <w:left w:val="none" w:sz="0" w:space="0" w:color="auto"/>
        <w:bottom w:val="none" w:sz="0" w:space="0" w:color="auto"/>
        <w:right w:val="none" w:sz="0" w:space="0" w:color="auto"/>
      </w:divBdr>
    </w:div>
    <w:div w:id="235938982">
      <w:bodyDiv w:val="1"/>
      <w:marLeft w:val="0"/>
      <w:marRight w:val="0"/>
      <w:marTop w:val="0"/>
      <w:marBottom w:val="0"/>
      <w:divBdr>
        <w:top w:val="none" w:sz="0" w:space="0" w:color="auto"/>
        <w:left w:val="none" w:sz="0" w:space="0" w:color="auto"/>
        <w:bottom w:val="none" w:sz="0" w:space="0" w:color="auto"/>
        <w:right w:val="none" w:sz="0" w:space="0" w:color="auto"/>
      </w:divBdr>
    </w:div>
    <w:div w:id="237054008">
      <w:bodyDiv w:val="1"/>
      <w:marLeft w:val="0"/>
      <w:marRight w:val="0"/>
      <w:marTop w:val="0"/>
      <w:marBottom w:val="0"/>
      <w:divBdr>
        <w:top w:val="none" w:sz="0" w:space="0" w:color="auto"/>
        <w:left w:val="none" w:sz="0" w:space="0" w:color="auto"/>
        <w:bottom w:val="none" w:sz="0" w:space="0" w:color="auto"/>
        <w:right w:val="none" w:sz="0" w:space="0" w:color="auto"/>
      </w:divBdr>
    </w:div>
    <w:div w:id="238486267">
      <w:bodyDiv w:val="1"/>
      <w:marLeft w:val="0"/>
      <w:marRight w:val="0"/>
      <w:marTop w:val="0"/>
      <w:marBottom w:val="0"/>
      <w:divBdr>
        <w:top w:val="none" w:sz="0" w:space="0" w:color="auto"/>
        <w:left w:val="none" w:sz="0" w:space="0" w:color="auto"/>
        <w:bottom w:val="none" w:sz="0" w:space="0" w:color="auto"/>
        <w:right w:val="none" w:sz="0" w:space="0" w:color="auto"/>
      </w:divBdr>
    </w:div>
    <w:div w:id="240213052">
      <w:bodyDiv w:val="1"/>
      <w:marLeft w:val="0"/>
      <w:marRight w:val="0"/>
      <w:marTop w:val="0"/>
      <w:marBottom w:val="0"/>
      <w:divBdr>
        <w:top w:val="none" w:sz="0" w:space="0" w:color="auto"/>
        <w:left w:val="none" w:sz="0" w:space="0" w:color="auto"/>
        <w:bottom w:val="none" w:sz="0" w:space="0" w:color="auto"/>
        <w:right w:val="none" w:sz="0" w:space="0" w:color="auto"/>
      </w:divBdr>
    </w:div>
    <w:div w:id="244000427">
      <w:bodyDiv w:val="1"/>
      <w:marLeft w:val="0"/>
      <w:marRight w:val="0"/>
      <w:marTop w:val="0"/>
      <w:marBottom w:val="0"/>
      <w:divBdr>
        <w:top w:val="none" w:sz="0" w:space="0" w:color="auto"/>
        <w:left w:val="none" w:sz="0" w:space="0" w:color="auto"/>
        <w:bottom w:val="none" w:sz="0" w:space="0" w:color="auto"/>
        <w:right w:val="none" w:sz="0" w:space="0" w:color="auto"/>
      </w:divBdr>
    </w:div>
    <w:div w:id="247930255">
      <w:bodyDiv w:val="1"/>
      <w:marLeft w:val="0"/>
      <w:marRight w:val="0"/>
      <w:marTop w:val="0"/>
      <w:marBottom w:val="0"/>
      <w:divBdr>
        <w:top w:val="none" w:sz="0" w:space="0" w:color="auto"/>
        <w:left w:val="none" w:sz="0" w:space="0" w:color="auto"/>
        <w:bottom w:val="none" w:sz="0" w:space="0" w:color="auto"/>
        <w:right w:val="none" w:sz="0" w:space="0" w:color="auto"/>
      </w:divBdr>
    </w:div>
    <w:div w:id="248731284">
      <w:bodyDiv w:val="1"/>
      <w:marLeft w:val="0"/>
      <w:marRight w:val="0"/>
      <w:marTop w:val="0"/>
      <w:marBottom w:val="0"/>
      <w:divBdr>
        <w:top w:val="none" w:sz="0" w:space="0" w:color="auto"/>
        <w:left w:val="none" w:sz="0" w:space="0" w:color="auto"/>
        <w:bottom w:val="none" w:sz="0" w:space="0" w:color="auto"/>
        <w:right w:val="none" w:sz="0" w:space="0" w:color="auto"/>
      </w:divBdr>
    </w:div>
    <w:div w:id="255554434">
      <w:bodyDiv w:val="1"/>
      <w:marLeft w:val="0"/>
      <w:marRight w:val="0"/>
      <w:marTop w:val="0"/>
      <w:marBottom w:val="0"/>
      <w:divBdr>
        <w:top w:val="none" w:sz="0" w:space="0" w:color="auto"/>
        <w:left w:val="none" w:sz="0" w:space="0" w:color="auto"/>
        <w:bottom w:val="none" w:sz="0" w:space="0" w:color="auto"/>
        <w:right w:val="none" w:sz="0" w:space="0" w:color="auto"/>
      </w:divBdr>
    </w:div>
    <w:div w:id="256640085">
      <w:bodyDiv w:val="1"/>
      <w:marLeft w:val="0"/>
      <w:marRight w:val="0"/>
      <w:marTop w:val="0"/>
      <w:marBottom w:val="0"/>
      <w:divBdr>
        <w:top w:val="none" w:sz="0" w:space="0" w:color="auto"/>
        <w:left w:val="none" w:sz="0" w:space="0" w:color="auto"/>
        <w:bottom w:val="none" w:sz="0" w:space="0" w:color="auto"/>
        <w:right w:val="none" w:sz="0" w:space="0" w:color="auto"/>
      </w:divBdr>
    </w:div>
    <w:div w:id="257564510">
      <w:bodyDiv w:val="1"/>
      <w:marLeft w:val="0"/>
      <w:marRight w:val="0"/>
      <w:marTop w:val="0"/>
      <w:marBottom w:val="0"/>
      <w:divBdr>
        <w:top w:val="none" w:sz="0" w:space="0" w:color="auto"/>
        <w:left w:val="none" w:sz="0" w:space="0" w:color="auto"/>
        <w:bottom w:val="none" w:sz="0" w:space="0" w:color="auto"/>
        <w:right w:val="none" w:sz="0" w:space="0" w:color="auto"/>
      </w:divBdr>
    </w:div>
    <w:div w:id="257953911">
      <w:bodyDiv w:val="1"/>
      <w:marLeft w:val="0"/>
      <w:marRight w:val="0"/>
      <w:marTop w:val="0"/>
      <w:marBottom w:val="0"/>
      <w:divBdr>
        <w:top w:val="none" w:sz="0" w:space="0" w:color="auto"/>
        <w:left w:val="none" w:sz="0" w:space="0" w:color="auto"/>
        <w:bottom w:val="none" w:sz="0" w:space="0" w:color="auto"/>
        <w:right w:val="none" w:sz="0" w:space="0" w:color="auto"/>
      </w:divBdr>
    </w:div>
    <w:div w:id="258023145">
      <w:bodyDiv w:val="1"/>
      <w:marLeft w:val="0"/>
      <w:marRight w:val="0"/>
      <w:marTop w:val="0"/>
      <w:marBottom w:val="0"/>
      <w:divBdr>
        <w:top w:val="none" w:sz="0" w:space="0" w:color="auto"/>
        <w:left w:val="none" w:sz="0" w:space="0" w:color="auto"/>
        <w:bottom w:val="none" w:sz="0" w:space="0" w:color="auto"/>
        <w:right w:val="none" w:sz="0" w:space="0" w:color="auto"/>
      </w:divBdr>
    </w:div>
    <w:div w:id="260069138">
      <w:bodyDiv w:val="1"/>
      <w:marLeft w:val="0"/>
      <w:marRight w:val="0"/>
      <w:marTop w:val="0"/>
      <w:marBottom w:val="0"/>
      <w:divBdr>
        <w:top w:val="none" w:sz="0" w:space="0" w:color="auto"/>
        <w:left w:val="none" w:sz="0" w:space="0" w:color="auto"/>
        <w:bottom w:val="none" w:sz="0" w:space="0" w:color="auto"/>
        <w:right w:val="none" w:sz="0" w:space="0" w:color="auto"/>
      </w:divBdr>
    </w:div>
    <w:div w:id="263659907">
      <w:bodyDiv w:val="1"/>
      <w:marLeft w:val="0"/>
      <w:marRight w:val="0"/>
      <w:marTop w:val="0"/>
      <w:marBottom w:val="0"/>
      <w:divBdr>
        <w:top w:val="none" w:sz="0" w:space="0" w:color="auto"/>
        <w:left w:val="none" w:sz="0" w:space="0" w:color="auto"/>
        <w:bottom w:val="none" w:sz="0" w:space="0" w:color="auto"/>
        <w:right w:val="none" w:sz="0" w:space="0" w:color="auto"/>
      </w:divBdr>
    </w:div>
    <w:div w:id="266930654">
      <w:bodyDiv w:val="1"/>
      <w:marLeft w:val="0"/>
      <w:marRight w:val="0"/>
      <w:marTop w:val="0"/>
      <w:marBottom w:val="0"/>
      <w:divBdr>
        <w:top w:val="none" w:sz="0" w:space="0" w:color="auto"/>
        <w:left w:val="none" w:sz="0" w:space="0" w:color="auto"/>
        <w:bottom w:val="none" w:sz="0" w:space="0" w:color="auto"/>
        <w:right w:val="none" w:sz="0" w:space="0" w:color="auto"/>
      </w:divBdr>
    </w:div>
    <w:div w:id="267199818">
      <w:bodyDiv w:val="1"/>
      <w:marLeft w:val="0"/>
      <w:marRight w:val="0"/>
      <w:marTop w:val="0"/>
      <w:marBottom w:val="0"/>
      <w:divBdr>
        <w:top w:val="none" w:sz="0" w:space="0" w:color="auto"/>
        <w:left w:val="none" w:sz="0" w:space="0" w:color="auto"/>
        <w:bottom w:val="none" w:sz="0" w:space="0" w:color="auto"/>
        <w:right w:val="none" w:sz="0" w:space="0" w:color="auto"/>
      </w:divBdr>
    </w:div>
    <w:div w:id="269558171">
      <w:bodyDiv w:val="1"/>
      <w:marLeft w:val="0"/>
      <w:marRight w:val="0"/>
      <w:marTop w:val="0"/>
      <w:marBottom w:val="0"/>
      <w:divBdr>
        <w:top w:val="none" w:sz="0" w:space="0" w:color="auto"/>
        <w:left w:val="none" w:sz="0" w:space="0" w:color="auto"/>
        <w:bottom w:val="none" w:sz="0" w:space="0" w:color="auto"/>
        <w:right w:val="none" w:sz="0" w:space="0" w:color="auto"/>
      </w:divBdr>
    </w:div>
    <w:div w:id="276957328">
      <w:bodyDiv w:val="1"/>
      <w:marLeft w:val="0"/>
      <w:marRight w:val="0"/>
      <w:marTop w:val="0"/>
      <w:marBottom w:val="0"/>
      <w:divBdr>
        <w:top w:val="none" w:sz="0" w:space="0" w:color="auto"/>
        <w:left w:val="none" w:sz="0" w:space="0" w:color="auto"/>
        <w:bottom w:val="none" w:sz="0" w:space="0" w:color="auto"/>
        <w:right w:val="none" w:sz="0" w:space="0" w:color="auto"/>
      </w:divBdr>
    </w:div>
    <w:div w:id="277835049">
      <w:bodyDiv w:val="1"/>
      <w:marLeft w:val="0"/>
      <w:marRight w:val="0"/>
      <w:marTop w:val="0"/>
      <w:marBottom w:val="0"/>
      <w:divBdr>
        <w:top w:val="none" w:sz="0" w:space="0" w:color="auto"/>
        <w:left w:val="none" w:sz="0" w:space="0" w:color="auto"/>
        <w:bottom w:val="none" w:sz="0" w:space="0" w:color="auto"/>
        <w:right w:val="none" w:sz="0" w:space="0" w:color="auto"/>
      </w:divBdr>
    </w:div>
    <w:div w:id="278345317">
      <w:bodyDiv w:val="1"/>
      <w:marLeft w:val="0"/>
      <w:marRight w:val="0"/>
      <w:marTop w:val="0"/>
      <w:marBottom w:val="0"/>
      <w:divBdr>
        <w:top w:val="none" w:sz="0" w:space="0" w:color="auto"/>
        <w:left w:val="none" w:sz="0" w:space="0" w:color="auto"/>
        <w:bottom w:val="none" w:sz="0" w:space="0" w:color="auto"/>
        <w:right w:val="none" w:sz="0" w:space="0" w:color="auto"/>
      </w:divBdr>
    </w:div>
    <w:div w:id="278613484">
      <w:bodyDiv w:val="1"/>
      <w:marLeft w:val="0"/>
      <w:marRight w:val="0"/>
      <w:marTop w:val="0"/>
      <w:marBottom w:val="0"/>
      <w:divBdr>
        <w:top w:val="none" w:sz="0" w:space="0" w:color="auto"/>
        <w:left w:val="none" w:sz="0" w:space="0" w:color="auto"/>
        <w:bottom w:val="none" w:sz="0" w:space="0" w:color="auto"/>
        <w:right w:val="none" w:sz="0" w:space="0" w:color="auto"/>
      </w:divBdr>
    </w:div>
    <w:div w:id="278949850">
      <w:bodyDiv w:val="1"/>
      <w:marLeft w:val="0"/>
      <w:marRight w:val="0"/>
      <w:marTop w:val="0"/>
      <w:marBottom w:val="0"/>
      <w:divBdr>
        <w:top w:val="none" w:sz="0" w:space="0" w:color="auto"/>
        <w:left w:val="none" w:sz="0" w:space="0" w:color="auto"/>
        <w:bottom w:val="none" w:sz="0" w:space="0" w:color="auto"/>
        <w:right w:val="none" w:sz="0" w:space="0" w:color="auto"/>
      </w:divBdr>
    </w:div>
    <w:div w:id="280264190">
      <w:bodyDiv w:val="1"/>
      <w:marLeft w:val="0"/>
      <w:marRight w:val="0"/>
      <w:marTop w:val="0"/>
      <w:marBottom w:val="0"/>
      <w:divBdr>
        <w:top w:val="none" w:sz="0" w:space="0" w:color="auto"/>
        <w:left w:val="none" w:sz="0" w:space="0" w:color="auto"/>
        <w:bottom w:val="none" w:sz="0" w:space="0" w:color="auto"/>
        <w:right w:val="none" w:sz="0" w:space="0" w:color="auto"/>
      </w:divBdr>
    </w:div>
    <w:div w:id="281765269">
      <w:bodyDiv w:val="1"/>
      <w:marLeft w:val="0"/>
      <w:marRight w:val="0"/>
      <w:marTop w:val="0"/>
      <w:marBottom w:val="0"/>
      <w:divBdr>
        <w:top w:val="none" w:sz="0" w:space="0" w:color="auto"/>
        <w:left w:val="none" w:sz="0" w:space="0" w:color="auto"/>
        <w:bottom w:val="none" w:sz="0" w:space="0" w:color="auto"/>
        <w:right w:val="none" w:sz="0" w:space="0" w:color="auto"/>
      </w:divBdr>
    </w:div>
    <w:div w:id="292978119">
      <w:bodyDiv w:val="1"/>
      <w:marLeft w:val="0"/>
      <w:marRight w:val="0"/>
      <w:marTop w:val="0"/>
      <w:marBottom w:val="0"/>
      <w:divBdr>
        <w:top w:val="none" w:sz="0" w:space="0" w:color="auto"/>
        <w:left w:val="none" w:sz="0" w:space="0" w:color="auto"/>
        <w:bottom w:val="none" w:sz="0" w:space="0" w:color="auto"/>
        <w:right w:val="none" w:sz="0" w:space="0" w:color="auto"/>
      </w:divBdr>
    </w:div>
    <w:div w:id="298657288">
      <w:bodyDiv w:val="1"/>
      <w:marLeft w:val="0"/>
      <w:marRight w:val="0"/>
      <w:marTop w:val="0"/>
      <w:marBottom w:val="0"/>
      <w:divBdr>
        <w:top w:val="none" w:sz="0" w:space="0" w:color="auto"/>
        <w:left w:val="none" w:sz="0" w:space="0" w:color="auto"/>
        <w:bottom w:val="none" w:sz="0" w:space="0" w:color="auto"/>
        <w:right w:val="none" w:sz="0" w:space="0" w:color="auto"/>
      </w:divBdr>
    </w:div>
    <w:div w:id="299312574">
      <w:bodyDiv w:val="1"/>
      <w:marLeft w:val="0"/>
      <w:marRight w:val="0"/>
      <w:marTop w:val="0"/>
      <w:marBottom w:val="0"/>
      <w:divBdr>
        <w:top w:val="none" w:sz="0" w:space="0" w:color="auto"/>
        <w:left w:val="none" w:sz="0" w:space="0" w:color="auto"/>
        <w:bottom w:val="none" w:sz="0" w:space="0" w:color="auto"/>
        <w:right w:val="none" w:sz="0" w:space="0" w:color="auto"/>
      </w:divBdr>
    </w:div>
    <w:div w:id="316613482">
      <w:bodyDiv w:val="1"/>
      <w:marLeft w:val="0"/>
      <w:marRight w:val="0"/>
      <w:marTop w:val="0"/>
      <w:marBottom w:val="0"/>
      <w:divBdr>
        <w:top w:val="none" w:sz="0" w:space="0" w:color="auto"/>
        <w:left w:val="none" w:sz="0" w:space="0" w:color="auto"/>
        <w:bottom w:val="none" w:sz="0" w:space="0" w:color="auto"/>
        <w:right w:val="none" w:sz="0" w:space="0" w:color="auto"/>
      </w:divBdr>
    </w:div>
    <w:div w:id="316763952">
      <w:bodyDiv w:val="1"/>
      <w:marLeft w:val="0"/>
      <w:marRight w:val="0"/>
      <w:marTop w:val="0"/>
      <w:marBottom w:val="0"/>
      <w:divBdr>
        <w:top w:val="none" w:sz="0" w:space="0" w:color="auto"/>
        <w:left w:val="none" w:sz="0" w:space="0" w:color="auto"/>
        <w:bottom w:val="none" w:sz="0" w:space="0" w:color="auto"/>
        <w:right w:val="none" w:sz="0" w:space="0" w:color="auto"/>
      </w:divBdr>
    </w:div>
    <w:div w:id="325868641">
      <w:bodyDiv w:val="1"/>
      <w:marLeft w:val="0"/>
      <w:marRight w:val="0"/>
      <w:marTop w:val="0"/>
      <w:marBottom w:val="0"/>
      <w:divBdr>
        <w:top w:val="none" w:sz="0" w:space="0" w:color="auto"/>
        <w:left w:val="none" w:sz="0" w:space="0" w:color="auto"/>
        <w:bottom w:val="none" w:sz="0" w:space="0" w:color="auto"/>
        <w:right w:val="none" w:sz="0" w:space="0" w:color="auto"/>
      </w:divBdr>
    </w:div>
    <w:div w:id="328682532">
      <w:bodyDiv w:val="1"/>
      <w:marLeft w:val="0"/>
      <w:marRight w:val="0"/>
      <w:marTop w:val="0"/>
      <w:marBottom w:val="0"/>
      <w:divBdr>
        <w:top w:val="none" w:sz="0" w:space="0" w:color="auto"/>
        <w:left w:val="none" w:sz="0" w:space="0" w:color="auto"/>
        <w:bottom w:val="none" w:sz="0" w:space="0" w:color="auto"/>
        <w:right w:val="none" w:sz="0" w:space="0" w:color="auto"/>
      </w:divBdr>
    </w:div>
    <w:div w:id="334693472">
      <w:bodyDiv w:val="1"/>
      <w:marLeft w:val="0"/>
      <w:marRight w:val="0"/>
      <w:marTop w:val="0"/>
      <w:marBottom w:val="0"/>
      <w:divBdr>
        <w:top w:val="none" w:sz="0" w:space="0" w:color="auto"/>
        <w:left w:val="none" w:sz="0" w:space="0" w:color="auto"/>
        <w:bottom w:val="none" w:sz="0" w:space="0" w:color="auto"/>
        <w:right w:val="none" w:sz="0" w:space="0" w:color="auto"/>
      </w:divBdr>
    </w:div>
    <w:div w:id="336033221">
      <w:bodyDiv w:val="1"/>
      <w:marLeft w:val="0"/>
      <w:marRight w:val="0"/>
      <w:marTop w:val="0"/>
      <w:marBottom w:val="0"/>
      <w:divBdr>
        <w:top w:val="none" w:sz="0" w:space="0" w:color="auto"/>
        <w:left w:val="none" w:sz="0" w:space="0" w:color="auto"/>
        <w:bottom w:val="none" w:sz="0" w:space="0" w:color="auto"/>
        <w:right w:val="none" w:sz="0" w:space="0" w:color="auto"/>
      </w:divBdr>
    </w:div>
    <w:div w:id="339427707">
      <w:bodyDiv w:val="1"/>
      <w:marLeft w:val="0"/>
      <w:marRight w:val="0"/>
      <w:marTop w:val="0"/>
      <w:marBottom w:val="0"/>
      <w:divBdr>
        <w:top w:val="none" w:sz="0" w:space="0" w:color="auto"/>
        <w:left w:val="none" w:sz="0" w:space="0" w:color="auto"/>
        <w:bottom w:val="none" w:sz="0" w:space="0" w:color="auto"/>
        <w:right w:val="none" w:sz="0" w:space="0" w:color="auto"/>
      </w:divBdr>
    </w:div>
    <w:div w:id="341786275">
      <w:bodyDiv w:val="1"/>
      <w:marLeft w:val="0"/>
      <w:marRight w:val="0"/>
      <w:marTop w:val="0"/>
      <w:marBottom w:val="0"/>
      <w:divBdr>
        <w:top w:val="none" w:sz="0" w:space="0" w:color="auto"/>
        <w:left w:val="none" w:sz="0" w:space="0" w:color="auto"/>
        <w:bottom w:val="none" w:sz="0" w:space="0" w:color="auto"/>
        <w:right w:val="none" w:sz="0" w:space="0" w:color="auto"/>
      </w:divBdr>
    </w:div>
    <w:div w:id="343213227">
      <w:bodyDiv w:val="1"/>
      <w:marLeft w:val="0"/>
      <w:marRight w:val="0"/>
      <w:marTop w:val="0"/>
      <w:marBottom w:val="0"/>
      <w:divBdr>
        <w:top w:val="none" w:sz="0" w:space="0" w:color="auto"/>
        <w:left w:val="none" w:sz="0" w:space="0" w:color="auto"/>
        <w:bottom w:val="none" w:sz="0" w:space="0" w:color="auto"/>
        <w:right w:val="none" w:sz="0" w:space="0" w:color="auto"/>
      </w:divBdr>
    </w:div>
    <w:div w:id="345521011">
      <w:bodyDiv w:val="1"/>
      <w:marLeft w:val="0"/>
      <w:marRight w:val="0"/>
      <w:marTop w:val="0"/>
      <w:marBottom w:val="0"/>
      <w:divBdr>
        <w:top w:val="none" w:sz="0" w:space="0" w:color="auto"/>
        <w:left w:val="none" w:sz="0" w:space="0" w:color="auto"/>
        <w:bottom w:val="none" w:sz="0" w:space="0" w:color="auto"/>
        <w:right w:val="none" w:sz="0" w:space="0" w:color="auto"/>
      </w:divBdr>
    </w:div>
    <w:div w:id="346374236">
      <w:bodyDiv w:val="1"/>
      <w:marLeft w:val="0"/>
      <w:marRight w:val="0"/>
      <w:marTop w:val="0"/>
      <w:marBottom w:val="0"/>
      <w:divBdr>
        <w:top w:val="none" w:sz="0" w:space="0" w:color="auto"/>
        <w:left w:val="none" w:sz="0" w:space="0" w:color="auto"/>
        <w:bottom w:val="none" w:sz="0" w:space="0" w:color="auto"/>
        <w:right w:val="none" w:sz="0" w:space="0" w:color="auto"/>
      </w:divBdr>
    </w:div>
    <w:div w:id="349452766">
      <w:bodyDiv w:val="1"/>
      <w:marLeft w:val="0"/>
      <w:marRight w:val="0"/>
      <w:marTop w:val="0"/>
      <w:marBottom w:val="0"/>
      <w:divBdr>
        <w:top w:val="none" w:sz="0" w:space="0" w:color="auto"/>
        <w:left w:val="none" w:sz="0" w:space="0" w:color="auto"/>
        <w:bottom w:val="none" w:sz="0" w:space="0" w:color="auto"/>
        <w:right w:val="none" w:sz="0" w:space="0" w:color="auto"/>
      </w:divBdr>
    </w:div>
    <w:div w:id="352607551">
      <w:bodyDiv w:val="1"/>
      <w:marLeft w:val="0"/>
      <w:marRight w:val="0"/>
      <w:marTop w:val="0"/>
      <w:marBottom w:val="0"/>
      <w:divBdr>
        <w:top w:val="none" w:sz="0" w:space="0" w:color="auto"/>
        <w:left w:val="none" w:sz="0" w:space="0" w:color="auto"/>
        <w:bottom w:val="none" w:sz="0" w:space="0" w:color="auto"/>
        <w:right w:val="none" w:sz="0" w:space="0" w:color="auto"/>
      </w:divBdr>
    </w:div>
    <w:div w:id="353964439">
      <w:bodyDiv w:val="1"/>
      <w:marLeft w:val="0"/>
      <w:marRight w:val="0"/>
      <w:marTop w:val="0"/>
      <w:marBottom w:val="0"/>
      <w:divBdr>
        <w:top w:val="none" w:sz="0" w:space="0" w:color="auto"/>
        <w:left w:val="none" w:sz="0" w:space="0" w:color="auto"/>
        <w:bottom w:val="none" w:sz="0" w:space="0" w:color="auto"/>
        <w:right w:val="none" w:sz="0" w:space="0" w:color="auto"/>
      </w:divBdr>
    </w:div>
    <w:div w:id="355162616">
      <w:bodyDiv w:val="1"/>
      <w:marLeft w:val="0"/>
      <w:marRight w:val="0"/>
      <w:marTop w:val="0"/>
      <w:marBottom w:val="0"/>
      <w:divBdr>
        <w:top w:val="none" w:sz="0" w:space="0" w:color="auto"/>
        <w:left w:val="none" w:sz="0" w:space="0" w:color="auto"/>
        <w:bottom w:val="none" w:sz="0" w:space="0" w:color="auto"/>
        <w:right w:val="none" w:sz="0" w:space="0" w:color="auto"/>
      </w:divBdr>
    </w:div>
    <w:div w:id="355425920">
      <w:bodyDiv w:val="1"/>
      <w:marLeft w:val="0"/>
      <w:marRight w:val="0"/>
      <w:marTop w:val="0"/>
      <w:marBottom w:val="0"/>
      <w:divBdr>
        <w:top w:val="none" w:sz="0" w:space="0" w:color="auto"/>
        <w:left w:val="none" w:sz="0" w:space="0" w:color="auto"/>
        <w:bottom w:val="none" w:sz="0" w:space="0" w:color="auto"/>
        <w:right w:val="none" w:sz="0" w:space="0" w:color="auto"/>
      </w:divBdr>
    </w:div>
    <w:div w:id="355549050">
      <w:bodyDiv w:val="1"/>
      <w:marLeft w:val="0"/>
      <w:marRight w:val="0"/>
      <w:marTop w:val="0"/>
      <w:marBottom w:val="0"/>
      <w:divBdr>
        <w:top w:val="none" w:sz="0" w:space="0" w:color="auto"/>
        <w:left w:val="none" w:sz="0" w:space="0" w:color="auto"/>
        <w:bottom w:val="none" w:sz="0" w:space="0" w:color="auto"/>
        <w:right w:val="none" w:sz="0" w:space="0" w:color="auto"/>
      </w:divBdr>
    </w:div>
    <w:div w:id="359210404">
      <w:bodyDiv w:val="1"/>
      <w:marLeft w:val="0"/>
      <w:marRight w:val="0"/>
      <w:marTop w:val="0"/>
      <w:marBottom w:val="0"/>
      <w:divBdr>
        <w:top w:val="none" w:sz="0" w:space="0" w:color="auto"/>
        <w:left w:val="none" w:sz="0" w:space="0" w:color="auto"/>
        <w:bottom w:val="none" w:sz="0" w:space="0" w:color="auto"/>
        <w:right w:val="none" w:sz="0" w:space="0" w:color="auto"/>
      </w:divBdr>
    </w:div>
    <w:div w:id="364720103">
      <w:bodyDiv w:val="1"/>
      <w:marLeft w:val="0"/>
      <w:marRight w:val="0"/>
      <w:marTop w:val="0"/>
      <w:marBottom w:val="0"/>
      <w:divBdr>
        <w:top w:val="none" w:sz="0" w:space="0" w:color="auto"/>
        <w:left w:val="none" w:sz="0" w:space="0" w:color="auto"/>
        <w:bottom w:val="none" w:sz="0" w:space="0" w:color="auto"/>
        <w:right w:val="none" w:sz="0" w:space="0" w:color="auto"/>
      </w:divBdr>
    </w:div>
    <w:div w:id="365519565">
      <w:bodyDiv w:val="1"/>
      <w:marLeft w:val="0"/>
      <w:marRight w:val="0"/>
      <w:marTop w:val="0"/>
      <w:marBottom w:val="0"/>
      <w:divBdr>
        <w:top w:val="none" w:sz="0" w:space="0" w:color="auto"/>
        <w:left w:val="none" w:sz="0" w:space="0" w:color="auto"/>
        <w:bottom w:val="none" w:sz="0" w:space="0" w:color="auto"/>
        <w:right w:val="none" w:sz="0" w:space="0" w:color="auto"/>
      </w:divBdr>
    </w:div>
    <w:div w:id="369691723">
      <w:bodyDiv w:val="1"/>
      <w:marLeft w:val="0"/>
      <w:marRight w:val="0"/>
      <w:marTop w:val="0"/>
      <w:marBottom w:val="0"/>
      <w:divBdr>
        <w:top w:val="none" w:sz="0" w:space="0" w:color="auto"/>
        <w:left w:val="none" w:sz="0" w:space="0" w:color="auto"/>
        <w:bottom w:val="none" w:sz="0" w:space="0" w:color="auto"/>
        <w:right w:val="none" w:sz="0" w:space="0" w:color="auto"/>
      </w:divBdr>
    </w:div>
    <w:div w:id="372653801">
      <w:bodyDiv w:val="1"/>
      <w:marLeft w:val="0"/>
      <w:marRight w:val="0"/>
      <w:marTop w:val="0"/>
      <w:marBottom w:val="0"/>
      <w:divBdr>
        <w:top w:val="none" w:sz="0" w:space="0" w:color="auto"/>
        <w:left w:val="none" w:sz="0" w:space="0" w:color="auto"/>
        <w:bottom w:val="none" w:sz="0" w:space="0" w:color="auto"/>
        <w:right w:val="none" w:sz="0" w:space="0" w:color="auto"/>
      </w:divBdr>
    </w:div>
    <w:div w:id="373165481">
      <w:bodyDiv w:val="1"/>
      <w:marLeft w:val="0"/>
      <w:marRight w:val="0"/>
      <w:marTop w:val="0"/>
      <w:marBottom w:val="0"/>
      <w:divBdr>
        <w:top w:val="none" w:sz="0" w:space="0" w:color="auto"/>
        <w:left w:val="none" w:sz="0" w:space="0" w:color="auto"/>
        <w:bottom w:val="none" w:sz="0" w:space="0" w:color="auto"/>
        <w:right w:val="none" w:sz="0" w:space="0" w:color="auto"/>
      </w:divBdr>
    </w:div>
    <w:div w:id="382095220">
      <w:bodyDiv w:val="1"/>
      <w:marLeft w:val="0"/>
      <w:marRight w:val="0"/>
      <w:marTop w:val="0"/>
      <w:marBottom w:val="0"/>
      <w:divBdr>
        <w:top w:val="none" w:sz="0" w:space="0" w:color="auto"/>
        <w:left w:val="none" w:sz="0" w:space="0" w:color="auto"/>
        <w:bottom w:val="none" w:sz="0" w:space="0" w:color="auto"/>
        <w:right w:val="none" w:sz="0" w:space="0" w:color="auto"/>
      </w:divBdr>
    </w:div>
    <w:div w:id="391193869">
      <w:bodyDiv w:val="1"/>
      <w:marLeft w:val="0"/>
      <w:marRight w:val="0"/>
      <w:marTop w:val="0"/>
      <w:marBottom w:val="0"/>
      <w:divBdr>
        <w:top w:val="none" w:sz="0" w:space="0" w:color="auto"/>
        <w:left w:val="none" w:sz="0" w:space="0" w:color="auto"/>
        <w:bottom w:val="none" w:sz="0" w:space="0" w:color="auto"/>
        <w:right w:val="none" w:sz="0" w:space="0" w:color="auto"/>
      </w:divBdr>
    </w:div>
    <w:div w:id="397174506">
      <w:bodyDiv w:val="1"/>
      <w:marLeft w:val="0"/>
      <w:marRight w:val="0"/>
      <w:marTop w:val="0"/>
      <w:marBottom w:val="0"/>
      <w:divBdr>
        <w:top w:val="none" w:sz="0" w:space="0" w:color="auto"/>
        <w:left w:val="none" w:sz="0" w:space="0" w:color="auto"/>
        <w:bottom w:val="none" w:sz="0" w:space="0" w:color="auto"/>
        <w:right w:val="none" w:sz="0" w:space="0" w:color="auto"/>
      </w:divBdr>
    </w:div>
    <w:div w:id="401560797">
      <w:bodyDiv w:val="1"/>
      <w:marLeft w:val="0"/>
      <w:marRight w:val="0"/>
      <w:marTop w:val="0"/>
      <w:marBottom w:val="0"/>
      <w:divBdr>
        <w:top w:val="none" w:sz="0" w:space="0" w:color="auto"/>
        <w:left w:val="none" w:sz="0" w:space="0" w:color="auto"/>
        <w:bottom w:val="none" w:sz="0" w:space="0" w:color="auto"/>
        <w:right w:val="none" w:sz="0" w:space="0" w:color="auto"/>
      </w:divBdr>
    </w:div>
    <w:div w:id="407116401">
      <w:bodyDiv w:val="1"/>
      <w:marLeft w:val="0"/>
      <w:marRight w:val="0"/>
      <w:marTop w:val="0"/>
      <w:marBottom w:val="0"/>
      <w:divBdr>
        <w:top w:val="none" w:sz="0" w:space="0" w:color="auto"/>
        <w:left w:val="none" w:sz="0" w:space="0" w:color="auto"/>
        <w:bottom w:val="none" w:sz="0" w:space="0" w:color="auto"/>
        <w:right w:val="none" w:sz="0" w:space="0" w:color="auto"/>
      </w:divBdr>
    </w:div>
    <w:div w:id="407192260">
      <w:bodyDiv w:val="1"/>
      <w:marLeft w:val="0"/>
      <w:marRight w:val="0"/>
      <w:marTop w:val="0"/>
      <w:marBottom w:val="0"/>
      <w:divBdr>
        <w:top w:val="none" w:sz="0" w:space="0" w:color="auto"/>
        <w:left w:val="none" w:sz="0" w:space="0" w:color="auto"/>
        <w:bottom w:val="none" w:sz="0" w:space="0" w:color="auto"/>
        <w:right w:val="none" w:sz="0" w:space="0" w:color="auto"/>
      </w:divBdr>
    </w:div>
    <w:div w:id="411006406">
      <w:bodyDiv w:val="1"/>
      <w:marLeft w:val="0"/>
      <w:marRight w:val="0"/>
      <w:marTop w:val="0"/>
      <w:marBottom w:val="0"/>
      <w:divBdr>
        <w:top w:val="none" w:sz="0" w:space="0" w:color="auto"/>
        <w:left w:val="none" w:sz="0" w:space="0" w:color="auto"/>
        <w:bottom w:val="none" w:sz="0" w:space="0" w:color="auto"/>
        <w:right w:val="none" w:sz="0" w:space="0" w:color="auto"/>
      </w:divBdr>
    </w:div>
    <w:div w:id="412899503">
      <w:bodyDiv w:val="1"/>
      <w:marLeft w:val="0"/>
      <w:marRight w:val="0"/>
      <w:marTop w:val="0"/>
      <w:marBottom w:val="0"/>
      <w:divBdr>
        <w:top w:val="none" w:sz="0" w:space="0" w:color="auto"/>
        <w:left w:val="none" w:sz="0" w:space="0" w:color="auto"/>
        <w:bottom w:val="none" w:sz="0" w:space="0" w:color="auto"/>
        <w:right w:val="none" w:sz="0" w:space="0" w:color="auto"/>
      </w:divBdr>
    </w:div>
    <w:div w:id="416294098">
      <w:bodyDiv w:val="1"/>
      <w:marLeft w:val="0"/>
      <w:marRight w:val="0"/>
      <w:marTop w:val="0"/>
      <w:marBottom w:val="0"/>
      <w:divBdr>
        <w:top w:val="none" w:sz="0" w:space="0" w:color="auto"/>
        <w:left w:val="none" w:sz="0" w:space="0" w:color="auto"/>
        <w:bottom w:val="none" w:sz="0" w:space="0" w:color="auto"/>
        <w:right w:val="none" w:sz="0" w:space="0" w:color="auto"/>
      </w:divBdr>
    </w:div>
    <w:div w:id="417026086">
      <w:bodyDiv w:val="1"/>
      <w:marLeft w:val="0"/>
      <w:marRight w:val="0"/>
      <w:marTop w:val="0"/>
      <w:marBottom w:val="0"/>
      <w:divBdr>
        <w:top w:val="none" w:sz="0" w:space="0" w:color="auto"/>
        <w:left w:val="none" w:sz="0" w:space="0" w:color="auto"/>
        <w:bottom w:val="none" w:sz="0" w:space="0" w:color="auto"/>
        <w:right w:val="none" w:sz="0" w:space="0" w:color="auto"/>
      </w:divBdr>
    </w:div>
    <w:div w:id="418796942">
      <w:bodyDiv w:val="1"/>
      <w:marLeft w:val="0"/>
      <w:marRight w:val="0"/>
      <w:marTop w:val="0"/>
      <w:marBottom w:val="0"/>
      <w:divBdr>
        <w:top w:val="none" w:sz="0" w:space="0" w:color="auto"/>
        <w:left w:val="none" w:sz="0" w:space="0" w:color="auto"/>
        <w:bottom w:val="none" w:sz="0" w:space="0" w:color="auto"/>
        <w:right w:val="none" w:sz="0" w:space="0" w:color="auto"/>
      </w:divBdr>
    </w:div>
    <w:div w:id="421413601">
      <w:bodyDiv w:val="1"/>
      <w:marLeft w:val="0"/>
      <w:marRight w:val="0"/>
      <w:marTop w:val="0"/>
      <w:marBottom w:val="0"/>
      <w:divBdr>
        <w:top w:val="none" w:sz="0" w:space="0" w:color="auto"/>
        <w:left w:val="none" w:sz="0" w:space="0" w:color="auto"/>
        <w:bottom w:val="none" w:sz="0" w:space="0" w:color="auto"/>
        <w:right w:val="none" w:sz="0" w:space="0" w:color="auto"/>
      </w:divBdr>
    </w:div>
    <w:div w:id="422143958">
      <w:bodyDiv w:val="1"/>
      <w:marLeft w:val="0"/>
      <w:marRight w:val="0"/>
      <w:marTop w:val="0"/>
      <w:marBottom w:val="0"/>
      <w:divBdr>
        <w:top w:val="none" w:sz="0" w:space="0" w:color="auto"/>
        <w:left w:val="none" w:sz="0" w:space="0" w:color="auto"/>
        <w:bottom w:val="none" w:sz="0" w:space="0" w:color="auto"/>
        <w:right w:val="none" w:sz="0" w:space="0" w:color="auto"/>
      </w:divBdr>
    </w:div>
    <w:div w:id="430512100">
      <w:bodyDiv w:val="1"/>
      <w:marLeft w:val="0"/>
      <w:marRight w:val="0"/>
      <w:marTop w:val="0"/>
      <w:marBottom w:val="0"/>
      <w:divBdr>
        <w:top w:val="none" w:sz="0" w:space="0" w:color="auto"/>
        <w:left w:val="none" w:sz="0" w:space="0" w:color="auto"/>
        <w:bottom w:val="none" w:sz="0" w:space="0" w:color="auto"/>
        <w:right w:val="none" w:sz="0" w:space="0" w:color="auto"/>
      </w:divBdr>
    </w:div>
    <w:div w:id="430930357">
      <w:bodyDiv w:val="1"/>
      <w:marLeft w:val="0"/>
      <w:marRight w:val="0"/>
      <w:marTop w:val="0"/>
      <w:marBottom w:val="0"/>
      <w:divBdr>
        <w:top w:val="none" w:sz="0" w:space="0" w:color="auto"/>
        <w:left w:val="none" w:sz="0" w:space="0" w:color="auto"/>
        <w:bottom w:val="none" w:sz="0" w:space="0" w:color="auto"/>
        <w:right w:val="none" w:sz="0" w:space="0" w:color="auto"/>
      </w:divBdr>
    </w:div>
    <w:div w:id="432747526">
      <w:bodyDiv w:val="1"/>
      <w:marLeft w:val="0"/>
      <w:marRight w:val="0"/>
      <w:marTop w:val="0"/>
      <w:marBottom w:val="0"/>
      <w:divBdr>
        <w:top w:val="none" w:sz="0" w:space="0" w:color="auto"/>
        <w:left w:val="none" w:sz="0" w:space="0" w:color="auto"/>
        <w:bottom w:val="none" w:sz="0" w:space="0" w:color="auto"/>
        <w:right w:val="none" w:sz="0" w:space="0" w:color="auto"/>
      </w:divBdr>
    </w:div>
    <w:div w:id="435321815">
      <w:bodyDiv w:val="1"/>
      <w:marLeft w:val="0"/>
      <w:marRight w:val="0"/>
      <w:marTop w:val="0"/>
      <w:marBottom w:val="0"/>
      <w:divBdr>
        <w:top w:val="none" w:sz="0" w:space="0" w:color="auto"/>
        <w:left w:val="none" w:sz="0" w:space="0" w:color="auto"/>
        <w:bottom w:val="none" w:sz="0" w:space="0" w:color="auto"/>
        <w:right w:val="none" w:sz="0" w:space="0" w:color="auto"/>
      </w:divBdr>
    </w:div>
    <w:div w:id="435366397">
      <w:bodyDiv w:val="1"/>
      <w:marLeft w:val="0"/>
      <w:marRight w:val="0"/>
      <w:marTop w:val="0"/>
      <w:marBottom w:val="0"/>
      <w:divBdr>
        <w:top w:val="none" w:sz="0" w:space="0" w:color="auto"/>
        <w:left w:val="none" w:sz="0" w:space="0" w:color="auto"/>
        <w:bottom w:val="none" w:sz="0" w:space="0" w:color="auto"/>
        <w:right w:val="none" w:sz="0" w:space="0" w:color="auto"/>
      </w:divBdr>
    </w:div>
    <w:div w:id="435370057">
      <w:bodyDiv w:val="1"/>
      <w:marLeft w:val="0"/>
      <w:marRight w:val="0"/>
      <w:marTop w:val="0"/>
      <w:marBottom w:val="0"/>
      <w:divBdr>
        <w:top w:val="none" w:sz="0" w:space="0" w:color="auto"/>
        <w:left w:val="none" w:sz="0" w:space="0" w:color="auto"/>
        <w:bottom w:val="none" w:sz="0" w:space="0" w:color="auto"/>
        <w:right w:val="none" w:sz="0" w:space="0" w:color="auto"/>
      </w:divBdr>
    </w:div>
    <w:div w:id="439960833">
      <w:bodyDiv w:val="1"/>
      <w:marLeft w:val="0"/>
      <w:marRight w:val="0"/>
      <w:marTop w:val="0"/>
      <w:marBottom w:val="0"/>
      <w:divBdr>
        <w:top w:val="none" w:sz="0" w:space="0" w:color="auto"/>
        <w:left w:val="none" w:sz="0" w:space="0" w:color="auto"/>
        <w:bottom w:val="none" w:sz="0" w:space="0" w:color="auto"/>
        <w:right w:val="none" w:sz="0" w:space="0" w:color="auto"/>
      </w:divBdr>
    </w:div>
    <w:div w:id="446238378">
      <w:bodyDiv w:val="1"/>
      <w:marLeft w:val="0"/>
      <w:marRight w:val="0"/>
      <w:marTop w:val="0"/>
      <w:marBottom w:val="0"/>
      <w:divBdr>
        <w:top w:val="none" w:sz="0" w:space="0" w:color="auto"/>
        <w:left w:val="none" w:sz="0" w:space="0" w:color="auto"/>
        <w:bottom w:val="none" w:sz="0" w:space="0" w:color="auto"/>
        <w:right w:val="none" w:sz="0" w:space="0" w:color="auto"/>
      </w:divBdr>
    </w:div>
    <w:div w:id="446893997">
      <w:bodyDiv w:val="1"/>
      <w:marLeft w:val="0"/>
      <w:marRight w:val="0"/>
      <w:marTop w:val="0"/>
      <w:marBottom w:val="0"/>
      <w:divBdr>
        <w:top w:val="none" w:sz="0" w:space="0" w:color="auto"/>
        <w:left w:val="none" w:sz="0" w:space="0" w:color="auto"/>
        <w:bottom w:val="none" w:sz="0" w:space="0" w:color="auto"/>
        <w:right w:val="none" w:sz="0" w:space="0" w:color="auto"/>
      </w:divBdr>
    </w:div>
    <w:div w:id="450250707">
      <w:bodyDiv w:val="1"/>
      <w:marLeft w:val="0"/>
      <w:marRight w:val="0"/>
      <w:marTop w:val="0"/>
      <w:marBottom w:val="0"/>
      <w:divBdr>
        <w:top w:val="none" w:sz="0" w:space="0" w:color="auto"/>
        <w:left w:val="none" w:sz="0" w:space="0" w:color="auto"/>
        <w:bottom w:val="none" w:sz="0" w:space="0" w:color="auto"/>
        <w:right w:val="none" w:sz="0" w:space="0" w:color="auto"/>
      </w:divBdr>
    </w:div>
    <w:div w:id="453987653">
      <w:bodyDiv w:val="1"/>
      <w:marLeft w:val="0"/>
      <w:marRight w:val="0"/>
      <w:marTop w:val="0"/>
      <w:marBottom w:val="0"/>
      <w:divBdr>
        <w:top w:val="none" w:sz="0" w:space="0" w:color="auto"/>
        <w:left w:val="none" w:sz="0" w:space="0" w:color="auto"/>
        <w:bottom w:val="none" w:sz="0" w:space="0" w:color="auto"/>
        <w:right w:val="none" w:sz="0" w:space="0" w:color="auto"/>
      </w:divBdr>
    </w:div>
    <w:div w:id="456027874">
      <w:bodyDiv w:val="1"/>
      <w:marLeft w:val="0"/>
      <w:marRight w:val="0"/>
      <w:marTop w:val="0"/>
      <w:marBottom w:val="0"/>
      <w:divBdr>
        <w:top w:val="none" w:sz="0" w:space="0" w:color="auto"/>
        <w:left w:val="none" w:sz="0" w:space="0" w:color="auto"/>
        <w:bottom w:val="none" w:sz="0" w:space="0" w:color="auto"/>
        <w:right w:val="none" w:sz="0" w:space="0" w:color="auto"/>
      </w:divBdr>
    </w:div>
    <w:div w:id="457337231">
      <w:bodyDiv w:val="1"/>
      <w:marLeft w:val="0"/>
      <w:marRight w:val="0"/>
      <w:marTop w:val="0"/>
      <w:marBottom w:val="0"/>
      <w:divBdr>
        <w:top w:val="none" w:sz="0" w:space="0" w:color="auto"/>
        <w:left w:val="none" w:sz="0" w:space="0" w:color="auto"/>
        <w:bottom w:val="none" w:sz="0" w:space="0" w:color="auto"/>
        <w:right w:val="none" w:sz="0" w:space="0" w:color="auto"/>
      </w:divBdr>
    </w:div>
    <w:div w:id="461461582">
      <w:bodyDiv w:val="1"/>
      <w:marLeft w:val="0"/>
      <w:marRight w:val="0"/>
      <w:marTop w:val="0"/>
      <w:marBottom w:val="0"/>
      <w:divBdr>
        <w:top w:val="none" w:sz="0" w:space="0" w:color="auto"/>
        <w:left w:val="none" w:sz="0" w:space="0" w:color="auto"/>
        <w:bottom w:val="none" w:sz="0" w:space="0" w:color="auto"/>
        <w:right w:val="none" w:sz="0" w:space="0" w:color="auto"/>
      </w:divBdr>
    </w:div>
    <w:div w:id="463348387">
      <w:bodyDiv w:val="1"/>
      <w:marLeft w:val="0"/>
      <w:marRight w:val="0"/>
      <w:marTop w:val="0"/>
      <w:marBottom w:val="0"/>
      <w:divBdr>
        <w:top w:val="none" w:sz="0" w:space="0" w:color="auto"/>
        <w:left w:val="none" w:sz="0" w:space="0" w:color="auto"/>
        <w:bottom w:val="none" w:sz="0" w:space="0" w:color="auto"/>
        <w:right w:val="none" w:sz="0" w:space="0" w:color="auto"/>
      </w:divBdr>
    </w:div>
    <w:div w:id="463474976">
      <w:bodyDiv w:val="1"/>
      <w:marLeft w:val="0"/>
      <w:marRight w:val="0"/>
      <w:marTop w:val="0"/>
      <w:marBottom w:val="0"/>
      <w:divBdr>
        <w:top w:val="none" w:sz="0" w:space="0" w:color="auto"/>
        <w:left w:val="none" w:sz="0" w:space="0" w:color="auto"/>
        <w:bottom w:val="none" w:sz="0" w:space="0" w:color="auto"/>
        <w:right w:val="none" w:sz="0" w:space="0" w:color="auto"/>
      </w:divBdr>
    </w:div>
    <w:div w:id="467210655">
      <w:bodyDiv w:val="1"/>
      <w:marLeft w:val="0"/>
      <w:marRight w:val="0"/>
      <w:marTop w:val="0"/>
      <w:marBottom w:val="0"/>
      <w:divBdr>
        <w:top w:val="none" w:sz="0" w:space="0" w:color="auto"/>
        <w:left w:val="none" w:sz="0" w:space="0" w:color="auto"/>
        <w:bottom w:val="none" w:sz="0" w:space="0" w:color="auto"/>
        <w:right w:val="none" w:sz="0" w:space="0" w:color="auto"/>
      </w:divBdr>
    </w:div>
    <w:div w:id="467745291">
      <w:bodyDiv w:val="1"/>
      <w:marLeft w:val="0"/>
      <w:marRight w:val="0"/>
      <w:marTop w:val="0"/>
      <w:marBottom w:val="0"/>
      <w:divBdr>
        <w:top w:val="none" w:sz="0" w:space="0" w:color="auto"/>
        <w:left w:val="none" w:sz="0" w:space="0" w:color="auto"/>
        <w:bottom w:val="none" w:sz="0" w:space="0" w:color="auto"/>
        <w:right w:val="none" w:sz="0" w:space="0" w:color="auto"/>
      </w:divBdr>
    </w:div>
    <w:div w:id="471363448">
      <w:bodyDiv w:val="1"/>
      <w:marLeft w:val="0"/>
      <w:marRight w:val="0"/>
      <w:marTop w:val="0"/>
      <w:marBottom w:val="0"/>
      <w:divBdr>
        <w:top w:val="none" w:sz="0" w:space="0" w:color="auto"/>
        <w:left w:val="none" w:sz="0" w:space="0" w:color="auto"/>
        <w:bottom w:val="none" w:sz="0" w:space="0" w:color="auto"/>
        <w:right w:val="none" w:sz="0" w:space="0" w:color="auto"/>
      </w:divBdr>
    </w:div>
    <w:div w:id="473454543">
      <w:bodyDiv w:val="1"/>
      <w:marLeft w:val="0"/>
      <w:marRight w:val="0"/>
      <w:marTop w:val="0"/>
      <w:marBottom w:val="0"/>
      <w:divBdr>
        <w:top w:val="none" w:sz="0" w:space="0" w:color="auto"/>
        <w:left w:val="none" w:sz="0" w:space="0" w:color="auto"/>
        <w:bottom w:val="none" w:sz="0" w:space="0" w:color="auto"/>
        <w:right w:val="none" w:sz="0" w:space="0" w:color="auto"/>
      </w:divBdr>
    </w:div>
    <w:div w:id="474376746">
      <w:bodyDiv w:val="1"/>
      <w:marLeft w:val="0"/>
      <w:marRight w:val="0"/>
      <w:marTop w:val="0"/>
      <w:marBottom w:val="0"/>
      <w:divBdr>
        <w:top w:val="none" w:sz="0" w:space="0" w:color="auto"/>
        <w:left w:val="none" w:sz="0" w:space="0" w:color="auto"/>
        <w:bottom w:val="none" w:sz="0" w:space="0" w:color="auto"/>
        <w:right w:val="none" w:sz="0" w:space="0" w:color="auto"/>
      </w:divBdr>
    </w:div>
    <w:div w:id="478690281">
      <w:bodyDiv w:val="1"/>
      <w:marLeft w:val="0"/>
      <w:marRight w:val="0"/>
      <w:marTop w:val="0"/>
      <w:marBottom w:val="0"/>
      <w:divBdr>
        <w:top w:val="none" w:sz="0" w:space="0" w:color="auto"/>
        <w:left w:val="none" w:sz="0" w:space="0" w:color="auto"/>
        <w:bottom w:val="none" w:sz="0" w:space="0" w:color="auto"/>
        <w:right w:val="none" w:sz="0" w:space="0" w:color="auto"/>
      </w:divBdr>
    </w:div>
    <w:div w:id="485635074">
      <w:bodyDiv w:val="1"/>
      <w:marLeft w:val="0"/>
      <w:marRight w:val="0"/>
      <w:marTop w:val="0"/>
      <w:marBottom w:val="0"/>
      <w:divBdr>
        <w:top w:val="none" w:sz="0" w:space="0" w:color="auto"/>
        <w:left w:val="none" w:sz="0" w:space="0" w:color="auto"/>
        <w:bottom w:val="none" w:sz="0" w:space="0" w:color="auto"/>
        <w:right w:val="none" w:sz="0" w:space="0" w:color="auto"/>
      </w:divBdr>
    </w:div>
    <w:div w:id="489367587">
      <w:bodyDiv w:val="1"/>
      <w:marLeft w:val="0"/>
      <w:marRight w:val="0"/>
      <w:marTop w:val="0"/>
      <w:marBottom w:val="0"/>
      <w:divBdr>
        <w:top w:val="none" w:sz="0" w:space="0" w:color="auto"/>
        <w:left w:val="none" w:sz="0" w:space="0" w:color="auto"/>
        <w:bottom w:val="none" w:sz="0" w:space="0" w:color="auto"/>
        <w:right w:val="none" w:sz="0" w:space="0" w:color="auto"/>
      </w:divBdr>
    </w:div>
    <w:div w:id="490684028">
      <w:bodyDiv w:val="1"/>
      <w:marLeft w:val="0"/>
      <w:marRight w:val="0"/>
      <w:marTop w:val="0"/>
      <w:marBottom w:val="0"/>
      <w:divBdr>
        <w:top w:val="none" w:sz="0" w:space="0" w:color="auto"/>
        <w:left w:val="none" w:sz="0" w:space="0" w:color="auto"/>
        <w:bottom w:val="none" w:sz="0" w:space="0" w:color="auto"/>
        <w:right w:val="none" w:sz="0" w:space="0" w:color="auto"/>
      </w:divBdr>
    </w:div>
    <w:div w:id="495540921">
      <w:bodyDiv w:val="1"/>
      <w:marLeft w:val="0"/>
      <w:marRight w:val="0"/>
      <w:marTop w:val="0"/>
      <w:marBottom w:val="0"/>
      <w:divBdr>
        <w:top w:val="none" w:sz="0" w:space="0" w:color="auto"/>
        <w:left w:val="none" w:sz="0" w:space="0" w:color="auto"/>
        <w:bottom w:val="none" w:sz="0" w:space="0" w:color="auto"/>
        <w:right w:val="none" w:sz="0" w:space="0" w:color="auto"/>
      </w:divBdr>
    </w:div>
    <w:div w:id="498694252">
      <w:bodyDiv w:val="1"/>
      <w:marLeft w:val="0"/>
      <w:marRight w:val="0"/>
      <w:marTop w:val="0"/>
      <w:marBottom w:val="0"/>
      <w:divBdr>
        <w:top w:val="none" w:sz="0" w:space="0" w:color="auto"/>
        <w:left w:val="none" w:sz="0" w:space="0" w:color="auto"/>
        <w:bottom w:val="none" w:sz="0" w:space="0" w:color="auto"/>
        <w:right w:val="none" w:sz="0" w:space="0" w:color="auto"/>
      </w:divBdr>
    </w:div>
    <w:div w:id="500238868">
      <w:bodyDiv w:val="1"/>
      <w:marLeft w:val="0"/>
      <w:marRight w:val="0"/>
      <w:marTop w:val="0"/>
      <w:marBottom w:val="0"/>
      <w:divBdr>
        <w:top w:val="none" w:sz="0" w:space="0" w:color="auto"/>
        <w:left w:val="none" w:sz="0" w:space="0" w:color="auto"/>
        <w:bottom w:val="none" w:sz="0" w:space="0" w:color="auto"/>
        <w:right w:val="none" w:sz="0" w:space="0" w:color="auto"/>
      </w:divBdr>
    </w:div>
    <w:div w:id="505680887">
      <w:bodyDiv w:val="1"/>
      <w:marLeft w:val="0"/>
      <w:marRight w:val="0"/>
      <w:marTop w:val="0"/>
      <w:marBottom w:val="0"/>
      <w:divBdr>
        <w:top w:val="none" w:sz="0" w:space="0" w:color="auto"/>
        <w:left w:val="none" w:sz="0" w:space="0" w:color="auto"/>
        <w:bottom w:val="none" w:sz="0" w:space="0" w:color="auto"/>
        <w:right w:val="none" w:sz="0" w:space="0" w:color="auto"/>
      </w:divBdr>
    </w:div>
    <w:div w:id="507599991">
      <w:bodyDiv w:val="1"/>
      <w:marLeft w:val="0"/>
      <w:marRight w:val="0"/>
      <w:marTop w:val="0"/>
      <w:marBottom w:val="0"/>
      <w:divBdr>
        <w:top w:val="none" w:sz="0" w:space="0" w:color="auto"/>
        <w:left w:val="none" w:sz="0" w:space="0" w:color="auto"/>
        <w:bottom w:val="none" w:sz="0" w:space="0" w:color="auto"/>
        <w:right w:val="none" w:sz="0" w:space="0" w:color="auto"/>
      </w:divBdr>
    </w:div>
    <w:div w:id="508910224">
      <w:bodyDiv w:val="1"/>
      <w:marLeft w:val="0"/>
      <w:marRight w:val="0"/>
      <w:marTop w:val="0"/>
      <w:marBottom w:val="0"/>
      <w:divBdr>
        <w:top w:val="none" w:sz="0" w:space="0" w:color="auto"/>
        <w:left w:val="none" w:sz="0" w:space="0" w:color="auto"/>
        <w:bottom w:val="none" w:sz="0" w:space="0" w:color="auto"/>
        <w:right w:val="none" w:sz="0" w:space="0" w:color="auto"/>
      </w:divBdr>
    </w:div>
    <w:div w:id="510027675">
      <w:bodyDiv w:val="1"/>
      <w:marLeft w:val="0"/>
      <w:marRight w:val="0"/>
      <w:marTop w:val="0"/>
      <w:marBottom w:val="0"/>
      <w:divBdr>
        <w:top w:val="none" w:sz="0" w:space="0" w:color="auto"/>
        <w:left w:val="none" w:sz="0" w:space="0" w:color="auto"/>
        <w:bottom w:val="none" w:sz="0" w:space="0" w:color="auto"/>
        <w:right w:val="none" w:sz="0" w:space="0" w:color="auto"/>
      </w:divBdr>
    </w:div>
    <w:div w:id="513955288">
      <w:bodyDiv w:val="1"/>
      <w:marLeft w:val="0"/>
      <w:marRight w:val="0"/>
      <w:marTop w:val="0"/>
      <w:marBottom w:val="0"/>
      <w:divBdr>
        <w:top w:val="none" w:sz="0" w:space="0" w:color="auto"/>
        <w:left w:val="none" w:sz="0" w:space="0" w:color="auto"/>
        <w:bottom w:val="none" w:sz="0" w:space="0" w:color="auto"/>
        <w:right w:val="none" w:sz="0" w:space="0" w:color="auto"/>
      </w:divBdr>
    </w:div>
    <w:div w:id="515929311">
      <w:bodyDiv w:val="1"/>
      <w:marLeft w:val="0"/>
      <w:marRight w:val="0"/>
      <w:marTop w:val="0"/>
      <w:marBottom w:val="0"/>
      <w:divBdr>
        <w:top w:val="none" w:sz="0" w:space="0" w:color="auto"/>
        <w:left w:val="none" w:sz="0" w:space="0" w:color="auto"/>
        <w:bottom w:val="none" w:sz="0" w:space="0" w:color="auto"/>
        <w:right w:val="none" w:sz="0" w:space="0" w:color="auto"/>
      </w:divBdr>
    </w:div>
    <w:div w:id="517155381">
      <w:bodyDiv w:val="1"/>
      <w:marLeft w:val="0"/>
      <w:marRight w:val="0"/>
      <w:marTop w:val="0"/>
      <w:marBottom w:val="0"/>
      <w:divBdr>
        <w:top w:val="none" w:sz="0" w:space="0" w:color="auto"/>
        <w:left w:val="none" w:sz="0" w:space="0" w:color="auto"/>
        <w:bottom w:val="none" w:sz="0" w:space="0" w:color="auto"/>
        <w:right w:val="none" w:sz="0" w:space="0" w:color="auto"/>
      </w:divBdr>
    </w:div>
    <w:div w:id="517935486">
      <w:bodyDiv w:val="1"/>
      <w:marLeft w:val="0"/>
      <w:marRight w:val="0"/>
      <w:marTop w:val="0"/>
      <w:marBottom w:val="0"/>
      <w:divBdr>
        <w:top w:val="none" w:sz="0" w:space="0" w:color="auto"/>
        <w:left w:val="none" w:sz="0" w:space="0" w:color="auto"/>
        <w:bottom w:val="none" w:sz="0" w:space="0" w:color="auto"/>
        <w:right w:val="none" w:sz="0" w:space="0" w:color="auto"/>
      </w:divBdr>
    </w:div>
    <w:div w:id="522518931">
      <w:bodyDiv w:val="1"/>
      <w:marLeft w:val="0"/>
      <w:marRight w:val="0"/>
      <w:marTop w:val="0"/>
      <w:marBottom w:val="0"/>
      <w:divBdr>
        <w:top w:val="none" w:sz="0" w:space="0" w:color="auto"/>
        <w:left w:val="none" w:sz="0" w:space="0" w:color="auto"/>
        <w:bottom w:val="none" w:sz="0" w:space="0" w:color="auto"/>
        <w:right w:val="none" w:sz="0" w:space="0" w:color="auto"/>
      </w:divBdr>
    </w:div>
    <w:div w:id="522716498">
      <w:bodyDiv w:val="1"/>
      <w:marLeft w:val="0"/>
      <w:marRight w:val="0"/>
      <w:marTop w:val="0"/>
      <w:marBottom w:val="0"/>
      <w:divBdr>
        <w:top w:val="none" w:sz="0" w:space="0" w:color="auto"/>
        <w:left w:val="none" w:sz="0" w:space="0" w:color="auto"/>
        <w:bottom w:val="none" w:sz="0" w:space="0" w:color="auto"/>
        <w:right w:val="none" w:sz="0" w:space="0" w:color="auto"/>
      </w:divBdr>
    </w:div>
    <w:div w:id="524103346">
      <w:bodyDiv w:val="1"/>
      <w:marLeft w:val="0"/>
      <w:marRight w:val="0"/>
      <w:marTop w:val="0"/>
      <w:marBottom w:val="0"/>
      <w:divBdr>
        <w:top w:val="none" w:sz="0" w:space="0" w:color="auto"/>
        <w:left w:val="none" w:sz="0" w:space="0" w:color="auto"/>
        <w:bottom w:val="none" w:sz="0" w:space="0" w:color="auto"/>
        <w:right w:val="none" w:sz="0" w:space="0" w:color="auto"/>
      </w:divBdr>
    </w:div>
    <w:div w:id="530461293">
      <w:bodyDiv w:val="1"/>
      <w:marLeft w:val="0"/>
      <w:marRight w:val="0"/>
      <w:marTop w:val="0"/>
      <w:marBottom w:val="0"/>
      <w:divBdr>
        <w:top w:val="none" w:sz="0" w:space="0" w:color="auto"/>
        <w:left w:val="none" w:sz="0" w:space="0" w:color="auto"/>
        <w:bottom w:val="none" w:sz="0" w:space="0" w:color="auto"/>
        <w:right w:val="none" w:sz="0" w:space="0" w:color="auto"/>
      </w:divBdr>
    </w:div>
    <w:div w:id="532427427">
      <w:bodyDiv w:val="1"/>
      <w:marLeft w:val="0"/>
      <w:marRight w:val="0"/>
      <w:marTop w:val="0"/>
      <w:marBottom w:val="0"/>
      <w:divBdr>
        <w:top w:val="none" w:sz="0" w:space="0" w:color="auto"/>
        <w:left w:val="none" w:sz="0" w:space="0" w:color="auto"/>
        <w:bottom w:val="none" w:sz="0" w:space="0" w:color="auto"/>
        <w:right w:val="none" w:sz="0" w:space="0" w:color="auto"/>
      </w:divBdr>
    </w:div>
    <w:div w:id="535001859">
      <w:bodyDiv w:val="1"/>
      <w:marLeft w:val="0"/>
      <w:marRight w:val="0"/>
      <w:marTop w:val="0"/>
      <w:marBottom w:val="0"/>
      <w:divBdr>
        <w:top w:val="none" w:sz="0" w:space="0" w:color="auto"/>
        <w:left w:val="none" w:sz="0" w:space="0" w:color="auto"/>
        <w:bottom w:val="none" w:sz="0" w:space="0" w:color="auto"/>
        <w:right w:val="none" w:sz="0" w:space="0" w:color="auto"/>
      </w:divBdr>
    </w:div>
    <w:div w:id="536624470">
      <w:bodyDiv w:val="1"/>
      <w:marLeft w:val="0"/>
      <w:marRight w:val="0"/>
      <w:marTop w:val="0"/>
      <w:marBottom w:val="0"/>
      <w:divBdr>
        <w:top w:val="none" w:sz="0" w:space="0" w:color="auto"/>
        <w:left w:val="none" w:sz="0" w:space="0" w:color="auto"/>
        <w:bottom w:val="none" w:sz="0" w:space="0" w:color="auto"/>
        <w:right w:val="none" w:sz="0" w:space="0" w:color="auto"/>
      </w:divBdr>
    </w:div>
    <w:div w:id="537200686">
      <w:bodyDiv w:val="1"/>
      <w:marLeft w:val="0"/>
      <w:marRight w:val="0"/>
      <w:marTop w:val="0"/>
      <w:marBottom w:val="0"/>
      <w:divBdr>
        <w:top w:val="none" w:sz="0" w:space="0" w:color="auto"/>
        <w:left w:val="none" w:sz="0" w:space="0" w:color="auto"/>
        <w:bottom w:val="none" w:sz="0" w:space="0" w:color="auto"/>
        <w:right w:val="none" w:sz="0" w:space="0" w:color="auto"/>
      </w:divBdr>
    </w:div>
    <w:div w:id="539632434">
      <w:bodyDiv w:val="1"/>
      <w:marLeft w:val="0"/>
      <w:marRight w:val="0"/>
      <w:marTop w:val="0"/>
      <w:marBottom w:val="0"/>
      <w:divBdr>
        <w:top w:val="none" w:sz="0" w:space="0" w:color="auto"/>
        <w:left w:val="none" w:sz="0" w:space="0" w:color="auto"/>
        <w:bottom w:val="none" w:sz="0" w:space="0" w:color="auto"/>
        <w:right w:val="none" w:sz="0" w:space="0" w:color="auto"/>
      </w:divBdr>
    </w:div>
    <w:div w:id="543101753">
      <w:bodyDiv w:val="1"/>
      <w:marLeft w:val="0"/>
      <w:marRight w:val="0"/>
      <w:marTop w:val="0"/>
      <w:marBottom w:val="0"/>
      <w:divBdr>
        <w:top w:val="none" w:sz="0" w:space="0" w:color="auto"/>
        <w:left w:val="none" w:sz="0" w:space="0" w:color="auto"/>
        <w:bottom w:val="none" w:sz="0" w:space="0" w:color="auto"/>
        <w:right w:val="none" w:sz="0" w:space="0" w:color="auto"/>
      </w:divBdr>
    </w:div>
    <w:div w:id="548953314">
      <w:bodyDiv w:val="1"/>
      <w:marLeft w:val="0"/>
      <w:marRight w:val="0"/>
      <w:marTop w:val="0"/>
      <w:marBottom w:val="0"/>
      <w:divBdr>
        <w:top w:val="none" w:sz="0" w:space="0" w:color="auto"/>
        <w:left w:val="none" w:sz="0" w:space="0" w:color="auto"/>
        <w:bottom w:val="none" w:sz="0" w:space="0" w:color="auto"/>
        <w:right w:val="none" w:sz="0" w:space="0" w:color="auto"/>
      </w:divBdr>
    </w:div>
    <w:div w:id="549146394">
      <w:bodyDiv w:val="1"/>
      <w:marLeft w:val="0"/>
      <w:marRight w:val="0"/>
      <w:marTop w:val="0"/>
      <w:marBottom w:val="0"/>
      <w:divBdr>
        <w:top w:val="none" w:sz="0" w:space="0" w:color="auto"/>
        <w:left w:val="none" w:sz="0" w:space="0" w:color="auto"/>
        <w:bottom w:val="none" w:sz="0" w:space="0" w:color="auto"/>
        <w:right w:val="none" w:sz="0" w:space="0" w:color="auto"/>
      </w:divBdr>
    </w:div>
    <w:div w:id="551230844">
      <w:bodyDiv w:val="1"/>
      <w:marLeft w:val="0"/>
      <w:marRight w:val="0"/>
      <w:marTop w:val="0"/>
      <w:marBottom w:val="0"/>
      <w:divBdr>
        <w:top w:val="none" w:sz="0" w:space="0" w:color="auto"/>
        <w:left w:val="none" w:sz="0" w:space="0" w:color="auto"/>
        <w:bottom w:val="none" w:sz="0" w:space="0" w:color="auto"/>
        <w:right w:val="none" w:sz="0" w:space="0" w:color="auto"/>
      </w:divBdr>
    </w:div>
    <w:div w:id="555550992">
      <w:bodyDiv w:val="1"/>
      <w:marLeft w:val="0"/>
      <w:marRight w:val="0"/>
      <w:marTop w:val="0"/>
      <w:marBottom w:val="0"/>
      <w:divBdr>
        <w:top w:val="none" w:sz="0" w:space="0" w:color="auto"/>
        <w:left w:val="none" w:sz="0" w:space="0" w:color="auto"/>
        <w:bottom w:val="none" w:sz="0" w:space="0" w:color="auto"/>
        <w:right w:val="none" w:sz="0" w:space="0" w:color="auto"/>
      </w:divBdr>
    </w:div>
    <w:div w:id="560404946">
      <w:bodyDiv w:val="1"/>
      <w:marLeft w:val="0"/>
      <w:marRight w:val="0"/>
      <w:marTop w:val="0"/>
      <w:marBottom w:val="0"/>
      <w:divBdr>
        <w:top w:val="none" w:sz="0" w:space="0" w:color="auto"/>
        <w:left w:val="none" w:sz="0" w:space="0" w:color="auto"/>
        <w:bottom w:val="none" w:sz="0" w:space="0" w:color="auto"/>
        <w:right w:val="none" w:sz="0" w:space="0" w:color="auto"/>
      </w:divBdr>
    </w:div>
    <w:div w:id="561794958">
      <w:bodyDiv w:val="1"/>
      <w:marLeft w:val="0"/>
      <w:marRight w:val="0"/>
      <w:marTop w:val="0"/>
      <w:marBottom w:val="0"/>
      <w:divBdr>
        <w:top w:val="none" w:sz="0" w:space="0" w:color="auto"/>
        <w:left w:val="none" w:sz="0" w:space="0" w:color="auto"/>
        <w:bottom w:val="none" w:sz="0" w:space="0" w:color="auto"/>
        <w:right w:val="none" w:sz="0" w:space="0" w:color="auto"/>
      </w:divBdr>
    </w:div>
    <w:div w:id="563372495">
      <w:bodyDiv w:val="1"/>
      <w:marLeft w:val="0"/>
      <w:marRight w:val="0"/>
      <w:marTop w:val="0"/>
      <w:marBottom w:val="0"/>
      <w:divBdr>
        <w:top w:val="none" w:sz="0" w:space="0" w:color="auto"/>
        <w:left w:val="none" w:sz="0" w:space="0" w:color="auto"/>
        <w:bottom w:val="none" w:sz="0" w:space="0" w:color="auto"/>
        <w:right w:val="none" w:sz="0" w:space="0" w:color="auto"/>
      </w:divBdr>
    </w:div>
    <w:div w:id="565334615">
      <w:bodyDiv w:val="1"/>
      <w:marLeft w:val="0"/>
      <w:marRight w:val="0"/>
      <w:marTop w:val="0"/>
      <w:marBottom w:val="0"/>
      <w:divBdr>
        <w:top w:val="none" w:sz="0" w:space="0" w:color="auto"/>
        <w:left w:val="none" w:sz="0" w:space="0" w:color="auto"/>
        <w:bottom w:val="none" w:sz="0" w:space="0" w:color="auto"/>
        <w:right w:val="none" w:sz="0" w:space="0" w:color="auto"/>
      </w:divBdr>
    </w:div>
    <w:div w:id="567806935">
      <w:bodyDiv w:val="1"/>
      <w:marLeft w:val="0"/>
      <w:marRight w:val="0"/>
      <w:marTop w:val="0"/>
      <w:marBottom w:val="0"/>
      <w:divBdr>
        <w:top w:val="none" w:sz="0" w:space="0" w:color="auto"/>
        <w:left w:val="none" w:sz="0" w:space="0" w:color="auto"/>
        <w:bottom w:val="none" w:sz="0" w:space="0" w:color="auto"/>
        <w:right w:val="none" w:sz="0" w:space="0" w:color="auto"/>
      </w:divBdr>
    </w:div>
    <w:div w:id="569845710">
      <w:bodyDiv w:val="1"/>
      <w:marLeft w:val="0"/>
      <w:marRight w:val="0"/>
      <w:marTop w:val="0"/>
      <w:marBottom w:val="0"/>
      <w:divBdr>
        <w:top w:val="none" w:sz="0" w:space="0" w:color="auto"/>
        <w:left w:val="none" w:sz="0" w:space="0" w:color="auto"/>
        <w:bottom w:val="none" w:sz="0" w:space="0" w:color="auto"/>
        <w:right w:val="none" w:sz="0" w:space="0" w:color="auto"/>
      </w:divBdr>
    </w:div>
    <w:div w:id="575214360">
      <w:bodyDiv w:val="1"/>
      <w:marLeft w:val="0"/>
      <w:marRight w:val="0"/>
      <w:marTop w:val="0"/>
      <w:marBottom w:val="0"/>
      <w:divBdr>
        <w:top w:val="none" w:sz="0" w:space="0" w:color="auto"/>
        <w:left w:val="none" w:sz="0" w:space="0" w:color="auto"/>
        <w:bottom w:val="none" w:sz="0" w:space="0" w:color="auto"/>
        <w:right w:val="none" w:sz="0" w:space="0" w:color="auto"/>
      </w:divBdr>
    </w:div>
    <w:div w:id="575288090">
      <w:bodyDiv w:val="1"/>
      <w:marLeft w:val="0"/>
      <w:marRight w:val="0"/>
      <w:marTop w:val="0"/>
      <w:marBottom w:val="0"/>
      <w:divBdr>
        <w:top w:val="none" w:sz="0" w:space="0" w:color="auto"/>
        <w:left w:val="none" w:sz="0" w:space="0" w:color="auto"/>
        <w:bottom w:val="none" w:sz="0" w:space="0" w:color="auto"/>
        <w:right w:val="none" w:sz="0" w:space="0" w:color="auto"/>
      </w:divBdr>
    </w:div>
    <w:div w:id="578710332">
      <w:bodyDiv w:val="1"/>
      <w:marLeft w:val="0"/>
      <w:marRight w:val="0"/>
      <w:marTop w:val="0"/>
      <w:marBottom w:val="0"/>
      <w:divBdr>
        <w:top w:val="none" w:sz="0" w:space="0" w:color="auto"/>
        <w:left w:val="none" w:sz="0" w:space="0" w:color="auto"/>
        <w:bottom w:val="none" w:sz="0" w:space="0" w:color="auto"/>
        <w:right w:val="none" w:sz="0" w:space="0" w:color="auto"/>
      </w:divBdr>
    </w:div>
    <w:div w:id="582908141">
      <w:bodyDiv w:val="1"/>
      <w:marLeft w:val="0"/>
      <w:marRight w:val="0"/>
      <w:marTop w:val="0"/>
      <w:marBottom w:val="0"/>
      <w:divBdr>
        <w:top w:val="none" w:sz="0" w:space="0" w:color="auto"/>
        <w:left w:val="none" w:sz="0" w:space="0" w:color="auto"/>
        <w:bottom w:val="none" w:sz="0" w:space="0" w:color="auto"/>
        <w:right w:val="none" w:sz="0" w:space="0" w:color="auto"/>
      </w:divBdr>
    </w:div>
    <w:div w:id="589580799">
      <w:bodyDiv w:val="1"/>
      <w:marLeft w:val="0"/>
      <w:marRight w:val="0"/>
      <w:marTop w:val="0"/>
      <w:marBottom w:val="0"/>
      <w:divBdr>
        <w:top w:val="none" w:sz="0" w:space="0" w:color="auto"/>
        <w:left w:val="none" w:sz="0" w:space="0" w:color="auto"/>
        <w:bottom w:val="none" w:sz="0" w:space="0" w:color="auto"/>
        <w:right w:val="none" w:sz="0" w:space="0" w:color="auto"/>
      </w:divBdr>
    </w:div>
    <w:div w:id="601376030">
      <w:bodyDiv w:val="1"/>
      <w:marLeft w:val="0"/>
      <w:marRight w:val="0"/>
      <w:marTop w:val="0"/>
      <w:marBottom w:val="0"/>
      <w:divBdr>
        <w:top w:val="none" w:sz="0" w:space="0" w:color="auto"/>
        <w:left w:val="none" w:sz="0" w:space="0" w:color="auto"/>
        <w:bottom w:val="none" w:sz="0" w:space="0" w:color="auto"/>
        <w:right w:val="none" w:sz="0" w:space="0" w:color="auto"/>
      </w:divBdr>
    </w:div>
    <w:div w:id="602107204">
      <w:bodyDiv w:val="1"/>
      <w:marLeft w:val="0"/>
      <w:marRight w:val="0"/>
      <w:marTop w:val="0"/>
      <w:marBottom w:val="0"/>
      <w:divBdr>
        <w:top w:val="none" w:sz="0" w:space="0" w:color="auto"/>
        <w:left w:val="none" w:sz="0" w:space="0" w:color="auto"/>
        <w:bottom w:val="none" w:sz="0" w:space="0" w:color="auto"/>
        <w:right w:val="none" w:sz="0" w:space="0" w:color="auto"/>
      </w:divBdr>
    </w:div>
    <w:div w:id="602962406">
      <w:bodyDiv w:val="1"/>
      <w:marLeft w:val="0"/>
      <w:marRight w:val="0"/>
      <w:marTop w:val="0"/>
      <w:marBottom w:val="0"/>
      <w:divBdr>
        <w:top w:val="none" w:sz="0" w:space="0" w:color="auto"/>
        <w:left w:val="none" w:sz="0" w:space="0" w:color="auto"/>
        <w:bottom w:val="none" w:sz="0" w:space="0" w:color="auto"/>
        <w:right w:val="none" w:sz="0" w:space="0" w:color="auto"/>
      </w:divBdr>
    </w:div>
    <w:div w:id="607588036">
      <w:bodyDiv w:val="1"/>
      <w:marLeft w:val="0"/>
      <w:marRight w:val="0"/>
      <w:marTop w:val="0"/>
      <w:marBottom w:val="0"/>
      <w:divBdr>
        <w:top w:val="none" w:sz="0" w:space="0" w:color="auto"/>
        <w:left w:val="none" w:sz="0" w:space="0" w:color="auto"/>
        <w:bottom w:val="none" w:sz="0" w:space="0" w:color="auto"/>
        <w:right w:val="none" w:sz="0" w:space="0" w:color="auto"/>
      </w:divBdr>
    </w:div>
    <w:div w:id="611668056">
      <w:bodyDiv w:val="1"/>
      <w:marLeft w:val="0"/>
      <w:marRight w:val="0"/>
      <w:marTop w:val="0"/>
      <w:marBottom w:val="0"/>
      <w:divBdr>
        <w:top w:val="none" w:sz="0" w:space="0" w:color="auto"/>
        <w:left w:val="none" w:sz="0" w:space="0" w:color="auto"/>
        <w:bottom w:val="none" w:sz="0" w:space="0" w:color="auto"/>
        <w:right w:val="none" w:sz="0" w:space="0" w:color="auto"/>
      </w:divBdr>
    </w:div>
    <w:div w:id="626087977">
      <w:bodyDiv w:val="1"/>
      <w:marLeft w:val="0"/>
      <w:marRight w:val="0"/>
      <w:marTop w:val="0"/>
      <w:marBottom w:val="0"/>
      <w:divBdr>
        <w:top w:val="none" w:sz="0" w:space="0" w:color="auto"/>
        <w:left w:val="none" w:sz="0" w:space="0" w:color="auto"/>
        <w:bottom w:val="none" w:sz="0" w:space="0" w:color="auto"/>
        <w:right w:val="none" w:sz="0" w:space="0" w:color="auto"/>
      </w:divBdr>
    </w:div>
    <w:div w:id="627127085">
      <w:bodyDiv w:val="1"/>
      <w:marLeft w:val="0"/>
      <w:marRight w:val="0"/>
      <w:marTop w:val="0"/>
      <w:marBottom w:val="0"/>
      <w:divBdr>
        <w:top w:val="none" w:sz="0" w:space="0" w:color="auto"/>
        <w:left w:val="none" w:sz="0" w:space="0" w:color="auto"/>
        <w:bottom w:val="none" w:sz="0" w:space="0" w:color="auto"/>
        <w:right w:val="none" w:sz="0" w:space="0" w:color="auto"/>
      </w:divBdr>
    </w:div>
    <w:div w:id="637147571">
      <w:bodyDiv w:val="1"/>
      <w:marLeft w:val="0"/>
      <w:marRight w:val="0"/>
      <w:marTop w:val="0"/>
      <w:marBottom w:val="0"/>
      <w:divBdr>
        <w:top w:val="none" w:sz="0" w:space="0" w:color="auto"/>
        <w:left w:val="none" w:sz="0" w:space="0" w:color="auto"/>
        <w:bottom w:val="none" w:sz="0" w:space="0" w:color="auto"/>
        <w:right w:val="none" w:sz="0" w:space="0" w:color="auto"/>
      </w:divBdr>
    </w:div>
    <w:div w:id="647825116">
      <w:bodyDiv w:val="1"/>
      <w:marLeft w:val="0"/>
      <w:marRight w:val="0"/>
      <w:marTop w:val="0"/>
      <w:marBottom w:val="0"/>
      <w:divBdr>
        <w:top w:val="none" w:sz="0" w:space="0" w:color="auto"/>
        <w:left w:val="none" w:sz="0" w:space="0" w:color="auto"/>
        <w:bottom w:val="none" w:sz="0" w:space="0" w:color="auto"/>
        <w:right w:val="none" w:sz="0" w:space="0" w:color="auto"/>
      </w:divBdr>
    </w:div>
    <w:div w:id="651256128">
      <w:bodyDiv w:val="1"/>
      <w:marLeft w:val="0"/>
      <w:marRight w:val="0"/>
      <w:marTop w:val="0"/>
      <w:marBottom w:val="0"/>
      <w:divBdr>
        <w:top w:val="none" w:sz="0" w:space="0" w:color="auto"/>
        <w:left w:val="none" w:sz="0" w:space="0" w:color="auto"/>
        <w:bottom w:val="none" w:sz="0" w:space="0" w:color="auto"/>
        <w:right w:val="none" w:sz="0" w:space="0" w:color="auto"/>
      </w:divBdr>
    </w:div>
    <w:div w:id="653409417">
      <w:bodyDiv w:val="1"/>
      <w:marLeft w:val="0"/>
      <w:marRight w:val="0"/>
      <w:marTop w:val="0"/>
      <w:marBottom w:val="0"/>
      <w:divBdr>
        <w:top w:val="none" w:sz="0" w:space="0" w:color="auto"/>
        <w:left w:val="none" w:sz="0" w:space="0" w:color="auto"/>
        <w:bottom w:val="none" w:sz="0" w:space="0" w:color="auto"/>
        <w:right w:val="none" w:sz="0" w:space="0" w:color="auto"/>
      </w:divBdr>
    </w:div>
    <w:div w:id="653681826">
      <w:bodyDiv w:val="1"/>
      <w:marLeft w:val="0"/>
      <w:marRight w:val="0"/>
      <w:marTop w:val="0"/>
      <w:marBottom w:val="0"/>
      <w:divBdr>
        <w:top w:val="none" w:sz="0" w:space="0" w:color="auto"/>
        <w:left w:val="none" w:sz="0" w:space="0" w:color="auto"/>
        <w:bottom w:val="none" w:sz="0" w:space="0" w:color="auto"/>
        <w:right w:val="none" w:sz="0" w:space="0" w:color="auto"/>
      </w:divBdr>
    </w:div>
    <w:div w:id="654838791">
      <w:bodyDiv w:val="1"/>
      <w:marLeft w:val="0"/>
      <w:marRight w:val="0"/>
      <w:marTop w:val="0"/>
      <w:marBottom w:val="0"/>
      <w:divBdr>
        <w:top w:val="none" w:sz="0" w:space="0" w:color="auto"/>
        <w:left w:val="none" w:sz="0" w:space="0" w:color="auto"/>
        <w:bottom w:val="none" w:sz="0" w:space="0" w:color="auto"/>
        <w:right w:val="none" w:sz="0" w:space="0" w:color="auto"/>
      </w:divBdr>
    </w:div>
    <w:div w:id="656420822">
      <w:bodyDiv w:val="1"/>
      <w:marLeft w:val="0"/>
      <w:marRight w:val="0"/>
      <w:marTop w:val="0"/>
      <w:marBottom w:val="0"/>
      <w:divBdr>
        <w:top w:val="none" w:sz="0" w:space="0" w:color="auto"/>
        <w:left w:val="none" w:sz="0" w:space="0" w:color="auto"/>
        <w:bottom w:val="none" w:sz="0" w:space="0" w:color="auto"/>
        <w:right w:val="none" w:sz="0" w:space="0" w:color="auto"/>
      </w:divBdr>
    </w:div>
    <w:div w:id="658536351">
      <w:bodyDiv w:val="1"/>
      <w:marLeft w:val="0"/>
      <w:marRight w:val="0"/>
      <w:marTop w:val="0"/>
      <w:marBottom w:val="0"/>
      <w:divBdr>
        <w:top w:val="none" w:sz="0" w:space="0" w:color="auto"/>
        <w:left w:val="none" w:sz="0" w:space="0" w:color="auto"/>
        <w:bottom w:val="none" w:sz="0" w:space="0" w:color="auto"/>
        <w:right w:val="none" w:sz="0" w:space="0" w:color="auto"/>
      </w:divBdr>
    </w:div>
    <w:div w:id="661080488">
      <w:bodyDiv w:val="1"/>
      <w:marLeft w:val="0"/>
      <w:marRight w:val="0"/>
      <w:marTop w:val="0"/>
      <w:marBottom w:val="0"/>
      <w:divBdr>
        <w:top w:val="none" w:sz="0" w:space="0" w:color="auto"/>
        <w:left w:val="none" w:sz="0" w:space="0" w:color="auto"/>
        <w:bottom w:val="none" w:sz="0" w:space="0" w:color="auto"/>
        <w:right w:val="none" w:sz="0" w:space="0" w:color="auto"/>
      </w:divBdr>
    </w:div>
    <w:div w:id="661783180">
      <w:bodyDiv w:val="1"/>
      <w:marLeft w:val="0"/>
      <w:marRight w:val="0"/>
      <w:marTop w:val="0"/>
      <w:marBottom w:val="0"/>
      <w:divBdr>
        <w:top w:val="none" w:sz="0" w:space="0" w:color="auto"/>
        <w:left w:val="none" w:sz="0" w:space="0" w:color="auto"/>
        <w:bottom w:val="none" w:sz="0" w:space="0" w:color="auto"/>
        <w:right w:val="none" w:sz="0" w:space="0" w:color="auto"/>
      </w:divBdr>
    </w:div>
    <w:div w:id="669797421">
      <w:bodyDiv w:val="1"/>
      <w:marLeft w:val="0"/>
      <w:marRight w:val="0"/>
      <w:marTop w:val="0"/>
      <w:marBottom w:val="0"/>
      <w:divBdr>
        <w:top w:val="none" w:sz="0" w:space="0" w:color="auto"/>
        <w:left w:val="none" w:sz="0" w:space="0" w:color="auto"/>
        <w:bottom w:val="none" w:sz="0" w:space="0" w:color="auto"/>
        <w:right w:val="none" w:sz="0" w:space="0" w:color="auto"/>
      </w:divBdr>
    </w:div>
    <w:div w:id="676466330">
      <w:bodyDiv w:val="1"/>
      <w:marLeft w:val="0"/>
      <w:marRight w:val="0"/>
      <w:marTop w:val="0"/>
      <w:marBottom w:val="0"/>
      <w:divBdr>
        <w:top w:val="none" w:sz="0" w:space="0" w:color="auto"/>
        <w:left w:val="none" w:sz="0" w:space="0" w:color="auto"/>
        <w:bottom w:val="none" w:sz="0" w:space="0" w:color="auto"/>
        <w:right w:val="none" w:sz="0" w:space="0" w:color="auto"/>
      </w:divBdr>
    </w:div>
    <w:div w:id="678897042">
      <w:bodyDiv w:val="1"/>
      <w:marLeft w:val="0"/>
      <w:marRight w:val="0"/>
      <w:marTop w:val="0"/>
      <w:marBottom w:val="0"/>
      <w:divBdr>
        <w:top w:val="none" w:sz="0" w:space="0" w:color="auto"/>
        <w:left w:val="none" w:sz="0" w:space="0" w:color="auto"/>
        <w:bottom w:val="none" w:sz="0" w:space="0" w:color="auto"/>
        <w:right w:val="none" w:sz="0" w:space="0" w:color="auto"/>
      </w:divBdr>
    </w:div>
    <w:div w:id="679283844">
      <w:bodyDiv w:val="1"/>
      <w:marLeft w:val="0"/>
      <w:marRight w:val="0"/>
      <w:marTop w:val="0"/>
      <w:marBottom w:val="0"/>
      <w:divBdr>
        <w:top w:val="none" w:sz="0" w:space="0" w:color="auto"/>
        <w:left w:val="none" w:sz="0" w:space="0" w:color="auto"/>
        <w:bottom w:val="none" w:sz="0" w:space="0" w:color="auto"/>
        <w:right w:val="none" w:sz="0" w:space="0" w:color="auto"/>
      </w:divBdr>
    </w:div>
    <w:div w:id="680083126">
      <w:bodyDiv w:val="1"/>
      <w:marLeft w:val="0"/>
      <w:marRight w:val="0"/>
      <w:marTop w:val="0"/>
      <w:marBottom w:val="0"/>
      <w:divBdr>
        <w:top w:val="none" w:sz="0" w:space="0" w:color="auto"/>
        <w:left w:val="none" w:sz="0" w:space="0" w:color="auto"/>
        <w:bottom w:val="none" w:sz="0" w:space="0" w:color="auto"/>
        <w:right w:val="none" w:sz="0" w:space="0" w:color="auto"/>
      </w:divBdr>
    </w:div>
    <w:div w:id="680619776">
      <w:bodyDiv w:val="1"/>
      <w:marLeft w:val="0"/>
      <w:marRight w:val="0"/>
      <w:marTop w:val="0"/>
      <w:marBottom w:val="0"/>
      <w:divBdr>
        <w:top w:val="none" w:sz="0" w:space="0" w:color="auto"/>
        <w:left w:val="none" w:sz="0" w:space="0" w:color="auto"/>
        <w:bottom w:val="none" w:sz="0" w:space="0" w:color="auto"/>
        <w:right w:val="none" w:sz="0" w:space="0" w:color="auto"/>
      </w:divBdr>
    </w:div>
    <w:div w:id="681051925">
      <w:bodyDiv w:val="1"/>
      <w:marLeft w:val="0"/>
      <w:marRight w:val="0"/>
      <w:marTop w:val="0"/>
      <w:marBottom w:val="0"/>
      <w:divBdr>
        <w:top w:val="none" w:sz="0" w:space="0" w:color="auto"/>
        <w:left w:val="none" w:sz="0" w:space="0" w:color="auto"/>
        <w:bottom w:val="none" w:sz="0" w:space="0" w:color="auto"/>
        <w:right w:val="none" w:sz="0" w:space="0" w:color="auto"/>
      </w:divBdr>
    </w:div>
    <w:div w:id="684674524">
      <w:bodyDiv w:val="1"/>
      <w:marLeft w:val="0"/>
      <w:marRight w:val="0"/>
      <w:marTop w:val="0"/>
      <w:marBottom w:val="0"/>
      <w:divBdr>
        <w:top w:val="none" w:sz="0" w:space="0" w:color="auto"/>
        <w:left w:val="none" w:sz="0" w:space="0" w:color="auto"/>
        <w:bottom w:val="none" w:sz="0" w:space="0" w:color="auto"/>
        <w:right w:val="none" w:sz="0" w:space="0" w:color="auto"/>
      </w:divBdr>
    </w:div>
    <w:div w:id="686979498">
      <w:bodyDiv w:val="1"/>
      <w:marLeft w:val="0"/>
      <w:marRight w:val="0"/>
      <w:marTop w:val="0"/>
      <w:marBottom w:val="0"/>
      <w:divBdr>
        <w:top w:val="none" w:sz="0" w:space="0" w:color="auto"/>
        <w:left w:val="none" w:sz="0" w:space="0" w:color="auto"/>
        <w:bottom w:val="none" w:sz="0" w:space="0" w:color="auto"/>
        <w:right w:val="none" w:sz="0" w:space="0" w:color="auto"/>
      </w:divBdr>
    </w:div>
    <w:div w:id="687487368">
      <w:bodyDiv w:val="1"/>
      <w:marLeft w:val="0"/>
      <w:marRight w:val="0"/>
      <w:marTop w:val="0"/>
      <w:marBottom w:val="0"/>
      <w:divBdr>
        <w:top w:val="none" w:sz="0" w:space="0" w:color="auto"/>
        <w:left w:val="none" w:sz="0" w:space="0" w:color="auto"/>
        <w:bottom w:val="none" w:sz="0" w:space="0" w:color="auto"/>
        <w:right w:val="none" w:sz="0" w:space="0" w:color="auto"/>
      </w:divBdr>
    </w:div>
    <w:div w:id="688483177">
      <w:bodyDiv w:val="1"/>
      <w:marLeft w:val="0"/>
      <w:marRight w:val="0"/>
      <w:marTop w:val="0"/>
      <w:marBottom w:val="0"/>
      <w:divBdr>
        <w:top w:val="none" w:sz="0" w:space="0" w:color="auto"/>
        <w:left w:val="none" w:sz="0" w:space="0" w:color="auto"/>
        <w:bottom w:val="none" w:sz="0" w:space="0" w:color="auto"/>
        <w:right w:val="none" w:sz="0" w:space="0" w:color="auto"/>
      </w:divBdr>
    </w:div>
    <w:div w:id="688794988">
      <w:bodyDiv w:val="1"/>
      <w:marLeft w:val="0"/>
      <w:marRight w:val="0"/>
      <w:marTop w:val="0"/>
      <w:marBottom w:val="0"/>
      <w:divBdr>
        <w:top w:val="none" w:sz="0" w:space="0" w:color="auto"/>
        <w:left w:val="none" w:sz="0" w:space="0" w:color="auto"/>
        <w:bottom w:val="none" w:sz="0" w:space="0" w:color="auto"/>
        <w:right w:val="none" w:sz="0" w:space="0" w:color="auto"/>
      </w:divBdr>
    </w:div>
    <w:div w:id="688993058">
      <w:bodyDiv w:val="1"/>
      <w:marLeft w:val="0"/>
      <w:marRight w:val="0"/>
      <w:marTop w:val="0"/>
      <w:marBottom w:val="0"/>
      <w:divBdr>
        <w:top w:val="none" w:sz="0" w:space="0" w:color="auto"/>
        <w:left w:val="none" w:sz="0" w:space="0" w:color="auto"/>
        <w:bottom w:val="none" w:sz="0" w:space="0" w:color="auto"/>
        <w:right w:val="none" w:sz="0" w:space="0" w:color="auto"/>
      </w:divBdr>
    </w:div>
    <w:div w:id="699205969">
      <w:bodyDiv w:val="1"/>
      <w:marLeft w:val="0"/>
      <w:marRight w:val="0"/>
      <w:marTop w:val="0"/>
      <w:marBottom w:val="0"/>
      <w:divBdr>
        <w:top w:val="none" w:sz="0" w:space="0" w:color="auto"/>
        <w:left w:val="none" w:sz="0" w:space="0" w:color="auto"/>
        <w:bottom w:val="none" w:sz="0" w:space="0" w:color="auto"/>
        <w:right w:val="none" w:sz="0" w:space="0" w:color="auto"/>
      </w:divBdr>
    </w:div>
    <w:div w:id="700282328">
      <w:bodyDiv w:val="1"/>
      <w:marLeft w:val="0"/>
      <w:marRight w:val="0"/>
      <w:marTop w:val="0"/>
      <w:marBottom w:val="0"/>
      <w:divBdr>
        <w:top w:val="none" w:sz="0" w:space="0" w:color="auto"/>
        <w:left w:val="none" w:sz="0" w:space="0" w:color="auto"/>
        <w:bottom w:val="none" w:sz="0" w:space="0" w:color="auto"/>
        <w:right w:val="none" w:sz="0" w:space="0" w:color="auto"/>
      </w:divBdr>
    </w:div>
    <w:div w:id="702049771">
      <w:bodyDiv w:val="1"/>
      <w:marLeft w:val="0"/>
      <w:marRight w:val="0"/>
      <w:marTop w:val="0"/>
      <w:marBottom w:val="0"/>
      <w:divBdr>
        <w:top w:val="none" w:sz="0" w:space="0" w:color="auto"/>
        <w:left w:val="none" w:sz="0" w:space="0" w:color="auto"/>
        <w:bottom w:val="none" w:sz="0" w:space="0" w:color="auto"/>
        <w:right w:val="none" w:sz="0" w:space="0" w:color="auto"/>
      </w:divBdr>
    </w:div>
    <w:div w:id="702244317">
      <w:bodyDiv w:val="1"/>
      <w:marLeft w:val="0"/>
      <w:marRight w:val="0"/>
      <w:marTop w:val="0"/>
      <w:marBottom w:val="0"/>
      <w:divBdr>
        <w:top w:val="none" w:sz="0" w:space="0" w:color="auto"/>
        <w:left w:val="none" w:sz="0" w:space="0" w:color="auto"/>
        <w:bottom w:val="none" w:sz="0" w:space="0" w:color="auto"/>
        <w:right w:val="none" w:sz="0" w:space="0" w:color="auto"/>
      </w:divBdr>
    </w:div>
    <w:div w:id="704067126">
      <w:bodyDiv w:val="1"/>
      <w:marLeft w:val="0"/>
      <w:marRight w:val="0"/>
      <w:marTop w:val="0"/>
      <w:marBottom w:val="0"/>
      <w:divBdr>
        <w:top w:val="none" w:sz="0" w:space="0" w:color="auto"/>
        <w:left w:val="none" w:sz="0" w:space="0" w:color="auto"/>
        <w:bottom w:val="none" w:sz="0" w:space="0" w:color="auto"/>
        <w:right w:val="none" w:sz="0" w:space="0" w:color="auto"/>
      </w:divBdr>
    </w:div>
    <w:div w:id="705109095">
      <w:bodyDiv w:val="1"/>
      <w:marLeft w:val="0"/>
      <w:marRight w:val="0"/>
      <w:marTop w:val="0"/>
      <w:marBottom w:val="0"/>
      <w:divBdr>
        <w:top w:val="none" w:sz="0" w:space="0" w:color="auto"/>
        <w:left w:val="none" w:sz="0" w:space="0" w:color="auto"/>
        <w:bottom w:val="none" w:sz="0" w:space="0" w:color="auto"/>
        <w:right w:val="none" w:sz="0" w:space="0" w:color="auto"/>
      </w:divBdr>
    </w:div>
    <w:div w:id="708190545">
      <w:bodyDiv w:val="1"/>
      <w:marLeft w:val="0"/>
      <w:marRight w:val="0"/>
      <w:marTop w:val="0"/>
      <w:marBottom w:val="0"/>
      <w:divBdr>
        <w:top w:val="none" w:sz="0" w:space="0" w:color="auto"/>
        <w:left w:val="none" w:sz="0" w:space="0" w:color="auto"/>
        <w:bottom w:val="none" w:sz="0" w:space="0" w:color="auto"/>
        <w:right w:val="none" w:sz="0" w:space="0" w:color="auto"/>
      </w:divBdr>
    </w:div>
    <w:div w:id="710156057">
      <w:bodyDiv w:val="1"/>
      <w:marLeft w:val="0"/>
      <w:marRight w:val="0"/>
      <w:marTop w:val="0"/>
      <w:marBottom w:val="0"/>
      <w:divBdr>
        <w:top w:val="none" w:sz="0" w:space="0" w:color="auto"/>
        <w:left w:val="none" w:sz="0" w:space="0" w:color="auto"/>
        <w:bottom w:val="none" w:sz="0" w:space="0" w:color="auto"/>
        <w:right w:val="none" w:sz="0" w:space="0" w:color="auto"/>
      </w:divBdr>
    </w:div>
    <w:div w:id="710612688">
      <w:bodyDiv w:val="1"/>
      <w:marLeft w:val="0"/>
      <w:marRight w:val="0"/>
      <w:marTop w:val="0"/>
      <w:marBottom w:val="0"/>
      <w:divBdr>
        <w:top w:val="none" w:sz="0" w:space="0" w:color="auto"/>
        <w:left w:val="none" w:sz="0" w:space="0" w:color="auto"/>
        <w:bottom w:val="none" w:sz="0" w:space="0" w:color="auto"/>
        <w:right w:val="none" w:sz="0" w:space="0" w:color="auto"/>
      </w:divBdr>
    </w:div>
    <w:div w:id="713695397">
      <w:bodyDiv w:val="1"/>
      <w:marLeft w:val="0"/>
      <w:marRight w:val="0"/>
      <w:marTop w:val="0"/>
      <w:marBottom w:val="0"/>
      <w:divBdr>
        <w:top w:val="none" w:sz="0" w:space="0" w:color="auto"/>
        <w:left w:val="none" w:sz="0" w:space="0" w:color="auto"/>
        <w:bottom w:val="none" w:sz="0" w:space="0" w:color="auto"/>
        <w:right w:val="none" w:sz="0" w:space="0" w:color="auto"/>
      </w:divBdr>
    </w:div>
    <w:div w:id="716509718">
      <w:bodyDiv w:val="1"/>
      <w:marLeft w:val="0"/>
      <w:marRight w:val="0"/>
      <w:marTop w:val="0"/>
      <w:marBottom w:val="0"/>
      <w:divBdr>
        <w:top w:val="none" w:sz="0" w:space="0" w:color="auto"/>
        <w:left w:val="none" w:sz="0" w:space="0" w:color="auto"/>
        <w:bottom w:val="none" w:sz="0" w:space="0" w:color="auto"/>
        <w:right w:val="none" w:sz="0" w:space="0" w:color="auto"/>
      </w:divBdr>
    </w:div>
    <w:div w:id="717431578">
      <w:bodyDiv w:val="1"/>
      <w:marLeft w:val="0"/>
      <w:marRight w:val="0"/>
      <w:marTop w:val="0"/>
      <w:marBottom w:val="0"/>
      <w:divBdr>
        <w:top w:val="none" w:sz="0" w:space="0" w:color="auto"/>
        <w:left w:val="none" w:sz="0" w:space="0" w:color="auto"/>
        <w:bottom w:val="none" w:sz="0" w:space="0" w:color="auto"/>
        <w:right w:val="none" w:sz="0" w:space="0" w:color="auto"/>
      </w:divBdr>
    </w:div>
    <w:div w:id="718169124">
      <w:bodyDiv w:val="1"/>
      <w:marLeft w:val="0"/>
      <w:marRight w:val="0"/>
      <w:marTop w:val="0"/>
      <w:marBottom w:val="0"/>
      <w:divBdr>
        <w:top w:val="none" w:sz="0" w:space="0" w:color="auto"/>
        <w:left w:val="none" w:sz="0" w:space="0" w:color="auto"/>
        <w:bottom w:val="none" w:sz="0" w:space="0" w:color="auto"/>
        <w:right w:val="none" w:sz="0" w:space="0" w:color="auto"/>
      </w:divBdr>
    </w:div>
    <w:div w:id="719016402">
      <w:bodyDiv w:val="1"/>
      <w:marLeft w:val="0"/>
      <w:marRight w:val="0"/>
      <w:marTop w:val="0"/>
      <w:marBottom w:val="0"/>
      <w:divBdr>
        <w:top w:val="none" w:sz="0" w:space="0" w:color="auto"/>
        <w:left w:val="none" w:sz="0" w:space="0" w:color="auto"/>
        <w:bottom w:val="none" w:sz="0" w:space="0" w:color="auto"/>
        <w:right w:val="none" w:sz="0" w:space="0" w:color="auto"/>
      </w:divBdr>
    </w:div>
    <w:div w:id="722363854">
      <w:bodyDiv w:val="1"/>
      <w:marLeft w:val="0"/>
      <w:marRight w:val="0"/>
      <w:marTop w:val="0"/>
      <w:marBottom w:val="0"/>
      <w:divBdr>
        <w:top w:val="none" w:sz="0" w:space="0" w:color="auto"/>
        <w:left w:val="none" w:sz="0" w:space="0" w:color="auto"/>
        <w:bottom w:val="none" w:sz="0" w:space="0" w:color="auto"/>
        <w:right w:val="none" w:sz="0" w:space="0" w:color="auto"/>
      </w:divBdr>
    </w:div>
    <w:div w:id="729116081">
      <w:bodyDiv w:val="1"/>
      <w:marLeft w:val="0"/>
      <w:marRight w:val="0"/>
      <w:marTop w:val="0"/>
      <w:marBottom w:val="0"/>
      <w:divBdr>
        <w:top w:val="none" w:sz="0" w:space="0" w:color="auto"/>
        <w:left w:val="none" w:sz="0" w:space="0" w:color="auto"/>
        <w:bottom w:val="none" w:sz="0" w:space="0" w:color="auto"/>
        <w:right w:val="none" w:sz="0" w:space="0" w:color="auto"/>
      </w:divBdr>
    </w:div>
    <w:div w:id="731580249">
      <w:bodyDiv w:val="1"/>
      <w:marLeft w:val="0"/>
      <w:marRight w:val="0"/>
      <w:marTop w:val="0"/>
      <w:marBottom w:val="0"/>
      <w:divBdr>
        <w:top w:val="none" w:sz="0" w:space="0" w:color="auto"/>
        <w:left w:val="none" w:sz="0" w:space="0" w:color="auto"/>
        <w:bottom w:val="none" w:sz="0" w:space="0" w:color="auto"/>
        <w:right w:val="none" w:sz="0" w:space="0" w:color="auto"/>
      </w:divBdr>
    </w:div>
    <w:div w:id="736174668">
      <w:bodyDiv w:val="1"/>
      <w:marLeft w:val="0"/>
      <w:marRight w:val="0"/>
      <w:marTop w:val="0"/>
      <w:marBottom w:val="0"/>
      <w:divBdr>
        <w:top w:val="none" w:sz="0" w:space="0" w:color="auto"/>
        <w:left w:val="none" w:sz="0" w:space="0" w:color="auto"/>
        <w:bottom w:val="none" w:sz="0" w:space="0" w:color="auto"/>
        <w:right w:val="none" w:sz="0" w:space="0" w:color="auto"/>
      </w:divBdr>
    </w:div>
    <w:div w:id="747046251">
      <w:bodyDiv w:val="1"/>
      <w:marLeft w:val="0"/>
      <w:marRight w:val="0"/>
      <w:marTop w:val="0"/>
      <w:marBottom w:val="0"/>
      <w:divBdr>
        <w:top w:val="none" w:sz="0" w:space="0" w:color="auto"/>
        <w:left w:val="none" w:sz="0" w:space="0" w:color="auto"/>
        <w:bottom w:val="none" w:sz="0" w:space="0" w:color="auto"/>
        <w:right w:val="none" w:sz="0" w:space="0" w:color="auto"/>
      </w:divBdr>
    </w:div>
    <w:div w:id="747701412">
      <w:bodyDiv w:val="1"/>
      <w:marLeft w:val="0"/>
      <w:marRight w:val="0"/>
      <w:marTop w:val="0"/>
      <w:marBottom w:val="0"/>
      <w:divBdr>
        <w:top w:val="none" w:sz="0" w:space="0" w:color="auto"/>
        <w:left w:val="none" w:sz="0" w:space="0" w:color="auto"/>
        <w:bottom w:val="none" w:sz="0" w:space="0" w:color="auto"/>
        <w:right w:val="none" w:sz="0" w:space="0" w:color="auto"/>
      </w:divBdr>
    </w:div>
    <w:div w:id="754208061">
      <w:bodyDiv w:val="1"/>
      <w:marLeft w:val="0"/>
      <w:marRight w:val="0"/>
      <w:marTop w:val="0"/>
      <w:marBottom w:val="0"/>
      <w:divBdr>
        <w:top w:val="none" w:sz="0" w:space="0" w:color="auto"/>
        <w:left w:val="none" w:sz="0" w:space="0" w:color="auto"/>
        <w:bottom w:val="none" w:sz="0" w:space="0" w:color="auto"/>
        <w:right w:val="none" w:sz="0" w:space="0" w:color="auto"/>
      </w:divBdr>
    </w:div>
    <w:div w:id="758721924">
      <w:bodyDiv w:val="1"/>
      <w:marLeft w:val="0"/>
      <w:marRight w:val="0"/>
      <w:marTop w:val="0"/>
      <w:marBottom w:val="0"/>
      <w:divBdr>
        <w:top w:val="none" w:sz="0" w:space="0" w:color="auto"/>
        <w:left w:val="none" w:sz="0" w:space="0" w:color="auto"/>
        <w:bottom w:val="none" w:sz="0" w:space="0" w:color="auto"/>
        <w:right w:val="none" w:sz="0" w:space="0" w:color="auto"/>
      </w:divBdr>
    </w:div>
    <w:div w:id="765878822">
      <w:bodyDiv w:val="1"/>
      <w:marLeft w:val="0"/>
      <w:marRight w:val="0"/>
      <w:marTop w:val="0"/>
      <w:marBottom w:val="0"/>
      <w:divBdr>
        <w:top w:val="none" w:sz="0" w:space="0" w:color="auto"/>
        <w:left w:val="none" w:sz="0" w:space="0" w:color="auto"/>
        <w:bottom w:val="none" w:sz="0" w:space="0" w:color="auto"/>
        <w:right w:val="none" w:sz="0" w:space="0" w:color="auto"/>
      </w:divBdr>
    </w:div>
    <w:div w:id="768358035">
      <w:bodyDiv w:val="1"/>
      <w:marLeft w:val="0"/>
      <w:marRight w:val="0"/>
      <w:marTop w:val="0"/>
      <w:marBottom w:val="0"/>
      <w:divBdr>
        <w:top w:val="none" w:sz="0" w:space="0" w:color="auto"/>
        <w:left w:val="none" w:sz="0" w:space="0" w:color="auto"/>
        <w:bottom w:val="none" w:sz="0" w:space="0" w:color="auto"/>
        <w:right w:val="none" w:sz="0" w:space="0" w:color="auto"/>
      </w:divBdr>
    </w:div>
    <w:div w:id="772479494">
      <w:bodyDiv w:val="1"/>
      <w:marLeft w:val="0"/>
      <w:marRight w:val="0"/>
      <w:marTop w:val="0"/>
      <w:marBottom w:val="0"/>
      <w:divBdr>
        <w:top w:val="none" w:sz="0" w:space="0" w:color="auto"/>
        <w:left w:val="none" w:sz="0" w:space="0" w:color="auto"/>
        <w:bottom w:val="none" w:sz="0" w:space="0" w:color="auto"/>
        <w:right w:val="none" w:sz="0" w:space="0" w:color="auto"/>
      </w:divBdr>
    </w:div>
    <w:div w:id="773130749">
      <w:bodyDiv w:val="1"/>
      <w:marLeft w:val="0"/>
      <w:marRight w:val="0"/>
      <w:marTop w:val="0"/>
      <w:marBottom w:val="0"/>
      <w:divBdr>
        <w:top w:val="none" w:sz="0" w:space="0" w:color="auto"/>
        <w:left w:val="none" w:sz="0" w:space="0" w:color="auto"/>
        <w:bottom w:val="none" w:sz="0" w:space="0" w:color="auto"/>
        <w:right w:val="none" w:sz="0" w:space="0" w:color="auto"/>
      </w:divBdr>
    </w:div>
    <w:div w:id="784694438">
      <w:bodyDiv w:val="1"/>
      <w:marLeft w:val="0"/>
      <w:marRight w:val="0"/>
      <w:marTop w:val="0"/>
      <w:marBottom w:val="0"/>
      <w:divBdr>
        <w:top w:val="none" w:sz="0" w:space="0" w:color="auto"/>
        <w:left w:val="none" w:sz="0" w:space="0" w:color="auto"/>
        <w:bottom w:val="none" w:sz="0" w:space="0" w:color="auto"/>
        <w:right w:val="none" w:sz="0" w:space="0" w:color="auto"/>
      </w:divBdr>
    </w:div>
    <w:div w:id="787090535">
      <w:bodyDiv w:val="1"/>
      <w:marLeft w:val="0"/>
      <w:marRight w:val="0"/>
      <w:marTop w:val="0"/>
      <w:marBottom w:val="0"/>
      <w:divBdr>
        <w:top w:val="none" w:sz="0" w:space="0" w:color="auto"/>
        <w:left w:val="none" w:sz="0" w:space="0" w:color="auto"/>
        <w:bottom w:val="none" w:sz="0" w:space="0" w:color="auto"/>
        <w:right w:val="none" w:sz="0" w:space="0" w:color="auto"/>
      </w:divBdr>
    </w:div>
    <w:div w:id="790322322">
      <w:bodyDiv w:val="1"/>
      <w:marLeft w:val="0"/>
      <w:marRight w:val="0"/>
      <w:marTop w:val="0"/>
      <w:marBottom w:val="0"/>
      <w:divBdr>
        <w:top w:val="none" w:sz="0" w:space="0" w:color="auto"/>
        <w:left w:val="none" w:sz="0" w:space="0" w:color="auto"/>
        <w:bottom w:val="none" w:sz="0" w:space="0" w:color="auto"/>
        <w:right w:val="none" w:sz="0" w:space="0" w:color="auto"/>
      </w:divBdr>
    </w:div>
    <w:div w:id="792335094">
      <w:bodyDiv w:val="1"/>
      <w:marLeft w:val="0"/>
      <w:marRight w:val="0"/>
      <w:marTop w:val="0"/>
      <w:marBottom w:val="0"/>
      <w:divBdr>
        <w:top w:val="none" w:sz="0" w:space="0" w:color="auto"/>
        <w:left w:val="none" w:sz="0" w:space="0" w:color="auto"/>
        <w:bottom w:val="none" w:sz="0" w:space="0" w:color="auto"/>
        <w:right w:val="none" w:sz="0" w:space="0" w:color="auto"/>
      </w:divBdr>
    </w:div>
    <w:div w:id="796335008">
      <w:bodyDiv w:val="1"/>
      <w:marLeft w:val="0"/>
      <w:marRight w:val="0"/>
      <w:marTop w:val="0"/>
      <w:marBottom w:val="0"/>
      <w:divBdr>
        <w:top w:val="none" w:sz="0" w:space="0" w:color="auto"/>
        <w:left w:val="none" w:sz="0" w:space="0" w:color="auto"/>
        <w:bottom w:val="none" w:sz="0" w:space="0" w:color="auto"/>
        <w:right w:val="none" w:sz="0" w:space="0" w:color="auto"/>
      </w:divBdr>
    </w:div>
    <w:div w:id="797336845">
      <w:bodyDiv w:val="1"/>
      <w:marLeft w:val="0"/>
      <w:marRight w:val="0"/>
      <w:marTop w:val="0"/>
      <w:marBottom w:val="0"/>
      <w:divBdr>
        <w:top w:val="none" w:sz="0" w:space="0" w:color="auto"/>
        <w:left w:val="none" w:sz="0" w:space="0" w:color="auto"/>
        <w:bottom w:val="none" w:sz="0" w:space="0" w:color="auto"/>
        <w:right w:val="none" w:sz="0" w:space="0" w:color="auto"/>
      </w:divBdr>
    </w:div>
    <w:div w:id="800071414">
      <w:bodyDiv w:val="1"/>
      <w:marLeft w:val="0"/>
      <w:marRight w:val="0"/>
      <w:marTop w:val="0"/>
      <w:marBottom w:val="0"/>
      <w:divBdr>
        <w:top w:val="none" w:sz="0" w:space="0" w:color="auto"/>
        <w:left w:val="none" w:sz="0" w:space="0" w:color="auto"/>
        <w:bottom w:val="none" w:sz="0" w:space="0" w:color="auto"/>
        <w:right w:val="none" w:sz="0" w:space="0" w:color="auto"/>
      </w:divBdr>
    </w:div>
    <w:div w:id="803884546">
      <w:bodyDiv w:val="1"/>
      <w:marLeft w:val="0"/>
      <w:marRight w:val="0"/>
      <w:marTop w:val="0"/>
      <w:marBottom w:val="0"/>
      <w:divBdr>
        <w:top w:val="none" w:sz="0" w:space="0" w:color="auto"/>
        <w:left w:val="none" w:sz="0" w:space="0" w:color="auto"/>
        <w:bottom w:val="none" w:sz="0" w:space="0" w:color="auto"/>
        <w:right w:val="none" w:sz="0" w:space="0" w:color="auto"/>
      </w:divBdr>
    </w:div>
    <w:div w:id="805783730">
      <w:bodyDiv w:val="1"/>
      <w:marLeft w:val="0"/>
      <w:marRight w:val="0"/>
      <w:marTop w:val="0"/>
      <w:marBottom w:val="0"/>
      <w:divBdr>
        <w:top w:val="none" w:sz="0" w:space="0" w:color="auto"/>
        <w:left w:val="none" w:sz="0" w:space="0" w:color="auto"/>
        <w:bottom w:val="none" w:sz="0" w:space="0" w:color="auto"/>
        <w:right w:val="none" w:sz="0" w:space="0" w:color="auto"/>
      </w:divBdr>
    </w:div>
    <w:div w:id="808280923">
      <w:bodyDiv w:val="1"/>
      <w:marLeft w:val="0"/>
      <w:marRight w:val="0"/>
      <w:marTop w:val="0"/>
      <w:marBottom w:val="0"/>
      <w:divBdr>
        <w:top w:val="none" w:sz="0" w:space="0" w:color="auto"/>
        <w:left w:val="none" w:sz="0" w:space="0" w:color="auto"/>
        <w:bottom w:val="none" w:sz="0" w:space="0" w:color="auto"/>
        <w:right w:val="none" w:sz="0" w:space="0" w:color="auto"/>
      </w:divBdr>
    </w:div>
    <w:div w:id="811017045">
      <w:bodyDiv w:val="1"/>
      <w:marLeft w:val="0"/>
      <w:marRight w:val="0"/>
      <w:marTop w:val="0"/>
      <w:marBottom w:val="0"/>
      <w:divBdr>
        <w:top w:val="none" w:sz="0" w:space="0" w:color="auto"/>
        <w:left w:val="none" w:sz="0" w:space="0" w:color="auto"/>
        <w:bottom w:val="none" w:sz="0" w:space="0" w:color="auto"/>
        <w:right w:val="none" w:sz="0" w:space="0" w:color="auto"/>
      </w:divBdr>
    </w:div>
    <w:div w:id="817765815">
      <w:bodyDiv w:val="1"/>
      <w:marLeft w:val="0"/>
      <w:marRight w:val="0"/>
      <w:marTop w:val="0"/>
      <w:marBottom w:val="0"/>
      <w:divBdr>
        <w:top w:val="none" w:sz="0" w:space="0" w:color="auto"/>
        <w:left w:val="none" w:sz="0" w:space="0" w:color="auto"/>
        <w:bottom w:val="none" w:sz="0" w:space="0" w:color="auto"/>
        <w:right w:val="none" w:sz="0" w:space="0" w:color="auto"/>
      </w:divBdr>
    </w:div>
    <w:div w:id="820002754">
      <w:bodyDiv w:val="1"/>
      <w:marLeft w:val="0"/>
      <w:marRight w:val="0"/>
      <w:marTop w:val="0"/>
      <w:marBottom w:val="0"/>
      <w:divBdr>
        <w:top w:val="none" w:sz="0" w:space="0" w:color="auto"/>
        <w:left w:val="none" w:sz="0" w:space="0" w:color="auto"/>
        <w:bottom w:val="none" w:sz="0" w:space="0" w:color="auto"/>
        <w:right w:val="none" w:sz="0" w:space="0" w:color="auto"/>
      </w:divBdr>
    </w:div>
    <w:div w:id="827749417">
      <w:bodyDiv w:val="1"/>
      <w:marLeft w:val="0"/>
      <w:marRight w:val="0"/>
      <w:marTop w:val="0"/>
      <w:marBottom w:val="0"/>
      <w:divBdr>
        <w:top w:val="none" w:sz="0" w:space="0" w:color="auto"/>
        <w:left w:val="none" w:sz="0" w:space="0" w:color="auto"/>
        <w:bottom w:val="none" w:sz="0" w:space="0" w:color="auto"/>
        <w:right w:val="none" w:sz="0" w:space="0" w:color="auto"/>
      </w:divBdr>
    </w:div>
    <w:div w:id="830676617">
      <w:bodyDiv w:val="1"/>
      <w:marLeft w:val="0"/>
      <w:marRight w:val="0"/>
      <w:marTop w:val="0"/>
      <w:marBottom w:val="0"/>
      <w:divBdr>
        <w:top w:val="none" w:sz="0" w:space="0" w:color="auto"/>
        <w:left w:val="none" w:sz="0" w:space="0" w:color="auto"/>
        <w:bottom w:val="none" w:sz="0" w:space="0" w:color="auto"/>
        <w:right w:val="none" w:sz="0" w:space="0" w:color="auto"/>
      </w:divBdr>
    </w:div>
    <w:div w:id="831943031">
      <w:bodyDiv w:val="1"/>
      <w:marLeft w:val="0"/>
      <w:marRight w:val="0"/>
      <w:marTop w:val="0"/>
      <w:marBottom w:val="0"/>
      <w:divBdr>
        <w:top w:val="none" w:sz="0" w:space="0" w:color="auto"/>
        <w:left w:val="none" w:sz="0" w:space="0" w:color="auto"/>
        <w:bottom w:val="none" w:sz="0" w:space="0" w:color="auto"/>
        <w:right w:val="none" w:sz="0" w:space="0" w:color="auto"/>
      </w:divBdr>
    </w:div>
    <w:div w:id="833765573">
      <w:bodyDiv w:val="1"/>
      <w:marLeft w:val="0"/>
      <w:marRight w:val="0"/>
      <w:marTop w:val="0"/>
      <w:marBottom w:val="0"/>
      <w:divBdr>
        <w:top w:val="none" w:sz="0" w:space="0" w:color="auto"/>
        <w:left w:val="none" w:sz="0" w:space="0" w:color="auto"/>
        <w:bottom w:val="none" w:sz="0" w:space="0" w:color="auto"/>
        <w:right w:val="none" w:sz="0" w:space="0" w:color="auto"/>
      </w:divBdr>
    </w:div>
    <w:div w:id="834490840">
      <w:bodyDiv w:val="1"/>
      <w:marLeft w:val="0"/>
      <w:marRight w:val="0"/>
      <w:marTop w:val="0"/>
      <w:marBottom w:val="0"/>
      <w:divBdr>
        <w:top w:val="none" w:sz="0" w:space="0" w:color="auto"/>
        <w:left w:val="none" w:sz="0" w:space="0" w:color="auto"/>
        <w:bottom w:val="none" w:sz="0" w:space="0" w:color="auto"/>
        <w:right w:val="none" w:sz="0" w:space="0" w:color="auto"/>
      </w:divBdr>
    </w:div>
    <w:div w:id="838234381">
      <w:bodyDiv w:val="1"/>
      <w:marLeft w:val="0"/>
      <w:marRight w:val="0"/>
      <w:marTop w:val="0"/>
      <w:marBottom w:val="0"/>
      <w:divBdr>
        <w:top w:val="none" w:sz="0" w:space="0" w:color="auto"/>
        <w:left w:val="none" w:sz="0" w:space="0" w:color="auto"/>
        <w:bottom w:val="none" w:sz="0" w:space="0" w:color="auto"/>
        <w:right w:val="none" w:sz="0" w:space="0" w:color="auto"/>
      </w:divBdr>
    </w:div>
    <w:div w:id="839393279">
      <w:bodyDiv w:val="1"/>
      <w:marLeft w:val="0"/>
      <w:marRight w:val="0"/>
      <w:marTop w:val="0"/>
      <w:marBottom w:val="0"/>
      <w:divBdr>
        <w:top w:val="none" w:sz="0" w:space="0" w:color="auto"/>
        <w:left w:val="none" w:sz="0" w:space="0" w:color="auto"/>
        <w:bottom w:val="none" w:sz="0" w:space="0" w:color="auto"/>
        <w:right w:val="none" w:sz="0" w:space="0" w:color="auto"/>
      </w:divBdr>
    </w:div>
    <w:div w:id="839810490">
      <w:bodyDiv w:val="1"/>
      <w:marLeft w:val="0"/>
      <w:marRight w:val="0"/>
      <w:marTop w:val="0"/>
      <w:marBottom w:val="0"/>
      <w:divBdr>
        <w:top w:val="none" w:sz="0" w:space="0" w:color="auto"/>
        <w:left w:val="none" w:sz="0" w:space="0" w:color="auto"/>
        <w:bottom w:val="none" w:sz="0" w:space="0" w:color="auto"/>
        <w:right w:val="none" w:sz="0" w:space="0" w:color="auto"/>
      </w:divBdr>
    </w:div>
    <w:div w:id="840049648">
      <w:bodyDiv w:val="1"/>
      <w:marLeft w:val="0"/>
      <w:marRight w:val="0"/>
      <w:marTop w:val="0"/>
      <w:marBottom w:val="0"/>
      <w:divBdr>
        <w:top w:val="none" w:sz="0" w:space="0" w:color="auto"/>
        <w:left w:val="none" w:sz="0" w:space="0" w:color="auto"/>
        <w:bottom w:val="none" w:sz="0" w:space="0" w:color="auto"/>
        <w:right w:val="none" w:sz="0" w:space="0" w:color="auto"/>
      </w:divBdr>
    </w:div>
    <w:div w:id="843739706">
      <w:bodyDiv w:val="1"/>
      <w:marLeft w:val="0"/>
      <w:marRight w:val="0"/>
      <w:marTop w:val="0"/>
      <w:marBottom w:val="0"/>
      <w:divBdr>
        <w:top w:val="none" w:sz="0" w:space="0" w:color="auto"/>
        <w:left w:val="none" w:sz="0" w:space="0" w:color="auto"/>
        <w:bottom w:val="none" w:sz="0" w:space="0" w:color="auto"/>
        <w:right w:val="none" w:sz="0" w:space="0" w:color="auto"/>
      </w:divBdr>
    </w:div>
    <w:div w:id="843784598">
      <w:bodyDiv w:val="1"/>
      <w:marLeft w:val="0"/>
      <w:marRight w:val="0"/>
      <w:marTop w:val="0"/>
      <w:marBottom w:val="0"/>
      <w:divBdr>
        <w:top w:val="none" w:sz="0" w:space="0" w:color="auto"/>
        <w:left w:val="none" w:sz="0" w:space="0" w:color="auto"/>
        <w:bottom w:val="none" w:sz="0" w:space="0" w:color="auto"/>
        <w:right w:val="none" w:sz="0" w:space="0" w:color="auto"/>
      </w:divBdr>
    </w:div>
    <w:div w:id="843934368">
      <w:bodyDiv w:val="1"/>
      <w:marLeft w:val="0"/>
      <w:marRight w:val="0"/>
      <w:marTop w:val="0"/>
      <w:marBottom w:val="0"/>
      <w:divBdr>
        <w:top w:val="none" w:sz="0" w:space="0" w:color="auto"/>
        <w:left w:val="none" w:sz="0" w:space="0" w:color="auto"/>
        <w:bottom w:val="none" w:sz="0" w:space="0" w:color="auto"/>
        <w:right w:val="none" w:sz="0" w:space="0" w:color="auto"/>
      </w:divBdr>
    </w:div>
    <w:div w:id="845174925">
      <w:bodyDiv w:val="1"/>
      <w:marLeft w:val="0"/>
      <w:marRight w:val="0"/>
      <w:marTop w:val="0"/>
      <w:marBottom w:val="0"/>
      <w:divBdr>
        <w:top w:val="none" w:sz="0" w:space="0" w:color="auto"/>
        <w:left w:val="none" w:sz="0" w:space="0" w:color="auto"/>
        <w:bottom w:val="none" w:sz="0" w:space="0" w:color="auto"/>
        <w:right w:val="none" w:sz="0" w:space="0" w:color="auto"/>
      </w:divBdr>
    </w:div>
    <w:div w:id="847330096">
      <w:bodyDiv w:val="1"/>
      <w:marLeft w:val="0"/>
      <w:marRight w:val="0"/>
      <w:marTop w:val="0"/>
      <w:marBottom w:val="0"/>
      <w:divBdr>
        <w:top w:val="none" w:sz="0" w:space="0" w:color="auto"/>
        <w:left w:val="none" w:sz="0" w:space="0" w:color="auto"/>
        <w:bottom w:val="none" w:sz="0" w:space="0" w:color="auto"/>
        <w:right w:val="none" w:sz="0" w:space="0" w:color="auto"/>
      </w:divBdr>
    </w:div>
    <w:div w:id="852646963">
      <w:bodyDiv w:val="1"/>
      <w:marLeft w:val="0"/>
      <w:marRight w:val="0"/>
      <w:marTop w:val="0"/>
      <w:marBottom w:val="0"/>
      <w:divBdr>
        <w:top w:val="none" w:sz="0" w:space="0" w:color="auto"/>
        <w:left w:val="none" w:sz="0" w:space="0" w:color="auto"/>
        <w:bottom w:val="none" w:sz="0" w:space="0" w:color="auto"/>
        <w:right w:val="none" w:sz="0" w:space="0" w:color="auto"/>
      </w:divBdr>
    </w:div>
    <w:div w:id="852766564">
      <w:bodyDiv w:val="1"/>
      <w:marLeft w:val="0"/>
      <w:marRight w:val="0"/>
      <w:marTop w:val="0"/>
      <w:marBottom w:val="0"/>
      <w:divBdr>
        <w:top w:val="none" w:sz="0" w:space="0" w:color="auto"/>
        <w:left w:val="none" w:sz="0" w:space="0" w:color="auto"/>
        <w:bottom w:val="none" w:sz="0" w:space="0" w:color="auto"/>
        <w:right w:val="none" w:sz="0" w:space="0" w:color="auto"/>
      </w:divBdr>
    </w:div>
    <w:div w:id="859121343">
      <w:bodyDiv w:val="1"/>
      <w:marLeft w:val="0"/>
      <w:marRight w:val="0"/>
      <w:marTop w:val="0"/>
      <w:marBottom w:val="0"/>
      <w:divBdr>
        <w:top w:val="none" w:sz="0" w:space="0" w:color="auto"/>
        <w:left w:val="none" w:sz="0" w:space="0" w:color="auto"/>
        <w:bottom w:val="none" w:sz="0" w:space="0" w:color="auto"/>
        <w:right w:val="none" w:sz="0" w:space="0" w:color="auto"/>
      </w:divBdr>
    </w:div>
    <w:div w:id="860776410">
      <w:bodyDiv w:val="1"/>
      <w:marLeft w:val="0"/>
      <w:marRight w:val="0"/>
      <w:marTop w:val="0"/>
      <w:marBottom w:val="0"/>
      <w:divBdr>
        <w:top w:val="none" w:sz="0" w:space="0" w:color="auto"/>
        <w:left w:val="none" w:sz="0" w:space="0" w:color="auto"/>
        <w:bottom w:val="none" w:sz="0" w:space="0" w:color="auto"/>
        <w:right w:val="none" w:sz="0" w:space="0" w:color="auto"/>
      </w:divBdr>
    </w:div>
    <w:div w:id="863442174">
      <w:bodyDiv w:val="1"/>
      <w:marLeft w:val="0"/>
      <w:marRight w:val="0"/>
      <w:marTop w:val="0"/>
      <w:marBottom w:val="0"/>
      <w:divBdr>
        <w:top w:val="none" w:sz="0" w:space="0" w:color="auto"/>
        <w:left w:val="none" w:sz="0" w:space="0" w:color="auto"/>
        <w:bottom w:val="none" w:sz="0" w:space="0" w:color="auto"/>
        <w:right w:val="none" w:sz="0" w:space="0" w:color="auto"/>
      </w:divBdr>
    </w:div>
    <w:div w:id="869223927">
      <w:bodyDiv w:val="1"/>
      <w:marLeft w:val="0"/>
      <w:marRight w:val="0"/>
      <w:marTop w:val="0"/>
      <w:marBottom w:val="0"/>
      <w:divBdr>
        <w:top w:val="none" w:sz="0" w:space="0" w:color="auto"/>
        <w:left w:val="none" w:sz="0" w:space="0" w:color="auto"/>
        <w:bottom w:val="none" w:sz="0" w:space="0" w:color="auto"/>
        <w:right w:val="none" w:sz="0" w:space="0" w:color="auto"/>
      </w:divBdr>
    </w:div>
    <w:div w:id="870264239">
      <w:bodyDiv w:val="1"/>
      <w:marLeft w:val="0"/>
      <w:marRight w:val="0"/>
      <w:marTop w:val="0"/>
      <w:marBottom w:val="0"/>
      <w:divBdr>
        <w:top w:val="none" w:sz="0" w:space="0" w:color="auto"/>
        <w:left w:val="none" w:sz="0" w:space="0" w:color="auto"/>
        <w:bottom w:val="none" w:sz="0" w:space="0" w:color="auto"/>
        <w:right w:val="none" w:sz="0" w:space="0" w:color="auto"/>
      </w:divBdr>
    </w:div>
    <w:div w:id="873618641">
      <w:bodyDiv w:val="1"/>
      <w:marLeft w:val="0"/>
      <w:marRight w:val="0"/>
      <w:marTop w:val="0"/>
      <w:marBottom w:val="0"/>
      <w:divBdr>
        <w:top w:val="none" w:sz="0" w:space="0" w:color="auto"/>
        <w:left w:val="none" w:sz="0" w:space="0" w:color="auto"/>
        <w:bottom w:val="none" w:sz="0" w:space="0" w:color="auto"/>
        <w:right w:val="none" w:sz="0" w:space="0" w:color="auto"/>
      </w:divBdr>
    </w:div>
    <w:div w:id="877738388">
      <w:bodyDiv w:val="1"/>
      <w:marLeft w:val="0"/>
      <w:marRight w:val="0"/>
      <w:marTop w:val="0"/>
      <w:marBottom w:val="0"/>
      <w:divBdr>
        <w:top w:val="none" w:sz="0" w:space="0" w:color="auto"/>
        <w:left w:val="none" w:sz="0" w:space="0" w:color="auto"/>
        <w:bottom w:val="none" w:sz="0" w:space="0" w:color="auto"/>
        <w:right w:val="none" w:sz="0" w:space="0" w:color="auto"/>
      </w:divBdr>
    </w:div>
    <w:div w:id="878080960">
      <w:bodyDiv w:val="1"/>
      <w:marLeft w:val="0"/>
      <w:marRight w:val="0"/>
      <w:marTop w:val="0"/>
      <w:marBottom w:val="0"/>
      <w:divBdr>
        <w:top w:val="none" w:sz="0" w:space="0" w:color="auto"/>
        <w:left w:val="none" w:sz="0" w:space="0" w:color="auto"/>
        <w:bottom w:val="none" w:sz="0" w:space="0" w:color="auto"/>
        <w:right w:val="none" w:sz="0" w:space="0" w:color="auto"/>
      </w:divBdr>
    </w:div>
    <w:div w:id="881865677">
      <w:bodyDiv w:val="1"/>
      <w:marLeft w:val="0"/>
      <w:marRight w:val="0"/>
      <w:marTop w:val="0"/>
      <w:marBottom w:val="0"/>
      <w:divBdr>
        <w:top w:val="none" w:sz="0" w:space="0" w:color="auto"/>
        <w:left w:val="none" w:sz="0" w:space="0" w:color="auto"/>
        <w:bottom w:val="none" w:sz="0" w:space="0" w:color="auto"/>
        <w:right w:val="none" w:sz="0" w:space="0" w:color="auto"/>
      </w:divBdr>
    </w:div>
    <w:div w:id="882055763">
      <w:bodyDiv w:val="1"/>
      <w:marLeft w:val="0"/>
      <w:marRight w:val="0"/>
      <w:marTop w:val="0"/>
      <w:marBottom w:val="0"/>
      <w:divBdr>
        <w:top w:val="none" w:sz="0" w:space="0" w:color="auto"/>
        <w:left w:val="none" w:sz="0" w:space="0" w:color="auto"/>
        <w:bottom w:val="none" w:sz="0" w:space="0" w:color="auto"/>
        <w:right w:val="none" w:sz="0" w:space="0" w:color="auto"/>
      </w:divBdr>
    </w:div>
    <w:div w:id="884023854">
      <w:bodyDiv w:val="1"/>
      <w:marLeft w:val="0"/>
      <w:marRight w:val="0"/>
      <w:marTop w:val="0"/>
      <w:marBottom w:val="0"/>
      <w:divBdr>
        <w:top w:val="none" w:sz="0" w:space="0" w:color="auto"/>
        <w:left w:val="none" w:sz="0" w:space="0" w:color="auto"/>
        <w:bottom w:val="none" w:sz="0" w:space="0" w:color="auto"/>
        <w:right w:val="none" w:sz="0" w:space="0" w:color="auto"/>
      </w:divBdr>
    </w:div>
    <w:div w:id="884833885">
      <w:bodyDiv w:val="1"/>
      <w:marLeft w:val="0"/>
      <w:marRight w:val="0"/>
      <w:marTop w:val="0"/>
      <w:marBottom w:val="0"/>
      <w:divBdr>
        <w:top w:val="none" w:sz="0" w:space="0" w:color="auto"/>
        <w:left w:val="none" w:sz="0" w:space="0" w:color="auto"/>
        <w:bottom w:val="none" w:sz="0" w:space="0" w:color="auto"/>
        <w:right w:val="none" w:sz="0" w:space="0" w:color="auto"/>
      </w:divBdr>
    </w:div>
    <w:div w:id="889806072">
      <w:bodyDiv w:val="1"/>
      <w:marLeft w:val="0"/>
      <w:marRight w:val="0"/>
      <w:marTop w:val="0"/>
      <w:marBottom w:val="0"/>
      <w:divBdr>
        <w:top w:val="none" w:sz="0" w:space="0" w:color="auto"/>
        <w:left w:val="none" w:sz="0" w:space="0" w:color="auto"/>
        <w:bottom w:val="none" w:sz="0" w:space="0" w:color="auto"/>
        <w:right w:val="none" w:sz="0" w:space="0" w:color="auto"/>
      </w:divBdr>
    </w:div>
    <w:div w:id="894199437">
      <w:bodyDiv w:val="1"/>
      <w:marLeft w:val="0"/>
      <w:marRight w:val="0"/>
      <w:marTop w:val="0"/>
      <w:marBottom w:val="0"/>
      <w:divBdr>
        <w:top w:val="none" w:sz="0" w:space="0" w:color="auto"/>
        <w:left w:val="none" w:sz="0" w:space="0" w:color="auto"/>
        <w:bottom w:val="none" w:sz="0" w:space="0" w:color="auto"/>
        <w:right w:val="none" w:sz="0" w:space="0" w:color="auto"/>
      </w:divBdr>
    </w:div>
    <w:div w:id="894894671">
      <w:bodyDiv w:val="1"/>
      <w:marLeft w:val="0"/>
      <w:marRight w:val="0"/>
      <w:marTop w:val="0"/>
      <w:marBottom w:val="0"/>
      <w:divBdr>
        <w:top w:val="none" w:sz="0" w:space="0" w:color="auto"/>
        <w:left w:val="none" w:sz="0" w:space="0" w:color="auto"/>
        <w:bottom w:val="none" w:sz="0" w:space="0" w:color="auto"/>
        <w:right w:val="none" w:sz="0" w:space="0" w:color="auto"/>
      </w:divBdr>
    </w:div>
    <w:div w:id="896165757">
      <w:bodyDiv w:val="1"/>
      <w:marLeft w:val="0"/>
      <w:marRight w:val="0"/>
      <w:marTop w:val="0"/>
      <w:marBottom w:val="0"/>
      <w:divBdr>
        <w:top w:val="none" w:sz="0" w:space="0" w:color="auto"/>
        <w:left w:val="none" w:sz="0" w:space="0" w:color="auto"/>
        <w:bottom w:val="none" w:sz="0" w:space="0" w:color="auto"/>
        <w:right w:val="none" w:sz="0" w:space="0" w:color="auto"/>
      </w:divBdr>
    </w:div>
    <w:div w:id="897545324">
      <w:bodyDiv w:val="1"/>
      <w:marLeft w:val="0"/>
      <w:marRight w:val="0"/>
      <w:marTop w:val="0"/>
      <w:marBottom w:val="0"/>
      <w:divBdr>
        <w:top w:val="none" w:sz="0" w:space="0" w:color="auto"/>
        <w:left w:val="none" w:sz="0" w:space="0" w:color="auto"/>
        <w:bottom w:val="none" w:sz="0" w:space="0" w:color="auto"/>
        <w:right w:val="none" w:sz="0" w:space="0" w:color="auto"/>
      </w:divBdr>
    </w:div>
    <w:div w:id="900822978">
      <w:bodyDiv w:val="1"/>
      <w:marLeft w:val="0"/>
      <w:marRight w:val="0"/>
      <w:marTop w:val="0"/>
      <w:marBottom w:val="0"/>
      <w:divBdr>
        <w:top w:val="none" w:sz="0" w:space="0" w:color="auto"/>
        <w:left w:val="none" w:sz="0" w:space="0" w:color="auto"/>
        <w:bottom w:val="none" w:sz="0" w:space="0" w:color="auto"/>
        <w:right w:val="none" w:sz="0" w:space="0" w:color="auto"/>
      </w:divBdr>
    </w:div>
    <w:div w:id="900864636">
      <w:bodyDiv w:val="1"/>
      <w:marLeft w:val="0"/>
      <w:marRight w:val="0"/>
      <w:marTop w:val="0"/>
      <w:marBottom w:val="0"/>
      <w:divBdr>
        <w:top w:val="none" w:sz="0" w:space="0" w:color="auto"/>
        <w:left w:val="none" w:sz="0" w:space="0" w:color="auto"/>
        <w:bottom w:val="none" w:sz="0" w:space="0" w:color="auto"/>
        <w:right w:val="none" w:sz="0" w:space="0" w:color="auto"/>
      </w:divBdr>
    </w:div>
    <w:div w:id="904489491">
      <w:bodyDiv w:val="1"/>
      <w:marLeft w:val="0"/>
      <w:marRight w:val="0"/>
      <w:marTop w:val="0"/>
      <w:marBottom w:val="0"/>
      <w:divBdr>
        <w:top w:val="none" w:sz="0" w:space="0" w:color="auto"/>
        <w:left w:val="none" w:sz="0" w:space="0" w:color="auto"/>
        <w:bottom w:val="none" w:sz="0" w:space="0" w:color="auto"/>
        <w:right w:val="none" w:sz="0" w:space="0" w:color="auto"/>
      </w:divBdr>
    </w:div>
    <w:div w:id="907300241">
      <w:bodyDiv w:val="1"/>
      <w:marLeft w:val="0"/>
      <w:marRight w:val="0"/>
      <w:marTop w:val="0"/>
      <w:marBottom w:val="0"/>
      <w:divBdr>
        <w:top w:val="none" w:sz="0" w:space="0" w:color="auto"/>
        <w:left w:val="none" w:sz="0" w:space="0" w:color="auto"/>
        <w:bottom w:val="none" w:sz="0" w:space="0" w:color="auto"/>
        <w:right w:val="none" w:sz="0" w:space="0" w:color="auto"/>
      </w:divBdr>
    </w:div>
    <w:div w:id="909577746">
      <w:bodyDiv w:val="1"/>
      <w:marLeft w:val="0"/>
      <w:marRight w:val="0"/>
      <w:marTop w:val="0"/>
      <w:marBottom w:val="0"/>
      <w:divBdr>
        <w:top w:val="none" w:sz="0" w:space="0" w:color="auto"/>
        <w:left w:val="none" w:sz="0" w:space="0" w:color="auto"/>
        <w:bottom w:val="none" w:sz="0" w:space="0" w:color="auto"/>
        <w:right w:val="none" w:sz="0" w:space="0" w:color="auto"/>
      </w:divBdr>
    </w:div>
    <w:div w:id="909659834">
      <w:bodyDiv w:val="1"/>
      <w:marLeft w:val="0"/>
      <w:marRight w:val="0"/>
      <w:marTop w:val="0"/>
      <w:marBottom w:val="0"/>
      <w:divBdr>
        <w:top w:val="none" w:sz="0" w:space="0" w:color="auto"/>
        <w:left w:val="none" w:sz="0" w:space="0" w:color="auto"/>
        <w:bottom w:val="none" w:sz="0" w:space="0" w:color="auto"/>
        <w:right w:val="none" w:sz="0" w:space="0" w:color="auto"/>
      </w:divBdr>
    </w:div>
    <w:div w:id="909995658">
      <w:bodyDiv w:val="1"/>
      <w:marLeft w:val="0"/>
      <w:marRight w:val="0"/>
      <w:marTop w:val="0"/>
      <w:marBottom w:val="0"/>
      <w:divBdr>
        <w:top w:val="none" w:sz="0" w:space="0" w:color="auto"/>
        <w:left w:val="none" w:sz="0" w:space="0" w:color="auto"/>
        <w:bottom w:val="none" w:sz="0" w:space="0" w:color="auto"/>
        <w:right w:val="none" w:sz="0" w:space="0" w:color="auto"/>
      </w:divBdr>
    </w:div>
    <w:div w:id="913472131">
      <w:bodyDiv w:val="1"/>
      <w:marLeft w:val="0"/>
      <w:marRight w:val="0"/>
      <w:marTop w:val="0"/>
      <w:marBottom w:val="0"/>
      <w:divBdr>
        <w:top w:val="none" w:sz="0" w:space="0" w:color="auto"/>
        <w:left w:val="none" w:sz="0" w:space="0" w:color="auto"/>
        <w:bottom w:val="none" w:sz="0" w:space="0" w:color="auto"/>
        <w:right w:val="none" w:sz="0" w:space="0" w:color="auto"/>
      </w:divBdr>
    </w:div>
    <w:div w:id="916016733">
      <w:bodyDiv w:val="1"/>
      <w:marLeft w:val="0"/>
      <w:marRight w:val="0"/>
      <w:marTop w:val="0"/>
      <w:marBottom w:val="0"/>
      <w:divBdr>
        <w:top w:val="none" w:sz="0" w:space="0" w:color="auto"/>
        <w:left w:val="none" w:sz="0" w:space="0" w:color="auto"/>
        <w:bottom w:val="none" w:sz="0" w:space="0" w:color="auto"/>
        <w:right w:val="none" w:sz="0" w:space="0" w:color="auto"/>
      </w:divBdr>
    </w:div>
    <w:div w:id="918905300">
      <w:bodyDiv w:val="1"/>
      <w:marLeft w:val="0"/>
      <w:marRight w:val="0"/>
      <w:marTop w:val="0"/>
      <w:marBottom w:val="0"/>
      <w:divBdr>
        <w:top w:val="none" w:sz="0" w:space="0" w:color="auto"/>
        <w:left w:val="none" w:sz="0" w:space="0" w:color="auto"/>
        <w:bottom w:val="none" w:sz="0" w:space="0" w:color="auto"/>
        <w:right w:val="none" w:sz="0" w:space="0" w:color="auto"/>
      </w:divBdr>
    </w:div>
    <w:div w:id="920724336">
      <w:bodyDiv w:val="1"/>
      <w:marLeft w:val="0"/>
      <w:marRight w:val="0"/>
      <w:marTop w:val="0"/>
      <w:marBottom w:val="0"/>
      <w:divBdr>
        <w:top w:val="none" w:sz="0" w:space="0" w:color="auto"/>
        <w:left w:val="none" w:sz="0" w:space="0" w:color="auto"/>
        <w:bottom w:val="none" w:sz="0" w:space="0" w:color="auto"/>
        <w:right w:val="none" w:sz="0" w:space="0" w:color="auto"/>
      </w:divBdr>
    </w:div>
    <w:div w:id="920792017">
      <w:bodyDiv w:val="1"/>
      <w:marLeft w:val="0"/>
      <w:marRight w:val="0"/>
      <w:marTop w:val="0"/>
      <w:marBottom w:val="0"/>
      <w:divBdr>
        <w:top w:val="none" w:sz="0" w:space="0" w:color="auto"/>
        <w:left w:val="none" w:sz="0" w:space="0" w:color="auto"/>
        <w:bottom w:val="none" w:sz="0" w:space="0" w:color="auto"/>
        <w:right w:val="none" w:sz="0" w:space="0" w:color="auto"/>
      </w:divBdr>
    </w:div>
    <w:div w:id="921446936">
      <w:bodyDiv w:val="1"/>
      <w:marLeft w:val="0"/>
      <w:marRight w:val="0"/>
      <w:marTop w:val="0"/>
      <w:marBottom w:val="0"/>
      <w:divBdr>
        <w:top w:val="none" w:sz="0" w:space="0" w:color="auto"/>
        <w:left w:val="none" w:sz="0" w:space="0" w:color="auto"/>
        <w:bottom w:val="none" w:sz="0" w:space="0" w:color="auto"/>
        <w:right w:val="none" w:sz="0" w:space="0" w:color="auto"/>
      </w:divBdr>
    </w:div>
    <w:div w:id="925580675">
      <w:bodyDiv w:val="1"/>
      <w:marLeft w:val="0"/>
      <w:marRight w:val="0"/>
      <w:marTop w:val="0"/>
      <w:marBottom w:val="0"/>
      <w:divBdr>
        <w:top w:val="none" w:sz="0" w:space="0" w:color="auto"/>
        <w:left w:val="none" w:sz="0" w:space="0" w:color="auto"/>
        <w:bottom w:val="none" w:sz="0" w:space="0" w:color="auto"/>
        <w:right w:val="none" w:sz="0" w:space="0" w:color="auto"/>
      </w:divBdr>
    </w:div>
    <w:div w:id="931398194">
      <w:bodyDiv w:val="1"/>
      <w:marLeft w:val="0"/>
      <w:marRight w:val="0"/>
      <w:marTop w:val="0"/>
      <w:marBottom w:val="0"/>
      <w:divBdr>
        <w:top w:val="none" w:sz="0" w:space="0" w:color="auto"/>
        <w:left w:val="none" w:sz="0" w:space="0" w:color="auto"/>
        <w:bottom w:val="none" w:sz="0" w:space="0" w:color="auto"/>
        <w:right w:val="none" w:sz="0" w:space="0" w:color="auto"/>
      </w:divBdr>
    </w:div>
    <w:div w:id="931739485">
      <w:bodyDiv w:val="1"/>
      <w:marLeft w:val="0"/>
      <w:marRight w:val="0"/>
      <w:marTop w:val="0"/>
      <w:marBottom w:val="0"/>
      <w:divBdr>
        <w:top w:val="none" w:sz="0" w:space="0" w:color="auto"/>
        <w:left w:val="none" w:sz="0" w:space="0" w:color="auto"/>
        <w:bottom w:val="none" w:sz="0" w:space="0" w:color="auto"/>
        <w:right w:val="none" w:sz="0" w:space="0" w:color="auto"/>
      </w:divBdr>
    </w:div>
    <w:div w:id="952638712">
      <w:bodyDiv w:val="1"/>
      <w:marLeft w:val="0"/>
      <w:marRight w:val="0"/>
      <w:marTop w:val="0"/>
      <w:marBottom w:val="0"/>
      <w:divBdr>
        <w:top w:val="none" w:sz="0" w:space="0" w:color="auto"/>
        <w:left w:val="none" w:sz="0" w:space="0" w:color="auto"/>
        <w:bottom w:val="none" w:sz="0" w:space="0" w:color="auto"/>
        <w:right w:val="none" w:sz="0" w:space="0" w:color="auto"/>
      </w:divBdr>
    </w:div>
    <w:div w:id="959998268">
      <w:bodyDiv w:val="1"/>
      <w:marLeft w:val="0"/>
      <w:marRight w:val="0"/>
      <w:marTop w:val="0"/>
      <w:marBottom w:val="0"/>
      <w:divBdr>
        <w:top w:val="none" w:sz="0" w:space="0" w:color="auto"/>
        <w:left w:val="none" w:sz="0" w:space="0" w:color="auto"/>
        <w:bottom w:val="none" w:sz="0" w:space="0" w:color="auto"/>
        <w:right w:val="none" w:sz="0" w:space="0" w:color="auto"/>
      </w:divBdr>
    </w:div>
    <w:div w:id="964887895">
      <w:bodyDiv w:val="1"/>
      <w:marLeft w:val="0"/>
      <w:marRight w:val="0"/>
      <w:marTop w:val="0"/>
      <w:marBottom w:val="0"/>
      <w:divBdr>
        <w:top w:val="none" w:sz="0" w:space="0" w:color="auto"/>
        <w:left w:val="none" w:sz="0" w:space="0" w:color="auto"/>
        <w:bottom w:val="none" w:sz="0" w:space="0" w:color="auto"/>
        <w:right w:val="none" w:sz="0" w:space="0" w:color="auto"/>
      </w:divBdr>
    </w:div>
    <w:div w:id="965744016">
      <w:bodyDiv w:val="1"/>
      <w:marLeft w:val="0"/>
      <w:marRight w:val="0"/>
      <w:marTop w:val="0"/>
      <w:marBottom w:val="0"/>
      <w:divBdr>
        <w:top w:val="none" w:sz="0" w:space="0" w:color="auto"/>
        <w:left w:val="none" w:sz="0" w:space="0" w:color="auto"/>
        <w:bottom w:val="none" w:sz="0" w:space="0" w:color="auto"/>
        <w:right w:val="none" w:sz="0" w:space="0" w:color="auto"/>
      </w:divBdr>
    </w:div>
    <w:div w:id="970096615">
      <w:bodyDiv w:val="1"/>
      <w:marLeft w:val="0"/>
      <w:marRight w:val="0"/>
      <w:marTop w:val="0"/>
      <w:marBottom w:val="0"/>
      <w:divBdr>
        <w:top w:val="none" w:sz="0" w:space="0" w:color="auto"/>
        <w:left w:val="none" w:sz="0" w:space="0" w:color="auto"/>
        <w:bottom w:val="none" w:sz="0" w:space="0" w:color="auto"/>
        <w:right w:val="none" w:sz="0" w:space="0" w:color="auto"/>
      </w:divBdr>
    </w:div>
    <w:div w:id="979264705">
      <w:bodyDiv w:val="1"/>
      <w:marLeft w:val="0"/>
      <w:marRight w:val="0"/>
      <w:marTop w:val="0"/>
      <w:marBottom w:val="0"/>
      <w:divBdr>
        <w:top w:val="none" w:sz="0" w:space="0" w:color="auto"/>
        <w:left w:val="none" w:sz="0" w:space="0" w:color="auto"/>
        <w:bottom w:val="none" w:sz="0" w:space="0" w:color="auto"/>
        <w:right w:val="none" w:sz="0" w:space="0" w:color="auto"/>
      </w:divBdr>
    </w:div>
    <w:div w:id="987174039">
      <w:bodyDiv w:val="1"/>
      <w:marLeft w:val="0"/>
      <w:marRight w:val="0"/>
      <w:marTop w:val="0"/>
      <w:marBottom w:val="0"/>
      <w:divBdr>
        <w:top w:val="none" w:sz="0" w:space="0" w:color="auto"/>
        <w:left w:val="none" w:sz="0" w:space="0" w:color="auto"/>
        <w:bottom w:val="none" w:sz="0" w:space="0" w:color="auto"/>
        <w:right w:val="none" w:sz="0" w:space="0" w:color="auto"/>
      </w:divBdr>
    </w:div>
    <w:div w:id="987784478">
      <w:bodyDiv w:val="1"/>
      <w:marLeft w:val="0"/>
      <w:marRight w:val="0"/>
      <w:marTop w:val="0"/>
      <w:marBottom w:val="0"/>
      <w:divBdr>
        <w:top w:val="none" w:sz="0" w:space="0" w:color="auto"/>
        <w:left w:val="none" w:sz="0" w:space="0" w:color="auto"/>
        <w:bottom w:val="none" w:sz="0" w:space="0" w:color="auto"/>
        <w:right w:val="none" w:sz="0" w:space="0" w:color="auto"/>
      </w:divBdr>
    </w:div>
    <w:div w:id="993333437">
      <w:bodyDiv w:val="1"/>
      <w:marLeft w:val="0"/>
      <w:marRight w:val="0"/>
      <w:marTop w:val="0"/>
      <w:marBottom w:val="0"/>
      <w:divBdr>
        <w:top w:val="none" w:sz="0" w:space="0" w:color="auto"/>
        <w:left w:val="none" w:sz="0" w:space="0" w:color="auto"/>
        <w:bottom w:val="none" w:sz="0" w:space="0" w:color="auto"/>
        <w:right w:val="none" w:sz="0" w:space="0" w:color="auto"/>
      </w:divBdr>
    </w:div>
    <w:div w:id="995035697">
      <w:bodyDiv w:val="1"/>
      <w:marLeft w:val="0"/>
      <w:marRight w:val="0"/>
      <w:marTop w:val="0"/>
      <w:marBottom w:val="0"/>
      <w:divBdr>
        <w:top w:val="none" w:sz="0" w:space="0" w:color="auto"/>
        <w:left w:val="none" w:sz="0" w:space="0" w:color="auto"/>
        <w:bottom w:val="none" w:sz="0" w:space="0" w:color="auto"/>
        <w:right w:val="none" w:sz="0" w:space="0" w:color="auto"/>
      </w:divBdr>
    </w:div>
    <w:div w:id="1006321904">
      <w:bodyDiv w:val="1"/>
      <w:marLeft w:val="0"/>
      <w:marRight w:val="0"/>
      <w:marTop w:val="0"/>
      <w:marBottom w:val="0"/>
      <w:divBdr>
        <w:top w:val="none" w:sz="0" w:space="0" w:color="auto"/>
        <w:left w:val="none" w:sz="0" w:space="0" w:color="auto"/>
        <w:bottom w:val="none" w:sz="0" w:space="0" w:color="auto"/>
        <w:right w:val="none" w:sz="0" w:space="0" w:color="auto"/>
      </w:divBdr>
    </w:div>
    <w:div w:id="1008485238">
      <w:bodyDiv w:val="1"/>
      <w:marLeft w:val="0"/>
      <w:marRight w:val="0"/>
      <w:marTop w:val="0"/>
      <w:marBottom w:val="0"/>
      <w:divBdr>
        <w:top w:val="none" w:sz="0" w:space="0" w:color="auto"/>
        <w:left w:val="none" w:sz="0" w:space="0" w:color="auto"/>
        <w:bottom w:val="none" w:sz="0" w:space="0" w:color="auto"/>
        <w:right w:val="none" w:sz="0" w:space="0" w:color="auto"/>
      </w:divBdr>
    </w:div>
    <w:div w:id="1014385887">
      <w:bodyDiv w:val="1"/>
      <w:marLeft w:val="0"/>
      <w:marRight w:val="0"/>
      <w:marTop w:val="0"/>
      <w:marBottom w:val="0"/>
      <w:divBdr>
        <w:top w:val="none" w:sz="0" w:space="0" w:color="auto"/>
        <w:left w:val="none" w:sz="0" w:space="0" w:color="auto"/>
        <w:bottom w:val="none" w:sz="0" w:space="0" w:color="auto"/>
        <w:right w:val="none" w:sz="0" w:space="0" w:color="auto"/>
      </w:divBdr>
    </w:div>
    <w:div w:id="1016418474">
      <w:bodyDiv w:val="1"/>
      <w:marLeft w:val="0"/>
      <w:marRight w:val="0"/>
      <w:marTop w:val="0"/>
      <w:marBottom w:val="0"/>
      <w:divBdr>
        <w:top w:val="none" w:sz="0" w:space="0" w:color="auto"/>
        <w:left w:val="none" w:sz="0" w:space="0" w:color="auto"/>
        <w:bottom w:val="none" w:sz="0" w:space="0" w:color="auto"/>
        <w:right w:val="none" w:sz="0" w:space="0" w:color="auto"/>
      </w:divBdr>
    </w:div>
    <w:div w:id="1022321066">
      <w:bodyDiv w:val="1"/>
      <w:marLeft w:val="0"/>
      <w:marRight w:val="0"/>
      <w:marTop w:val="0"/>
      <w:marBottom w:val="0"/>
      <w:divBdr>
        <w:top w:val="none" w:sz="0" w:space="0" w:color="auto"/>
        <w:left w:val="none" w:sz="0" w:space="0" w:color="auto"/>
        <w:bottom w:val="none" w:sz="0" w:space="0" w:color="auto"/>
        <w:right w:val="none" w:sz="0" w:space="0" w:color="auto"/>
      </w:divBdr>
    </w:div>
    <w:div w:id="1026910068">
      <w:bodyDiv w:val="1"/>
      <w:marLeft w:val="0"/>
      <w:marRight w:val="0"/>
      <w:marTop w:val="0"/>
      <w:marBottom w:val="0"/>
      <w:divBdr>
        <w:top w:val="none" w:sz="0" w:space="0" w:color="auto"/>
        <w:left w:val="none" w:sz="0" w:space="0" w:color="auto"/>
        <w:bottom w:val="none" w:sz="0" w:space="0" w:color="auto"/>
        <w:right w:val="none" w:sz="0" w:space="0" w:color="auto"/>
      </w:divBdr>
    </w:div>
    <w:div w:id="1027872535">
      <w:bodyDiv w:val="1"/>
      <w:marLeft w:val="0"/>
      <w:marRight w:val="0"/>
      <w:marTop w:val="0"/>
      <w:marBottom w:val="0"/>
      <w:divBdr>
        <w:top w:val="none" w:sz="0" w:space="0" w:color="auto"/>
        <w:left w:val="none" w:sz="0" w:space="0" w:color="auto"/>
        <w:bottom w:val="none" w:sz="0" w:space="0" w:color="auto"/>
        <w:right w:val="none" w:sz="0" w:space="0" w:color="auto"/>
      </w:divBdr>
    </w:div>
    <w:div w:id="1028213899">
      <w:bodyDiv w:val="1"/>
      <w:marLeft w:val="0"/>
      <w:marRight w:val="0"/>
      <w:marTop w:val="0"/>
      <w:marBottom w:val="0"/>
      <w:divBdr>
        <w:top w:val="none" w:sz="0" w:space="0" w:color="auto"/>
        <w:left w:val="none" w:sz="0" w:space="0" w:color="auto"/>
        <w:bottom w:val="none" w:sz="0" w:space="0" w:color="auto"/>
        <w:right w:val="none" w:sz="0" w:space="0" w:color="auto"/>
      </w:divBdr>
    </w:div>
    <w:div w:id="1031805722">
      <w:bodyDiv w:val="1"/>
      <w:marLeft w:val="0"/>
      <w:marRight w:val="0"/>
      <w:marTop w:val="0"/>
      <w:marBottom w:val="0"/>
      <w:divBdr>
        <w:top w:val="none" w:sz="0" w:space="0" w:color="auto"/>
        <w:left w:val="none" w:sz="0" w:space="0" w:color="auto"/>
        <w:bottom w:val="none" w:sz="0" w:space="0" w:color="auto"/>
        <w:right w:val="none" w:sz="0" w:space="0" w:color="auto"/>
      </w:divBdr>
    </w:div>
    <w:div w:id="1035472565">
      <w:bodyDiv w:val="1"/>
      <w:marLeft w:val="0"/>
      <w:marRight w:val="0"/>
      <w:marTop w:val="0"/>
      <w:marBottom w:val="0"/>
      <w:divBdr>
        <w:top w:val="none" w:sz="0" w:space="0" w:color="auto"/>
        <w:left w:val="none" w:sz="0" w:space="0" w:color="auto"/>
        <w:bottom w:val="none" w:sz="0" w:space="0" w:color="auto"/>
        <w:right w:val="none" w:sz="0" w:space="0" w:color="auto"/>
      </w:divBdr>
    </w:div>
    <w:div w:id="1036197139">
      <w:bodyDiv w:val="1"/>
      <w:marLeft w:val="0"/>
      <w:marRight w:val="0"/>
      <w:marTop w:val="0"/>
      <w:marBottom w:val="0"/>
      <w:divBdr>
        <w:top w:val="none" w:sz="0" w:space="0" w:color="auto"/>
        <w:left w:val="none" w:sz="0" w:space="0" w:color="auto"/>
        <w:bottom w:val="none" w:sz="0" w:space="0" w:color="auto"/>
        <w:right w:val="none" w:sz="0" w:space="0" w:color="auto"/>
      </w:divBdr>
    </w:div>
    <w:div w:id="1038513231">
      <w:bodyDiv w:val="1"/>
      <w:marLeft w:val="0"/>
      <w:marRight w:val="0"/>
      <w:marTop w:val="0"/>
      <w:marBottom w:val="0"/>
      <w:divBdr>
        <w:top w:val="none" w:sz="0" w:space="0" w:color="auto"/>
        <w:left w:val="none" w:sz="0" w:space="0" w:color="auto"/>
        <w:bottom w:val="none" w:sz="0" w:space="0" w:color="auto"/>
        <w:right w:val="none" w:sz="0" w:space="0" w:color="auto"/>
      </w:divBdr>
    </w:div>
    <w:div w:id="1039554503">
      <w:bodyDiv w:val="1"/>
      <w:marLeft w:val="0"/>
      <w:marRight w:val="0"/>
      <w:marTop w:val="0"/>
      <w:marBottom w:val="0"/>
      <w:divBdr>
        <w:top w:val="none" w:sz="0" w:space="0" w:color="auto"/>
        <w:left w:val="none" w:sz="0" w:space="0" w:color="auto"/>
        <w:bottom w:val="none" w:sz="0" w:space="0" w:color="auto"/>
        <w:right w:val="none" w:sz="0" w:space="0" w:color="auto"/>
      </w:divBdr>
    </w:div>
    <w:div w:id="1040662865">
      <w:bodyDiv w:val="1"/>
      <w:marLeft w:val="0"/>
      <w:marRight w:val="0"/>
      <w:marTop w:val="0"/>
      <w:marBottom w:val="0"/>
      <w:divBdr>
        <w:top w:val="none" w:sz="0" w:space="0" w:color="auto"/>
        <w:left w:val="none" w:sz="0" w:space="0" w:color="auto"/>
        <w:bottom w:val="none" w:sz="0" w:space="0" w:color="auto"/>
        <w:right w:val="none" w:sz="0" w:space="0" w:color="auto"/>
      </w:divBdr>
    </w:div>
    <w:div w:id="1045300924">
      <w:bodyDiv w:val="1"/>
      <w:marLeft w:val="0"/>
      <w:marRight w:val="0"/>
      <w:marTop w:val="0"/>
      <w:marBottom w:val="0"/>
      <w:divBdr>
        <w:top w:val="none" w:sz="0" w:space="0" w:color="auto"/>
        <w:left w:val="none" w:sz="0" w:space="0" w:color="auto"/>
        <w:bottom w:val="none" w:sz="0" w:space="0" w:color="auto"/>
        <w:right w:val="none" w:sz="0" w:space="0" w:color="auto"/>
      </w:divBdr>
    </w:div>
    <w:div w:id="1048214997">
      <w:bodyDiv w:val="1"/>
      <w:marLeft w:val="0"/>
      <w:marRight w:val="0"/>
      <w:marTop w:val="0"/>
      <w:marBottom w:val="0"/>
      <w:divBdr>
        <w:top w:val="none" w:sz="0" w:space="0" w:color="auto"/>
        <w:left w:val="none" w:sz="0" w:space="0" w:color="auto"/>
        <w:bottom w:val="none" w:sz="0" w:space="0" w:color="auto"/>
        <w:right w:val="none" w:sz="0" w:space="0" w:color="auto"/>
      </w:divBdr>
    </w:div>
    <w:div w:id="1053235699">
      <w:bodyDiv w:val="1"/>
      <w:marLeft w:val="0"/>
      <w:marRight w:val="0"/>
      <w:marTop w:val="0"/>
      <w:marBottom w:val="0"/>
      <w:divBdr>
        <w:top w:val="none" w:sz="0" w:space="0" w:color="auto"/>
        <w:left w:val="none" w:sz="0" w:space="0" w:color="auto"/>
        <w:bottom w:val="none" w:sz="0" w:space="0" w:color="auto"/>
        <w:right w:val="none" w:sz="0" w:space="0" w:color="auto"/>
      </w:divBdr>
    </w:div>
    <w:div w:id="1056900675">
      <w:bodyDiv w:val="1"/>
      <w:marLeft w:val="0"/>
      <w:marRight w:val="0"/>
      <w:marTop w:val="0"/>
      <w:marBottom w:val="0"/>
      <w:divBdr>
        <w:top w:val="none" w:sz="0" w:space="0" w:color="auto"/>
        <w:left w:val="none" w:sz="0" w:space="0" w:color="auto"/>
        <w:bottom w:val="none" w:sz="0" w:space="0" w:color="auto"/>
        <w:right w:val="none" w:sz="0" w:space="0" w:color="auto"/>
      </w:divBdr>
    </w:div>
    <w:div w:id="1059397101">
      <w:bodyDiv w:val="1"/>
      <w:marLeft w:val="0"/>
      <w:marRight w:val="0"/>
      <w:marTop w:val="0"/>
      <w:marBottom w:val="0"/>
      <w:divBdr>
        <w:top w:val="none" w:sz="0" w:space="0" w:color="auto"/>
        <w:left w:val="none" w:sz="0" w:space="0" w:color="auto"/>
        <w:bottom w:val="none" w:sz="0" w:space="0" w:color="auto"/>
        <w:right w:val="none" w:sz="0" w:space="0" w:color="auto"/>
      </w:divBdr>
    </w:div>
    <w:div w:id="1064258432">
      <w:bodyDiv w:val="1"/>
      <w:marLeft w:val="0"/>
      <w:marRight w:val="0"/>
      <w:marTop w:val="0"/>
      <w:marBottom w:val="0"/>
      <w:divBdr>
        <w:top w:val="none" w:sz="0" w:space="0" w:color="auto"/>
        <w:left w:val="none" w:sz="0" w:space="0" w:color="auto"/>
        <w:bottom w:val="none" w:sz="0" w:space="0" w:color="auto"/>
        <w:right w:val="none" w:sz="0" w:space="0" w:color="auto"/>
      </w:divBdr>
    </w:div>
    <w:div w:id="1066298842">
      <w:bodyDiv w:val="1"/>
      <w:marLeft w:val="0"/>
      <w:marRight w:val="0"/>
      <w:marTop w:val="0"/>
      <w:marBottom w:val="0"/>
      <w:divBdr>
        <w:top w:val="none" w:sz="0" w:space="0" w:color="auto"/>
        <w:left w:val="none" w:sz="0" w:space="0" w:color="auto"/>
        <w:bottom w:val="none" w:sz="0" w:space="0" w:color="auto"/>
        <w:right w:val="none" w:sz="0" w:space="0" w:color="auto"/>
      </w:divBdr>
    </w:div>
    <w:div w:id="1067144674">
      <w:bodyDiv w:val="1"/>
      <w:marLeft w:val="0"/>
      <w:marRight w:val="0"/>
      <w:marTop w:val="0"/>
      <w:marBottom w:val="0"/>
      <w:divBdr>
        <w:top w:val="none" w:sz="0" w:space="0" w:color="auto"/>
        <w:left w:val="none" w:sz="0" w:space="0" w:color="auto"/>
        <w:bottom w:val="none" w:sz="0" w:space="0" w:color="auto"/>
        <w:right w:val="none" w:sz="0" w:space="0" w:color="auto"/>
      </w:divBdr>
    </w:div>
    <w:div w:id="1069578488">
      <w:bodyDiv w:val="1"/>
      <w:marLeft w:val="0"/>
      <w:marRight w:val="0"/>
      <w:marTop w:val="0"/>
      <w:marBottom w:val="0"/>
      <w:divBdr>
        <w:top w:val="none" w:sz="0" w:space="0" w:color="auto"/>
        <w:left w:val="none" w:sz="0" w:space="0" w:color="auto"/>
        <w:bottom w:val="none" w:sz="0" w:space="0" w:color="auto"/>
        <w:right w:val="none" w:sz="0" w:space="0" w:color="auto"/>
      </w:divBdr>
    </w:div>
    <w:div w:id="1078863506">
      <w:bodyDiv w:val="1"/>
      <w:marLeft w:val="0"/>
      <w:marRight w:val="0"/>
      <w:marTop w:val="0"/>
      <w:marBottom w:val="0"/>
      <w:divBdr>
        <w:top w:val="none" w:sz="0" w:space="0" w:color="auto"/>
        <w:left w:val="none" w:sz="0" w:space="0" w:color="auto"/>
        <w:bottom w:val="none" w:sz="0" w:space="0" w:color="auto"/>
        <w:right w:val="none" w:sz="0" w:space="0" w:color="auto"/>
      </w:divBdr>
    </w:div>
    <w:div w:id="1079716237">
      <w:bodyDiv w:val="1"/>
      <w:marLeft w:val="0"/>
      <w:marRight w:val="0"/>
      <w:marTop w:val="0"/>
      <w:marBottom w:val="0"/>
      <w:divBdr>
        <w:top w:val="none" w:sz="0" w:space="0" w:color="auto"/>
        <w:left w:val="none" w:sz="0" w:space="0" w:color="auto"/>
        <w:bottom w:val="none" w:sz="0" w:space="0" w:color="auto"/>
        <w:right w:val="none" w:sz="0" w:space="0" w:color="auto"/>
      </w:divBdr>
    </w:div>
    <w:div w:id="1079791653">
      <w:bodyDiv w:val="1"/>
      <w:marLeft w:val="0"/>
      <w:marRight w:val="0"/>
      <w:marTop w:val="0"/>
      <w:marBottom w:val="0"/>
      <w:divBdr>
        <w:top w:val="none" w:sz="0" w:space="0" w:color="auto"/>
        <w:left w:val="none" w:sz="0" w:space="0" w:color="auto"/>
        <w:bottom w:val="none" w:sz="0" w:space="0" w:color="auto"/>
        <w:right w:val="none" w:sz="0" w:space="0" w:color="auto"/>
      </w:divBdr>
    </w:div>
    <w:div w:id="1085371646">
      <w:bodyDiv w:val="1"/>
      <w:marLeft w:val="0"/>
      <w:marRight w:val="0"/>
      <w:marTop w:val="0"/>
      <w:marBottom w:val="0"/>
      <w:divBdr>
        <w:top w:val="none" w:sz="0" w:space="0" w:color="auto"/>
        <w:left w:val="none" w:sz="0" w:space="0" w:color="auto"/>
        <w:bottom w:val="none" w:sz="0" w:space="0" w:color="auto"/>
        <w:right w:val="none" w:sz="0" w:space="0" w:color="auto"/>
      </w:divBdr>
    </w:div>
    <w:div w:id="1087651102">
      <w:bodyDiv w:val="1"/>
      <w:marLeft w:val="0"/>
      <w:marRight w:val="0"/>
      <w:marTop w:val="0"/>
      <w:marBottom w:val="0"/>
      <w:divBdr>
        <w:top w:val="none" w:sz="0" w:space="0" w:color="auto"/>
        <w:left w:val="none" w:sz="0" w:space="0" w:color="auto"/>
        <w:bottom w:val="none" w:sz="0" w:space="0" w:color="auto"/>
        <w:right w:val="none" w:sz="0" w:space="0" w:color="auto"/>
      </w:divBdr>
    </w:div>
    <w:div w:id="1088772822">
      <w:bodyDiv w:val="1"/>
      <w:marLeft w:val="0"/>
      <w:marRight w:val="0"/>
      <w:marTop w:val="0"/>
      <w:marBottom w:val="0"/>
      <w:divBdr>
        <w:top w:val="none" w:sz="0" w:space="0" w:color="auto"/>
        <w:left w:val="none" w:sz="0" w:space="0" w:color="auto"/>
        <w:bottom w:val="none" w:sz="0" w:space="0" w:color="auto"/>
        <w:right w:val="none" w:sz="0" w:space="0" w:color="auto"/>
      </w:divBdr>
    </w:div>
    <w:div w:id="1092582689">
      <w:bodyDiv w:val="1"/>
      <w:marLeft w:val="0"/>
      <w:marRight w:val="0"/>
      <w:marTop w:val="0"/>
      <w:marBottom w:val="0"/>
      <w:divBdr>
        <w:top w:val="none" w:sz="0" w:space="0" w:color="auto"/>
        <w:left w:val="none" w:sz="0" w:space="0" w:color="auto"/>
        <w:bottom w:val="none" w:sz="0" w:space="0" w:color="auto"/>
        <w:right w:val="none" w:sz="0" w:space="0" w:color="auto"/>
      </w:divBdr>
    </w:div>
    <w:div w:id="1104154287">
      <w:bodyDiv w:val="1"/>
      <w:marLeft w:val="0"/>
      <w:marRight w:val="0"/>
      <w:marTop w:val="0"/>
      <w:marBottom w:val="0"/>
      <w:divBdr>
        <w:top w:val="none" w:sz="0" w:space="0" w:color="auto"/>
        <w:left w:val="none" w:sz="0" w:space="0" w:color="auto"/>
        <w:bottom w:val="none" w:sz="0" w:space="0" w:color="auto"/>
        <w:right w:val="none" w:sz="0" w:space="0" w:color="auto"/>
      </w:divBdr>
    </w:div>
    <w:div w:id="1104838309">
      <w:bodyDiv w:val="1"/>
      <w:marLeft w:val="0"/>
      <w:marRight w:val="0"/>
      <w:marTop w:val="0"/>
      <w:marBottom w:val="0"/>
      <w:divBdr>
        <w:top w:val="none" w:sz="0" w:space="0" w:color="auto"/>
        <w:left w:val="none" w:sz="0" w:space="0" w:color="auto"/>
        <w:bottom w:val="none" w:sz="0" w:space="0" w:color="auto"/>
        <w:right w:val="none" w:sz="0" w:space="0" w:color="auto"/>
      </w:divBdr>
    </w:div>
    <w:div w:id="1107702279">
      <w:bodyDiv w:val="1"/>
      <w:marLeft w:val="0"/>
      <w:marRight w:val="0"/>
      <w:marTop w:val="0"/>
      <w:marBottom w:val="0"/>
      <w:divBdr>
        <w:top w:val="none" w:sz="0" w:space="0" w:color="auto"/>
        <w:left w:val="none" w:sz="0" w:space="0" w:color="auto"/>
        <w:bottom w:val="none" w:sz="0" w:space="0" w:color="auto"/>
        <w:right w:val="none" w:sz="0" w:space="0" w:color="auto"/>
      </w:divBdr>
    </w:div>
    <w:div w:id="1109348139">
      <w:bodyDiv w:val="1"/>
      <w:marLeft w:val="0"/>
      <w:marRight w:val="0"/>
      <w:marTop w:val="0"/>
      <w:marBottom w:val="0"/>
      <w:divBdr>
        <w:top w:val="none" w:sz="0" w:space="0" w:color="auto"/>
        <w:left w:val="none" w:sz="0" w:space="0" w:color="auto"/>
        <w:bottom w:val="none" w:sz="0" w:space="0" w:color="auto"/>
        <w:right w:val="none" w:sz="0" w:space="0" w:color="auto"/>
      </w:divBdr>
    </w:div>
    <w:div w:id="1112625971">
      <w:bodyDiv w:val="1"/>
      <w:marLeft w:val="0"/>
      <w:marRight w:val="0"/>
      <w:marTop w:val="0"/>
      <w:marBottom w:val="0"/>
      <w:divBdr>
        <w:top w:val="none" w:sz="0" w:space="0" w:color="auto"/>
        <w:left w:val="none" w:sz="0" w:space="0" w:color="auto"/>
        <w:bottom w:val="none" w:sz="0" w:space="0" w:color="auto"/>
        <w:right w:val="none" w:sz="0" w:space="0" w:color="auto"/>
      </w:divBdr>
    </w:div>
    <w:div w:id="1113593235">
      <w:bodyDiv w:val="1"/>
      <w:marLeft w:val="0"/>
      <w:marRight w:val="0"/>
      <w:marTop w:val="0"/>
      <w:marBottom w:val="0"/>
      <w:divBdr>
        <w:top w:val="none" w:sz="0" w:space="0" w:color="auto"/>
        <w:left w:val="none" w:sz="0" w:space="0" w:color="auto"/>
        <w:bottom w:val="none" w:sz="0" w:space="0" w:color="auto"/>
        <w:right w:val="none" w:sz="0" w:space="0" w:color="auto"/>
      </w:divBdr>
    </w:div>
    <w:div w:id="1118256840">
      <w:bodyDiv w:val="1"/>
      <w:marLeft w:val="0"/>
      <w:marRight w:val="0"/>
      <w:marTop w:val="0"/>
      <w:marBottom w:val="0"/>
      <w:divBdr>
        <w:top w:val="none" w:sz="0" w:space="0" w:color="auto"/>
        <w:left w:val="none" w:sz="0" w:space="0" w:color="auto"/>
        <w:bottom w:val="none" w:sz="0" w:space="0" w:color="auto"/>
        <w:right w:val="none" w:sz="0" w:space="0" w:color="auto"/>
      </w:divBdr>
    </w:div>
    <w:div w:id="1121607988">
      <w:bodyDiv w:val="1"/>
      <w:marLeft w:val="0"/>
      <w:marRight w:val="0"/>
      <w:marTop w:val="0"/>
      <w:marBottom w:val="0"/>
      <w:divBdr>
        <w:top w:val="none" w:sz="0" w:space="0" w:color="auto"/>
        <w:left w:val="none" w:sz="0" w:space="0" w:color="auto"/>
        <w:bottom w:val="none" w:sz="0" w:space="0" w:color="auto"/>
        <w:right w:val="none" w:sz="0" w:space="0" w:color="auto"/>
      </w:divBdr>
    </w:div>
    <w:div w:id="1125542475">
      <w:bodyDiv w:val="1"/>
      <w:marLeft w:val="0"/>
      <w:marRight w:val="0"/>
      <w:marTop w:val="0"/>
      <w:marBottom w:val="0"/>
      <w:divBdr>
        <w:top w:val="none" w:sz="0" w:space="0" w:color="auto"/>
        <w:left w:val="none" w:sz="0" w:space="0" w:color="auto"/>
        <w:bottom w:val="none" w:sz="0" w:space="0" w:color="auto"/>
        <w:right w:val="none" w:sz="0" w:space="0" w:color="auto"/>
      </w:divBdr>
    </w:div>
    <w:div w:id="1127235289">
      <w:bodyDiv w:val="1"/>
      <w:marLeft w:val="0"/>
      <w:marRight w:val="0"/>
      <w:marTop w:val="0"/>
      <w:marBottom w:val="0"/>
      <w:divBdr>
        <w:top w:val="none" w:sz="0" w:space="0" w:color="auto"/>
        <w:left w:val="none" w:sz="0" w:space="0" w:color="auto"/>
        <w:bottom w:val="none" w:sz="0" w:space="0" w:color="auto"/>
        <w:right w:val="none" w:sz="0" w:space="0" w:color="auto"/>
      </w:divBdr>
    </w:div>
    <w:div w:id="1129401080">
      <w:bodyDiv w:val="1"/>
      <w:marLeft w:val="0"/>
      <w:marRight w:val="0"/>
      <w:marTop w:val="0"/>
      <w:marBottom w:val="0"/>
      <w:divBdr>
        <w:top w:val="none" w:sz="0" w:space="0" w:color="auto"/>
        <w:left w:val="none" w:sz="0" w:space="0" w:color="auto"/>
        <w:bottom w:val="none" w:sz="0" w:space="0" w:color="auto"/>
        <w:right w:val="none" w:sz="0" w:space="0" w:color="auto"/>
      </w:divBdr>
    </w:div>
    <w:div w:id="1130053998">
      <w:bodyDiv w:val="1"/>
      <w:marLeft w:val="0"/>
      <w:marRight w:val="0"/>
      <w:marTop w:val="0"/>
      <w:marBottom w:val="0"/>
      <w:divBdr>
        <w:top w:val="none" w:sz="0" w:space="0" w:color="auto"/>
        <w:left w:val="none" w:sz="0" w:space="0" w:color="auto"/>
        <w:bottom w:val="none" w:sz="0" w:space="0" w:color="auto"/>
        <w:right w:val="none" w:sz="0" w:space="0" w:color="auto"/>
      </w:divBdr>
    </w:div>
    <w:div w:id="1130130772">
      <w:bodyDiv w:val="1"/>
      <w:marLeft w:val="0"/>
      <w:marRight w:val="0"/>
      <w:marTop w:val="0"/>
      <w:marBottom w:val="0"/>
      <w:divBdr>
        <w:top w:val="none" w:sz="0" w:space="0" w:color="auto"/>
        <w:left w:val="none" w:sz="0" w:space="0" w:color="auto"/>
        <w:bottom w:val="none" w:sz="0" w:space="0" w:color="auto"/>
        <w:right w:val="none" w:sz="0" w:space="0" w:color="auto"/>
      </w:divBdr>
    </w:div>
    <w:div w:id="1130512248">
      <w:bodyDiv w:val="1"/>
      <w:marLeft w:val="0"/>
      <w:marRight w:val="0"/>
      <w:marTop w:val="0"/>
      <w:marBottom w:val="0"/>
      <w:divBdr>
        <w:top w:val="none" w:sz="0" w:space="0" w:color="auto"/>
        <w:left w:val="none" w:sz="0" w:space="0" w:color="auto"/>
        <w:bottom w:val="none" w:sz="0" w:space="0" w:color="auto"/>
        <w:right w:val="none" w:sz="0" w:space="0" w:color="auto"/>
      </w:divBdr>
    </w:div>
    <w:div w:id="1131553536">
      <w:bodyDiv w:val="1"/>
      <w:marLeft w:val="0"/>
      <w:marRight w:val="0"/>
      <w:marTop w:val="0"/>
      <w:marBottom w:val="0"/>
      <w:divBdr>
        <w:top w:val="none" w:sz="0" w:space="0" w:color="auto"/>
        <w:left w:val="none" w:sz="0" w:space="0" w:color="auto"/>
        <w:bottom w:val="none" w:sz="0" w:space="0" w:color="auto"/>
        <w:right w:val="none" w:sz="0" w:space="0" w:color="auto"/>
      </w:divBdr>
    </w:div>
    <w:div w:id="1131822976">
      <w:bodyDiv w:val="1"/>
      <w:marLeft w:val="0"/>
      <w:marRight w:val="0"/>
      <w:marTop w:val="0"/>
      <w:marBottom w:val="0"/>
      <w:divBdr>
        <w:top w:val="none" w:sz="0" w:space="0" w:color="auto"/>
        <w:left w:val="none" w:sz="0" w:space="0" w:color="auto"/>
        <w:bottom w:val="none" w:sz="0" w:space="0" w:color="auto"/>
        <w:right w:val="none" w:sz="0" w:space="0" w:color="auto"/>
      </w:divBdr>
    </w:div>
    <w:div w:id="1137918652">
      <w:bodyDiv w:val="1"/>
      <w:marLeft w:val="0"/>
      <w:marRight w:val="0"/>
      <w:marTop w:val="0"/>
      <w:marBottom w:val="0"/>
      <w:divBdr>
        <w:top w:val="none" w:sz="0" w:space="0" w:color="auto"/>
        <w:left w:val="none" w:sz="0" w:space="0" w:color="auto"/>
        <w:bottom w:val="none" w:sz="0" w:space="0" w:color="auto"/>
        <w:right w:val="none" w:sz="0" w:space="0" w:color="auto"/>
      </w:divBdr>
    </w:div>
    <w:div w:id="1140998626">
      <w:bodyDiv w:val="1"/>
      <w:marLeft w:val="0"/>
      <w:marRight w:val="0"/>
      <w:marTop w:val="0"/>
      <w:marBottom w:val="0"/>
      <w:divBdr>
        <w:top w:val="none" w:sz="0" w:space="0" w:color="auto"/>
        <w:left w:val="none" w:sz="0" w:space="0" w:color="auto"/>
        <w:bottom w:val="none" w:sz="0" w:space="0" w:color="auto"/>
        <w:right w:val="none" w:sz="0" w:space="0" w:color="auto"/>
      </w:divBdr>
    </w:div>
    <w:div w:id="1143352590">
      <w:bodyDiv w:val="1"/>
      <w:marLeft w:val="0"/>
      <w:marRight w:val="0"/>
      <w:marTop w:val="0"/>
      <w:marBottom w:val="0"/>
      <w:divBdr>
        <w:top w:val="none" w:sz="0" w:space="0" w:color="auto"/>
        <w:left w:val="none" w:sz="0" w:space="0" w:color="auto"/>
        <w:bottom w:val="none" w:sz="0" w:space="0" w:color="auto"/>
        <w:right w:val="none" w:sz="0" w:space="0" w:color="auto"/>
      </w:divBdr>
    </w:div>
    <w:div w:id="1159227014">
      <w:bodyDiv w:val="1"/>
      <w:marLeft w:val="0"/>
      <w:marRight w:val="0"/>
      <w:marTop w:val="0"/>
      <w:marBottom w:val="0"/>
      <w:divBdr>
        <w:top w:val="none" w:sz="0" w:space="0" w:color="auto"/>
        <w:left w:val="none" w:sz="0" w:space="0" w:color="auto"/>
        <w:bottom w:val="none" w:sz="0" w:space="0" w:color="auto"/>
        <w:right w:val="none" w:sz="0" w:space="0" w:color="auto"/>
      </w:divBdr>
    </w:div>
    <w:div w:id="1159463222">
      <w:bodyDiv w:val="1"/>
      <w:marLeft w:val="0"/>
      <w:marRight w:val="0"/>
      <w:marTop w:val="0"/>
      <w:marBottom w:val="0"/>
      <w:divBdr>
        <w:top w:val="none" w:sz="0" w:space="0" w:color="auto"/>
        <w:left w:val="none" w:sz="0" w:space="0" w:color="auto"/>
        <w:bottom w:val="none" w:sz="0" w:space="0" w:color="auto"/>
        <w:right w:val="none" w:sz="0" w:space="0" w:color="auto"/>
      </w:divBdr>
    </w:div>
    <w:div w:id="1159493638">
      <w:bodyDiv w:val="1"/>
      <w:marLeft w:val="0"/>
      <w:marRight w:val="0"/>
      <w:marTop w:val="0"/>
      <w:marBottom w:val="0"/>
      <w:divBdr>
        <w:top w:val="none" w:sz="0" w:space="0" w:color="auto"/>
        <w:left w:val="none" w:sz="0" w:space="0" w:color="auto"/>
        <w:bottom w:val="none" w:sz="0" w:space="0" w:color="auto"/>
        <w:right w:val="none" w:sz="0" w:space="0" w:color="auto"/>
      </w:divBdr>
    </w:div>
    <w:div w:id="1163161763">
      <w:bodyDiv w:val="1"/>
      <w:marLeft w:val="0"/>
      <w:marRight w:val="0"/>
      <w:marTop w:val="0"/>
      <w:marBottom w:val="0"/>
      <w:divBdr>
        <w:top w:val="none" w:sz="0" w:space="0" w:color="auto"/>
        <w:left w:val="none" w:sz="0" w:space="0" w:color="auto"/>
        <w:bottom w:val="none" w:sz="0" w:space="0" w:color="auto"/>
        <w:right w:val="none" w:sz="0" w:space="0" w:color="auto"/>
      </w:divBdr>
    </w:div>
    <w:div w:id="1165247633">
      <w:bodyDiv w:val="1"/>
      <w:marLeft w:val="0"/>
      <w:marRight w:val="0"/>
      <w:marTop w:val="0"/>
      <w:marBottom w:val="0"/>
      <w:divBdr>
        <w:top w:val="none" w:sz="0" w:space="0" w:color="auto"/>
        <w:left w:val="none" w:sz="0" w:space="0" w:color="auto"/>
        <w:bottom w:val="none" w:sz="0" w:space="0" w:color="auto"/>
        <w:right w:val="none" w:sz="0" w:space="0" w:color="auto"/>
      </w:divBdr>
    </w:div>
    <w:div w:id="1172526773">
      <w:bodyDiv w:val="1"/>
      <w:marLeft w:val="0"/>
      <w:marRight w:val="0"/>
      <w:marTop w:val="0"/>
      <w:marBottom w:val="0"/>
      <w:divBdr>
        <w:top w:val="none" w:sz="0" w:space="0" w:color="auto"/>
        <w:left w:val="none" w:sz="0" w:space="0" w:color="auto"/>
        <w:bottom w:val="none" w:sz="0" w:space="0" w:color="auto"/>
        <w:right w:val="none" w:sz="0" w:space="0" w:color="auto"/>
      </w:divBdr>
    </w:div>
    <w:div w:id="1182554101">
      <w:bodyDiv w:val="1"/>
      <w:marLeft w:val="0"/>
      <w:marRight w:val="0"/>
      <w:marTop w:val="0"/>
      <w:marBottom w:val="0"/>
      <w:divBdr>
        <w:top w:val="none" w:sz="0" w:space="0" w:color="auto"/>
        <w:left w:val="none" w:sz="0" w:space="0" w:color="auto"/>
        <w:bottom w:val="none" w:sz="0" w:space="0" w:color="auto"/>
        <w:right w:val="none" w:sz="0" w:space="0" w:color="auto"/>
      </w:divBdr>
    </w:div>
    <w:div w:id="1184637724">
      <w:bodyDiv w:val="1"/>
      <w:marLeft w:val="0"/>
      <w:marRight w:val="0"/>
      <w:marTop w:val="0"/>
      <w:marBottom w:val="0"/>
      <w:divBdr>
        <w:top w:val="none" w:sz="0" w:space="0" w:color="auto"/>
        <w:left w:val="none" w:sz="0" w:space="0" w:color="auto"/>
        <w:bottom w:val="none" w:sz="0" w:space="0" w:color="auto"/>
        <w:right w:val="none" w:sz="0" w:space="0" w:color="auto"/>
      </w:divBdr>
    </w:div>
    <w:div w:id="1189871867">
      <w:bodyDiv w:val="1"/>
      <w:marLeft w:val="0"/>
      <w:marRight w:val="0"/>
      <w:marTop w:val="0"/>
      <w:marBottom w:val="0"/>
      <w:divBdr>
        <w:top w:val="none" w:sz="0" w:space="0" w:color="auto"/>
        <w:left w:val="none" w:sz="0" w:space="0" w:color="auto"/>
        <w:bottom w:val="none" w:sz="0" w:space="0" w:color="auto"/>
        <w:right w:val="none" w:sz="0" w:space="0" w:color="auto"/>
      </w:divBdr>
    </w:div>
    <w:div w:id="1198397108">
      <w:bodyDiv w:val="1"/>
      <w:marLeft w:val="0"/>
      <w:marRight w:val="0"/>
      <w:marTop w:val="0"/>
      <w:marBottom w:val="0"/>
      <w:divBdr>
        <w:top w:val="none" w:sz="0" w:space="0" w:color="auto"/>
        <w:left w:val="none" w:sz="0" w:space="0" w:color="auto"/>
        <w:bottom w:val="none" w:sz="0" w:space="0" w:color="auto"/>
        <w:right w:val="none" w:sz="0" w:space="0" w:color="auto"/>
      </w:divBdr>
    </w:div>
    <w:div w:id="1199582230">
      <w:bodyDiv w:val="1"/>
      <w:marLeft w:val="0"/>
      <w:marRight w:val="0"/>
      <w:marTop w:val="0"/>
      <w:marBottom w:val="0"/>
      <w:divBdr>
        <w:top w:val="none" w:sz="0" w:space="0" w:color="auto"/>
        <w:left w:val="none" w:sz="0" w:space="0" w:color="auto"/>
        <w:bottom w:val="none" w:sz="0" w:space="0" w:color="auto"/>
        <w:right w:val="none" w:sz="0" w:space="0" w:color="auto"/>
      </w:divBdr>
    </w:div>
    <w:div w:id="1203132242">
      <w:bodyDiv w:val="1"/>
      <w:marLeft w:val="0"/>
      <w:marRight w:val="0"/>
      <w:marTop w:val="0"/>
      <w:marBottom w:val="0"/>
      <w:divBdr>
        <w:top w:val="none" w:sz="0" w:space="0" w:color="auto"/>
        <w:left w:val="none" w:sz="0" w:space="0" w:color="auto"/>
        <w:bottom w:val="none" w:sz="0" w:space="0" w:color="auto"/>
        <w:right w:val="none" w:sz="0" w:space="0" w:color="auto"/>
      </w:divBdr>
    </w:div>
    <w:div w:id="1203178919">
      <w:bodyDiv w:val="1"/>
      <w:marLeft w:val="0"/>
      <w:marRight w:val="0"/>
      <w:marTop w:val="0"/>
      <w:marBottom w:val="0"/>
      <w:divBdr>
        <w:top w:val="none" w:sz="0" w:space="0" w:color="auto"/>
        <w:left w:val="none" w:sz="0" w:space="0" w:color="auto"/>
        <w:bottom w:val="none" w:sz="0" w:space="0" w:color="auto"/>
        <w:right w:val="none" w:sz="0" w:space="0" w:color="auto"/>
      </w:divBdr>
    </w:div>
    <w:div w:id="1203903462">
      <w:bodyDiv w:val="1"/>
      <w:marLeft w:val="0"/>
      <w:marRight w:val="0"/>
      <w:marTop w:val="0"/>
      <w:marBottom w:val="0"/>
      <w:divBdr>
        <w:top w:val="none" w:sz="0" w:space="0" w:color="auto"/>
        <w:left w:val="none" w:sz="0" w:space="0" w:color="auto"/>
        <w:bottom w:val="none" w:sz="0" w:space="0" w:color="auto"/>
        <w:right w:val="none" w:sz="0" w:space="0" w:color="auto"/>
      </w:divBdr>
    </w:div>
    <w:div w:id="1209797833">
      <w:bodyDiv w:val="1"/>
      <w:marLeft w:val="0"/>
      <w:marRight w:val="0"/>
      <w:marTop w:val="0"/>
      <w:marBottom w:val="0"/>
      <w:divBdr>
        <w:top w:val="none" w:sz="0" w:space="0" w:color="auto"/>
        <w:left w:val="none" w:sz="0" w:space="0" w:color="auto"/>
        <w:bottom w:val="none" w:sz="0" w:space="0" w:color="auto"/>
        <w:right w:val="none" w:sz="0" w:space="0" w:color="auto"/>
      </w:divBdr>
    </w:div>
    <w:div w:id="1215041698">
      <w:bodyDiv w:val="1"/>
      <w:marLeft w:val="0"/>
      <w:marRight w:val="0"/>
      <w:marTop w:val="0"/>
      <w:marBottom w:val="0"/>
      <w:divBdr>
        <w:top w:val="none" w:sz="0" w:space="0" w:color="auto"/>
        <w:left w:val="none" w:sz="0" w:space="0" w:color="auto"/>
        <w:bottom w:val="none" w:sz="0" w:space="0" w:color="auto"/>
        <w:right w:val="none" w:sz="0" w:space="0" w:color="auto"/>
      </w:divBdr>
    </w:div>
    <w:div w:id="1229342577">
      <w:bodyDiv w:val="1"/>
      <w:marLeft w:val="0"/>
      <w:marRight w:val="0"/>
      <w:marTop w:val="0"/>
      <w:marBottom w:val="0"/>
      <w:divBdr>
        <w:top w:val="none" w:sz="0" w:space="0" w:color="auto"/>
        <w:left w:val="none" w:sz="0" w:space="0" w:color="auto"/>
        <w:bottom w:val="none" w:sz="0" w:space="0" w:color="auto"/>
        <w:right w:val="none" w:sz="0" w:space="0" w:color="auto"/>
      </w:divBdr>
    </w:div>
    <w:div w:id="1230266439">
      <w:bodyDiv w:val="1"/>
      <w:marLeft w:val="0"/>
      <w:marRight w:val="0"/>
      <w:marTop w:val="0"/>
      <w:marBottom w:val="0"/>
      <w:divBdr>
        <w:top w:val="none" w:sz="0" w:space="0" w:color="auto"/>
        <w:left w:val="none" w:sz="0" w:space="0" w:color="auto"/>
        <w:bottom w:val="none" w:sz="0" w:space="0" w:color="auto"/>
        <w:right w:val="none" w:sz="0" w:space="0" w:color="auto"/>
      </w:divBdr>
    </w:div>
    <w:div w:id="1239167880">
      <w:bodyDiv w:val="1"/>
      <w:marLeft w:val="0"/>
      <w:marRight w:val="0"/>
      <w:marTop w:val="0"/>
      <w:marBottom w:val="0"/>
      <w:divBdr>
        <w:top w:val="none" w:sz="0" w:space="0" w:color="auto"/>
        <w:left w:val="none" w:sz="0" w:space="0" w:color="auto"/>
        <w:bottom w:val="none" w:sz="0" w:space="0" w:color="auto"/>
        <w:right w:val="none" w:sz="0" w:space="0" w:color="auto"/>
      </w:divBdr>
    </w:div>
    <w:div w:id="1243028033">
      <w:bodyDiv w:val="1"/>
      <w:marLeft w:val="0"/>
      <w:marRight w:val="0"/>
      <w:marTop w:val="0"/>
      <w:marBottom w:val="0"/>
      <w:divBdr>
        <w:top w:val="none" w:sz="0" w:space="0" w:color="auto"/>
        <w:left w:val="none" w:sz="0" w:space="0" w:color="auto"/>
        <w:bottom w:val="none" w:sz="0" w:space="0" w:color="auto"/>
        <w:right w:val="none" w:sz="0" w:space="0" w:color="auto"/>
      </w:divBdr>
    </w:div>
    <w:div w:id="1250381670">
      <w:bodyDiv w:val="1"/>
      <w:marLeft w:val="0"/>
      <w:marRight w:val="0"/>
      <w:marTop w:val="0"/>
      <w:marBottom w:val="0"/>
      <w:divBdr>
        <w:top w:val="none" w:sz="0" w:space="0" w:color="auto"/>
        <w:left w:val="none" w:sz="0" w:space="0" w:color="auto"/>
        <w:bottom w:val="none" w:sz="0" w:space="0" w:color="auto"/>
        <w:right w:val="none" w:sz="0" w:space="0" w:color="auto"/>
      </w:divBdr>
    </w:div>
    <w:div w:id="1254247330">
      <w:bodyDiv w:val="1"/>
      <w:marLeft w:val="0"/>
      <w:marRight w:val="0"/>
      <w:marTop w:val="0"/>
      <w:marBottom w:val="0"/>
      <w:divBdr>
        <w:top w:val="none" w:sz="0" w:space="0" w:color="auto"/>
        <w:left w:val="none" w:sz="0" w:space="0" w:color="auto"/>
        <w:bottom w:val="none" w:sz="0" w:space="0" w:color="auto"/>
        <w:right w:val="none" w:sz="0" w:space="0" w:color="auto"/>
      </w:divBdr>
    </w:div>
    <w:div w:id="1256402718">
      <w:bodyDiv w:val="1"/>
      <w:marLeft w:val="0"/>
      <w:marRight w:val="0"/>
      <w:marTop w:val="0"/>
      <w:marBottom w:val="0"/>
      <w:divBdr>
        <w:top w:val="none" w:sz="0" w:space="0" w:color="auto"/>
        <w:left w:val="none" w:sz="0" w:space="0" w:color="auto"/>
        <w:bottom w:val="none" w:sz="0" w:space="0" w:color="auto"/>
        <w:right w:val="none" w:sz="0" w:space="0" w:color="auto"/>
      </w:divBdr>
    </w:div>
    <w:div w:id="1262033242">
      <w:bodyDiv w:val="1"/>
      <w:marLeft w:val="0"/>
      <w:marRight w:val="0"/>
      <w:marTop w:val="0"/>
      <w:marBottom w:val="0"/>
      <w:divBdr>
        <w:top w:val="none" w:sz="0" w:space="0" w:color="auto"/>
        <w:left w:val="none" w:sz="0" w:space="0" w:color="auto"/>
        <w:bottom w:val="none" w:sz="0" w:space="0" w:color="auto"/>
        <w:right w:val="none" w:sz="0" w:space="0" w:color="auto"/>
      </w:divBdr>
    </w:div>
    <w:div w:id="1264999140">
      <w:bodyDiv w:val="1"/>
      <w:marLeft w:val="0"/>
      <w:marRight w:val="0"/>
      <w:marTop w:val="0"/>
      <w:marBottom w:val="0"/>
      <w:divBdr>
        <w:top w:val="none" w:sz="0" w:space="0" w:color="auto"/>
        <w:left w:val="none" w:sz="0" w:space="0" w:color="auto"/>
        <w:bottom w:val="none" w:sz="0" w:space="0" w:color="auto"/>
        <w:right w:val="none" w:sz="0" w:space="0" w:color="auto"/>
      </w:divBdr>
    </w:div>
    <w:div w:id="1266421531">
      <w:bodyDiv w:val="1"/>
      <w:marLeft w:val="0"/>
      <w:marRight w:val="0"/>
      <w:marTop w:val="0"/>
      <w:marBottom w:val="0"/>
      <w:divBdr>
        <w:top w:val="none" w:sz="0" w:space="0" w:color="auto"/>
        <w:left w:val="none" w:sz="0" w:space="0" w:color="auto"/>
        <w:bottom w:val="none" w:sz="0" w:space="0" w:color="auto"/>
        <w:right w:val="none" w:sz="0" w:space="0" w:color="auto"/>
      </w:divBdr>
    </w:div>
    <w:div w:id="1267466840">
      <w:bodyDiv w:val="1"/>
      <w:marLeft w:val="0"/>
      <w:marRight w:val="0"/>
      <w:marTop w:val="0"/>
      <w:marBottom w:val="0"/>
      <w:divBdr>
        <w:top w:val="none" w:sz="0" w:space="0" w:color="auto"/>
        <w:left w:val="none" w:sz="0" w:space="0" w:color="auto"/>
        <w:bottom w:val="none" w:sz="0" w:space="0" w:color="auto"/>
        <w:right w:val="none" w:sz="0" w:space="0" w:color="auto"/>
      </w:divBdr>
    </w:div>
    <w:div w:id="1268777546">
      <w:bodyDiv w:val="1"/>
      <w:marLeft w:val="0"/>
      <w:marRight w:val="0"/>
      <w:marTop w:val="0"/>
      <w:marBottom w:val="0"/>
      <w:divBdr>
        <w:top w:val="none" w:sz="0" w:space="0" w:color="auto"/>
        <w:left w:val="none" w:sz="0" w:space="0" w:color="auto"/>
        <w:bottom w:val="none" w:sz="0" w:space="0" w:color="auto"/>
        <w:right w:val="none" w:sz="0" w:space="0" w:color="auto"/>
      </w:divBdr>
    </w:div>
    <w:div w:id="1272202717">
      <w:bodyDiv w:val="1"/>
      <w:marLeft w:val="0"/>
      <w:marRight w:val="0"/>
      <w:marTop w:val="0"/>
      <w:marBottom w:val="0"/>
      <w:divBdr>
        <w:top w:val="none" w:sz="0" w:space="0" w:color="auto"/>
        <w:left w:val="none" w:sz="0" w:space="0" w:color="auto"/>
        <w:bottom w:val="none" w:sz="0" w:space="0" w:color="auto"/>
        <w:right w:val="none" w:sz="0" w:space="0" w:color="auto"/>
      </w:divBdr>
    </w:div>
    <w:div w:id="1274365551">
      <w:bodyDiv w:val="1"/>
      <w:marLeft w:val="0"/>
      <w:marRight w:val="0"/>
      <w:marTop w:val="0"/>
      <w:marBottom w:val="0"/>
      <w:divBdr>
        <w:top w:val="none" w:sz="0" w:space="0" w:color="auto"/>
        <w:left w:val="none" w:sz="0" w:space="0" w:color="auto"/>
        <w:bottom w:val="none" w:sz="0" w:space="0" w:color="auto"/>
        <w:right w:val="none" w:sz="0" w:space="0" w:color="auto"/>
      </w:divBdr>
    </w:div>
    <w:div w:id="1275794482">
      <w:bodyDiv w:val="1"/>
      <w:marLeft w:val="0"/>
      <w:marRight w:val="0"/>
      <w:marTop w:val="0"/>
      <w:marBottom w:val="0"/>
      <w:divBdr>
        <w:top w:val="none" w:sz="0" w:space="0" w:color="auto"/>
        <w:left w:val="none" w:sz="0" w:space="0" w:color="auto"/>
        <w:bottom w:val="none" w:sz="0" w:space="0" w:color="auto"/>
        <w:right w:val="none" w:sz="0" w:space="0" w:color="auto"/>
      </w:divBdr>
    </w:div>
    <w:div w:id="1278564458">
      <w:bodyDiv w:val="1"/>
      <w:marLeft w:val="0"/>
      <w:marRight w:val="0"/>
      <w:marTop w:val="0"/>
      <w:marBottom w:val="0"/>
      <w:divBdr>
        <w:top w:val="none" w:sz="0" w:space="0" w:color="auto"/>
        <w:left w:val="none" w:sz="0" w:space="0" w:color="auto"/>
        <w:bottom w:val="none" w:sz="0" w:space="0" w:color="auto"/>
        <w:right w:val="none" w:sz="0" w:space="0" w:color="auto"/>
      </w:divBdr>
    </w:div>
    <w:div w:id="1291353733">
      <w:bodyDiv w:val="1"/>
      <w:marLeft w:val="0"/>
      <w:marRight w:val="0"/>
      <w:marTop w:val="0"/>
      <w:marBottom w:val="0"/>
      <w:divBdr>
        <w:top w:val="none" w:sz="0" w:space="0" w:color="auto"/>
        <w:left w:val="none" w:sz="0" w:space="0" w:color="auto"/>
        <w:bottom w:val="none" w:sz="0" w:space="0" w:color="auto"/>
        <w:right w:val="none" w:sz="0" w:space="0" w:color="auto"/>
      </w:divBdr>
    </w:div>
    <w:div w:id="1292129303">
      <w:bodyDiv w:val="1"/>
      <w:marLeft w:val="0"/>
      <w:marRight w:val="0"/>
      <w:marTop w:val="0"/>
      <w:marBottom w:val="0"/>
      <w:divBdr>
        <w:top w:val="none" w:sz="0" w:space="0" w:color="auto"/>
        <w:left w:val="none" w:sz="0" w:space="0" w:color="auto"/>
        <w:bottom w:val="none" w:sz="0" w:space="0" w:color="auto"/>
        <w:right w:val="none" w:sz="0" w:space="0" w:color="auto"/>
      </w:divBdr>
    </w:div>
    <w:div w:id="1292439290">
      <w:bodyDiv w:val="1"/>
      <w:marLeft w:val="0"/>
      <w:marRight w:val="0"/>
      <w:marTop w:val="0"/>
      <w:marBottom w:val="0"/>
      <w:divBdr>
        <w:top w:val="none" w:sz="0" w:space="0" w:color="auto"/>
        <w:left w:val="none" w:sz="0" w:space="0" w:color="auto"/>
        <w:bottom w:val="none" w:sz="0" w:space="0" w:color="auto"/>
        <w:right w:val="none" w:sz="0" w:space="0" w:color="auto"/>
      </w:divBdr>
    </w:div>
    <w:div w:id="1293365271">
      <w:bodyDiv w:val="1"/>
      <w:marLeft w:val="0"/>
      <w:marRight w:val="0"/>
      <w:marTop w:val="0"/>
      <w:marBottom w:val="0"/>
      <w:divBdr>
        <w:top w:val="none" w:sz="0" w:space="0" w:color="auto"/>
        <w:left w:val="none" w:sz="0" w:space="0" w:color="auto"/>
        <w:bottom w:val="none" w:sz="0" w:space="0" w:color="auto"/>
        <w:right w:val="none" w:sz="0" w:space="0" w:color="auto"/>
      </w:divBdr>
    </w:div>
    <w:div w:id="1294483093">
      <w:bodyDiv w:val="1"/>
      <w:marLeft w:val="0"/>
      <w:marRight w:val="0"/>
      <w:marTop w:val="0"/>
      <w:marBottom w:val="0"/>
      <w:divBdr>
        <w:top w:val="none" w:sz="0" w:space="0" w:color="auto"/>
        <w:left w:val="none" w:sz="0" w:space="0" w:color="auto"/>
        <w:bottom w:val="none" w:sz="0" w:space="0" w:color="auto"/>
        <w:right w:val="none" w:sz="0" w:space="0" w:color="auto"/>
      </w:divBdr>
    </w:div>
    <w:div w:id="1297761360">
      <w:bodyDiv w:val="1"/>
      <w:marLeft w:val="0"/>
      <w:marRight w:val="0"/>
      <w:marTop w:val="0"/>
      <w:marBottom w:val="0"/>
      <w:divBdr>
        <w:top w:val="none" w:sz="0" w:space="0" w:color="auto"/>
        <w:left w:val="none" w:sz="0" w:space="0" w:color="auto"/>
        <w:bottom w:val="none" w:sz="0" w:space="0" w:color="auto"/>
        <w:right w:val="none" w:sz="0" w:space="0" w:color="auto"/>
      </w:divBdr>
    </w:div>
    <w:div w:id="1300115509">
      <w:bodyDiv w:val="1"/>
      <w:marLeft w:val="0"/>
      <w:marRight w:val="0"/>
      <w:marTop w:val="0"/>
      <w:marBottom w:val="0"/>
      <w:divBdr>
        <w:top w:val="none" w:sz="0" w:space="0" w:color="auto"/>
        <w:left w:val="none" w:sz="0" w:space="0" w:color="auto"/>
        <w:bottom w:val="none" w:sz="0" w:space="0" w:color="auto"/>
        <w:right w:val="none" w:sz="0" w:space="0" w:color="auto"/>
      </w:divBdr>
    </w:div>
    <w:div w:id="1300380288">
      <w:bodyDiv w:val="1"/>
      <w:marLeft w:val="0"/>
      <w:marRight w:val="0"/>
      <w:marTop w:val="0"/>
      <w:marBottom w:val="0"/>
      <w:divBdr>
        <w:top w:val="none" w:sz="0" w:space="0" w:color="auto"/>
        <w:left w:val="none" w:sz="0" w:space="0" w:color="auto"/>
        <w:bottom w:val="none" w:sz="0" w:space="0" w:color="auto"/>
        <w:right w:val="none" w:sz="0" w:space="0" w:color="auto"/>
      </w:divBdr>
    </w:div>
    <w:div w:id="1301423692">
      <w:bodyDiv w:val="1"/>
      <w:marLeft w:val="0"/>
      <w:marRight w:val="0"/>
      <w:marTop w:val="0"/>
      <w:marBottom w:val="0"/>
      <w:divBdr>
        <w:top w:val="none" w:sz="0" w:space="0" w:color="auto"/>
        <w:left w:val="none" w:sz="0" w:space="0" w:color="auto"/>
        <w:bottom w:val="none" w:sz="0" w:space="0" w:color="auto"/>
        <w:right w:val="none" w:sz="0" w:space="0" w:color="auto"/>
      </w:divBdr>
    </w:div>
    <w:div w:id="1301690196">
      <w:bodyDiv w:val="1"/>
      <w:marLeft w:val="0"/>
      <w:marRight w:val="0"/>
      <w:marTop w:val="0"/>
      <w:marBottom w:val="0"/>
      <w:divBdr>
        <w:top w:val="none" w:sz="0" w:space="0" w:color="auto"/>
        <w:left w:val="none" w:sz="0" w:space="0" w:color="auto"/>
        <w:bottom w:val="none" w:sz="0" w:space="0" w:color="auto"/>
        <w:right w:val="none" w:sz="0" w:space="0" w:color="auto"/>
      </w:divBdr>
    </w:div>
    <w:div w:id="1303344866">
      <w:bodyDiv w:val="1"/>
      <w:marLeft w:val="0"/>
      <w:marRight w:val="0"/>
      <w:marTop w:val="0"/>
      <w:marBottom w:val="0"/>
      <w:divBdr>
        <w:top w:val="none" w:sz="0" w:space="0" w:color="auto"/>
        <w:left w:val="none" w:sz="0" w:space="0" w:color="auto"/>
        <w:bottom w:val="none" w:sz="0" w:space="0" w:color="auto"/>
        <w:right w:val="none" w:sz="0" w:space="0" w:color="auto"/>
      </w:divBdr>
    </w:div>
    <w:div w:id="1320305741">
      <w:bodyDiv w:val="1"/>
      <w:marLeft w:val="0"/>
      <w:marRight w:val="0"/>
      <w:marTop w:val="0"/>
      <w:marBottom w:val="0"/>
      <w:divBdr>
        <w:top w:val="none" w:sz="0" w:space="0" w:color="auto"/>
        <w:left w:val="none" w:sz="0" w:space="0" w:color="auto"/>
        <w:bottom w:val="none" w:sz="0" w:space="0" w:color="auto"/>
        <w:right w:val="none" w:sz="0" w:space="0" w:color="auto"/>
      </w:divBdr>
    </w:div>
    <w:div w:id="1323122658">
      <w:bodyDiv w:val="1"/>
      <w:marLeft w:val="0"/>
      <w:marRight w:val="0"/>
      <w:marTop w:val="0"/>
      <w:marBottom w:val="0"/>
      <w:divBdr>
        <w:top w:val="none" w:sz="0" w:space="0" w:color="auto"/>
        <w:left w:val="none" w:sz="0" w:space="0" w:color="auto"/>
        <w:bottom w:val="none" w:sz="0" w:space="0" w:color="auto"/>
        <w:right w:val="none" w:sz="0" w:space="0" w:color="auto"/>
      </w:divBdr>
    </w:div>
    <w:div w:id="1330448191">
      <w:bodyDiv w:val="1"/>
      <w:marLeft w:val="0"/>
      <w:marRight w:val="0"/>
      <w:marTop w:val="0"/>
      <w:marBottom w:val="0"/>
      <w:divBdr>
        <w:top w:val="none" w:sz="0" w:space="0" w:color="auto"/>
        <w:left w:val="none" w:sz="0" w:space="0" w:color="auto"/>
        <w:bottom w:val="none" w:sz="0" w:space="0" w:color="auto"/>
        <w:right w:val="none" w:sz="0" w:space="0" w:color="auto"/>
      </w:divBdr>
    </w:div>
    <w:div w:id="1334146588">
      <w:bodyDiv w:val="1"/>
      <w:marLeft w:val="0"/>
      <w:marRight w:val="0"/>
      <w:marTop w:val="0"/>
      <w:marBottom w:val="0"/>
      <w:divBdr>
        <w:top w:val="none" w:sz="0" w:space="0" w:color="auto"/>
        <w:left w:val="none" w:sz="0" w:space="0" w:color="auto"/>
        <w:bottom w:val="none" w:sz="0" w:space="0" w:color="auto"/>
        <w:right w:val="none" w:sz="0" w:space="0" w:color="auto"/>
      </w:divBdr>
    </w:div>
    <w:div w:id="1336570136">
      <w:bodyDiv w:val="1"/>
      <w:marLeft w:val="0"/>
      <w:marRight w:val="0"/>
      <w:marTop w:val="0"/>
      <w:marBottom w:val="0"/>
      <w:divBdr>
        <w:top w:val="none" w:sz="0" w:space="0" w:color="auto"/>
        <w:left w:val="none" w:sz="0" w:space="0" w:color="auto"/>
        <w:bottom w:val="none" w:sz="0" w:space="0" w:color="auto"/>
        <w:right w:val="none" w:sz="0" w:space="0" w:color="auto"/>
      </w:divBdr>
    </w:div>
    <w:div w:id="1339624344">
      <w:bodyDiv w:val="1"/>
      <w:marLeft w:val="0"/>
      <w:marRight w:val="0"/>
      <w:marTop w:val="0"/>
      <w:marBottom w:val="0"/>
      <w:divBdr>
        <w:top w:val="none" w:sz="0" w:space="0" w:color="auto"/>
        <w:left w:val="none" w:sz="0" w:space="0" w:color="auto"/>
        <w:bottom w:val="none" w:sz="0" w:space="0" w:color="auto"/>
        <w:right w:val="none" w:sz="0" w:space="0" w:color="auto"/>
      </w:divBdr>
    </w:div>
    <w:div w:id="1342779471">
      <w:bodyDiv w:val="1"/>
      <w:marLeft w:val="0"/>
      <w:marRight w:val="0"/>
      <w:marTop w:val="0"/>
      <w:marBottom w:val="0"/>
      <w:divBdr>
        <w:top w:val="none" w:sz="0" w:space="0" w:color="auto"/>
        <w:left w:val="none" w:sz="0" w:space="0" w:color="auto"/>
        <w:bottom w:val="none" w:sz="0" w:space="0" w:color="auto"/>
        <w:right w:val="none" w:sz="0" w:space="0" w:color="auto"/>
      </w:divBdr>
    </w:div>
    <w:div w:id="1343161112">
      <w:bodyDiv w:val="1"/>
      <w:marLeft w:val="0"/>
      <w:marRight w:val="0"/>
      <w:marTop w:val="0"/>
      <w:marBottom w:val="0"/>
      <w:divBdr>
        <w:top w:val="none" w:sz="0" w:space="0" w:color="auto"/>
        <w:left w:val="none" w:sz="0" w:space="0" w:color="auto"/>
        <w:bottom w:val="none" w:sz="0" w:space="0" w:color="auto"/>
        <w:right w:val="none" w:sz="0" w:space="0" w:color="auto"/>
      </w:divBdr>
    </w:div>
    <w:div w:id="1348679533">
      <w:bodyDiv w:val="1"/>
      <w:marLeft w:val="0"/>
      <w:marRight w:val="0"/>
      <w:marTop w:val="0"/>
      <w:marBottom w:val="0"/>
      <w:divBdr>
        <w:top w:val="none" w:sz="0" w:space="0" w:color="auto"/>
        <w:left w:val="none" w:sz="0" w:space="0" w:color="auto"/>
        <w:bottom w:val="none" w:sz="0" w:space="0" w:color="auto"/>
        <w:right w:val="none" w:sz="0" w:space="0" w:color="auto"/>
      </w:divBdr>
    </w:div>
    <w:div w:id="1349602306">
      <w:bodyDiv w:val="1"/>
      <w:marLeft w:val="0"/>
      <w:marRight w:val="0"/>
      <w:marTop w:val="0"/>
      <w:marBottom w:val="0"/>
      <w:divBdr>
        <w:top w:val="none" w:sz="0" w:space="0" w:color="auto"/>
        <w:left w:val="none" w:sz="0" w:space="0" w:color="auto"/>
        <w:bottom w:val="none" w:sz="0" w:space="0" w:color="auto"/>
        <w:right w:val="none" w:sz="0" w:space="0" w:color="auto"/>
      </w:divBdr>
    </w:div>
    <w:div w:id="1351377557">
      <w:bodyDiv w:val="1"/>
      <w:marLeft w:val="0"/>
      <w:marRight w:val="0"/>
      <w:marTop w:val="0"/>
      <w:marBottom w:val="0"/>
      <w:divBdr>
        <w:top w:val="none" w:sz="0" w:space="0" w:color="auto"/>
        <w:left w:val="none" w:sz="0" w:space="0" w:color="auto"/>
        <w:bottom w:val="none" w:sz="0" w:space="0" w:color="auto"/>
        <w:right w:val="none" w:sz="0" w:space="0" w:color="auto"/>
      </w:divBdr>
    </w:div>
    <w:div w:id="1354380658">
      <w:bodyDiv w:val="1"/>
      <w:marLeft w:val="0"/>
      <w:marRight w:val="0"/>
      <w:marTop w:val="0"/>
      <w:marBottom w:val="0"/>
      <w:divBdr>
        <w:top w:val="none" w:sz="0" w:space="0" w:color="auto"/>
        <w:left w:val="none" w:sz="0" w:space="0" w:color="auto"/>
        <w:bottom w:val="none" w:sz="0" w:space="0" w:color="auto"/>
        <w:right w:val="none" w:sz="0" w:space="0" w:color="auto"/>
      </w:divBdr>
    </w:div>
    <w:div w:id="1358432945">
      <w:bodyDiv w:val="1"/>
      <w:marLeft w:val="0"/>
      <w:marRight w:val="0"/>
      <w:marTop w:val="0"/>
      <w:marBottom w:val="0"/>
      <w:divBdr>
        <w:top w:val="none" w:sz="0" w:space="0" w:color="auto"/>
        <w:left w:val="none" w:sz="0" w:space="0" w:color="auto"/>
        <w:bottom w:val="none" w:sz="0" w:space="0" w:color="auto"/>
        <w:right w:val="none" w:sz="0" w:space="0" w:color="auto"/>
      </w:divBdr>
    </w:div>
    <w:div w:id="1361053694">
      <w:bodyDiv w:val="1"/>
      <w:marLeft w:val="0"/>
      <w:marRight w:val="0"/>
      <w:marTop w:val="0"/>
      <w:marBottom w:val="0"/>
      <w:divBdr>
        <w:top w:val="none" w:sz="0" w:space="0" w:color="auto"/>
        <w:left w:val="none" w:sz="0" w:space="0" w:color="auto"/>
        <w:bottom w:val="none" w:sz="0" w:space="0" w:color="auto"/>
        <w:right w:val="none" w:sz="0" w:space="0" w:color="auto"/>
      </w:divBdr>
    </w:div>
    <w:div w:id="1363362407">
      <w:bodyDiv w:val="1"/>
      <w:marLeft w:val="0"/>
      <w:marRight w:val="0"/>
      <w:marTop w:val="0"/>
      <w:marBottom w:val="0"/>
      <w:divBdr>
        <w:top w:val="none" w:sz="0" w:space="0" w:color="auto"/>
        <w:left w:val="none" w:sz="0" w:space="0" w:color="auto"/>
        <w:bottom w:val="none" w:sz="0" w:space="0" w:color="auto"/>
        <w:right w:val="none" w:sz="0" w:space="0" w:color="auto"/>
      </w:divBdr>
    </w:div>
    <w:div w:id="1369986110">
      <w:bodyDiv w:val="1"/>
      <w:marLeft w:val="0"/>
      <w:marRight w:val="0"/>
      <w:marTop w:val="0"/>
      <w:marBottom w:val="0"/>
      <w:divBdr>
        <w:top w:val="none" w:sz="0" w:space="0" w:color="auto"/>
        <w:left w:val="none" w:sz="0" w:space="0" w:color="auto"/>
        <w:bottom w:val="none" w:sz="0" w:space="0" w:color="auto"/>
        <w:right w:val="none" w:sz="0" w:space="0" w:color="auto"/>
      </w:divBdr>
    </w:div>
    <w:div w:id="1370304114">
      <w:bodyDiv w:val="1"/>
      <w:marLeft w:val="0"/>
      <w:marRight w:val="0"/>
      <w:marTop w:val="0"/>
      <w:marBottom w:val="0"/>
      <w:divBdr>
        <w:top w:val="none" w:sz="0" w:space="0" w:color="auto"/>
        <w:left w:val="none" w:sz="0" w:space="0" w:color="auto"/>
        <w:bottom w:val="none" w:sz="0" w:space="0" w:color="auto"/>
        <w:right w:val="none" w:sz="0" w:space="0" w:color="auto"/>
      </w:divBdr>
    </w:div>
    <w:div w:id="1372997995">
      <w:bodyDiv w:val="1"/>
      <w:marLeft w:val="0"/>
      <w:marRight w:val="0"/>
      <w:marTop w:val="0"/>
      <w:marBottom w:val="0"/>
      <w:divBdr>
        <w:top w:val="none" w:sz="0" w:space="0" w:color="auto"/>
        <w:left w:val="none" w:sz="0" w:space="0" w:color="auto"/>
        <w:bottom w:val="none" w:sz="0" w:space="0" w:color="auto"/>
        <w:right w:val="none" w:sz="0" w:space="0" w:color="auto"/>
      </w:divBdr>
    </w:div>
    <w:div w:id="1377388735">
      <w:bodyDiv w:val="1"/>
      <w:marLeft w:val="0"/>
      <w:marRight w:val="0"/>
      <w:marTop w:val="0"/>
      <w:marBottom w:val="0"/>
      <w:divBdr>
        <w:top w:val="none" w:sz="0" w:space="0" w:color="auto"/>
        <w:left w:val="none" w:sz="0" w:space="0" w:color="auto"/>
        <w:bottom w:val="none" w:sz="0" w:space="0" w:color="auto"/>
        <w:right w:val="none" w:sz="0" w:space="0" w:color="auto"/>
      </w:divBdr>
    </w:div>
    <w:div w:id="1378705292">
      <w:bodyDiv w:val="1"/>
      <w:marLeft w:val="0"/>
      <w:marRight w:val="0"/>
      <w:marTop w:val="0"/>
      <w:marBottom w:val="0"/>
      <w:divBdr>
        <w:top w:val="none" w:sz="0" w:space="0" w:color="auto"/>
        <w:left w:val="none" w:sz="0" w:space="0" w:color="auto"/>
        <w:bottom w:val="none" w:sz="0" w:space="0" w:color="auto"/>
        <w:right w:val="none" w:sz="0" w:space="0" w:color="auto"/>
      </w:divBdr>
    </w:div>
    <w:div w:id="1383407581">
      <w:bodyDiv w:val="1"/>
      <w:marLeft w:val="0"/>
      <w:marRight w:val="0"/>
      <w:marTop w:val="0"/>
      <w:marBottom w:val="0"/>
      <w:divBdr>
        <w:top w:val="none" w:sz="0" w:space="0" w:color="auto"/>
        <w:left w:val="none" w:sz="0" w:space="0" w:color="auto"/>
        <w:bottom w:val="none" w:sz="0" w:space="0" w:color="auto"/>
        <w:right w:val="none" w:sz="0" w:space="0" w:color="auto"/>
      </w:divBdr>
    </w:div>
    <w:div w:id="1386103505">
      <w:bodyDiv w:val="1"/>
      <w:marLeft w:val="0"/>
      <w:marRight w:val="0"/>
      <w:marTop w:val="0"/>
      <w:marBottom w:val="0"/>
      <w:divBdr>
        <w:top w:val="none" w:sz="0" w:space="0" w:color="auto"/>
        <w:left w:val="none" w:sz="0" w:space="0" w:color="auto"/>
        <w:bottom w:val="none" w:sz="0" w:space="0" w:color="auto"/>
        <w:right w:val="none" w:sz="0" w:space="0" w:color="auto"/>
      </w:divBdr>
    </w:div>
    <w:div w:id="1403983157">
      <w:bodyDiv w:val="1"/>
      <w:marLeft w:val="0"/>
      <w:marRight w:val="0"/>
      <w:marTop w:val="0"/>
      <w:marBottom w:val="0"/>
      <w:divBdr>
        <w:top w:val="none" w:sz="0" w:space="0" w:color="auto"/>
        <w:left w:val="none" w:sz="0" w:space="0" w:color="auto"/>
        <w:bottom w:val="none" w:sz="0" w:space="0" w:color="auto"/>
        <w:right w:val="none" w:sz="0" w:space="0" w:color="auto"/>
      </w:divBdr>
    </w:div>
    <w:div w:id="1403989241">
      <w:bodyDiv w:val="1"/>
      <w:marLeft w:val="0"/>
      <w:marRight w:val="0"/>
      <w:marTop w:val="0"/>
      <w:marBottom w:val="0"/>
      <w:divBdr>
        <w:top w:val="none" w:sz="0" w:space="0" w:color="auto"/>
        <w:left w:val="none" w:sz="0" w:space="0" w:color="auto"/>
        <w:bottom w:val="none" w:sz="0" w:space="0" w:color="auto"/>
        <w:right w:val="none" w:sz="0" w:space="0" w:color="auto"/>
      </w:divBdr>
    </w:div>
    <w:div w:id="1405029497">
      <w:bodyDiv w:val="1"/>
      <w:marLeft w:val="0"/>
      <w:marRight w:val="0"/>
      <w:marTop w:val="0"/>
      <w:marBottom w:val="0"/>
      <w:divBdr>
        <w:top w:val="none" w:sz="0" w:space="0" w:color="auto"/>
        <w:left w:val="none" w:sz="0" w:space="0" w:color="auto"/>
        <w:bottom w:val="none" w:sz="0" w:space="0" w:color="auto"/>
        <w:right w:val="none" w:sz="0" w:space="0" w:color="auto"/>
      </w:divBdr>
    </w:div>
    <w:div w:id="1407150873">
      <w:bodyDiv w:val="1"/>
      <w:marLeft w:val="0"/>
      <w:marRight w:val="0"/>
      <w:marTop w:val="0"/>
      <w:marBottom w:val="0"/>
      <w:divBdr>
        <w:top w:val="none" w:sz="0" w:space="0" w:color="auto"/>
        <w:left w:val="none" w:sz="0" w:space="0" w:color="auto"/>
        <w:bottom w:val="none" w:sz="0" w:space="0" w:color="auto"/>
        <w:right w:val="none" w:sz="0" w:space="0" w:color="auto"/>
      </w:divBdr>
    </w:div>
    <w:div w:id="1415787627">
      <w:bodyDiv w:val="1"/>
      <w:marLeft w:val="0"/>
      <w:marRight w:val="0"/>
      <w:marTop w:val="0"/>
      <w:marBottom w:val="0"/>
      <w:divBdr>
        <w:top w:val="none" w:sz="0" w:space="0" w:color="auto"/>
        <w:left w:val="none" w:sz="0" w:space="0" w:color="auto"/>
        <w:bottom w:val="none" w:sz="0" w:space="0" w:color="auto"/>
        <w:right w:val="none" w:sz="0" w:space="0" w:color="auto"/>
      </w:divBdr>
    </w:div>
    <w:div w:id="1420902969">
      <w:bodyDiv w:val="1"/>
      <w:marLeft w:val="0"/>
      <w:marRight w:val="0"/>
      <w:marTop w:val="0"/>
      <w:marBottom w:val="0"/>
      <w:divBdr>
        <w:top w:val="none" w:sz="0" w:space="0" w:color="auto"/>
        <w:left w:val="none" w:sz="0" w:space="0" w:color="auto"/>
        <w:bottom w:val="none" w:sz="0" w:space="0" w:color="auto"/>
        <w:right w:val="none" w:sz="0" w:space="0" w:color="auto"/>
      </w:divBdr>
    </w:div>
    <w:div w:id="1422406418">
      <w:bodyDiv w:val="1"/>
      <w:marLeft w:val="0"/>
      <w:marRight w:val="0"/>
      <w:marTop w:val="0"/>
      <w:marBottom w:val="0"/>
      <w:divBdr>
        <w:top w:val="none" w:sz="0" w:space="0" w:color="auto"/>
        <w:left w:val="none" w:sz="0" w:space="0" w:color="auto"/>
        <w:bottom w:val="none" w:sz="0" w:space="0" w:color="auto"/>
        <w:right w:val="none" w:sz="0" w:space="0" w:color="auto"/>
      </w:divBdr>
    </w:div>
    <w:div w:id="1425345624">
      <w:bodyDiv w:val="1"/>
      <w:marLeft w:val="0"/>
      <w:marRight w:val="0"/>
      <w:marTop w:val="0"/>
      <w:marBottom w:val="0"/>
      <w:divBdr>
        <w:top w:val="none" w:sz="0" w:space="0" w:color="auto"/>
        <w:left w:val="none" w:sz="0" w:space="0" w:color="auto"/>
        <w:bottom w:val="none" w:sz="0" w:space="0" w:color="auto"/>
        <w:right w:val="none" w:sz="0" w:space="0" w:color="auto"/>
      </w:divBdr>
    </w:div>
    <w:div w:id="1428499720">
      <w:bodyDiv w:val="1"/>
      <w:marLeft w:val="0"/>
      <w:marRight w:val="0"/>
      <w:marTop w:val="0"/>
      <w:marBottom w:val="0"/>
      <w:divBdr>
        <w:top w:val="none" w:sz="0" w:space="0" w:color="auto"/>
        <w:left w:val="none" w:sz="0" w:space="0" w:color="auto"/>
        <w:bottom w:val="none" w:sz="0" w:space="0" w:color="auto"/>
        <w:right w:val="none" w:sz="0" w:space="0" w:color="auto"/>
      </w:divBdr>
    </w:div>
    <w:div w:id="1441024317">
      <w:bodyDiv w:val="1"/>
      <w:marLeft w:val="0"/>
      <w:marRight w:val="0"/>
      <w:marTop w:val="0"/>
      <w:marBottom w:val="0"/>
      <w:divBdr>
        <w:top w:val="none" w:sz="0" w:space="0" w:color="auto"/>
        <w:left w:val="none" w:sz="0" w:space="0" w:color="auto"/>
        <w:bottom w:val="none" w:sz="0" w:space="0" w:color="auto"/>
        <w:right w:val="none" w:sz="0" w:space="0" w:color="auto"/>
      </w:divBdr>
    </w:div>
    <w:div w:id="1445419893">
      <w:bodyDiv w:val="1"/>
      <w:marLeft w:val="0"/>
      <w:marRight w:val="0"/>
      <w:marTop w:val="0"/>
      <w:marBottom w:val="0"/>
      <w:divBdr>
        <w:top w:val="none" w:sz="0" w:space="0" w:color="auto"/>
        <w:left w:val="none" w:sz="0" w:space="0" w:color="auto"/>
        <w:bottom w:val="none" w:sz="0" w:space="0" w:color="auto"/>
        <w:right w:val="none" w:sz="0" w:space="0" w:color="auto"/>
      </w:divBdr>
    </w:div>
    <w:div w:id="1447385431">
      <w:bodyDiv w:val="1"/>
      <w:marLeft w:val="0"/>
      <w:marRight w:val="0"/>
      <w:marTop w:val="0"/>
      <w:marBottom w:val="0"/>
      <w:divBdr>
        <w:top w:val="none" w:sz="0" w:space="0" w:color="auto"/>
        <w:left w:val="none" w:sz="0" w:space="0" w:color="auto"/>
        <w:bottom w:val="none" w:sz="0" w:space="0" w:color="auto"/>
        <w:right w:val="none" w:sz="0" w:space="0" w:color="auto"/>
      </w:divBdr>
    </w:div>
    <w:div w:id="1453673773">
      <w:bodyDiv w:val="1"/>
      <w:marLeft w:val="0"/>
      <w:marRight w:val="0"/>
      <w:marTop w:val="0"/>
      <w:marBottom w:val="0"/>
      <w:divBdr>
        <w:top w:val="none" w:sz="0" w:space="0" w:color="auto"/>
        <w:left w:val="none" w:sz="0" w:space="0" w:color="auto"/>
        <w:bottom w:val="none" w:sz="0" w:space="0" w:color="auto"/>
        <w:right w:val="none" w:sz="0" w:space="0" w:color="auto"/>
      </w:divBdr>
    </w:div>
    <w:div w:id="1456169575">
      <w:bodyDiv w:val="1"/>
      <w:marLeft w:val="0"/>
      <w:marRight w:val="0"/>
      <w:marTop w:val="0"/>
      <w:marBottom w:val="0"/>
      <w:divBdr>
        <w:top w:val="none" w:sz="0" w:space="0" w:color="auto"/>
        <w:left w:val="none" w:sz="0" w:space="0" w:color="auto"/>
        <w:bottom w:val="none" w:sz="0" w:space="0" w:color="auto"/>
        <w:right w:val="none" w:sz="0" w:space="0" w:color="auto"/>
      </w:divBdr>
    </w:div>
    <w:div w:id="1459378984">
      <w:bodyDiv w:val="1"/>
      <w:marLeft w:val="0"/>
      <w:marRight w:val="0"/>
      <w:marTop w:val="0"/>
      <w:marBottom w:val="0"/>
      <w:divBdr>
        <w:top w:val="none" w:sz="0" w:space="0" w:color="auto"/>
        <w:left w:val="none" w:sz="0" w:space="0" w:color="auto"/>
        <w:bottom w:val="none" w:sz="0" w:space="0" w:color="auto"/>
        <w:right w:val="none" w:sz="0" w:space="0" w:color="auto"/>
      </w:divBdr>
    </w:div>
    <w:div w:id="1461414595">
      <w:bodyDiv w:val="1"/>
      <w:marLeft w:val="0"/>
      <w:marRight w:val="0"/>
      <w:marTop w:val="0"/>
      <w:marBottom w:val="0"/>
      <w:divBdr>
        <w:top w:val="none" w:sz="0" w:space="0" w:color="auto"/>
        <w:left w:val="none" w:sz="0" w:space="0" w:color="auto"/>
        <w:bottom w:val="none" w:sz="0" w:space="0" w:color="auto"/>
        <w:right w:val="none" w:sz="0" w:space="0" w:color="auto"/>
      </w:divBdr>
    </w:div>
    <w:div w:id="1475491660">
      <w:bodyDiv w:val="1"/>
      <w:marLeft w:val="0"/>
      <w:marRight w:val="0"/>
      <w:marTop w:val="0"/>
      <w:marBottom w:val="0"/>
      <w:divBdr>
        <w:top w:val="none" w:sz="0" w:space="0" w:color="auto"/>
        <w:left w:val="none" w:sz="0" w:space="0" w:color="auto"/>
        <w:bottom w:val="none" w:sz="0" w:space="0" w:color="auto"/>
        <w:right w:val="none" w:sz="0" w:space="0" w:color="auto"/>
      </w:divBdr>
    </w:div>
    <w:div w:id="1480683905">
      <w:bodyDiv w:val="1"/>
      <w:marLeft w:val="0"/>
      <w:marRight w:val="0"/>
      <w:marTop w:val="0"/>
      <w:marBottom w:val="0"/>
      <w:divBdr>
        <w:top w:val="none" w:sz="0" w:space="0" w:color="auto"/>
        <w:left w:val="none" w:sz="0" w:space="0" w:color="auto"/>
        <w:bottom w:val="none" w:sz="0" w:space="0" w:color="auto"/>
        <w:right w:val="none" w:sz="0" w:space="0" w:color="auto"/>
      </w:divBdr>
    </w:div>
    <w:div w:id="1482424428">
      <w:bodyDiv w:val="1"/>
      <w:marLeft w:val="0"/>
      <w:marRight w:val="0"/>
      <w:marTop w:val="0"/>
      <w:marBottom w:val="0"/>
      <w:divBdr>
        <w:top w:val="none" w:sz="0" w:space="0" w:color="auto"/>
        <w:left w:val="none" w:sz="0" w:space="0" w:color="auto"/>
        <w:bottom w:val="none" w:sz="0" w:space="0" w:color="auto"/>
        <w:right w:val="none" w:sz="0" w:space="0" w:color="auto"/>
      </w:divBdr>
    </w:div>
    <w:div w:id="1487739721">
      <w:bodyDiv w:val="1"/>
      <w:marLeft w:val="0"/>
      <w:marRight w:val="0"/>
      <w:marTop w:val="0"/>
      <w:marBottom w:val="0"/>
      <w:divBdr>
        <w:top w:val="none" w:sz="0" w:space="0" w:color="auto"/>
        <w:left w:val="none" w:sz="0" w:space="0" w:color="auto"/>
        <w:bottom w:val="none" w:sz="0" w:space="0" w:color="auto"/>
        <w:right w:val="none" w:sz="0" w:space="0" w:color="auto"/>
      </w:divBdr>
    </w:div>
    <w:div w:id="1494687832">
      <w:bodyDiv w:val="1"/>
      <w:marLeft w:val="0"/>
      <w:marRight w:val="0"/>
      <w:marTop w:val="0"/>
      <w:marBottom w:val="0"/>
      <w:divBdr>
        <w:top w:val="none" w:sz="0" w:space="0" w:color="auto"/>
        <w:left w:val="none" w:sz="0" w:space="0" w:color="auto"/>
        <w:bottom w:val="none" w:sz="0" w:space="0" w:color="auto"/>
        <w:right w:val="none" w:sz="0" w:space="0" w:color="auto"/>
      </w:divBdr>
    </w:div>
    <w:div w:id="1496413849">
      <w:bodyDiv w:val="1"/>
      <w:marLeft w:val="0"/>
      <w:marRight w:val="0"/>
      <w:marTop w:val="0"/>
      <w:marBottom w:val="0"/>
      <w:divBdr>
        <w:top w:val="none" w:sz="0" w:space="0" w:color="auto"/>
        <w:left w:val="none" w:sz="0" w:space="0" w:color="auto"/>
        <w:bottom w:val="none" w:sz="0" w:space="0" w:color="auto"/>
        <w:right w:val="none" w:sz="0" w:space="0" w:color="auto"/>
      </w:divBdr>
    </w:div>
    <w:div w:id="1498687158">
      <w:bodyDiv w:val="1"/>
      <w:marLeft w:val="0"/>
      <w:marRight w:val="0"/>
      <w:marTop w:val="0"/>
      <w:marBottom w:val="0"/>
      <w:divBdr>
        <w:top w:val="none" w:sz="0" w:space="0" w:color="auto"/>
        <w:left w:val="none" w:sz="0" w:space="0" w:color="auto"/>
        <w:bottom w:val="none" w:sz="0" w:space="0" w:color="auto"/>
        <w:right w:val="none" w:sz="0" w:space="0" w:color="auto"/>
      </w:divBdr>
    </w:div>
    <w:div w:id="1499733225">
      <w:bodyDiv w:val="1"/>
      <w:marLeft w:val="0"/>
      <w:marRight w:val="0"/>
      <w:marTop w:val="0"/>
      <w:marBottom w:val="0"/>
      <w:divBdr>
        <w:top w:val="none" w:sz="0" w:space="0" w:color="auto"/>
        <w:left w:val="none" w:sz="0" w:space="0" w:color="auto"/>
        <w:bottom w:val="none" w:sz="0" w:space="0" w:color="auto"/>
        <w:right w:val="none" w:sz="0" w:space="0" w:color="auto"/>
      </w:divBdr>
    </w:div>
    <w:div w:id="1501701469">
      <w:bodyDiv w:val="1"/>
      <w:marLeft w:val="0"/>
      <w:marRight w:val="0"/>
      <w:marTop w:val="0"/>
      <w:marBottom w:val="0"/>
      <w:divBdr>
        <w:top w:val="none" w:sz="0" w:space="0" w:color="auto"/>
        <w:left w:val="none" w:sz="0" w:space="0" w:color="auto"/>
        <w:bottom w:val="none" w:sz="0" w:space="0" w:color="auto"/>
        <w:right w:val="none" w:sz="0" w:space="0" w:color="auto"/>
      </w:divBdr>
    </w:div>
    <w:div w:id="1502429400">
      <w:bodyDiv w:val="1"/>
      <w:marLeft w:val="0"/>
      <w:marRight w:val="0"/>
      <w:marTop w:val="0"/>
      <w:marBottom w:val="0"/>
      <w:divBdr>
        <w:top w:val="none" w:sz="0" w:space="0" w:color="auto"/>
        <w:left w:val="none" w:sz="0" w:space="0" w:color="auto"/>
        <w:bottom w:val="none" w:sz="0" w:space="0" w:color="auto"/>
        <w:right w:val="none" w:sz="0" w:space="0" w:color="auto"/>
      </w:divBdr>
    </w:div>
    <w:div w:id="1504781648">
      <w:bodyDiv w:val="1"/>
      <w:marLeft w:val="0"/>
      <w:marRight w:val="0"/>
      <w:marTop w:val="0"/>
      <w:marBottom w:val="0"/>
      <w:divBdr>
        <w:top w:val="none" w:sz="0" w:space="0" w:color="auto"/>
        <w:left w:val="none" w:sz="0" w:space="0" w:color="auto"/>
        <w:bottom w:val="none" w:sz="0" w:space="0" w:color="auto"/>
        <w:right w:val="none" w:sz="0" w:space="0" w:color="auto"/>
      </w:divBdr>
    </w:div>
    <w:div w:id="1513375937">
      <w:bodyDiv w:val="1"/>
      <w:marLeft w:val="0"/>
      <w:marRight w:val="0"/>
      <w:marTop w:val="0"/>
      <w:marBottom w:val="0"/>
      <w:divBdr>
        <w:top w:val="none" w:sz="0" w:space="0" w:color="auto"/>
        <w:left w:val="none" w:sz="0" w:space="0" w:color="auto"/>
        <w:bottom w:val="none" w:sz="0" w:space="0" w:color="auto"/>
        <w:right w:val="none" w:sz="0" w:space="0" w:color="auto"/>
      </w:divBdr>
    </w:div>
    <w:div w:id="1513379649">
      <w:bodyDiv w:val="1"/>
      <w:marLeft w:val="0"/>
      <w:marRight w:val="0"/>
      <w:marTop w:val="0"/>
      <w:marBottom w:val="0"/>
      <w:divBdr>
        <w:top w:val="none" w:sz="0" w:space="0" w:color="auto"/>
        <w:left w:val="none" w:sz="0" w:space="0" w:color="auto"/>
        <w:bottom w:val="none" w:sz="0" w:space="0" w:color="auto"/>
        <w:right w:val="none" w:sz="0" w:space="0" w:color="auto"/>
      </w:divBdr>
    </w:div>
    <w:div w:id="1520047450">
      <w:bodyDiv w:val="1"/>
      <w:marLeft w:val="0"/>
      <w:marRight w:val="0"/>
      <w:marTop w:val="0"/>
      <w:marBottom w:val="0"/>
      <w:divBdr>
        <w:top w:val="none" w:sz="0" w:space="0" w:color="auto"/>
        <w:left w:val="none" w:sz="0" w:space="0" w:color="auto"/>
        <w:bottom w:val="none" w:sz="0" w:space="0" w:color="auto"/>
        <w:right w:val="none" w:sz="0" w:space="0" w:color="auto"/>
      </w:divBdr>
    </w:div>
    <w:div w:id="1522358921">
      <w:bodyDiv w:val="1"/>
      <w:marLeft w:val="0"/>
      <w:marRight w:val="0"/>
      <w:marTop w:val="0"/>
      <w:marBottom w:val="0"/>
      <w:divBdr>
        <w:top w:val="none" w:sz="0" w:space="0" w:color="auto"/>
        <w:left w:val="none" w:sz="0" w:space="0" w:color="auto"/>
        <w:bottom w:val="none" w:sz="0" w:space="0" w:color="auto"/>
        <w:right w:val="none" w:sz="0" w:space="0" w:color="auto"/>
      </w:divBdr>
    </w:div>
    <w:div w:id="1526287631">
      <w:bodyDiv w:val="1"/>
      <w:marLeft w:val="0"/>
      <w:marRight w:val="0"/>
      <w:marTop w:val="0"/>
      <w:marBottom w:val="0"/>
      <w:divBdr>
        <w:top w:val="none" w:sz="0" w:space="0" w:color="auto"/>
        <w:left w:val="none" w:sz="0" w:space="0" w:color="auto"/>
        <w:bottom w:val="none" w:sz="0" w:space="0" w:color="auto"/>
        <w:right w:val="none" w:sz="0" w:space="0" w:color="auto"/>
      </w:divBdr>
    </w:div>
    <w:div w:id="1531799314">
      <w:bodyDiv w:val="1"/>
      <w:marLeft w:val="0"/>
      <w:marRight w:val="0"/>
      <w:marTop w:val="0"/>
      <w:marBottom w:val="0"/>
      <w:divBdr>
        <w:top w:val="none" w:sz="0" w:space="0" w:color="auto"/>
        <w:left w:val="none" w:sz="0" w:space="0" w:color="auto"/>
        <w:bottom w:val="none" w:sz="0" w:space="0" w:color="auto"/>
        <w:right w:val="none" w:sz="0" w:space="0" w:color="auto"/>
      </w:divBdr>
    </w:div>
    <w:div w:id="1532499409">
      <w:bodyDiv w:val="1"/>
      <w:marLeft w:val="0"/>
      <w:marRight w:val="0"/>
      <w:marTop w:val="0"/>
      <w:marBottom w:val="0"/>
      <w:divBdr>
        <w:top w:val="none" w:sz="0" w:space="0" w:color="auto"/>
        <w:left w:val="none" w:sz="0" w:space="0" w:color="auto"/>
        <w:bottom w:val="none" w:sz="0" w:space="0" w:color="auto"/>
        <w:right w:val="none" w:sz="0" w:space="0" w:color="auto"/>
      </w:divBdr>
    </w:div>
    <w:div w:id="1534345089">
      <w:bodyDiv w:val="1"/>
      <w:marLeft w:val="0"/>
      <w:marRight w:val="0"/>
      <w:marTop w:val="0"/>
      <w:marBottom w:val="0"/>
      <w:divBdr>
        <w:top w:val="none" w:sz="0" w:space="0" w:color="auto"/>
        <w:left w:val="none" w:sz="0" w:space="0" w:color="auto"/>
        <w:bottom w:val="none" w:sz="0" w:space="0" w:color="auto"/>
        <w:right w:val="none" w:sz="0" w:space="0" w:color="auto"/>
      </w:divBdr>
    </w:div>
    <w:div w:id="1534924811">
      <w:bodyDiv w:val="1"/>
      <w:marLeft w:val="0"/>
      <w:marRight w:val="0"/>
      <w:marTop w:val="0"/>
      <w:marBottom w:val="0"/>
      <w:divBdr>
        <w:top w:val="none" w:sz="0" w:space="0" w:color="auto"/>
        <w:left w:val="none" w:sz="0" w:space="0" w:color="auto"/>
        <w:bottom w:val="none" w:sz="0" w:space="0" w:color="auto"/>
        <w:right w:val="none" w:sz="0" w:space="0" w:color="auto"/>
      </w:divBdr>
    </w:div>
    <w:div w:id="1540778991">
      <w:bodyDiv w:val="1"/>
      <w:marLeft w:val="0"/>
      <w:marRight w:val="0"/>
      <w:marTop w:val="0"/>
      <w:marBottom w:val="0"/>
      <w:divBdr>
        <w:top w:val="none" w:sz="0" w:space="0" w:color="auto"/>
        <w:left w:val="none" w:sz="0" w:space="0" w:color="auto"/>
        <w:bottom w:val="none" w:sz="0" w:space="0" w:color="auto"/>
        <w:right w:val="none" w:sz="0" w:space="0" w:color="auto"/>
      </w:divBdr>
    </w:div>
    <w:div w:id="1541045882">
      <w:bodyDiv w:val="1"/>
      <w:marLeft w:val="0"/>
      <w:marRight w:val="0"/>
      <w:marTop w:val="0"/>
      <w:marBottom w:val="0"/>
      <w:divBdr>
        <w:top w:val="none" w:sz="0" w:space="0" w:color="auto"/>
        <w:left w:val="none" w:sz="0" w:space="0" w:color="auto"/>
        <w:bottom w:val="none" w:sz="0" w:space="0" w:color="auto"/>
        <w:right w:val="none" w:sz="0" w:space="0" w:color="auto"/>
      </w:divBdr>
    </w:div>
    <w:div w:id="1541555901">
      <w:bodyDiv w:val="1"/>
      <w:marLeft w:val="0"/>
      <w:marRight w:val="0"/>
      <w:marTop w:val="0"/>
      <w:marBottom w:val="0"/>
      <w:divBdr>
        <w:top w:val="none" w:sz="0" w:space="0" w:color="auto"/>
        <w:left w:val="none" w:sz="0" w:space="0" w:color="auto"/>
        <w:bottom w:val="none" w:sz="0" w:space="0" w:color="auto"/>
        <w:right w:val="none" w:sz="0" w:space="0" w:color="auto"/>
      </w:divBdr>
    </w:div>
    <w:div w:id="1545756140">
      <w:bodyDiv w:val="1"/>
      <w:marLeft w:val="0"/>
      <w:marRight w:val="0"/>
      <w:marTop w:val="0"/>
      <w:marBottom w:val="0"/>
      <w:divBdr>
        <w:top w:val="none" w:sz="0" w:space="0" w:color="auto"/>
        <w:left w:val="none" w:sz="0" w:space="0" w:color="auto"/>
        <w:bottom w:val="none" w:sz="0" w:space="0" w:color="auto"/>
        <w:right w:val="none" w:sz="0" w:space="0" w:color="auto"/>
      </w:divBdr>
    </w:div>
    <w:div w:id="1549029258">
      <w:bodyDiv w:val="1"/>
      <w:marLeft w:val="0"/>
      <w:marRight w:val="0"/>
      <w:marTop w:val="0"/>
      <w:marBottom w:val="0"/>
      <w:divBdr>
        <w:top w:val="none" w:sz="0" w:space="0" w:color="auto"/>
        <w:left w:val="none" w:sz="0" w:space="0" w:color="auto"/>
        <w:bottom w:val="none" w:sz="0" w:space="0" w:color="auto"/>
        <w:right w:val="none" w:sz="0" w:space="0" w:color="auto"/>
      </w:divBdr>
    </w:div>
    <w:div w:id="1549494624">
      <w:bodyDiv w:val="1"/>
      <w:marLeft w:val="0"/>
      <w:marRight w:val="0"/>
      <w:marTop w:val="0"/>
      <w:marBottom w:val="0"/>
      <w:divBdr>
        <w:top w:val="none" w:sz="0" w:space="0" w:color="auto"/>
        <w:left w:val="none" w:sz="0" w:space="0" w:color="auto"/>
        <w:bottom w:val="none" w:sz="0" w:space="0" w:color="auto"/>
        <w:right w:val="none" w:sz="0" w:space="0" w:color="auto"/>
      </w:divBdr>
    </w:div>
    <w:div w:id="1553540488">
      <w:bodyDiv w:val="1"/>
      <w:marLeft w:val="0"/>
      <w:marRight w:val="0"/>
      <w:marTop w:val="0"/>
      <w:marBottom w:val="0"/>
      <w:divBdr>
        <w:top w:val="none" w:sz="0" w:space="0" w:color="auto"/>
        <w:left w:val="none" w:sz="0" w:space="0" w:color="auto"/>
        <w:bottom w:val="none" w:sz="0" w:space="0" w:color="auto"/>
        <w:right w:val="none" w:sz="0" w:space="0" w:color="auto"/>
      </w:divBdr>
    </w:div>
    <w:div w:id="1556043571">
      <w:bodyDiv w:val="1"/>
      <w:marLeft w:val="0"/>
      <w:marRight w:val="0"/>
      <w:marTop w:val="0"/>
      <w:marBottom w:val="0"/>
      <w:divBdr>
        <w:top w:val="none" w:sz="0" w:space="0" w:color="auto"/>
        <w:left w:val="none" w:sz="0" w:space="0" w:color="auto"/>
        <w:bottom w:val="none" w:sz="0" w:space="0" w:color="auto"/>
        <w:right w:val="none" w:sz="0" w:space="0" w:color="auto"/>
      </w:divBdr>
    </w:div>
    <w:div w:id="1561790322">
      <w:bodyDiv w:val="1"/>
      <w:marLeft w:val="0"/>
      <w:marRight w:val="0"/>
      <w:marTop w:val="0"/>
      <w:marBottom w:val="0"/>
      <w:divBdr>
        <w:top w:val="none" w:sz="0" w:space="0" w:color="auto"/>
        <w:left w:val="none" w:sz="0" w:space="0" w:color="auto"/>
        <w:bottom w:val="none" w:sz="0" w:space="0" w:color="auto"/>
        <w:right w:val="none" w:sz="0" w:space="0" w:color="auto"/>
      </w:divBdr>
    </w:div>
    <w:div w:id="1564634871">
      <w:bodyDiv w:val="1"/>
      <w:marLeft w:val="0"/>
      <w:marRight w:val="0"/>
      <w:marTop w:val="0"/>
      <w:marBottom w:val="0"/>
      <w:divBdr>
        <w:top w:val="none" w:sz="0" w:space="0" w:color="auto"/>
        <w:left w:val="none" w:sz="0" w:space="0" w:color="auto"/>
        <w:bottom w:val="none" w:sz="0" w:space="0" w:color="auto"/>
        <w:right w:val="none" w:sz="0" w:space="0" w:color="auto"/>
      </w:divBdr>
    </w:div>
    <w:div w:id="1566914684">
      <w:bodyDiv w:val="1"/>
      <w:marLeft w:val="0"/>
      <w:marRight w:val="0"/>
      <w:marTop w:val="0"/>
      <w:marBottom w:val="0"/>
      <w:divBdr>
        <w:top w:val="none" w:sz="0" w:space="0" w:color="auto"/>
        <w:left w:val="none" w:sz="0" w:space="0" w:color="auto"/>
        <w:bottom w:val="none" w:sz="0" w:space="0" w:color="auto"/>
        <w:right w:val="none" w:sz="0" w:space="0" w:color="auto"/>
      </w:divBdr>
    </w:div>
    <w:div w:id="1567496521">
      <w:bodyDiv w:val="1"/>
      <w:marLeft w:val="0"/>
      <w:marRight w:val="0"/>
      <w:marTop w:val="0"/>
      <w:marBottom w:val="0"/>
      <w:divBdr>
        <w:top w:val="none" w:sz="0" w:space="0" w:color="auto"/>
        <w:left w:val="none" w:sz="0" w:space="0" w:color="auto"/>
        <w:bottom w:val="none" w:sz="0" w:space="0" w:color="auto"/>
        <w:right w:val="none" w:sz="0" w:space="0" w:color="auto"/>
      </w:divBdr>
    </w:div>
    <w:div w:id="1575629477">
      <w:bodyDiv w:val="1"/>
      <w:marLeft w:val="0"/>
      <w:marRight w:val="0"/>
      <w:marTop w:val="0"/>
      <w:marBottom w:val="0"/>
      <w:divBdr>
        <w:top w:val="none" w:sz="0" w:space="0" w:color="auto"/>
        <w:left w:val="none" w:sz="0" w:space="0" w:color="auto"/>
        <w:bottom w:val="none" w:sz="0" w:space="0" w:color="auto"/>
        <w:right w:val="none" w:sz="0" w:space="0" w:color="auto"/>
      </w:divBdr>
    </w:div>
    <w:div w:id="1576091604">
      <w:bodyDiv w:val="1"/>
      <w:marLeft w:val="0"/>
      <w:marRight w:val="0"/>
      <w:marTop w:val="0"/>
      <w:marBottom w:val="0"/>
      <w:divBdr>
        <w:top w:val="none" w:sz="0" w:space="0" w:color="auto"/>
        <w:left w:val="none" w:sz="0" w:space="0" w:color="auto"/>
        <w:bottom w:val="none" w:sz="0" w:space="0" w:color="auto"/>
        <w:right w:val="none" w:sz="0" w:space="0" w:color="auto"/>
      </w:divBdr>
    </w:div>
    <w:div w:id="1576166506">
      <w:bodyDiv w:val="1"/>
      <w:marLeft w:val="0"/>
      <w:marRight w:val="0"/>
      <w:marTop w:val="0"/>
      <w:marBottom w:val="0"/>
      <w:divBdr>
        <w:top w:val="none" w:sz="0" w:space="0" w:color="auto"/>
        <w:left w:val="none" w:sz="0" w:space="0" w:color="auto"/>
        <w:bottom w:val="none" w:sz="0" w:space="0" w:color="auto"/>
        <w:right w:val="none" w:sz="0" w:space="0" w:color="auto"/>
      </w:divBdr>
    </w:div>
    <w:div w:id="1581326762">
      <w:bodyDiv w:val="1"/>
      <w:marLeft w:val="0"/>
      <w:marRight w:val="0"/>
      <w:marTop w:val="0"/>
      <w:marBottom w:val="0"/>
      <w:divBdr>
        <w:top w:val="none" w:sz="0" w:space="0" w:color="auto"/>
        <w:left w:val="none" w:sz="0" w:space="0" w:color="auto"/>
        <w:bottom w:val="none" w:sz="0" w:space="0" w:color="auto"/>
        <w:right w:val="none" w:sz="0" w:space="0" w:color="auto"/>
      </w:divBdr>
    </w:div>
    <w:div w:id="1582593177">
      <w:bodyDiv w:val="1"/>
      <w:marLeft w:val="0"/>
      <w:marRight w:val="0"/>
      <w:marTop w:val="0"/>
      <w:marBottom w:val="0"/>
      <w:divBdr>
        <w:top w:val="none" w:sz="0" w:space="0" w:color="auto"/>
        <w:left w:val="none" w:sz="0" w:space="0" w:color="auto"/>
        <w:bottom w:val="none" w:sz="0" w:space="0" w:color="auto"/>
        <w:right w:val="none" w:sz="0" w:space="0" w:color="auto"/>
      </w:divBdr>
    </w:div>
    <w:div w:id="1589540487">
      <w:bodyDiv w:val="1"/>
      <w:marLeft w:val="0"/>
      <w:marRight w:val="0"/>
      <w:marTop w:val="0"/>
      <w:marBottom w:val="0"/>
      <w:divBdr>
        <w:top w:val="none" w:sz="0" w:space="0" w:color="auto"/>
        <w:left w:val="none" w:sz="0" w:space="0" w:color="auto"/>
        <w:bottom w:val="none" w:sz="0" w:space="0" w:color="auto"/>
        <w:right w:val="none" w:sz="0" w:space="0" w:color="auto"/>
      </w:divBdr>
    </w:div>
    <w:div w:id="1594699234">
      <w:bodyDiv w:val="1"/>
      <w:marLeft w:val="0"/>
      <w:marRight w:val="0"/>
      <w:marTop w:val="0"/>
      <w:marBottom w:val="0"/>
      <w:divBdr>
        <w:top w:val="none" w:sz="0" w:space="0" w:color="auto"/>
        <w:left w:val="none" w:sz="0" w:space="0" w:color="auto"/>
        <w:bottom w:val="none" w:sz="0" w:space="0" w:color="auto"/>
        <w:right w:val="none" w:sz="0" w:space="0" w:color="auto"/>
      </w:divBdr>
    </w:div>
    <w:div w:id="1600061505">
      <w:bodyDiv w:val="1"/>
      <w:marLeft w:val="0"/>
      <w:marRight w:val="0"/>
      <w:marTop w:val="0"/>
      <w:marBottom w:val="0"/>
      <w:divBdr>
        <w:top w:val="none" w:sz="0" w:space="0" w:color="auto"/>
        <w:left w:val="none" w:sz="0" w:space="0" w:color="auto"/>
        <w:bottom w:val="none" w:sz="0" w:space="0" w:color="auto"/>
        <w:right w:val="none" w:sz="0" w:space="0" w:color="auto"/>
      </w:divBdr>
    </w:div>
    <w:div w:id="1601988612">
      <w:bodyDiv w:val="1"/>
      <w:marLeft w:val="0"/>
      <w:marRight w:val="0"/>
      <w:marTop w:val="0"/>
      <w:marBottom w:val="0"/>
      <w:divBdr>
        <w:top w:val="none" w:sz="0" w:space="0" w:color="auto"/>
        <w:left w:val="none" w:sz="0" w:space="0" w:color="auto"/>
        <w:bottom w:val="none" w:sz="0" w:space="0" w:color="auto"/>
        <w:right w:val="none" w:sz="0" w:space="0" w:color="auto"/>
      </w:divBdr>
    </w:div>
    <w:div w:id="1602108518">
      <w:bodyDiv w:val="1"/>
      <w:marLeft w:val="0"/>
      <w:marRight w:val="0"/>
      <w:marTop w:val="0"/>
      <w:marBottom w:val="0"/>
      <w:divBdr>
        <w:top w:val="none" w:sz="0" w:space="0" w:color="auto"/>
        <w:left w:val="none" w:sz="0" w:space="0" w:color="auto"/>
        <w:bottom w:val="none" w:sz="0" w:space="0" w:color="auto"/>
        <w:right w:val="none" w:sz="0" w:space="0" w:color="auto"/>
      </w:divBdr>
    </w:div>
    <w:div w:id="1604261879">
      <w:bodyDiv w:val="1"/>
      <w:marLeft w:val="0"/>
      <w:marRight w:val="0"/>
      <w:marTop w:val="0"/>
      <w:marBottom w:val="0"/>
      <w:divBdr>
        <w:top w:val="none" w:sz="0" w:space="0" w:color="auto"/>
        <w:left w:val="none" w:sz="0" w:space="0" w:color="auto"/>
        <w:bottom w:val="none" w:sz="0" w:space="0" w:color="auto"/>
        <w:right w:val="none" w:sz="0" w:space="0" w:color="auto"/>
      </w:divBdr>
    </w:div>
    <w:div w:id="1614511447">
      <w:bodyDiv w:val="1"/>
      <w:marLeft w:val="0"/>
      <w:marRight w:val="0"/>
      <w:marTop w:val="0"/>
      <w:marBottom w:val="0"/>
      <w:divBdr>
        <w:top w:val="none" w:sz="0" w:space="0" w:color="auto"/>
        <w:left w:val="none" w:sz="0" w:space="0" w:color="auto"/>
        <w:bottom w:val="none" w:sz="0" w:space="0" w:color="auto"/>
        <w:right w:val="none" w:sz="0" w:space="0" w:color="auto"/>
      </w:divBdr>
    </w:div>
    <w:div w:id="1618490610">
      <w:bodyDiv w:val="1"/>
      <w:marLeft w:val="0"/>
      <w:marRight w:val="0"/>
      <w:marTop w:val="0"/>
      <w:marBottom w:val="0"/>
      <w:divBdr>
        <w:top w:val="none" w:sz="0" w:space="0" w:color="auto"/>
        <w:left w:val="none" w:sz="0" w:space="0" w:color="auto"/>
        <w:bottom w:val="none" w:sz="0" w:space="0" w:color="auto"/>
        <w:right w:val="none" w:sz="0" w:space="0" w:color="auto"/>
      </w:divBdr>
    </w:div>
    <w:div w:id="1619214793">
      <w:bodyDiv w:val="1"/>
      <w:marLeft w:val="0"/>
      <w:marRight w:val="0"/>
      <w:marTop w:val="0"/>
      <w:marBottom w:val="0"/>
      <w:divBdr>
        <w:top w:val="none" w:sz="0" w:space="0" w:color="auto"/>
        <w:left w:val="none" w:sz="0" w:space="0" w:color="auto"/>
        <w:bottom w:val="none" w:sz="0" w:space="0" w:color="auto"/>
        <w:right w:val="none" w:sz="0" w:space="0" w:color="auto"/>
      </w:divBdr>
    </w:div>
    <w:div w:id="1631281251">
      <w:bodyDiv w:val="1"/>
      <w:marLeft w:val="0"/>
      <w:marRight w:val="0"/>
      <w:marTop w:val="0"/>
      <w:marBottom w:val="0"/>
      <w:divBdr>
        <w:top w:val="none" w:sz="0" w:space="0" w:color="auto"/>
        <w:left w:val="none" w:sz="0" w:space="0" w:color="auto"/>
        <w:bottom w:val="none" w:sz="0" w:space="0" w:color="auto"/>
        <w:right w:val="none" w:sz="0" w:space="0" w:color="auto"/>
      </w:divBdr>
    </w:div>
    <w:div w:id="1633366224">
      <w:bodyDiv w:val="1"/>
      <w:marLeft w:val="0"/>
      <w:marRight w:val="0"/>
      <w:marTop w:val="0"/>
      <w:marBottom w:val="0"/>
      <w:divBdr>
        <w:top w:val="none" w:sz="0" w:space="0" w:color="auto"/>
        <w:left w:val="none" w:sz="0" w:space="0" w:color="auto"/>
        <w:bottom w:val="none" w:sz="0" w:space="0" w:color="auto"/>
        <w:right w:val="none" w:sz="0" w:space="0" w:color="auto"/>
      </w:divBdr>
    </w:div>
    <w:div w:id="1636789418">
      <w:bodyDiv w:val="1"/>
      <w:marLeft w:val="0"/>
      <w:marRight w:val="0"/>
      <w:marTop w:val="0"/>
      <w:marBottom w:val="0"/>
      <w:divBdr>
        <w:top w:val="none" w:sz="0" w:space="0" w:color="auto"/>
        <w:left w:val="none" w:sz="0" w:space="0" w:color="auto"/>
        <w:bottom w:val="none" w:sz="0" w:space="0" w:color="auto"/>
        <w:right w:val="none" w:sz="0" w:space="0" w:color="auto"/>
      </w:divBdr>
    </w:div>
    <w:div w:id="1648052070">
      <w:bodyDiv w:val="1"/>
      <w:marLeft w:val="0"/>
      <w:marRight w:val="0"/>
      <w:marTop w:val="0"/>
      <w:marBottom w:val="0"/>
      <w:divBdr>
        <w:top w:val="none" w:sz="0" w:space="0" w:color="auto"/>
        <w:left w:val="none" w:sz="0" w:space="0" w:color="auto"/>
        <w:bottom w:val="none" w:sz="0" w:space="0" w:color="auto"/>
        <w:right w:val="none" w:sz="0" w:space="0" w:color="auto"/>
      </w:divBdr>
    </w:div>
    <w:div w:id="1649626253">
      <w:bodyDiv w:val="1"/>
      <w:marLeft w:val="0"/>
      <w:marRight w:val="0"/>
      <w:marTop w:val="0"/>
      <w:marBottom w:val="0"/>
      <w:divBdr>
        <w:top w:val="none" w:sz="0" w:space="0" w:color="auto"/>
        <w:left w:val="none" w:sz="0" w:space="0" w:color="auto"/>
        <w:bottom w:val="none" w:sz="0" w:space="0" w:color="auto"/>
        <w:right w:val="none" w:sz="0" w:space="0" w:color="auto"/>
      </w:divBdr>
    </w:div>
    <w:div w:id="1651904972">
      <w:bodyDiv w:val="1"/>
      <w:marLeft w:val="0"/>
      <w:marRight w:val="0"/>
      <w:marTop w:val="0"/>
      <w:marBottom w:val="0"/>
      <w:divBdr>
        <w:top w:val="none" w:sz="0" w:space="0" w:color="auto"/>
        <w:left w:val="none" w:sz="0" w:space="0" w:color="auto"/>
        <w:bottom w:val="none" w:sz="0" w:space="0" w:color="auto"/>
        <w:right w:val="none" w:sz="0" w:space="0" w:color="auto"/>
      </w:divBdr>
    </w:div>
    <w:div w:id="1652906097">
      <w:bodyDiv w:val="1"/>
      <w:marLeft w:val="0"/>
      <w:marRight w:val="0"/>
      <w:marTop w:val="0"/>
      <w:marBottom w:val="0"/>
      <w:divBdr>
        <w:top w:val="none" w:sz="0" w:space="0" w:color="auto"/>
        <w:left w:val="none" w:sz="0" w:space="0" w:color="auto"/>
        <w:bottom w:val="none" w:sz="0" w:space="0" w:color="auto"/>
        <w:right w:val="none" w:sz="0" w:space="0" w:color="auto"/>
      </w:divBdr>
    </w:div>
    <w:div w:id="1653561335">
      <w:bodyDiv w:val="1"/>
      <w:marLeft w:val="0"/>
      <w:marRight w:val="0"/>
      <w:marTop w:val="0"/>
      <w:marBottom w:val="0"/>
      <w:divBdr>
        <w:top w:val="none" w:sz="0" w:space="0" w:color="auto"/>
        <w:left w:val="none" w:sz="0" w:space="0" w:color="auto"/>
        <w:bottom w:val="none" w:sz="0" w:space="0" w:color="auto"/>
        <w:right w:val="none" w:sz="0" w:space="0" w:color="auto"/>
      </w:divBdr>
    </w:div>
    <w:div w:id="1659069808">
      <w:bodyDiv w:val="1"/>
      <w:marLeft w:val="0"/>
      <w:marRight w:val="0"/>
      <w:marTop w:val="0"/>
      <w:marBottom w:val="0"/>
      <w:divBdr>
        <w:top w:val="none" w:sz="0" w:space="0" w:color="auto"/>
        <w:left w:val="none" w:sz="0" w:space="0" w:color="auto"/>
        <w:bottom w:val="none" w:sz="0" w:space="0" w:color="auto"/>
        <w:right w:val="none" w:sz="0" w:space="0" w:color="auto"/>
      </w:divBdr>
    </w:div>
    <w:div w:id="1662539097">
      <w:bodyDiv w:val="1"/>
      <w:marLeft w:val="0"/>
      <w:marRight w:val="0"/>
      <w:marTop w:val="0"/>
      <w:marBottom w:val="0"/>
      <w:divBdr>
        <w:top w:val="none" w:sz="0" w:space="0" w:color="auto"/>
        <w:left w:val="none" w:sz="0" w:space="0" w:color="auto"/>
        <w:bottom w:val="none" w:sz="0" w:space="0" w:color="auto"/>
        <w:right w:val="none" w:sz="0" w:space="0" w:color="auto"/>
      </w:divBdr>
    </w:div>
    <w:div w:id="1668751319">
      <w:bodyDiv w:val="1"/>
      <w:marLeft w:val="0"/>
      <w:marRight w:val="0"/>
      <w:marTop w:val="0"/>
      <w:marBottom w:val="0"/>
      <w:divBdr>
        <w:top w:val="none" w:sz="0" w:space="0" w:color="auto"/>
        <w:left w:val="none" w:sz="0" w:space="0" w:color="auto"/>
        <w:bottom w:val="none" w:sz="0" w:space="0" w:color="auto"/>
        <w:right w:val="none" w:sz="0" w:space="0" w:color="auto"/>
      </w:divBdr>
    </w:div>
    <w:div w:id="1669868670">
      <w:bodyDiv w:val="1"/>
      <w:marLeft w:val="0"/>
      <w:marRight w:val="0"/>
      <w:marTop w:val="0"/>
      <w:marBottom w:val="0"/>
      <w:divBdr>
        <w:top w:val="none" w:sz="0" w:space="0" w:color="auto"/>
        <w:left w:val="none" w:sz="0" w:space="0" w:color="auto"/>
        <w:bottom w:val="none" w:sz="0" w:space="0" w:color="auto"/>
        <w:right w:val="none" w:sz="0" w:space="0" w:color="auto"/>
      </w:divBdr>
    </w:div>
    <w:div w:id="1674916515">
      <w:bodyDiv w:val="1"/>
      <w:marLeft w:val="0"/>
      <w:marRight w:val="0"/>
      <w:marTop w:val="0"/>
      <w:marBottom w:val="0"/>
      <w:divBdr>
        <w:top w:val="none" w:sz="0" w:space="0" w:color="auto"/>
        <w:left w:val="none" w:sz="0" w:space="0" w:color="auto"/>
        <w:bottom w:val="none" w:sz="0" w:space="0" w:color="auto"/>
        <w:right w:val="none" w:sz="0" w:space="0" w:color="auto"/>
      </w:divBdr>
    </w:div>
    <w:div w:id="1676347372">
      <w:bodyDiv w:val="1"/>
      <w:marLeft w:val="0"/>
      <w:marRight w:val="0"/>
      <w:marTop w:val="0"/>
      <w:marBottom w:val="0"/>
      <w:divBdr>
        <w:top w:val="none" w:sz="0" w:space="0" w:color="auto"/>
        <w:left w:val="none" w:sz="0" w:space="0" w:color="auto"/>
        <w:bottom w:val="none" w:sz="0" w:space="0" w:color="auto"/>
        <w:right w:val="none" w:sz="0" w:space="0" w:color="auto"/>
      </w:divBdr>
    </w:div>
    <w:div w:id="1676373512">
      <w:bodyDiv w:val="1"/>
      <w:marLeft w:val="0"/>
      <w:marRight w:val="0"/>
      <w:marTop w:val="0"/>
      <w:marBottom w:val="0"/>
      <w:divBdr>
        <w:top w:val="none" w:sz="0" w:space="0" w:color="auto"/>
        <w:left w:val="none" w:sz="0" w:space="0" w:color="auto"/>
        <w:bottom w:val="none" w:sz="0" w:space="0" w:color="auto"/>
        <w:right w:val="none" w:sz="0" w:space="0" w:color="auto"/>
      </w:divBdr>
    </w:div>
    <w:div w:id="1680306788">
      <w:bodyDiv w:val="1"/>
      <w:marLeft w:val="0"/>
      <w:marRight w:val="0"/>
      <w:marTop w:val="0"/>
      <w:marBottom w:val="0"/>
      <w:divBdr>
        <w:top w:val="none" w:sz="0" w:space="0" w:color="auto"/>
        <w:left w:val="none" w:sz="0" w:space="0" w:color="auto"/>
        <w:bottom w:val="none" w:sz="0" w:space="0" w:color="auto"/>
        <w:right w:val="none" w:sz="0" w:space="0" w:color="auto"/>
      </w:divBdr>
    </w:div>
    <w:div w:id="1682781088">
      <w:bodyDiv w:val="1"/>
      <w:marLeft w:val="0"/>
      <w:marRight w:val="0"/>
      <w:marTop w:val="0"/>
      <w:marBottom w:val="0"/>
      <w:divBdr>
        <w:top w:val="none" w:sz="0" w:space="0" w:color="auto"/>
        <w:left w:val="none" w:sz="0" w:space="0" w:color="auto"/>
        <w:bottom w:val="none" w:sz="0" w:space="0" w:color="auto"/>
        <w:right w:val="none" w:sz="0" w:space="0" w:color="auto"/>
      </w:divBdr>
    </w:div>
    <w:div w:id="1682931597">
      <w:bodyDiv w:val="1"/>
      <w:marLeft w:val="0"/>
      <w:marRight w:val="0"/>
      <w:marTop w:val="0"/>
      <w:marBottom w:val="0"/>
      <w:divBdr>
        <w:top w:val="none" w:sz="0" w:space="0" w:color="auto"/>
        <w:left w:val="none" w:sz="0" w:space="0" w:color="auto"/>
        <w:bottom w:val="none" w:sz="0" w:space="0" w:color="auto"/>
        <w:right w:val="none" w:sz="0" w:space="0" w:color="auto"/>
      </w:divBdr>
    </w:div>
    <w:div w:id="1689332819">
      <w:bodyDiv w:val="1"/>
      <w:marLeft w:val="0"/>
      <w:marRight w:val="0"/>
      <w:marTop w:val="0"/>
      <w:marBottom w:val="0"/>
      <w:divBdr>
        <w:top w:val="none" w:sz="0" w:space="0" w:color="auto"/>
        <w:left w:val="none" w:sz="0" w:space="0" w:color="auto"/>
        <w:bottom w:val="none" w:sz="0" w:space="0" w:color="auto"/>
        <w:right w:val="none" w:sz="0" w:space="0" w:color="auto"/>
      </w:divBdr>
    </w:div>
    <w:div w:id="1698502873">
      <w:bodyDiv w:val="1"/>
      <w:marLeft w:val="0"/>
      <w:marRight w:val="0"/>
      <w:marTop w:val="0"/>
      <w:marBottom w:val="0"/>
      <w:divBdr>
        <w:top w:val="none" w:sz="0" w:space="0" w:color="auto"/>
        <w:left w:val="none" w:sz="0" w:space="0" w:color="auto"/>
        <w:bottom w:val="none" w:sz="0" w:space="0" w:color="auto"/>
        <w:right w:val="none" w:sz="0" w:space="0" w:color="auto"/>
      </w:divBdr>
    </w:div>
    <w:div w:id="1700619817">
      <w:bodyDiv w:val="1"/>
      <w:marLeft w:val="0"/>
      <w:marRight w:val="0"/>
      <w:marTop w:val="0"/>
      <w:marBottom w:val="0"/>
      <w:divBdr>
        <w:top w:val="none" w:sz="0" w:space="0" w:color="auto"/>
        <w:left w:val="none" w:sz="0" w:space="0" w:color="auto"/>
        <w:bottom w:val="none" w:sz="0" w:space="0" w:color="auto"/>
        <w:right w:val="none" w:sz="0" w:space="0" w:color="auto"/>
      </w:divBdr>
    </w:div>
    <w:div w:id="1701512031">
      <w:bodyDiv w:val="1"/>
      <w:marLeft w:val="0"/>
      <w:marRight w:val="0"/>
      <w:marTop w:val="0"/>
      <w:marBottom w:val="0"/>
      <w:divBdr>
        <w:top w:val="none" w:sz="0" w:space="0" w:color="auto"/>
        <w:left w:val="none" w:sz="0" w:space="0" w:color="auto"/>
        <w:bottom w:val="none" w:sz="0" w:space="0" w:color="auto"/>
        <w:right w:val="none" w:sz="0" w:space="0" w:color="auto"/>
      </w:divBdr>
    </w:div>
    <w:div w:id="1702435394">
      <w:bodyDiv w:val="1"/>
      <w:marLeft w:val="0"/>
      <w:marRight w:val="0"/>
      <w:marTop w:val="0"/>
      <w:marBottom w:val="0"/>
      <w:divBdr>
        <w:top w:val="none" w:sz="0" w:space="0" w:color="auto"/>
        <w:left w:val="none" w:sz="0" w:space="0" w:color="auto"/>
        <w:bottom w:val="none" w:sz="0" w:space="0" w:color="auto"/>
        <w:right w:val="none" w:sz="0" w:space="0" w:color="auto"/>
      </w:divBdr>
    </w:div>
    <w:div w:id="1704162304">
      <w:bodyDiv w:val="1"/>
      <w:marLeft w:val="0"/>
      <w:marRight w:val="0"/>
      <w:marTop w:val="0"/>
      <w:marBottom w:val="0"/>
      <w:divBdr>
        <w:top w:val="none" w:sz="0" w:space="0" w:color="auto"/>
        <w:left w:val="none" w:sz="0" w:space="0" w:color="auto"/>
        <w:bottom w:val="none" w:sz="0" w:space="0" w:color="auto"/>
        <w:right w:val="none" w:sz="0" w:space="0" w:color="auto"/>
      </w:divBdr>
    </w:div>
    <w:div w:id="1704209596">
      <w:bodyDiv w:val="1"/>
      <w:marLeft w:val="0"/>
      <w:marRight w:val="0"/>
      <w:marTop w:val="0"/>
      <w:marBottom w:val="0"/>
      <w:divBdr>
        <w:top w:val="none" w:sz="0" w:space="0" w:color="auto"/>
        <w:left w:val="none" w:sz="0" w:space="0" w:color="auto"/>
        <w:bottom w:val="none" w:sz="0" w:space="0" w:color="auto"/>
        <w:right w:val="none" w:sz="0" w:space="0" w:color="auto"/>
      </w:divBdr>
    </w:div>
    <w:div w:id="1723863363">
      <w:bodyDiv w:val="1"/>
      <w:marLeft w:val="0"/>
      <w:marRight w:val="0"/>
      <w:marTop w:val="0"/>
      <w:marBottom w:val="0"/>
      <w:divBdr>
        <w:top w:val="none" w:sz="0" w:space="0" w:color="auto"/>
        <w:left w:val="none" w:sz="0" w:space="0" w:color="auto"/>
        <w:bottom w:val="none" w:sz="0" w:space="0" w:color="auto"/>
        <w:right w:val="none" w:sz="0" w:space="0" w:color="auto"/>
      </w:divBdr>
    </w:div>
    <w:div w:id="1724400923">
      <w:bodyDiv w:val="1"/>
      <w:marLeft w:val="0"/>
      <w:marRight w:val="0"/>
      <w:marTop w:val="0"/>
      <w:marBottom w:val="0"/>
      <w:divBdr>
        <w:top w:val="none" w:sz="0" w:space="0" w:color="auto"/>
        <w:left w:val="none" w:sz="0" w:space="0" w:color="auto"/>
        <w:bottom w:val="none" w:sz="0" w:space="0" w:color="auto"/>
        <w:right w:val="none" w:sz="0" w:space="0" w:color="auto"/>
      </w:divBdr>
    </w:div>
    <w:div w:id="1724480360">
      <w:bodyDiv w:val="1"/>
      <w:marLeft w:val="0"/>
      <w:marRight w:val="0"/>
      <w:marTop w:val="0"/>
      <w:marBottom w:val="0"/>
      <w:divBdr>
        <w:top w:val="none" w:sz="0" w:space="0" w:color="auto"/>
        <w:left w:val="none" w:sz="0" w:space="0" w:color="auto"/>
        <w:bottom w:val="none" w:sz="0" w:space="0" w:color="auto"/>
        <w:right w:val="none" w:sz="0" w:space="0" w:color="auto"/>
      </w:divBdr>
    </w:div>
    <w:div w:id="1728530097">
      <w:bodyDiv w:val="1"/>
      <w:marLeft w:val="0"/>
      <w:marRight w:val="0"/>
      <w:marTop w:val="0"/>
      <w:marBottom w:val="0"/>
      <w:divBdr>
        <w:top w:val="none" w:sz="0" w:space="0" w:color="auto"/>
        <w:left w:val="none" w:sz="0" w:space="0" w:color="auto"/>
        <w:bottom w:val="none" w:sz="0" w:space="0" w:color="auto"/>
        <w:right w:val="none" w:sz="0" w:space="0" w:color="auto"/>
      </w:divBdr>
    </w:div>
    <w:div w:id="1732538547">
      <w:bodyDiv w:val="1"/>
      <w:marLeft w:val="0"/>
      <w:marRight w:val="0"/>
      <w:marTop w:val="0"/>
      <w:marBottom w:val="0"/>
      <w:divBdr>
        <w:top w:val="none" w:sz="0" w:space="0" w:color="auto"/>
        <w:left w:val="none" w:sz="0" w:space="0" w:color="auto"/>
        <w:bottom w:val="none" w:sz="0" w:space="0" w:color="auto"/>
        <w:right w:val="none" w:sz="0" w:space="0" w:color="auto"/>
      </w:divBdr>
    </w:div>
    <w:div w:id="1733458307">
      <w:bodyDiv w:val="1"/>
      <w:marLeft w:val="0"/>
      <w:marRight w:val="0"/>
      <w:marTop w:val="0"/>
      <w:marBottom w:val="0"/>
      <w:divBdr>
        <w:top w:val="none" w:sz="0" w:space="0" w:color="auto"/>
        <w:left w:val="none" w:sz="0" w:space="0" w:color="auto"/>
        <w:bottom w:val="none" w:sz="0" w:space="0" w:color="auto"/>
        <w:right w:val="none" w:sz="0" w:space="0" w:color="auto"/>
      </w:divBdr>
    </w:div>
    <w:div w:id="1733767842">
      <w:bodyDiv w:val="1"/>
      <w:marLeft w:val="0"/>
      <w:marRight w:val="0"/>
      <w:marTop w:val="0"/>
      <w:marBottom w:val="0"/>
      <w:divBdr>
        <w:top w:val="none" w:sz="0" w:space="0" w:color="auto"/>
        <w:left w:val="none" w:sz="0" w:space="0" w:color="auto"/>
        <w:bottom w:val="none" w:sz="0" w:space="0" w:color="auto"/>
        <w:right w:val="none" w:sz="0" w:space="0" w:color="auto"/>
      </w:divBdr>
    </w:div>
    <w:div w:id="1737321168">
      <w:bodyDiv w:val="1"/>
      <w:marLeft w:val="0"/>
      <w:marRight w:val="0"/>
      <w:marTop w:val="0"/>
      <w:marBottom w:val="0"/>
      <w:divBdr>
        <w:top w:val="none" w:sz="0" w:space="0" w:color="auto"/>
        <w:left w:val="none" w:sz="0" w:space="0" w:color="auto"/>
        <w:bottom w:val="none" w:sz="0" w:space="0" w:color="auto"/>
        <w:right w:val="none" w:sz="0" w:space="0" w:color="auto"/>
      </w:divBdr>
    </w:div>
    <w:div w:id="1740440332">
      <w:bodyDiv w:val="1"/>
      <w:marLeft w:val="0"/>
      <w:marRight w:val="0"/>
      <w:marTop w:val="0"/>
      <w:marBottom w:val="0"/>
      <w:divBdr>
        <w:top w:val="none" w:sz="0" w:space="0" w:color="auto"/>
        <w:left w:val="none" w:sz="0" w:space="0" w:color="auto"/>
        <w:bottom w:val="none" w:sz="0" w:space="0" w:color="auto"/>
        <w:right w:val="none" w:sz="0" w:space="0" w:color="auto"/>
      </w:divBdr>
    </w:div>
    <w:div w:id="1741555993">
      <w:bodyDiv w:val="1"/>
      <w:marLeft w:val="0"/>
      <w:marRight w:val="0"/>
      <w:marTop w:val="0"/>
      <w:marBottom w:val="0"/>
      <w:divBdr>
        <w:top w:val="none" w:sz="0" w:space="0" w:color="auto"/>
        <w:left w:val="none" w:sz="0" w:space="0" w:color="auto"/>
        <w:bottom w:val="none" w:sz="0" w:space="0" w:color="auto"/>
        <w:right w:val="none" w:sz="0" w:space="0" w:color="auto"/>
      </w:divBdr>
    </w:div>
    <w:div w:id="1746803212">
      <w:bodyDiv w:val="1"/>
      <w:marLeft w:val="0"/>
      <w:marRight w:val="0"/>
      <w:marTop w:val="0"/>
      <w:marBottom w:val="0"/>
      <w:divBdr>
        <w:top w:val="none" w:sz="0" w:space="0" w:color="auto"/>
        <w:left w:val="none" w:sz="0" w:space="0" w:color="auto"/>
        <w:bottom w:val="none" w:sz="0" w:space="0" w:color="auto"/>
        <w:right w:val="none" w:sz="0" w:space="0" w:color="auto"/>
      </w:divBdr>
    </w:div>
    <w:div w:id="1747455479">
      <w:bodyDiv w:val="1"/>
      <w:marLeft w:val="0"/>
      <w:marRight w:val="0"/>
      <w:marTop w:val="0"/>
      <w:marBottom w:val="0"/>
      <w:divBdr>
        <w:top w:val="none" w:sz="0" w:space="0" w:color="auto"/>
        <w:left w:val="none" w:sz="0" w:space="0" w:color="auto"/>
        <w:bottom w:val="none" w:sz="0" w:space="0" w:color="auto"/>
        <w:right w:val="none" w:sz="0" w:space="0" w:color="auto"/>
      </w:divBdr>
    </w:div>
    <w:div w:id="1751586159">
      <w:bodyDiv w:val="1"/>
      <w:marLeft w:val="0"/>
      <w:marRight w:val="0"/>
      <w:marTop w:val="0"/>
      <w:marBottom w:val="0"/>
      <w:divBdr>
        <w:top w:val="none" w:sz="0" w:space="0" w:color="auto"/>
        <w:left w:val="none" w:sz="0" w:space="0" w:color="auto"/>
        <w:bottom w:val="none" w:sz="0" w:space="0" w:color="auto"/>
        <w:right w:val="none" w:sz="0" w:space="0" w:color="auto"/>
      </w:divBdr>
    </w:div>
    <w:div w:id="1755857421">
      <w:bodyDiv w:val="1"/>
      <w:marLeft w:val="0"/>
      <w:marRight w:val="0"/>
      <w:marTop w:val="0"/>
      <w:marBottom w:val="0"/>
      <w:divBdr>
        <w:top w:val="none" w:sz="0" w:space="0" w:color="auto"/>
        <w:left w:val="none" w:sz="0" w:space="0" w:color="auto"/>
        <w:bottom w:val="none" w:sz="0" w:space="0" w:color="auto"/>
        <w:right w:val="none" w:sz="0" w:space="0" w:color="auto"/>
      </w:divBdr>
    </w:div>
    <w:div w:id="1763066686">
      <w:bodyDiv w:val="1"/>
      <w:marLeft w:val="0"/>
      <w:marRight w:val="0"/>
      <w:marTop w:val="0"/>
      <w:marBottom w:val="0"/>
      <w:divBdr>
        <w:top w:val="none" w:sz="0" w:space="0" w:color="auto"/>
        <w:left w:val="none" w:sz="0" w:space="0" w:color="auto"/>
        <w:bottom w:val="none" w:sz="0" w:space="0" w:color="auto"/>
        <w:right w:val="none" w:sz="0" w:space="0" w:color="auto"/>
      </w:divBdr>
    </w:div>
    <w:div w:id="1766415355">
      <w:bodyDiv w:val="1"/>
      <w:marLeft w:val="0"/>
      <w:marRight w:val="0"/>
      <w:marTop w:val="0"/>
      <w:marBottom w:val="0"/>
      <w:divBdr>
        <w:top w:val="none" w:sz="0" w:space="0" w:color="auto"/>
        <w:left w:val="none" w:sz="0" w:space="0" w:color="auto"/>
        <w:bottom w:val="none" w:sz="0" w:space="0" w:color="auto"/>
        <w:right w:val="none" w:sz="0" w:space="0" w:color="auto"/>
      </w:divBdr>
    </w:div>
    <w:div w:id="1767918318">
      <w:bodyDiv w:val="1"/>
      <w:marLeft w:val="0"/>
      <w:marRight w:val="0"/>
      <w:marTop w:val="0"/>
      <w:marBottom w:val="0"/>
      <w:divBdr>
        <w:top w:val="none" w:sz="0" w:space="0" w:color="auto"/>
        <w:left w:val="none" w:sz="0" w:space="0" w:color="auto"/>
        <w:bottom w:val="none" w:sz="0" w:space="0" w:color="auto"/>
        <w:right w:val="none" w:sz="0" w:space="0" w:color="auto"/>
      </w:divBdr>
    </w:div>
    <w:div w:id="1769811771">
      <w:bodyDiv w:val="1"/>
      <w:marLeft w:val="0"/>
      <w:marRight w:val="0"/>
      <w:marTop w:val="0"/>
      <w:marBottom w:val="0"/>
      <w:divBdr>
        <w:top w:val="none" w:sz="0" w:space="0" w:color="auto"/>
        <w:left w:val="none" w:sz="0" w:space="0" w:color="auto"/>
        <w:bottom w:val="none" w:sz="0" w:space="0" w:color="auto"/>
        <w:right w:val="none" w:sz="0" w:space="0" w:color="auto"/>
      </w:divBdr>
    </w:div>
    <w:div w:id="1769885438">
      <w:bodyDiv w:val="1"/>
      <w:marLeft w:val="0"/>
      <w:marRight w:val="0"/>
      <w:marTop w:val="0"/>
      <w:marBottom w:val="0"/>
      <w:divBdr>
        <w:top w:val="none" w:sz="0" w:space="0" w:color="auto"/>
        <w:left w:val="none" w:sz="0" w:space="0" w:color="auto"/>
        <w:bottom w:val="none" w:sz="0" w:space="0" w:color="auto"/>
        <w:right w:val="none" w:sz="0" w:space="0" w:color="auto"/>
      </w:divBdr>
    </w:div>
    <w:div w:id="1771387673">
      <w:bodyDiv w:val="1"/>
      <w:marLeft w:val="0"/>
      <w:marRight w:val="0"/>
      <w:marTop w:val="0"/>
      <w:marBottom w:val="0"/>
      <w:divBdr>
        <w:top w:val="none" w:sz="0" w:space="0" w:color="auto"/>
        <w:left w:val="none" w:sz="0" w:space="0" w:color="auto"/>
        <w:bottom w:val="none" w:sz="0" w:space="0" w:color="auto"/>
        <w:right w:val="none" w:sz="0" w:space="0" w:color="auto"/>
      </w:divBdr>
    </w:div>
    <w:div w:id="1778334209">
      <w:bodyDiv w:val="1"/>
      <w:marLeft w:val="0"/>
      <w:marRight w:val="0"/>
      <w:marTop w:val="0"/>
      <w:marBottom w:val="0"/>
      <w:divBdr>
        <w:top w:val="none" w:sz="0" w:space="0" w:color="auto"/>
        <w:left w:val="none" w:sz="0" w:space="0" w:color="auto"/>
        <w:bottom w:val="none" w:sz="0" w:space="0" w:color="auto"/>
        <w:right w:val="none" w:sz="0" w:space="0" w:color="auto"/>
      </w:divBdr>
    </w:div>
    <w:div w:id="1779181668">
      <w:bodyDiv w:val="1"/>
      <w:marLeft w:val="0"/>
      <w:marRight w:val="0"/>
      <w:marTop w:val="0"/>
      <w:marBottom w:val="0"/>
      <w:divBdr>
        <w:top w:val="none" w:sz="0" w:space="0" w:color="auto"/>
        <w:left w:val="none" w:sz="0" w:space="0" w:color="auto"/>
        <w:bottom w:val="none" w:sz="0" w:space="0" w:color="auto"/>
        <w:right w:val="none" w:sz="0" w:space="0" w:color="auto"/>
      </w:divBdr>
    </w:div>
    <w:div w:id="1779399916">
      <w:bodyDiv w:val="1"/>
      <w:marLeft w:val="0"/>
      <w:marRight w:val="0"/>
      <w:marTop w:val="0"/>
      <w:marBottom w:val="0"/>
      <w:divBdr>
        <w:top w:val="none" w:sz="0" w:space="0" w:color="auto"/>
        <w:left w:val="none" w:sz="0" w:space="0" w:color="auto"/>
        <w:bottom w:val="none" w:sz="0" w:space="0" w:color="auto"/>
        <w:right w:val="none" w:sz="0" w:space="0" w:color="auto"/>
      </w:divBdr>
    </w:div>
    <w:div w:id="1779761392">
      <w:bodyDiv w:val="1"/>
      <w:marLeft w:val="0"/>
      <w:marRight w:val="0"/>
      <w:marTop w:val="0"/>
      <w:marBottom w:val="0"/>
      <w:divBdr>
        <w:top w:val="none" w:sz="0" w:space="0" w:color="auto"/>
        <w:left w:val="none" w:sz="0" w:space="0" w:color="auto"/>
        <w:bottom w:val="none" w:sz="0" w:space="0" w:color="auto"/>
        <w:right w:val="none" w:sz="0" w:space="0" w:color="auto"/>
      </w:divBdr>
    </w:div>
    <w:div w:id="1780101360">
      <w:bodyDiv w:val="1"/>
      <w:marLeft w:val="0"/>
      <w:marRight w:val="0"/>
      <w:marTop w:val="0"/>
      <w:marBottom w:val="0"/>
      <w:divBdr>
        <w:top w:val="none" w:sz="0" w:space="0" w:color="auto"/>
        <w:left w:val="none" w:sz="0" w:space="0" w:color="auto"/>
        <w:bottom w:val="none" w:sz="0" w:space="0" w:color="auto"/>
        <w:right w:val="none" w:sz="0" w:space="0" w:color="auto"/>
      </w:divBdr>
    </w:div>
    <w:div w:id="1783525603">
      <w:bodyDiv w:val="1"/>
      <w:marLeft w:val="0"/>
      <w:marRight w:val="0"/>
      <w:marTop w:val="0"/>
      <w:marBottom w:val="0"/>
      <w:divBdr>
        <w:top w:val="none" w:sz="0" w:space="0" w:color="auto"/>
        <w:left w:val="none" w:sz="0" w:space="0" w:color="auto"/>
        <w:bottom w:val="none" w:sz="0" w:space="0" w:color="auto"/>
        <w:right w:val="none" w:sz="0" w:space="0" w:color="auto"/>
      </w:divBdr>
    </w:div>
    <w:div w:id="1788819047">
      <w:bodyDiv w:val="1"/>
      <w:marLeft w:val="0"/>
      <w:marRight w:val="0"/>
      <w:marTop w:val="0"/>
      <w:marBottom w:val="0"/>
      <w:divBdr>
        <w:top w:val="none" w:sz="0" w:space="0" w:color="auto"/>
        <w:left w:val="none" w:sz="0" w:space="0" w:color="auto"/>
        <w:bottom w:val="none" w:sz="0" w:space="0" w:color="auto"/>
        <w:right w:val="none" w:sz="0" w:space="0" w:color="auto"/>
      </w:divBdr>
    </w:div>
    <w:div w:id="1791167196">
      <w:bodyDiv w:val="1"/>
      <w:marLeft w:val="0"/>
      <w:marRight w:val="0"/>
      <w:marTop w:val="0"/>
      <w:marBottom w:val="0"/>
      <w:divBdr>
        <w:top w:val="none" w:sz="0" w:space="0" w:color="auto"/>
        <w:left w:val="none" w:sz="0" w:space="0" w:color="auto"/>
        <w:bottom w:val="none" w:sz="0" w:space="0" w:color="auto"/>
        <w:right w:val="none" w:sz="0" w:space="0" w:color="auto"/>
      </w:divBdr>
    </w:div>
    <w:div w:id="1791315470">
      <w:bodyDiv w:val="1"/>
      <w:marLeft w:val="0"/>
      <w:marRight w:val="0"/>
      <w:marTop w:val="0"/>
      <w:marBottom w:val="0"/>
      <w:divBdr>
        <w:top w:val="none" w:sz="0" w:space="0" w:color="auto"/>
        <w:left w:val="none" w:sz="0" w:space="0" w:color="auto"/>
        <w:bottom w:val="none" w:sz="0" w:space="0" w:color="auto"/>
        <w:right w:val="none" w:sz="0" w:space="0" w:color="auto"/>
      </w:divBdr>
    </w:div>
    <w:div w:id="1791319509">
      <w:bodyDiv w:val="1"/>
      <w:marLeft w:val="0"/>
      <w:marRight w:val="0"/>
      <w:marTop w:val="0"/>
      <w:marBottom w:val="0"/>
      <w:divBdr>
        <w:top w:val="none" w:sz="0" w:space="0" w:color="auto"/>
        <w:left w:val="none" w:sz="0" w:space="0" w:color="auto"/>
        <w:bottom w:val="none" w:sz="0" w:space="0" w:color="auto"/>
        <w:right w:val="none" w:sz="0" w:space="0" w:color="auto"/>
      </w:divBdr>
    </w:div>
    <w:div w:id="1794247905">
      <w:bodyDiv w:val="1"/>
      <w:marLeft w:val="0"/>
      <w:marRight w:val="0"/>
      <w:marTop w:val="0"/>
      <w:marBottom w:val="0"/>
      <w:divBdr>
        <w:top w:val="none" w:sz="0" w:space="0" w:color="auto"/>
        <w:left w:val="none" w:sz="0" w:space="0" w:color="auto"/>
        <w:bottom w:val="none" w:sz="0" w:space="0" w:color="auto"/>
        <w:right w:val="none" w:sz="0" w:space="0" w:color="auto"/>
      </w:divBdr>
    </w:div>
    <w:div w:id="1795175487">
      <w:bodyDiv w:val="1"/>
      <w:marLeft w:val="0"/>
      <w:marRight w:val="0"/>
      <w:marTop w:val="0"/>
      <w:marBottom w:val="0"/>
      <w:divBdr>
        <w:top w:val="none" w:sz="0" w:space="0" w:color="auto"/>
        <w:left w:val="none" w:sz="0" w:space="0" w:color="auto"/>
        <w:bottom w:val="none" w:sz="0" w:space="0" w:color="auto"/>
        <w:right w:val="none" w:sz="0" w:space="0" w:color="auto"/>
      </w:divBdr>
    </w:div>
    <w:div w:id="1795369798">
      <w:bodyDiv w:val="1"/>
      <w:marLeft w:val="0"/>
      <w:marRight w:val="0"/>
      <w:marTop w:val="0"/>
      <w:marBottom w:val="0"/>
      <w:divBdr>
        <w:top w:val="none" w:sz="0" w:space="0" w:color="auto"/>
        <w:left w:val="none" w:sz="0" w:space="0" w:color="auto"/>
        <w:bottom w:val="none" w:sz="0" w:space="0" w:color="auto"/>
        <w:right w:val="none" w:sz="0" w:space="0" w:color="auto"/>
      </w:divBdr>
    </w:div>
    <w:div w:id="1803427082">
      <w:bodyDiv w:val="1"/>
      <w:marLeft w:val="0"/>
      <w:marRight w:val="0"/>
      <w:marTop w:val="0"/>
      <w:marBottom w:val="0"/>
      <w:divBdr>
        <w:top w:val="none" w:sz="0" w:space="0" w:color="auto"/>
        <w:left w:val="none" w:sz="0" w:space="0" w:color="auto"/>
        <w:bottom w:val="none" w:sz="0" w:space="0" w:color="auto"/>
        <w:right w:val="none" w:sz="0" w:space="0" w:color="auto"/>
      </w:divBdr>
    </w:div>
    <w:div w:id="1808551486">
      <w:bodyDiv w:val="1"/>
      <w:marLeft w:val="0"/>
      <w:marRight w:val="0"/>
      <w:marTop w:val="0"/>
      <w:marBottom w:val="0"/>
      <w:divBdr>
        <w:top w:val="none" w:sz="0" w:space="0" w:color="auto"/>
        <w:left w:val="none" w:sz="0" w:space="0" w:color="auto"/>
        <w:bottom w:val="none" w:sz="0" w:space="0" w:color="auto"/>
        <w:right w:val="none" w:sz="0" w:space="0" w:color="auto"/>
      </w:divBdr>
    </w:div>
    <w:div w:id="1809349301">
      <w:bodyDiv w:val="1"/>
      <w:marLeft w:val="0"/>
      <w:marRight w:val="0"/>
      <w:marTop w:val="0"/>
      <w:marBottom w:val="0"/>
      <w:divBdr>
        <w:top w:val="none" w:sz="0" w:space="0" w:color="auto"/>
        <w:left w:val="none" w:sz="0" w:space="0" w:color="auto"/>
        <w:bottom w:val="none" w:sz="0" w:space="0" w:color="auto"/>
        <w:right w:val="none" w:sz="0" w:space="0" w:color="auto"/>
      </w:divBdr>
    </w:div>
    <w:div w:id="1811701808">
      <w:bodyDiv w:val="1"/>
      <w:marLeft w:val="0"/>
      <w:marRight w:val="0"/>
      <w:marTop w:val="0"/>
      <w:marBottom w:val="0"/>
      <w:divBdr>
        <w:top w:val="none" w:sz="0" w:space="0" w:color="auto"/>
        <w:left w:val="none" w:sz="0" w:space="0" w:color="auto"/>
        <w:bottom w:val="none" w:sz="0" w:space="0" w:color="auto"/>
        <w:right w:val="none" w:sz="0" w:space="0" w:color="auto"/>
      </w:divBdr>
    </w:div>
    <w:div w:id="1816725457">
      <w:bodyDiv w:val="1"/>
      <w:marLeft w:val="0"/>
      <w:marRight w:val="0"/>
      <w:marTop w:val="0"/>
      <w:marBottom w:val="0"/>
      <w:divBdr>
        <w:top w:val="none" w:sz="0" w:space="0" w:color="auto"/>
        <w:left w:val="none" w:sz="0" w:space="0" w:color="auto"/>
        <w:bottom w:val="none" w:sz="0" w:space="0" w:color="auto"/>
        <w:right w:val="none" w:sz="0" w:space="0" w:color="auto"/>
      </w:divBdr>
    </w:div>
    <w:div w:id="1830292768">
      <w:bodyDiv w:val="1"/>
      <w:marLeft w:val="0"/>
      <w:marRight w:val="0"/>
      <w:marTop w:val="0"/>
      <w:marBottom w:val="0"/>
      <w:divBdr>
        <w:top w:val="none" w:sz="0" w:space="0" w:color="auto"/>
        <w:left w:val="none" w:sz="0" w:space="0" w:color="auto"/>
        <w:bottom w:val="none" w:sz="0" w:space="0" w:color="auto"/>
        <w:right w:val="none" w:sz="0" w:space="0" w:color="auto"/>
      </w:divBdr>
    </w:div>
    <w:div w:id="1833329853">
      <w:bodyDiv w:val="1"/>
      <w:marLeft w:val="0"/>
      <w:marRight w:val="0"/>
      <w:marTop w:val="0"/>
      <w:marBottom w:val="0"/>
      <w:divBdr>
        <w:top w:val="none" w:sz="0" w:space="0" w:color="auto"/>
        <w:left w:val="none" w:sz="0" w:space="0" w:color="auto"/>
        <w:bottom w:val="none" w:sz="0" w:space="0" w:color="auto"/>
        <w:right w:val="none" w:sz="0" w:space="0" w:color="auto"/>
      </w:divBdr>
    </w:div>
    <w:div w:id="1835293131">
      <w:bodyDiv w:val="1"/>
      <w:marLeft w:val="0"/>
      <w:marRight w:val="0"/>
      <w:marTop w:val="0"/>
      <w:marBottom w:val="0"/>
      <w:divBdr>
        <w:top w:val="none" w:sz="0" w:space="0" w:color="auto"/>
        <w:left w:val="none" w:sz="0" w:space="0" w:color="auto"/>
        <w:bottom w:val="none" w:sz="0" w:space="0" w:color="auto"/>
        <w:right w:val="none" w:sz="0" w:space="0" w:color="auto"/>
      </w:divBdr>
    </w:div>
    <w:div w:id="1836141517">
      <w:bodyDiv w:val="1"/>
      <w:marLeft w:val="0"/>
      <w:marRight w:val="0"/>
      <w:marTop w:val="0"/>
      <w:marBottom w:val="0"/>
      <w:divBdr>
        <w:top w:val="none" w:sz="0" w:space="0" w:color="auto"/>
        <w:left w:val="none" w:sz="0" w:space="0" w:color="auto"/>
        <w:bottom w:val="none" w:sz="0" w:space="0" w:color="auto"/>
        <w:right w:val="none" w:sz="0" w:space="0" w:color="auto"/>
      </w:divBdr>
    </w:div>
    <w:div w:id="1836340031">
      <w:bodyDiv w:val="1"/>
      <w:marLeft w:val="0"/>
      <w:marRight w:val="0"/>
      <w:marTop w:val="0"/>
      <w:marBottom w:val="0"/>
      <w:divBdr>
        <w:top w:val="none" w:sz="0" w:space="0" w:color="auto"/>
        <w:left w:val="none" w:sz="0" w:space="0" w:color="auto"/>
        <w:bottom w:val="none" w:sz="0" w:space="0" w:color="auto"/>
        <w:right w:val="none" w:sz="0" w:space="0" w:color="auto"/>
      </w:divBdr>
    </w:div>
    <w:div w:id="1843348048">
      <w:bodyDiv w:val="1"/>
      <w:marLeft w:val="0"/>
      <w:marRight w:val="0"/>
      <w:marTop w:val="0"/>
      <w:marBottom w:val="0"/>
      <w:divBdr>
        <w:top w:val="none" w:sz="0" w:space="0" w:color="auto"/>
        <w:left w:val="none" w:sz="0" w:space="0" w:color="auto"/>
        <w:bottom w:val="none" w:sz="0" w:space="0" w:color="auto"/>
        <w:right w:val="none" w:sz="0" w:space="0" w:color="auto"/>
      </w:divBdr>
    </w:div>
    <w:div w:id="1856338403">
      <w:bodyDiv w:val="1"/>
      <w:marLeft w:val="0"/>
      <w:marRight w:val="0"/>
      <w:marTop w:val="0"/>
      <w:marBottom w:val="0"/>
      <w:divBdr>
        <w:top w:val="none" w:sz="0" w:space="0" w:color="auto"/>
        <w:left w:val="none" w:sz="0" w:space="0" w:color="auto"/>
        <w:bottom w:val="none" w:sz="0" w:space="0" w:color="auto"/>
        <w:right w:val="none" w:sz="0" w:space="0" w:color="auto"/>
      </w:divBdr>
    </w:div>
    <w:div w:id="1859268584">
      <w:bodyDiv w:val="1"/>
      <w:marLeft w:val="0"/>
      <w:marRight w:val="0"/>
      <w:marTop w:val="0"/>
      <w:marBottom w:val="0"/>
      <w:divBdr>
        <w:top w:val="none" w:sz="0" w:space="0" w:color="auto"/>
        <w:left w:val="none" w:sz="0" w:space="0" w:color="auto"/>
        <w:bottom w:val="none" w:sz="0" w:space="0" w:color="auto"/>
        <w:right w:val="none" w:sz="0" w:space="0" w:color="auto"/>
      </w:divBdr>
    </w:div>
    <w:div w:id="1867061262">
      <w:bodyDiv w:val="1"/>
      <w:marLeft w:val="0"/>
      <w:marRight w:val="0"/>
      <w:marTop w:val="0"/>
      <w:marBottom w:val="0"/>
      <w:divBdr>
        <w:top w:val="none" w:sz="0" w:space="0" w:color="auto"/>
        <w:left w:val="none" w:sz="0" w:space="0" w:color="auto"/>
        <w:bottom w:val="none" w:sz="0" w:space="0" w:color="auto"/>
        <w:right w:val="none" w:sz="0" w:space="0" w:color="auto"/>
      </w:divBdr>
    </w:div>
    <w:div w:id="1870605410">
      <w:bodyDiv w:val="1"/>
      <w:marLeft w:val="0"/>
      <w:marRight w:val="0"/>
      <w:marTop w:val="0"/>
      <w:marBottom w:val="0"/>
      <w:divBdr>
        <w:top w:val="none" w:sz="0" w:space="0" w:color="auto"/>
        <w:left w:val="none" w:sz="0" w:space="0" w:color="auto"/>
        <w:bottom w:val="none" w:sz="0" w:space="0" w:color="auto"/>
        <w:right w:val="none" w:sz="0" w:space="0" w:color="auto"/>
      </w:divBdr>
    </w:div>
    <w:div w:id="1872456411">
      <w:bodyDiv w:val="1"/>
      <w:marLeft w:val="0"/>
      <w:marRight w:val="0"/>
      <w:marTop w:val="0"/>
      <w:marBottom w:val="0"/>
      <w:divBdr>
        <w:top w:val="none" w:sz="0" w:space="0" w:color="auto"/>
        <w:left w:val="none" w:sz="0" w:space="0" w:color="auto"/>
        <w:bottom w:val="none" w:sz="0" w:space="0" w:color="auto"/>
        <w:right w:val="none" w:sz="0" w:space="0" w:color="auto"/>
      </w:divBdr>
    </w:div>
    <w:div w:id="1873616700">
      <w:bodyDiv w:val="1"/>
      <w:marLeft w:val="0"/>
      <w:marRight w:val="0"/>
      <w:marTop w:val="0"/>
      <w:marBottom w:val="0"/>
      <w:divBdr>
        <w:top w:val="none" w:sz="0" w:space="0" w:color="auto"/>
        <w:left w:val="none" w:sz="0" w:space="0" w:color="auto"/>
        <w:bottom w:val="none" w:sz="0" w:space="0" w:color="auto"/>
        <w:right w:val="none" w:sz="0" w:space="0" w:color="auto"/>
      </w:divBdr>
    </w:div>
    <w:div w:id="1875458283">
      <w:bodyDiv w:val="1"/>
      <w:marLeft w:val="0"/>
      <w:marRight w:val="0"/>
      <w:marTop w:val="0"/>
      <w:marBottom w:val="0"/>
      <w:divBdr>
        <w:top w:val="none" w:sz="0" w:space="0" w:color="auto"/>
        <w:left w:val="none" w:sz="0" w:space="0" w:color="auto"/>
        <w:bottom w:val="none" w:sz="0" w:space="0" w:color="auto"/>
        <w:right w:val="none" w:sz="0" w:space="0" w:color="auto"/>
      </w:divBdr>
    </w:div>
    <w:div w:id="1877236016">
      <w:bodyDiv w:val="1"/>
      <w:marLeft w:val="0"/>
      <w:marRight w:val="0"/>
      <w:marTop w:val="0"/>
      <w:marBottom w:val="0"/>
      <w:divBdr>
        <w:top w:val="none" w:sz="0" w:space="0" w:color="auto"/>
        <w:left w:val="none" w:sz="0" w:space="0" w:color="auto"/>
        <w:bottom w:val="none" w:sz="0" w:space="0" w:color="auto"/>
        <w:right w:val="none" w:sz="0" w:space="0" w:color="auto"/>
      </w:divBdr>
    </w:div>
    <w:div w:id="1877351952">
      <w:bodyDiv w:val="1"/>
      <w:marLeft w:val="0"/>
      <w:marRight w:val="0"/>
      <w:marTop w:val="0"/>
      <w:marBottom w:val="0"/>
      <w:divBdr>
        <w:top w:val="none" w:sz="0" w:space="0" w:color="auto"/>
        <w:left w:val="none" w:sz="0" w:space="0" w:color="auto"/>
        <w:bottom w:val="none" w:sz="0" w:space="0" w:color="auto"/>
        <w:right w:val="none" w:sz="0" w:space="0" w:color="auto"/>
      </w:divBdr>
    </w:div>
    <w:div w:id="1878227445">
      <w:bodyDiv w:val="1"/>
      <w:marLeft w:val="0"/>
      <w:marRight w:val="0"/>
      <w:marTop w:val="0"/>
      <w:marBottom w:val="0"/>
      <w:divBdr>
        <w:top w:val="none" w:sz="0" w:space="0" w:color="auto"/>
        <w:left w:val="none" w:sz="0" w:space="0" w:color="auto"/>
        <w:bottom w:val="none" w:sz="0" w:space="0" w:color="auto"/>
        <w:right w:val="none" w:sz="0" w:space="0" w:color="auto"/>
      </w:divBdr>
    </w:div>
    <w:div w:id="1878657052">
      <w:bodyDiv w:val="1"/>
      <w:marLeft w:val="0"/>
      <w:marRight w:val="0"/>
      <w:marTop w:val="0"/>
      <w:marBottom w:val="0"/>
      <w:divBdr>
        <w:top w:val="none" w:sz="0" w:space="0" w:color="auto"/>
        <w:left w:val="none" w:sz="0" w:space="0" w:color="auto"/>
        <w:bottom w:val="none" w:sz="0" w:space="0" w:color="auto"/>
        <w:right w:val="none" w:sz="0" w:space="0" w:color="auto"/>
      </w:divBdr>
    </w:div>
    <w:div w:id="1879195565">
      <w:bodyDiv w:val="1"/>
      <w:marLeft w:val="0"/>
      <w:marRight w:val="0"/>
      <w:marTop w:val="0"/>
      <w:marBottom w:val="0"/>
      <w:divBdr>
        <w:top w:val="none" w:sz="0" w:space="0" w:color="auto"/>
        <w:left w:val="none" w:sz="0" w:space="0" w:color="auto"/>
        <w:bottom w:val="none" w:sz="0" w:space="0" w:color="auto"/>
        <w:right w:val="none" w:sz="0" w:space="0" w:color="auto"/>
      </w:divBdr>
    </w:div>
    <w:div w:id="1883396444">
      <w:bodyDiv w:val="1"/>
      <w:marLeft w:val="0"/>
      <w:marRight w:val="0"/>
      <w:marTop w:val="0"/>
      <w:marBottom w:val="0"/>
      <w:divBdr>
        <w:top w:val="none" w:sz="0" w:space="0" w:color="auto"/>
        <w:left w:val="none" w:sz="0" w:space="0" w:color="auto"/>
        <w:bottom w:val="none" w:sz="0" w:space="0" w:color="auto"/>
        <w:right w:val="none" w:sz="0" w:space="0" w:color="auto"/>
      </w:divBdr>
    </w:div>
    <w:div w:id="1883711762">
      <w:bodyDiv w:val="1"/>
      <w:marLeft w:val="0"/>
      <w:marRight w:val="0"/>
      <w:marTop w:val="0"/>
      <w:marBottom w:val="0"/>
      <w:divBdr>
        <w:top w:val="none" w:sz="0" w:space="0" w:color="auto"/>
        <w:left w:val="none" w:sz="0" w:space="0" w:color="auto"/>
        <w:bottom w:val="none" w:sz="0" w:space="0" w:color="auto"/>
        <w:right w:val="none" w:sz="0" w:space="0" w:color="auto"/>
      </w:divBdr>
    </w:div>
    <w:div w:id="1894804294">
      <w:bodyDiv w:val="1"/>
      <w:marLeft w:val="0"/>
      <w:marRight w:val="0"/>
      <w:marTop w:val="0"/>
      <w:marBottom w:val="0"/>
      <w:divBdr>
        <w:top w:val="none" w:sz="0" w:space="0" w:color="auto"/>
        <w:left w:val="none" w:sz="0" w:space="0" w:color="auto"/>
        <w:bottom w:val="none" w:sz="0" w:space="0" w:color="auto"/>
        <w:right w:val="none" w:sz="0" w:space="0" w:color="auto"/>
      </w:divBdr>
    </w:div>
    <w:div w:id="1894806285">
      <w:bodyDiv w:val="1"/>
      <w:marLeft w:val="0"/>
      <w:marRight w:val="0"/>
      <w:marTop w:val="0"/>
      <w:marBottom w:val="0"/>
      <w:divBdr>
        <w:top w:val="none" w:sz="0" w:space="0" w:color="auto"/>
        <w:left w:val="none" w:sz="0" w:space="0" w:color="auto"/>
        <w:bottom w:val="none" w:sz="0" w:space="0" w:color="auto"/>
        <w:right w:val="none" w:sz="0" w:space="0" w:color="auto"/>
      </w:divBdr>
    </w:div>
    <w:div w:id="1898083636">
      <w:bodyDiv w:val="1"/>
      <w:marLeft w:val="0"/>
      <w:marRight w:val="0"/>
      <w:marTop w:val="0"/>
      <w:marBottom w:val="0"/>
      <w:divBdr>
        <w:top w:val="none" w:sz="0" w:space="0" w:color="auto"/>
        <w:left w:val="none" w:sz="0" w:space="0" w:color="auto"/>
        <w:bottom w:val="none" w:sz="0" w:space="0" w:color="auto"/>
        <w:right w:val="none" w:sz="0" w:space="0" w:color="auto"/>
      </w:divBdr>
    </w:div>
    <w:div w:id="1908998727">
      <w:bodyDiv w:val="1"/>
      <w:marLeft w:val="0"/>
      <w:marRight w:val="0"/>
      <w:marTop w:val="0"/>
      <w:marBottom w:val="0"/>
      <w:divBdr>
        <w:top w:val="none" w:sz="0" w:space="0" w:color="auto"/>
        <w:left w:val="none" w:sz="0" w:space="0" w:color="auto"/>
        <w:bottom w:val="none" w:sz="0" w:space="0" w:color="auto"/>
        <w:right w:val="none" w:sz="0" w:space="0" w:color="auto"/>
      </w:divBdr>
    </w:div>
    <w:div w:id="1910967261">
      <w:bodyDiv w:val="1"/>
      <w:marLeft w:val="0"/>
      <w:marRight w:val="0"/>
      <w:marTop w:val="0"/>
      <w:marBottom w:val="0"/>
      <w:divBdr>
        <w:top w:val="none" w:sz="0" w:space="0" w:color="auto"/>
        <w:left w:val="none" w:sz="0" w:space="0" w:color="auto"/>
        <w:bottom w:val="none" w:sz="0" w:space="0" w:color="auto"/>
        <w:right w:val="none" w:sz="0" w:space="0" w:color="auto"/>
      </w:divBdr>
    </w:div>
    <w:div w:id="1914124094">
      <w:bodyDiv w:val="1"/>
      <w:marLeft w:val="0"/>
      <w:marRight w:val="0"/>
      <w:marTop w:val="0"/>
      <w:marBottom w:val="0"/>
      <w:divBdr>
        <w:top w:val="none" w:sz="0" w:space="0" w:color="auto"/>
        <w:left w:val="none" w:sz="0" w:space="0" w:color="auto"/>
        <w:bottom w:val="none" w:sz="0" w:space="0" w:color="auto"/>
        <w:right w:val="none" w:sz="0" w:space="0" w:color="auto"/>
      </w:divBdr>
    </w:div>
    <w:div w:id="1917663645">
      <w:bodyDiv w:val="1"/>
      <w:marLeft w:val="0"/>
      <w:marRight w:val="0"/>
      <w:marTop w:val="0"/>
      <w:marBottom w:val="0"/>
      <w:divBdr>
        <w:top w:val="none" w:sz="0" w:space="0" w:color="auto"/>
        <w:left w:val="none" w:sz="0" w:space="0" w:color="auto"/>
        <w:bottom w:val="none" w:sz="0" w:space="0" w:color="auto"/>
        <w:right w:val="none" w:sz="0" w:space="0" w:color="auto"/>
      </w:divBdr>
    </w:div>
    <w:div w:id="1923446636">
      <w:bodyDiv w:val="1"/>
      <w:marLeft w:val="0"/>
      <w:marRight w:val="0"/>
      <w:marTop w:val="0"/>
      <w:marBottom w:val="0"/>
      <w:divBdr>
        <w:top w:val="none" w:sz="0" w:space="0" w:color="auto"/>
        <w:left w:val="none" w:sz="0" w:space="0" w:color="auto"/>
        <w:bottom w:val="none" w:sz="0" w:space="0" w:color="auto"/>
        <w:right w:val="none" w:sz="0" w:space="0" w:color="auto"/>
      </w:divBdr>
    </w:div>
    <w:div w:id="1924800666">
      <w:bodyDiv w:val="1"/>
      <w:marLeft w:val="0"/>
      <w:marRight w:val="0"/>
      <w:marTop w:val="0"/>
      <w:marBottom w:val="0"/>
      <w:divBdr>
        <w:top w:val="none" w:sz="0" w:space="0" w:color="auto"/>
        <w:left w:val="none" w:sz="0" w:space="0" w:color="auto"/>
        <w:bottom w:val="none" w:sz="0" w:space="0" w:color="auto"/>
        <w:right w:val="none" w:sz="0" w:space="0" w:color="auto"/>
      </w:divBdr>
    </w:div>
    <w:div w:id="1924872944">
      <w:bodyDiv w:val="1"/>
      <w:marLeft w:val="0"/>
      <w:marRight w:val="0"/>
      <w:marTop w:val="0"/>
      <w:marBottom w:val="0"/>
      <w:divBdr>
        <w:top w:val="none" w:sz="0" w:space="0" w:color="auto"/>
        <w:left w:val="none" w:sz="0" w:space="0" w:color="auto"/>
        <w:bottom w:val="none" w:sz="0" w:space="0" w:color="auto"/>
        <w:right w:val="none" w:sz="0" w:space="0" w:color="auto"/>
      </w:divBdr>
    </w:div>
    <w:div w:id="1925408288">
      <w:bodyDiv w:val="1"/>
      <w:marLeft w:val="0"/>
      <w:marRight w:val="0"/>
      <w:marTop w:val="0"/>
      <w:marBottom w:val="0"/>
      <w:divBdr>
        <w:top w:val="none" w:sz="0" w:space="0" w:color="auto"/>
        <w:left w:val="none" w:sz="0" w:space="0" w:color="auto"/>
        <w:bottom w:val="none" w:sz="0" w:space="0" w:color="auto"/>
        <w:right w:val="none" w:sz="0" w:space="0" w:color="auto"/>
      </w:divBdr>
    </w:div>
    <w:div w:id="1930387110">
      <w:bodyDiv w:val="1"/>
      <w:marLeft w:val="0"/>
      <w:marRight w:val="0"/>
      <w:marTop w:val="0"/>
      <w:marBottom w:val="0"/>
      <w:divBdr>
        <w:top w:val="none" w:sz="0" w:space="0" w:color="auto"/>
        <w:left w:val="none" w:sz="0" w:space="0" w:color="auto"/>
        <w:bottom w:val="none" w:sz="0" w:space="0" w:color="auto"/>
        <w:right w:val="none" w:sz="0" w:space="0" w:color="auto"/>
      </w:divBdr>
    </w:div>
    <w:div w:id="1936279343">
      <w:bodyDiv w:val="1"/>
      <w:marLeft w:val="0"/>
      <w:marRight w:val="0"/>
      <w:marTop w:val="0"/>
      <w:marBottom w:val="0"/>
      <w:divBdr>
        <w:top w:val="none" w:sz="0" w:space="0" w:color="auto"/>
        <w:left w:val="none" w:sz="0" w:space="0" w:color="auto"/>
        <w:bottom w:val="none" w:sz="0" w:space="0" w:color="auto"/>
        <w:right w:val="none" w:sz="0" w:space="0" w:color="auto"/>
      </w:divBdr>
    </w:div>
    <w:div w:id="1936671467">
      <w:bodyDiv w:val="1"/>
      <w:marLeft w:val="0"/>
      <w:marRight w:val="0"/>
      <w:marTop w:val="0"/>
      <w:marBottom w:val="0"/>
      <w:divBdr>
        <w:top w:val="none" w:sz="0" w:space="0" w:color="auto"/>
        <w:left w:val="none" w:sz="0" w:space="0" w:color="auto"/>
        <w:bottom w:val="none" w:sz="0" w:space="0" w:color="auto"/>
        <w:right w:val="none" w:sz="0" w:space="0" w:color="auto"/>
      </w:divBdr>
    </w:div>
    <w:div w:id="1949699773">
      <w:bodyDiv w:val="1"/>
      <w:marLeft w:val="0"/>
      <w:marRight w:val="0"/>
      <w:marTop w:val="0"/>
      <w:marBottom w:val="0"/>
      <w:divBdr>
        <w:top w:val="none" w:sz="0" w:space="0" w:color="auto"/>
        <w:left w:val="none" w:sz="0" w:space="0" w:color="auto"/>
        <w:bottom w:val="none" w:sz="0" w:space="0" w:color="auto"/>
        <w:right w:val="none" w:sz="0" w:space="0" w:color="auto"/>
      </w:divBdr>
    </w:div>
    <w:div w:id="1950964758">
      <w:bodyDiv w:val="1"/>
      <w:marLeft w:val="0"/>
      <w:marRight w:val="0"/>
      <w:marTop w:val="0"/>
      <w:marBottom w:val="0"/>
      <w:divBdr>
        <w:top w:val="none" w:sz="0" w:space="0" w:color="auto"/>
        <w:left w:val="none" w:sz="0" w:space="0" w:color="auto"/>
        <w:bottom w:val="none" w:sz="0" w:space="0" w:color="auto"/>
        <w:right w:val="none" w:sz="0" w:space="0" w:color="auto"/>
      </w:divBdr>
    </w:div>
    <w:div w:id="1953241123">
      <w:bodyDiv w:val="1"/>
      <w:marLeft w:val="0"/>
      <w:marRight w:val="0"/>
      <w:marTop w:val="0"/>
      <w:marBottom w:val="0"/>
      <w:divBdr>
        <w:top w:val="none" w:sz="0" w:space="0" w:color="auto"/>
        <w:left w:val="none" w:sz="0" w:space="0" w:color="auto"/>
        <w:bottom w:val="none" w:sz="0" w:space="0" w:color="auto"/>
        <w:right w:val="none" w:sz="0" w:space="0" w:color="auto"/>
      </w:divBdr>
    </w:div>
    <w:div w:id="1957177055">
      <w:bodyDiv w:val="1"/>
      <w:marLeft w:val="0"/>
      <w:marRight w:val="0"/>
      <w:marTop w:val="0"/>
      <w:marBottom w:val="0"/>
      <w:divBdr>
        <w:top w:val="none" w:sz="0" w:space="0" w:color="auto"/>
        <w:left w:val="none" w:sz="0" w:space="0" w:color="auto"/>
        <w:bottom w:val="none" w:sz="0" w:space="0" w:color="auto"/>
        <w:right w:val="none" w:sz="0" w:space="0" w:color="auto"/>
      </w:divBdr>
    </w:div>
    <w:div w:id="1957634704">
      <w:bodyDiv w:val="1"/>
      <w:marLeft w:val="0"/>
      <w:marRight w:val="0"/>
      <w:marTop w:val="0"/>
      <w:marBottom w:val="0"/>
      <w:divBdr>
        <w:top w:val="none" w:sz="0" w:space="0" w:color="auto"/>
        <w:left w:val="none" w:sz="0" w:space="0" w:color="auto"/>
        <w:bottom w:val="none" w:sz="0" w:space="0" w:color="auto"/>
        <w:right w:val="none" w:sz="0" w:space="0" w:color="auto"/>
      </w:divBdr>
    </w:div>
    <w:div w:id="1959682771">
      <w:bodyDiv w:val="1"/>
      <w:marLeft w:val="0"/>
      <w:marRight w:val="0"/>
      <w:marTop w:val="0"/>
      <w:marBottom w:val="0"/>
      <w:divBdr>
        <w:top w:val="none" w:sz="0" w:space="0" w:color="auto"/>
        <w:left w:val="none" w:sz="0" w:space="0" w:color="auto"/>
        <w:bottom w:val="none" w:sz="0" w:space="0" w:color="auto"/>
        <w:right w:val="none" w:sz="0" w:space="0" w:color="auto"/>
      </w:divBdr>
    </w:div>
    <w:div w:id="1974095415">
      <w:bodyDiv w:val="1"/>
      <w:marLeft w:val="0"/>
      <w:marRight w:val="0"/>
      <w:marTop w:val="0"/>
      <w:marBottom w:val="0"/>
      <w:divBdr>
        <w:top w:val="none" w:sz="0" w:space="0" w:color="auto"/>
        <w:left w:val="none" w:sz="0" w:space="0" w:color="auto"/>
        <w:bottom w:val="none" w:sz="0" w:space="0" w:color="auto"/>
        <w:right w:val="none" w:sz="0" w:space="0" w:color="auto"/>
      </w:divBdr>
    </w:div>
    <w:div w:id="1976527317">
      <w:bodyDiv w:val="1"/>
      <w:marLeft w:val="0"/>
      <w:marRight w:val="0"/>
      <w:marTop w:val="0"/>
      <w:marBottom w:val="0"/>
      <w:divBdr>
        <w:top w:val="none" w:sz="0" w:space="0" w:color="auto"/>
        <w:left w:val="none" w:sz="0" w:space="0" w:color="auto"/>
        <w:bottom w:val="none" w:sz="0" w:space="0" w:color="auto"/>
        <w:right w:val="none" w:sz="0" w:space="0" w:color="auto"/>
      </w:divBdr>
    </w:div>
    <w:div w:id="1984580867">
      <w:bodyDiv w:val="1"/>
      <w:marLeft w:val="0"/>
      <w:marRight w:val="0"/>
      <w:marTop w:val="0"/>
      <w:marBottom w:val="0"/>
      <w:divBdr>
        <w:top w:val="none" w:sz="0" w:space="0" w:color="auto"/>
        <w:left w:val="none" w:sz="0" w:space="0" w:color="auto"/>
        <w:bottom w:val="none" w:sz="0" w:space="0" w:color="auto"/>
        <w:right w:val="none" w:sz="0" w:space="0" w:color="auto"/>
      </w:divBdr>
    </w:div>
    <w:div w:id="1986425194">
      <w:bodyDiv w:val="1"/>
      <w:marLeft w:val="0"/>
      <w:marRight w:val="0"/>
      <w:marTop w:val="0"/>
      <w:marBottom w:val="0"/>
      <w:divBdr>
        <w:top w:val="none" w:sz="0" w:space="0" w:color="auto"/>
        <w:left w:val="none" w:sz="0" w:space="0" w:color="auto"/>
        <w:bottom w:val="none" w:sz="0" w:space="0" w:color="auto"/>
        <w:right w:val="none" w:sz="0" w:space="0" w:color="auto"/>
      </w:divBdr>
    </w:div>
    <w:div w:id="1987709614">
      <w:bodyDiv w:val="1"/>
      <w:marLeft w:val="0"/>
      <w:marRight w:val="0"/>
      <w:marTop w:val="0"/>
      <w:marBottom w:val="0"/>
      <w:divBdr>
        <w:top w:val="none" w:sz="0" w:space="0" w:color="auto"/>
        <w:left w:val="none" w:sz="0" w:space="0" w:color="auto"/>
        <w:bottom w:val="none" w:sz="0" w:space="0" w:color="auto"/>
        <w:right w:val="none" w:sz="0" w:space="0" w:color="auto"/>
      </w:divBdr>
    </w:div>
    <w:div w:id="1995330137">
      <w:bodyDiv w:val="1"/>
      <w:marLeft w:val="0"/>
      <w:marRight w:val="0"/>
      <w:marTop w:val="0"/>
      <w:marBottom w:val="0"/>
      <w:divBdr>
        <w:top w:val="none" w:sz="0" w:space="0" w:color="auto"/>
        <w:left w:val="none" w:sz="0" w:space="0" w:color="auto"/>
        <w:bottom w:val="none" w:sz="0" w:space="0" w:color="auto"/>
        <w:right w:val="none" w:sz="0" w:space="0" w:color="auto"/>
      </w:divBdr>
    </w:div>
    <w:div w:id="1998261878">
      <w:bodyDiv w:val="1"/>
      <w:marLeft w:val="0"/>
      <w:marRight w:val="0"/>
      <w:marTop w:val="0"/>
      <w:marBottom w:val="0"/>
      <w:divBdr>
        <w:top w:val="none" w:sz="0" w:space="0" w:color="auto"/>
        <w:left w:val="none" w:sz="0" w:space="0" w:color="auto"/>
        <w:bottom w:val="none" w:sz="0" w:space="0" w:color="auto"/>
        <w:right w:val="none" w:sz="0" w:space="0" w:color="auto"/>
      </w:divBdr>
    </w:div>
    <w:div w:id="1999067839">
      <w:bodyDiv w:val="1"/>
      <w:marLeft w:val="0"/>
      <w:marRight w:val="0"/>
      <w:marTop w:val="0"/>
      <w:marBottom w:val="0"/>
      <w:divBdr>
        <w:top w:val="none" w:sz="0" w:space="0" w:color="auto"/>
        <w:left w:val="none" w:sz="0" w:space="0" w:color="auto"/>
        <w:bottom w:val="none" w:sz="0" w:space="0" w:color="auto"/>
        <w:right w:val="none" w:sz="0" w:space="0" w:color="auto"/>
      </w:divBdr>
    </w:div>
    <w:div w:id="2008360748">
      <w:bodyDiv w:val="1"/>
      <w:marLeft w:val="0"/>
      <w:marRight w:val="0"/>
      <w:marTop w:val="0"/>
      <w:marBottom w:val="0"/>
      <w:divBdr>
        <w:top w:val="none" w:sz="0" w:space="0" w:color="auto"/>
        <w:left w:val="none" w:sz="0" w:space="0" w:color="auto"/>
        <w:bottom w:val="none" w:sz="0" w:space="0" w:color="auto"/>
        <w:right w:val="none" w:sz="0" w:space="0" w:color="auto"/>
      </w:divBdr>
    </w:div>
    <w:div w:id="2011173926">
      <w:bodyDiv w:val="1"/>
      <w:marLeft w:val="0"/>
      <w:marRight w:val="0"/>
      <w:marTop w:val="0"/>
      <w:marBottom w:val="0"/>
      <w:divBdr>
        <w:top w:val="none" w:sz="0" w:space="0" w:color="auto"/>
        <w:left w:val="none" w:sz="0" w:space="0" w:color="auto"/>
        <w:bottom w:val="none" w:sz="0" w:space="0" w:color="auto"/>
        <w:right w:val="none" w:sz="0" w:space="0" w:color="auto"/>
      </w:divBdr>
    </w:div>
    <w:div w:id="2014796048">
      <w:bodyDiv w:val="1"/>
      <w:marLeft w:val="0"/>
      <w:marRight w:val="0"/>
      <w:marTop w:val="0"/>
      <w:marBottom w:val="0"/>
      <w:divBdr>
        <w:top w:val="none" w:sz="0" w:space="0" w:color="auto"/>
        <w:left w:val="none" w:sz="0" w:space="0" w:color="auto"/>
        <w:bottom w:val="none" w:sz="0" w:space="0" w:color="auto"/>
        <w:right w:val="none" w:sz="0" w:space="0" w:color="auto"/>
      </w:divBdr>
    </w:div>
    <w:div w:id="2028092992">
      <w:bodyDiv w:val="1"/>
      <w:marLeft w:val="0"/>
      <w:marRight w:val="0"/>
      <w:marTop w:val="0"/>
      <w:marBottom w:val="0"/>
      <w:divBdr>
        <w:top w:val="none" w:sz="0" w:space="0" w:color="auto"/>
        <w:left w:val="none" w:sz="0" w:space="0" w:color="auto"/>
        <w:bottom w:val="none" w:sz="0" w:space="0" w:color="auto"/>
        <w:right w:val="none" w:sz="0" w:space="0" w:color="auto"/>
      </w:divBdr>
    </w:div>
    <w:div w:id="2032488557">
      <w:bodyDiv w:val="1"/>
      <w:marLeft w:val="0"/>
      <w:marRight w:val="0"/>
      <w:marTop w:val="0"/>
      <w:marBottom w:val="0"/>
      <w:divBdr>
        <w:top w:val="none" w:sz="0" w:space="0" w:color="auto"/>
        <w:left w:val="none" w:sz="0" w:space="0" w:color="auto"/>
        <w:bottom w:val="none" w:sz="0" w:space="0" w:color="auto"/>
        <w:right w:val="none" w:sz="0" w:space="0" w:color="auto"/>
      </w:divBdr>
    </w:div>
    <w:div w:id="2033145734">
      <w:bodyDiv w:val="1"/>
      <w:marLeft w:val="0"/>
      <w:marRight w:val="0"/>
      <w:marTop w:val="0"/>
      <w:marBottom w:val="0"/>
      <w:divBdr>
        <w:top w:val="none" w:sz="0" w:space="0" w:color="auto"/>
        <w:left w:val="none" w:sz="0" w:space="0" w:color="auto"/>
        <w:bottom w:val="none" w:sz="0" w:space="0" w:color="auto"/>
        <w:right w:val="none" w:sz="0" w:space="0" w:color="auto"/>
      </w:divBdr>
    </w:div>
    <w:div w:id="2034261885">
      <w:bodyDiv w:val="1"/>
      <w:marLeft w:val="0"/>
      <w:marRight w:val="0"/>
      <w:marTop w:val="0"/>
      <w:marBottom w:val="0"/>
      <w:divBdr>
        <w:top w:val="none" w:sz="0" w:space="0" w:color="auto"/>
        <w:left w:val="none" w:sz="0" w:space="0" w:color="auto"/>
        <w:bottom w:val="none" w:sz="0" w:space="0" w:color="auto"/>
        <w:right w:val="none" w:sz="0" w:space="0" w:color="auto"/>
      </w:divBdr>
    </w:div>
    <w:div w:id="2035811658">
      <w:bodyDiv w:val="1"/>
      <w:marLeft w:val="0"/>
      <w:marRight w:val="0"/>
      <w:marTop w:val="0"/>
      <w:marBottom w:val="0"/>
      <w:divBdr>
        <w:top w:val="none" w:sz="0" w:space="0" w:color="auto"/>
        <w:left w:val="none" w:sz="0" w:space="0" w:color="auto"/>
        <w:bottom w:val="none" w:sz="0" w:space="0" w:color="auto"/>
        <w:right w:val="none" w:sz="0" w:space="0" w:color="auto"/>
      </w:divBdr>
    </w:div>
    <w:div w:id="2036038510">
      <w:bodyDiv w:val="1"/>
      <w:marLeft w:val="0"/>
      <w:marRight w:val="0"/>
      <w:marTop w:val="0"/>
      <w:marBottom w:val="0"/>
      <w:divBdr>
        <w:top w:val="none" w:sz="0" w:space="0" w:color="auto"/>
        <w:left w:val="none" w:sz="0" w:space="0" w:color="auto"/>
        <w:bottom w:val="none" w:sz="0" w:space="0" w:color="auto"/>
        <w:right w:val="none" w:sz="0" w:space="0" w:color="auto"/>
      </w:divBdr>
    </w:div>
    <w:div w:id="2039577540">
      <w:bodyDiv w:val="1"/>
      <w:marLeft w:val="0"/>
      <w:marRight w:val="0"/>
      <w:marTop w:val="0"/>
      <w:marBottom w:val="0"/>
      <w:divBdr>
        <w:top w:val="none" w:sz="0" w:space="0" w:color="auto"/>
        <w:left w:val="none" w:sz="0" w:space="0" w:color="auto"/>
        <w:bottom w:val="none" w:sz="0" w:space="0" w:color="auto"/>
        <w:right w:val="none" w:sz="0" w:space="0" w:color="auto"/>
      </w:divBdr>
    </w:div>
    <w:div w:id="2040203727">
      <w:bodyDiv w:val="1"/>
      <w:marLeft w:val="0"/>
      <w:marRight w:val="0"/>
      <w:marTop w:val="0"/>
      <w:marBottom w:val="0"/>
      <w:divBdr>
        <w:top w:val="none" w:sz="0" w:space="0" w:color="auto"/>
        <w:left w:val="none" w:sz="0" w:space="0" w:color="auto"/>
        <w:bottom w:val="none" w:sz="0" w:space="0" w:color="auto"/>
        <w:right w:val="none" w:sz="0" w:space="0" w:color="auto"/>
      </w:divBdr>
    </w:div>
    <w:div w:id="2040548320">
      <w:bodyDiv w:val="1"/>
      <w:marLeft w:val="0"/>
      <w:marRight w:val="0"/>
      <w:marTop w:val="0"/>
      <w:marBottom w:val="0"/>
      <w:divBdr>
        <w:top w:val="none" w:sz="0" w:space="0" w:color="auto"/>
        <w:left w:val="none" w:sz="0" w:space="0" w:color="auto"/>
        <w:bottom w:val="none" w:sz="0" w:space="0" w:color="auto"/>
        <w:right w:val="none" w:sz="0" w:space="0" w:color="auto"/>
      </w:divBdr>
    </w:div>
    <w:div w:id="2044592698">
      <w:bodyDiv w:val="1"/>
      <w:marLeft w:val="0"/>
      <w:marRight w:val="0"/>
      <w:marTop w:val="0"/>
      <w:marBottom w:val="0"/>
      <w:divBdr>
        <w:top w:val="none" w:sz="0" w:space="0" w:color="auto"/>
        <w:left w:val="none" w:sz="0" w:space="0" w:color="auto"/>
        <w:bottom w:val="none" w:sz="0" w:space="0" w:color="auto"/>
        <w:right w:val="none" w:sz="0" w:space="0" w:color="auto"/>
      </w:divBdr>
    </w:div>
    <w:div w:id="2044666100">
      <w:bodyDiv w:val="1"/>
      <w:marLeft w:val="0"/>
      <w:marRight w:val="0"/>
      <w:marTop w:val="0"/>
      <w:marBottom w:val="0"/>
      <w:divBdr>
        <w:top w:val="none" w:sz="0" w:space="0" w:color="auto"/>
        <w:left w:val="none" w:sz="0" w:space="0" w:color="auto"/>
        <w:bottom w:val="none" w:sz="0" w:space="0" w:color="auto"/>
        <w:right w:val="none" w:sz="0" w:space="0" w:color="auto"/>
      </w:divBdr>
    </w:div>
    <w:div w:id="2053648380">
      <w:bodyDiv w:val="1"/>
      <w:marLeft w:val="0"/>
      <w:marRight w:val="0"/>
      <w:marTop w:val="0"/>
      <w:marBottom w:val="0"/>
      <w:divBdr>
        <w:top w:val="none" w:sz="0" w:space="0" w:color="auto"/>
        <w:left w:val="none" w:sz="0" w:space="0" w:color="auto"/>
        <w:bottom w:val="none" w:sz="0" w:space="0" w:color="auto"/>
        <w:right w:val="none" w:sz="0" w:space="0" w:color="auto"/>
      </w:divBdr>
    </w:div>
    <w:div w:id="2058772961">
      <w:bodyDiv w:val="1"/>
      <w:marLeft w:val="0"/>
      <w:marRight w:val="0"/>
      <w:marTop w:val="0"/>
      <w:marBottom w:val="0"/>
      <w:divBdr>
        <w:top w:val="none" w:sz="0" w:space="0" w:color="auto"/>
        <w:left w:val="none" w:sz="0" w:space="0" w:color="auto"/>
        <w:bottom w:val="none" w:sz="0" w:space="0" w:color="auto"/>
        <w:right w:val="none" w:sz="0" w:space="0" w:color="auto"/>
      </w:divBdr>
    </w:div>
    <w:div w:id="2063945002">
      <w:bodyDiv w:val="1"/>
      <w:marLeft w:val="0"/>
      <w:marRight w:val="0"/>
      <w:marTop w:val="0"/>
      <w:marBottom w:val="0"/>
      <w:divBdr>
        <w:top w:val="none" w:sz="0" w:space="0" w:color="auto"/>
        <w:left w:val="none" w:sz="0" w:space="0" w:color="auto"/>
        <w:bottom w:val="none" w:sz="0" w:space="0" w:color="auto"/>
        <w:right w:val="none" w:sz="0" w:space="0" w:color="auto"/>
      </w:divBdr>
    </w:div>
    <w:div w:id="2065642809">
      <w:bodyDiv w:val="1"/>
      <w:marLeft w:val="0"/>
      <w:marRight w:val="0"/>
      <w:marTop w:val="0"/>
      <w:marBottom w:val="0"/>
      <w:divBdr>
        <w:top w:val="none" w:sz="0" w:space="0" w:color="auto"/>
        <w:left w:val="none" w:sz="0" w:space="0" w:color="auto"/>
        <w:bottom w:val="none" w:sz="0" w:space="0" w:color="auto"/>
        <w:right w:val="none" w:sz="0" w:space="0" w:color="auto"/>
      </w:divBdr>
    </w:div>
    <w:div w:id="2076580645">
      <w:bodyDiv w:val="1"/>
      <w:marLeft w:val="0"/>
      <w:marRight w:val="0"/>
      <w:marTop w:val="0"/>
      <w:marBottom w:val="0"/>
      <w:divBdr>
        <w:top w:val="none" w:sz="0" w:space="0" w:color="auto"/>
        <w:left w:val="none" w:sz="0" w:space="0" w:color="auto"/>
        <w:bottom w:val="none" w:sz="0" w:space="0" w:color="auto"/>
        <w:right w:val="none" w:sz="0" w:space="0" w:color="auto"/>
      </w:divBdr>
    </w:div>
    <w:div w:id="2080011946">
      <w:bodyDiv w:val="1"/>
      <w:marLeft w:val="0"/>
      <w:marRight w:val="0"/>
      <w:marTop w:val="0"/>
      <w:marBottom w:val="0"/>
      <w:divBdr>
        <w:top w:val="none" w:sz="0" w:space="0" w:color="auto"/>
        <w:left w:val="none" w:sz="0" w:space="0" w:color="auto"/>
        <w:bottom w:val="none" w:sz="0" w:space="0" w:color="auto"/>
        <w:right w:val="none" w:sz="0" w:space="0" w:color="auto"/>
      </w:divBdr>
    </w:div>
    <w:div w:id="2082216030">
      <w:bodyDiv w:val="1"/>
      <w:marLeft w:val="0"/>
      <w:marRight w:val="0"/>
      <w:marTop w:val="0"/>
      <w:marBottom w:val="0"/>
      <w:divBdr>
        <w:top w:val="none" w:sz="0" w:space="0" w:color="auto"/>
        <w:left w:val="none" w:sz="0" w:space="0" w:color="auto"/>
        <w:bottom w:val="none" w:sz="0" w:space="0" w:color="auto"/>
        <w:right w:val="none" w:sz="0" w:space="0" w:color="auto"/>
      </w:divBdr>
    </w:div>
    <w:div w:id="2086143686">
      <w:bodyDiv w:val="1"/>
      <w:marLeft w:val="0"/>
      <w:marRight w:val="0"/>
      <w:marTop w:val="0"/>
      <w:marBottom w:val="0"/>
      <w:divBdr>
        <w:top w:val="none" w:sz="0" w:space="0" w:color="auto"/>
        <w:left w:val="none" w:sz="0" w:space="0" w:color="auto"/>
        <w:bottom w:val="none" w:sz="0" w:space="0" w:color="auto"/>
        <w:right w:val="none" w:sz="0" w:space="0" w:color="auto"/>
      </w:divBdr>
    </w:div>
    <w:div w:id="2089881474">
      <w:bodyDiv w:val="1"/>
      <w:marLeft w:val="0"/>
      <w:marRight w:val="0"/>
      <w:marTop w:val="0"/>
      <w:marBottom w:val="0"/>
      <w:divBdr>
        <w:top w:val="none" w:sz="0" w:space="0" w:color="auto"/>
        <w:left w:val="none" w:sz="0" w:space="0" w:color="auto"/>
        <w:bottom w:val="none" w:sz="0" w:space="0" w:color="auto"/>
        <w:right w:val="none" w:sz="0" w:space="0" w:color="auto"/>
      </w:divBdr>
    </w:div>
    <w:div w:id="2092457906">
      <w:bodyDiv w:val="1"/>
      <w:marLeft w:val="0"/>
      <w:marRight w:val="0"/>
      <w:marTop w:val="0"/>
      <w:marBottom w:val="0"/>
      <w:divBdr>
        <w:top w:val="none" w:sz="0" w:space="0" w:color="auto"/>
        <w:left w:val="none" w:sz="0" w:space="0" w:color="auto"/>
        <w:bottom w:val="none" w:sz="0" w:space="0" w:color="auto"/>
        <w:right w:val="none" w:sz="0" w:space="0" w:color="auto"/>
      </w:divBdr>
    </w:div>
    <w:div w:id="2094735380">
      <w:bodyDiv w:val="1"/>
      <w:marLeft w:val="0"/>
      <w:marRight w:val="0"/>
      <w:marTop w:val="0"/>
      <w:marBottom w:val="0"/>
      <w:divBdr>
        <w:top w:val="none" w:sz="0" w:space="0" w:color="auto"/>
        <w:left w:val="none" w:sz="0" w:space="0" w:color="auto"/>
        <w:bottom w:val="none" w:sz="0" w:space="0" w:color="auto"/>
        <w:right w:val="none" w:sz="0" w:space="0" w:color="auto"/>
      </w:divBdr>
    </w:div>
    <w:div w:id="2094744605">
      <w:bodyDiv w:val="1"/>
      <w:marLeft w:val="0"/>
      <w:marRight w:val="0"/>
      <w:marTop w:val="0"/>
      <w:marBottom w:val="0"/>
      <w:divBdr>
        <w:top w:val="none" w:sz="0" w:space="0" w:color="auto"/>
        <w:left w:val="none" w:sz="0" w:space="0" w:color="auto"/>
        <w:bottom w:val="none" w:sz="0" w:space="0" w:color="auto"/>
        <w:right w:val="none" w:sz="0" w:space="0" w:color="auto"/>
      </w:divBdr>
    </w:div>
    <w:div w:id="2100710027">
      <w:bodyDiv w:val="1"/>
      <w:marLeft w:val="0"/>
      <w:marRight w:val="0"/>
      <w:marTop w:val="0"/>
      <w:marBottom w:val="0"/>
      <w:divBdr>
        <w:top w:val="none" w:sz="0" w:space="0" w:color="auto"/>
        <w:left w:val="none" w:sz="0" w:space="0" w:color="auto"/>
        <w:bottom w:val="none" w:sz="0" w:space="0" w:color="auto"/>
        <w:right w:val="none" w:sz="0" w:space="0" w:color="auto"/>
      </w:divBdr>
    </w:div>
    <w:div w:id="2100759766">
      <w:bodyDiv w:val="1"/>
      <w:marLeft w:val="0"/>
      <w:marRight w:val="0"/>
      <w:marTop w:val="0"/>
      <w:marBottom w:val="0"/>
      <w:divBdr>
        <w:top w:val="none" w:sz="0" w:space="0" w:color="auto"/>
        <w:left w:val="none" w:sz="0" w:space="0" w:color="auto"/>
        <w:bottom w:val="none" w:sz="0" w:space="0" w:color="auto"/>
        <w:right w:val="none" w:sz="0" w:space="0" w:color="auto"/>
      </w:divBdr>
    </w:div>
    <w:div w:id="2105495834">
      <w:bodyDiv w:val="1"/>
      <w:marLeft w:val="0"/>
      <w:marRight w:val="0"/>
      <w:marTop w:val="0"/>
      <w:marBottom w:val="0"/>
      <w:divBdr>
        <w:top w:val="none" w:sz="0" w:space="0" w:color="auto"/>
        <w:left w:val="none" w:sz="0" w:space="0" w:color="auto"/>
        <w:bottom w:val="none" w:sz="0" w:space="0" w:color="auto"/>
        <w:right w:val="none" w:sz="0" w:space="0" w:color="auto"/>
      </w:divBdr>
    </w:div>
    <w:div w:id="2109696131">
      <w:bodyDiv w:val="1"/>
      <w:marLeft w:val="0"/>
      <w:marRight w:val="0"/>
      <w:marTop w:val="0"/>
      <w:marBottom w:val="0"/>
      <w:divBdr>
        <w:top w:val="none" w:sz="0" w:space="0" w:color="auto"/>
        <w:left w:val="none" w:sz="0" w:space="0" w:color="auto"/>
        <w:bottom w:val="none" w:sz="0" w:space="0" w:color="auto"/>
        <w:right w:val="none" w:sz="0" w:space="0" w:color="auto"/>
      </w:divBdr>
    </w:div>
    <w:div w:id="2113158665">
      <w:bodyDiv w:val="1"/>
      <w:marLeft w:val="0"/>
      <w:marRight w:val="0"/>
      <w:marTop w:val="0"/>
      <w:marBottom w:val="0"/>
      <w:divBdr>
        <w:top w:val="none" w:sz="0" w:space="0" w:color="auto"/>
        <w:left w:val="none" w:sz="0" w:space="0" w:color="auto"/>
        <w:bottom w:val="none" w:sz="0" w:space="0" w:color="auto"/>
        <w:right w:val="none" w:sz="0" w:space="0" w:color="auto"/>
      </w:divBdr>
    </w:div>
    <w:div w:id="2115779344">
      <w:bodyDiv w:val="1"/>
      <w:marLeft w:val="0"/>
      <w:marRight w:val="0"/>
      <w:marTop w:val="0"/>
      <w:marBottom w:val="0"/>
      <w:divBdr>
        <w:top w:val="none" w:sz="0" w:space="0" w:color="auto"/>
        <w:left w:val="none" w:sz="0" w:space="0" w:color="auto"/>
        <w:bottom w:val="none" w:sz="0" w:space="0" w:color="auto"/>
        <w:right w:val="none" w:sz="0" w:space="0" w:color="auto"/>
      </w:divBdr>
    </w:div>
    <w:div w:id="2120247827">
      <w:bodyDiv w:val="1"/>
      <w:marLeft w:val="0"/>
      <w:marRight w:val="0"/>
      <w:marTop w:val="0"/>
      <w:marBottom w:val="0"/>
      <w:divBdr>
        <w:top w:val="none" w:sz="0" w:space="0" w:color="auto"/>
        <w:left w:val="none" w:sz="0" w:space="0" w:color="auto"/>
        <w:bottom w:val="none" w:sz="0" w:space="0" w:color="auto"/>
        <w:right w:val="none" w:sz="0" w:space="0" w:color="auto"/>
      </w:divBdr>
    </w:div>
    <w:div w:id="2132358838">
      <w:bodyDiv w:val="1"/>
      <w:marLeft w:val="0"/>
      <w:marRight w:val="0"/>
      <w:marTop w:val="0"/>
      <w:marBottom w:val="0"/>
      <w:divBdr>
        <w:top w:val="none" w:sz="0" w:space="0" w:color="auto"/>
        <w:left w:val="none" w:sz="0" w:space="0" w:color="auto"/>
        <w:bottom w:val="none" w:sz="0" w:space="0" w:color="auto"/>
        <w:right w:val="none" w:sz="0" w:space="0" w:color="auto"/>
      </w:divBdr>
    </w:div>
    <w:div w:id="2133556038">
      <w:bodyDiv w:val="1"/>
      <w:marLeft w:val="0"/>
      <w:marRight w:val="0"/>
      <w:marTop w:val="0"/>
      <w:marBottom w:val="0"/>
      <w:divBdr>
        <w:top w:val="none" w:sz="0" w:space="0" w:color="auto"/>
        <w:left w:val="none" w:sz="0" w:space="0" w:color="auto"/>
        <w:bottom w:val="none" w:sz="0" w:space="0" w:color="auto"/>
        <w:right w:val="none" w:sz="0" w:space="0" w:color="auto"/>
      </w:divBdr>
    </w:div>
    <w:div w:id="2134516467">
      <w:bodyDiv w:val="1"/>
      <w:marLeft w:val="0"/>
      <w:marRight w:val="0"/>
      <w:marTop w:val="0"/>
      <w:marBottom w:val="0"/>
      <w:divBdr>
        <w:top w:val="none" w:sz="0" w:space="0" w:color="auto"/>
        <w:left w:val="none" w:sz="0" w:space="0" w:color="auto"/>
        <w:bottom w:val="none" w:sz="0" w:space="0" w:color="auto"/>
        <w:right w:val="none" w:sz="0" w:space="0" w:color="auto"/>
      </w:divBdr>
    </w:div>
    <w:div w:id="2137794189">
      <w:bodyDiv w:val="1"/>
      <w:marLeft w:val="0"/>
      <w:marRight w:val="0"/>
      <w:marTop w:val="0"/>
      <w:marBottom w:val="0"/>
      <w:divBdr>
        <w:top w:val="none" w:sz="0" w:space="0" w:color="auto"/>
        <w:left w:val="none" w:sz="0" w:space="0" w:color="auto"/>
        <w:bottom w:val="none" w:sz="0" w:space="0" w:color="auto"/>
        <w:right w:val="none" w:sz="0" w:space="0" w:color="auto"/>
      </w:divBdr>
    </w:div>
    <w:div w:id="2142072379">
      <w:bodyDiv w:val="1"/>
      <w:marLeft w:val="0"/>
      <w:marRight w:val="0"/>
      <w:marTop w:val="0"/>
      <w:marBottom w:val="0"/>
      <w:divBdr>
        <w:top w:val="none" w:sz="0" w:space="0" w:color="auto"/>
        <w:left w:val="none" w:sz="0" w:space="0" w:color="auto"/>
        <w:bottom w:val="none" w:sz="0" w:space="0" w:color="auto"/>
        <w:right w:val="none" w:sz="0" w:space="0" w:color="auto"/>
      </w:divBdr>
    </w:div>
    <w:div w:id="214665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eafandiyev001\Desktop\New%20folder\Papers\Nazrin%20Erasmus\Bachelor%20Thesis\brent-crude-oil-prices-10-year-daily-chart.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afandiyev001\Desktop\New%20folder\Papers\Nazrin%20Erasmus\Bachelor%20Thesis\RC_F01_01_2014_T31_12_201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afandiyev001\Desktop\New%20folder\Papers\Nazrin%20Erasmus\Bachelor%20Thesis\1-year-treasury-rate-yield-char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afandiyev001\Desktop\New%20folder\Papers\Nazrin%20Erasmus\Bachelor%20Thesis\&#1080;&#1085;&#1076;&#1077;&#1082;&#1089;-&#1084;&#1086;&#1089;&#1073;&#1080;&#1088;&#1078;&#1080;-1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eafandiyev001\Desktop\New%20folder\Papers\Nazrin%20Erasmus\Bachelor%20Thesis\&#1080;&#1085;&#1076;&#1077;&#1082;&#1089;-&#1084;&#1086;&#1089;&#1073;&#1080;&#1088;&#1078;&#1080;-10.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Oil</a:t>
            </a:r>
            <a:r>
              <a:rPr lang="en-US" baseline="0"/>
              <a:t> Price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Sheet1!$A$1:$A$1277</c:f>
              <c:numCache>
                <c:formatCode>m/d/yyyy</c:formatCode>
                <c:ptCount val="1277"/>
                <c:pt idx="0">
                  <c:v>41641</c:v>
                </c:pt>
                <c:pt idx="1">
                  <c:v>41642</c:v>
                </c:pt>
                <c:pt idx="2">
                  <c:v>41645</c:v>
                </c:pt>
                <c:pt idx="3">
                  <c:v>41646</c:v>
                </c:pt>
                <c:pt idx="4">
                  <c:v>41647</c:v>
                </c:pt>
                <c:pt idx="5">
                  <c:v>41648</c:v>
                </c:pt>
                <c:pt idx="6">
                  <c:v>41649</c:v>
                </c:pt>
                <c:pt idx="7">
                  <c:v>41652</c:v>
                </c:pt>
                <c:pt idx="8">
                  <c:v>41653</c:v>
                </c:pt>
                <c:pt idx="9">
                  <c:v>41654</c:v>
                </c:pt>
                <c:pt idx="10">
                  <c:v>41655</c:v>
                </c:pt>
                <c:pt idx="11">
                  <c:v>41656</c:v>
                </c:pt>
                <c:pt idx="12">
                  <c:v>41659</c:v>
                </c:pt>
                <c:pt idx="13">
                  <c:v>41660</c:v>
                </c:pt>
                <c:pt idx="14">
                  <c:v>41661</c:v>
                </c:pt>
                <c:pt idx="15">
                  <c:v>41662</c:v>
                </c:pt>
                <c:pt idx="16">
                  <c:v>41663</c:v>
                </c:pt>
                <c:pt idx="17">
                  <c:v>41666</c:v>
                </c:pt>
                <c:pt idx="18">
                  <c:v>41667</c:v>
                </c:pt>
                <c:pt idx="19">
                  <c:v>41668</c:v>
                </c:pt>
                <c:pt idx="20">
                  <c:v>41669</c:v>
                </c:pt>
                <c:pt idx="21">
                  <c:v>41670</c:v>
                </c:pt>
                <c:pt idx="22">
                  <c:v>41673</c:v>
                </c:pt>
                <c:pt idx="23">
                  <c:v>41674</c:v>
                </c:pt>
                <c:pt idx="24">
                  <c:v>41675</c:v>
                </c:pt>
                <c:pt idx="25">
                  <c:v>41676</c:v>
                </c:pt>
                <c:pt idx="26">
                  <c:v>41677</c:v>
                </c:pt>
                <c:pt idx="27">
                  <c:v>41680</c:v>
                </c:pt>
                <c:pt idx="28">
                  <c:v>41681</c:v>
                </c:pt>
                <c:pt idx="29">
                  <c:v>41682</c:v>
                </c:pt>
                <c:pt idx="30">
                  <c:v>41683</c:v>
                </c:pt>
                <c:pt idx="31">
                  <c:v>41684</c:v>
                </c:pt>
                <c:pt idx="32">
                  <c:v>41688</c:v>
                </c:pt>
                <c:pt idx="33">
                  <c:v>41689</c:v>
                </c:pt>
                <c:pt idx="34">
                  <c:v>41690</c:v>
                </c:pt>
                <c:pt idx="35">
                  <c:v>41691</c:v>
                </c:pt>
                <c:pt idx="36">
                  <c:v>41694</c:v>
                </c:pt>
                <c:pt idx="37">
                  <c:v>41695</c:v>
                </c:pt>
                <c:pt idx="38">
                  <c:v>41696</c:v>
                </c:pt>
                <c:pt idx="39">
                  <c:v>41697</c:v>
                </c:pt>
                <c:pt idx="40">
                  <c:v>41698</c:v>
                </c:pt>
                <c:pt idx="41">
                  <c:v>41701</c:v>
                </c:pt>
                <c:pt idx="42">
                  <c:v>41702</c:v>
                </c:pt>
                <c:pt idx="43">
                  <c:v>41703</c:v>
                </c:pt>
                <c:pt idx="44">
                  <c:v>41704</c:v>
                </c:pt>
                <c:pt idx="45">
                  <c:v>41705</c:v>
                </c:pt>
                <c:pt idx="46">
                  <c:v>41708</c:v>
                </c:pt>
                <c:pt idx="47">
                  <c:v>41709</c:v>
                </c:pt>
                <c:pt idx="48">
                  <c:v>41710</c:v>
                </c:pt>
                <c:pt idx="49">
                  <c:v>41711</c:v>
                </c:pt>
                <c:pt idx="50">
                  <c:v>41712</c:v>
                </c:pt>
                <c:pt idx="51">
                  <c:v>41715</c:v>
                </c:pt>
                <c:pt idx="52">
                  <c:v>41716</c:v>
                </c:pt>
                <c:pt idx="53">
                  <c:v>41717</c:v>
                </c:pt>
                <c:pt idx="54">
                  <c:v>41718</c:v>
                </c:pt>
                <c:pt idx="55">
                  <c:v>41719</c:v>
                </c:pt>
                <c:pt idx="56">
                  <c:v>41722</c:v>
                </c:pt>
                <c:pt idx="57">
                  <c:v>41723</c:v>
                </c:pt>
                <c:pt idx="58">
                  <c:v>41724</c:v>
                </c:pt>
                <c:pt idx="59">
                  <c:v>41725</c:v>
                </c:pt>
                <c:pt idx="60">
                  <c:v>41726</c:v>
                </c:pt>
                <c:pt idx="61">
                  <c:v>41729</c:v>
                </c:pt>
                <c:pt idx="62">
                  <c:v>41730</c:v>
                </c:pt>
                <c:pt idx="63">
                  <c:v>41731</c:v>
                </c:pt>
                <c:pt idx="64">
                  <c:v>41732</c:v>
                </c:pt>
                <c:pt idx="65">
                  <c:v>41733</c:v>
                </c:pt>
                <c:pt idx="66">
                  <c:v>41736</c:v>
                </c:pt>
                <c:pt idx="67">
                  <c:v>41737</c:v>
                </c:pt>
                <c:pt idx="68">
                  <c:v>41738</c:v>
                </c:pt>
                <c:pt idx="69">
                  <c:v>41739</c:v>
                </c:pt>
                <c:pt idx="70">
                  <c:v>41740</c:v>
                </c:pt>
                <c:pt idx="71">
                  <c:v>41743</c:v>
                </c:pt>
                <c:pt idx="72">
                  <c:v>41744</c:v>
                </c:pt>
                <c:pt idx="73">
                  <c:v>41745</c:v>
                </c:pt>
                <c:pt idx="74">
                  <c:v>41746</c:v>
                </c:pt>
                <c:pt idx="75">
                  <c:v>41750</c:v>
                </c:pt>
                <c:pt idx="76">
                  <c:v>41751</c:v>
                </c:pt>
                <c:pt idx="77">
                  <c:v>41752</c:v>
                </c:pt>
                <c:pt idx="78">
                  <c:v>41753</c:v>
                </c:pt>
                <c:pt idx="79">
                  <c:v>41754</c:v>
                </c:pt>
                <c:pt idx="80">
                  <c:v>41757</c:v>
                </c:pt>
                <c:pt idx="81">
                  <c:v>41758</c:v>
                </c:pt>
                <c:pt idx="82">
                  <c:v>41759</c:v>
                </c:pt>
                <c:pt idx="83">
                  <c:v>41760</c:v>
                </c:pt>
                <c:pt idx="84">
                  <c:v>41761</c:v>
                </c:pt>
                <c:pt idx="85">
                  <c:v>41764</c:v>
                </c:pt>
                <c:pt idx="86">
                  <c:v>41765</c:v>
                </c:pt>
                <c:pt idx="87">
                  <c:v>41766</c:v>
                </c:pt>
                <c:pt idx="88">
                  <c:v>41767</c:v>
                </c:pt>
                <c:pt idx="89">
                  <c:v>41768</c:v>
                </c:pt>
                <c:pt idx="90">
                  <c:v>41771</c:v>
                </c:pt>
                <c:pt idx="91">
                  <c:v>41772</c:v>
                </c:pt>
                <c:pt idx="92">
                  <c:v>41773</c:v>
                </c:pt>
                <c:pt idx="93">
                  <c:v>41774</c:v>
                </c:pt>
                <c:pt idx="94">
                  <c:v>41775</c:v>
                </c:pt>
                <c:pt idx="95">
                  <c:v>41778</c:v>
                </c:pt>
                <c:pt idx="96">
                  <c:v>41779</c:v>
                </c:pt>
                <c:pt idx="97">
                  <c:v>41780</c:v>
                </c:pt>
                <c:pt idx="98">
                  <c:v>41781</c:v>
                </c:pt>
                <c:pt idx="99">
                  <c:v>41782</c:v>
                </c:pt>
                <c:pt idx="100">
                  <c:v>41785</c:v>
                </c:pt>
                <c:pt idx="101">
                  <c:v>41786</c:v>
                </c:pt>
                <c:pt idx="102">
                  <c:v>41787</c:v>
                </c:pt>
                <c:pt idx="103">
                  <c:v>41788</c:v>
                </c:pt>
                <c:pt idx="104">
                  <c:v>41789</c:v>
                </c:pt>
                <c:pt idx="105">
                  <c:v>41792</c:v>
                </c:pt>
                <c:pt idx="106">
                  <c:v>41793</c:v>
                </c:pt>
                <c:pt idx="107">
                  <c:v>41794</c:v>
                </c:pt>
                <c:pt idx="108">
                  <c:v>41795</c:v>
                </c:pt>
                <c:pt idx="109">
                  <c:v>41796</c:v>
                </c:pt>
                <c:pt idx="110">
                  <c:v>41799</c:v>
                </c:pt>
                <c:pt idx="111">
                  <c:v>41800</c:v>
                </c:pt>
                <c:pt idx="112">
                  <c:v>41801</c:v>
                </c:pt>
                <c:pt idx="113">
                  <c:v>41802</c:v>
                </c:pt>
                <c:pt idx="114">
                  <c:v>41803</c:v>
                </c:pt>
                <c:pt idx="115">
                  <c:v>41806</c:v>
                </c:pt>
                <c:pt idx="116">
                  <c:v>41807</c:v>
                </c:pt>
                <c:pt idx="117">
                  <c:v>41808</c:v>
                </c:pt>
                <c:pt idx="118">
                  <c:v>41809</c:v>
                </c:pt>
                <c:pt idx="119">
                  <c:v>41810</c:v>
                </c:pt>
                <c:pt idx="120">
                  <c:v>41813</c:v>
                </c:pt>
                <c:pt idx="121">
                  <c:v>41814</c:v>
                </c:pt>
                <c:pt idx="122">
                  <c:v>41815</c:v>
                </c:pt>
                <c:pt idx="123">
                  <c:v>41816</c:v>
                </c:pt>
                <c:pt idx="124">
                  <c:v>41817</c:v>
                </c:pt>
                <c:pt idx="125">
                  <c:v>41820</c:v>
                </c:pt>
                <c:pt idx="126">
                  <c:v>41821</c:v>
                </c:pt>
                <c:pt idx="127">
                  <c:v>41822</c:v>
                </c:pt>
                <c:pt idx="128">
                  <c:v>41823</c:v>
                </c:pt>
                <c:pt idx="129">
                  <c:v>41827</c:v>
                </c:pt>
                <c:pt idx="130">
                  <c:v>41828</c:v>
                </c:pt>
                <c:pt idx="131">
                  <c:v>41829</c:v>
                </c:pt>
                <c:pt idx="132">
                  <c:v>41830</c:v>
                </c:pt>
                <c:pt idx="133">
                  <c:v>41831</c:v>
                </c:pt>
                <c:pt idx="134">
                  <c:v>41834</c:v>
                </c:pt>
                <c:pt idx="135">
                  <c:v>41835</c:v>
                </c:pt>
                <c:pt idx="136">
                  <c:v>41836</c:v>
                </c:pt>
                <c:pt idx="137">
                  <c:v>41837</c:v>
                </c:pt>
                <c:pt idx="138">
                  <c:v>41838</c:v>
                </c:pt>
                <c:pt idx="139">
                  <c:v>41841</c:v>
                </c:pt>
                <c:pt idx="140">
                  <c:v>41842</c:v>
                </c:pt>
                <c:pt idx="141">
                  <c:v>41843</c:v>
                </c:pt>
                <c:pt idx="142">
                  <c:v>41844</c:v>
                </c:pt>
                <c:pt idx="143">
                  <c:v>41845</c:v>
                </c:pt>
                <c:pt idx="144">
                  <c:v>41848</c:v>
                </c:pt>
                <c:pt idx="145">
                  <c:v>41849</c:v>
                </c:pt>
                <c:pt idx="146">
                  <c:v>41850</c:v>
                </c:pt>
                <c:pt idx="147">
                  <c:v>41851</c:v>
                </c:pt>
                <c:pt idx="148">
                  <c:v>41852</c:v>
                </c:pt>
                <c:pt idx="149">
                  <c:v>41855</c:v>
                </c:pt>
                <c:pt idx="150">
                  <c:v>41856</c:v>
                </c:pt>
                <c:pt idx="151">
                  <c:v>41857</c:v>
                </c:pt>
                <c:pt idx="152">
                  <c:v>41858</c:v>
                </c:pt>
                <c:pt idx="153">
                  <c:v>41859</c:v>
                </c:pt>
                <c:pt idx="154">
                  <c:v>41862</c:v>
                </c:pt>
                <c:pt idx="155">
                  <c:v>41863</c:v>
                </c:pt>
                <c:pt idx="156">
                  <c:v>41864</c:v>
                </c:pt>
                <c:pt idx="157">
                  <c:v>41865</c:v>
                </c:pt>
                <c:pt idx="158">
                  <c:v>41866</c:v>
                </c:pt>
                <c:pt idx="159">
                  <c:v>41869</c:v>
                </c:pt>
                <c:pt idx="160">
                  <c:v>41870</c:v>
                </c:pt>
                <c:pt idx="161">
                  <c:v>41871</c:v>
                </c:pt>
                <c:pt idx="162">
                  <c:v>41872</c:v>
                </c:pt>
                <c:pt idx="163">
                  <c:v>41873</c:v>
                </c:pt>
                <c:pt idx="164">
                  <c:v>41876</c:v>
                </c:pt>
                <c:pt idx="165">
                  <c:v>41877</c:v>
                </c:pt>
                <c:pt idx="166">
                  <c:v>41878</c:v>
                </c:pt>
                <c:pt idx="167">
                  <c:v>41879</c:v>
                </c:pt>
                <c:pt idx="168">
                  <c:v>41880</c:v>
                </c:pt>
                <c:pt idx="169">
                  <c:v>41884</c:v>
                </c:pt>
                <c:pt idx="170">
                  <c:v>41885</c:v>
                </c:pt>
                <c:pt idx="171">
                  <c:v>41886</c:v>
                </c:pt>
                <c:pt idx="172">
                  <c:v>41887</c:v>
                </c:pt>
                <c:pt idx="173">
                  <c:v>41890</c:v>
                </c:pt>
                <c:pt idx="174">
                  <c:v>41891</c:v>
                </c:pt>
                <c:pt idx="175">
                  <c:v>41892</c:v>
                </c:pt>
                <c:pt idx="176">
                  <c:v>41893</c:v>
                </c:pt>
                <c:pt idx="177">
                  <c:v>41894</c:v>
                </c:pt>
                <c:pt idx="178">
                  <c:v>41897</c:v>
                </c:pt>
                <c:pt idx="179">
                  <c:v>41898</c:v>
                </c:pt>
                <c:pt idx="180">
                  <c:v>41899</c:v>
                </c:pt>
                <c:pt idx="181">
                  <c:v>41900</c:v>
                </c:pt>
                <c:pt idx="182">
                  <c:v>41901</c:v>
                </c:pt>
                <c:pt idx="183">
                  <c:v>41904</c:v>
                </c:pt>
                <c:pt idx="184">
                  <c:v>41905</c:v>
                </c:pt>
                <c:pt idx="185">
                  <c:v>41906</c:v>
                </c:pt>
                <c:pt idx="186">
                  <c:v>41907</c:v>
                </c:pt>
                <c:pt idx="187">
                  <c:v>41908</c:v>
                </c:pt>
                <c:pt idx="188">
                  <c:v>41911</c:v>
                </c:pt>
                <c:pt idx="189">
                  <c:v>41912</c:v>
                </c:pt>
                <c:pt idx="190">
                  <c:v>41913</c:v>
                </c:pt>
                <c:pt idx="191">
                  <c:v>41914</c:v>
                </c:pt>
                <c:pt idx="192">
                  <c:v>41915</c:v>
                </c:pt>
                <c:pt idx="193">
                  <c:v>41918</c:v>
                </c:pt>
                <c:pt idx="194">
                  <c:v>41919</c:v>
                </c:pt>
                <c:pt idx="195">
                  <c:v>41920</c:v>
                </c:pt>
                <c:pt idx="196">
                  <c:v>41921</c:v>
                </c:pt>
                <c:pt idx="197">
                  <c:v>41922</c:v>
                </c:pt>
                <c:pt idx="198">
                  <c:v>41925</c:v>
                </c:pt>
                <c:pt idx="199">
                  <c:v>41926</c:v>
                </c:pt>
                <c:pt idx="200">
                  <c:v>41927</c:v>
                </c:pt>
                <c:pt idx="201">
                  <c:v>41928</c:v>
                </c:pt>
                <c:pt idx="202">
                  <c:v>41929</c:v>
                </c:pt>
                <c:pt idx="203">
                  <c:v>41932</c:v>
                </c:pt>
                <c:pt idx="204">
                  <c:v>41933</c:v>
                </c:pt>
                <c:pt idx="205">
                  <c:v>41934</c:v>
                </c:pt>
                <c:pt idx="206">
                  <c:v>41935</c:v>
                </c:pt>
                <c:pt idx="207">
                  <c:v>41936</c:v>
                </c:pt>
                <c:pt idx="208">
                  <c:v>41939</c:v>
                </c:pt>
                <c:pt idx="209">
                  <c:v>41940</c:v>
                </c:pt>
                <c:pt idx="210">
                  <c:v>41941</c:v>
                </c:pt>
                <c:pt idx="211">
                  <c:v>41942</c:v>
                </c:pt>
                <c:pt idx="212">
                  <c:v>41943</c:v>
                </c:pt>
                <c:pt idx="213">
                  <c:v>41946</c:v>
                </c:pt>
                <c:pt idx="214">
                  <c:v>41947</c:v>
                </c:pt>
                <c:pt idx="215">
                  <c:v>41948</c:v>
                </c:pt>
                <c:pt idx="216">
                  <c:v>41949</c:v>
                </c:pt>
                <c:pt idx="217">
                  <c:v>41950</c:v>
                </c:pt>
                <c:pt idx="218">
                  <c:v>41953</c:v>
                </c:pt>
                <c:pt idx="219">
                  <c:v>41954</c:v>
                </c:pt>
                <c:pt idx="220">
                  <c:v>41955</c:v>
                </c:pt>
                <c:pt idx="221">
                  <c:v>41956</c:v>
                </c:pt>
                <c:pt idx="222">
                  <c:v>41957</c:v>
                </c:pt>
                <c:pt idx="223">
                  <c:v>41960</c:v>
                </c:pt>
                <c:pt idx="224">
                  <c:v>41961</c:v>
                </c:pt>
                <c:pt idx="225">
                  <c:v>41962</c:v>
                </c:pt>
                <c:pt idx="226">
                  <c:v>41963</c:v>
                </c:pt>
                <c:pt idx="227">
                  <c:v>41964</c:v>
                </c:pt>
                <c:pt idx="228">
                  <c:v>41967</c:v>
                </c:pt>
                <c:pt idx="229">
                  <c:v>41968</c:v>
                </c:pt>
                <c:pt idx="230">
                  <c:v>41969</c:v>
                </c:pt>
                <c:pt idx="231">
                  <c:v>41971</c:v>
                </c:pt>
                <c:pt idx="232">
                  <c:v>41974</c:v>
                </c:pt>
                <c:pt idx="233">
                  <c:v>41975</c:v>
                </c:pt>
                <c:pt idx="234">
                  <c:v>41976</c:v>
                </c:pt>
                <c:pt idx="235">
                  <c:v>41977</c:v>
                </c:pt>
                <c:pt idx="236">
                  <c:v>41978</c:v>
                </c:pt>
                <c:pt idx="237">
                  <c:v>41981</c:v>
                </c:pt>
                <c:pt idx="238">
                  <c:v>41982</c:v>
                </c:pt>
                <c:pt idx="239">
                  <c:v>41983</c:v>
                </c:pt>
                <c:pt idx="240">
                  <c:v>41984</c:v>
                </c:pt>
                <c:pt idx="241">
                  <c:v>41985</c:v>
                </c:pt>
                <c:pt idx="242">
                  <c:v>41988</c:v>
                </c:pt>
                <c:pt idx="243">
                  <c:v>41989</c:v>
                </c:pt>
                <c:pt idx="244">
                  <c:v>41990</c:v>
                </c:pt>
                <c:pt idx="245">
                  <c:v>41991</c:v>
                </c:pt>
                <c:pt idx="246">
                  <c:v>41992</c:v>
                </c:pt>
                <c:pt idx="247">
                  <c:v>41995</c:v>
                </c:pt>
                <c:pt idx="248">
                  <c:v>41996</c:v>
                </c:pt>
                <c:pt idx="249">
                  <c:v>41997</c:v>
                </c:pt>
                <c:pt idx="250">
                  <c:v>41999</c:v>
                </c:pt>
                <c:pt idx="251">
                  <c:v>42002</c:v>
                </c:pt>
                <c:pt idx="252">
                  <c:v>42003</c:v>
                </c:pt>
                <c:pt idx="253">
                  <c:v>42004</c:v>
                </c:pt>
                <c:pt idx="254">
                  <c:v>42006</c:v>
                </c:pt>
                <c:pt idx="255">
                  <c:v>42009</c:v>
                </c:pt>
                <c:pt idx="256">
                  <c:v>42010</c:v>
                </c:pt>
                <c:pt idx="257">
                  <c:v>42011</c:v>
                </c:pt>
                <c:pt idx="258">
                  <c:v>42012</c:v>
                </c:pt>
                <c:pt idx="259">
                  <c:v>42013</c:v>
                </c:pt>
                <c:pt idx="260">
                  <c:v>42016</c:v>
                </c:pt>
                <c:pt idx="261">
                  <c:v>42017</c:v>
                </c:pt>
                <c:pt idx="262">
                  <c:v>42018</c:v>
                </c:pt>
                <c:pt idx="263">
                  <c:v>42019</c:v>
                </c:pt>
                <c:pt idx="264">
                  <c:v>42020</c:v>
                </c:pt>
                <c:pt idx="265">
                  <c:v>42024</c:v>
                </c:pt>
                <c:pt idx="266">
                  <c:v>42025</c:v>
                </c:pt>
                <c:pt idx="267">
                  <c:v>42026</c:v>
                </c:pt>
                <c:pt idx="268">
                  <c:v>42027</c:v>
                </c:pt>
                <c:pt idx="269">
                  <c:v>42030</c:v>
                </c:pt>
                <c:pt idx="270">
                  <c:v>42031</c:v>
                </c:pt>
                <c:pt idx="271">
                  <c:v>42032</c:v>
                </c:pt>
                <c:pt idx="272">
                  <c:v>42033</c:v>
                </c:pt>
                <c:pt idx="273">
                  <c:v>42034</c:v>
                </c:pt>
                <c:pt idx="274">
                  <c:v>42037</c:v>
                </c:pt>
                <c:pt idx="275">
                  <c:v>42038</c:v>
                </c:pt>
                <c:pt idx="276">
                  <c:v>42039</c:v>
                </c:pt>
                <c:pt idx="277">
                  <c:v>42040</c:v>
                </c:pt>
                <c:pt idx="278">
                  <c:v>42041</c:v>
                </c:pt>
                <c:pt idx="279">
                  <c:v>42044</c:v>
                </c:pt>
                <c:pt idx="280">
                  <c:v>42045</c:v>
                </c:pt>
                <c:pt idx="281">
                  <c:v>42046</c:v>
                </c:pt>
                <c:pt idx="282">
                  <c:v>42047</c:v>
                </c:pt>
                <c:pt idx="283">
                  <c:v>42048</c:v>
                </c:pt>
                <c:pt idx="284">
                  <c:v>42051</c:v>
                </c:pt>
                <c:pt idx="285">
                  <c:v>42052</c:v>
                </c:pt>
                <c:pt idx="286">
                  <c:v>42053</c:v>
                </c:pt>
                <c:pt idx="287">
                  <c:v>42054</c:v>
                </c:pt>
                <c:pt idx="288">
                  <c:v>42055</c:v>
                </c:pt>
                <c:pt idx="289">
                  <c:v>42058</c:v>
                </c:pt>
                <c:pt idx="290">
                  <c:v>42059</c:v>
                </c:pt>
                <c:pt idx="291">
                  <c:v>42060</c:v>
                </c:pt>
                <c:pt idx="292">
                  <c:v>42061</c:v>
                </c:pt>
                <c:pt idx="293">
                  <c:v>42062</c:v>
                </c:pt>
                <c:pt idx="294">
                  <c:v>42065</c:v>
                </c:pt>
                <c:pt idx="295">
                  <c:v>42066</c:v>
                </c:pt>
                <c:pt idx="296">
                  <c:v>42067</c:v>
                </c:pt>
                <c:pt idx="297">
                  <c:v>42068</c:v>
                </c:pt>
                <c:pt idx="298">
                  <c:v>42069</c:v>
                </c:pt>
                <c:pt idx="299">
                  <c:v>42072</c:v>
                </c:pt>
                <c:pt idx="300">
                  <c:v>42073</c:v>
                </c:pt>
                <c:pt idx="301">
                  <c:v>42074</c:v>
                </c:pt>
                <c:pt idx="302">
                  <c:v>42075</c:v>
                </c:pt>
                <c:pt idx="303">
                  <c:v>42076</c:v>
                </c:pt>
                <c:pt idx="304">
                  <c:v>42079</c:v>
                </c:pt>
                <c:pt idx="305">
                  <c:v>42080</c:v>
                </c:pt>
                <c:pt idx="306">
                  <c:v>42081</c:v>
                </c:pt>
                <c:pt idx="307">
                  <c:v>42082</c:v>
                </c:pt>
                <c:pt idx="308">
                  <c:v>42083</c:v>
                </c:pt>
                <c:pt idx="309">
                  <c:v>42086</c:v>
                </c:pt>
                <c:pt idx="310">
                  <c:v>42087</c:v>
                </c:pt>
                <c:pt idx="311">
                  <c:v>42088</c:v>
                </c:pt>
                <c:pt idx="312">
                  <c:v>42089</c:v>
                </c:pt>
                <c:pt idx="313">
                  <c:v>42090</c:v>
                </c:pt>
                <c:pt idx="314">
                  <c:v>42093</c:v>
                </c:pt>
                <c:pt idx="315">
                  <c:v>42094</c:v>
                </c:pt>
                <c:pt idx="316">
                  <c:v>42095</c:v>
                </c:pt>
                <c:pt idx="317">
                  <c:v>42096</c:v>
                </c:pt>
                <c:pt idx="318">
                  <c:v>42100</c:v>
                </c:pt>
                <c:pt idx="319">
                  <c:v>42101</c:v>
                </c:pt>
                <c:pt idx="320">
                  <c:v>42102</c:v>
                </c:pt>
                <c:pt idx="321">
                  <c:v>42103</c:v>
                </c:pt>
                <c:pt idx="322">
                  <c:v>42104</c:v>
                </c:pt>
                <c:pt idx="323">
                  <c:v>42107</c:v>
                </c:pt>
                <c:pt idx="324">
                  <c:v>42108</c:v>
                </c:pt>
                <c:pt idx="325">
                  <c:v>42109</c:v>
                </c:pt>
                <c:pt idx="326">
                  <c:v>42110</c:v>
                </c:pt>
                <c:pt idx="327">
                  <c:v>42111</c:v>
                </c:pt>
                <c:pt idx="328">
                  <c:v>42114</c:v>
                </c:pt>
                <c:pt idx="329">
                  <c:v>42115</c:v>
                </c:pt>
                <c:pt idx="330">
                  <c:v>42116</c:v>
                </c:pt>
                <c:pt idx="331">
                  <c:v>42117</c:v>
                </c:pt>
                <c:pt idx="332">
                  <c:v>42118</c:v>
                </c:pt>
                <c:pt idx="333">
                  <c:v>42121</c:v>
                </c:pt>
                <c:pt idx="334">
                  <c:v>42122</c:v>
                </c:pt>
                <c:pt idx="335">
                  <c:v>42123</c:v>
                </c:pt>
                <c:pt idx="336">
                  <c:v>42124</c:v>
                </c:pt>
                <c:pt idx="337">
                  <c:v>42125</c:v>
                </c:pt>
                <c:pt idx="338">
                  <c:v>42128</c:v>
                </c:pt>
                <c:pt idx="339">
                  <c:v>42129</c:v>
                </c:pt>
                <c:pt idx="340">
                  <c:v>42130</c:v>
                </c:pt>
                <c:pt idx="341">
                  <c:v>42131</c:v>
                </c:pt>
                <c:pt idx="342">
                  <c:v>42132</c:v>
                </c:pt>
                <c:pt idx="343">
                  <c:v>42135</c:v>
                </c:pt>
                <c:pt idx="344">
                  <c:v>42136</c:v>
                </c:pt>
                <c:pt idx="345">
                  <c:v>42137</c:v>
                </c:pt>
                <c:pt idx="346">
                  <c:v>42138</c:v>
                </c:pt>
                <c:pt idx="347">
                  <c:v>42139</c:v>
                </c:pt>
                <c:pt idx="348">
                  <c:v>42142</c:v>
                </c:pt>
                <c:pt idx="349">
                  <c:v>42143</c:v>
                </c:pt>
                <c:pt idx="350">
                  <c:v>42144</c:v>
                </c:pt>
                <c:pt idx="351">
                  <c:v>42145</c:v>
                </c:pt>
                <c:pt idx="352">
                  <c:v>42146</c:v>
                </c:pt>
                <c:pt idx="353">
                  <c:v>42150</c:v>
                </c:pt>
                <c:pt idx="354">
                  <c:v>42151</c:v>
                </c:pt>
                <c:pt idx="355">
                  <c:v>42152</c:v>
                </c:pt>
                <c:pt idx="356">
                  <c:v>42153</c:v>
                </c:pt>
                <c:pt idx="357">
                  <c:v>42156</c:v>
                </c:pt>
                <c:pt idx="358">
                  <c:v>42157</c:v>
                </c:pt>
                <c:pt idx="359">
                  <c:v>42158</c:v>
                </c:pt>
                <c:pt idx="360">
                  <c:v>42159</c:v>
                </c:pt>
                <c:pt idx="361">
                  <c:v>42160</c:v>
                </c:pt>
                <c:pt idx="362">
                  <c:v>42163</c:v>
                </c:pt>
                <c:pt idx="363">
                  <c:v>42164</c:v>
                </c:pt>
                <c:pt idx="364">
                  <c:v>42165</c:v>
                </c:pt>
                <c:pt idx="365">
                  <c:v>42166</c:v>
                </c:pt>
                <c:pt idx="366">
                  <c:v>42167</c:v>
                </c:pt>
                <c:pt idx="367">
                  <c:v>42170</c:v>
                </c:pt>
                <c:pt idx="368">
                  <c:v>42171</c:v>
                </c:pt>
                <c:pt idx="369">
                  <c:v>42172</c:v>
                </c:pt>
                <c:pt idx="370">
                  <c:v>42173</c:v>
                </c:pt>
                <c:pt idx="371">
                  <c:v>42174</c:v>
                </c:pt>
                <c:pt idx="372">
                  <c:v>42177</c:v>
                </c:pt>
                <c:pt idx="373">
                  <c:v>42178</c:v>
                </c:pt>
                <c:pt idx="374">
                  <c:v>42179</c:v>
                </c:pt>
                <c:pt idx="375">
                  <c:v>42180</c:v>
                </c:pt>
                <c:pt idx="376">
                  <c:v>42181</c:v>
                </c:pt>
                <c:pt idx="377">
                  <c:v>42184</c:v>
                </c:pt>
                <c:pt idx="378">
                  <c:v>42185</c:v>
                </c:pt>
                <c:pt idx="379">
                  <c:v>42186</c:v>
                </c:pt>
                <c:pt idx="380">
                  <c:v>42187</c:v>
                </c:pt>
                <c:pt idx="381">
                  <c:v>42188</c:v>
                </c:pt>
                <c:pt idx="382">
                  <c:v>42191</c:v>
                </c:pt>
                <c:pt idx="383">
                  <c:v>42192</c:v>
                </c:pt>
                <c:pt idx="384">
                  <c:v>42193</c:v>
                </c:pt>
                <c:pt idx="385">
                  <c:v>42194</c:v>
                </c:pt>
                <c:pt idx="386">
                  <c:v>42195</c:v>
                </c:pt>
                <c:pt idx="387">
                  <c:v>42198</c:v>
                </c:pt>
                <c:pt idx="388">
                  <c:v>42199</c:v>
                </c:pt>
                <c:pt idx="389">
                  <c:v>42200</c:v>
                </c:pt>
                <c:pt idx="390">
                  <c:v>42201</c:v>
                </c:pt>
                <c:pt idx="391">
                  <c:v>42202</c:v>
                </c:pt>
                <c:pt idx="392">
                  <c:v>42205</c:v>
                </c:pt>
                <c:pt idx="393">
                  <c:v>42206</c:v>
                </c:pt>
                <c:pt idx="394">
                  <c:v>42207</c:v>
                </c:pt>
                <c:pt idx="395">
                  <c:v>42208</c:v>
                </c:pt>
                <c:pt idx="396">
                  <c:v>42209</c:v>
                </c:pt>
                <c:pt idx="397">
                  <c:v>42212</c:v>
                </c:pt>
                <c:pt idx="398">
                  <c:v>42213</c:v>
                </c:pt>
                <c:pt idx="399">
                  <c:v>42214</c:v>
                </c:pt>
                <c:pt idx="400">
                  <c:v>42215</c:v>
                </c:pt>
                <c:pt idx="401">
                  <c:v>42216</c:v>
                </c:pt>
                <c:pt idx="402">
                  <c:v>42219</c:v>
                </c:pt>
                <c:pt idx="403">
                  <c:v>42220</c:v>
                </c:pt>
                <c:pt idx="404">
                  <c:v>42221</c:v>
                </c:pt>
                <c:pt idx="405">
                  <c:v>42222</c:v>
                </c:pt>
                <c:pt idx="406">
                  <c:v>42223</c:v>
                </c:pt>
                <c:pt idx="407">
                  <c:v>42226</c:v>
                </c:pt>
                <c:pt idx="408">
                  <c:v>42227</c:v>
                </c:pt>
                <c:pt idx="409">
                  <c:v>42228</c:v>
                </c:pt>
                <c:pt idx="410">
                  <c:v>42229</c:v>
                </c:pt>
                <c:pt idx="411">
                  <c:v>42230</c:v>
                </c:pt>
                <c:pt idx="412">
                  <c:v>42233</c:v>
                </c:pt>
                <c:pt idx="413">
                  <c:v>42234</c:v>
                </c:pt>
                <c:pt idx="414">
                  <c:v>42235</c:v>
                </c:pt>
                <c:pt idx="415">
                  <c:v>42236</c:v>
                </c:pt>
                <c:pt idx="416">
                  <c:v>42237</c:v>
                </c:pt>
                <c:pt idx="417">
                  <c:v>42240</c:v>
                </c:pt>
                <c:pt idx="418">
                  <c:v>42241</c:v>
                </c:pt>
                <c:pt idx="419">
                  <c:v>42242</c:v>
                </c:pt>
                <c:pt idx="420">
                  <c:v>42243</c:v>
                </c:pt>
                <c:pt idx="421">
                  <c:v>42244</c:v>
                </c:pt>
                <c:pt idx="422">
                  <c:v>42247</c:v>
                </c:pt>
                <c:pt idx="423">
                  <c:v>42248</c:v>
                </c:pt>
                <c:pt idx="424">
                  <c:v>42249</c:v>
                </c:pt>
                <c:pt idx="425">
                  <c:v>42250</c:v>
                </c:pt>
                <c:pt idx="426">
                  <c:v>42251</c:v>
                </c:pt>
                <c:pt idx="427">
                  <c:v>42254</c:v>
                </c:pt>
                <c:pt idx="428">
                  <c:v>42255</c:v>
                </c:pt>
                <c:pt idx="429">
                  <c:v>42256</c:v>
                </c:pt>
                <c:pt idx="430">
                  <c:v>42257</c:v>
                </c:pt>
                <c:pt idx="431">
                  <c:v>42258</c:v>
                </c:pt>
                <c:pt idx="432">
                  <c:v>42261</c:v>
                </c:pt>
                <c:pt idx="433">
                  <c:v>42262</c:v>
                </c:pt>
                <c:pt idx="434">
                  <c:v>42263</c:v>
                </c:pt>
                <c:pt idx="435">
                  <c:v>42264</c:v>
                </c:pt>
                <c:pt idx="436">
                  <c:v>42265</c:v>
                </c:pt>
                <c:pt idx="437">
                  <c:v>42268</c:v>
                </c:pt>
                <c:pt idx="438">
                  <c:v>42269</c:v>
                </c:pt>
                <c:pt idx="439">
                  <c:v>42270</c:v>
                </c:pt>
                <c:pt idx="440">
                  <c:v>42271</c:v>
                </c:pt>
                <c:pt idx="441">
                  <c:v>42272</c:v>
                </c:pt>
                <c:pt idx="442">
                  <c:v>42275</c:v>
                </c:pt>
                <c:pt idx="443">
                  <c:v>42276</c:v>
                </c:pt>
                <c:pt idx="444">
                  <c:v>42277</c:v>
                </c:pt>
                <c:pt idx="445">
                  <c:v>42278</c:v>
                </c:pt>
                <c:pt idx="446">
                  <c:v>42279</c:v>
                </c:pt>
                <c:pt idx="447">
                  <c:v>42282</c:v>
                </c:pt>
                <c:pt idx="448">
                  <c:v>42283</c:v>
                </c:pt>
                <c:pt idx="449">
                  <c:v>42284</c:v>
                </c:pt>
                <c:pt idx="450">
                  <c:v>42285</c:v>
                </c:pt>
                <c:pt idx="451">
                  <c:v>42286</c:v>
                </c:pt>
                <c:pt idx="452">
                  <c:v>42289</c:v>
                </c:pt>
                <c:pt idx="453">
                  <c:v>42290</c:v>
                </c:pt>
                <c:pt idx="454">
                  <c:v>42291</c:v>
                </c:pt>
                <c:pt idx="455">
                  <c:v>42292</c:v>
                </c:pt>
                <c:pt idx="456">
                  <c:v>42293</c:v>
                </c:pt>
                <c:pt idx="457">
                  <c:v>42296</c:v>
                </c:pt>
                <c:pt idx="458">
                  <c:v>42297</c:v>
                </c:pt>
                <c:pt idx="459">
                  <c:v>42298</c:v>
                </c:pt>
                <c:pt idx="460">
                  <c:v>42299</c:v>
                </c:pt>
                <c:pt idx="461">
                  <c:v>42300</c:v>
                </c:pt>
                <c:pt idx="462">
                  <c:v>42303</c:v>
                </c:pt>
                <c:pt idx="463">
                  <c:v>42304</c:v>
                </c:pt>
                <c:pt idx="464">
                  <c:v>42305</c:v>
                </c:pt>
                <c:pt idx="465">
                  <c:v>42306</c:v>
                </c:pt>
                <c:pt idx="466">
                  <c:v>42307</c:v>
                </c:pt>
                <c:pt idx="467">
                  <c:v>42310</c:v>
                </c:pt>
                <c:pt idx="468">
                  <c:v>42311</c:v>
                </c:pt>
                <c:pt idx="469">
                  <c:v>42312</c:v>
                </c:pt>
                <c:pt idx="470">
                  <c:v>42313</c:v>
                </c:pt>
                <c:pt idx="471">
                  <c:v>42314</c:v>
                </c:pt>
                <c:pt idx="472">
                  <c:v>42317</c:v>
                </c:pt>
                <c:pt idx="473">
                  <c:v>42318</c:v>
                </c:pt>
                <c:pt idx="474">
                  <c:v>42319</c:v>
                </c:pt>
                <c:pt idx="475">
                  <c:v>42320</c:v>
                </c:pt>
                <c:pt idx="476">
                  <c:v>42321</c:v>
                </c:pt>
                <c:pt idx="477">
                  <c:v>42324</c:v>
                </c:pt>
                <c:pt idx="478">
                  <c:v>42325</c:v>
                </c:pt>
                <c:pt idx="479">
                  <c:v>42326</c:v>
                </c:pt>
                <c:pt idx="480">
                  <c:v>42327</c:v>
                </c:pt>
                <c:pt idx="481">
                  <c:v>42328</c:v>
                </c:pt>
                <c:pt idx="482">
                  <c:v>42331</c:v>
                </c:pt>
                <c:pt idx="483">
                  <c:v>42332</c:v>
                </c:pt>
                <c:pt idx="484">
                  <c:v>42333</c:v>
                </c:pt>
                <c:pt idx="485">
                  <c:v>42334</c:v>
                </c:pt>
                <c:pt idx="486">
                  <c:v>42335</c:v>
                </c:pt>
                <c:pt idx="487">
                  <c:v>42338</c:v>
                </c:pt>
                <c:pt idx="488">
                  <c:v>42339</c:v>
                </c:pt>
                <c:pt idx="489">
                  <c:v>42340</c:v>
                </c:pt>
                <c:pt idx="490">
                  <c:v>42341</c:v>
                </c:pt>
                <c:pt idx="491">
                  <c:v>42342</c:v>
                </c:pt>
                <c:pt idx="492">
                  <c:v>42345</c:v>
                </c:pt>
                <c:pt idx="493">
                  <c:v>42346</c:v>
                </c:pt>
                <c:pt idx="494">
                  <c:v>42347</c:v>
                </c:pt>
                <c:pt idx="495">
                  <c:v>42348</c:v>
                </c:pt>
                <c:pt idx="496">
                  <c:v>42349</c:v>
                </c:pt>
                <c:pt idx="497">
                  <c:v>42352</c:v>
                </c:pt>
                <c:pt idx="498">
                  <c:v>42353</c:v>
                </c:pt>
                <c:pt idx="499">
                  <c:v>42354</c:v>
                </c:pt>
                <c:pt idx="500">
                  <c:v>42355</c:v>
                </c:pt>
                <c:pt idx="501">
                  <c:v>42356</c:v>
                </c:pt>
                <c:pt idx="502">
                  <c:v>42359</c:v>
                </c:pt>
                <c:pt idx="503">
                  <c:v>42360</c:v>
                </c:pt>
                <c:pt idx="504">
                  <c:v>42361</c:v>
                </c:pt>
                <c:pt idx="505">
                  <c:v>42362</c:v>
                </c:pt>
                <c:pt idx="506">
                  <c:v>42366</c:v>
                </c:pt>
                <c:pt idx="507">
                  <c:v>42367</c:v>
                </c:pt>
                <c:pt idx="508">
                  <c:v>42368</c:v>
                </c:pt>
                <c:pt idx="509">
                  <c:v>42369</c:v>
                </c:pt>
                <c:pt idx="510">
                  <c:v>42373</c:v>
                </c:pt>
                <c:pt idx="511">
                  <c:v>42374</c:v>
                </c:pt>
                <c:pt idx="512">
                  <c:v>42375</c:v>
                </c:pt>
                <c:pt idx="513">
                  <c:v>42376</c:v>
                </c:pt>
                <c:pt idx="514">
                  <c:v>42377</c:v>
                </c:pt>
                <c:pt idx="515">
                  <c:v>42380</c:v>
                </c:pt>
                <c:pt idx="516">
                  <c:v>42381</c:v>
                </c:pt>
                <c:pt idx="517">
                  <c:v>42382</c:v>
                </c:pt>
                <c:pt idx="518">
                  <c:v>42383</c:v>
                </c:pt>
                <c:pt idx="519">
                  <c:v>42384</c:v>
                </c:pt>
                <c:pt idx="520">
                  <c:v>42387</c:v>
                </c:pt>
                <c:pt idx="521">
                  <c:v>42388</c:v>
                </c:pt>
                <c:pt idx="522">
                  <c:v>42389</c:v>
                </c:pt>
                <c:pt idx="523">
                  <c:v>42390</c:v>
                </c:pt>
                <c:pt idx="524">
                  <c:v>42391</c:v>
                </c:pt>
                <c:pt idx="525">
                  <c:v>42394</c:v>
                </c:pt>
                <c:pt idx="526">
                  <c:v>42395</c:v>
                </c:pt>
                <c:pt idx="527">
                  <c:v>42396</c:v>
                </c:pt>
                <c:pt idx="528">
                  <c:v>42397</c:v>
                </c:pt>
                <c:pt idx="529">
                  <c:v>42398</c:v>
                </c:pt>
                <c:pt idx="530">
                  <c:v>42401</c:v>
                </c:pt>
                <c:pt idx="531">
                  <c:v>42402</c:v>
                </c:pt>
                <c:pt idx="532">
                  <c:v>42403</c:v>
                </c:pt>
                <c:pt idx="533">
                  <c:v>42404</c:v>
                </c:pt>
                <c:pt idx="534">
                  <c:v>42405</c:v>
                </c:pt>
                <c:pt idx="535">
                  <c:v>42408</c:v>
                </c:pt>
                <c:pt idx="536">
                  <c:v>42409</c:v>
                </c:pt>
                <c:pt idx="537">
                  <c:v>42410</c:v>
                </c:pt>
                <c:pt idx="538">
                  <c:v>42411</c:v>
                </c:pt>
                <c:pt idx="539">
                  <c:v>42412</c:v>
                </c:pt>
                <c:pt idx="540">
                  <c:v>42415</c:v>
                </c:pt>
                <c:pt idx="541">
                  <c:v>42416</c:v>
                </c:pt>
                <c:pt idx="542">
                  <c:v>42417</c:v>
                </c:pt>
                <c:pt idx="543">
                  <c:v>42418</c:v>
                </c:pt>
                <c:pt idx="544">
                  <c:v>42419</c:v>
                </c:pt>
                <c:pt idx="545">
                  <c:v>42422</c:v>
                </c:pt>
                <c:pt idx="546">
                  <c:v>42423</c:v>
                </c:pt>
                <c:pt idx="547">
                  <c:v>42424</c:v>
                </c:pt>
                <c:pt idx="548">
                  <c:v>42425</c:v>
                </c:pt>
                <c:pt idx="549">
                  <c:v>42426</c:v>
                </c:pt>
                <c:pt idx="550">
                  <c:v>42429</c:v>
                </c:pt>
                <c:pt idx="551">
                  <c:v>42430</c:v>
                </c:pt>
                <c:pt idx="552">
                  <c:v>42431</c:v>
                </c:pt>
                <c:pt idx="553">
                  <c:v>42432</c:v>
                </c:pt>
                <c:pt idx="554">
                  <c:v>42433</c:v>
                </c:pt>
                <c:pt idx="555">
                  <c:v>42436</c:v>
                </c:pt>
                <c:pt idx="556">
                  <c:v>42437</c:v>
                </c:pt>
                <c:pt idx="557">
                  <c:v>42438</c:v>
                </c:pt>
                <c:pt idx="558">
                  <c:v>42439</c:v>
                </c:pt>
                <c:pt idx="559">
                  <c:v>42440</c:v>
                </c:pt>
                <c:pt idx="560">
                  <c:v>42443</c:v>
                </c:pt>
                <c:pt idx="561">
                  <c:v>42444</c:v>
                </c:pt>
                <c:pt idx="562">
                  <c:v>42445</c:v>
                </c:pt>
                <c:pt idx="563">
                  <c:v>42446</c:v>
                </c:pt>
                <c:pt idx="564">
                  <c:v>42447</c:v>
                </c:pt>
                <c:pt idx="565">
                  <c:v>42450</c:v>
                </c:pt>
                <c:pt idx="566">
                  <c:v>42451</c:v>
                </c:pt>
                <c:pt idx="567">
                  <c:v>42452</c:v>
                </c:pt>
                <c:pt idx="568">
                  <c:v>42453</c:v>
                </c:pt>
                <c:pt idx="569">
                  <c:v>42457</c:v>
                </c:pt>
                <c:pt idx="570">
                  <c:v>42458</c:v>
                </c:pt>
                <c:pt idx="571">
                  <c:v>42459</c:v>
                </c:pt>
                <c:pt idx="572">
                  <c:v>42460</c:v>
                </c:pt>
                <c:pt idx="573">
                  <c:v>42461</c:v>
                </c:pt>
                <c:pt idx="574">
                  <c:v>42464</c:v>
                </c:pt>
                <c:pt idx="575">
                  <c:v>42465</c:v>
                </c:pt>
                <c:pt idx="576">
                  <c:v>42466</c:v>
                </c:pt>
                <c:pt idx="577">
                  <c:v>42467</c:v>
                </c:pt>
                <c:pt idx="578">
                  <c:v>42468</c:v>
                </c:pt>
                <c:pt idx="579">
                  <c:v>42471</c:v>
                </c:pt>
                <c:pt idx="580">
                  <c:v>42472</c:v>
                </c:pt>
                <c:pt idx="581">
                  <c:v>42473</c:v>
                </c:pt>
                <c:pt idx="582">
                  <c:v>42474</c:v>
                </c:pt>
                <c:pt idx="583">
                  <c:v>42475</c:v>
                </c:pt>
                <c:pt idx="584">
                  <c:v>42478</c:v>
                </c:pt>
                <c:pt idx="585">
                  <c:v>42479</c:v>
                </c:pt>
                <c:pt idx="586">
                  <c:v>42480</c:v>
                </c:pt>
                <c:pt idx="587">
                  <c:v>42481</c:v>
                </c:pt>
                <c:pt idx="588">
                  <c:v>42482</c:v>
                </c:pt>
                <c:pt idx="589">
                  <c:v>42485</c:v>
                </c:pt>
                <c:pt idx="590">
                  <c:v>42486</c:v>
                </c:pt>
                <c:pt idx="591">
                  <c:v>42487</c:v>
                </c:pt>
                <c:pt idx="592">
                  <c:v>42488</c:v>
                </c:pt>
                <c:pt idx="593">
                  <c:v>42489</c:v>
                </c:pt>
                <c:pt idx="594">
                  <c:v>42492</c:v>
                </c:pt>
                <c:pt idx="595">
                  <c:v>42493</c:v>
                </c:pt>
                <c:pt idx="596">
                  <c:v>42494</c:v>
                </c:pt>
                <c:pt idx="597">
                  <c:v>42495</c:v>
                </c:pt>
                <c:pt idx="598">
                  <c:v>42496</c:v>
                </c:pt>
                <c:pt idx="599">
                  <c:v>42499</c:v>
                </c:pt>
                <c:pt idx="600">
                  <c:v>42500</c:v>
                </c:pt>
                <c:pt idx="601">
                  <c:v>42501</c:v>
                </c:pt>
                <c:pt idx="602">
                  <c:v>42502</c:v>
                </c:pt>
                <c:pt idx="603">
                  <c:v>42503</c:v>
                </c:pt>
                <c:pt idx="604">
                  <c:v>42506</c:v>
                </c:pt>
                <c:pt idx="605">
                  <c:v>42507</c:v>
                </c:pt>
                <c:pt idx="606">
                  <c:v>42508</c:v>
                </c:pt>
                <c:pt idx="607">
                  <c:v>42509</c:v>
                </c:pt>
                <c:pt idx="608">
                  <c:v>42510</c:v>
                </c:pt>
                <c:pt idx="609">
                  <c:v>42513</c:v>
                </c:pt>
                <c:pt idx="610">
                  <c:v>42514</c:v>
                </c:pt>
                <c:pt idx="611">
                  <c:v>42515</c:v>
                </c:pt>
                <c:pt idx="612">
                  <c:v>42516</c:v>
                </c:pt>
                <c:pt idx="613">
                  <c:v>42517</c:v>
                </c:pt>
                <c:pt idx="614">
                  <c:v>42520</c:v>
                </c:pt>
                <c:pt idx="615">
                  <c:v>42521</c:v>
                </c:pt>
                <c:pt idx="616">
                  <c:v>42522</c:v>
                </c:pt>
                <c:pt idx="617">
                  <c:v>42523</c:v>
                </c:pt>
                <c:pt idx="618">
                  <c:v>42524</c:v>
                </c:pt>
                <c:pt idx="619">
                  <c:v>42527</c:v>
                </c:pt>
                <c:pt idx="620">
                  <c:v>42528</c:v>
                </c:pt>
                <c:pt idx="621">
                  <c:v>42529</c:v>
                </c:pt>
                <c:pt idx="622">
                  <c:v>42530</c:v>
                </c:pt>
                <c:pt idx="623">
                  <c:v>42531</c:v>
                </c:pt>
                <c:pt idx="624">
                  <c:v>42534</c:v>
                </c:pt>
                <c:pt idx="625">
                  <c:v>42535</c:v>
                </c:pt>
                <c:pt idx="626">
                  <c:v>42536</c:v>
                </c:pt>
                <c:pt idx="627">
                  <c:v>42537</c:v>
                </c:pt>
                <c:pt idx="628">
                  <c:v>42538</c:v>
                </c:pt>
                <c:pt idx="629">
                  <c:v>42541</c:v>
                </c:pt>
                <c:pt idx="630">
                  <c:v>42542</c:v>
                </c:pt>
                <c:pt idx="631">
                  <c:v>42543</c:v>
                </c:pt>
                <c:pt idx="632">
                  <c:v>42544</c:v>
                </c:pt>
                <c:pt idx="633">
                  <c:v>42545</c:v>
                </c:pt>
                <c:pt idx="634">
                  <c:v>42548</c:v>
                </c:pt>
                <c:pt idx="635">
                  <c:v>42549</c:v>
                </c:pt>
                <c:pt idx="636">
                  <c:v>42550</c:v>
                </c:pt>
                <c:pt idx="637">
                  <c:v>42551</c:v>
                </c:pt>
                <c:pt idx="638">
                  <c:v>42552</c:v>
                </c:pt>
                <c:pt idx="639">
                  <c:v>42555</c:v>
                </c:pt>
                <c:pt idx="640">
                  <c:v>42556</c:v>
                </c:pt>
                <c:pt idx="641">
                  <c:v>42557</c:v>
                </c:pt>
                <c:pt idx="642">
                  <c:v>42558</c:v>
                </c:pt>
                <c:pt idx="643">
                  <c:v>42559</c:v>
                </c:pt>
                <c:pt idx="644">
                  <c:v>42562</c:v>
                </c:pt>
                <c:pt idx="645">
                  <c:v>42563</c:v>
                </c:pt>
                <c:pt idx="646">
                  <c:v>42564</c:v>
                </c:pt>
                <c:pt idx="647">
                  <c:v>42565</c:v>
                </c:pt>
                <c:pt idx="648">
                  <c:v>42566</c:v>
                </c:pt>
                <c:pt idx="649">
                  <c:v>42569</c:v>
                </c:pt>
                <c:pt idx="650">
                  <c:v>42570</c:v>
                </c:pt>
                <c:pt idx="651">
                  <c:v>42571</c:v>
                </c:pt>
                <c:pt idx="652">
                  <c:v>42572</c:v>
                </c:pt>
                <c:pt idx="653">
                  <c:v>42573</c:v>
                </c:pt>
                <c:pt idx="654">
                  <c:v>42576</c:v>
                </c:pt>
                <c:pt idx="655">
                  <c:v>42577</c:v>
                </c:pt>
                <c:pt idx="656">
                  <c:v>42578</c:v>
                </c:pt>
                <c:pt idx="657">
                  <c:v>42579</c:v>
                </c:pt>
                <c:pt idx="658">
                  <c:v>42580</c:v>
                </c:pt>
                <c:pt idx="659">
                  <c:v>42583</c:v>
                </c:pt>
                <c:pt idx="660">
                  <c:v>42584</c:v>
                </c:pt>
                <c:pt idx="661">
                  <c:v>42585</c:v>
                </c:pt>
                <c:pt idx="662">
                  <c:v>42586</c:v>
                </c:pt>
                <c:pt idx="663">
                  <c:v>42587</c:v>
                </c:pt>
                <c:pt idx="664">
                  <c:v>42590</c:v>
                </c:pt>
                <c:pt idx="665">
                  <c:v>42591</c:v>
                </c:pt>
                <c:pt idx="666">
                  <c:v>42592</c:v>
                </c:pt>
                <c:pt idx="667">
                  <c:v>42593</c:v>
                </c:pt>
                <c:pt idx="668">
                  <c:v>42594</c:v>
                </c:pt>
                <c:pt idx="669">
                  <c:v>42597</c:v>
                </c:pt>
                <c:pt idx="670">
                  <c:v>42598</c:v>
                </c:pt>
                <c:pt idx="671">
                  <c:v>42599</c:v>
                </c:pt>
                <c:pt idx="672">
                  <c:v>42600</c:v>
                </c:pt>
                <c:pt idx="673">
                  <c:v>42601</c:v>
                </c:pt>
                <c:pt idx="674">
                  <c:v>42604</c:v>
                </c:pt>
                <c:pt idx="675">
                  <c:v>42605</c:v>
                </c:pt>
                <c:pt idx="676">
                  <c:v>42606</c:v>
                </c:pt>
                <c:pt idx="677">
                  <c:v>42607</c:v>
                </c:pt>
                <c:pt idx="678">
                  <c:v>42608</c:v>
                </c:pt>
                <c:pt idx="679">
                  <c:v>42611</c:v>
                </c:pt>
                <c:pt idx="680">
                  <c:v>42612</c:v>
                </c:pt>
                <c:pt idx="681">
                  <c:v>42613</c:v>
                </c:pt>
                <c:pt idx="682">
                  <c:v>42614</c:v>
                </c:pt>
                <c:pt idx="683">
                  <c:v>42615</c:v>
                </c:pt>
                <c:pt idx="684">
                  <c:v>42618</c:v>
                </c:pt>
                <c:pt idx="685">
                  <c:v>42619</c:v>
                </c:pt>
                <c:pt idx="686">
                  <c:v>42620</c:v>
                </c:pt>
                <c:pt idx="687">
                  <c:v>42621</c:v>
                </c:pt>
                <c:pt idx="688">
                  <c:v>42622</c:v>
                </c:pt>
                <c:pt idx="689">
                  <c:v>42625</c:v>
                </c:pt>
                <c:pt idx="690">
                  <c:v>42626</c:v>
                </c:pt>
                <c:pt idx="691">
                  <c:v>42627</c:v>
                </c:pt>
                <c:pt idx="692">
                  <c:v>42628</c:v>
                </c:pt>
                <c:pt idx="693">
                  <c:v>42629</c:v>
                </c:pt>
                <c:pt idx="694">
                  <c:v>42632</c:v>
                </c:pt>
                <c:pt idx="695">
                  <c:v>42633</c:v>
                </c:pt>
                <c:pt idx="696">
                  <c:v>42634</c:v>
                </c:pt>
                <c:pt idx="697">
                  <c:v>42635</c:v>
                </c:pt>
                <c:pt idx="698">
                  <c:v>42636</c:v>
                </c:pt>
                <c:pt idx="699">
                  <c:v>42639</c:v>
                </c:pt>
                <c:pt idx="700">
                  <c:v>42640</c:v>
                </c:pt>
                <c:pt idx="701">
                  <c:v>42641</c:v>
                </c:pt>
                <c:pt idx="702">
                  <c:v>42642</c:v>
                </c:pt>
                <c:pt idx="703">
                  <c:v>42643</c:v>
                </c:pt>
                <c:pt idx="704">
                  <c:v>42646</c:v>
                </c:pt>
                <c:pt idx="705">
                  <c:v>42647</c:v>
                </c:pt>
                <c:pt idx="706">
                  <c:v>42648</c:v>
                </c:pt>
                <c:pt idx="707">
                  <c:v>42649</c:v>
                </c:pt>
                <c:pt idx="708">
                  <c:v>42650</c:v>
                </c:pt>
                <c:pt idx="709">
                  <c:v>42653</c:v>
                </c:pt>
                <c:pt idx="710">
                  <c:v>42654</c:v>
                </c:pt>
                <c:pt idx="711">
                  <c:v>42655</c:v>
                </c:pt>
                <c:pt idx="712">
                  <c:v>42656</c:v>
                </c:pt>
                <c:pt idx="713">
                  <c:v>42657</c:v>
                </c:pt>
                <c:pt idx="714">
                  <c:v>42660</c:v>
                </c:pt>
                <c:pt idx="715">
                  <c:v>42661</c:v>
                </c:pt>
                <c:pt idx="716">
                  <c:v>42662</c:v>
                </c:pt>
                <c:pt idx="717">
                  <c:v>42663</c:v>
                </c:pt>
                <c:pt idx="718">
                  <c:v>42664</c:v>
                </c:pt>
                <c:pt idx="719">
                  <c:v>42667</c:v>
                </c:pt>
                <c:pt idx="720">
                  <c:v>42668</c:v>
                </c:pt>
                <c:pt idx="721">
                  <c:v>42669</c:v>
                </c:pt>
                <c:pt idx="722">
                  <c:v>42670</c:v>
                </c:pt>
                <c:pt idx="723">
                  <c:v>42671</c:v>
                </c:pt>
                <c:pt idx="724">
                  <c:v>42674</c:v>
                </c:pt>
                <c:pt idx="725">
                  <c:v>42675</c:v>
                </c:pt>
                <c:pt idx="726">
                  <c:v>42676</c:v>
                </c:pt>
                <c:pt idx="727">
                  <c:v>42677</c:v>
                </c:pt>
                <c:pt idx="728">
                  <c:v>42678</c:v>
                </c:pt>
                <c:pt idx="729">
                  <c:v>42681</c:v>
                </c:pt>
                <c:pt idx="730">
                  <c:v>42682</c:v>
                </c:pt>
                <c:pt idx="731">
                  <c:v>42683</c:v>
                </c:pt>
                <c:pt idx="732">
                  <c:v>42684</c:v>
                </c:pt>
                <c:pt idx="733">
                  <c:v>42685</c:v>
                </c:pt>
                <c:pt idx="734">
                  <c:v>42688</c:v>
                </c:pt>
                <c:pt idx="735">
                  <c:v>42689</c:v>
                </c:pt>
                <c:pt idx="736">
                  <c:v>42690</c:v>
                </c:pt>
                <c:pt idx="737">
                  <c:v>42691</c:v>
                </c:pt>
                <c:pt idx="738">
                  <c:v>42692</c:v>
                </c:pt>
                <c:pt idx="739">
                  <c:v>42695</c:v>
                </c:pt>
                <c:pt idx="740">
                  <c:v>42696</c:v>
                </c:pt>
                <c:pt idx="741">
                  <c:v>42697</c:v>
                </c:pt>
                <c:pt idx="742">
                  <c:v>42698</c:v>
                </c:pt>
                <c:pt idx="743">
                  <c:v>42699</c:v>
                </c:pt>
                <c:pt idx="744">
                  <c:v>42702</c:v>
                </c:pt>
                <c:pt idx="745">
                  <c:v>42703</c:v>
                </c:pt>
                <c:pt idx="746">
                  <c:v>42704</c:v>
                </c:pt>
                <c:pt idx="747">
                  <c:v>42705</c:v>
                </c:pt>
                <c:pt idx="748">
                  <c:v>42706</c:v>
                </c:pt>
                <c:pt idx="749">
                  <c:v>42709</c:v>
                </c:pt>
                <c:pt idx="750">
                  <c:v>42710</c:v>
                </c:pt>
                <c:pt idx="751">
                  <c:v>42711</c:v>
                </c:pt>
                <c:pt idx="752">
                  <c:v>42712</c:v>
                </c:pt>
                <c:pt idx="753">
                  <c:v>42713</c:v>
                </c:pt>
                <c:pt idx="754">
                  <c:v>42716</c:v>
                </c:pt>
                <c:pt idx="755">
                  <c:v>42717</c:v>
                </c:pt>
                <c:pt idx="756">
                  <c:v>42718</c:v>
                </c:pt>
                <c:pt idx="757">
                  <c:v>42719</c:v>
                </c:pt>
                <c:pt idx="758">
                  <c:v>42720</c:v>
                </c:pt>
                <c:pt idx="759">
                  <c:v>42723</c:v>
                </c:pt>
                <c:pt idx="760">
                  <c:v>42724</c:v>
                </c:pt>
                <c:pt idx="761">
                  <c:v>42725</c:v>
                </c:pt>
                <c:pt idx="762">
                  <c:v>42726</c:v>
                </c:pt>
                <c:pt idx="763">
                  <c:v>42727</c:v>
                </c:pt>
                <c:pt idx="764">
                  <c:v>42731</c:v>
                </c:pt>
                <c:pt idx="765">
                  <c:v>42732</c:v>
                </c:pt>
                <c:pt idx="766">
                  <c:v>42733</c:v>
                </c:pt>
                <c:pt idx="767">
                  <c:v>42734</c:v>
                </c:pt>
                <c:pt idx="768">
                  <c:v>42737</c:v>
                </c:pt>
                <c:pt idx="769">
                  <c:v>42738</c:v>
                </c:pt>
                <c:pt idx="770">
                  <c:v>42739</c:v>
                </c:pt>
                <c:pt idx="771">
                  <c:v>42740</c:v>
                </c:pt>
                <c:pt idx="772">
                  <c:v>42741</c:v>
                </c:pt>
                <c:pt idx="773">
                  <c:v>42744</c:v>
                </c:pt>
                <c:pt idx="774">
                  <c:v>42745</c:v>
                </c:pt>
                <c:pt idx="775">
                  <c:v>42746</c:v>
                </c:pt>
                <c:pt idx="776">
                  <c:v>42747</c:v>
                </c:pt>
                <c:pt idx="777">
                  <c:v>42748</c:v>
                </c:pt>
                <c:pt idx="778">
                  <c:v>42751</c:v>
                </c:pt>
                <c:pt idx="779">
                  <c:v>42752</c:v>
                </c:pt>
                <c:pt idx="780">
                  <c:v>42753</c:v>
                </c:pt>
                <c:pt idx="781">
                  <c:v>42754</c:v>
                </c:pt>
                <c:pt idx="782">
                  <c:v>42755</c:v>
                </c:pt>
                <c:pt idx="783">
                  <c:v>42758</c:v>
                </c:pt>
                <c:pt idx="784">
                  <c:v>42759</c:v>
                </c:pt>
                <c:pt idx="785">
                  <c:v>42760</c:v>
                </c:pt>
                <c:pt idx="786">
                  <c:v>42761</c:v>
                </c:pt>
                <c:pt idx="787">
                  <c:v>42762</c:v>
                </c:pt>
                <c:pt idx="788">
                  <c:v>42765</c:v>
                </c:pt>
                <c:pt idx="789">
                  <c:v>42766</c:v>
                </c:pt>
                <c:pt idx="790">
                  <c:v>42767</c:v>
                </c:pt>
                <c:pt idx="791">
                  <c:v>42768</c:v>
                </c:pt>
                <c:pt idx="792">
                  <c:v>42769</c:v>
                </c:pt>
                <c:pt idx="793">
                  <c:v>42772</c:v>
                </c:pt>
                <c:pt idx="794">
                  <c:v>42773</c:v>
                </c:pt>
                <c:pt idx="795">
                  <c:v>42774</c:v>
                </c:pt>
                <c:pt idx="796">
                  <c:v>42775</c:v>
                </c:pt>
                <c:pt idx="797">
                  <c:v>42776</c:v>
                </c:pt>
                <c:pt idx="798">
                  <c:v>42779</c:v>
                </c:pt>
                <c:pt idx="799">
                  <c:v>42780</c:v>
                </c:pt>
                <c:pt idx="800">
                  <c:v>42781</c:v>
                </c:pt>
                <c:pt idx="801">
                  <c:v>42782</c:v>
                </c:pt>
                <c:pt idx="802">
                  <c:v>42783</c:v>
                </c:pt>
                <c:pt idx="803">
                  <c:v>42786</c:v>
                </c:pt>
                <c:pt idx="804">
                  <c:v>42787</c:v>
                </c:pt>
                <c:pt idx="805">
                  <c:v>42788</c:v>
                </c:pt>
                <c:pt idx="806">
                  <c:v>42789</c:v>
                </c:pt>
                <c:pt idx="807">
                  <c:v>42790</c:v>
                </c:pt>
                <c:pt idx="808">
                  <c:v>42793</c:v>
                </c:pt>
                <c:pt idx="809">
                  <c:v>42794</c:v>
                </c:pt>
                <c:pt idx="810">
                  <c:v>42795</c:v>
                </c:pt>
                <c:pt idx="811">
                  <c:v>42796</c:v>
                </c:pt>
                <c:pt idx="812">
                  <c:v>42797</c:v>
                </c:pt>
                <c:pt idx="813">
                  <c:v>42800</c:v>
                </c:pt>
                <c:pt idx="814">
                  <c:v>42801</c:v>
                </c:pt>
                <c:pt idx="815">
                  <c:v>42802</c:v>
                </c:pt>
                <c:pt idx="816">
                  <c:v>42803</c:v>
                </c:pt>
                <c:pt idx="817">
                  <c:v>42804</c:v>
                </c:pt>
                <c:pt idx="818">
                  <c:v>42807</c:v>
                </c:pt>
                <c:pt idx="819">
                  <c:v>42808</c:v>
                </c:pt>
                <c:pt idx="820">
                  <c:v>42809</c:v>
                </c:pt>
                <c:pt idx="821">
                  <c:v>42810</c:v>
                </c:pt>
                <c:pt idx="822">
                  <c:v>42811</c:v>
                </c:pt>
                <c:pt idx="823">
                  <c:v>42814</c:v>
                </c:pt>
                <c:pt idx="824">
                  <c:v>42815</c:v>
                </c:pt>
                <c:pt idx="825">
                  <c:v>42816</c:v>
                </c:pt>
                <c:pt idx="826">
                  <c:v>42817</c:v>
                </c:pt>
                <c:pt idx="827">
                  <c:v>42818</c:v>
                </c:pt>
                <c:pt idx="828">
                  <c:v>42821</c:v>
                </c:pt>
                <c:pt idx="829">
                  <c:v>42822</c:v>
                </c:pt>
                <c:pt idx="830">
                  <c:v>42823</c:v>
                </c:pt>
                <c:pt idx="831">
                  <c:v>42824</c:v>
                </c:pt>
                <c:pt idx="832">
                  <c:v>42825</c:v>
                </c:pt>
                <c:pt idx="833">
                  <c:v>42828</c:v>
                </c:pt>
                <c:pt idx="834">
                  <c:v>42829</c:v>
                </c:pt>
                <c:pt idx="835">
                  <c:v>42830</c:v>
                </c:pt>
                <c:pt idx="836">
                  <c:v>42831</c:v>
                </c:pt>
                <c:pt idx="837">
                  <c:v>42832</c:v>
                </c:pt>
                <c:pt idx="838">
                  <c:v>42835</c:v>
                </c:pt>
                <c:pt idx="839">
                  <c:v>42836</c:v>
                </c:pt>
                <c:pt idx="840">
                  <c:v>42837</c:v>
                </c:pt>
                <c:pt idx="841">
                  <c:v>42838</c:v>
                </c:pt>
                <c:pt idx="842">
                  <c:v>42842</c:v>
                </c:pt>
                <c:pt idx="843">
                  <c:v>42843</c:v>
                </c:pt>
                <c:pt idx="844">
                  <c:v>42844</c:v>
                </c:pt>
                <c:pt idx="845">
                  <c:v>42845</c:v>
                </c:pt>
                <c:pt idx="846">
                  <c:v>42846</c:v>
                </c:pt>
                <c:pt idx="847">
                  <c:v>42849</c:v>
                </c:pt>
                <c:pt idx="848">
                  <c:v>42850</c:v>
                </c:pt>
                <c:pt idx="849">
                  <c:v>42851</c:v>
                </c:pt>
                <c:pt idx="850">
                  <c:v>42852</c:v>
                </c:pt>
                <c:pt idx="851">
                  <c:v>42853</c:v>
                </c:pt>
                <c:pt idx="852">
                  <c:v>42856</c:v>
                </c:pt>
                <c:pt idx="853">
                  <c:v>42857</c:v>
                </c:pt>
                <c:pt idx="854">
                  <c:v>42858</c:v>
                </c:pt>
                <c:pt idx="855">
                  <c:v>42859</c:v>
                </c:pt>
                <c:pt idx="856">
                  <c:v>42860</c:v>
                </c:pt>
                <c:pt idx="857">
                  <c:v>42863</c:v>
                </c:pt>
                <c:pt idx="858">
                  <c:v>42864</c:v>
                </c:pt>
                <c:pt idx="859">
                  <c:v>42865</c:v>
                </c:pt>
                <c:pt idx="860">
                  <c:v>42866</c:v>
                </c:pt>
                <c:pt idx="861">
                  <c:v>42867</c:v>
                </c:pt>
                <c:pt idx="862">
                  <c:v>42870</c:v>
                </c:pt>
                <c:pt idx="863">
                  <c:v>42871</c:v>
                </c:pt>
                <c:pt idx="864">
                  <c:v>42872</c:v>
                </c:pt>
                <c:pt idx="865">
                  <c:v>42873</c:v>
                </c:pt>
                <c:pt idx="866">
                  <c:v>42874</c:v>
                </c:pt>
                <c:pt idx="867">
                  <c:v>42877</c:v>
                </c:pt>
                <c:pt idx="868">
                  <c:v>42878</c:v>
                </c:pt>
                <c:pt idx="869">
                  <c:v>42879</c:v>
                </c:pt>
                <c:pt idx="870">
                  <c:v>42880</c:v>
                </c:pt>
                <c:pt idx="871">
                  <c:v>42881</c:v>
                </c:pt>
                <c:pt idx="872">
                  <c:v>42884</c:v>
                </c:pt>
                <c:pt idx="873">
                  <c:v>42885</c:v>
                </c:pt>
                <c:pt idx="874">
                  <c:v>42886</c:v>
                </c:pt>
                <c:pt idx="875">
                  <c:v>42887</c:v>
                </c:pt>
                <c:pt idx="876">
                  <c:v>42888</c:v>
                </c:pt>
                <c:pt idx="877">
                  <c:v>42891</c:v>
                </c:pt>
                <c:pt idx="878">
                  <c:v>42892</c:v>
                </c:pt>
                <c:pt idx="879">
                  <c:v>42893</c:v>
                </c:pt>
                <c:pt idx="880">
                  <c:v>42894</c:v>
                </c:pt>
                <c:pt idx="881">
                  <c:v>42895</c:v>
                </c:pt>
                <c:pt idx="882">
                  <c:v>42898</c:v>
                </c:pt>
                <c:pt idx="883">
                  <c:v>42899</c:v>
                </c:pt>
                <c:pt idx="884">
                  <c:v>42900</c:v>
                </c:pt>
                <c:pt idx="885">
                  <c:v>42901</c:v>
                </c:pt>
                <c:pt idx="886">
                  <c:v>42902</c:v>
                </c:pt>
                <c:pt idx="887">
                  <c:v>42905</c:v>
                </c:pt>
                <c:pt idx="888">
                  <c:v>42906</c:v>
                </c:pt>
                <c:pt idx="889">
                  <c:v>42907</c:v>
                </c:pt>
                <c:pt idx="890">
                  <c:v>42908</c:v>
                </c:pt>
                <c:pt idx="891">
                  <c:v>42909</c:v>
                </c:pt>
                <c:pt idx="892">
                  <c:v>42912</c:v>
                </c:pt>
                <c:pt idx="893">
                  <c:v>42913</c:v>
                </c:pt>
                <c:pt idx="894">
                  <c:v>42914</c:v>
                </c:pt>
                <c:pt idx="895">
                  <c:v>42915</c:v>
                </c:pt>
                <c:pt idx="896">
                  <c:v>42916</c:v>
                </c:pt>
                <c:pt idx="897">
                  <c:v>42919</c:v>
                </c:pt>
                <c:pt idx="898">
                  <c:v>42920</c:v>
                </c:pt>
                <c:pt idx="899">
                  <c:v>42921</c:v>
                </c:pt>
                <c:pt idx="900">
                  <c:v>42922</c:v>
                </c:pt>
                <c:pt idx="901">
                  <c:v>42923</c:v>
                </c:pt>
                <c:pt idx="902">
                  <c:v>42926</c:v>
                </c:pt>
                <c:pt idx="903">
                  <c:v>42927</c:v>
                </c:pt>
                <c:pt idx="904">
                  <c:v>42928</c:v>
                </c:pt>
                <c:pt idx="905">
                  <c:v>42929</c:v>
                </c:pt>
                <c:pt idx="906">
                  <c:v>42930</c:v>
                </c:pt>
                <c:pt idx="907">
                  <c:v>42933</c:v>
                </c:pt>
                <c:pt idx="908">
                  <c:v>42934</c:v>
                </c:pt>
                <c:pt idx="909">
                  <c:v>42935</c:v>
                </c:pt>
                <c:pt idx="910">
                  <c:v>42936</c:v>
                </c:pt>
                <c:pt idx="911">
                  <c:v>42937</c:v>
                </c:pt>
                <c:pt idx="912">
                  <c:v>42940</c:v>
                </c:pt>
                <c:pt idx="913">
                  <c:v>42941</c:v>
                </c:pt>
                <c:pt idx="914">
                  <c:v>42942</c:v>
                </c:pt>
                <c:pt idx="915">
                  <c:v>42943</c:v>
                </c:pt>
                <c:pt idx="916">
                  <c:v>42944</c:v>
                </c:pt>
                <c:pt idx="917">
                  <c:v>42947</c:v>
                </c:pt>
                <c:pt idx="918">
                  <c:v>42948</c:v>
                </c:pt>
                <c:pt idx="919">
                  <c:v>42949</c:v>
                </c:pt>
                <c:pt idx="920">
                  <c:v>42950</c:v>
                </c:pt>
                <c:pt idx="921">
                  <c:v>42951</c:v>
                </c:pt>
                <c:pt idx="922">
                  <c:v>42954</c:v>
                </c:pt>
                <c:pt idx="923">
                  <c:v>42955</c:v>
                </c:pt>
                <c:pt idx="924">
                  <c:v>42956</c:v>
                </c:pt>
                <c:pt idx="925">
                  <c:v>42957</c:v>
                </c:pt>
                <c:pt idx="926">
                  <c:v>42958</c:v>
                </c:pt>
                <c:pt idx="927">
                  <c:v>42961</c:v>
                </c:pt>
                <c:pt idx="928">
                  <c:v>42962</c:v>
                </c:pt>
                <c:pt idx="929">
                  <c:v>42963</c:v>
                </c:pt>
                <c:pt idx="930">
                  <c:v>42964</c:v>
                </c:pt>
                <c:pt idx="931">
                  <c:v>42965</c:v>
                </c:pt>
                <c:pt idx="932">
                  <c:v>42968</c:v>
                </c:pt>
                <c:pt idx="933">
                  <c:v>42969</c:v>
                </c:pt>
                <c:pt idx="934">
                  <c:v>42970</c:v>
                </c:pt>
                <c:pt idx="935">
                  <c:v>42971</c:v>
                </c:pt>
                <c:pt idx="936">
                  <c:v>42972</c:v>
                </c:pt>
                <c:pt idx="937">
                  <c:v>42975</c:v>
                </c:pt>
                <c:pt idx="938">
                  <c:v>42976</c:v>
                </c:pt>
                <c:pt idx="939">
                  <c:v>42977</c:v>
                </c:pt>
                <c:pt idx="940">
                  <c:v>42978</c:v>
                </c:pt>
                <c:pt idx="941">
                  <c:v>42979</c:v>
                </c:pt>
                <c:pt idx="942">
                  <c:v>42982</c:v>
                </c:pt>
                <c:pt idx="943">
                  <c:v>42983</c:v>
                </c:pt>
                <c:pt idx="944">
                  <c:v>42984</c:v>
                </c:pt>
                <c:pt idx="945">
                  <c:v>42985</c:v>
                </c:pt>
                <c:pt idx="946">
                  <c:v>42986</c:v>
                </c:pt>
                <c:pt idx="947">
                  <c:v>42989</c:v>
                </c:pt>
                <c:pt idx="948">
                  <c:v>42990</c:v>
                </c:pt>
                <c:pt idx="949">
                  <c:v>42991</c:v>
                </c:pt>
                <c:pt idx="950">
                  <c:v>42992</c:v>
                </c:pt>
                <c:pt idx="951">
                  <c:v>42993</c:v>
                </c:pt>
                <c:pt idx="952">
                  <c:v>42996</c:v>
                </c:pt>
                <c:pt idx="953">
                  <c:v>42997</c:v>
                </c:pt>
                <c:pt idx="954">
                  <c:v>42998</c:v>
                </c:pt>
                <c:pt idx="955">
                  <c:v>42999</c:v>
                </c:pt>
                <c:pt idx="956">
                  <c:v>43000</c:v>
                </c:pt>
                <c:pt idx="957">
                  <c:v>43003</c:v>
                </c:pt>
                <c:pt idx="958">
                  <c:v>43004</c:v>
                </c:pt>
                <c:pt idx="959">
                  <c:v>43005</c:v>
                </c:pt>
                <c:pt idx="960">
                  <c:v>43006</c:v>
                </c:pt>
                <c:pt idx="961">
                  <c:v>43007</c:v>
                </c:pt>
                <c:pt idx="962">
                  <c:v>43010</c:v>
                </c:pt>
                <c:pt idx="963">
                  <c:v>43011</c:v>
                </c:pt>
                <c:pt idx="964">
                  <c:v>43012</c:v>
                </c:pt>
                <c:pt idx="965">
                  <c:v>43013</c:v>
                </c:pt>
                <c:pt idx="966">
                  <c:v>43014</c:v>
                </c:pt>
                <c:pt idx="967">
                  <c:v>43017</c:v>
                </c:pt>
                <c:pt idx="968">
                  <c:v>43018</c:v>
                </c:pt>
                <c:pt idx="969">
                  <c:v>43019</c:v>
                </c:pt>
                <c:pt idx="970">
                  <c:v>43020</c:v>
                </c:pt>
                <c:pt idx="971">
                  <c:v>43021</c:v>
                </c:pt>
                <c:pt idx="972">
                  <c:v>43024</c:v>
                </c:pt>
                <c:pt idx="973">
                  <c:v>43025</c:v>
                </c:pt>
                <c:pt idx="974">
                  <c:v>43026</c:v>
                </c:pt>
                <c:pt idx="975">
                  <c:v>43027</c:v>
                </c:pt>
                <c:pt idx="976">
                  <c:v>43028</c:v>
                </c:pt>
                <c:pt idx="977">
                  <c:v>43031</c:v>
                </c:pt>
                <c:pt idx="978">
                  <c:v>43032</c:v>
                </c:pt>
                <c:pt idx="979">
                  <c:v>43033</c:v>
                </c:pt>
                <c:pt idx="980">
                  <c:v>43034</c:v>
                </c:pt>
                <c:pt idx="981">
                  <c:v>43035</c:v>
                </c:pt>
                <c:pt idx="982">
                  <c:v>43038</c:v>
                </c:pt>
                <c:pt idx="983">
                  <c:v>43039</c:v>
                </c:pt>
                <c:pt idx="984">
                  <c:v>43040</c:v>
                </c:pt>
                <c:pt idx="985">
                  <c:v>43041</c:v>
                </c:pt>
                <c:pt idx="986">
                  <c:v>43042</c:v>
                </c:pt>
                <c:pt idx="987">
                  <c:v>43045</c:v>
                </c:pt>
                <c:pt idx="988">
                  <c:v>43046</c:v>
                </c:pt>
                <c:pt idx="989">
                  <c:v>43047</c:v>
                </c:pt>
                <c:pt idx="990">
                  <c:v>43048</c:v>
                </c:pt>
                <c:pt idx="991">
                  <c:v>43049</c:v>
                </c:pt>
                <c:pt idx="992">
                  <c:v>43052</c:v>
                </c:pt>
                <c:pt idx="993">
                  <c:v>43053</c:v>
                </c:pt>
                <c:pt idx="994">
                  <c:v>43054</c:v>
                </c:pt>
                <c:pt idx="995">
                  <c:v>43055</c:v>
                </c:pt>
                <c:pt idx="996">
                  <c:v>43056</c:v>
                </c:pt>
                <c:pt idx="997">
                  <c:v>43059</c:v>
                </c:pt>
                <c:pt idx="998">
                  <c:v>43060</c:v>
                </c:pt>
                <c:pt idx="999">
                  <c:v>43061</c:v>
                </c:pt>
                <c:pt idx="1000">
                  <c:v>43062</c:v>
                </c:pt>
                <c:pt idx="1001">
                  <c:v>43063</c:v>
                </c:pt>
                <c:pt idx="1002">
                  <c:v>43066</c:v>
                </c:pt>
                <c:pt idx="1003">
                  <c:v>43067</c:v>
                </c:pt>
                <c:pt idx="1004">
                  <c:v>43068</c:v>
                </c:pt>
                <c:pt idx="1005">
                  <c:v>43069</c:v>
                </c:pt>
                <c:pt idx="1006">
                  <c:v>43070</c:v>
                </c:pt>
                <c:pt idx="1007">
                  <c:v>43073</c:v>
                </c:pt>
                <c:pt idx="1008">
                  <c:v>43074</c:v>
                </c:pt>
                <c:pt idx="1009">
                  <c:v>43075</c:v>
                </c:pt>
                <c:pt idx="1010">
                  <c:v>43076</c:v>
                </c:pt>
                <c:pt idx="1011">
                  <c:v>43077</c:v>
                </c:pt>
                <c:pt idx="1012">
                  <c:v>43080</c:v>
                </c:pt>
                <c:pt idx="1013">
                  <c:v>43081</c:v>
                </c:pt>
                <c:pt idx="1014">
                  <c:v>43082</c:v>
                </c:pt>
                <c:pt idx="1015">
                  <c:v>43083</c:v>
                </c:pt>
                <c:pt idx="1016">
                  <c:v>43084</c:v>
                </c:pt>
                <c:pt idx="1017">
                  <c:v>43087</c:v>
                </c:pt>
                <c:pt idx="1018">
                  <c:v>43088</c:v>
                </c:pt>
                <c:pt idx="1019">
                  <c:v>43089</c:v>
                </c:pt>
                <c:pt idx="1020">
                  <c:v>43090</c:v>
                </c:pt>
                <c:pt idx="1021">
                  <c:v>43091</c:v>
                </c:pt>
                <c:pt idx="1022">
                  <c:v>43096</c:v>
                </c:pt>
                <c:pt idx="1023">
                  <c:v>43097</c:v>
                </c:pt>
                <c:pt idx="1024">
                  <c:v>43098</c:v>
                </c:pt>
                <c:pt idx="1025">
                  <c:v>43102</c:v>
                </c:pt>
                <c:pt idx="1026">
                  <c:v>43103</c:v>
                </c:pt>
                <c:pt idx="1027">
                  <c:v>43104</c:v>
                </c:pt>
                <c:pt idx="1028">
                  <c:v>43105</c:v>
                </c:pt>
                <c:pt idx="1029">
                  <c:v>43108</c:v>
                </c:pt>
                <c:pt idx="1030">
                  <c:v>43109</c:v>
                </c:pt>
                <c:pt idx="1031">
                  <c:v>43110</c:v>
                </c:pt>
                <c:pt idx="1032">
                  <c:v>43111</c:v>
                </c:pt>
                <c:pt idx="1033">
                  <c:v>43112</c:v>
                </c:pt>
                <c:pt idx="1034">
                  <c:v>43115</c:v>
                </c:pt>
                <c:pt idx="1035">
                  <c:v>43116</c:v>
                </c:pt>
                <c:pt idx="1036">
                  <c:v>43117</c:v>
                </c:pt>
                <c:pt idx="1037">
                  <c:v>43118</c:v>
                </c:pt>
                <c:pt idx="1038">
                  <c:v>43119</c:v>
                </c:pt>
                <c:pt idx="1039">
                  <c:v>43122</c:v>
                </c:pt>
                <c:pt idx="1040">
                  <c:v>43123</c:v>
                </c:pt>
                <c:pt idx="1041">
                  <c:v>43124</c:v>
                </c:pt>
                <c:pt idx="1042">
                  <c:v>43125</c:v>
                </c:pt>
                <c:pt idx="1043">
                  <c:v>43126</c:v>
                </c:pt>
                <c:pt idx="1044">
                  <c:v>43129</c:v>
                </c:pt>
                <c:pt idx="1045">
                  <c:v>43130</c:v>
                </c:pt>
                <c:pt idx="1046">
                  <c:v>43131</c:v>
                </c:pt>
                <c:pt idx="1047">
                  <c:v>43132</c:v>
                </c:pt>
                <c:pt idx="1048">
                  <c:v>43133</c:v>
                </c:pt>
                <c:pt idx="1049">
                  <c:v>43136</c:v>
                </c:pt>
                <c:pt idx="1050">
                  <c:v>43137</c:v>
                </c:pt>
                <c:pt idx="1051">
                  <c:v>43138</c:v>
                </c:pt>
                <c:pt idx="1052">
                  <c:v>43139</c:v>
                </c:pt>
                <c:pt idx="1053">
                  <c:v>43140</c:v>
                </c:pt>
                <c:pt idx="1054">
                  <c:v>43143</c:v>
                </c:pt>
                <c:pt idx="1055">
                  <c:v>43144</c:v>
                </c:pt>
                <c:pt idx="1056">
                  <c:v>43145</c:v>
                </c:pt>
                <c:pt idx="1057">
                  <c:v>43146</c:v>
                </c:pt>
                <c:pt idx="1058">
                  <c:v>43147</c:v>
                </c:pt>
                <c:pt idx="1059">
                  <c:v>43150</c:v>
                </c:pt>
                <c:pt idx="1060">
                  <c:v>43151</c:v>
                </c:pt>
                <c:pt idx="1061">
                  <c:v>43152</c:v>
                </c:pt>
                <c:pt idx="1062">
                  <c:v>43153</c:v>
                </c:pt>
                <c:pt idx="1063">
                  <c:v>43154</c:v>
                </c:pt>
                <c:pt idx="1064">
                  <c:v>43157</c:v>
                </c:pt>
                <c:pt idx="1065">
                  <c:v>43158</c:v>
                </c:pt>
                <c:pt idx="1066">
                  <c:v>43159</c:v>
                </c:pt>
                <c:pt idx="1067">
                  <c:v>43160</c:v>
                </c:pt>
                <c:pt idx="1068">
                  <c:v>43161</c:v>
                </c:pt>
                <c:pt idx="1069">
                  <c:v>43164</c:v>
                </c:pt>
                <c:pt idx="1070">
                  <c:v>43165</c:v>
                </c:pt>
                <c:pt idx="1071">
                  <c:v>43166</c:v>
                </c:pt>
                <c:pt idx="1072">
                  <c:v>43167</c:v>
                </c:pt>
                <c:pt idx="1073">
                  <c:v>43168</c:v>
                </c:pt>
                <c:pt idx="1074">
                  <c:v>43171</c:v>
                </c:pt>
                <c:pt idx="1075">
                  <c:v>43172</c:v>
                </c:pt>
                <c:pt idx="1076">
                  <c:v>43173</c:v>
                </c:pt>
                <c:pt idx="1077">
                  <c:v>43174</c:v>
                </c:pt>
                <c:pt idx="1078">
                  <c:v>43175</c:v>
                </c:pt>
                <c:pt idx="1079">
                  <c:v>43178</c:v>
                </c:pt>
                <c:pt idx="1080">
                  <c:v>43179</c:v>
                </c:pt>
                <c:pt idx="1081">
                  <c:v>43180</c:v>
                </c:pt>
                <c:pt idx="1082">
                  <c:v>43181</c:v>
                </c:pt>
                <c:pt idx="1083">
                  <c:v>43182</c:v>
                </c:pt>
                <c:pt idx="1084">
                  <c:v>43185</c:v>
                </c:pt>
                <c:pt idx="1085">
                  <c:v>43186</c:v>
                </c:pt>
                <c:pt idx="1086">
                  <c:v>43187</c:v>
                </c:pt>
                <c:pt idx="1087">
                  <c:v>43188</c:v>
                </c:pt>
                <c:pt idx="1088">
                  <c:v>43193</c:v>
                </c:pt>
                <c:pt idx="1089">
                  <c:v>43194</c:v>
                </c:pt>
                <c:pt idx="1090">
                  <c:v>43195</c:v>
                </c:pt>
                <c:pt idx="1091">
                  <c:v>43196</c:v>
                </c:pt>
                <c:pt idx="1092">
                  <c:v>43199</c:v>
                </c:pt>
                <c:pt idx="1093">
                  <c:v>43200</c:v>
                </c:pt>
                <c:pt idx="1094">
                  <c:v>43201</c:v>
                </c:pt>
                <c:pt idx="1095">
                  <c:v>43202</c:v>
                </c:pt>
                <c:pt idx="1096">
                  <c:v>43203</c:v>
                </c:pt>
                <c:pt idx="1097">
                  <c:v>43206</c:v>
                </c:pt>
                <c:pt idx="1098">
                  <c:v>43207</c:v>
                </c:pt>
                <c:pt idx="1099">
                  <c:v>43208</c:v>
                </c:pt>
                <c:pt idx="1100">
                  <c:v>43209</c:v>
                </c:pt>
                <c:pt idx="1101">
                  <c:v>43210</c:v>
                </c:pt>
                <c:pt idx="1102">
                  <c:v>43213</c:v>
                </c:pt>
                <c:pt idx="1103">
                  <c:v>43214</c:v>
                </c:pt>
                <c:pt idx="1104">
                  <c:v>43215</c:v>
                </c:pt>
                <c:pt idx="1105">
                  <c:v>43216</c:v>
                </c:pt>
                <c:pt idx="1106">
                  <c:v>43217</c:v>
                </c:pt>
                <c:pt idx="1107">
                  <c:v>43220</c:v>
                </c:pt>
                <c:pt idx="1108">
                  <c:v>43221</c:v>
                </c:pt>
                <c:pt idx="1109">
                  <c:v>43222</c:v>
                </c:pt>
                <c:pt idx="1110">
                  <c:v>43223</c:v>
                </c:pt>
                <c:pt idx="1111">
                  <c:v>43224</c:v>
                </c:pt>
                <c:pt idx="1112">
                  <c:v>43228</c:v>
                </c:pt>
                <c:pt idx="1113">
                  <c:v>43229</c:v>
                </c:pt>
                <c:pt idx="1114">
                  <c:v>43230</c:v>
                </c:pt>
                <c:pt idx="1115">
                  <c:v>43231</c:v>
                </c:pt>
                <c:pt idx="1116">
                  <c:v>43234</c:v>
                </c:pt>
                <c:pt idx="1117">
                  <c:v>43235</c:v>
                </c:pt>
                <c:pt idx="1118">
                  <c:v>43236</c:v>
                </c:pt>
                <c:pt idx="1119">
                  <c:v>43237</c:v>
                </c:pt>
                <c:pt idx="1120">
                  <c:v>43238</c:v>
                </c:pt>
                <c:pt idx="1121">
                  <c:v>43241</c:v>
                </c:pt>
                <c:pt idx="1122">
                  <c:v>43242</c:v>
                </c:pt>
                <c:pt idx="1123">
                  <c:v>43243</c:v>
                </c:pt>
                <c:pt idx="1124">
                  <c:v>43244</c:v>
                </c:pt>
                <c:pt idx="1125">
                  <c:v>43245</c:v>
                </c:pt>
                <c:pt idx="1126">
                  <c:v>43249</c:v>
                </c:pt>
                <c:pt idx="1127">
                  <c:v>43250</c:v>
                </c:pt>
                <c:pt idx="1128">
                  <c:v>43251</c:v>
                </c:pt>
                <c:pt idx="1129">
                  <c:v>43252</c:v>
                </c:pt>
                <c:pt idx="1130">
                  <c:v>43255</c:v>
                </c:pt>
                <c:pt idx="1131">
                  <c:v>43256</c:v>
                </c:pt>
                <c:pt idx="1132">
                  <c:v>43257</c:v>
                </c:pt>
                <c:pt idx="1133">
                  <c:v>43258</c:v>
                </c:pt>
                <c:pt idx="1134">
                  <c:v>43259</c:v>
                </c:pt>
                <c:pt idx="1135">
                  <c:v>43262</c:v>
                </c:pt>
                <c:pt idx="1136">
                  <c:v>43263</c:v>
                </c:pt>
                <c:pt idx="1137">
                  <c:v>43264</c:v>
                </c:pt>
                <c:pt idx="1138">
                  <c:v>43265</c:v>
                </c:pt>
                <c:pt idx="1139">
                  <c:v>43266</c:v>
                </c:pt>
                <c:pt idx="1140">
                  <c:v>43269</c:v>
                </c:pt>
                <c:pt idx="1141">
                  <c:v>43270</c:v>
                </c:pt>
                <c:pt idx="1142">
                  <c:v>43271</c:v>
                </c:pt>
                <c:pt idx="1143">
                  <c:v>43272</c:v>
                </c:pt>
                <c:pt idx="1144">
                  <c:v>43273</c:v>
                </c:pt>
                <c:pt idx="1145">
                  <c:v>43276</c:v>
                </c:pt>
                <c:pt idx="1146">
                  <c:v>43277</c:v>
                </c:pt>
                <c:pt idx="1147">
                  <c:v>43278</c:v>
                </c:pt>
                <c:pt idx="1148">
                  <c:v>43279</c:v>
                </c:pt>
                <c:pt idx="1149">
                  <c:v>43280</c:v>
                </c:pt>
                <c:pt idx="1150">
                  <c:v>43283</c:v>
                </c:pt>
                <c:pt idx="1151">
                  <c:v>43284</c:v>
                </c:pt>
                <c:pt idx="1152">
                  <c:v>43285</c:v>
                </c:pt>
                <c:pt idx="1153">
                  <c:v>43286</c:v>
                </c:pt>
                <c:pt idx="1154">
                  <c:v>43287</c:v>
                </c:pt>
                <c:pt idx="1155">
                  <c:v>43290</c:v>
                </c:pt>
                <c:pt idx="1156">
                  <c:v>43291</c:v>
                </c:pt>
                <c:pt idx="1157">
                  <c:v>43292</c:v>
                </c:pt>
                <c:pt idx="1158">
                  <c:v>43293</c:v>
                </c:pt>
                <c:pt idx="1159">
                  <c:v>43294</c:v>
                </c:pt>
                <c:pt idx="1160">
                  <c:v>43297</c:v>
                </c:pt>
                <c:pt idx="1161">
                  <c:v>43298</c:v>
                </c:pt>
                <c:pt idx="1162">
                  <c:v>43299</c:v>
                </c:pt>
                <c:pt idx="1163">
                  <c:v>43300</c:v>
                </c:pt>
                <c:pt idx="1164">
                  <c:v>43301</c:v>
                </c:pt>
                <c:pt idx="1165">
                  <c:v>43304</c:v>
                </c:pt>
                <c:pt idx="1166">
                  <c:v>43305</c:v>
                </c:pt>
                <c:pt idx="1167">
                  <c:v>43306</c:v>
                </c:pt>
                <c:pt idx="1168">
                  <c:v>43307</c:v>
                </c:pt>
                <c:pt idx="1169">
                  <c:v>43308</c:v>
                </c:pt>
                <c:pt idx="1170">
                  <c:v>43311</c:v>
                </c:pt>
                <c:pt idx="1171">
                  <c:v>43312</c:v>
                </c:pt>
                <c:pt idx="1172">
                  <c:v>43313</c:v>
                </c:pt>
                <c:pt idx="1173">
                  <c:v>43314</c:v>
                </c:pt>
                <c:pt idx="1174">
                  <c:v>43315</c:v>
                </c:pt>
                <c:pt idx="1175">
                  <c:v>43318</c:v>
                </c:pt>
                <c:pt idx="1176">
                  <c:v>43319</c:v>
                </c:pt>
                <c:pt idx="1177">
                  <c:v>43320</c:v>
                </c:pt>
                <c:pt idx="1178">
                  <c:v>43321</c:v>
                </c:pt>
                <c:pt idx="1179">
                  <c:v>43322</c:v>
                </c:pt>
                <c:pt idx="1180">
                  <c:v>43325</c:v>
                </c:pt>
                <c:pt idx="1181">
                  <c:v>43326</c:v>
                </c:pt>
                <c:pt idx="1182">
                  <c:v>43327</c:v>
                </c:pt>
                <c:pt idx="1183">
                  <c:v>43328</c:v>
                </c:pt>
                <c:pt idx="1184">
                  <c:v>43329</c:v>
                </c:pt>
                <c:pt idx="1185">
                  <c:v>43332</c:v>
                </c:pt>
                <c:pt idx="1186">
                  <c:v>43333</c:v>
                </c:pt>
                <c:pt idx="1187">
                  <c:v>43334</c:v>
                </c:pt>
                <c:pt idx="1188">
                  <c:v>43335</c:v>
                </c:pt>
                <c:pt idx="1189">
                  <c:v>43336</c:v>
                </c:pt>
                <c:pt idx="1190">
                  <c:v>43339</c:v>
                </c:pt>
                <c:pt idx="1191">
                  <c:v>43340</c:v>
                </c:pt>
                <c:pt idx="1192">
                  <c:v>43341</c:v>
                </c:pt>
                <c:pt idx="1193">
                  <c:v>43342</c:v>
                </c:pt>
                <c:pt idx="1194">
                  <c:v>43343</c:v>
                </c:pt>
                <c:pt idx="1195">
                  <c:v>43346</c:v>
                </c:pt>
                <c:pt idx="1196">
                  <c:v>43347</c:v>
                </c:pt>
                <c:pt idx="1197">
                  <c:v>43348</c:v>
                </c:pt>
                <c:pt idx="1198">
                  <c:v>43349</c:v>
                </c:pt>
                <c:pt idx="1199">
                  <c:v>43350</c:v>
                </c:pt>
                <c:pt idx="1200">
                  <c:v>43353</c:v>
                </c:pt>
                <c:pt idx="1201">
                  <c:v>43354</c:v>
                </c:pt>
                <c:pt idx="1202">
                  <c:v>43355</c:v>
                </c:pt>
                <c:pt idx="1203">
                  <c:v>43356</c:v>
                </c:pt>
                <c:pt idx="1204">
                  <c:v>43357</c:v>
                </c:pt>
                <c:pt idx="1205">
                  <c:v>43360</c:v>
                </c:pt>
                <c:pt idx="1206">
                  <c:v>43361</c:v>
                </c:pt>
                <c:pt idx="1207">
                  <c:v>43362</c:v>
                </c:pt>
                <c:pt idx="1208">
                  <c:v>43363</c:v>
                </c:pt>
                <c:pt idx="1209">
                  <c:v>43364</c:v>
                </c:pt>
                <c:pt idx="1210">
                  <c:v>43367</c:v>
                </c:pt>
                <c:pt idx="1211">
                  <c:v>43368</c:v>
                </c:pt>
                <c:pt idx="1212">
                  <c:v>43369</c:v>
                </c:pt>
                <c:pt idx="1213">
                  <c:v>43370</c:v>
                </c:pt>
                <c:pt idx="1214">
                  <c:v>43371</c:v>
                </c:pt>
                <c:pt idx="1215">
                  <c:v>43374</c:v>
                </c:pt>
                <c:pt idx="1216">
                  <c:v>43375</c:v>
                </c:pt>
                <c:pt idx="1217">
                  <c:v>43376</c:v>
                </c:pt>
                <c:pt idx="1218">
                  <c:v>43377</c:v>
                </c:pt>
                <c:pt idx="1219">
                  <c:v>43378</c:v>
                </c:pt>
                <c:pt idx="1220">
                  <c:v>43381</c:v>
                </c:pt>
                <c:pt idx="1221">
                  <c:v>43382</c:v>
                </c:pt>
                <c:pt idx="1222">
                  <c:v>43383</c:v>
                </c:pt>
                <c:pt idx="1223">
                  <c:v>43384</c:v>
                </c:pt>
                <c:pt idx="1224">
                  <c:v>43385</c:v>
                </c:pt>
                <c:pt idx="1225">
                  <c:v>43388</c:v>
                </c:pt>
                <c:pt idx="1226">
                  <c:v>43389</c:v>
                </c:pt>
                <c:pt idx="1227">
                  <c:v>43390</c:v>
                </c:pt>
                <c:pt idx="1228">
                  <c:v>43391</c:v>
                </c:pt>
                <c:pt idx="1229">
                  <c:v>43392</c:v>
                </c:pt>
                <c:pt idx="1230">
                  <c:v>43395</c:v>
                </c:pt>
                <c:pt idx="1231">
                  <c:v>43396</c:v>
                </c:pt>
                <c:pt idx="1232">
                  <c:v>43397</c:v>
                </c:pt>
                <c:pt idx="1233">
                  <c:v>43398</c:v>
                </c:pt>
                <c:pt idx="1234">
                  <c:v>43399</c:v>
                </c:pt>
                <c:pt idx="1235">
                  <c:v>43402</c:v>
                </c:pt>
                <c:pt idx="1236">
                  <c:v>43403</c:v>
                </c:pt>
                <c:pt idx="1237">
                  <c:v>43404</c:v>
                </c:pt>
                <c:pt idx="1238">
                  <c:v>43405</c:v>
                </c:pt>
                <c:pt idx="1239">
                  <c:v>43406</c:v>
                </c:pt>
                <c:pt idx="1240">
                  <c:v>43409</c:v>
                </c:pt>
                <c:pt idx="1241">
                  <c:v>43410</c:v>
                </c:pt>
                <c:pt idx="1242">
                  <c:v>43411</c:v>
                </c:pt>
                <c:pt idx="1243">
                  <c:v>43412</c:v>
                </c:pt>
                <c:pt idx="1244">
                  <c:v>43413</c:v>
                </c:pt>
                <c:pt idx="1245">
                  <c:v>43416</c:v>
                </c:pt>
                <c:pt idx="1246">
                  <c:v>43417</c:v>
                </c:pt>
                <c:pt idx="1247">
                  <c:v>43418</c:v>
                </c:pt>
                <c:pt idx="1248">
                  <c:v>43419</c:v>
                </c:pt>
                <c:pt idx="1249">
                  <c:v>43420</c:v>
                </c:pt>
                <c:pt idx="1250">
                  <c:v>43423</c:v>
                </c:pt>
                <c:pt idx="1251">
                  <c:v>43424</c:v>
                </c:pt>
                <c:pt idx="1252">
                  <c:v>43425</c:v>
                </c:pt>
                <c:pt idx="1253">
                  <c:v>43426</c:v>
                </c:pt>
                <c:pt idx="1254">
                  <c:v>43427</c:v>
                </c:pt>
                <c:pt idx="1255">
                  <c:v>43430</c:v>
                </c:pt>
                <c:pt idx="1256">
                  <c:v>43431</c:v>
                </c:pt>
                <c:pt idx="1257">
                  <c:v>43432</c:v>
                </c:pt>
                <c:pt idx="1258">
                  <c:v>43433</c:v>
                </c:pt>
                <c:pt idx="1259">
                  <c:v>43434</c:v>
                </c:pt>
                <c:pt idx="1260">
                  <c:v>43437</c:v>
                </c:pt>
                <c:pt idx="1261">
                  <c:v>43438</c:v>
                </c:pt>
                <c:pt idx="1262">
                  <c:v>43439</c:v>
                </c:pt>
                <c:pt idx="1263">
                  <c:v>43440</c:v>
                </c:pt>
                <c:pt idx="1264">
                  <c:v>43441</c:v>
                </c:pt>
                <c:pt idx="1265">
                  <c:v>43444</c:v>
                </c:pt>
                <c:pt idx="1266">
                  <c:v>43445</c:v>
                </c:pt>
                <c:pt idx="1267">
                  <c:v>43446</c:v>
                </c:pt>
                <c:pt idx="1268">
                  <c:v>43447</c:v>
                </c:pt>
                <c:pt idx="1269">
                  <c:v>43448</c:v>
                </c:pt>
                <c:pt idx="1270">
                  <c:v>43451</c:v>
                </c:pt>
                <c:pt idx="1271">
                  <c:v>43452</c:v>
                </c:pt>
                <c:pt idx="1272">
                  <c:v>43453</c:v>
                </c:pt>
                <c:pt idx="1273">
                  <c:v>43454</c:v>
                </c:pt>
                <c:pt idx="1274">
                  <c:v>43455</c:v>
                </c:pt>
                <c:pt idx="1275">
                  <c:v>43461</c:v>
                </c:pt>
                <c:pt idx="1276">
                  <c:v>43462</c:v>
                </c:pt>
              </c:numCache>
            </c:numRef>
          </c:cat>
          <c:val>
            <c:numRef>
              <c:f>Sheet1!$B$1:$B$1277</c:f>
              <c:numCache>
                <c:formatCode>General</c:formatCode>
                <c:ptCount val="1277"/>
                <c:pt idx="0">
                  <c:v>107.94</c:v>
                </c:pt>
                <c:pt idx="1">
                  <c:v>106.57</c:v>
                </c:pt>
                <c:pt idx="2">
                  <c:v>106.71</c:v>
                </c:pt>
                <c:pt idx="3">
                  <c:v>107.01</c:v>
                </c:pt>
                <c:pt idx="4">
                  <c:v>107.42</c:v>
                </c:pt>
                <c:pt idx="5">
                  <c:v>107.49</c:v>
                </c:pt>
                <c:pt idx="6">
                  <c:v>106.44</c:v>
                </c:pt>
                <c:pt idx="7">
                  <c:v>108.02</c:v>
                </c:pt>
                <c:pt idx="8">
                  <c:v>107.12</c:v>
                </c:pt>
                <c:pt idx="9">
                  <c:v>108.09</c:v>
                </c:pt>
                <c:pt idx="10">
                  <c:v>107.46</c:v>
                </c:pt>
                <c:pt idx="11">
                  <c:v>108.45</c:v>
                </c:pt>
                <c:pt idx="12">
                  <c:v>108.01</c:v>
                </c:pt>
                <c:pt idx="13">
                  <c:v>109.17</c:v>
                </c:pt>
                <c:pt idx="14">
                  <c:v>109.69</c:v>
                </c:pt>
                <c:pt idx="15">
                  <c:v>109.69</c:v>
                </c:pt>
                <c:pt idx="16">
                  <c:v>109.14</c:v>
                </c:pt>
                <c:pt idx="17">
                  <c:v>108.72</c:v>
                </c:pt>
                <c:pt idx="18">
                  <c:v>109.1</c:v>
                </c:pt>
                <c:pt idx="19">
                  <c:v>108.83</c:v>
                </c:pt>
                <c:pt idx="20">
                  <c:v>109.36</c:v>
                </c:pt>
                <c:pt idx="21">
                  <c:v>108.16</c:v>
                </c:pt>
                <c:pt idx="22">
                  <c:v>106.55</c:v>
                </c:pt>
                <c:pt idx="23">
                  <c:v>107.04</c:v>
                </c:pt>
                <c:pt idx="24">
                  <c:v>106.81</c:v>
                </c:pt>
                <c:pt idx="25">
                  <c:v>108.15</c:v>
                </c:pt>
                <c:pt idx="26">
                  <c:v>110.12</c:v>
                </c:pt>
                <c:pt idx="27">
                  <c:v>110.18</c:v>
                </c:pt>
                <c:pt idx="28">
                  <c:v>109.21</c:v>
                </c:pt>
                <c:pt idx="29">
                  <c:v>108.62</c:v>
                </c:pt>
                <c:pt idx="30">
                  <c:v>108.98</c:v>
                </c:pt>
                <c:pt idx="31">
                  <c:v>108.63</c:v>
                </c:pt>
                <c:pt idx="32">
                  <c:v>110.14</c:v>
                </c:pt>
                <c:pt idx="33">
                  <c:v>110.37</c:v>
                </c:pt>
                <c:pt idx="34">
                  <c:v>109.42</c:v>
                </c:pt>
                <c:pt idx="35">
                  <c:v>109.03</c:v>
                </c:pt>
                <c:pt idx="36">
                  <c:v>109.76</c:v>
                </c:pt>
                <c:pt idx="37">
                  <c:v>109.19</c:v>
                </c:pt>
                <c:pt idx="38">
                  <c:v>109.39</c:v>
                </c:pt>
                <c:pt idx="39">
                  <c:v>108.54</c:v>
                </c:pt>
                <c:pt idx="40">
                  <c:v>108.98</c:v>
                </c:pt>
                <c:pt idx="41">
                  <c:v>111.26</c:v>
                </c:pt>
                <c:pt idx="42">
                  <c:v>109.17</c:v>
                </c:pt>
                <c:pt idx="43">
                  <c:v>108.15</c:v>
                </c:pt>
                <c:pt idx="44">
                  <c:v>107.99</c:v>
                </c:pt>
                <c:pt idx="45">
                  <c:v>109.14</c:v>
                </c:pt>
                <c:pt idx="46">
                  <c:v>108.27</c:v>
                </c:pt>
                <c:pt idx="47">
                  <c:v>108.35</c:v>
                </c:pt>
                <c:pt idx="48">
                  <c:v>107.88</c:v>
                </c:pt>
                <c:pt idx="49">
                  <c:v>107.48</c:v>
                </c:pt>
                <c:pt idx="50">
                  <c:v>108.08</c:v>
                </c:pt>
                <c:pt idx="51">
                  <c:v>106.99</c:v>
                </c:pt>
                <c:pt idx="52">
                  <c:v>106.79</c:v>
                </c:pt>
                <c:pt idx="53">
                  <c:v>105.95</c:v>
                </c:pt>
                <c:pt idx="54">
                  <c:v>105.73</c:v>
                </c:pt>
                <c:pt idx="55">
                  <c:v>107.2</c:v>
                </c:pt>
                <c:pt idx="56">
                  <c:v>106.59</c:v>
                </c:pt>
                <c:pt idx="57">
                  <c:v>107.01</c:v>
                </c:pt>
                <c:pt idx="58">
                  <c:v>105.9</c:v>
                </c:pt>
                <c:pt idx="59">
                  <c:v>106.58</c:v>
                </c:pt>
                <c:pt idx="60">
                  <c:v>106.64</c:v>
                </c:pt>
                <c:pt idx="61">
                  <c:v>105.95</c:v>
                </c:pt>
                <c:pt idx="62">
                  <c:v>105.7</c:v>
                </c:pt>
                <c:pt idx="63">
                  <c:v>103.37</c:v>
                </c:pt>
                <c:pt idx="64">
                  <c:v>104.88</c:v>
                </c:pt>
                <c:pt idx="65">
                  <c:v>106.41</c:v>
                </c:pt>
                <c:pt idx="66">
                  <c:v>104.89</c:v>
                </c:pt>
                <c:pt idx="67">
                  <c:v>105.83</c:v>
                </c:pt>
                <c:pt idx="68">
                  <c:v>107.39</c:v>
                </c:pt>
                <c:pt idx="69">
                  <c:v>107.1</c:v>
                </c:pt>
                <c:pt idx="70">
                  <c:v>107.34</c:v>
                </c:pt>
                <c:pt idx="71">
                  <c:v>107.68</c:v>
                </c:pt>
                <c:pt idx="72">
                  <c:v>109.1</c:v>
                </c:pt>
                <c:pt idx="73">
                  <c:v>109.71</c:v>
                </c:pt>
                <c:pt idx="74">
                  <c:v>109.79</c:v>
                </c:pt>
                <c:pt idx="75">
                  <c:v>109.69</c:v>
                </c:pt>
                <c:pt idx="76">
                  <c:v>108.54</c:v>
                </c:pt>
                <c:pt idx="77">
                  <c:v>108.48</c:v>
                </c:pt>
                <c:pt idx="78">
                  <c:v>109.79</c:v>
                </c:pt>
                <c:pt idx="79">
                  <c:v>109.53</c:v>
                </c:pt>
                <c:pt idx="80">
                  <c:v>109.12</c:v>
                </c:pt>
                <c:pt idx="81">
                  <c:v>109.89</c:v>
                </c:pt>
                <c:pt idx="82">
                  <c:v>108.63</c:v>
                </c:pt>
                <c:pt idx="83">
                  <c:v>108.63</c:v>
                </c:pt>
                <c:pt idx="84">
                  <c:v>109.48</c:v>
                </c:pt>
                <c:pt idx="85">
                  <c:v>109.48</c:v>
                </c:pt>
                <c:pt idx="86">
                  <c:v>108.3</c:v>
                </c:pt>
                <c:pt idx="87">
                  <c:v>108.17</c:v>
                </c:pt>
                <c:pt idx="88">
                  <c:v>108.19</c:v>
                </c:pt>
                <c:pt idx="89">
                  <c:v>108.26</c:v>
                </c:pt>
                <c:pt idx="90">
                  <c:v>108.37</c:v>
                </c:pt>
                <c:pt idx="91">
                  <c:v>108.78</c:v>
                </c:pt>
                <c:pt idx="92">
                  <c:v>109.87</c:v>
                </c:pt>
                <c:pt idx="93">
                  <c:v>109.74</c:v>
                </c:pt>
                <c:pt idx="94">
                  <c:v>110.9</c:v>
                </c:pt>
                <c:pt idx="95">
                  <c:v>110.84</c:v>
                </c:pt>
                <c:pt idx="96">
                  <c:v>110.35</c:v>
                </c:pt>
                <c:pt idx="97">
                  <c:v>111.32</c:v>
                </c:pt>
                <c:pt idx="98">
                  <c:v>110.89</c:v>
                </c:pt>
                <c:pt idx="99">
                  <c:v>110.19</c:v>
                </c:pt>
                <c:pt idx="100">
                  <c:v>110.01</c:v>
                </c:pt>
                <c:pt idx="101">
                  <c:v>109.81</c:v>
                </c:pt>
                <c:pt idx="102">
                  <c:v>109.09</c:v>
                </c:pt>
                <c:pt idx="103">
                  <c:v>109.98</c:v>
                </c:pt>
                <c:pt idx="104">
                  <c:v>109.21</c:v>
                </c:pt>
                <c:pt idx="105">
                  <c:v>109.34</c:v>
                </c:pt>
                <c:pt idx="106">
                  <c:v>108.87</c:v>
                </c:pt>
                <c:pt idx="107">
                  <c:v>109.07</c:v>
                </c:pt>
                <c:pt idx="108">
                  <c:v>108.43</c:v>
                </c:pt>
                <c:pt idx="109">
                  <c:v>109.21</c:v>
                </c:pt>
                <c:pt idx="110">
                  <c:v>110.55</c:v>
                </c:pt>
                <c:pt idx="111">
                  <c:v>109.18</c:v>
                </c:pt>
                <c:pt idx="112">
                  <c:v>109.83</c:v>
                </c:pt>
                <c:pt idx="113">
                  <c:v>112.18</c:v>
                </c:pt>
                <c:pt idx="114">
                  <c:v>113.15</c:v>
                </c:pt>
                <c:pt idx="115">
                  <c:v>113.42</c:v>
                </c:pt>
                <c:pt idx="116">
                  <c:v>114.02</c:v>
                </c:pt>
                <c:pt idx="117">
                  <c:v>114.25</c:v>
                </c:pt>
                <c:pt idx="118">
                  <c:v>115.19</c:v>
                </c:pt>
                <c:pt idx="119">
                  <c:v>114.55</c:v>
                </c:pt>
                <c:pt idx="120">
                  <c:v>113.62</c:v>
                </c:pt>
                <c:pt idx="121">
                  <c:v>113.74</c:v>
                </c:pt>
                <c:pt idx="122">
                  <c:v>112.84</c:v>
                </c:pt>
                <c:pt idx="123">
                  <c:v>112.61</c:v>
                </c:pt>
                <c:pt idx="124">
                  <c:v>112.62</c:v>
                </c:pt>
                <c:pt idx="125">
                  <c:v>111.03</c:v>
                </c:pt>
                <c:pt idx="126">
                  <c:v>110.84</c:v>
                </c:pt>
                <c:pt idx="127">
                  <c:v>110.18</c:v>
                </c:pt>
                <c:pt idx="128">
                  <c:v>108.98</c:v>
                </c:pt>
                <c:pt idx="129">
                  <c:v>108.7</c:v>
                </c:pt>
                <c:pt idx="130">
                  <c:v>107.65</c:v>
                </c:pt>
                <c:pt idx="131">
                  <c:v>106.84</c:v>
                </c:pt>
                <c:pt idx="132">
                  <c:v>106.2</c:v>
                </c:pt>
                <c:pt idx="133">
                  <c:v>105.77</c:v>
                </c:pt>
                <c:pt idx="134">
                  <c:v>104.73</c:v>
                </c:pt>
                <c:pt idx="135">
                  <c:v>104.73</c:v>
                </c:pt>
                <c:pt idx="136">
                  <c:v>105.41</c:v>
                </c:pt>
                <c:pt idx="137">
                  <c:v>106.04</c:v>
                </c:pt>
                <c:pt idx="138">
                  <c:v>106.03</c:v>
                </c:pt>
                <c:pt idx="139">
                  <c:v>105.71</c:v>
                </c:pt>
                <c:pt idx="140">
                  <c:v>106.48</c:v>
                </c:pt>
                <c:pt idx="141">
                  <c:v>106.85</c:v>
                </c:pt>
                <c:pt idx="142">
                  <c:v>105.78</c:v>
                </c:pt>
                <c:pt idx="143">
                  <c:v>106.89</c:v>
                </c:pt>
                <c:pt idx="144">
                  <c:v>106.7</c:v>
                </c:pt>
                <c:pt idx="145">
                  <c:v>106.98</c:v>
                </c:pt>
                <c:pt idx="146">
                  <c:v>106.47</c:v>
                </c:pt>
                <c:pt idx="147">
                  <c:v>104.94</c:v>
                </c:pt>
                <c:pt idx="148">
                  <c:v>103.45</c:v>
                </c:pt>
                <c:pt idx="149">
                  <c:v>103.63</c:v>
                </c:pt>
                <c:pt idx="150">
                  <c:v>102.82</c:v>
                </c:pt>
                <c:pt idx="151">
                  <c:v>104.17</c:v>
                </c:pt>
                <c:pt idx="152">
                  <c:v>104.02</c:v>
                </c:pt>
                <c:pt idx="153">
                  <c:v>103.36</c:v>
                </c:pt>
                <c:pt idx="154">
                  <c:v>103.47</c:v>
                </c:pt>
                <c:pt idx="155">
                  <c:v>101.68</c:v>
                </c:pt>
                <c:pt idx="156">
                  <c:v>102.27</c:v>
                </c:pt>
                <c:pt idx="157">
                  <c:v>101.15</c:v>
                </c:pt>
                <c:pt idx="158">
                  <c:v>101.13</c:v>
                </c:pt>
                <c:pt idx="159">
                  <c:v>99.37</c:v>
                </c:pt>
                <c:pt idx="160">
                  <c:v>99.74</c:v>
                </c:pt>
                <c:pt idx="161">
                  <c:v>99.92</c:v>
                </c:pt>
                <c:pt idx="162">
                  <c:v>100.28</c:v>
                </c:pt>
                <c:pt idx="163">
                  <c:v>100.09</c:v>
                </c:pt>
                <c:pt idx="164">
                  <c:v>100.49</c:v>
                </c:pt>
                <c:pt idx="165">
                  <c:v>100.5</c:v>
                </c:pt>
                <c:pt idx="166">
                  <c:v>100.4</c:v>
                </c:pt>
                <c:pt idx="167">
                  <c:v>100.71</c:v>
                </c:pt>
                <c:pt idx="168">
                  <c:v>101.12</c:v>
                </c:pt>
                <c:pt idx="169">
                  <c:v>100.21</c:v>
                </c:pt>
                <c:pt idx="170">
                  <c:v>100.88</c:v>
                </c:pt>
                <c:pt idx="171">
                  <c:v>101.21</c:v>
                </c:pt>
                <c:pt idx="172">
                  <c:v>99.51</c:v>
                </c:pt>
                <c:pt idx="173">
                  <c:v>99.53</c:v>
                </c:pt>
                <c:pt idx="174">
                  <c:v>98.08</c:v>
                </c:pt>
                <c:pt idx="175">
                  <c:v>96.26</c:v>
                </c:pt>
                <c:pt idx="176">
                  <c:v>96.42</c:v>
                </c:pt>
                <c:pt idx="177">
                  <c:v>96.31</c:v>
                </c:pt>
                <c:pt idx="178">
                  <c:v>96.43</c:v>
                </c:pt>
                <c:pt idx="179">
                  <c:v>97.39</c:v>
                </c:pt>
                <c:pt idx="180">
                  <c:v>97.7</c:v>
                </c:pt>
                <c:pt idx="181">
                  <c:v>96.82</c:v>
                </c:pt>
                <c:pt idx="182">
                  <c:v>96.75</c:v>
                </c:pt>
                <c:pt idx="183">
                  <c:v>95.37</c:v>
                </c:pt>
                <c:pt idx="184">
                  <c:v>94.87</c:v>
                </c:pt>
                <c:pt idx="185">
                  <c:v>94.53</c:v>
                </c:pt>
                <c:pt idx="186">
                  <c:v>95.2</c:v>
                </c:pt>
                <c:pt idx="187">
                  <c:v>95.08</c:v>
                </c:pt>
                <c:pt idx="188">
                  <c:v>95.7</c:v>
                </c:pt>
                <c:pt idx="189">
                  <c:v>94.67</c:v>
                </c:pt>
                <c:pt idx="190">
                  <c:v>94.57</c:v>
                </c:pt>
                <c:pt idx="191">
                  <c:v>91.29</c:v>
                </c:pt>
                <c:pt idx="192">
                  <c:v>90.8</c:v>
                </c:pt>
                <c:pt idx="193">
                  <c:v>90.65</c:v>
                </c:pt>
                <c:pt idx="194">
                  <c:v>90.9</c:v>
                </c:pt>
                <c:pt idx="195">
                  <c:v>90.25</c:v>
                </c:pt>
                <c:pt idx="196">
                  <c:v>90.47</c:v>
                </c:pt>
                <c:pt idx="197">
                  <c:v>88.66</c:v>
                </c:pt>
                <c:pt idx="198">
                  <c:v>87.82</c:v>
                </c:pt>
                <c:pt idx="199">
                  <c:v>86.36</c:v>
                </c:pt>
                <c:pt idx="200">
                  <c:v>84.02</c:v>
                </c:pt>
                <c:pt idx="201">
                  <c:v>84.02</c:v>
                </c:pt>
                <c:pt idx="202">
                  <c:v>85.27</c:v>
                </c:pt>
                <c:pt idx="203">
                  <c:v>84.42</c:v>
                </c:pt>
                <c:pt idx="204">
                  <c:v>85.17</c:v>
                </c:pt>
                <c:pt idx="205">
                  <c:v>86.38</c:v>
                </c:pt>
                <c:pt idx="206">
                  <c:v>85.94</c:v>
                </c:pt>
                <c:pt idx="207">
                  <c:v>86</c:v>
                </c:pt>
                <c:pt idx="208">
                  <c:v>85.64</c:v>
                </c:pt>
                <c:pt idx="209">
                  <c:v>85.57</c:v>
                </c:pt>
                <c:pt idx="210">
                  <c:v>86.91</c:v>
                </c:pt>
                <c:pt idx="211">
                  <c:v>85.5</c:v>
                </c:pt>
                <c:pt idx="212">
                  <c:v>84.17</c:v>
                </c:pt>
                <c:pt idx="213">
                  <c:v>84.9</c:v>
                </c:pt>
                <c:pt idx="214">
                  <c:v>82.12</c:v>
                </c:pt>
                <c:pt idx="215">
                  <c:v>82.88</c:v>
                </c:pt>
                <c:pt idx="216">
                  <c:v>82.08</c:v>
                </c:pt>
                <c:pt idx="217">
                  <c:v>83.2</c:v>
                </c:pt>
                <c:pt idx="218">
                  <c:v>82.9</c:v>
                </c:pt>
                <c:pt idx="219">
                  <c:v>80.94</c:v>
                </c:pt>
                <c:pt idx="220">
                  <c:v>80.42</c:v>
                </c:pt>
                <c:pt idx="221">
                  <c:v>77.739999999999995</c:v>
                </c:pt>
                <c:pt idx="222">
                  <c:v>77.510000000000005</c:v>
                </c:pt>
                <c:pt idx="223">
                  <c:v>76.86</c:v>
                </c:pt>
                <c:pt idx="224">
                  <c:v>77.23</c:v>
                </c:pt>
                <c:pt idx="225">
                  <c:v>77.209999999999994</c:v>
                </c:pt>
                <c:pt idx="226">
                  <c:v>77.61</c:v>
                </c:pt>
                <c:pt idx="227">
                  <c:v>79.2</c:v>
                </c:pt>
                <c:pt idx="228">
                  <c:v>79.62</c:v>
                </c:pt>
                <c:pt idx="229">
                  <c:v>77.62</c:v>
                </c:pt>
                <c:pt idx="230">
                  <c:v>77.39</c:v>
                </c:pt>
                <c:pt idx="231">
                  <c:v>71.89</c:v>
                </c:pt>
                <c:pt idx="232">
                  <c:v>70.87</c:v>
                </c:pt>
                <c:pt idx="233">
                  <c:v>71.13</c:v>
                </c:pt>
                <c:pt idx="234">
                  <c:v>70.13</c:v>
                </c:pt>
                <c:pt idx="235">
                  <c:v>68.48</c:v>
                </c:pt>
                <c:pt idx="236">
                  <c:v>68</c:v>
                </c:pt>
                <c:pt idx="237">
                  <c:v>65.64</c:v>
                </c:pt>
                <c:pt idx="238">
                  <c:v>66.11</c:v>
                </c:pt>
                <c:pt idx="239">
                  <c:v>63.32</c:v>
                </c:pt>
                <c:pt idx="240">
                  <c:v>63.65</c:v>
                </c:pt>
                <c:pt idx="241">
                  <c:v>61.67</c:v>
                </c:pt>
                <c:pt idx="242">
                  <c:v>61.09</c:v>
                </c:pt>
                <c:pt idx="243">
                  <c:v>60.26</c:v>
                </c:pt>
                <c:pt idx="244">
                  <c:v>59.84</c:v>
                </c:pt>
                <c:pt idx="245">
                  <c:v>58.81</c:v>
                </c:pt>
                <c:pt idx="246">
                  <c:v>58.87</c:v>
                </c:pt>
                <c:pt idx="247">
                  <c:v>58.31</c:v>
                </c:pt>
                <c:pt idx="248">
                  <c:v>59.07</c:v>
                </c:pt>
                <c:pt idx="249">
                  <c:v>58.67</c:v>
                </c:pt>
                <c:pt idx="250">
                  <c:v>58.72</c:v>
                </c:pt>
                <c:pt idx="251">
                  <c:v>57.86</c:v>
                </c:pt>
                <c:pt idx="252">
                  <c:v>55.6</c:v>
                </c:pt>
                <c:pt idx="253">
                  <c:v>55.27</c:v>
                </c:pt>
                <c:pt idx="254">
                  <c:v>55.38</c:v>
                </c:pt>
                <c:pt idx="255">
                  <c:v>51.08</c:v>
                </c:pt>
                <c:pt idx="256">
                  <c:v>50.12</c:v>
                </c:pt>
                <c:pt idx="257">
                  <c:v>49.06</c:v>
                </c:pt>
                <c:pt idx="258">
                  <c:v>49.43</c:v>
                </c:pt>
                <c:pt idx="259">
                  <c:v>47.64</c:v>
                </c:pt>
                <c:pt idx="260">
                  <c:v>46.9</c:v>
                </c:pt>
                <c:pt idx="261">
                  <c:v>45.13</c:v>
                </c:pt>
                <c:pt idx="262">
                  <c:v>45.82</c:v>
                </c:pt>
                <c:pt idx="263">
                  <c:v>47.66</c:v>
                </c:pt>
                <c:pt idx="264">
                  <c:v>47.38</c:v>
                </c:pt>
                <c:pt idx="265">
                  <c:v>46.49</c:v>
                </c:pt>
                <c:pt idx="266">
                  <c:v>46.5</c:v>
                </c:pt>
                <c:pt idx="267">
                  <c:v>46.09</c:v>
                </c:pt>
                <c:pt idx="268">
                  <c:v>46.69</c:v>
                </c:pt>
                <c:pt idx="269">
                  <c:v>46.07</c:v>
                </c:pt>
                <c:pt idx="270">
                  <c:v>46.55</c:v>
                </c:pt>
                <c:pt idx="271">
                  <c:v>47.07</c:v>
                </c:pt>
                <c:pt idx="272">
                  <c:v>46.61</c:v>
                </c:pt>
                <c:pt idx="273">
                  <c:v>47.52</c:v>
                </c:pt>
                <c:pt idx="274">
                  <c:v>51.74</c:v>
                </c:pt>
                <c:pt idx="275">
                  <c:v>54.41</c:v>
                </c:pt>
                <c:pt idx="276">
                  <c:v>55.07</c:v>
                </c:pt>
                <c:pt idx="277">
                  <c:v>55.98</c:v>
                </c:pt>
                <c:pt idx="278">
                  <c:v>55.88</c:v>
                </c:pt>
                <c:pt idx="279">
                  <c:v>57</c:v>
                </c:pt>
                <c:pt idx="280">
                  <c:v>55.79</c:v>
                </c:pt>
                <c:pt idx="281">
                  <c:v>53.48</c:v>
                </c:pt>
                <c:pt idx="282">
                  <c:v>56.23</c:v>
                </c:pt>
                <c:pt idx="283">
                  <c:v>60.33</c:v>
                </c:pt>
                <c:pt idx="284">
                  <c:v>61.57</c:v>
                </c:pt>
                <c:pt idx="285">
                  <c:v>60.78</c:v>
                </c:pt>
                <c:pt idx="286">
                  <c:v>60.72</c:v>
                </c:pt>
                <c:pt idx="287">
                  <c:v>58.78</c:v>
                </c:pt>
                <c:pt idx="288">
                  <c:v>60.99</c:v>
                </c:pt>
                <c:pt idx="289">
                  <c:v>59.78</c:v>
                </c:pt>
                <c:pt idx="290">
                  <c:v>60.33</c:v>
                </c:pt>
                <c:pt idx="291">
                  <c:v>59.77</c:v>
                </c:pt>
                <c:pt idx="292">
                  <c:v>61.39</c:v>
                </c:pt>
                <c:pt idx="293">
                  <c:v>61.89</c:v>
                </c:pt>
                <c:pt idx="294">
                  <c:v>60.75</c:v>
                </c:pt>
                <c:pt idx="295">
                  <c:v>61.18</c:v>
                </c:pt>
                <c:pt idx="296">
                  <c:v>59.18</c:v>
                </c:pt>
                <c:pt idx="297">
                  <c:v>60.33</c:v>
                </c:pt>
                <c:pt idx="298">
                  <c:v>59.15</c:v>
                </c:pt>
                <c:pt idx="299">
                  <c:v>58.67</c:v>
                </c:pt>
                <c:pt idx="300">
                  <c:v>55.95</c:v>
                </c:pt>
                <c:pt idx="301">
                  <c:v>56.46</c:v>
                </c:pt>
                <c:pt idx="302">
                  <c:v>56.66</c:v>
                </c:pt>
                <c:pt idx="303">
                  <c:v>54.8</c:v>
                </c:pt>
                <c:pt idx="304">
                  <c:v>52</c:v>
                </c:pt>
                <c:pt idx="305">
                  <c:v>52.17</c:v>
                </c:pt>
                <c:pt idx="306">
                  <c:v>52.59</c:v>
                </c:pt>
                <c:pt idx="307">
                  <c:v>52.96</c:v>
                </c:pt>
                <c:pt idx="308">
                  <c:v>53.88</c:v>
                </c:pt>
                <c:pt idx="309">
                  <c:v>53.82</c:v>
                </c:pt>
                <c:pt idx="310">
                  <c:v>53.61</c:v>
                </c:pt>
                <c:pt idx="311">
                  <c:v>54.18</c:v>
                </c:pt>
                <c:pt idx="312">
                  <c:v>57.02</c:v>
                </c:pt>
                <c:pt idx="313">
                  <c:v>56.44</c:v>
                </c:pt>
                <c:pt idx="314">
                  <c:v>53.99</c:v>
                </c:pt>
                <c:pt idx="315">
                  <c:v>53.69</c:v>
                </c:pt>
                <c:pt idx="316">
                  <c:v>55.73</c:v>
                </c:pt>
                <c:pt idx="317">
                  <c:v>55.73</c:v>
                </c:pt>
                <c:pt idx="318">
                  <c:v>55.73</c:v>
                </c:pt>
                <c:pt idx="319">
                  <c:v>57.55</c:v>
                </c:pt>
                <c:pt idx="320">
                  <c:v>56.42</c:v>
                </c:pt>
                <c:pt idx="321">
                  <c:v>56.04</c:v>
                </c:pt>
                <c:pt idx="322">
                  <c:v>56.82</c:v>
                </c:pt>
                <c:pt idx="323">
                  <c:v>57.14</c:v>
                </c:pt>
                <c:pt idx="324">
                  <c:v>57.69</c:v>
                </c:pt>
                <c:pt idx="325">
                  <c:v>59.32</c:v>
                </c:pt>
                <c:pt idx="326">
                  <c:v>60.13</c:v>
                </c:pt>
                <c:pt idx="327">
                  <c:v>61.31</c:v>
                </c:pt>
                <c:pt idx="328">
                  <c:v>61.2</c:v>
                </c:pt>
                <c:pt idx="329">
                  <c:v>60.12</c:v>
                </c:pt>
                <c:pt idx="330">
                  <c:v>60.12</c:v>
                </c:pt>
                <c:pt idx="331">
                  <c:v>62.66</c:v>
                </c:pt>
                <c:pt idx="332">
                  <c:v>62.96</c:v>
                </c:pt>
                <c:pt idx="333">
                  <c:v>62.86</c:v>
                </c:pt>
                <c:pt idx="334">
                  <c:v>62.61</c:v>
                </c:pt>
                <c:pt idx="335">
                  <c:v>63.97</c:v>
                </c:pt>
                <c:pt idx="336">
                  <c:v>63.9</c:v>
                </c:pt>
                <c:pt idx="337">
                  <c:v>64.13</c:v>
                </c:pt>
                <c:pt idx="338">
                  <c:v>64.62</c:v>
                </c:pt>
                <c:pt idx="339">
                  <c:v>65.44</c:v>
                </c:pt>
                <c:pt idx="340">
                  <c:v>66.22</c:v>
                </c:pt>
                <c:pt idx="341">
                  <c:v>64.930000000000007</c:v>
                </c:pt>
                <c:pt idx="342">
                  <c:v>63.82</c:v>
                </c:pt>
                <c:pt idx="343">
                  <c:v>62.82</c:v>
                </c:pt>
                <c:pt idx="344">
                  <c:v>65.09</c:v>
                </c:pt>
                <c:pt idx="345">
                  <c:v>66.33</c:v>
                </c:pt>
                <c:pt idx="346">
                  <c:v>65.58</c:v>
                </c:pt>
                <c:pt idx="347">
                  <c:v>64.69</c:v>
                </c:pt>
                <c:pt idx="348">
                  <c:v>65.150000000000006</c:v>
                </c:pt>
                <c:pt idx="349">
                  <c:v>63.48</c:v>
                </c:pt>
                <c:pt idx="350">
                  <c:v>63.52</c:v>
                </c:pt>
                <c:pt idx="351">
                  <c:v>64.7</c:v>
                </c:pt>
                <c:pt idx="352">
                  <c:v>64.7</c:v>
                </c:pt>
                <c:pt idx="353">
                  <c:v>61.65</c:v>
                </c:pt>
                <c:pt idx="354">
                  <c:v>62.06</c:v>
                </c:pt>
                <c:pt idx="355">
                  <c:v>62.58</c:v>
                </c:pt>
                <c:pt idx="356">
                  <c:v>65.56</c:v>
                </c:pt>
                <c:pt idx="357">
                  <c:v>64.88</c:v>
                </c:pt>
                <c:pt idx="358">
                  <c:v>65.489999999999995</c:v>
                </c:pt>
                <c:pt idx="359">
                  <c:v>63.8</c:v>
                </c:pt>
                <c:pt idx="360">
                  <c:v>62.03</c:v>
                </c:pt>
                <c:pt idx="361">
                  <c:v>63.31</c:v>
                </c:pt>
                <c:pt idx="362">
                  <c:v>62.69</c:v>
                </c:pt>
                <c:pt idx="363">
                  <c:v>64.88</c:v>
                </c:pt>
                <c:pt idx="364">
                  <c:v>65.7</c:v>
                </c:pt>
                <c:pt idx="365">
                  <c:v>65.11</c:v>
                </c:pt>
                <c:pt idx="366">
                  <c:v>63.87</c:v>
                </c:pt>
                <c:pt idx="367">
                  <c:v>62.61</c:v>
                </c:pt>
                <c:pt idx="368">
                  <c:v>63.7</c:v>
                </c:pt>
                <c:pt idx="369">
                  <c:v>63.87</c:v>
                </c:pt>
                <c:pt idx="370">
                  <c:v>64.260000000000005</c:v>
                </c:pt>
                <c:pt idx="371">
                  <c:v>63.02</c:v>
                </c:pt>
                <c:pt idx="372">
                  <c:v>63.34</c:v>
                </c:pt>
                <c:pt idx="373">
                  <c:v>64.45</c:v>
                </c:pt>
                <c:pt idx="374">
                  <c:v>63.49</c:v>
                </c:pt>
                <c:pt idx="375">
                  <c:v>63.2</c:v>
                </c:pt>
                <c:pt idx="376">
                  <c:v>63.26</c:v>
                </c:pt>
                <c:pt idx="377">
                  <c:v>62.01</c:v>
                </c:pt>
                <c:pt idx="378">
                  <c:v>63.59</c:v>
                </c:pt>
                <c:pt idx="379">
                  <c:v>62.01</c:v>
                </c:pt>
                <c:pt idx="380">
                  <c:v>62.07</c:v>
                </c:pt>
                <c:pt idx="381">
                  <c:v>60.32</c:v>
                </c:pt>
                <c:pt idx="382">
                  <c:v>56.54</c:v>
                </c:pt>
                <c:pt idx="383">
                  <c:v>56.85</c:v>
                </c:pt>
                <c:pt idx="384">
                  <c:v>57.05</c:v>
                </c:pt>
                <c:pt idx="385">
                  <c:v>58.61</c:v>
                </c:pt>
                <c:pt idx="386">
                  <c:v>58.73</c:v>
                </c:pt>
                <c:pt idx="387">
                  <c:v>57.85</c:v>
                </c:pt>
                <c:pt idx="388">
                  <c:v>58.51</c:v>
                </c:pt>
                <c:pt idx="389">
                  <c:v>57.05</c:v>
                </c:pt>
                <c:pt idx="390">
                  <c:v>57.51</c:v>
                </c:pt>
                <c:pt idx="391">
                  <c:v>57.1</c:v>
                </c:pt>
                <c:pt idx="392">
                  <c:v>56.65</c:v>
                </c:pt>
                <c:pt idx="393">
                  <c:v>57.04</c:v>
                </c:pt>
                <c:pt idx="394">
                  <c:v>56.13</c:v>
                </c:pt>
                <c:pt idx="395">
                  <c:v>55.27</c:v>
                </c:pt>
                <c:pt idx="396">
                  <c:v>54.62</c:v>
                </c:pt>
                <c:pt idx="397">
                  <c:v>53.47</c:v>
                </c:pt>
                <c:pt idx="398">
                  <c:v>53.3</c:v>
                </c:pt>
                <c:pt idx="399">
                  <c:v>53.38</c:v>
                </c:pt>
                <c:pt idx="400">
                  <c:v>53.31</c:v>
                </c:pt>
                <c:pt idx="401">
                  <c:v>52.21</c:v>
                </c:pt>
                <c:pt idx="402">
                  <c:v>49.52</c:v>
                </c:pt>
                <c:pt idx="403">
                  <c:v>49.99</c:v>
                </c:pt>
                <c:pt idx="404">
                  <c:v>49.59</c:v>
                </c:pt>
                <c:pt idx="405">
                  <c:v>49.52</c:v>
                </c:pt>
                <c:pt idx="406">
                  <c:v>48.61</c:v>
                </c:pt>
                <c:pt idx="407">
                  <c:v>50.41</c:v>
                </c:pt>
                <c:pt idx="408">
                  <c:v>49.18</c:v>
                </c:pt>
                <c:pt idx="409">
                  <c:v>49.66</c:v>
                </c:pt>
                <c:pt idx="410">
                  <c:v>49.22</c:v>
                </c:pt>
                <c:pt idx="411">
                  <c:v>49.03</c:v>
                </c:pt>
                <c:pt idx="412">
                  <c:v>48.74</c:v>
                </c:pt>
                <c:pt idx="413">
                  <c:v>48.81</c:v>
                </c:pt>
                <c:pt idx="414">
                  <c:v>47.16</c:v>
                </c:pt>
                <c:pt idx="415">
                  <c:v>46.62</c:v>
                </c:pt>
                <c:pt idx="416">
                  <c:v>45.46</c:v>
                </c:pt>
                <c:pt idx="417">
                  <c:v>42.69</c:v>
                </c:pt>
                <c:pt idx="418">
                  <c:v>43.21</c:v>
                </c:pt>
                <c:pt idx="419">
                  <c:v>43.14</c:v>
                </c:pt>
                <c:pt idx="420">
                  <c:v>47.56</c:v>
                </c:pt>
                <c:pt idx="421">
                  <c:v>50.05</c:v>
                </c:pt>
                <c:pt idx="422">
                  <c:v>54.15</c:v>
                </c:pt>
                <c:pt idx="423">
                  <c:v>49.56</c:v>
                </c:pt>
                <c:pt idx="424">
                  <c:v>50.5</c:v>
                </c:pt>
                <c:pt idx="425">
                  <c:v>50.68</c:v>
                </c:pt>
                <c:pt idx="426">
                  <c:v>49.61</c:v>
                </c:pt>
                <c:pt idx="427">
                  <c:v>47.63</c:v>
                </c:pt>
                <c:pt idx="428">
                  <c:v>49.52</c:v>
                </c:pt>
                <c:pt idx="429">
                  <c:v>47.58</c:v>
                </c:pt>
                <c:pt idx="430">
                  <c:v>48.89</c:v>
                </c:pt>
                <c:pt idx="431">
                  <c:v>48.14</c:v>
                </c:pt>
                <c:pt idx="432">
                  <c:v>46.37</c:v>
                </c:pt>
                <c:pt idx="433">
                  <c:v>46.63</c:v>
                </c:pt>
                <c:pt idx="434">
                  <c:v>49.75</c:v>
                </c:pt>
                <c:pt idx="435">
                  <c:v>49.08</c:v>
                </c:pt>
                <c:pt idx="436">
                  <c:v>47.47</c:v>
                </c:pt>
                <c:pt idx="437">
                  <c:v>48.92</c:v>
                </c:pt>
                <c:pt idx="438">
                  <c:v>49.08</c:v>
                </c:pt>
                <c:pt idx="439">
                  <c:v>47.75</c:v>
                </c:pt>
                <c:pt idx="440">
                  <c:v>48.17</c:v>
                </c:pt>
                <c:pt idx="441">
                  <c:v>48.6</c:v>
                </c:pt>
                <c:pt idx="442">
                  <c:v>47.34</c:v>
                </c:pt>
                <c:pt idx="443">
                  <c:v>48.23</c:v>
                </c:pt>
                <c:pt idx="444">
                  <c:v>48.37</c:v>
                </c:pt>
                <c:pt idx="445">
                  <c:v>47.69</c:v>
                </c:pt>
                <c:pt idx="446">
                  <c:v>48.13</c:v>
                </c:pt>
                <c:pt idx="447">
                  <c:v>49.25</c:v>
                </c:pt>
                <c:pt idx="448">
                  <c:v>51.92</c:v>
                </c:pt>
                <c:pt idx="449">
                  <c:v>51.33</c:v>
                </c:pt>
                <c:pt idx="450">
                  <c:v>53.05</c:v>
                </c:pt>
                <c:pt idx="451">
                  <c:v>52.65</c:v>
                </c:pt>
                <c:pt idx="452">
                  <c:v>49.86</c:v>
                </c:pt>
                <c:pt idx="453">
                  <c:v>49.24</c:v>
                </c:pt>
                <c:pt idx="454">
                  <c:v>49.15</c:v>
                </c:pt>
                <c:pt idx="455">
                  <c:v>48.71</c:v>
                </c:pt>
                <c:pt idx="456">
                  <c:v>50.46</c:v>
                </c:pt>
                <c:pt idx="457">
                  <c:v>48.61</c:v>
                </c:pt>
                <c:pt idx="458">
                  <c:v>48.71</c:v>
                </c:pt>
                <c:pt idx="459">
                  <c:v>47.85</c:v>
                </c:pt>
                <c:pt idx="460">
                  <c:v>48.08</c:v>
                </c:pt>
                <c:pt idx="461">
                  <c:v>47.99</c:v>
                </c:pt>
                <c:pt idx="462">
                  <c:v>47.54</c:v>
                </c:pt>
                <c:pt idx="463">
                  <c:v>46.81</c:v>
                </c:pt>
                <c:pt idx="464">
                  <c:v>49.05</c:v>
                </c:pt>
                <c:pt idx="465">
                  <c:v>48.8</c:v>
                </c:pt>
                <c:pt idx="466">
                  <c:v>49.56</c:v>
                </c:pt>
                <c:pt idx="467">
                  <c:v>48.79</c:v>
                </c:pt>
                <c:pt idx="468">
                  <c:v>50.54</c:v>
                </c:pt>
                <c:pt idx="469">
                  <c:v>48.58</c:v>
                </c:pt>
                <c:pt idx="470">
                  <c:v>47.98</c:v>
                </c:pt>
                <c:pt idx="471">
                  <c:v>47.42</c:v>
                </c:pt>
                <c:pt idx="472">
                  <c:v>47.19</c:v>
                </c:pt>
                <c:pt idx="473">
                  <c:v>47.44</c:v>
                </c:pt>
                <c:pt idx="474">
                  <c:v>45.81</c:v>
                </c:pt>
                <c:pt idx="475">
                  <c:v>44.06</c:v>
                </c:pt>
                <c:pt idx="476">
                  <c:v>43.61</c:v>
                </c:pt>
                <c:pt idx="477">
                  <c:v>44.56</c:v>
                </c:pt>
                <c:pt idx="478">
                  <c:v>43.57</c:v>
                </c:pt>
                <c:pt idx="479">
                  <c:v>44.14</c:v>
                </c:pt>
                <c:pt idx="480">
                  <c:v>44.18</c:v>
                </c:pt>
                <c:pt idx="481">
                  <c:v>44.66</c:v>
                </c:pt>
                <c:pt idx="482">
                  <c:v>44.83</c:v>
                </c:pt>
                <c:pt idx="483">
                  <c:v>46.12</c:v>
                </c:pt>
                <c:pt idx="484">
                  <c:v>46.17</c:v>
                </c:pt>
                <c:pt idx="485">
                  <c:v>45.46</c:v>
                </c:pt>
                <c:pt idx="486">
                  <c:v>44.86</c:v>
                </c:pt>
                <c:pt idx="487">
                  <c:v>44.61</c:v>
                </c:pt>
                <c:pt idx="488">
                  <c:v>44.44</c:v>
                </c:pt>
                <c:pt idx="489">
                  <c:v>42.49</c:v>
                </c:pt>
                <c:pt idx="490">
                  <c:v>43.84</c:v>
                </c:pt>
                <c:pt idx="491">
                  <c:v>43</c:v>
                </c:pt>
                <c:pt idx="492">
                  <c:v>40.729999999999997</c:v>
                </c:pt>
                <c:pt idx="493">
                  <c:v>40.26</c:v>
                </c:pt>
                <c:pt idx="494">
                  <c:v>40.11</c:v>
                </c:pt>
                <c:pt idx="495">
                  <c:v>39.729999999999997</c:v>
                </c:pt>
                <c:pt idx="496">
                  <c:v>37.93</c:v>
                </c:pt>
                <c:pt idx="497">
                  <c:v>37.92</c:v>
                </c:pt>
                <c:pt idx="498">
                  <c:v>38.450000000000003</c:v>
                </c:pt>
                <c:pt idx="499">
                  <c:v>37.19</c:v>
                </c:pt>
                <c:pt idx="500">
                  <c:v>37.06</c:v>
                </c:pt>
                <c:pt idx="501">
                  <c:v>36.880000000000003</c:v>
                </c:pt>
                <c:pt idx="502">
                  <c:v>36.35</c:v>
                </c:pt>
                <c:pt idx="503">
                  <c:v>36.11</c:v>
                </c:pt>
                <c:pt idx="504">
                  <c:v>37.36</c:v>
                </c:pt>
                <c:pt idx="505">
                  <c:v>37.89</c:v>
                </c:pt>
                <c:pt idx="506">
                  <c:v>36.619999999999997</c:v>
                </c:pt>
                <c:pt idx="507">
                  <c:v>37.79</c:v>
                </c:pt>
                <c:pt idx="508">
                  <c:v>36.46</c:v>
                </c:pt>
                <c:pt idx="509">
                  <c:v>37.28</c:v>
                </c:pt>
                <c:pt idx="510">
                  <c:v>37.22</c:v>
                </c:pt>
                <c:pt idx="511">
                  <c:v>36.42</c:v>
                </c:pt>
                <c:pt idx="512">
                  <c:v>34.229999999999997</c:v>
                </c:pt>
                <c:pt idx="513">
                  <c:v>33.75</c:v>
                </c:pt>
                <c:pt idx="514">
                  <c:v>33.549999999999997</c:v>
                </c:pt>
                <c:pt idx="515">
                  <c:v>31.55</c:v>
                </c:pt>
                <c:pt idx="516">
                  <c:v>30.86</c:v>
                </c:pt>
                <c:pt idx="517">
                  <c:v>30.31</c:v>
                </c:pt>
                <c:pt idx="518">
                  <c:v>31.03</c:v>
                </c:pt>
                <c:pt idx="519">
                  <c:v>28.94</c:v>
                </c:pt>
                <c:pt idx="520">
                  <c:v>28.55</c:v>
                </c:pt>
                <c:pt idx="521">
                  <c:v>28.76</c:v>
                </c:pt>
                <c:pt idx="522">
                  <c:v>27.88</c:v>
                </c:pt>
                <c:pt idx="523">
                  <c:v>29.25</c:v>
                </c:pt>
                <c:pt idx="524">
                  <c:v>32.18</c:v>
                </c:pt>
                <c:pt idx="525">
                  <c:v>30.5</c:v>
                </c:pt>
                <c:pt idx="526">
                  <c:v>31.8</c:v>
                </c:pt>
                <c:pt idx="527">
                  <c:v>33.1</c:v>
                </c:pt>
                <c:pt idx="528">
                  <c:v>33.89</c:v>
                </c:pt>
                <c:pt idx="529">
                  <c:v>34.74</c:v>
                </c:pt>
                <c:pt idx="530">
                  <c:v>34.24</c:v>
                </c:pt>
                <c:pt idx="531">
                  <c:v>32.72</c:v>
                </c:pt>
                <c:pt idx="532">
                  <c:v>35.04</c:v>
                </c:pt>
                <c:pt idx="533">
                  <c:v>34.46</c:v>
                </c:pt>
                <c:pt idx="534">
                  <c:v>34.06</c:v>
                </c:pt>
                <c:pt idx="535">
                  <c:v>32.880000000000003</c:v>
                </c:pt>
                <c:pt idx="536">
                  <c:v>30.32</c:v>
                </c:pt>
                <c:pt idx="537">
                  <c:v>30.84</c:v>
                </c:pt>
                <c:pt idx="538">
                  <c:v>30.06</c:v>
                </c:pt>
                <c:pt idx="539">
                  <c:v>33.36</c:v>
                </c:pt>
                <c:pt idx="540">
                  <c:v>33.39</c:v>
                </c:pt>
                <c:pt idx="541">
                  <c:v>32.18</c:v>
                </c:pt>
                <c:pt idx="542">
                  <c:v>34.5</c:v>
                </c:pt>
                <c:pt idx="543">
                  <c:v>34.28</c:v>
                </c:pt>
                <c:pt idx="544">
                  <c:v>33.01</c:v>
                </c:pt>
                <c:pt idx="545">
                  <c:v>34.69</c:v>
                </c:pt>
                <c:pt idx="546">
                  <c:v>33.270000000000003</c:v>
                </c:pt>
                <c:pt idx="547">
                  <c:v>34.409999999999997</c:v>
                </c:pt>
                <c:pt idx="548">
                  <c:v>35.29</c:v>
                </c:pt>
                <c:pt idx="549">
                  <c:v>35.1</c:v>
                </c:pt>
                <c:pt idx="550">
                  <c:v>35.97</c:v>
                </c:pt>
                <c:pt idx="551">
                  <c:v>36.81</c:v>
                </c:pt>
                <c:pt idx="552">
                  <c:v>36.93</c:v>
                </c:pt>
                <c:pt idx="553">
                  <c:v>37.07</c:v>
                </c:pt>
                <c:pt idx="554">
                  <c:v>38.72</c:v>
                </c:pt>
                <c:pt idx="555">
                  <c:v>40.840000000000003</c:v>
                </c:pt>
                <c:pt idx="556">
                  <c:v>39.65</c:v>
                </c:pt>
                <c:pt idx="557">
                  <c:v>41.07</c:v>
                </c:pt>
                <c:pt idx="558">
                  <c:v>40.049999999999997</c:v>
                </c:pt>
                <c:pt idx="559">
                  <c:v>40.39</c:v>
                </c:pt>
                <c:pt idx="560">
                  <c:v>39.53</c:v>
                </c:pt>
                <c:pt idx="561">
                  <c:v>38.74</c:v>
                </c:pt>
                <c:pt idx="562">
                  <c:v>40.33</c:v>
                </c:pt>
                <c:pt idx="563">
                  <c:v>41.54</c:v>
                </c:pt>
                <c:pt idx="564">
                  <c:v>41.2</c:v>
                </c:pt>
                <c:pt idx="565">
                  <c:v>41.54</c:v>
                </c:pt>
                <c:pt idx="566">
                  <c:v>41.79</c:v>
                </c:pt>
                <c:pt idx="567">
                  <c:v>40.47</c:v>
                </c:pt>
                <c:pt idx="568">
                  <c:v>40.44</c:v>
                </c:pt>
                <c:pt idx="569">
                  <c:v>40.270000000000003</c:v>
                </c:pt>
                <c:pt idx="570">
                  <c:v>39.14</c:v>
                </c:pt>
                <c:pt idx="571">
                  <c:v>39.26</c:v>
                </c:pt>
                <c:pt idx="572">
                  <c:v>39.6</c:v>
                </c:pt>
                <c:pt idx="573">
                  <c:v>38.67</c:v>
                </c:pt>
                <c:pt idx="574">
                  <c:v>37.69</c:v>
                </c:pt>
                <c:pt idx="575">
                  <c:v>37.869999999999997</c:v>
                </c:pt>
                <c:pt idx="576">
                  <c:v>39.840000000000003</c:v>
                </c:pt>
                <c:pt idx="577">
                  <c:v>39.43</c:v>
                </c:pt>
                <c:pt idx="578">
                  <c:v>41.94</c:v>
                </c:pt>
                <c:pt idx="579">
                  <c:v>42.83</c:v>
                </c:pt>
                <c:pt idx="580">
                  <c:v>44.69</c:v>
                </c:pt>
                <c:pt idx="581">
                  <c:v>44.18</c:v>
                </c:pt>
                <c:pt idx="582">
                  <c:v>43.84</c:v>
                </c:pt>
                <c:pt idx="583">
                  <c:v>43.1</c:v>
                </c:pt>
                <c:pt idx="584">
                  <c:v>42.91</c:v>
                </c:pt>
                <c:pt idx="585">
                  <c:v>44.03</c:v>
                </c:pt>
                <c:pt idx="586">
                  <c:v>45.8</c:v>
                </c:pt>
                <c:pt idx="587">
                  <c:v>44.53</c:v>
                </c:pt>
                <c:pt idx="588">
                  <c:v>45.11</c:v>
                </c:pt>
                <c:pt idx="589">
                  <c:v>44.48</c:v>
                </c:pt>
                <c:pt idx="590">
                  <c:v>45.74</c:v>
                </c:pt>
                <c:pt idx="591">
                  <c:v>47.18</c:v>
                </c:pt>
                <c:pt idx="592">
                  <c:v>48.14</c:v>
                </c:pt>
                <c:pt idx="593">
                  <c:v>48.13</c:v>
                </c:pt>
                <c:pt idx="594">
                  <c:v>45.83</c:v>
                </c:pt>
                <c:pt idx="595">
                  <c:v>44.97</c:v>
                </c:pt>
                <c:pt idx="596">
                  <c:v>44.62</c:v>
                </c:pt>
                <c:pt idx="597">
                  <c:v>45.01</c:v>
                </c:pt>
                <c:pt idx="598">
                  <c:v>45.37</c:v>
                </c:pt>
                <c:pt idx="599">
                  <c:v>43.63</c:v>
                </c:pt>
                <c:pt idx="600">
                  <c:v>45.52</c:v>
                </c:pt>
                <c:pt idx="601">
                  <c:v>47.6</c:v>
                </c:pt>
                <c:pt idx="602">
                  <c:v>48.08</c:v>
                </c:pt>
                <c:pt idx="603">
                  <c:v>47.83</c:v>
                </c:pt>
                <c:pt idx="604">
                  <c:v>48.97</c:v>
                </c:pt>
                <c:pt idx="605">
                  <c:v>49.28</c:v>
                </c:pt>
                <c:pt idx="606">
                  <c:v>48.93</c:v>
                </c:pt>
                <c:pt idx="607">
                  <c:v>48.81</c:v>
                </c:pt>
                <c:pt idx="608">
                  <c:v>48.72</c:v>
                </c:pt>
                <c:pt idx="609">
                  <c:v>48.35</c:v>
                </c:pt>
                <c:pt idx="610">
                  <c:v>48.61</c:v>
                </c:pt>
                <c:pt idx="611">
                  <c:v>49.74</c:v>
                </c:pt>
                <c:pt idx="612">
                  <c:v>49.59</c:v>
                </c:pt>
                <c:pt idx="613">
                  <c:v>49.32</c:v>
                </c:pt>
                <c:pt idx="614">
                  <c:v>49.76</c:v>
                </c:pt>
                <c:pt idx="615">
                  <c:v>49.69</c:v>
                </c:pt>
                <c:pt idx="616">
                  <c:v>49.72</c:v>
                </c:pt>
                <c:pt idx="617">
                  <c:v>50.04</c:v>
                </c:pt>
                <c:pt idx="618">
                  <c:v>49.64</c:v>
                </c:pt>
                <c:pt idx="619">
                  <c:v>50.55</c:v>
                </c:pt>
                <c:pt idx="620">
                  <c:v>51.44</c:v>
                </c:pt>
                <c:pt idx="621">
                  <c:v>52.51</c:v>
                </c:pt>
                <c:pt idx="622">
                  <c:v>51.95</c:v>
                </c:pt>
                <c:pt idx="623">
                  <c:v>50.54</c:v>
                </c:pt>
                <c:pt idx="624">
                  <c:v>50.35</c:v>
                </c:pt>
                <c:pt idx="625">
                  <c:v>49.83</c:v>
                </c:pt>
                <c:pt idx="626">
                  <c:v>48.97</c:v>
                </c:pt>
                <c:pt idx="627">
                  <c:v>47.19</c:v>
                </c:pt>
                <c:pt idx="628">
                  <c:v>49.17</c:v>
                </c:pt>
                <c:pt idx="629">
                  <c:v>50.65</c:v>
                </c:pt>
                <c:pt idx="630">
                  <c:v>50.62</c:v>
                </c:pt>
                <c:pt idx="631">
                  <c:v>49.88</c:v>
                </c:pt>
                <c:pt idx="632">
                  <c:v>50.91</c:v>
                </c:pt>
                <c:pt idx="633">
                  <c:v>48.41</c:v>
                </c:pt>
                <c:pt idx="634">
                  <c:v>47.16</c:v>
                </c:pt>
                <c:pt idx="635">
                  <c:v>48.58</c:v>
                </c:pt>
                <c:pt idx="636">
                  <c:v>50.61</c:v>
                </c:pt>
                <c:pt idx="637">
                  <c:v>49.68</c:v>
                </c:pt>
                <c:pt idx="638">
                  <c:v>50.35</c:v>
                </c:pt>
                <c:pt idx="639">
                  <c:v>50.1</c:v>
                </c:pt>
                <c:pt idx="640">
                  <c:v>47.96</c:v>
                </c:pt>
                <c:pt idx="641">
                  <c:v>48.8</c:v>
                </c:pt>
                <c:pt idx="642">
                  <c:v>46.4</c:v>
                </c:pt>
                <c:pt idx="643">
                  <c:v>46.76</c:v>
                </c:pt>
                <c:pt idx="644">
                  <c:v>46.25</c:v>
                </c:pt>
                <c:pt idx="645">
                  <c:v>48.47</c:v>
                </c:pt>
                <c:pt idx="646">
                  <c:v>46.26</c:v>
                </c:pt>
                <c:pt idx="647">
                  <c:v>47.37</c:v>
                </c:pt>
                <c:pt idx="648">
                  <c:v>47.61</c:v>
                </c:pt>
                <c:pt idx="649">
                  <c:v>46.96</c:v>
                </c:pt>
                <c:pt idx="650">
                  <c:v>46.66</c:v>
                </c:pt>
                <c:pt idx="651">
                  <c:v>47.17</c:v>
                </c:pt>
                <c:pt idx="652">
                  <c:v>46.2</c:v>
                </c:pt>
                <c:pt idx="653">
                  <c:v>45.69</c:v>
                </c:pt>
                <c:pt idx="654">
                  <c:v>44.72</c:v>
                </c:pt>
                <c:pt idx="655">
                  <c:v>44.87</c:v>
                </c:pt>
                <c:pt idx="656">
                  <c:v>43.47</c:v>
                </c:pt>
                <c:pt idx="657">
                  <c:v>42.7</c:v>
                </c:pt>
                <c:pt idx="658">
                  <c:v>42.46</c:v>
                </c:pt>
                <c:pt idx="659">
                  <c:v>42.14</c:v>
                </c:pt>
                <c:pt idx="660">
                  <c:v>41.8</c:v>
                </c:pt>
                <c:pt idx="661">
                  <c:v>43.1</c:v>
                </c:pt>
                <c:pt idx="662">
                  <c:v>44.29</c:v>
                </c:pt>
                <c:pt idx="663">
                  <c:v>44.27</c:v>
                </c:pt>
                <c:pt idx="664">
                  <c:v>45.39</c:v>
                </c:pt>
                <c:pt idx="665">
                  <c:v>44.98</c:v>
                </c:pt>
                <c:pt idx="666">
                  <c:v>44.05</c:v>
                </c:pt>
                <c:pt idx="667">
                  <c:v>46.04</c:v>
                </c:pt>
                <c:pt idx="668">
                  <c:v>46.97</c:v>
                </c:pt>
                <c:pt idx="669">
                  <c:v>48.35</c:v>
                </c:pt>
                <c:pt idx="670">
                  <c:v>49.23</c:v>
                </c:pt>
                <c:pt idx="671">
                  <c:v>49.85</c:v>
                </c:pt>
                <c:pt idx="672">
                  <c:v>50.89</c:v>
                </c:pt>
                <c:pt idx="673">
                  <c:v>50.88</c:v>
                </c:pt>
                <c:pt idx="674">
                  <c:v>49.16</c:v>
                </c:pt>
                <c:pt idx="675">
                  <c:v>49.96</c:v>
                </c:pt>
                <c:pt idx="676">
                  <c:v>49.05</c:v>
                </c:pt>
                <c:pt idx="677">
                  <c:v>49.67</c:v>
                </c:pt>
                <c:pt idx="678">
                  <c:v>49.92</c:v>
                </c:pt>
                <c:pt idx="679">
                  <c:v>49.26</c:v>
                </c:pt>
                <c:pt idx="680">
                  <c:v>48.37</c:v>
                </c:pt>
                <c:pt idx="681">
                  <c:v>47.04</c:v>
                </c:pt>
                <c:pt idx="682">
                  <c:v>45.45</c:v>
                </c:pt>
                <c:pt idx="683">
                  <c:v>46.83</c:v>
                </c:pt>
                <c:pt idx="684">
                  <c:v>47.63</c:v>
                </c:pt>
                <c:pt idx="685">
                  <c:v>47.26</c:v>
                </c:pt>
                <c:pt idx="686">
                  <c:v>47.98</c:v>
                </c:pt>
                <c:pt idx="687">
                  <c:v>49.99</c:v>
                </c:pt>
                <c:pt idx="688">
                  <c:v>48.01</c:v>
                </c:pt>
                <c:pt idx="689">
                  <c:v>48.32</c:v>
                </c:pt>
                <c:pt idx="690">
                  <c:v>47.1</c:v>
                </c:pt>
                <c:pt idx="691">
                  <c:v>45.85</c:v>
                </c:pt>
                <c:pt idx="692">
                  <c:v>46.59</c:v>
                </c:pt>
                <c:pt idx="693">
                  <c:v>45.77</c:v>
                </c:pt>
                <c:pt idx="694">
                  <c:v>45.95</c:v>
                </c:pt>
                <c:pt idx="695">
                  <c:v>45.88</c:v>
                </c:pt>
                <c:pt idx="696">
                  <c:v>46.83</c:v>
                </c:pt>
                <c:pt idx="697">
                  <c:v>47.65</c:v>
                </c:pt>
                <c:pt idx="698">
                  <c:v>45.89</c:v>
                </c:pt>
                <c:pt idx="699">
                  <c:v>47.35</c:v>
                </c:pt>
                <c:pt idx="700">
                  <c:v>45.97</c:v>
                </c:pt>
                <c:pt idx="701">
                  <c:v>48.69</c:v>
                </c:pt>
                <c:pt idx="702">
                  <c:v>49.24</c:v>
                </c:pt>
                <c:pt idx="703">
                  <c:v>49.06</c:v>
                </c:pt>
                <c:pt idx="704">
                  <c:v>50.89</c:v>
                </c:pt>
                <c:pt idx="705">
                  <c:v>50.87</c:v>
                </c:pt>
                <c:pt idx="706">
                  <c:v>51.86</c:v>
                </c:pt>
                <c:pt idx="707">
                  <c:v>52.51</c:v>
                </c:pt>
                <c:pt idx="708">
                  <c:v>51.93</c:v>
                </c:pt>
                <c:pt idx="709">
                  <c:v>53.14</c:v>
                </c:pt>
                <c:pt idx="710">
                  <c:v>52.41</c:v>
                </c:pt>
                <c:pt idx="711">
                  <c:v>51.81</c:v>
                </c:pt>
                <c:pt idx="712">
                  <c:v>52.03</c:v>
                </c:pt>
                <c:pt idx="713">
                  <c:v>51.95</c:v>
                </c:pt>
                <c:pt idx="714">
                  <c:v>51.52</c:v>
                </c:pt>
                <c:pt idx="715">
                  <c:v>51.68</c:v>
                </c:pt>
                <c:pt idx="716">
                  <c:v>52.67</c:v>
                </c:pt>
                <c:pt idx="717">
                  <c:v>51.38</c:v>
                </c:pt>
                <c:pt idx="718">
                  <c:v>51.78</c:v>
                </c:pt>
                <c:pt idx="719">
                  <c:v>51.46</c:v>
                </c:pt>
                <c:pt idx="720">
                  <c:v>50.79</c:v>
                </c:pt>
                <c:pt idx="721">
                  <c:v>49.98</c:v>
                </c:pt>
                <c:pt idx="722">
                  <c:v>50.47</c:v>
                </c:pt>
                <c:pt idx="723">
                  <c:v>49.71</c:v>
                </c:pt>
                <c:pt idx="724">
                  <c:v>48.3</c:v>
                </c:pt>
                <c:pt idx="725">
                  <c:v>48.14</c:v>
                </c:pt>
                <c:pt idx="726">
                  <c:v>46.86</c:v>
                </c:pt>
                <c:pt idx="727">
                  <c:v>46.35</c:v>
                </c:pt>
                <c:pt idx="728">
                  <c:v>45.58</c:v>
                </c:pt>
                <c:pt idx="729">
                  <c:v>46.15</c:v>
                </c:pt>
                <c:pt idx="730">
                  <c:v>46.04</c:v>
                </c:pt>
                <c:pt idx="731">
                  <c:v>46.36</c:v>
                </c:pt>
                <c:pt idx="732">
                  <c:v>45.84</c:v>
                </c:pt>
                <c:pt idx="733">
                  <c:v>44.75</c:v>
                </c:pt>
                <c:pt idx="734">
                  <c:v>44.43</c:v>
                </c:pt>
                <c:pt idx="735">
                  <c:v>46.95</c:v>
                </c:pt>
                <c:pt idx="736">
                  <c:v>46.63</c:v>
                </c:pt>
                <c:pt idx="737">
                  <c:v>46.49</c:v>
                </c:pt>
                <c:pt idx="738">
                  <c:v>46.86</c:v>
                </c:pt>
                <c:pt idx="739">
                  <c:v>48.9</c:v>
                </c:pt>
                <c:pt idx="740">
                  <c:v>49.12</c:v>
                </c:pt>
                <c:pt idx="741">
                  <c:v>48.95</c:v>
                </c:pt>
                <c:pt idx="742">
                  <c:v>49</c:v>
                </c:pt>
                <c:pt idx="743">
                  <c:v>47.24</c:v>
                </c:pt>
                <c:pt idx="744">
                  <c:v>48.24</c:v>
                </c:pt>
                <c:pt idx="745">
                  <c:v>46.38</c:v>
                </c:pt>
                <c:pt idx="746">
                  <c:v>50.47</c:v>
                </c:pt>
                <c:pt idx="747">
                  <c:v>53.94</c:v>
                </c:pt>
                <c:pt idx="748">
                  <c:v>54.46</c:v>
                </c:pt>
                <c:pt idx="749">
                  <c:v>54.94</c:v>
                </c:pt>
                <c:pt idx="750">
                  <c:v>53.93</c:v>
                </c:pt>
                <c:pt idx="751">
                  <c:v>53</c:v>
                </c:pt>
                <c:pt idx="752">
                  <c:v>53.89</c:v>
                </c:pt>
                <c:pt idx="753">
                  <c:v>54.33</c:v>
                </c:pt>
                <c:pt idx="754">
                  <c:v>55.69</c:v>
                </c:pt>
                <c:pt idx="755">
                  <c:v>55.72</c:v>
                </c:pt>
                <c:pt idx="756">
                  <c:v>53.9</c:v>
                </c:pt>
                <c:pt idx="757">
                  <c:v>54.02</c:v>
                </c:pt>
                <c:pt idx="758">
                  <c:v>55.21</c:v>
                </c:pt>
                <c:pt idx="759">
                  <c:v>54.92</c:v>
                </c:pt>
                <c:pt idx="760">
                  <c:v>55.35</c:v>
                </c:pt>
                <c:pt idx="761">
                  <c:v>54.46</c:v>
                </c:pt>
                <c:pt idx="762">
                  <c:v>55.05</c:v>
                </c:pt>
                <c:pt idx="763">
                  <c:v>55.16</c:v>
                </c:pt>
                <c:pt idx="764">
                  <c:v>56.09</c:v>
                </c:pt>
                <c:pt idx="765">
                  <c:v>56.22</c:v>
                </c:pt>
                <c:pt idx="766">
                  <c:v>56.14</c:v>
                </c:pt>
                <c:pt idx="767">
                  <c:v>56.82</c:v>
                </c:pt>
                <c:pt idx="768">
                  <c:v>56.82</c:v>
                </c:pt>
                <c:pt idx="769">
                  <c:v>55.47</c:v>
                </c:pt>
                <c:pt idx="770">
                  <c:v>56.46</c:v>
                </c:pt>
                <c:pt idx="771">
                  <c:v>56.89</c:v>
                </c:pt>
                <c:pt idx="772">
                  <c:v>57.1</c:v>
                </c:pt>
                <c:pt idx="773">
                  <c:v>54.94</c:v>
                </c:pt>
                <c:pt idx="774">
                  <c:v>53.64</c:v>
                </c:pt>
                <c:pt idx="775">
                  <c:v>55.1</c:v>
                </c:pt>
                <c:pt idx="776">
                  <c:v>56.01</c:v>
                </c:pt>
                <c:pt idx="777">
                  <c:v>55.45</c:v>
                </c:pt>
                <c:pt idx="778">
                  <c:v>55.86</c:v>
                </c:pt>
                <c:pt idx="779">
                  <c:v>55.47</c:v>
                </c:pt>
                <c:pt idx="780">
                  <c:v>53.92</c:v>
                </c:pt>
                <c:pt idx="781">
                  <c:v>54.16</c:v>
                </c:pt>
                <c:pt idx="782">
                  <c:v>55.49</c:v>
                </c:pt>
                <c:pt idx="783">
                  <c:v>55.23</c:v>
                </c:pt>
                <c:pt idx="784">
                  <c:v>55.44</c:v>
                </c:pt>
                <c:pt idx="785">
                  <c:v>55.08</c:v>
                </c:pt>
                <c:pt idx="786">
                  <c:v>56.24</c:v>
                </c:pt>
                <c:pt idx="787">
                  <c:v>55.52</c:v>
                </c:pt>
                <c:pt idx="788">
                  <c:v>55.23</c:v>
                </c:pt>
                <c:pt idx="789">
                  <c:v>55.7</c:v>
                </c:pt>
                <c:pt idx="790">
                  <c:v>56.8</c:v>
                </c:pt>
                <c:pt idx="791">
                  <c:v>56.56</c:v>
                </c:pt>
                <c:pt idx="792">
                  <c:v>56.81</c:v>
                </c:pt>
                <c:pt idx="793">
                  <c:v>55.72</c:v>
                </c:pt>
                <c:pt idx="794">
                  <c:v>55.05</c:v>
                </c:pt>
                <c:pt idx="795">
                  <c:v>55.12</c:v>
                </c:pt>
                <c:pt idx="796">
                  <c:v>55.63</c:v>
                </c:pt>
                <c:pt idx="797">
                  <c:v>56.7</c:v>
                </c:pt>
                <c:pt idx="798">
                  <c:v>55.59</c:v>
                </c:pt>
                <c:pt idx="799">
                  <c:v>55.97</c:v>
                </c:pt>
                <c:pt idx="800">
                  <c:v>55.75</c:v>
                </c:pt>
                <c:pt idx="801">
                  <c:v>55.65</c:v>
                </c:pt>
                <c:pt idx="802">
                  <c:v>55.81</c:v>
                </c:pt>
                <c:pt idx="803">
                  <c:v>56.18</c:v>
                </c:pt>
                <c:pt idx="804">
                  <c:v>56.66</c:v>
                </c:pt>
                <c:pt idx="805">
                  <c:v>55.84</c:v>
                </c:pt>
                <c:pt idx="806">
                  <c:v>56.58</c:v>
                </c:pt>
                <c:pt idx="807">
                  <c:v>55.99</c:v>
                </c:pt>
                <c:pt idx="808">
                  <c:v>55.93</c:v>
                </c:pt>
                <c:pt idx="809">
                  <c:v>55.59</c:v>
                </c:pt>
                <c:pt idx="810">
                  <c:v>56.36</c:v>
                </c:pt>
                <c:pt idx="811">
                  <c:v>55.08</c:v>
                </c:pt>
                <c:pt idx="812">
                  <c:v>55.9</c:v>
                </c:pt>
                <c:pt idx="813">
                  <c:v>56.01</c:v>
                </c:pt>
                <c:pt idx="814">
                  <c:v>55.92</c:v>
                </c:pt>
                <c:pt idx="815">
                  <c:v>53.11</c:v>
                </c:pt>
                <c:pt idx="816">
                  <c:v>52.19</c:v>
                </c:pt>
                <c:pt idx="817">
                  <c:v>51.37</c:v>
                </c:pt>
                <c:pt idx="818">
                  <c:v>51.35</c:v>
                </c:pt>
                <c:pt idx="819">
                  <c:v>50.92</c:v>
                </c:pt>
                <c:pt idx="820">
                  <c:v>51.81</c:v>
                </c:pt>
                <c:pt idx="821">
                  <c:v>51.74</c:v>
                </c:pt>
                <c:pt idx="822">
                  <c:v>51.76</c:v>
                </c:pt>
                <c:pt idx="823">
                  <c:v>51.62</c:v>
                </c:pt>
                <c:pt idx="824">
                  <c:v>50.96</c:v>
                </c:pt>
                <c:pt idx="825">
                  <c:v>50.64</c:v>
                </c:pt>
                <c:pt idx="826">
                  <c:v>50.56</c:v>
                </c:pt>
                <c:pt idx="827">
                  <c:v>50.8</c:v>
                </c:pt>
                <c:pt idx="828">
                  <c:v>50.75</c:v>
                </c:pt>
                <c:pt idx="829">
                  <c:v>51.33</c:v>
                </c:pt>
                <c:pt idx="830">
                  <c:v>52.42</c:v>
                </c:pt>
                <c:pt idx="831">
                  <c:v>52.96</c:v>
                </c:pt>
                <c:pt idx="832">
                  <c:v>52.83</c:v>
                </c:pt>
                <c:pt idx="833">
                  <c:v>53.12</c:v>
                </c:pt>
                <c:pt idx="834">
                  <c:v>54.17</c:v>
                </c:pt>
                <c:pt idx="835">
                  <c:v>54.36</c:v>
                </c:pt>
                <c:pt idx="836">
                  <c:v>54.89</c:v>
                </c:pt>
                <c:pt idx="837">
                  <c:v>55.24</c:v>
                </c:pt>
                <c:pt idx="838">
                  <c:v>55.98</c:v>
                </c:pt>
                <c:pt idx="839">
                  <c:v>56.23</c:v>
                </c:pt>
                <c:pt idx="840">
                  <c:v>55.86</c:v>
                </c:pt>
                <c:pt idx="841">
                  <c:v>55.89</c:v>
                </c:pt>
                <c:pt idx="842">
                  <c:v>55.36</c:v>
                </c:pt>
                <c:pt idx="843">
                  <c:v>54.89</c:v>
                </c:pt>
                <c:pt idx="844">
                  <c:v>52.93</c:v>
                </c:pt>
                <c:pt idx="845">
                  <c:v>52.99</c:v>
                </c:pt>
                <c:pt idx="846">
                  <c:v>51.96</c:v>
                </c:pt>
                <c:pt idx="847">
                  <c:v>51.6</c:v>
                </c:pt>
                <c:pt idx="848">
                  <c:v>52.1</c:v>
                </c:pt>
                <c:pt idx="849">
                  <c:v>51.82</c:v>
                </c:pt>
                <c:pt idx="850">
                  <c:v>51.44</c:v>
                </c:pt>
                <c:pt idx="851">
                  <c:v>51.73</c:v>
                </c:pt>
                <c:pt idx="852">
                  <c:v>51.52</c:v>
                </c:pt>
                <c:pt idx="853">
                  <c:v>50.46</c:v>
                </c:pt>
                <c:pt idx="854">
                  <c:v>50.79</c:v>
                </c:pt>
                <c:pt idx="855">
                  <c:v>48.38</c:v>
                </c:pt>
                <c:pt idx="856">
                  <c:v>49.1</c:v>
                </c:pt>
                <c:pt idx="857">
                  <c:v>49.34</c:v>
                </c:pt>
                <c:pt idx="858">
                  <c:v>48.73</c:v>
                </c:pt>
                <c:pt idx="859">
                  <c:v>50.22</c:v>
                </c:pt>
                <c:pt idx="860">
                  <c:v>50.77</c:v>
                </c:pt>
                <c:pt idx="861">
                  <c:v>50.84</c:v>
                </c:pt>
                <c:pt idx="862">
                  <c:v>51.82</c:v>
                </c:pt>
                <c:pt idx="863">
                  <c:v>51.65</c:v>
                </c:pt>
                <c:pt idx="864">
                  <c:v>52.21</c:v>
                </c:pt>
                <c:pt idx="865">
                  <c:v>52.51</c:v>
                </c:pt>
                <c:pt idx="866">
                  <c:v>53.61</c:v>
                </c:pt>
                <c:pt idx="867">
                  <c:v>53.87</c:v>
                </c:pt>
                <c:pt idx="868">
                  <c:v>54.15</c:v>
                </c:pt>
                <c:pt idx="869">
                  <c:v>53.96</c:v>
                </c:pt>
                <c:pt idx="870">
                  <c:v>51.46</c:v>
                </c:pt>
                <c:pt idx="871">
                  <c:v>52.15</c:v>
                </c:pt>
                <c:pt idx="872">
                  <c:v>52.29</c:v>
                </c:pt>
                <c:pt idx="873">
                  <c:v>51.84</c:v>
                </c:pt>
                <c:pt idx="874">
                  <c:v>50.31</c:v>
                </c:pt>
                <c:pt idx="875">
                  <c:v>50.63</c:v>
                </c:pt>
                <c:pt idx="876">
                  <c:v>49.95</c:v>
                </c:pt>
                <c:pt idx="877">
                  <c:v>49.47</c:v>
                </c:pt>
                <c:pt idx="878">
                  <c:v>50.12</c:v>
                </c:pt>
                <c:pt idx="879">
                  <c:v>48.06</c:v>
                </c:pt>
                <c:pt idx="880">
                  <c:v>47.86</c:v>
                </c:pt>
                <c:pt idx="881">
                  <c:v>48.15</c:v>
                </c:pt>
                <c:pt idx="882">
                  <c:v>48.29</c:v>
                </c:pt>
                <c:pt idx="883">
                  <c:v>48.72</c:v>
                </c:pt>
                <c:pt idx="884">
                  <c:v>47</c:v>
                </c:pt>
                <c:pt idx="885">
                  <c:v>46.92</c:v>
                </c:pt>
                <c:pt idx="886">
                  <c:v>47.37</c:v>
                </c:pt>
                <c:pt idx="887">
                  <c:v>46.91</c:v>
                </c:pt>
                <c:pt idx="888">
                  <c:v>46.02</c:v>
                </c:pt>
                <c:pt idx="889">
                  <c:v>44.82</c:v>
                </c:pt>
                <c:pt idx="890">
                  <c:v>45.22</c:v>
                </c:pt>
                <c:pt idx="891">
                  <c:v>45.54</c:v>
                </c:pt>
                <c:pt idx="892">
                  <c:v>45.83</c:v>
                </c:pt>
                <c:pt idx="893">
                  <c:v>46.65</c:v>
                </c:pt>
                <c:pt idx="894">
                  <c:v>47.31</c:v>
                </c:pt>
                <c:pt idx="895">
                  <c:v>47.42</c:v>
                </c:pt>
                <c:pt idx="896">
                  <c:v>47.92</c:v>
                </c:pt>
                <c:pt idx="897">
                  <c:v>49.68</c:v>
                </c:pt>
                <c:pt idx="898">
                  <c:v>49.61</c:v>
                </c:pt>
                <c:pt idx="899">
                  <c:v>47.79</c:v>
                </c:pt>
                <c:pt idx="900">
                  <c:v>48.11</c:v>
                </c:pt>
                <c:pt idx="901">
                  <c:v>46.71</c:v>
                </c:pt>
                <c:pt idx="902">
                  <c:v>46.88</c:v>
                </c:pt>
                <c:pt idx="903">
                  <c:v>47.52</c:v>
                </c:pt>
                <c:pt idx="904">
                  <c:v>47.74</c:v>
                </c:pt>
                <c:pt idx="905">
                  <c:v>48.42</c:v>
                </c:pt>
                <c:pt idx="906">
                  <c:v>48.91</c:v>
                </c:pt>
                <c:pt idx="907">
                  <c:v>48.42</c:v>
                </c:pt>
                <c:pt idx="908">
                  <c:v>48.84</c:v>
                </c:pt>
                <c:pt idx="909">
                  <c:v>49.7</c:v>
                </c:pt>
                <c:pt idx="910">
                  <c:v>49.3</c:v>
                </c:pt>
                <c:pt idx="911">
                  <c:v>48.06</c:v>
                </c:pt>
                <c:pt idx="912">
                  <c:v>48.6</c:v>
                </c:pt>
                <c:pt idx="913">
                  <c:v>50.2</c:v>
                </c:pt>
                <c:pt idx="914">
                  <c:v>50.97</c:v>
                </c:pt>
                <c:pt idx="915">
                  <c:v>51.49</c:v>
                </c:pt>
                <c:pt idx="916">
                  <c:v>52.52</c:v>
                </c:pt>
                <c:pt idx="917">
                  <c:v>52.65</c:v>
                </c:pt>
                <c:pt idx="918">
                  <c:v>51.78</c:v>
                </c:pt>
                <c:pt idx="919">
                  <c:v>52.36</c:v>
                </c:pt>
                <c:pt idx="920">
                  <c:v>52.01</c:v>
                </c:pt>
                <c:pt idx="921">
                  <c:v>52.42</c:v>
                </c:pt>
                <c:pt idx="922">
                  <c:v>52.37</c:v>
                </c:pt>
                <c:pt idx="923">
                  <c:v>52.14</c:v>
                </c:pt>
                <c:pt idx="924">
                  <c:v>52.7</c:v>
                </c:pt>
                <c:pt idx="925">
                  <c:v>51.9</c:v>
                </c:pt>
                <c:pt idx="926">
                  <c:v>52.1</c:v>
                </c:pt>
                <c:pt idx="927">
                  <c:v>50.73</c:v>
                </c:pt>
                <c:pt idx="928">
                  <c:v>50.8</c:v>
                </c:pt>
                <c:pt idx="929">
                  <c:v>50.27</c:v>
                </c:pt>
                <c:pt idx="930">
                  <c:v>51.03</c:v>
                </c:pt>
                <c:pt idx="931">
                  <c:v>52.72</c:v>
                </c:pt>
                <c:pt idx="932">
                  <c:v>51.66</c:v>
                </c:pt>
                <c:pt idx="933">
                  <c:v>51.87</c:v>
                </c:pt>
                <c:pt idx="934">
                  <c:v>52.57</c:v>
                </c:pt>
                <c:pt idx="935">
                  <c:v>52.04</c:v>
                </c:pt>
                <c:pt idx="936">
                  <c:v>52.41</c:v>
                </c:pt>
                <c:pt idx="937">
                  <c:v>51.89</c:v>
                </c:pt>
                <c:pt idx="938">
                  <c:v>52</c:v>
                </c:pt>
                <c:pt idx="939">
                  <c:v>50.86</c:v>
                </c:pt>
                <c:pt idx="940">
                  <c:v>52.38</c:v>
                </c:pt>
                <c:pt idx="941">
                  <c:v>52.75</c:v>
                </c:pt>
                <c:pt idx="942">
                  <c:v>52.34</c:v>
                </c:pt>
                <c:pt idx="943">
                  <c:v>53.38</c:v>
                </c:pt>
                <c:pt idx="944">
                  <c:v>54.2</c:v>
                </c:pt>
                <c:pt idx="945">
                  <c:v>54.49</c:v>
                </c:pt>
                <c:pt idx="946">
                  <c:v>53.78</c:v>
                </c:pt>
                <c:pt idx="947">
                  <c:v>53.84</c:v>
                </c:pt>
                <c:pt idx="948">
                  <c:v>54.27</c:v>
                </c:pt>
                <c:pt idx="949">
                  <c:v>55.16</c:v>
                </c:pt>
                <c:pt idx="950">
                  <c:v>55.47</c:v>
                </c:pt>
                <c:pt idx="951">
                  <c:v>55.62</c:v>
                </c:pt>
                <c:pt idx="952">
                  <c:v>55.48</c:v>
                </c:pt>
                <c:pt idx="953">
                  <c:v>55.14</c:v>
                </c:pt>
                <c:pt idx="954">
                  <c:v>56.29</c:v>
                </c:pt>
                <c:pt idx="955">
                  <c:v>56.43</c:v>
                </c:pt>
                <c:pt idx="956">
                  <c:v>56.86</c:v>
                </c:pt>
                <c:pt idx="957">
                  <c:v>59.02</c:v>
                </c:pt>
                <c:pt idx="958">
                  <c:v>58.44</c:v>
                </c:pt>
                <c:pt idx="959">
                  <c:v>57.9</c:v>
                </c:pt>
                <c:pt idx="960">
                  <c:v>57.41</c:v>
                </c:pt>
                <c:pt idx="961">
                  <c:v>57.54</c:v>
                </c:pt>
                <c:pt idx="962">
                  <c:v>56.12</c:v>
                </c:pt>
                <c:pt idx="963">
                  <c:v>56</c:v>
                </c:pt>
                <c:pt idx="964">
                  <c:v>55.8</c:v>
                </c:pt>
                <c:pt idx="965">
                  <c:v>57</c:v>
                </c:pt>
                <c:pt idx="966">
                  <c:v>55.62</c:v>
                </c:pt>
                <c:pt idx="967">
                  <c:v>55.79</c:v>
                </c:pt>
                <c:pt idx="968">
                  <c:v>56.61</c:v>
                </c:pt>
                <c:pt idx="969">
                  <c:v>56.94</c:v>
                </c:pt>
                <c:pt idx="970">
                  <c:v>56.25</c:v>
                </c:pt>
                <c:pt idx="971">
                  <c:v>57.17</c:v>
                </c:pt>
                <c:pt idx="972">
                  <c:v>57.82</c:v>
                </c:pt>
                <c:pt idx="973">
                  <c:v>57.88</c:v>
                </c:pt>
                <c:pt idx="974">
                  <c:v>58.15</c:v>
                </c:pt>
                <c:pt idx="975">
                  <c:v>57.23</c:v>
                </c:pt>
                <c:pt idx="976">
                  <c:v>57.75</c:v>
                </c:pt>
                <c:pt idx="977">
                  <c:v>57.37</c:v>
                </c:pt>
                <c:pt idx="978">
                  <c:v>58.33</c:v>
                </c:pt>
                <c:pt idx="979">
                  <c:v>58.44</c:v>
                </c:pt>
                <c:pt idx="980">
                  <c:v>59.3</c:v>
                </c:pt>
                <c:pt idx="981">
                  <c:v>60.44</c:v>
                </c:pt>
                <c:pt idx="982">
                  <c:v>60.9</c:v>
                </c:pt>
                <c:pt idx="983">
                  <c:v>61.37</c:v>
                </c:pt>
                <c:pt idx="984">
                  <c:v>60.49</c:v>
                </c:pt>
                <c:pt idx="985">
                  <c:v>60.62</c:v>
                </c:pt>
                <c:pt idx="986">
                  <c:v>62.07</c:v>
                </c:pt>
                <c:pt idx="987">
                  <c:v>64.27</c:v>
                </c:pt>
                <c:pt idx="988">
                  <c:v>63.69</c:v>
                </c:pt>
                <c:pt idx="989">
                  <c:v>63.49</c:v>
                </c:pt>
                <c:pt idx="990">
                  <c:v>63.93</c:v>
                </c:pt>
                <c:pt idx="991">
                  <c:v>63.52</c:v>
                </c:pt>
                <c:pt idx="992">
                  <c:v>63.16</c:v>
                </c:pt>
                <c:pt idx="993">
                  <c:v>60.91</c:v>
                </c:pt>
                <c:pt idx="994">
                  <c:v>61.25</c:v>
                </c:pt>
                <c:pt idx="995">
                  <c:v>61.18</c:v>
                </c:pt>
                <c:pt idx="996">
                  <c:v>61.34</c:v>
                </c:pt>
                <c:pt idx="997">
                  <c:v>61.34</c:v>
                </c:pt>
                <c:pt idx="998">
                  <c:v>62.28</c:v>
                </c:pt>
                <c:pt idx="999">
                  <c:v>62.92</c:v>
                </c:pt>
                <c:pt idx="1000">
                  <c:v>63.27</c:v>
                </c:pt>
                <c:pt idx="1001">
                  <c:v>63.58</c:v>
                </c:pt>
                <c:pt idx="1002">
                  <c:v>63.25</c:v>
                </c:pt>
                <c:pt idx="1003">
                  <c:v>63.56</c:v>
                </c:pt>
                <c:pt idx="1004">
                  <c:v>63.74</c:v>
                </c:pt>
                <c:pt idx="1005">
                  <c:v>63.53</c:v>
                </c:pt>
                <c:pt idx="1006">
                  <c:v>64.569999999999993</c:v>
                </c:pt>
                <c:pt idx="1007">
                  <c:v>63.45</c:v>
                </c:pt>
                <c:pt idx="1008">
                  <c:v>63.45</c:v>
                </c:pt>
                <c:pt idx="1009">
                  <c:v>62.25</c:v>
                </c:pt>
                <c:pt idx="1010">
                  <c:v>62.37</c:v>
                </c:pt>
                <c:pt idx="1011">
                  <c:v>63.86</c:v>
                </c:pt>
                <c:pt idx="1012">
                  <c:v>65.62</c:v>
                </c:pt>
                <c:pt idx="1013">
                  <c:v>64.959999999999994</c:v>
                </c:pt>
                <c:pt idx="1014">
                  <c:v>63.66</c:v>
                </c:pt>
                <c:pt idx="1015">
                  <c:v>63.72</c:v>
                </c:pt>
                <c:pt idx="1016">
                  <c:v>63.81</c:v>
                </c:pt>
                <c:pt idx="1017">
                  <c:v>64.45</c:v>
                </c:pt>
                <c:pt idx="1018">
                  <c:v>63.69</c:v>
                </c:pt>
                <c:pt idx="1019">
                  <c:v>64.430000000000007</c:v>
                </c:pt>
                <c:pt idx="1020">
                  <c:v>64.64</c:v>
                </c:pt>
                <c:pt idx="1021">
                  <c:v>64.61</c:v>
                </c:pt>
                <c:pt idx="1022">
                  <c:v>66.03</c:v>
                </c:pt>
                <c:pt idx="1023">
                  <c:v>66.8</c:v>
                </c:pt>
                <c:pt idx="1024">
                  <c:v>66.73</c:v>
                </c:pt>
                <c:pt idx="1025">
                  <c:v>66.650000000000006</c:v>
                </c:pt>
                <c:pt idx="1026">
                  <c:v>67.849999999999994</c:v>
                </c:pt>
                <c:pt idx="1027">
                  <c:v>68.73</c:v>
                </c:pt>
                <c:pt idx="1028">
                  <c:v>68.010000000000005</c:v>
                </c:pt>
                <c:pt idx="1029">
                  <c:v>68.48</c:v>
                </c:pt>
                <c:pt idx="1030">
                  <c:v>69.08</c:v>
                </c:pt>
                <c:pt idx="1031">
                  <c:v>69.790000000000006</c:v>
                </c:pt>
                <c:pt idx="1032">
                  <c:v>70.36</c:v>
                </c:pt>
                <c:pt idx="1033">
                  <c:v>69.64</c:v>
                </c:pt>
                <c:pt idx="1034">
                  <c:v>70.31</c:v>
                </c:pt>
                <c:pt idx="1035">
                  <c:v>69.400000000000006</c:v>
                </c:pt>
                <c:pt idx="1036">
                  <c:v>69.19</c:v>
                </c:pt>
                <c:pt idx="1037">
                  <c:v>69.48</c:v>
                </c:pt>
                <c:pt idx="1038">
                  <c:v>68.56</c:v>
                </c:pt>
                <c:pt idx="1039">
                  <c:v>69.319999999999993</c:v>
                </c:pt>
                <c:pt idx="1040">
                  <c:v>69.81</c:v>
                </c:pt>
                <c:pt idx="1041">
                  <c:v>69.91</c:v>
                </c:pt>
                <c:pt idx="1042">
                  <c:v>71.08</c:v>
                </c:pt>
                <c:pt idx="1043">
                  <c:v>70.08</c:v>
                </c:pt>
                <c:pt idx="1044">
                  <c:v>68.41</c:v>
                </c:pt>
                <c:pt idx="1045">
                  <c:v>67.78</c:v>
                </c:pt>
                <c:pt idx="1046">
                  <c:v>67.78</c:v>
                </c:pt>
                <c:pt idx="1047">
                  <c:v>68.599999999999994</c:v>
                </c:pt>
                <c:pt idx="1048">
                  <c:v>67.45</c:v>
                </c:pt>
                <c:pt idx="1049">
                  <c:v>67.69</c:v>
                </c:pt>
                <c:pt idx="1050">
                  <c:v>66.75</c:v>
                </c:pt>
                <c:pt idx="1051">
                  <c:v>65.739999999999995</c:v>
                </c:pt>
                <c:pt idx="1052">
                  <c:v>64.260000000000005</c:v>
                </c:pt>
                <c:pt idx="1053">
                  <c:v>63.04</c:v>
                </c:pt>
                <c:pt idx="1054">
                  <c:v>62.2</c:v>
                </c:pt>
                <c:pt idx="1055">
                  <c:v>61.94</c:v>
                </c:pt>
                <c:pt idx="1056">
                  <c:v>62.29</c:v>
                </c:pt>
                <c:pt idx="1057">
                  <c:v>62.86</c:v>
                </c:pt>
                <c:pt idx="1058">
                  <c:v>64.3</c:v>
                </c:pt>
                <c:pt idx="1059">
                  <c:v>64.95</c:v>
                </c:pt>
                <c:pt idx="1060">
                  <c:v>64.680000000000007</c:v>
                </c:pt>
                <c:pt idx="1061">
                  <c:v>64.81</c:v>
                </c:pt>
                <c:pt idx="1062">
                  <c:v>66.12</c:v>
                </c:pt>
                <c:pt idx="1063">
                  <c:v>67.040000000000006</c:v>
                </c:pt>
                <c:pt idx="1064">
                  <c:v>67.959999999999994</c:v>
                </c:pt>
                <c:pt idx="1065">
                  <c:v>67.59</c:v>
                </c:pt>
                <c:pt idx="1066">
                  <c:v>66.08</c:v>
                </c:pt>
                <c:pt idx="1067">
                  <c:v>64.23</c:v>
                </c:pt>
                <c:pt idx="1068">
                  <c:v>64.260000000000005</c:v>
                </c:pt>
                <c:pt idx="1069">
                  <c:v>65.78</c:v>
                </c:pt>
                <c:pt idx="1070">
                  <c:v>65.67</c:v>
                </c:pt>
                <c:pt idx="1071">
                  <c:v>65.09</c:v>
                </c:pt>
                <c:pt idx="1072">
                  <c:v>63.87</c:v>
                </c:pt>
                <c:pt idx="1073">
                  <c:v>65.19</c:v>
                </c:pt>
                <c:pt idx="1074">
                  <c:v>64.53</c:v>
                </c:pt>
                <c:pt idx="1075">
                  <c:v>64.2</c:v>
                </c:pt>
                <c:pt idx="1076">
                  <c:v>63.61</c:v>
                </c:pt>
                <c:pt idx="1077">
                  <c:v>63.67</c:v>
                </c:pt>
                <c:pt idx="1078">
                  <c:v>64.680000000000007</c:v>
                </c:pt>
                <c:pt idx="1079">
                  <c:v>64.819999999999993</c:v>
                </c:pt>
                <c:pt idx="1080">
                  <c:v>66</c:v>
                </c:pt>
                <c:pt idx="1081">
                  <c:v>68.150000000000006</c:v>
                </c:pt>
                <c:pt idx="1082">
                  <c:v>68.98</c:v>
                </c:pt>
                <c:pt idx="1083">
                  <c:v>69.03</c:v>
                </c:pt>
                <c:pt idx="1084">
                  <c:v>68.81</c:v>
                </c:pt>
                <c:pt idx="1085">
                  <c:v>68.63</c:v>
                </c:pt>
                <c:pt idx="1086">
                  <c:v>68.13</c:v>
                </c:pt>
                <c:pt idx="1087">
                  <c:v>69.02</c:v>
                </c:pt>
                <c:pt idx="1088">
                  <c:v>69.02</c:v>
                </c:pt>
                <c:pt idx="1089">
                  <c:v>66.040000000000006</c:v>
                </c:pt>
                <c:pt idx="1090">
                  <c:v>66.540000000000006</c:v>
                </c:pt>
                <c:pt idx="1091">
                  <c:v>66.510000000000005</c:v>
                </c:pt>
                <c:pt idx="1092">
                  <c:v>68.19</c:v>
                </c:pt>
                <c:pt idx="1093">
                  <c:v>70.67</c:v>
                </c:pt>
                <c:pt idx="1094">
                  <c:v>72.739999999999995</c:v>
                </c:pt>
                <c:pt idx="1095">
                  <c:v>71.44</c:v>
                </c:pt>
                <c:pt idx="1096">
                  <c:v>73.180000000000007</c:v>
                </c:pt>
                <c:pt idx="1097">
                  <c:v>72.05</c:v>
                </c:pt>
                <c:pt idx="1098">
                  <c:v>71.709999999999994</c:v>
                </c:pt>
                <c:pt idx="1099">
                  <c:v>73.73</c:v>
                </c:pt>
                <c:pt idx="1100">
                  <c:v>74.849999999999994</c:v>
                </c:pt>
                <c:pt idx="1101">
                  <c:v>74.62</c:v>
                </c:pt>
                <c:pt idx="1102">
                  <c:v>74.540000000000006</c:v>
                </c:pt>
                <c:pt idx="1103">
                  <c:v>75.86</c:v>
                </c:pt>
                <c:pt idx="1104">
                  <c:v>73.790000000000006</c:v>
                </c:pt>
                <c:pt idx="1105">
                  <c:v>75.39</c:v>
                </c:pt>
                <c:pt idx="1106">
                  <c:v>75.33</c:v>
                </c:pt>
                <c:pt idx="1107">
                  <c:v>75.92</c:v>
                </c:pt>
                <c:pt idx="1108">
                  <c:v>74.849999999999994</c:v>
                </c:pt>
                <c:pt idx="1109">
                  <c:v>73.14</c:v>
                </c:pt>
                <c:pt idx="1110">
                  <c:v>73.45</c:v>
                </c:pt>
                <c:pt idx="1111">
                  <c:v>74.75</c:v>
                </c:pt>
                <c:pt idx="1112">
                  <c:v>74.16</c:v>
                </c:pt>
                <c:pt idx="1113">
                  <c:v>77.599999999999994</c:v>
                </c:pt>
                <c:pt idx="1114">
                  <c:v>77.59</c:v>
                </c:pt>
                <c:pt idx="1115">
                  <c:v>77.37</c:v>
                </c:pt>
                <c:pt idx="1116">
                  <c:v>78.17</c:v>
                </c:pt>
                <c:pt idx="1117">
                  <c:v>78.94</c:v>
                </c:pt>
                <c:pt idx="1118">
                  <c:v>78.19</c:v>
                </c:pt>
                <c:pt idx="1119">
                  <c:v>80.09</c:v>
                </c:pt>
                <c:pt idx="1120">
                  <c:v>78.38</c:v>
                </c:pt>
                <c:pt idx="1121">
                  <c:v>78.34</c:v>
                </c:pt>
                <c:pt idx="1122">
                  <c:v>80.42</c:v>
                </c:pt>
                <c:pt idx="1123">
                  <c:v>78.69</c:v>
                </c:pt>
                <c:pt idx="1124">
                  <c:v>78.900000000000006</c:v>
                </c:pt>
                <c:pt idx="1125">
                  <c:v>76.599999999999994</c:v>
                </c:pt>
                <c:pt idx="1126">
                  <c:v>74.510000000000005</c:v>
                </c:pt>
                <c:pt idx="1127">
                  <c:v>75.89</c:v>
                </c:pt>
                <c:pt idx="1128">
                  <c:v>76.45</c:v>
                </c:pt>
                <c:pt idx="1129">
                  <c:v>74.540000000000006</c:v>
                </c:pt>
                <c:pt idx="1130">
                  <c:v>73.41</c:v>
                </c:pt>
                <c:pt idx="1131">
                  <c:v>72.91</c:v>
                </c:pt>
                <c:pt idx="1132">
                  <c:v>73.23</c:v>
                </c:pt>
                <c:pt idx="1133">
                  <c:v>75.23</c:v>
                </c:pt>
                <c:pt idx="1134">
                  <c:v>75.11</c:v>
                </c:pt>
                <c:pt idx="1135">
                  <c:v>74.58</c:v>
                </c:pt>
                <c:pt idx="1136">
                  <c:v>74.86</c:v>
                </c:pt>
                <c:pt idx="1137">
                  <c:v>75.069999999999993</c:v>
                </c:pt>
                <c:pt idx="1138">
                  <c:v>74.77</c:v>
                </c:pt>
                <c:pt idx="1139">
                  <c:v>72.02</c:v>
                </c:pt>
                <c:pt idx="1140">
                  <c:v>74.87</c:v>
                </c:pt>
                <c:pt idx="1141">
                  <c:v>74.92</c:v>
                </c:pt>
                <c:pt idx="1142">
                  <c:v>74.25</c:v>
                </c:pt>
                <c:pt idx="1143">
                  <c:v>72.87</c:v>
                </c:pt>
                <c:pt idx="1144">
                  <c:v>73.67</c:v>
                </c:pt>
                <c:pt idx="1145">
                  <c:v>72.819999999999993</c:v>
                </c:pt>
                <c:pt idx="1146">
                  <c:v>73.58</c:v>
                </c:pt>
                <c:pt idx="1147">
                  <c:v>76.09</c:v>
                </c:pt>
                <c:pt idx="1148">
                  <c:v>76.260000000000005</c:v>
                </c:pt>
                <c:pt idx="1149">
                  <c:v>77.44</c:v>
                </c:pt>
                <c:pt idx="1150">
                  <c:v>76.709999999999994</c:v>
                </c:pt>
                <c:pt idx="1151">
                  <c:v>75.87</c:v>
                </c:pt>
                <c:pt idx="1152">
                  <c:v>76.989999999999995</c:v>
                </c:pt>
                <c:pt idx="1153">
                  <c:v>77.09</c:v>
                </c:pt>
                <c:pt idx="1154">
                  <c:v>74.98</c:v>
                </c:pt>
                <c:pt idx="1155">
                  <c:v>77.08</c:v>
                </c:pt>
                <c:pt idx="1156">
                  <c:v>77.8</c:v>
                </c:pt>
                <c:pt idx="1157">
                  <c:v>75.349999999999994</c:v>
                </c:pt>
                <c:pt idx="1158">
                  <c:v>72.11</c:v>
                </c:pt>
                <c:pt idx="1159">
                  <c:v>74.11</c:v>
                </c:pt>
                <c:pt idx="1160">
                  <c:v>71.03</c:v>
                </c:pt>
                <c:pt idx="1161">
                  <c:v>70.87</c:v>
                </c:pt>
                <c:pt idx="1162">
                  <c:v>70.52</c:v>
                </c:pt>
                <c:pt idx="1163">
                  <c:v>71.94</c:v>
                </c:pt>
                <c:pt idx="1164">
                  <c:v>71.989999999999995</c:v>
                </c:pt>
                <c:pt idx="1165">
                  <c:v>73.45</c:v>
                </c:pt>
                <c:pt idx="1166">
                  <c:v>73.53</c:v>
                </c:pt>
                <c:pt idx="1167">
                  <c:v>73.67</c:v>
                </c:pt>
                <c:pt idx="1168">
                  <c:v>74.510000000000005</c:v>
                </c:pt>
                <c:pt idx="1169">
                  <c:v>74.84</c:v>
                </c:pt>
                <c:pt idx="1170">
                  <c:v>74.989999999999995</c:v>
                </c:pt>
                <c:pt idx="1171">
                  <c:v>74.16</c:v>
                </c:pt>
                <c:pt idx="1172">
                  <c:v>72.28</c:v>
                </c:pt>
                <c:pt idx="1173">
                  <c:v>72.95</c:v>
                </c:pt>
                <c:pt idx="1174">
                  <c:v>72.48</c:v>
                </c:pt>
                <c:pt idx="1175">
                  <c:v>72.510000000000005</c:v>
                </c:pt>
                <c:pt idx="1176">
                  <c:v>72.31</c:v>
                </c:pt>
                <c:pt idx="1177">
                  <c:v>70.709999999999994</c:v>
                </c:pt>
                <c:pt idx="1178">
                  <c:v>70.55</c:v>
                </c:pt>
                <c:pt idx="1179">
                  <c:v>71</c:v>
                </c:pt>
                <c:pt idx="1180">
                  <c:v>70.62</c:v>
                </c:pt>
                <c:pt idx="1181">
                  <c:v>70.77</c:v>
                </c:pt>
                <c:pt idx="1182">
                  <c:v>68.38</c:v>
                </c:pt>
                <c:pt idx="1183">
                  <c:v>69.209999999999994</c:v>
                </c:pt>
                <c:pt idx="1184">
                  <c:v>70.14</c:v>
                </c:pt>
                <c:pt idx="1185">
                  <c:v>71.11</c:v>
                </c:pt>
                <c:pt idx="1186">
                  <c:v>71.650000000000006</c:v>
                </c:pt>
                <c:pt idx="1187">
                  <c:v>72.959999999999994</c:v>
                </c:pt>
                <c:pt idx="1188">
                  <c:v>73.73</c:v>
                </c:pt>
                <c:pt idx="1189">
                  <c:v>74.41</c:v>
                </c:pt>
                <c:pt idx="1190">
                  <c:v>74.41</c:v>
                </c:pt>
                <c:pt idx="1191">
                  <c:v>75.91</c:v>
                </c:pt>
                <c:pt idx="1192">
                  <c:v>76.069999999999993</c:v>
                </c:pt>
                <c:pt idx="1193">
                  <c:v>77.05</c:v>
                </c:pt>
                <c:pt idx="1194">
                  <c:v>76.94</c:v>
                </c:pt>
                <c:pt idx="1195">
                  <c:v>77.81</c:v>
                </c:pt>
                <c:pt idx="1196">
                  <c:v>77.510000000000005</c:v>
                </c:pt>
                <c:pt idx="1197">
                  <c:v>76.680000000000007</c:v>
                </c:pt>
                <c:pt idx="1198">
                  <c:v>75.67</c:v>
                </c:pt>
                <c:pt idx="1199">
                  <c:v>75.55</c:v>
                </c:pt>
                <c:pt idx="1200">
                  <c:v>76.77</c:v>
                </c:pt>
                <c:pt idx="1201">
                  <c:v>78.22</c:v>
                </c:pt>
                <c:pt idx="1202">
                  <c:v>80.02</c:v>
                </c:pt>
                <c:pt idx="1203">
                  <c:v>77.66</c:v>
                </c:pt>
                <c:pt idx="1204">
                  <c:v>77.87</c:v>
                </c:pt>
                <c:pt idx="1205">
                  <c:v>78.22</c:v>
                </c:pt>
                <c:pt idx="1206">
                  <c:v>79.25</c:v>
                </c:pt>
                <c:pt idx="1207">
                  <c:v>79.430000000000007</c:v>
                </c:pt>
                <c:pt idx="1208">
                  <c:v>79.03</c:v>
                </c:pt>
                <c:pt idx="1209">
                  <c:v>78.900000000000006</c:v>
                </c:pt>
                <c:pt idx="1210">
                  <c:v>80.89</c:v>
                </c:pt>
                <c:pt idx="1211">
                  <c:v>82.21</c:v>
                </c:pt>
                <c:pt idx="1212">
                  <c:v>81.87</c:v>
                </c:pt>
                <c:pt idx="1213">
                  <c:v>81.540000000000006</c:v>
                </c:pt>
                <c:pt idx="1214">
                  <c:v>82.72</c:v>
                </c:pt>
                <c:pt idx="1215">
                  <c:v>84.94</c:v>
                </c:pt>
                <c:pt idx="1216">
                  <c:v>85.63</c:v>
                </c:pt>
                <c:pt idx="1217">
                  <c:v>85.45</c:v>
                </c:pt>
                <c:pt idx="1218">
                  <c:v>86.07</c:v>
                </c:pt>
                <c:pt idx="1219">
                  <c:v>85.12</c:v>
                </c:pt>
                <c:pt idx="1220">
                  <c:v>84.22</c:v>
                </c:pt>
                <c:pt idx="1221">
                  <c:v>85.16</c:v>
                </c:pt>
                <c:pt idx="1222">
                  <c:v>83.82</c:v>
                </c:pt>
                <c:pt idx="1223">
                  <c:v>81.349999999999994</c:v>
                </c:pt>
                <c:pt idx="1224">
                  <c:v>80.709999999999994</c:v>
                </c:pt>
                <c:pt idx="1225">
                  <c:v>80.91</c:v>
                </c:pt>
                <c:pt idx="1226">
                  <c:v>80.53</c:v>
                </c:pt>
                <c:pt idx="1227">
                  <c:v>79.91</c:v>
                </c:pt>
                <c:pt idx="1228">
                  <c:v>80.3</c:v>
                </c:pt>
                <c:pt idx="1229">
                  <c:v>80.38</c:v>
                </c:pt>
                <c:pt idx="1230">
                  <c:v>80.45</c:v>
                </c:pt>
                <c:pt idx="1231">
                  <c:v>78.67</c:v>
                </c:pt>
                <c:pt idx="1232">
                  <c:v>77.34</c:v>
                </c:pt>
                <c:pt idx="1233">
                  <c:v>77.3</c:v>
                </c:pt>
                <c:pt idx="1234">
                  <c:v>77.400000000000006</c:v>
                </c:pt>
                <c:pt idx="1235">
                  <c:v>77.56</c:v>
                </c:pt>
                <c:pt idx="1236">
                  <c:v>75.680000000000007</c:v>
                </c:pt>
                <c:pt idx="1237">
                  <c:v>74.84</c:v>
                </c:pt>
                <c:pt idx="1238">
                  <c:v>71.25</c:v>
                </c:pt>
                <c:pt idx="1239">
                  <c:v>71.11</c:v>
                </c:pt>
                <c:pt idx="1240">
                  <c:v>72.680000000000007</c:v>
                </c:pt>
                <c:pt idx="1241">
                  <c:v>70.64</c:v>
                </c:pt>
                <c:pt idx="1242">
                  <c:v>70.099999999999994</c:v>
                </c:pt>
                <c:pt idx="1243">
                  <c:v>69.290000000000006</c:v>
                </c:pt>
                <c:pt idx="1244">
                  <c:v>69.010000000000005</c:v>
                </c:pt>
                <c:pt idx="1245">
                  <c:v>69.81</c:v>
                </c:pt>
                <c:pt idx="1246">
                  <c:v>65.45</c:v>
                </c:pt>
                <c:pt idx="1247">
                  <c:v>64.88</c:v>
                </c:pt>
                <c:pt idx="1248">
                  <c:v>65.61</c:v>
                </c:pt>
                <c:pt idx="1249">
                  <c:v>65.290000000000006</c:v>
                </c:pt>
                <c:pt idx="1250">
                  <c:v>64.14</c:v>
                </c:pt>
                <c:pt idx="1251">
                  <c:v>61.5</c:v>
                </c:pt>
                <c:pt idx="1252">
                  <c:v>61.65</c:v>
                </c:pt>
                <c:pt idx="1253">
                  <c:v>61.11</c:v>
                </c:pt>
                <c:pt idx="1254">
                  <c:v>57.69</c:v>
                </c:pt>
                <c:pt idx="1255">
                  <c:v>59.7</c:v>
                </c:pt>
                <c:pt idx="1256">
                  <c:v>59.58</c:v>
                </c:pt>
                <c:pt idx="1257">
                  <c:v>57.97</c:v>
                </c:pt>
                <c:pt idx="1258">
                  <c:v>58.29</c:v>
                </c:pt>
                <c:pt idx="1259">
                  <c:v>57.71</c:v>
                </c:pt>
                <c:pt idx="1260">
                  <c:v>60.17</c:v>
                </c:pt>
                <c:pt idx="1261">
                  <c:v>61.22</c:v>
                </c:pt>
                <c:pt idx="1262">
                  <c:v>61.4</c:v>
                </c:pt>
                <c:pt idx="1263">
                  <c:v>57.83</c:v>
                </c:pt>
                <c:pt idx="1264">
                  <c:v>61.71</c:v>
                </c:pt>
                <c:pt idx="1265">
                  <c:v>60.29</c:v>
                </c:pt>
                <c:pt idx="1266">
                  <c:v>59.73</c:v>
                </c:pt>
                <c:pt idx="1267">
                  <c:v>59.94</c:v>
                </c:pt>
                <c:pt idx="1268">
                  <c:v>59.03</c:v>
                </c:pt>
                <c:pt idx="1269">
                  <c:v>58.56</c:v>
                </c:pt>
                <c:pt idx="1270">
                  <c:v>57.59</c:v>
                </c:pt>
                <c:pt idx="1271">
                  <c:v>55.26</c:v>
                </c:pt>
                <c:pt idx="1272">
                  <c:v>55.6</c:v>
                </c:pt>
                <c:pt idx="1273">
                  <c:v>52.84</c:v>
                </c:pt>
                <c:pt idx="1274">
                  <c:v>51.93</c:v>
                </c:pt>
                <c:pt idx="1275">
                  <c:v>51.49</c:v>
                </c:pt>
                <c:pt idx="1276">
                  <c:v>50.57</c:v>
                </c:pt>
              </c:numCache>
            </c:numRef>
          </c:val>
          <c:smooth val="0"/>
          <c:extLst>
            <c:ext xmlns:c16="http://schemas.microsoft.com/office/drawing/2014/chart" uri="{C3380CC4-5D6E-409C-BE32-E72D297353CC}">
              <c16:uniqueId val="{00000000-044E-4877-846D-27D4E019687A}"/>
            </c:ext>
          </c:extLst>
        </c:ser>
        <c:dLbls>
          <c:showLegendKey val="0"/>
          <c:showVal val="0"/>
          <c:showCatName val="0"/>
          <c:showSerName val="0"/>
          <c:showPercent val="0"/>
          <c:showBubbleSize val="0"/>
        </c:dLbls>
        <c:smooth val="0"/>
        <c:axId val="1238597656"/>
        <c:axId val="1238598640"/>
      </c:lineChart>
      <c:dateAx>
        <c:axId val="1238597656"/>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8598640"/>
        <c:crosses val="autoZero"/>
        <c:auto val="1"/>
        <c:lblOffset val="100"/>
        <c:baseTimeUnit val="days"/>
      </c:dateAx>
      <c:valAx>
        <c:axId val="1238598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85976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RUB/USD</a:t>
            </a:r>
            <a:r>
              <a:rPr lang="en-US" baseline="0"/>
              <a:t> exchange rate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'[RC_F01_01_2014_T31_12_2018.xlsx]RC'!$B$2:$B$1237</c:f>
              <c:numCache>
                <c:formatCode>m/d/yyyy</c:formatCode>
                <c:ptCount val="1236"/>
                <c:pt idx="0">
                  <c:v>41640</c:v>
                </c:pt>
                <c:pt idx="1">
                  <c:v>41649</c:v>
                </c:pt>
                <c:pt idx="2">
                  <c:v>41650</c:v>
                </c:pt>
                <c:pt idx="3">
                  <c:v>41653</c:v>
                </c:pt>
                <c:pt idx="4">
                  <c:v>41654</c:v>
                </c:pt>
                <c:pt idx="5">
                  <c:v>41655</c:v>
                </c:pt>
                <c:pt idx="6">
                  <c:v>41656</c:v>
                </c:pt>
                <c:pt idx="7">
                  <c:v>41657</c:v>
                </c:pt>
                <c:pt idx="8">
                  <c:v>41660</c:v>
                </c:pt>
                <c:pt idx="9">
                  <c:v>41661</c:v>
                </c:pt>
                <c:pt idx="10">
                  <c:v>41662</c:v>
                </c:pt>
                <c:pt idx="11">
                  <c:v>41663</c:v>
                </c:pt>
                <c:pt idx="12">
                  <c:v>41664</c:v>
                </c:pt>
                <c:pt idx="13">
                  <c:v>41667</c:v>
                </c:pt>
                <c:pt idx="14">
                  <c:v>41668</c:v>
                </c:pt>
                <c:pt idx="15">
                  <c:v>41669</c:v>
                </c:pt>
                <c:pt idx="16">
                  <c:v>41670</c:v>
                </c:pt>
                <c:pt idx="17">
                  <c:v>41671</c:v>
                </c:pt>
                <c:pt idx="18">
                  <c:v>41674</c:v>
                </c:pt>
                <c:pt idx="19">
                  <c:v>41675</c:v>
                </c:pt>
                <c:pt idx="20">
                  <c:v>41676</c:v>
                </c:pt>
                <c:pt idx="21">
                  <c:v>41677</c:v>
                </c:pt>
                <c:pt idx="22">
                  <c:v>41678</c:v>
                </c:pt>
                <c:pt idx="23">
                  <c:v>41681</c:v>
                </c:pt>
                <c:pt idx="24">
                  <c:v>41682</c:v>
                </c:pt>
                <c:pt idx="25">
                  <c:v>41683</c:v>
                </c:pt>
                <c:pt idx="26">
                  <c:v>41684</c:v>
                </c:pt>
                <c:pt idx="27">
                  <c:v>41685</c:v>
                </c:pt>
                <c:pt idx="28">
                  <c:v>41688</c:v>
                </c:pt>
                <c:pt idx="29">
                  <c:v>41689</c:v>
                </c:pt>
                <c:pt idx="30">
                  <c:v>41690</c:v>
                </c:pt>
                <c:pt idx="31">
                  <c:v>41691</c:v>
                </c:pt>
                <c:pt idx="32">
                  <c:v>41692</c:v>
                </c:pt>
                <c:pt idx="33">
                  <c:v>41695</c:v>
                </c:pt>
                <c:pt idx="34">
                  <c:v>41696</c:v>
                </c:pt>
                <c:pt idx="35">
                  <c:v>41697</c:v>
                </c:pt>
                <c:pt idx="36">
                  <c:v>41698</c:v>
                </c:pt>
                <c:pt idx="37">
                  <c:v>41699</c:v>
                </c:pt>
                <c:pt idx="38">
                  <c:v>41702</c:v>
                </c:pt>
                <c:pt idx="39">
                  <c:v>41703</c:v>
                </c:pt>
                <c:pt idx="40">
                  <c:v>41704</c:v>
                </c:pt>
                <c:pt idx="41">
                  <c:v>41705</c:v>
                </c:pt>
                <c:pt idx="42">
                  <c:v>41706</c:v>
                </c:pt>
                <c:pt idx="43">
                  <c:v>41710</c:v>
                </c:pt>
                <c:pt idx="44">
                  <c:v>41711</c:v>
                </c:pt>
                <c:pt idx="45">
                  <c:v>41712</c:v>
                </c:pt>
                <c:pt idx="46">
                  <c:v>41713</c:v>
                </c:pt>
                <c:pt idx="47">
                  <c:v>41716</c:v>
                </c:pt>
                <c:pt idx="48">
                  <c:v>41717</c:v>
                </c:pt>
                <c:pt idx="49">
                  <c:v>41718</c:v>
                </c:pt>
                <c:pt idx="50">
                  <c:v>41719</c:v>
                </c:pt>
                <c:pt idx="51">
                  <c:v>41720</c:v>
                </c:pt>
                <c:pt idx="52">
                  <c:v>41723</c:v>
                </c:pt>
                <c:pt idx="53">
                  <c:v>41724</c:v>
                </c:pt>
                <c:pt idx="54">
                  <c:v>41725</c:v>
                </c:pt>
                <c:pt idx="55">
                  <c:v>41726</c:v>
                </c:pt>
                <c:pt idx="56">
                  <c:v>41727</c:v>
                </c:pt>
                <c:pt idx="57">
                  <c:v>41730</c:v>
                </c:pt>
                <c:pt idx="58">
                  <c:v>41731</c:v>
                </c:pt>
                <c:pt idx="59">
                  <c:v>41732</c:v>
                </c:pt>
                <c:pt idx="60">
                  <c:v>41733</c:v>
                </c:pt>
                <c:pt idx="61">
                  <c:v>41734</c:v>
                </c:pt>
                <c:pt idx="62">
                  <c:v>41737</c:v>
                </c:pt>
                <c:pt idx="63">
                  <c:v>41738</c:v>
                </c:pt>
                <c:pt idx="64">
                  <c:v>41739</c:v>
                </c:pt>
                <c:pt idx="65">
                  <c:v>41740</c:v>
                </c:pt>
                <c:pt idx="66">
                  <c:v>41741</c:v>
                </c:pt>
                <c:pt idx="67">
                  <c:v>41744</c:v>
                </c:pt>
                <c:pt idx="68">
                  <c:v>41745</c:v>
                </c:pt>
                <c:pt idx="69">
                  <c:v>41746</c:v>
                </c:pt>
                <c:pt idx="70">
                  <c:v>41747</c:v>
                </c:pt>
                <c:pt idx="71">
                  <c:v>41748</c:v>
                </c:pt>
                <c:pt idx="72">
                  <c:v>41751</c:v>
                </c:pt>
                <c:pt idx="73">
                  <c:v>41752</c:v>
                </c:pt>
                <c:pt idx="74">
                  <c:v>41753</c:v>
                </c:pt>
                <c:pt idx="75">
                  <c:v>41754</c:v>
                </c:pt>
                <c:pt idx="76">
                  <c:v>41755</c:v>
                </c:pt>
                <c:pt idx="77">
                  <c:v>41758</c:v>
                </c:pt>
                <c:pt idx="78">
                  <c:v>41759</c:v>
                </c:pt>
                <c:pt idx="79">
                  <c:v>41760</c:v>
                </c:pt>
                <c:pt idx="80">
                  <c:v>41765</c:v>
                </c:pt>
                <c:pt idx="81">
                  <c:v>41766</c:v>
                </c:pt>
                <c:pt idx="82">
                  <c:v>41767</c:v>
                </c:pt>
                <c:pt idx="83">
                  <c:v>41768</c:v>
                </c:pt>
                <c:pt idx="84">
                  <c:v>41772</c:v>
                </c:pt>
                <c:pt idx="85">
                  <c:v>41773</c:v>
                </c:pt>
                <c:pt idx="86">
                  <c:v>41774</c:v>
                </c:pt>
                <c:pt idx="87">
                  <c:v>41775</c:v>
                </c:pt>
                <c:pt idx="88">
                  <c:v>41776</c:v>
                </c:pt>
                <c:pt idx="89">
                  <c:v>41779</c:v>
                </c:pt>
                <c:pt idx="90">
                  <c:v>41780</c:v>
                </c:pt>
                <c:pt idx="91">
                  <c:v>41781</c:v>
                </c:pt>
                <c:pt idx="92">
                  <c:v>41782</c:v>
                </c:pt>
                <c:pt idx="93">
                  <c:v>41783</c:v>
                </c:pt>
                <c:pt idx="94">
                  <c:v>41786</c:v>
                </c:pt>
                <c:pt idx="95">
                  <c:v>41787</c:v>
                </c:pt>
                <c:pt idx="96">
                  <c:v>41788</c:v>
                </c:pt>
                <c:pt idx="97">
                  <c:v>41789</c:v>
                </c:pt>
                <c:pt idx="98">
                  <c:v>41790</c:v>
                </c:pt>
                <c:pt idx="99">
                  <c:v>41793</c:v>
                </c:pt>
                <c:pt idx="100">
                  <c:v>41794</c:v>
                </c:pt>
                <c:pt idx="101">
                  <c:v>41795</c:v>
                </c:pt>
                <c:pt idx="102">
                  <c:v>41796</c:v>
                </c:pt>
                <c:pt idx="103">
                  <c:v>41797</c:v>
                </c:pt>
                <c:pt idx="104">
                  <c:v>41800</c:v>
                </c:pt>
                <c:pt idx="105">
                  <c:v>41801</c:v>
                </c:pt>
                <c:pt idx="106">
                  <c:v>41802</c:v>
                </c:pt>
                <c:pt idx="107">
                  <c:v>41807</c:v>
                </c:pt>
                <c:pt idx="108">
                  <c:v>41808</c:v>
                </c:pt>
                <c:pt idx="109">
                  <c:v>41809</c:v>
                </c:pt>
                <c:pt idx="110">
                  <c:v>41810</c:v>
                </c:pt>
                <c:pt idx="111">
                  <c:v>41811</c:v>
                </c:pt>
                <c:pt idx="112">
                  <c:v>41814</c:v>
                </c:pt>
                <c:pt idx="113">
                  <c:v>41815</c:v>
                </c:pt>
                <c:pt idx="114">
                  <c:v>41816</c:v>
                </c:pt>
                <c:pt idx="115">
                  <c:v>41817</c:v>
                </c:pt>
                <c:pt idx="116">
                  <c:v>41818</c:v>
                </c:pt>
                <c:pt idx="117">
                  <c:v>41821</c:v>
                </c:pt>
                <c:pt idx="118">
                  <c:v>41822</c:v>
                </c:pt>
                <c:pt idx="119">
                  <c:v>41823</c:v>
                </c:pt>
                <c:pt idx="120">
                  <c:v>41824</c:v>
                </c:pt>
                <c:pt idx="121">
                  <c:v>41825</c:v>
                </c:pt>
                <c:pt idx="122">
                  <c:v>41828</c:v>
                </c:pt>
                <c:pt idx="123">
                  <c:v>41829</c:v>
                </c:pt>
                <c:pt idx="124">
                  <c:v>41830</c:v>
                </c:pt>
                <c:pt idx="125">
                  <c:v>41831</c:v>
                </c:pt>
                <c:pt idx="126">
                  <c:v>41832</c:v>
                </c:pt>
                <c:pt idx="127">
                  <c:v>41835</c:v>
                </c:pt>
                <c:pt idx="128">
                  <c:v>41836</c:v>
                </c:pt>
                <c:pt idx="129">
                  <c:v>41837</c:v>
                </c:pt>
                <c:pt idx="130">
                  <c:v>41838</c:v>
                </c:pt>
                <c:pt idx="131">
                  <c:v>41839</c:v>
                </c:pt>
                <c:pt idx="132">
                  <c:v>41842</c:v>
                </c:pt>
                <c:pt idx="133">
                  <c:v>41843</c:v>
                </c:pt>
                <c:pt idx="134">
                  <c:v>41844</c:v>
                </c:pt>
                <c:pt idx="135">
                  <c:v>41845</c:v>
                </c:pt>
                <c:pt idx="136">
                  <c:v>41846</c:v>
                </c:pt>
                <c:pt idx="137">
                  <c:v>41849</c:v>
                </c:pt>
                <c:pt idx="138">
                  <c:v>41850</c:v>
                </c:pt>
                <c:pt idx="139">
                  <c:v>41851</c:v>
                </c:pt>
                <c:pt idx="140">
                  <c:v>41852</c:v>
                </c:pt>
                <c:pt idx="141">
                  <c:v>41853</c:v>
                </c:pt>
                <c:pt idx="142">
                  <c:v>41856</c:v>
                </c:pt>
                <c:pt idx="143">
                  <c:v>41857</c:v>
                </c:pt>
                <c:pt idx="144">
                  <c:v>41858</c:v>
                </c:pt>
                <c:pt idx="145">
                  <c:v>41859</c:v>
                </c:pt>
                <c:pt idx="146">
                  <c:v>41860</c:v>
                </c:pt>
                <c:pt idx="147">
                  <c:v>41863</c:v>
                </c:pt>
                <c:pt idx="148">
                  <c:v>41864</c:v>
                </c:pt>
                <c:pt idx="149">
                  <c:v>41865</c:v>
                </c:pt>
                <c:pt idx="150">
                  <c:v>41866</c:v>
                </c:pt>
                <c:pt idx="151">
                  <c:v>41867</c:v>
                </c:pt>
                <c:pt idx="152">
                  <c:v>41870</c:v>
                </c:pt>
                <c:pt idx="153">
                  <c:v>41871</c:v>
                </c:pt>
                <c:pt idx="154">
                  <c:v>41872</c:v>
                </c:pt>
                <c:pt idx="155">
                  <c:v>41873</c:v>
                </c:pt>
                <c:pt idx="156">
                  <c:v>41874</c:v>
                </c:pt>
                <c:pt idx="157">
                  <c:v>41877</c:v>
                </c:pt>
                <c:pt idx="158">
                  <c:v>41878</c:v>
                </c:pt>
                <c:pt idx="159">
                  <c:v>41879</c:v>
                </c:pt>
                <c:pt idx="160">
                  <c:v>41880</c:v>
                </c:pt>
                <c:pt idx="161">
                  <c:v>41881</c:v>
                </c:pt>
                <c:pt idx="162">
                  <c:v>41884</c:v>
                </c:pt>
                <c:pt idx="163">
                  <c:v>41885</c:v>
                </c:pt>
                <c:pt idx="164">
                  <c:v>41886</c:v>
                </c:pt>
                <c:pt idx="165">
                  <c:v>41887</c:v>
                </c:pt>
                <c:pt idx="166">
                  <c:v>41888</c:v>
                </c:pt>
                <c:pt idx="167">
                  <c:v>41891</c:v>
                </c:pt>
                <c:pt idx="168">
                  <c:v>41892</c:v>
                </c:pt>
                <c:pt idx="169">
                  <c:v>41893</c:v>
                </c:pt>
                <c:pt idx="170">
                  <c:v>41894</c:v>
                </c:pt>
                <c:pt idx="171">
                  <c:v>41895</c:v>
                </c:pt>
                <c:pt idx="172">
                  <c:v>41898</c:v>
                </c:pt>
                <c:pt idx="173">
                  <c:v>41899</c:v>
                </c:pt>
                <c:pt idx="174">
                  <c:v>41900</c:v>
                </c:pt>
                <c:pt idx="175">
                  <c:v>41901</c:v>
                </c:pt>
                <c:pt idx="176">
                  <c:v>41902</c:v>
                </c:pt>
                <c:pt idx="177">
                  <c:v>41905</c:v>
                </c:pt>
                <c:pt idx="178">
                  <c:v>41906</c:v>
                </c:pt>
                <c:pt idx="179">
                  <c:v>41907</c:v>
                </c:pt>
                <c:pt idx="180">
                  <c:v>41908</c:v>
                </c:pt>
                <c:pt idx="181">
                  <c:v>41909</c:v>
                </c:pt>
                <c:pt idx="182">
                  <c:v>41912</c:v>
                </c:pt>
                <c:pt idx="183">
                  <c:v>41913</c:v>
                </c:pt>
                <c:pt idx="184">
                  <c:v>41914</c:v>
                </c:pt>
                <c:pt idx="185">
                  <c:v>41915</c:v>
                </c:pt>
                <c:pt idx="186">
                  <c:v>41916</c:v>
                </c:pt>
                <c:pt idx="187">
                  <c:v>41919</c:v>
                </c:pt>
                <c:pt idx="188">
                  <c:v>41920</c:v>
                </c:pt>
                <c:pt idx="189">
                  <c:v>41921</c:v>
                </c:pt>
                <c:pt idx="190">
                  <c:v>41922</c:v>
                </c:pt>
                <c:pt idx="191">
                  <c:v>41923</c:v>
                </c:pt>
                <c:pt idx="192">
                  <c:v>41926</c:v>
                </c:pt>
                <c:pt idx="193">
                  <c:v>41927</c:v>
                </c:pt>
                <c:pt idx="194">
                  <c:v>41928</c:v>
                </c:pt>
                <c:pt idx="195">
                  <c:v>41929</c:v>
                </c:pt>
                <c:pt idx="196">
                  <c:v>41930</c:v>
                </c:pt>
                <c:pt idx="197">
                  <c:v>41933</c:v>
                </c:pt>
                <c:pt idx="198">
                  <c:v>41934</c:v>
                </c:pt>
                <c:pt idx="199">
                  <c:v>41935</c:v>
                </c:pt>
                <c:pt idx="200">
                  <c:v>41936</c:v>
                </c:pt>
                <c:pt idx="201">
                  <c:v>41937</c:v>
                </c:pt>
                <c:pt idx="202">
                  <c:v>41940</c:v>
                </c:pt>
                <c:pt idx="203">
                  <c:v>41941</c:v>
                </c:pt>
                <c:pt idx="204">
                  <c:v>41942</c:v>
                </c:pt>
                <c:pt idx="205">
                  <c:v>41943</c:v>
                </c:pt>
                <c:pt idx="206">
                  <c:v>41944</c:v>
                </c:pt>
                <c:pt idx="207">
                  <c:v>41949</c:v>
                </c:pt>
                <c:pt idx="208">
                  <c:v>41950</c:v>
                </c:pt>
                <c:pt idx="209">
                  <c:v>41951</c:v>
                </c:pt>
                <c:pt idx="210">
                  <c:v>41954</c:v>
                </c:pt>
                <c:pt idx="211">
                  <c:v>41955</c:v>
                </c:pt>
                <c:pt idx="212">
                  <c:v>41956</c:v>
                </c:pt>
                <c:pt idx="213">
                  <c:v>41957</c:v>
                </c:pt>
                <c:pt idx="214">
                  <c:v>41958</c:v>
                </c:pt>
                <c:pt idx="215">
                  <c:v>41961</c:v>
                </c:pt>
                <c:pt idx="216">
                  <c:v>41962</c:v>
                </c:pt>
                <c:pt idx="217">
                  <c:v>41963</c:v>
                </c:pt>
                <c:pt idx="218">
                  <c:v>41964</c:v>
                </c:pt>
                <c:pt idx="219">
                  <c:v>41965</c:v>
                </c:pt>
                <c:pt idx="220">
                  <c:v>41968</c:v>
                </c:pt>
                <c:pt idx="221">
                  <c:v>41969</c:v>
                </c:pt>
                <c:pt idx="222">
                  <c:v>41970</c:v>
                </c:pt>
                <c:pt idx="223">
                  <c:v>41971</c:v>
                </c:pt>
                <c:pt idx="224">
                  <c:v>41972</c:v>
                </c:pt>
                <c:pt idx="225">
                  <c:v>41975</c:v>
                </c:pt>
                <c:pt idx="226">
                  <c:v>41976</c:v>
                </c:pt>
                <c:pt idx="227">
                  <c:v>41977</c:v>
                </c:pt>
                <c:pt idx="228">
                  <c:v>41978</c:v>
                </c:pt>
                <c:pt idx="229">
                  <c:v>41979</c:v>
                </c:pt>
                <c:pt idx="230">
                  <c:v>41982</c:v>
                </c:pt>
                <c:pt idx="231">
                  <c:v>41983</c:v>
                </c:pt>
                <c:pt idx="232">
                  <c:v>41984</c:v>
                </c:pt>
                <c:pt idx="233">
                  <c:v>41985</c:v>
                </c:pt>
                <c:pt idx="234">
                  <c:v>41986</c:v>
                </c:pt>
                <c:pt idx="235">
                  <c:v>41989</c:v>
                </c:pt>
                <c:pt idx="236">
                  <c:v>41990</c:v>
                </c:pt>
                <c:pt idx="237">
                  <c:v>41991</c:v>
                </c:pt>
                <c:pt idx="238">
                  <c:v>41992</c:v>
                </c:pt>
                <c:pt idx="239">
                  <c:v>41993</c:v>
                </c:pt>
                <c:pt idx="240">
                  <c:v>41996</c:v>
                </c:pt>
                <c:pt idx="241">
                  <c:v>41997</c:v>
                </c:pt>
                <c:pt idx="242">
                  <c:v>41998</c:v>
                </c:pt>
                <c:pt idx="243">
                  <c:v>41999</c:v>
                </c:pt>
                <c:pt idx="244">
                  <c:v>42000</c:v>
                </c:pt>
                <c:pt idx="245">
                  <c:v>42003</c:v>
                </c:pt>
                <c:pt idx="246">
                  <c:v>42004</c:v>
                </c:pt>
                <c:pt idx="247">
                  <c:v>42005</c:v>
                </c:pt>
                <c:pt idx="248">
                  <c:v>42017</c:v>
                </c:pt>
                <c:pt idx="249">
                  <c:v>42018</c:v>
                </c:pt>
                <c:pt idx="250">
                  <c:v>42019</c:v>
                </c:pt>
                <c:pt idx="251">
                  <c:v>42020</c:v>
                </c:pt>
                <c:pt idx="252">
                  <c:v>42021</c:v>
                </c:pt>
                <c:pt idx="253">
                  <c:v>42024</c:v>
                </c:pt>
                <c:pt idx="254">
                  <c:v>42025</c:v>
                </c:pt>
                <c:pt idx="255">
                  <c:v>42026</c:v>
                </c:pt>
                <c:pt idx="256">
                  <c:v>42027</c:v>
                </c:pt>
                <c:pt idx="257">
                  <c:v>42028</c:v>
                </c:pt>
                <c:pt idx="258">
                  <c:v>42031</c:v>
                </c:pt>
                <c:pt idx="259">
                  <c:v>42032</c:v>
                </c:pt>
                <c:pt idx="260">
                  <c:v>42033</c:v>
                </c:pt>
                <c:pt idx="261">
                  <c:v>42034</c:v>
                </c:pt>
                <c:pt idx="262">
                  <c:v>42035</c:v>
                </c:pt>
                <c:pt idx="263">
                  <c:v>42038</c:v>
                </c:pt>
                <c:pt idx="264">
                  <c:v>42039</c:v>
                </c:pt>
                <c:pt idx="265">
                  <c:v>42040</c:v>
                </c:pt>
                <c:pt idx="266">
                  <c:v>42041</c:v>
                </c:pt>
                <c:pt idx="267">
                  <c:v>42042</c:v>
                </c:pt>
                <c:pt idx="268">
                  <c:v>42045</c:v>
                </c:pt>
                <c:pt idx="269">
                  <c:v>42046</c:v>
                </c:pt>
                <c:pt idx="270">
                  <c:v>42047</c:v>
                </c:pt>
                <c:pt idx="271">
                  <c:v>42048</c:v>
                </c:pt>
                <c:pt idx="272">
                  <c:v>42049</c:v>
                </c:pt>
                <c:pt idx="273">
                  <c:v>42052</c:v>
                </c:pt>
                <c:pt idx="274">
                  <c:v>42053</c:v>
                </c:pt>
                <c:pt idx="275">
                  <c:v>42054</c:v>
                </c:pt>
                <c:pt idx="276">
                  <c:v>42055</c:v>
                </c:pt>
                <c:pt idx="277">
                  <c:v>42056</c:v>
                </c:pt>
                <c:pt idx="278">
                  <c:v>42060</c:v>
                </c:pt>
                <c:pt idx="279">
                  <c:v>42061</c:v>
                </c:pt>
                <c:pt idx="280">
                  <c:v>42062</c:v>
                </c:pt>
                <c:pt idx="281">
                  <c:v>42063</c:v>
                </c:pt>
                <c:pt idx="282">
                  <c:v>42066</c:v>
                </c:pt>
                <c:pt idx="283">
                  <c:v>42067</c:v>
                </c:pt>
                <c:pt idx="284">
                  <c:v>42068</c:v>
                </c:pt>
                <c:pt idx="285">
                  <c:v>42069</c:v>
                </c:pt>
                <c:pt idx="286">
                  <c:v>42070</c:v>
                </c:pt>
                <c:pt idx="287">
                  <c:v>42074</c:v>
                </c:pt>
                <c:pt idx="288">
                  <c:v>42075</c:v>
                </c:pt>
                <c:pt idx="289">
                  <c:v>42076</c:v>
                </c:pt>
                <c:pt idx="290">
                  <c:v>42077</c:v>
                </c:pt>
                <c:pt idx="291">
                  <c:v>42080</c:v>
                </c:pt>
                <c:pt idx="292">
                  <c:v>42081</c:v>
                </c:pt>
                <c:pt idx="293">
                  <c:v>42082</c:v>
                </c:pt>
                <c:pt idx="294">
                  <c:v>42083</c:v>
                </c:pt>
                <c:pt idx="295">
                  <c:v>42084</c:v>
                </c:pt>
                <c:pt idx="296">
                  <c:v>42087</c:v>
                </c:pt>
                <c:pt idx="297">
                  <c:v>42088</c:v>
                </c:pt>
                <c:pt idx="298">
                  <c:v>42089</c:v>
                </c:pt>
                <c:pt idx="299">
                  <c:v>42090</c:v>
                </c:pt>
                <c:pt idx="300">
                  <c:v>42091</c:v>
                </c:pt>
                <c:pt idx="301">
                  <c:v>42094</c:v>
                </c:pt>
                <c:pt idx="302">
                  <c:v>42095</c:v>
                </c:pt>
                <c:pt idx="303">
                  <c:v>42096</c:v>
                </c:pt>
                <c:pt idx="304">
                  <c:v>42097</c:v>
                </c:pt>
                <c:pt idx="305">
                  <c:v>42098</c:v>
                </c:pt>
                <c:pt idx="306">
                  <c:v>42101</c:v>
                </c:pt>
                <c:pt idx="307">
                  <c:v>42102</c:v>
                </c:pt>
                <c:pt idx="308">
                  <c:v>42103</c:v>
                </c:pt>
                <c:pt idx="309">
                  <c:v>42104</c:v>
                </c:pt>
                <c:pt idx="310">
                  <c:v>42105</c:v>
                </c:pt>
                <c:pt idx="311">
                  <c:v>42108</c:v>
                </c:pt>
                <c:pt idx="312">
                  <c:v>42109</c:v>
                </c:pt>
                <c:pt idx="313">
                  <c:v>42110</c:v>
                </c:pt>
                <c:pt idx="314">
                  <c:v>42111</c:v>
                </c:pt>
                <c:pt idx="315">
                  <c:v>42112</c:v>
                </c:pt>
                <c:pt idx="316">
                  <c:v>42115</c:v>
                </c:pt>
                <c:pt idx="317">
                  <c:v>42116</c:v>
                </c:pt>
                <c:pt idx="318">
                  <c:v>42117</c:v>
                </c:pt>
                <c:pt idx="319">
                  <c:v>42118</c:v>
                </c:pt>
                <c:pt idx="320">
                  <c:v>42119</c:v>
                </c:pt>
                <c:pt idx="321">
                  <c:v>42122</c:v>
                </c:pt>
                <c:pt idx="322">
                  <c:v>42123</c:v>
                </c:pt>
                <c:pt idx="323">
                  <c:v>42124</c:v>
                </c:pt>
                <c:pt idx="324">
                  <c:v>42125</c:v>
                </c:pt>
                <c:pt idx="325">
                  <c:v>42130</c:v>
                </c:pt>
                <c:pt idx="326">
                  <c:v>42131</c:v>
                </c:pt>
                <c:pt idx="327">
                  <c:v>42132</c:v>
                </c:pt>
                <c:pt idx="328">
                  <c:v>42133</c:v>
                </c:pt>
                <c:pt idx="329">
                  <c:v>42137</c:v>
                </c:pt>
                <c:pt idx="330">
                  <c:v>42138</c:v>
                </c:pt>
                <c:pt idx="331">
                  <c:v>42139</c:v>
                </c:pt>
                <c:pt idx="332">
                  <c:v>42140</c:v>
                </c:pt>
                <c:pt idx="333">
                  <c:v>42143</c:v>
                </c:pt>
                <c:pt idx="334">
                  <c:v>42144</c:v>
                </c:pt>
                <c:pt idx="335">
                  <c:v>42145</c:v>
                </c:pt>
                <c:pt idx="336">
                  <c:v>42146</c:v>
                </c:pt>
                <c:pt idx="337">
                  <c:v>42147</c:v>
                </c:pt>
                <c:pt idx="338">
                  <c:v>42150</c:v>
                </c:pt>
                <c:pt idx="339">
                  <c:v>42151</c:v>
                </c:pt>
                <c:pt idx="340">
                  <c:v>42152</c:v>
                </c:pt>
                <c:pt idx="341">
                  <c:v>42153</c:v>
                </c:pt>
                <c:pt idx="342">
                  <c:v>42154</c:v>
                </c:pt>
                <c:pt idx="343">
                  <c:v>42157</c:v>
                </c:pt>
                <c:pt idx="344">
                  <c:v>42158</c:v>
                </c:pt>
                <c:pt idx="345">
                  <c:v>42159</c:v>
                </c:pt>
                <c:pt idx="346">
                  <c:v>42160</c:v>
                </c:pt>
                <c:pt idx="347">
                  <c:v>42161</c:v>
                </c:pt>
                <c:pt idx="348">
                  <c:v>42164</c:v>
                </c:pt>
                <c:pt idx="349">
                  <c:v>42165</c:v>
                </c:pt>
                <c:pt idx="350">
                  <c:v>42166</c:v>
                </c:pt>
                <c:pt idx="351">
                  <c:v>42167</c:v>
                </c:pt>
                <c:pt idx="352">
                  <c:v>42171</c:v>
                </c:pt>
                <c:pt idx="353">
                  <c:v>42172</c:v>
                </c:pt>
                <c:pt idx="354">
                  <c:v>42173</c:v>
                </c:pt>
                <c:pt idx="355">
                  <c:v>42174</c:v>
                </c:pt>
                <c:pt idx="356">
                  <c:v>42175</c:v>
                </c:pt>
                <c:pt idx="357">
                  <c:v>42178</c:v>
                </c:pt>
                <c:pt idx="358">
                  <c:v>42179</c:v>
                </c:pt>
                <c:pt idx="359">
                  <c:v>42180</c:v>
                </c:pt>
                <c:pt idx="360">
                  <c:v>42181</c:v>
                </c:pt>
                <c:pt idx="361">
                  <c:v>42182</c:v>
                </c:pt>
                <c:pt idx="362">
                  <c:v>42185</c:v>
                </c:pt>
                <c:pt idx="363">
                  <c:v>42186</c:v>
                </c:pt>
                <c:pt idx="364">
                  <c:v>42187</c:v>
                </c:pt>
                <c:pt idx="365">
                  <c:v>42188</c:v>
                </c:pt>
                <c:pt idx="366">
                  <c:v>42189</c:v>
                </c:pt>
                <c:pt idx="367">
                  <c:v>42192</c:v>
                </c:pt>
                <c:pt idx="368">
                  <c:v>42193</c:v>
                </c:pt>
                <c:pt idx="369">
                  <c:v>42194</c:v>
                </c:pt>
                <c:pt idx="370">
                  <c:v>42195</c:v>
                </c:pt>
                <c:pt idx="371">
                  <c:v>42196</c:v>
                </c:pt>
                <c:pt idx="372">
                  <c:v>42199</c:v>
                </c:pt>
                <c:pt idx="373">
                  <c:v>42200</c:v>
                </c:pt>
                <c:pt idx="374">
                  <c:v>42201</c:v>
                </c:pt>
                <c:pt idx="375">
                  <c:v>42202</c:v>
                </c:pt>
                <c:pt idx="376">
                  <c:v>42203</c:v>
                </c:pt>
                <c:pt idx="377">
                  <c:v>42206</c:v>
                </c:pt>
                <c:pt idx="378">
                  <c:v>42207</c:v>
                </c:pt>
                <c:pt idx="379">
                  <c:v>42208</c:v>
                </c:pt>
                <c:pt idx="380">
                  <c:v>42209</c:v>
                </c:pt>
                <c:pt idx="381">
                  <c:v>42210</c:v>
                </c:pt>
                <c:pt idx="382">
                  <c:v>42213</c:v>
                </c:pt>
                <c:pt idx="383">
                  <c:v>42214</c:v>
                </c:pt>
                <c:pt idx="384">
                  <c:v>42215</c:v>
                </c:pt>
                <c:pt idx="385">
                  <c:v>42216</c:v>
                </c:pt>
                <c:pt idx="386">
                  <c:v>42217</c:v>
                </c:pt>
                <c:pt idx="387">
                  <c:v>42220</c:v>
                </c:pt>
                <c:pt idx="388">
                  <c:v>42221</c:v>
                </c:pt>
                <c:pt idx="389">
                  <c:v>42222</c:v>
                </c:pt>
                <c:pt idx="390">
                  <c:v>42223</c:v>
                </c:pt>
                <c:pt idx="391">
                  <c:v>42224</c:v>
                </c:pt>
                <c:pt idx="392">
                  <c:v>42227</c:v>
                </c:pt>
                <c:pt idx="393">
                  <c:v>42228</c:v>
                </c:pt>
                <c:pt idx="394">
                  <c:v>42229</c:v>
                </c:pt>
                <c:pt idx="395">
                  <c:v>42230</c:v>
                </c:pt>
                <c:pt idx="396">
                  <c:v>42231</c:v>
                </c:pt>
                <c:pt idx="397">
                  <c:v>42234</c:v>
                </c:pt>
                <c:pt idx="398">
                  <c:v>42235</c:v>
                </c:pt>
                <c:pt idx="399">
                  <c:v>42236</c:v>
                </c:pt>
                <c:pt idx="400">
                  <c:v>42237</c:v>
                </c:pt>
                <c:pt idx="401">
                  <c:v>42238</c:v>
                </c:pt>
                <c:pt idx="402">
                  <c:v>42241</c:v>
                </c:pt>
                <c:pt idx="403">
                  <c:v>42242</c:v>
                </c:pt>
                <c:pt idx="404">
                  <c:v>42243</c:v>
                </c:pt>
                <c:pt idx="405">
                  <c:v>42244</c:v>
                </c:pt>
                <c:pt idx="406">
                  <c:v>42245</c:v>
                </c:pt>
                <c:pt idx="407">
                  <c:v>42248</c:v>
                </c:pt>
                <c:pt idx="408">
                  <c:v>42249</c:v>
                </c:pt>
                <c:pt idx="409">
                  <c:v>42250</c:v>
                </c:pt>
                <c:pt idx="410">
                  <c:v>42251</c:v>
                </c:pt>
                <c:pt idx="411">
                  <c:v>42252</c:v>
                </c:pt>
                <c:pt idx="412">
                  <c:v>42255</c:v>
                </c:pt>
                <c:pt idx="413">
                  <c:v>42256</c:v>
                </c:pt>
                <c:pt idx="414">
                  <c:v>42257</c:v>
                </c:pt>
                <c:pt idx="415">
                  <c:v>42258</c:v>
                </c:pt>
                <c:pt idx="416">
                  <c:v>42259</c:v>
                </c:pt>
                <c:pt idx="417">
                  <c:v>42262</c:v>
                </c:pt>
                <c:pt idx="418">
                  <c:v>42263</c:v>
                </c:pt>
                <c:pt idx="419">
                  <c:v>42264</c:v>
                </c:pt>
                <c:pt idx="420">
                  <c:v>42265</c:v>
                </c:pt>
                <c:pt idx="421">
                  <c:v>42266</c:v>
                </c:pt>
                <c:pt idx="422">
                  <c:v>42269</c:v>
                </c:pt>
                <c:pt idx="423">
                  <c:v>42270</c:v>
                </c:pt>
                <c:pt idx="424">
                  <c:v>42271</c:v>
                </c:pt>
                <c:pt idx="425">
                  <c:v>42272</c:v>
                </c:pt>
                <c:pt idx="426">
                  <c:v>42273</c:v>
                </c:pt>
                <c:pt idx="427">
                  <c:v>42276</c:v>
                </c:pt>
                <c:pt idx="428">
                  <c:v>42277</c:v>
                </c:pt>
                <c:pt idx="429">
                  <c:v>42278</c:v>
                </c:pt>
                <c:pt idx="430">
                  <c:v>42279</c:v>
                </c:pt>
                <c:pt idx="431">
                  <c:v>42280</c:v>
                </c:pt>
                <c:pt idx="432">
                  <c:v>42283</c:v>
                </c:pt>
                <c:pt idx="433">
                  <c:v>42284</c:v>
                </c:pt>
                <c:pt idx="434">
                  <c:v>42285</c:v>
                </c:pt>
                <c:pt idx="435">
                  <c:v>42286</c:v>
                </c:pt>
                <c:pt idx="436">
                  <c:v>42287</c:v>
                </c:pt>
                <c:pt idx="437">
                  <c:v>42290</c:v>
                </c:pt>
                <c:pt idx="438">
                  <c:v>42291</c:v>
                </c:pt>
                <c:pt idx="439">
                  <c:v>42292</c:v>
                </c:pt>
                <c:pt idx="440">
                  <c:v>42293</c:v>
                </c:pt>
                <c:pt idx="441">
                  <c:v>42294</c:v>
                </c:pt>
                <c:pt idx="442">
                  <c:v>42297</c:v>
                </c:pt>
                <c:pt idx="443">
                  <c:v>42298</c:v>
                </c:pt>
                <c:pt idx="444">
                  <c:v>42299</c:v>
                </c:pt>
                <c:pt idx="445">
                  <c:v>42300</c:v>
                </c:pt>
                <c:pt idx="446">
                  <c:v>42301</c:v>
                </c:pt>
                <c:pt idx="447">
                  <c:v>42304</c:v>
                </c:pt>
                <c:pt idx="448">
                  <c:v>42305</c:v>
                </c:pt>
                <c:pt idx="449">
                  <c:v>42306</c:v>
                </c:pt>
                <c:pt idx="450">
                  <c:v>42307</c:v>
                </c:pt>
                <c:pt idx="451">
                  <c:v>42308</c:v>
                </c:pt>
                <c:pt idx="452">
                  <c:v>42311</c:v>
                </c:pt>
                <c:pt idx="453">
                  <c:v>42312</c:v>
                </c:pt>
                <c:pt idx="454">
                  <c:v>42314</c:v>
                </c:pt>
                <c:pt idx="455">
                  <c:v>42315</c:v>
                </c:pt>
                <c:pt idx="456">
                  <c:v>42318</c:v>
                </c:pt>
                <c:pt idx="457">
                  <c:v>42319</c:v>
                </c:pt>
                <c:pt idx="458">
                  <c:v>42320</c:v>
                </c:pt>
                <c:pt idx="459">
                  <c:v>42321</c:v>
                </c:pt>
                <c:pt idx="460">
                  <c:v>42322</c:v>
                </c:pt>
                <c:pt idx="461">
                  <c:v>42325</c:v>
                </c:pt>
                <c:pt idx="462">
                  <c:v>42326</c:v>
                </c:pt>
                <c:pt idx="463">
                  <c:v>42327</c:v>
                </c:pt>
                <c:pt idx="464">
                  <c:v>42328</c:v>
                </c:pt>
                <c:pt idx="465">
                  <c:v>42329</c:v>
                </c:pt>
                <c:pt idx="466">
                  <c:v>42332</c:v>
                </c:pt>
                <c:pt idx="467">
                  <c:v>42333</c:v>
                </c:pt>
                <c:pt idx="468">
                  <c:v>42334</c:v>
                </c:pt>
                <c:pt idx="469">
                  <c:v>42335</c:v>
                </c:pt>
                <c:pt idx="470">
                  <c:v>42336</c:v>
                </c:pt>
                <c:pt idx="471">
                  <c:v>42339</c:v>
                </c:pt>
                <c:pt idx="472">
                  <c:v>42340</c:v>
                </c:pt>
                <c:pt idx="473">
                  <c:v>42341</c:v>
                </c:pt>
                <c:pt idx="474">
                  <c:v>42342</c:v>
                </c:pt>
                <c:pt idx="475">
                  <c:v>42343</c:v>
                </c:pt>
                <c:pt idx="476">
                  <c:v>42346</c:v>
                </c:pt>
                <c:pt idx="477">
                  <c:v>42347</c:v>
                </c:pt>
                <c:pt idx="478">
                  <c:v>42348</c:v>
                </c:pt>
                <c:pt idx="479">
                  <c:v>42349</c:v>
                </c:pt>
                <c:pt idx="480">
                  <c:v>42350</c:v>
                </c:pt>
                <c:pt idx="481">
                  <c:v>42353</c:v>
                </c:pt>
                <c:pt idx="482">
                  <c:v>42354</c:v>
                </c:pt>
                <c:pt idx="483">
                  <c:v>42355</c:v>
                </c:pt>
                <c:pt idx="484">
                  <c:v>42356</c:v>
                </c:pt>
                <c:pt idx="485">
                  <c:v>42357</c:v>
                </c:pt>
                <c:pt idx="486">
                  <c:v>42360</c:v>
                </c:pt>
                <c:pt idx="487">
                  <c:v>42361</c:v>
                </c:pt>
                <c:pt idx="488">
                  <c:v>42362</c:v>
                </c:pt>
                <c:pt idx="489">
                  <c:v>42363</c:v>
                </c:pt>
                <c:pt idx="490">
                  <c:v>42364</c:v>
                </c:pt>
                <c:pt idx="491">
                  <c:v>42367</c:v>
                </c:pt>
                <c:pt idx="492">
                  <c:v>42368</c:v>
                </c:pt>
                <c:pt idx="493">
                  <c:v>42369</c:v>
                </c:pt>
                <c:pt idx="494">
                  <c:v>42370</c:v>
                </c:pt>
                <c:pt idx="495">
                  <c:v>42381</c:v>
                </c:pt>
                <c:pt idx="496">
                  <c:v>42382</c:v>
                </c:pt>
                <c:pt idx="497">
                  <c:v>42383</c:v>
                </c:pt>
                <c:pt idx="498">
                  <c:v>42384</c:v>
                </c:pt>
                <c:pt idx="499">
                  <c:v>42385</c:v>
                </c:pt>
                <c:pt idx="500">
                  <c:v>42388</c:v>
                </c:pt>
                <c:pt idx="501">
                  <c:v>42389</c:v>
                </c:pt>
                <c:pt idx="502">
                  <c:v>42390</c:v>
                </c:pt>
                <c:pt idx="503">
                  <c:v>42391</c:v>
                </c:pt>
                <c:pt idx="504">
                  <c:v>42392</c:v>
                </c:pt>
                <c:pt idx="505">
                  <c:v>42395</c:v>
                </c:pt>
                <c:pt idx="506">
                  <c:v>42396</c:v>
                </c:pt>
                <c:pt idx="507">
                  <c:v>42397</c:v>
                </c:pt>
                <c:pt idx="508">
                  <c:v>42398</c:v>
                </c:pt>
                <c:pt idx="509">
                  <c:v>42399</c:v>
                </c:pt>
                <c:pt idx="510">
                  <c:v>42402</c:v>
                </c:pt>
                <c:pt idx="511">
                  <c:v>42403</c:v>
                </c:pt>
                <c:pt idx="512">
                  <c:v>42404</c:v>
                </c:pt>
                <c:pt idx="513">
                  <c:v>42405</c:v>
                </c:pt>
                <c:pt idx="514">
                  <c:v>42406</c:v>
                </c:pt>
                <c:pt idx="515">
                  <c:v>42409</c:v>
                </c:pt>
                <c:pt idx="516">
                  <c:v>42410</c:v>
                </c:pt>
                <c:pt idx="517">
                  <c:v>42411</c:v>
                </c:pt>
                <c:pt idx="518">
                  <c:v>42412</c:v>
                </c:pt>
                <c:pt idx="519">
                  <c:v>42413</c:v>
                </c:pt>
                <c:pt idx="520">
                  <c:v>42416</c:v>
                </c:pt>
                <c:pt idx="521">
                  <c:v>42417</c:v>
                </c:pt>
                <c:pt idx="522">
                  <c:v>42418</c:v>
                </c:pt>
                <c:pt idx="523">
                  <c:v>42419</c:v>
                </c:pt>
                <c:pt idx="524">
                  <c:v>42420</c:v>
                </c:pt>
                <c:pt idx="525">
                  <c:v>42421</c:v>
                </c:pt>
                <c:pt idx="526">
                  <c:v>42425</c:v>
                </c:pt>
                <c:pt idx="527">
                  <c:v>42426</c:v>
                </c:pt>
                <c:pt idx="528">
                  <c:v>42427</c:v>
                </c:pt>
                <c:pt idx="529">
                  <c:v>42430</c:v>
                </c:pt>
                <c:pt idx="530">
                  <c:v>42431</c:v>
                </c:pt>
                <c:pt idx="531">
                  <c:v>42432</c:v>
                </c:pt>
                <c:pt idx="532">
                  <c:v>42433</c:v>
                </c:pt>
                <c:pt idx="533">
                  <c:v>42434</c:v>
                </c:pt>
                <c:pt idx="534">
                  <c:v>42439</c:v>
                </c:pt>
                <c:pt idx="535">
                  <c:v>42440</c:v>
                </c:pt>
                <c:pt idx="536">
                  <c:v>42441</c:v>
                </c:pt>
                <c:pt idx="537">
                  <c:v>42444</c:v>
                </c:pt>
                <c:pt idx="538">
                  <c:v>42445</c:v>
                </c:pt>
                <c:pt idx="539">
                  <c:v>42446</c:v>
                </c:pt>
                <c:pt idx="540">
                  <c:v>42447</c:v>
                </c:pt>
                <c:pt idx="541">
                  <c:v>42448</c:v>
                </c:pt>
                <c:pt idx="542">
                  <c:v>42451</c:v>
                </c:pt>
                <c:pt idx="543">
                  <c:v>42452</c:v>
                </c:pt>
                <c:pt idx="544">
                  <c:v>42453</c:v>
                </c:pt>
                <c:pt idx="545">
                  <c:v>42454</c:v>
                </c:pt>
                <c:pt idx="546">
                  <c:v>42455</c:v>
                </c:pt>
                <c:pt idx="547">
                  <c:v>42458</c:v>
                </c:pt>
                <c:pt idx="548">
                  <c:v>42459</c:v>
                </c:pt>
                <c:pt idx="549">
                  <c:v>42460</c:v>
                </c:pt>
                <c:pt idx="550">
                  <c:v>42461</c:v>
                </c:pt>
                <c:pt idx="551">
                  <c:v>42462</c:v>
                </c:pt>
                <c:pt idx="552">
                  <c:v>42465</c:v>
                </c:pt>
                <c:pt idx="553">
                  <c:v>42466</c:v>
                </c:pt>
                <c:pt idx="554">
                  <c:v>42467</c:v>
                </c:pt>
                <c:pt idx="555">
                  <c:v>42468</c:v>
                </c:pt>
                <c:pt idx="556">
                  <c:v>42469</c:v>
                </c:pt>
                <c:pt idx="557">
                  <c:v>42472</c:v>
                </c:pt>
                <c:pt idx="558">
                  <c:v>42473</c:v>
                </c:pt>
                <c:pt idx="559">
                  <c:v>42474</c:v>
                </c:pt>
                <c:pt idx="560">
                  <c:v>42475</c:v>
                </c:pt>
                <c:pt idx="561">
                  <c:v>42476</c:v>
                </c:pt>
                <c:pt idx="562">
                  <c:v>42479</c:v>
                </c:pt>
                <c:pt idx="563">
                  <c:v>42480</c:v>
                </c:pt>
                <c:pt idx="564">
                  <c:v>42481</c:v>
                </c:pt>
                <c:pt idx="565">
                  <c:v>42482</c:v>
                </c:pt>
                <c:pt idx="566">
                  <c:v>42483</c:v>
                </c:pt>
                <c:pt idx="567">
                  <c:v>42486</c:v>
                </c:pt>
                <c:pt idx="568">
                  <c:v>42487</c:v>
                </c:pt>
                <c:pt idx="569">
                  <c:v>42488</c:v>
                </c:pt>
                <c:pt idx="570">
                  <c:v>42489</c:v>
                </c:pt>
                <c:pt idx="571">
                  <c:v>42490</c:v>
                </c:pt>
                <c:pt idx="572">
                  <c:v>42495</c:v>
                </c:pt>
                <c:pt idx="573">
                  <c:v>42496</c:v>
                </c:pt>
                <c:pt idx="574">
                  <c:v>42497</c:v>
                </c:pt>
                <c:pt idx="575">
                  <c:v>42501</c:v>
                </c:pt>
                <c:pt idx="576">
                  <c:v>42502</c:v>
                </c:pt>
                <c:pt idx="577">
                  <c:v>42503</c:v>
                </c:pt>
                <c:pt idx="578">
                  <c:v>42504</c:v>
                </c:pt>
                <c:pt idx="579">
                  <c:v>42507</c:v>
                </c:pt>
                <c:pt idx="580">
                  <c:v>42508</c:v>
                </c:pt>
                <c:pt idx="581">
                  <c:v>42509</c:v>
                </c:pt>
                <c:pt idx="582">
                  <c:v>42510</c:v>
                </c:pt>
                <c:pt idx="583">
                  <c:v>42511</c:v>
                </c:pt>
                <c:pt idx="584">
                  <c:v>42514</c:v>
                </c:pt>
                <c:pt idx="585">
                  <c:v>42515</c:v>
                </c:pt>
                <c:pt idx="586">
                  <c:v>42516</c:v>
                </c:pt>
                <c:pt idx="587">
                  <c:v>42517</c:v>
                </c:pt>
                <c:pt idx="588">
                  <c:v>42518</c:v>
                </c:pt>
                <c:pt idx="589">
                  <c:v>42521</c:v>
                </c:pt>
                <c:pt idx="590">
                  <c:v>42522</c:v>
                </c:pt>
                <c:pt idx="591">
                  <c:v>42523</c:v>
                </c:pt>
                <c:pt idx="592">
                  <c:v>42524</c:v>
                </c:pt>
                <c:pt idx="593">
                  <c:v>42525</c:v>
                </c:pt>
                <c:pt idx="594">
                  <c:v>42528</c:v>
                </c:pt>
                <c:pt idx="595">
                  <c:v>42529</c:v>
                </c:pt>
                <c:pt idx="596">
                  <c:v>42530</c:v>
                </c:pt>
                <c:pt idx="597">
                  <c:v>42531</c:v>
                </c:pt>
                <c:pt idx="598">
                  <c:v>42532</c:v>
                </c:pt>
                <c:pt idx="599">
                  <c:v>42536</c:v>
                </c:pt>
                <c:pt idx="600">
                  <c:v>42537</c:v>
                </c:pt>
                <c:pt idx="601">
                  <c:v>42538</c:v>
                </c:pt>
                <c:pt idx="602">
                  <c:v>42539</c:v>
                </c:pt>
                <c:pt idx="603">
                  <c:v>42542</c:v>
                </c:pt>
                <c:pt idx="604">
                  <c:v>42543</c:v>
                </c:pt>
                <c:pt idx="605">
                  <c:v>42544</c:v>
                </c:pt>
                <c:pt idx="606">
                  <c:v>42545</c:v>
                </c:pt>
                <c:pt idx="607">
                  <c:v>42546</c:v>
                </c:pt>
                <c:pt idx="608">
                  <c:v>42549</c:v>
                </c:pt>
                <c:pt idx="609">
                  <c:v>42550</c:v>
                </c:pt>
                <c:pt idx="610">
                  <c:v>42551</c:v>
                </c:pt>
                <c:pt idx="611">
                  <c:v>42552</c:v>
                </c:pt>
                <c:pt idx="612">
                  <c:v>42553</c:v>
                </c:pt>
                <c:pt idx="613">
                  <c:v>42556</c:v>
                </c:pt>
                <c:pt idx="614">
                  <c:v>42557</c:v>
                </c:pt>
                <c:pt idx="615">
                  <c:v>42558</c:v>
                </c:pt>
                <c:pt idx="616">
                  <c:v>42559</c:v>
                </c:pt>
                <c:pt idx="617">
                  <c:v>42560</c:v>
                </c:pt>
                <c:pt idx="618">
                  <c:v>42563</c:v>
                </c:pt>
                <c:pt idx="619">
                  <c:v>42564</c:v>
                </c:pt>
                <c:pt idx="620">
                  <c:v>42565</c:v>
                </c:pt>
                <c:pt idx="621">
                  <c:v>42566</c:v>
                </c:pt>
                <c:pt idx="622">
                  <c:v>42567</c:v>
                </c:pt>
                <c:pt idx="623">
                  <c:v>42570</c:v>
                </c:pt>
                <c:pt idx="624">
                  <c:v>42571</c:v>
                </c:pt>
                <c:pt idx="625">
                  <c:v>42572</c:v>
                </c:pt>
                <c:pt idx="626">
                  <c:v>42573</c:v>
                </c:pt>
                <c:pt idx="627">
                  <c:v>42574</c:v>
                </c:pt>
                <c:pt idx="628">
                  <c:v>42577</c:v>
                </c:pt>
                <c:pt idx="629">
                  <c:v>42578</c:v>
                </c:pt>
                <c:pt idx="630">
                  <c:v>42579</c:v>
                </c:pt>
                <c:pt idx="631">
                  <c:v>42580</c:v>
                </c:pt>
                <c:pt idx="632">
                  <c:v>42581</c:v>
                </c:pt>
                <c:pt idx="633">
                  <c:v>42584</c:v>
                </c:pt>
                <c:pt idx="634">
                  <c:v>42585</c:v>
                </c:pt>
                <c:pt idx="635">
                  <c:v>42586</c:v>
                </c:pt>
                <c:pt idx="636">
                  <c:v>42587</c:v>
                </c:pt>
                <c:pt idx="637">
                  <c:v>42588</c:v>
                </c:pt>
                <c:pt idx="638">
                  <c:v>42591</c:v>
                </c:pt>
                <c:pt idx="639">
                  <c:v>42592</c:v>
                </c:pt>
                <c:pt idx="640">
                  <c:v>42593</c:v>
                </c:pt>
                <c:pt idx="641">
                  <c:v>42594</c:v>
                </c:pt>
                <c:pt idx="642">
                  <c:v>42595</c:v>
                </c:pt>
                <c:pt idx="643">
                  <c:v>42598</c:v>
                </c:pt>
                <c:pt idx="644">
                  <c:v>42599</c:v>
                </c:pt>
                <c:pt idx="645">
                  <c:v>42600</c:v>
                </c:pt>
                <c:pt idx="646">
                  <c:v>42601</c:v>
                </c:pt>
                <c:pt idx="647">
                  <c:v>42602</c:v>
                </c:pt>
                <c:pt idx="648">
                  <c:v>42605</c:v>
                </c:pt>
                <c:pt idx="649">
                  <c:v>42606</c:v>
                </c:pt>
                <c:pt idx="650">
                  <c:v>42607</c:v>
                </c:pt>
                <c:pt idx="651">
                  <c:v>42608</c:v>
                </c:pt>
                <c:pt idx="652">
                  <c:v>42609</c:v>
                </c:pt>
                <c:pt idx="653">
                  <c:v>42612</c:v>
                </c:pt>
                <c:pt idx="654">
                  <c:v>42613</c:v>
                </c:pt>
                <c:pt idx="655">
                  <c:v>42614</c:v>
                </c:pt>
                <c:pt idx="656">
                  <c:v>42615</c:v>
                </c:pt>
                <c:pt idx="657">
                  <c:v>42616</c:v>
                </c:pt>
                <c:pt idx="658">
                  <c:v>42619</c:v>
                </c:pt>
                <c:pt idx="659">
                  <c:v>42620</c:v>
                </c:pt>
                <c:pt idx="660">
                  <c:v>42621</c:v>
                </c:pt>
                <c:pt idx="661">
                  <c:v>42622</c:v>
                </c:pt>
                <c:pt idx="662">
                  <c:v>42623</c:v>
                </c:pt>
                <c:pt idx="663">
                  <c:v>42626</c:v>
                </c:pt>
                <c:pt idx="664">
                  <c:v>42627</c:v>
                </c:pt>
                <c:pt idx="665">
                  <c:v>42628</c:v>
                </c:pt>
                <c:pt idx="666">
                  <c:v>42629</c:v>
                </c:pt>
                <c:pt idx="667">
                  <c:v>42630</c:v>
                </c:pt>
                <c:pt idx="668">
                  <c:v>42633</c:v>
                </c:pt>
                <c:pt idx="669">
                  <c:v>42634</c:v>
                </c:pt>
                <c:pt idx="670">
                  <c:v>42635</c:v>
                </c:pt>
                <c:pt idx="671">
                  <c:v>42636</c:v>
                </c:pt>
                <c:pt idx="672">
                  <c:v>42637</c:v>
                </c:pt>
                <c:pt idx="673">
                  <c:v>42640</c:v>
                </c:pt>
                <c:pt idx="674">
                  <c:v>42641</c:v>
                </c:pt>
                <c:pt idx="675">
                  <c:v>42642</c:v>
                </c:pt>
                <c:pt idx="676">
                  <c:v>42643</c:v>
                </c:pt>
                <c:pt idx="677">
                  <c:v>42644</c:v>
                </c:pt>
                <c:pt idx="678">
                  <c:v>42647</c:v>
                </c:pt>
                <c:pt idx="679">
                  <c:v>42648</c:v>
                </c:pt>
                <c:pt idx="680">
                  <c:v>42649</c:v>
                </c:pt>
                <c:pt idx="681">
                  <c:v>42650</c:v>
                </c:pt>
                <c:pt idx="682">
                  <c:v>42651</c:v>
                </c:pt>
                <c:pt idx="683">
                  <c:v>42654</c:v>
                </c:pt>
                <c:pt idx="684">
                  <c:v>42655</c:v>
                </c:pt>
                <c:pt idx="685">
                  <c:v>42656</c:v>
                </c:pt>
                <c:pt idx="686">
                  <c:v>42657</c:v>
                </c:pt>
                <c:pt idx="687">
                  <c:v>42658</c:v>
                </c:pt>
                <c:pt idx="688">
                  <c:v>42661</c:v>
                </c:pt>
                <c:pt idx="689">
                  <c:v>42662</c:v>
                </c:pt>
                <c:pt idx="690">
                  <c:v>42663</c:v>
                </c:pt>
                <c:pt idx="691">
                  <c:v>42664</c:v>
                </c:pt>
                <c:pt idx="692">
                  <c:v>42665</c:v>
                </c:pt>
                <c:pt idx="693">
                  <c:v>42668</c:v>
                </c:pt>
                <c:pt idx="694">
                  <c:v>42669</c:v>
                </c:pt>
                <c:pt idx="695">
                  <c:v>42670</c:v>
                </c:pt>
                <c:pt idx="696">
                  <c:v>42671</c:v>
                </c:pt>
                <c:pt idx="697">
                  <c:v>42672</c:v>
                </c:pt>
                <c:pt idx="698">
                  <c:v>42675</c:v>
                </c:pt>
                <c:pt idx="699">
                  <c:v>42676</c:v>
                </c:pt>
                <c:pt idx="700">
                  <c:v>42677</c:v>
                </c:pt>
                <c:pt idx="701">
                  <c:v>42678</c:v>
                </c:pt>
                <c:pt idx="702">
                  <c:v>42682</c:v>
                </c:pt>
                <c:pt idx="703">
                  <c:v>42683</c:v>
                </c:pt>
                <c:pt idx="704">
                  <c:v>42684</c:v>
                </c:pt>
                <c:pt idx="705">
                  <c:v>42685</c:v>
                </c:pt>
                <c:pt idx="706">
                  <c:v>42686</c:v>
                </c:pt>
                <c:pt idx="707">
                  <c:v>42689</c:v>
                </c:pt>
                <c:pt idx="708">
                  <c:v>42690</c:v>
                </c:pt>
                <c:pt idx="709">
                  <c:v>42691</c:v>
                </c:pt>
                <c:pt idx="710">
                  <c:v>42692</c:v>
                </c:pt>
                <c:pt idx="711">
                  <c:v>42693</c:v>
                </c:pt>
                <c:pt idx="712">
                  <c:v>42696</c:v>
                </c:pt>
                <c:pt idx="713">
                  <c:v>42697</c:v>
                </c:pt>
                <c:pt idx="714">
                  <c:v>42698</c:v>
                </c:pt>
                <c:pt idx="715">
                  <c:v>42699</c:v>
                </c:pt>
                <c:pt idx="716">
                  <c:v>42700</c:v>
                </c:pt>
                <c:pt idx="717">
                  <c:v>42703</c:v>
                </c:pt>
                <c:pt idx="718">
                  <c:v>42704</c:v>
                </c:pt>
                <c:pt idx="719">
                  <c:v>42705</c:v>
                </c:pt>
                <c:pt idx="720">
                  <c:v>42706</c:v>
                </c:pt>
                <c:pt idx="721">
                  <c:v>42707</c:v>
                </c:pt>
                <c:pt idx="722">
                  <c:v>42710</c:v>
                </c:pt>
                <c:pt idx="723">
                  <c:v>42711</c:v>
                </c:pt>
                <c:pt idx="724">
                  <c:v>42712</c:v>
                </c:pt>
                <c:pt idx="725">
                  <c:v>42713</c:v>
                </c:pt>
                <c:pt idx="726">
                  <c:v>42714</c:v>
                </c:pt>
                <c:pt idx="727">
                  <c:v>42717</c:v>
                </c:pt>
                <c:pt idx="728">
                  <c:v>42718</c:v>
                </c:pt>
                <c:pt idx="729">
                  <c:v>42719</c:v>
                </c:pt>
                <c:pt idx="730">
                  <c:v>42720</c:v>
                </c:pt>
                <c:pt idx="731">
                  <c:v>42721</c:v>
                </c:pt>
                <c:pt idx="732">
                  <c:v>42724</c:v>
                </c:pt>
                <c:pt idx="733">
                  <c:v>42725</c:v>
                </c:pt>
                <c:pt idx="734">
                  <c:v>42726</c:v>
                </c:pt>
                <c:pt idx="735">
                  <c:v>42727</c:v>
                </c:pt>
                <c:pt idx="736">
                  <c:v>42728</c:v>
                </c:pt>
                <c:pt idx="737">
                  <c:v>42731</c:v>
                </c:pt>
                <c:pt idx="738">
                  <c:v>42732</c:v>
                </c:pt>
                <c:pt idx="739">
                  <c:v>42733</c:v>
                </c:pt>
                <c:pt idx="740">
                  <c:v>42734</c:v>
                </c:pt>
                <c:pt idx="741">
                  <c:v>42735</c:v>
                </c:pt>
                <c:pt idx="742">
                  <c:v>42745</c:v>
                </c:pt>
                <c:pt idx="743">
                  <c:v>42746</c:v>
                </c:pt>
                <c:pt idx="744">
                  <c:v>42747</c:v>
                </c:pt>
                <c:pt idx="745">
                  <c:v>42748</c:v>
                </c:pt>
                <c:pt idx="746">
                  <c:v>42749</c:v>
                </c:pt>
                <c:pt idx="747">
                  <c:v>42752</c:v>
                </c:pt>
                <c:pt idx="748">
                  <c:v>42753</c:v>
                </c:pt>
                <c:pt idx="749">
                  <c:v>42754</c:v>
                </c:pt>
                <c:pt idx="750">
                  <c:v>42755</c:v>
                </c:pt>
                <c:pt idx="751">
                  <c:v>42756</c:v>
                </c:pt>
                <c:pt idx="752">
                  <c:v>42759</c:v>
                </c:pt>
                <c:pt idx="753">
                  <c:v>42760</c:v>
                </c:pt>
                <c:pt idx="754">
                  <c:v>42761</c:v>
                </c:pt>
                <c:pt idx="755">
                  <c:v>42762</c:v>
                </c:pt>
                <c:pt idx="756">
                  <c:v>42763</c:v>
                </c:pt>
                <c:pt idx="757">
                  <c:v>42766</c:v>
                </c:pt>
                <c:pt idx="758">
                  <c:v>42767</c:v>
                </c:pt>
                <c:pt idx="759">
                  <c:v>42768</c:v>
                </c:pt>
                <c:pt idx="760">
                  <c:v>42769</c:v>
                </c:pt>
                <c:pt idx="761">
                  <c:v>42770</c:v>
                </c:pt>
                <c:pt idx="762">
                  <c:v>42773</c:v>
                </c:pt>
                <c:pt idx="763">
                  <c:v>42774</c:v>
                </c:pt>
                <c:pt idx="764">
                  <c:v>42775</c:v>
                </c:pt>
                <c:pt idx="765">
                  <c:v>42776</c:v>
                </c:pt>
                <c:pt idx="766">
                  <c:v>42777</c:v>
                </c:pt>
                <c:pt idx="767">
                  <c:v>42780</c:v>
                </c:pt>
                <c:pt idx="768">
                  <c:v>42781</c:v>
                </c:pt>
                <c:pt idx="769">
                  <c:v>42782</c:v>
                </c:pt>
                <c:pt idx="770">
                  <c:v>42783</c:v>
                </c:pt>
                <c:pt idx="771">
                  <c:v>42784</c:v>
                </c:pt>
                <c:pt idx="772">
                  <c:v>42787</c:v>
                </c:pt>
                <c:pt idx="773">
                  <c:v>42788</c:v>
                </c:pt>
                <c:pt idx="774">
                  <c:v>42789</c:v>
                </c:pt>
                <c:pt idx="775">
                  <c:v>42794</c:v>
                </c:pt>
                <c:pt idx="776">
                  <c:v>42795</c:v>
                </c:pt>
                <c:pt idx="777">
                  <c:v>42796</c:v>
                </c:pt>
                <c:pt idx="778">
                  <c:v>42797</c:v>
                </c:pt>
                <c:pt idx="779">
                  <c:v>42798</c:v>
                </c:pt>
                <c:pt idx="780">
                  <c:v>42801</c:v>
                </c:pt>
                <c:pt idx="781">
                  <c:v>42802</c:v>
                </c:pt>
                <c:pt idx="782">
                  <c:v>42804</c:v>
                </c:pt>
                <c:pt idx="783">
                  <c:v>42805</c:v>
                </c:pt>
                <c:pt idx="784">
                  <c:v>42808</c:v>
                </c:pt>
                <c:pt idx="785">
                  <c:v>42809</c:v>
                </c:pt>
                <c:pt idx="786">
                  <c:v>42810</c:v>
                </c:pt>
                <c:pt idx="787">
                  <c:v>42811</c:v>
                </c:pt>
                <c:pt idx="788">
                  <c:v>42812</c:v>
                </c:pt>
                <c:pt idx="789">
                  <c:v>42815</c:v>
                </c:pt>
                <c:pt idx="790">
                  <c:v>42816</c:v>
                </c:pt>
                <c:pt idx="791">
                  <c:v>42817</c:v>
                </c:pt>
                <c:pt idx="792">
                  <c:v>42818</c:v>
                </c:pt>
                <c:pt idx="793">
                  <c:v>42819</c:v>
                </c:pt>
                <c:pt idx="794">
                  <c:v>42822</c:v>
                </c:pt>
                <c:pt idx="795">
                  <c:v>42823</c:v>
                </c:pt>
                <c:pt idx="796">
                  <c:v>42824</c:v>
                </c:pt>
                <c:pt idx="797">
                  <c:v>42825</c:v>
                </c:pt>
                <c:pt idx="798">
                  <c:v>42826</c:v>
                </c:pt>
                <c:pt idx="799">
                  <c:v>42829</c:v>
                </c:pt>
                <c:pt idx="800">
                  <c:v>42830</c:v>
                </c:pt>
                <c:pt idx="801">
                  <c:v>42831</c:v>
                </c:pt>
                <c:pt idx="802">
                  <c:v>42832</c:v>
                </c:pt>
                <c:pt idx="803">
                  <c:v>42833</c:v>
                </c:pt>
                <c:pt idx="804">
                  <c:v>42836</c:v>
                </c:pt>
                <c:pt idx="805">
                  <c:v>42837</c:v>
                </c:pt>
                <c:pt idx="806">
                  <c:v>42838</c:v>
                </c:pt>
                <c:pt idx="807">
                  <c:v>42839</c:v>
                </c:pt>
                <c:pt idx="808">
                  <c:v>42840</c:v>
                </c:pt>
                <c:pt idx="809">
                  <c:v>42843</c:v>
                </c:pt>
                <c:pt idx="810">
                  <c:v>42844</c:v>
                </c:pt>
                <c:pt idx="811">
                  <c:v>42845</c:v>
                </c:pt>
                <c:pt idx="812">
                  <c:v>42846</c:v>
                </c:pt>
                <c:pt idx="813">
                  <c:v>42847</c:v>
                </c:pt>
                <c:pt idx="814">
                  <c:v>42850</c:v>
                </c:pt>
                <c:pt idx="815">
                  <c:v>42851</c:v>
                </c:pt>
                <c:pt idx="816">
                  <c:v>42852</c:v>
                </c:pt>
                <c:pt idx="817">
                  <c:v>42853</c:v>
                </c:pt>
                <c:pt idx="818">
                  <c:v>42854</c:v>
                </c:pt>
                <c:pt idx="819">
                  <c:v>42858</c:v>
                </c:pt>
                <c:pt idx="820">
                  <c:v>42859</c:v>
                </c:pt>
                <c:pt idx="821">
                  <c:v>42860</c:v>
                </c:pt>
                <c:pt idx="822">
                  <c:v>42861</c:v>
                </c:pt>
                <c:pt idx="823">
                  <c:v>42866</c:v>
                </c:pt>
                <c:pt idx="824">
                  <c:v>42867</c:v>
                </c:pt>
                <c:pt idx="825">
                  <c:v>42868</c:v>
                </c:pt>
                <c:pt idx="826">
                  <c:v>42871</c:v>
                </c:pt>
                <c:pt idx="827">
                  <c:v>42872</c:v>
                </c:pt>
                <c:pt idx="828">
                  <c:v>42873</c:v>
                </c:pt>
                <c:pt idx="829">
                  <c:v>42874</c:v>
                </c:pt>
                <c:pt idx="830">
                  <c:v>42875</c:v>
                </c:pt>
                <c:pt idx="831">
                  <c:v>42878</c:v>
                </c:pt>
                <c:pt idx="832">
                  <c:v>42879</c:v>
                </c:pt>
                <c:pt idx="833">
                  <c:v>42880</c:v>
                </c:pt>
                <c:pt idx="834">
                  <c:v>42881</c:v>
                </c:pt>
                <c:pt idx="835">
                  <c:v>42882</c:v>
                </c:pt>
                <c:pt idx="836">
                  <c:v>42885</c:v>
                </c:pt>
                <c:pt idx="837">
                  <c:v>42886</c:v>
                </c:pt>
                <c:pt idx="838">
                  <c:v>42887</c:v>
                </c:pt>
                <c:pt idx="839">
                  <c:v>42888</c:v>
                </c:pt>
                <c:pt idx="840">
                  <c:v>42889</c:v>
                </c:pt>
                <c:pt idx="841">
                  <c:v>42892</c:v>
                </c:pt>
                <c:pt idx="842">
                  <c:v>42893</c:v>
                </c:pt>
                <c:pt idx="843">
                  <c:v>42894</c:v>
                </c:pt>
                <c:pt idx="844">
                  <c:v>42895</c:v>
                </c:pt>
                <c:pt idx="845">
                  <c:v>42896</c:v>
                </c:pt>
                <c:pt idx="846">
                  <c:v>42900</c:v>
                </c:pt>
                <c:pt idx="847">
                  <c:v>42901</c:v>
                </c:pt>
                <c:pt idx="848">
                  <c:v>42902</c:v>
                </c:pt>
                <c:pt idx="849">
                  <c:v>42903</c:v>
                </c:pt>
                <c:pt idx="850">
                  <c:v>42906</c:v>
                </c:pt>
                <c:pt idx="851">
                  <c:v>42907</c:v>
                </c:pt>
                <c:pt idx="852">
                  <c:v>42908</c:v>
                </c:pt>
                <c:pt idx="853">
                  <c:v>42909</c:v>
                </c:pt>
                <c:pt idx="854">
                  <c:v>42910</c:v>
                </c:pt>
                <c:pt idx="855">
                  <c:v>42913</c:v>
                </c:pt>
                <c:pt idx="856">
                  <c:v>42914</c:v>
                </c:pt>
                <c:pt idx="857">
                  <c:v>42915</c:v>
                </c:pt>
                <c:pt idx="858">
                  <c:v>42916</c:v>
                </c:pt>
                <c:pt idx="859">
                  <c:v>42917</c:v>
                </c:pt>
                <c:pt idx="860">
                  <c:v>42920</c:v>
                </c:pt>
                <c:pt idx="861">
                  <c:v>42921</c:v>
                </c:pt>
                <c:pt idx="862">
                  <c:v>42922</c:v>
                </c:pt>
                <c:pt idx="863">
                  <c:v>42923</c:v>
                </c:pt>
                <c:pt idx="864">
                  <c:v>42924</c:v>
                </c:pt>
                <c:pt idx="865">
                  <c:v>42927</c:v>
                </c:pt>
                <c:pt idx="866">
                  <c:v>42928</c:v>
                </c:pt>
                <c:pt idx="867">
                  <c:v>42929</c:v>
                </c:pt>
                <c:pt idx="868">
                  <c:v>42930</c:v>
                </c:pt>
                <c:pt idx="869">
                  <c:v>42931</c:v>
                </c:pt>
                <c:pt idx="870">
                  <c:v>42934</c:v>
                </c:pt>
                <c:pt idx="871">
                  <c:v>42935</c:v>
                </c:pt>
                <c:pt idx="872">
                  <c:v>42936</c:v>
                </c:pt>
                <c:pt idx="873">
                  <c:v>42937</c:v>
                </c:pt>
                <c:pt idx="874">
                  <c:v>42938</c:v>
                </c:pt>
                <c:pt idx="875">
                  <c:v>42941</c:v>
                </c:pt>
                <c:pt idx="876">
                  <c:v>42942</c:v>
                </c:pt>
                <c:pt idx="877">
                  <c:v>42943</c:v>
                </c:pt>
                <c:pt idx="878">
                  <c:v>42944</c:v>
                </c:pt>
                <c:pt idx="879">
                  <c:v>42945</c:v>
                </c:pt>
                <c:pt idx="880">
                  <c:v>42948</c:v>
                </c:pt>
                <c:pt idx="881">
                  <c:v>42949</c:v>
                </c:pt>
                <c:pt idx="882">
                  <c:v>42950</c:v>
                </c:pt>
                <c:pt idx="883">
                  <c:v>42951</c:v>
                </c:pt>
                <c:pt idx="884">
                  <c:v>42952</c:v>
                </c:pt>
                <c:pt idx="885">
                  <c:v>42955</c:v>
                </c:pt>
                <c:pt idx="886">
                  <c:v>42956</c:v>
                </c:pt>
                <c:pt idx="887">
                  <c:v>42957</c:v>
                </c:pt>
                <c:pt idx="888">
                  <c:v>42958</c:v>
                </c:pt>
                <c:pt idx="889">
                  <c:v>42959</c:v>
                </c:pt>
                <c:pt idx="890">
                  <c:v>42962</c:v>
                </c:pt>
                <c:pt idx="891">
                  <c:v>42963</c:v>
                </c:pt>
                <c:pt idx="892">
                  <c:v>42964</c:v>
                </c:pt>
                <c:pt idx="893">
                  <c:v>42965</c:v>
                </c:pt>
                <c:pt idx="894">
                  <c:v>42966</c:v>
                </c:pt>
                <c:pt idx="895">
                  <c:v>42969</c:v>
                </c:pt>
                <c:pt idx="896">
                  <c:v>42970</c:v>
                </c:pt>
                <c:pt idx="897">
                  <c:v>42971</c:v>
                </c:pt>
                <c:pt idx="898">
                  <c:v>42972</c:v>
                </c:pt>
                <c:pt idx="899">
                  <c:v>42973</c:v>
                </c:pt>
                <c:pt idx="900">
                  <c:v>42976</c:v>
                </c:pt>
                <c:pt idx="901">
                  <c:v>42977</c:v>
                </c:pt>
                <c:pt idx="902">
                  <c:v>42978</c:v>
                </c:pt>
                <c:pt idx="903">
                  <c:v>42979</c:v>
                </c:pt>
                <c:pt idx="904">
                  <c:v>42980</c:v>
                </c:pt>
                <c:pt idx="905">
                  <c:v>42983</c:v>
                </c:pt>
                <c:pt idx="906">
                  <c:v>42984</c:v>
                </c:pt>
                <c:pt idx="907">
                  <c:v>42985</c:v>
                </c:pt>
                <c:pt idx="908">
                  <c:v>42986</c:v>
                </c:pt>
                <c:pt idx="909">
                  <c:v>42987</c:v>
                </c:pt>
                <c:pt idx="910">
                  <c:v>42990</c:v>
                </c:pt>
                <c:pt idx="911">
                  <c:v>42991</c:v>
                </c:pt>
                <c:pt idx="912">
                  <c:v>42992</c:v>
                </c:pt>
                <c:pt idx="913">
                  <c:v>42993</c:v>
                </c:pt>
                <c:pt idx="914">
                  <c:v>42994</c:v>
                </c:pt>
                <c:pt idx="915">
                  <c:v>42997</c:v>
                </c:pt>
                <c:pt idx="916">
                  <c:v>42998</c:v>
                </c:pt>
                <c:pt idx="917">
                  <c:v>42999</c:v>
                </c:pt>
                <c:pt idx="918">
                  <c:v>43000</c:v>
                </c:pt>
                <c:pt idx="919">
                  <c:v>43001</c:v>
                </c:pt>
                <c:pt idx="920">
                  <c:v>43004</c:v>
                </c:pt>
                <c:pt idx="921">
                  <c:v>43005</c:v>
                </c:pt>
                <c:pt idx="922">
                  <c:v>43006</c:v>
                </c:pt>
                <c:pt idx="923">
                  <c:v>43007</c:v>
                </c:pt>
                <c:pt idx="924">
                  <c:v>43008</c:v>
                </c:pt>
                <c:pt idx="925">
                  <c:v>43011</c:v>
                </c:pt>
                <c:pt idx="926">
                  <c:v>43012</c:v>
                </c:pt>
                <c:pt idx="927">
                  <c:v>43013</c:v>
                </c:pt>
                <c:pt idx="928">
                  <c:v>43014</c:v>
                </c:pt>
                <c:pt idx="929">
                  <c:v>43015</c:v>
                </c:pt>
                <c:pt idx="930">
                  <c:v>43018</c:v>
                </c:pt>
                <c:pt idx="931">
                  <c:v>43019</c:v>
                </c:pt>
                <c:pt idx="932">
                  <c:v>43020</c:v>
                </c:pt>
                <c:pt idx="933">
                  <c:v>43021</c:v>
                </c:pt>
                <c:pt idx="934">
                  <c:v>43022</c:v>
                </c:pt>
                <c:pt idx="935">
                  <c:v>43025</c:v>
                </c:pt>
                <c:pt idx="936">
                  <c:v>43026</c:v>
                </c:pt>
                <c:pt idx="937">
                  <c:v>43027</c:v>
                </c:pt>
                <c:pt idx="938">
                  <c:v>43028</c:v>
                </c:pt>
                <c:pt idx="939">
                  <c:v>43029</c:v>
                </c:pt>
                <c:pt idx="940">
                  <c:v>43032</c:v>
                </c:pt>
                <c:pt idx="941">
                  <c:v>43033</c:v>
                </c:pt>
                <c:pt idx="942">
                  <c:v>43034</c:v>
                </c:pt>
                <c:pt idx="943">
                  <c:v>43035</c:v>
                </c:pt>
                <c:pt idx="944">
                  <c:v>43036</c:v>
                </c:pt>
                <c:pt idx="945">
                  <c:v>43039</c:v>
                </c:pt>
                <c:pt idx="946">
                  <c:v>43040</c:v>
                </c:pt>
                <c:pt idx="947">
                  <c:v>43041</c:v>
                </c:pt>
                <c:pt idx="948">
                  <c:v>43042</c:v>
                </c:pt>
                <c:pt idx="949">
                  <c:v>43043</c:v>
                </c:pt>
                <c:pt idx="950">
                  <c:v>43047</c:v>
                </c:pt>
                <c:pt idx="951">
                  <c:v>43048</c:v>
                </c:pt>
                <c:pt idx="952">
                  <c:v>43049</c:v>
                </c:pt>
                <c:pt idx="953">
                  <c:v>43050</c:v>
                </c:pt>
                <c:pt idx="954">
                  <c:v>43053</c:v>
                </c:pt>
                <c:pt idx="955">
                  <c:v>43054</c:v>
                </c:pt>
                <c:pt idx="956">
                  <c:v>43055</c:v>
                </c:pt>
                <c:pt idx="957">
                  <c:v>43056</c:v>
                </c:pt>
                <c:pt idx="958">
                  <c:v>43057</c:v>
                </c:pt>
                <c:pt idx="959">
                  <c:v>43060</c:v>
                </c:pt>
                <c:pt idx="960">
                  <c:v>43061</c:v>
                </c:pt>
                <c:pt idx="961">
                  <c:v>43062</c:v>
                </c:pt>
                <c:pt idx="962">
                  <c:v>43063</c:v>
                </c:pt>
                <c:pt idx="963">
                  <c:v>43064</c:v>
                </c:pt>
                <c:pt idx="964">
                  <c:v>43067</c:v>
                </c:pt>
                <c:pt idx="965">
                  <c:v>43068</c:v>
                </c:pt>
                <c:pt idx="966">
                  <c:v>43069</c:v>
                </c:pt>
                <c:pt idx="967">
                  <c:v>43070</c:v>
                </c:pt>
                <c:pt idx="968">
                  <c:v>43071</c:v>
                </c:pt>
                <c:pt idx="969">
                  <c:v>43074</c:v>
                </c:pt>
                <c:pt idx="970">
                  <c:v>43075</c:v>
                </c:pt>
                <c:pt idx="971">
                  <c:v>43076</c:v>
                </c:pt>
                <c:pt idx="972">
                  <c:v>43077</c:v>
                </c:pt>
                <c:pt idx="973">
                  <c:v>43078</c:v>
                </c:pt>
                <c:pt idx="974">
                  <c:v>43081</c:v>
                </c:pt>
                <c:pt idx="975">
                  <c:v>43082</c:v>
                </c:pt>
                <c:pt idx="976">
                  <c:v>43083</c:v>
                </c:pt>
                <c:pt idx="977">
                  <c:v>43084</c:v>
                </c:pt>
                <c:pt idx="978">
                  <c:v>43085</c:v>
                </c:pt>
                <c:pt idx="979">
                  <c:v>43088</c:v>
                </c:pt>
                <c:pt idx="980">
                  <c:v>43089</c:v>
                </c:pt>
                <c:pt idx="981">
                  <c:v>43090</c:v>
                </c:pt>
                <c:pt idx="982">
                  <c:v>43091</c:v>
                </c:pt>
                <c:pt idx="983">
                  <c:v>43092</c:v>
                </c:pt>
                <c:pt idx="984">
                  <c:v>43095</c:v>
                </c:pt>
                <c:pt idx="985">
                  <c:v>43096</c:v>
                </c:pt>
                <c:pt idx="986">
                  <c:v>43097</c:v>
                </c:pt>
                <c:pt idx="987">
                  <c:v>43098</c:v>
                </c:pt>
                <c:pt idx="988">
                  <c:v>43099</c:v>
                </c:pt>
                <c:pt idx="989">
                  <c:v>43110</c:v>
                </c:pt>
                <c:pt idx="990">
                  <c:v>43111</c:v>
                </c:pt>
                <c:pt idx="991">
                  <c:v>43112</c:v>
                </c:pt>
                <c:pt idx="992">
                  <c:v>43113</c:v>
                </c:pt>
                <c:pt idx="993">
                  <c:v>43116</c:v>
                </c:pt>
                <c:pt idx="994">
                  <c:v>43117</c:v>
                </c:pt>
                <c:pt idx="995">
                  <c:v>43118</c:v>
                </c:pt>
                <c:pt idx="996">
                  <c:v>43119</c:v>
                </c:pt>
                <c:pt idx="997">
                  <c:v>43120</c:v>
                </c:pt>
                <c:pt idx="998">
                  <c:v>43123</c:v>
                </c:pt>
                <c:pt idx="999">
                  <c:v>43124</c:v>
                </c:pt>
                <c:pt idx="1000">
                  <c:v>43125</c:v>
                </c:pt>
                <c:pt idx="1001">
                  <c:v>43126</c:v>
                </c:pt>
                <c:pt idx="1002">
                  <c:v>43127</c:v>
                </c:pt>
                <c:pt idx="1003">
                  <c:v>43130</c:v>
                </c:pt>
                <c:pt idx="1004">
                  <c:v>43131</c:v>
                </c:pt>
                <c:pt idx="1005">
                  <c:v>43132</c:v>
                </c:pt>
                <c:pt idx="1006">
                  <c:v>43133</c:v>
                </c:pt>
                <c:pt idx="1007">
                  <c:v>43134</c:v>
                </c:pt>
                <c:pt idx="1008">
                  <c:v>43137</c:v>
                </c:pt>
                <c:pt idx="1009">
                  <c:v>43138</c:v>
                </c:pt>
                <c:pt idx="1010">
                  <c:v>43139</c:v>
                </c:pt>
                <c:pt idx="1011">
                  <c:v>43140</c:v>
                </c:pt>
                <c:pt idx="1012">
                  <c:v>43141</c:v>
                </c:pt>
                <c:pt idx="1013">
                  <c:v>43144</c:v>
                </c:pt>
                <c:pt idx="1014">
                  <c:v>43145</c:v>
                </c:pt>
                <c:pt idx="1015">
                  <c:v>43146</c:v>
                </c:pt>
                <c:pt idx="1016">
                  <c:v>43147</c:v>
                </c:pt>
                <c:pt idx="1017">
                  <c:v>43148</c:v>
                </c:pt>
                <c:pt idx="1018">
                  <c:v>43151</c:v>
                </c:pt>
                <c:pt idx="1019">
                  <c:v>43152</c:v>
                </c:pt>
                <c:pt idx="1020">
                  <c:v>43153</c:v>
                </c:pt>
                <c:pt idx="1021">
                  <c:v>43154</c:v>
                </c:pt>
                <c:pt idx="1022">
                  <c:v>43158</c:v>
                </c:pt>
                <c:pt idx="1023">
                  <c:v>43159</c:v>
                </c:pt>
                <c:pt idx="1024">
                  <c:v>43160</c:v>
                </c:pt>
                <c:pt idx="1025">
                  <c:v>43161</c:v>
                </c:pt>
                <c:pt idx="1026">
                  <c:v>43162</c:v>
                </c:pt>
                <c:pt idx="1027">
                  <c:v>43165</c:v>
                </c:pt>
                <c:pt idx="1028">
                  <c:v>43166</c:v>
                </c:pt>
                <c:pt idx="1029">
                  <c:v>43167</c:v>
                </c:pt>
                <c:pt idx="1030">
                  <c:v>43172</c:v>
                </c:pt>
                <c:pt idx="1031">
                  <c:v>43173</c:v>
                </c:pt>
                <c:pt idx="1032">
                  <c:v>43174</c:v>
                </c:pt>
                <c:pt idx="1033">
                  <c:v>43175</c:v>
                </c:pt>
                <c:pt idx="1034">
                  <c:v>43176</c:v>
                </c:pt>
                <c:pt idx="1035">
                  <c:v>43179</c:v>
                </c:pt>
                <c:pt idx="1036">
                  <c:v>43180</c:v>
                </c:pt>
                <c:pt idx="1037">
                  <c:v>43181</c:v>
                </c:pt>
                <c:pt idx="1038">
                  <c:v>43182</c:v>
                </c:pt>
                <c:pt idx="1039">
                  <c:v>43183</c:v>
                </c:pt>
                <c:pt idx="1040">
                  <c:v>43186</c:v>
                </c:pt>
                <c:pt idx="1041">
                  <c:v>43187</c:v>
                </c:pt>
                <c:pt idx="1042">
                  <c:v>43188</c:v>
                </c:pt>
                <c:pt idx="1043">
                  <c:v>43189</c:v>
                </c:pt>
                <c:pt idx="1044">
                  <c:v>43190</c:v>
                </c:pt>
                <c:pt idx="1045">
                  <c:v>43193</c:v>
                </c:pt>
                <c:pt idx="1046">
                  <c:v>43194</c:v>
                </c:pt>
                <c:pt idx="1047">
                  <c:v>43195</c:v>
                </c:pt>
                <c:pt idx="1048">
                  <c:v>43196</c:v>
                </c:pt>
                <c:pt idx="1049">
                  <c:v>43197</c:v>
                </c:pt>
                <c:pt idx="1050">
                  <c:v>43200</c:v>
                </c:pt>
                <c:pt idx="1051">
                  <c:v>43201</c:v>
                </c:pt>
                <c:pt idx="1052">
                  <c:v>43202</c:v>
                </c:pt>
                <c:pt idx="1053">
                  <c:v>43203</c:v>
                </c:pt>
                <c:pt idx="1054">
                  <c:v>43204</c:v>
                </c:pt>
                <c:pt idx="1055">
                  <c:v>43207</c:v>
                </c:pt>
                <c:pt idx="1056">
                  <c:v>43208</c:v>
                </c:pt>
                <c:pt idx="1057">
                  <c:v>43209</c:v>
                </c:pt>
                <c:pt idx="1058">
                  <c:v>43210</c:v>
                </c:pt>
                <c:pt idx="1059">
                  <c:v>43211</c:v>
                </c:pt>
                <c:pt idx="1060">
                  <c:v>43214</c:v>
                </c:pt>
                <c:pt idx="1061">
                  <c:v>43215</c:v>
                </c:pt>
                <c:pt idx="1062">
                  <c:v>43216</c:v>
                </c:pt>
                <c:pt idx="1063">
                  <c:v>43217</c:v>
                </c:pt>
                <c:pt idx="1064">
                  <c:v>43218</c:v>
                </c:pt>
                <c:pt idx="1065">
                  <c:v>43219</c:v>
                </c:pt>
                <c:pt idx="1066">
                  <c:v>43224</c:v>
                </c:pt>
                <c:pt idx="1067">
                  <c:v>43225</c:v>
                </c:pt>
                <c:pt idx="1068">
                  <c:v>43228</c:v>
                </c:pt>
                <c:pt idx="1069">
                  <c:v>43229</c:v>
                </c:pt>
                <c:pt idx="1070">
                  <c:v>43231</c:v>
                </c:pt>
                <c:pt idx="1071">
                  <c:v>43232</c:v>
                </c:pt>
                <c:pt idx="1072">
                  <c:v>43235</c:v>
                </c:pt>
                <c:pt idx="1073">
                  <c:v>43236</c:v>
                </c:pt>
                <c:pt idx="1074">
                  <c:v>43237</c:v>
                </c:pt>
                <c:pt idx="1075">
                  <c:v>43238</c:v>
                </c:pt>
                <c:pt idx="1076">
                  <c:v>43239</c:v>
                </c:pt>
                <c:pt idx="1077">
                  <c:v>43242</c:v>
                </c:pt>
                <c:pt idx="1078">
                  <c:v>43243</c:v>
                </c:pt>
                <c:pt idx="1079">
                  <c:v>43244</c:v>
                </c:pt>
                <c:pt idx="1080">
                  <c:v>43245</c:v>
                </c:pt>
                <c:pt idx="1081">
                  <c:v>43246</c:v>
                </c:pt>
                <c:pt idx="1082">
                  <c:v>43249</c:v>
                </c:pt>
                <c:pt idx="1083">
                  <c:v>43250</c:v>
                </c:pt>
                <c:pt idx="1084">
                  <c:v>43251</c:v>
                </c:pt>
                <c:pt idx="1085">
                  <c:v>43252</c:v>
                </c:pt>
                <c:pt idx="1086">
                  <c:v>43253</c:v>
                </c:pt>
                <c:pt idx="1087">
                  <c:v>43256</c:v>
                </c:pt>
                <c:pt idx="1088">
                  <c:v>43257</c:v>
                </c:pt>
                <c:pt idx="1089">
                  <c:v>43258</c:v>
                </c:pt>
                <c:pt idx="1090">
                  <c:v>43259</c:v>
                </c:pt>
                <c:pt idx="1091">
                  <c:v>43260</c:v>
                </c:pt>
                <c:pt idx="1092">
                  <c:v>43261</c:v>
                </c:pt>
                <c:pt idx="1093">
                  <c:v>43265</c:v>
                </c:pt>
                <c:pt idx="1094">
                  <c:v>43266</c:v>
                </c:pt>
                <c:pt idx="1095">
                  <c:v>43267</c:v>
                </c:pt>
                <c:pt idx="1096">
                  <c:v>43270</c:v>
                </c:pt>
                <c:pt idx="1097">
                  <c:v>43271</c:v>
                </c:pt>
                <c:pt idx="1098">
                  <c:v>43272</c:v>
                </c:pt>
                <c:pt idx="1099">
                  <c:v>43273</c:v>
                </c:pt>
                <c:pt idx="1100">
                  <c:v>43274</c:v>
                </c:pt>
                <c:pt idx="1101">
                  <c:v>43277</c:v>
                </c:pt>
                <c:pt idx="1102">
                  <c:v>43278</c:v>
                </c:pt>
                <c:pt idx="1103">
                  <c:v>43279</c:v>
                </c:pt>
                <c:pt idx="1104">
                  <c:v>43280</c:v>
                </c:pt>
                <c:pt idx="1105">
                  <c:v>43281</c:v>
                </c:pt>
                <c:pt idx="1106">
                  <c:v>43284</c:v>
                </c:pt>
                <c:pt idx="1107">
                  <c:v>43285</c:v>
                </c:pt>
                <c:pt idx="1108">
                  <c:v>43286</c:v>
                </c:pt>
                <c:pt idx="1109">
                  <c:v>43287</c:v>
                </c:pt>
                <c:pt idx="1110">
                  <c:v>43288</c:v>
                </c:pt>
                <c:pt idx="1111">
                  <c:v>43291</c:v>
                </c:pt>
                <c:pt idx="1112">
                  <c:v>43292</c:v>
                </c:pt>
                <c:pt idx="1113">
                  <c:v>43293</c:v>
                </c:pt>
                <c:pt idx="1114">
                  <c:v>43294</c:v>
                </c:pt>
                <c:pt idx="1115">
                  <c:v>43295</c:v>
                </c:pt>
                <c:pt idx="1116">
                  <c:v>43298</c:v>
                </c:pt>
                <c:pt idx="1117">
                  <c:v>43299</c:v>
                </c:pt>
                <c:pt idx="1118">
                  <c:v>43300</c:v>
                </c:pt>
                <c:pt idx="1119">
                  <c:v>43301</c:v>
                </c:pt>
                <c:pt idx="1120">
                  <c:v>43302</c:v>
                </c:pt>
                <c:pt idx="1121">
                  <c:v>43305</c:v>
                </c:pt>
                <c:pt idx="1122">
                  <c:v>43306</c:v>
                </c:pt>
                <c:pt idx="1123">
                  <c:v>43307</c:v>
                </c:pt>
                <c:pt idx="1124">
                  <c:v>43308</c:v>
                </c:pt>
                <c:pt idx="1125">
                  <c:v>43309</c:v>
                </c:pt>
                <c:pt idx="1126">
                  <c:v>43312</c:v>
                </c:pt>
                <c:pt idx="1127">
                  <c:v>43313</c:v>
                </c:pt>
                <c:pt idx="1128">
                  <c:v>43314</c:v>
                </c:pt>
                <c:pt idx="1129">
                  <c:v>43315</c:v>
                </c:pt>
                <c:pt idx="1130">
                  <c:v>43316</c:v>
                </c:pt>
                <c:pt idx="1131">
                  <c:v>43319</c:v>
                </c:pt>
                <c:pt idx="1132">
                  <c:v>43320</c:v>
                </c:pt>
                <c:pt idx="1133">
                  <c:v>43321</c:v>
                </c:pt>
                <c:pt idx="1134">
                  <c:v>43322</c:v>
                </c:pt>
                <c:pt idx="1135">
                  <c:v>43323</c:v>
                </c:pt>
                <c:pt idx="1136">
                  <c:v>43326</c:v>
                </c:pt>
                <c:pt idx="1137">
                  <c:v>43327</c:v>
                </c:pt>
                <c:pt idx="1138">
                  <c:v>43328</c:v>
                </c:pt>
                <c:pt idx="1139">
                  <c:v>43329</c:v>
                </c:pt>
                <c:pt idx="1140">
                  <c:v>43330</c:v>
                </c:pt>
                <c:pt idx="1141">
                  <c:v>43333</c:v>
                </c:pt>
                <c:pt idx="1142">
                  <c:v>43334</c:v>
                </c:pt>
                <c:pt idx="1143">
                  <c:v>43335</c:v>
                </c:pt>
                <c:pt idx="1144">
                  <c:v>43336</c:v>
                </c:pt>
                <c:pt idx="1145">
                  <c:v>43337</c:v>
                </c:pt>
                <c:pt idx="1146">
                  <c:v>43340</c:v>
                </c:pt>
                <c:pt idx="1147">
                  <c:v>43341</c:v>
                </c:pt>
                <c:pt idx="1148">
                  <c:v>43342</c:v>
                </c:pt>
                <c:pt idx="1149">
                  <c:v>43343</c:v>
                </c:pt>
                <c:pt idx="1150">
                  <c:v>43344</c:v>
                </c:pt>
                <c:pt idx="1151">
                  <c:v>43347</c:v>
                </c:pt>
                <c:pt idx="1152">
                  <c:v>43348</c:v>
                </c:pt>
                <c:pt idx="1153">
                  <c:v>43349</c:v>
                </c:pt>
                <c:pt idx="1154">
                  <c:v>43350</c:v>
                </c:pt>
                <c:pt idx="1155">
                  <c:v>43351</c:v>
                </c:pt>
                <c:pt idx="1156">
                  <c:v>43354</c:v>
                </c:pt>
                <c:pt idx="1157">
                  <c:v>43355</c:v>
                </c:pt>
                <c:pt idx="1158">
                  <c:v>43356</c:v>
                </c:pt>
                <c:pt idx="1159">
                  <c:v>43357</c:v>
                </c:pt>
                <c:pt idx="1160">
                  <c:v>43358</c:v>
                </c:pt>
                <c:pt idx="1161">
                  <c:v>43361</c:v>
                </c:pt>
                <c:pt idx="1162">
                  <c:v>43362</c:v>
                </c:pt>
                <c:pt idx="1163">
                  <c:v>43363</c:v>
                </c:pt>
                <c:pt idx="1164">
                  <c:v>43364</c:v>
                </c:pt>
                <c:pt idx="1165">
                  <c:v>43365</c:v>
                </c:pt>
                <c:pt idx="1166">
                  <c:v>43368</c:v>
                </c:pt>
                <c:pt idx="1167">
                  <c:v>43369</c:v>
                </c:pt>
                <c:pt idx="1168">
                  <c:v>43370</c:v>
                </c:pt>
                <c:pt idx="1169">
                  <c:v>43371</c:v>
                </c:pt>
                <c:pt idx="1170">
                  <c:v>43372</c:v>
                </c:pt>
                <c:pt idx="1171">
                  <c:v>43375</c:v>
                </c:pt>
                <c:pt idx="1172">
                  <c:v>43376</c:v>
                </c:pt>
                <c:pt idx="1173">
                  <c:v>43377</c:v>
                </c:pt>
                <c:pt idx="1174">
                  <c:v>43378</c:v>
                </c:pt>
                <c:pt idx="1175">
                  <c:v>43379</c:v>
                </c:pt>
                <c:pt idx="1176">
                  <c:v>43382</c:v>
                </c:pt>
                <c:pt idx="1177">
                  <c:v>43383</c:v>
                </c:pt>
                <c:pt idx="1178">
                  <c:v>43384</c:v>
                </c:pt>
                <c:pt idx="1179">
                  <c:v>43385</c:v>
                </c:pt>
                <c:pt idx="1180">
                  <c:v>43386</c:v>
                </c:pt>
                <c:pt idx="1181">
                  <c:v>43389</c:v>
                </c:pt>
                <c:pt idx="1182">
                  <c:v>43390</c:v>
                </c:pt>
                <c:pt idx="1183">
                  <c:v>43391</c:v>
                </c:pt>
                <c:pt idx="1184">
                  <c:v>43392</c:v>
                </c:pt>
                <c:pt idx="1185">
                  <c:v>43393</c:v>
                </c:pt>
                <c:pt idx="1186">
                  <c:v>43396</c:v>
                </c:pt>
                <c:pt idx="1187">
                  <c:v>43397</c:v>
                </c:pt>
                <c:pt idx="1188">
                  <c:v>43398</c:v>
                </c:pt>
                <c:pt idx="1189">
                  <c:v>43399</c:v>
                </c:pt>
                <c:pt idx="1190">
                  <c:v>43400</c:v>
                </c:pt>
                <c:pt idx="1191">
                  <c:v>43403</c:v>
                </c:pt>
                <c:pt idx="1192">
                  <c:v>43404</c:v>
                </c:pt>
                <c:pt idx="1193">
                  <c:v>43405</c:v>
                </c:pt>
                <c:pt idx="1194">
                  <c:v>43406</c:v>
                </c:pt>
                <c:pt idx="1195">
                  <c:v>43407</c:v>
                </c:pt>
                <c:pt idx="1196">
                  <c:v>43411</c:v>
                </c:pt>
                <c:pt idx="1197">
                  <c:v>43412</c:v>
                </c:pt>
                <c:pt idx="1198">
                  <c:v>43413</c:v>
                </c:pt>
                <c:pt idx="1199">
                  <c:v>43414</c:v>
                </c:pt>
                <c:pt idx="1200">
                  <c:v>43417</c:v>
                </c:pt>
                <c:pt idx="1201">
                  <c:v>43418</c:v>
                </c:pt>
                <c:pt idx="1202">
                  <c:v>43419</c:v>
                </c:pt>
                <c:pt idx="1203">
                  <c:v>43420</c:v>
                </c:pt>
                <c:pt idx="1204">
                  <c:v>43421</c:v>
                </c:pt>
                <c:pt idx="1205">
                  <c:v>43424</c:v>
                </c:pt>
                <c:pt idx="1206">
                  <c:v>43425</c:v>
                </c:pt>
                <c:pt idx="1207">
                  <c:v>43426</c:v>
                </c:pt>
                <c:pt idx="1208">
                  <c:v>43427</c:v>
                </c:pt>
                <c:pt idx="1209">
                  <c:v>43428</c:v>
                </c:pt>
                <c:pt idx="1210">
                  <c:v>43431</c:v>
                </c:pt>
                <c:pt idx="1211">
                  <c:v>43432</c:v>
                </c:pt>
                <c:pt idx="1212">
                  <c:v>43433</c:v>
                </c:pt>
                <c:pt idx="1213">
                  <c:v>43434</c:v>
                </c:pt>
                <c:pt idx="1214">
                  <c:v>43435</c:v>
                </c:pt>
                <c:pt idx="1215">
                  <c:v>43438</c:v>
                </c:pt>
                <c:pt idx="1216">
                  <c:v>43439</c:v>
                </c:pt>
                <c:pt idx="1217">
                  <c:v>43440</c:v>
                </c:pt>
                <c:pt idx="1218">
                  <c:v>43441</c:v>
                </c:pt>
                <c:pt idx="1219">
                  <c:v>43442</c:v>
                </c:pt>
                <c:pt idx="1220">
                  <c:v>43445</c:v>
                </c:pt>
                <c:pt idx="1221">
                  <c:v>43446</c:v>
                </c:pt>
                <c:pt idx="1222">
                  <c:v>43447</c:v>
                </c:pt>
                <c:pt idx="1223">
                  <c:v>43448</c:v>
                </c:pt>
                <c:pt idx="1224">
                  <c:v>43449</c:v>
                </c:pt>
                <c:pt idx="1225">
                  <c:v>43452</c:v>
                </c:pt>
                <c:pt idx="1226">
                  <c:v>43453</c:v>
                </c:pt>
                <c:pt idx="1227">
                  <c:v>43454</c:v>
                </c:pt>
                <c:pt idx="1228">
                  <c:v>43455</c:v>
                </c:pt>
                <c:pt idx="1229">
                  <c:v>43456</c:v>
                </c:pt>
                <c:pt idx="1230">
                  <c:v>43459</c:v>
                </c:pt>
                <c:pt idx="1231">
                  <c:v>43460</c:v>
                </c:pt>
                <c:pt idx="1232">
                  <c:v>43461</c:v>
                </c:pt>
                <c:pt idx="1233">
                  <c:v>43462</c:v>
                </c:pt>
                <c:pt idx="1234">
                  <c:v>43463</c:v>
                </c:pt>
                <c:pt idx="1235">
                  <c:v>43464</c:v>
                </c:pt>
              </c:numCache>
            </c:numRef>
          </c:cat>
          <c:val>
            <c:numRef>
              <c:f>'[RC_F01_01_2014_T31_12_2018.xlsx]RC'!$C$2:$C$1237</c:f>
              <c:numCache>
                <c:formatCode>#,##0.0000</c:formatCode>
                <c:ptCount val="1236"/>
                <c:pt idx="0">
                  <c:v>32.658700000000003</c:v>
                </c:pt>
                <c:pt idx="1">
                  <c:v>33.154699999999998</c:v>
                </c:pt>
                <c:pt idx="2">
                  <c:v>33.206200000000003</c:v>
                </c:pt>
                <c:pt idx="3">
                  <c:v>33.120399999999997</c:v>
                </c:pt>
                <c:pt idx="4">
                  <c:v>33.238599999999998</c:v>
                </c:pt>
                <c:pt idx="5">
                  <c:v>33.356200000000001</c:v>
                </c:pt>
                <c:pt idx="6">
                  <c:v>33.401299999999999</c:v>
                </c:pt>
                <c:pt idx="7">
                  <c:v>33.4343</c:v>
                </c:pt>
                <c:pt idx="8">
                  <c:v>33.642899999999997</c:v>
                </c:pt>
                <c:pt idx="9">
                  <c:v>33.816099999999999</c:v>
                </c:pt>
                <c:pt idx="10">
                  <c:v>33.8688</c:v>
                </c:pt>
                <c:pt idx="11">
                  <c:v>34.0334</c:v>
                </c:pt>
                <c:pt idx="12">
                  <c:v>34.26</c:v>
                </c:pt>
                <c:pt idx="13">
                  <c:v>34.709299999999999</c:v>
                </c:pt>
                <c:pt idx="14">
                  <c:v>34.625</c:v>
                </c:pt>
                <c:pt idx="15">
                  <c:v>34.563299999999998</c:v>
                </c:pt>
                <c:pt idx="16">
                  <c:v>35.244799999999998</c:v>
                </c:pt>
                <c:pt idx="17">
                  <c:v>35.18</c:v>
                </c:pt>
                <c:pt idx="18">
                  <c:v>35.234699999999997</c:v>
                </c:pt>
                <c:pt idx="19">
                  <c:v>35.450200000000002</c:v>
                </c:pt>
                <c:pt idx="20">
                  <c:v>34.959200000000003</c:v>
                </c:pt>
                <c:pt idx="21">
                  <c:v>34.728700000000003</c:v>
                </c:pt>
                <c:pt idx="22">
                  <c:v>34.604399999999998</c:v>
                </c:pt>
                <c:pt idx="23">
                  <c:v>34.763599999999997</c:v>
                </c:pt>
                <c:pt idx="24">
                  <c:v>34.796399999999998</c:v>
                </c:pt>
                <c:pt idx="25">
                  <c:v>34.759500000000003</c:v>
                </c:pt>
                <c:pt idx="26">
                  <c:v>34.8611</c:v>
                </c:pt>
                <c:pt idx="27">
                  <c:v>35.255899999999997</c:v>
                </c:pt>
                <c:pt idx="28">
                  <c:v>35.0976</c:v>
                </c:pt>
                <c:pt idx="29">
                  <c:v>35.238599999999998</c:v>
                </c:pt>
                <c:pt idx="30">
                  <c:v>35.585700000000003</c:v>
                </c:pt>
                <c:pt idx="31">
                  <c:v>35.767000000000003</c:v>
                </c:pt>
                <c:pt idx="32">
                  <c:v>35.6828</c:v>
                </c:pt>
                <c:pt idx="33">
                  <c:v>35.511200000000002</c:v>
                </c:pt>
                <c:pt idx="34">
                  <c:v>35.566899999999997</c:v>
                </c:pt>
                <c:pt idx="35">
                  <c:v>35.787199999999999</c:v>
                </c:pt>
                <c:pt idx="36">
                  <c:v>36.0501</c:v>
                </c:pt>
                <c:pt idx="37">
                  <c:v>36.184699999999999</c:v>
                </c:pt>
                <c:pt idx="38">
                  <c:v>36.378399999999999</c:v>
                </c:pt>
                <c:pt idx="39">
                  <c:v>36.320799999999998</c:v>
                </c:pt>
                <c:pt idx="40">
                  <c:v>36.084899999999998</c:v>
                </c:pt>
                <c:pt idx="41">
                  <c:v>36.125100000000003</c:v>
                </c:pt>
                <c:pt idx="42">
                  <c:v>36.261800000000001</c:v>
                </c:pt>
                <c:pt idx="43">
                  <c:v>36.401499999999999</c:v>
                </c:pt>
                <c:pt idx="44">
                  <c:v>36.486499999999999</c:v>
                </c:pt>
                <c:pt idx="45">
                  <c:v>36.456600000000002</c:v>
                </c:pt>
                <c:pt idx="46">
                  <c:v>36.639099999999999</c:v>
                </c:pt>
                <c:pt idx="47">
                  <c:v>36.650500000000001</c:v>
                </c:pt>
                <c:pt idx="48">
                  <c:v>36.448700000000002</c:v>
                </c:pt>
                <c:pt idx="49">
                  <c:v>36.207000000000001</c:v>
                </c:pt>
                <c:pt idx="50">
                  <c:v>36.1081</c:v>
                </c:pt>
                <c:pt idx="51">
                  <c:v>36.402200000000001</c:v>
                </c:pt>
                <c:pt idx="52">
                  <c:v>36.1663</c:v>
                </c:pt>
                <c:pt idx="53">
                  <c:v>35.931600000000003</c:v>
                </c:pt>
                <c:pt idx="54">
                  <c:v>35.449399999999997</c:v>
                </c:pt>
                <c:pt idx="55">
                  <c:v>35.581000000000003</c:v>
                </c:pt>
                <c:pt idx="56">
                  <c:v>35.687100000000001</c:v>
                </c:pt>
                <c:pt idx="57">
                  <c:v>35.6053</c:v>
                </c:pt>
                <c:pt idx="58">
                  <c:v>35.024000000000001</c:v>
                </c:pt>
                <c:pt idx="59">
                  <c:v>35.2517</c:v>
                </c:pt>
                <c:pt idx="60">
                  <c:v>35.5154</c:v>
                </c:pt>
                <c:pt idx="61">
                  <c:v>35.500999999999998</c:v>
                </c:pt>
                <c:pt idx="62">
                  <c:v>35.4679</c:v>
                </c:pt>
                <c:pt idx="63">
                  <c:v>35.547499999999999</c:v>
                </c:pt>
                <c:pt idx="64">
                  <c:v>35.749299999999998</c:v>
                </c:pt>
                <c:pt idx="65">
                  <c:v>35.558100000000003</c:v>
                </c:pt>
                <c:pt idx="66">
                  <c:v>35.623899999999999</c:v>
                </c:pt>
                <c:pt idx="67">
                  <c:v>35.988999999999997</c:v>
                </c:pt>
                <c:pt idx="68">
                  <c:v>35.963500000000003</c:v>
                </c:pt>
                <c:pt idx="69">
                  <c:v>36.081299999999999</c:v>
                </c:pt>
                <c:pt idx="70">
                  <c:v>35.928699999999999</c:v>
                </c:pt>
                <c:pt idx="71">
                  <c:v>35.538899999999998</c:v>
                </c:pt>
                <c:pt idx="72">
                  <c:v>35.668799999999997</c:v>
                </c:pt>
                <c:pt idx="73">
                  <c:v>35.6785</c:v>
                </c:pt>
                <c:pt idx="74">
                  <c:v>35.662500000000001</c:v>
                </c:pt>
                <c:pt idx="75">
                  <c:v>35.683</c:v>
                </c:pt>
                <c:pt idx="76">
                  <c:v>35.928899999999999</c:v>
                </c:pt>
                <c:pt idx="77">
                  <c:v>36.024500000000003</c:v>
                </c:pt>
                <c:pt idx="78">
                  <c:v>35.698300000000003</c:v>
                </c:pt>
                <c:pt idx="79">
                  <c:v>35.722700000000003</c:v>
                </c:pt>
                <c:pt idx="80">
                  <c:v>35.838099999999997</c:v>
                </c:pt>
                <c:pt idx="81">
                  <c:v>35.655000000000001</c:v>
                </c:pt>
                <c:pt idx="82">
                  <c:v>35.497100000000003</c:v>
                </c:pt>
                <c:pt idx="83">
                  <c:v>35.034300000000002</c:v>
                </c:pt>
                <c:pt idx="84">
                  <c:v>35.209099999999999</c:v>
                </c:pt>
                <c:pt idx="85">
                  <c:v>34.878900000000002</c:v>
                </c:pt>
                <c:pt idx="86">
                  <c:v>34.709000000000003</c:v>
                </c:pt>
                <c:pt idx="87">
                  <c:v>34.700499999999998</c:v>
                </c:pt>
                <c:pt idx="88">
                  <c:v>34.779400000000003</c:v>
                </c:pt>
                <c:pt idx="89">
                  <c:v>34.739400000000003</c:v>
                </c:pt>
                <c:pt idx="90">
                  <c:v>34.600700000000003</c:v>
                </c:pt>
                <c:pt idx="91">
                  <c:v>34.507800000000003</c:v>
                </c:pt>
                <c:pt idx="92">
                  <c:v>34.280200000000001</c:v>
                </c:pt>
                <c:pt idx="93">
                  <c:v>34.313899999999997</c:v>
                </c:pt>
                <c:pt idx="94">
                  <c:v>34.077100000000002</c:v>
                </c:pt>
                <c:pt idx="95">
                  <c:v>34.257100000000001</c:v>
                </c:pt>
                <c:pt idx="96">
                  <c:v>34.4895</c:v>
                </c:pt>
                <c:pt idx="97">
                  <c:v>34.648099999999999</c:v>
                </c:pt>
                <c:pt idx="98">
                  <c:v>34.735199999999999</c:v>
                </c:pt>
                <c:pt idx="99">
                  <c:v>34.8887</c:v>
                </c:pt>
                <c:pt idx="100">
                  <c:v>35.011499999999998</c:v>
                </c:pt>
                <c:pt idx="101">
                  <c:v>35.139800000000001</c:v>
                </c:pt>
                <c:pt idx="102">
                  <c:v>34.904299999999999</c:v>
                </c:pt>
                <c:pt idx="103">
                  <c:v>34.657299999999999</c:v>
                </c:pt>
                <c:pt idx="104">
                  <c:v>34.330300000000001</c:v>
                </c:pt>
                <c:pt idx="105">
                  <c:v>34.368099999999998</c:v>
                </c:pt>
                <c:pt idx="106">
                  <c:v>34.322699999999998</c:v>
                </c:pt>
                <c:pt idx="107">
                  <c:v>34.565399999999997</c:v>
                </c:pt>
                <c:pt idx="108">
                  <c:v>34.8095</c:v>
                </c:pt>
                <c:pt idx="109">
                  <c:v>34.8232</c:v>
                </c:pt>
                <c:pt idx="110">
                  <c:v>34.302500000000002</c:v>
                </c:pt>
                <c:pt idx="111">
                  <c:v>34.418999999999997</c:v>
                </c:pt>
                <c:pt idx="112">
                  <c:v>34.279699999999998</c:v>
                </c:pt>
                <c:pt idx="113">
                  <c:v>33.981200000000001</c:v>
                </c:pt>
                <c:pt idx="114">
                  <c:v>33.906999999999996</c:v>
                </c:pt>
                <c:pt idx="115">
                  <c:v>33.750799999999998</c:v>
                </c:pt>
                <c:pt idx="116">
                  <c:v>33.630600000000001</c:v>
                </c:pt>
                <c:pt idx="117">
                  <c:v>33.843400000000003</c:v>
                </c:pt>
                <c:pt idx="118">
                  <c:v>34.227499999999999</c:v>
                </c:pt>
                <c:pt idx="119">
                  <c:v>34.249600000000001</c:v>
                </c:pt>
                <c:pt idx="120">
                  <c:v>34.194899999999997</c:v>
                </c:pt>
                <c:pt idx="121">
                  <c:v>34.323599999999999</c:v>
                </c:pt>
                <c:pt idx="122">
                  <c:v>34.569099999999999</c:v>
                </c:pt>
                <c:pt idx="123">
                  <c:v>34.425800000000002</c:v>
                </c:pt>
                <c:pt idx="124">
                  <c:v>34.075800000000001</c:v>
                </c:pt>
                <c:pt idx="125">
                  <c:v>33.835299999999997</c:v>
                </c:pt>
                <c:pt idx="126">
                  <c:v>34.058199999999999</c:v>
                </c:pt>
                <c:pt idx="127">
                  <c:v>34.313499999999998</c:v>
                </c:pt>
                <c:pt idx="128">
                  <c:v>34.372300000000003</c:v>
                </c:pt>
                <c:pt idx="129">
                  <c:v>34.385300000000001</c:v>
                </c:pt>
                <c:pt idx="130">
                  <c:v>34.799799999999998</c:v>
                </c:pt>
                <c:pt idx="131">
                  <c:v>35.162700000000001</c:v>
                </c:pt>
                <c:pt idx="132">
                  <c:v>35.090000000000003</c:v>
                </c:pt>
                <c:pt idx="133">
                  <c:v>35.038699999999999</c:v>
                </c:pt>
                <c:pt idx="134">
                  <c:v>34.810099999999998</c:v>
                </c:pt>
                <c:pt idx="135">
                  <c:v>35.078600000000002</c:v>
                </c:pt>
                <c:pt idx="136">
                  <c:v>35.0535</c:v>
                </c:pt>
                <c:pt idx="137">
                  <c:v>35.345700000000001</c:v>
                </c:pt>
                <c:pt idx="138">
                  <c:v>35.633899999999997</c:v>
                </c:pt>
                <c:pt idx="139">
                  <c:v>35.7271</c:v>
                </c:pt>
                <c:pt idx="140">
                  <c:v>35.443800000000003</c:v>
                </c:pt>
                <c:pt idx="141">
                  <c:v>35.727200000000003</c:v>
                </c:pt>
                <c:pt idx="142">
                  <c:v>35.660499999999999</c:v>
                </c:pt>
                <c:pt idx="143">
                  <c:v>35.798699999999997</c:v>
                </c:pt>
                <c:pt idx="144">
                  <c:v>36.110199999999999</c:v>
                </c:pt>
                <c:pt idx="145">
                  <c:v>36.249600000000001</c:v>
                </c:pt>
                <c:pt idx="146">
                  <c:v>36.446100000000001</c:v>
                </c:pt>
                <c:pt idx="147">
                  <c:v>36.047499999999999</c:v>
                </c:pt>
                <c:pt idx="148">
                  <c:v>36.088999999999999</c:v>
                </c:pt>
                <c:pt idx="149">
                  <c:v>36.222200000000001</c:v>
                </c:pt>
                <c:pt idx="150">
                  <c:v>36.039499999999997</c:v>
                </c:pt>
                <c:pt idx="151">
                  <c:v>36.001399999999997</c:v>
                </c:pt>
                <c:pt idx="152">
                  <c:v>36.029400000000003</c:v>
                </c:pt>
                <c:pt idx="153">
                  <c:v>36.109400000000001</c:v>
                </c:pt>
                <c:pt idx="154">
                  <c:v>36.223999999999997</c:v>
                </c:pt>
                <c:pt idx="155">
                  <c:v>36.331699999999998</c:v>
                </c:pt>
                <c:pt idx="156">
                  <c:v>36.002699999999997</c:v>
                </c:pt>
                <c:pt idx="157">
                  <c:v>36.120100000000001</c:v>
                </c:pt>
                <c:pt idx="158">
                  <c:v>36.135800000000003</c:v>
                </c:pt>
                <c:pt idx="159">
                  <c:v>36.139699999999998</c:v>
                </c:pt>
                <c:pt idx="160">
                  <c:v>36.305300000000003</c:v>
                </c:pt>
                <c:pt idx="161">
                  <c:v>36.931600000000003</c:v>
                </c:pt>
                <c:pt idx="162">
                  <c:v>37.294499999999999</c:v>
                </c:pt>
                <c:pt idx="163">
                  <c:v>37.347999999999999</c:v>
                </c:pt>
                <c:pt idx="164">
                  <c:v>37.318300000000001</c:v>
                </c:pt>
                <c:pt idx="165">
                  <c:v>36.803800000000003</c:v>
                </c:pt>
                <c:pt idx="166">
                  <c:v>36.921900000000001</c:v>
                </c:pt>
                <c:pt idx="167">
                  <c:v>37.086599999999997</c:v>
                </c:pt>
                <c:pt idx="168">
                  <c:v>37.0261</c:v>
                </c:pt>
                <c:pt idx="169">
                  <c:v>37.1693</c:v>
                </c:pt>
                <c:pt idx="170">
                  <c:v>37.375799999999998</c:v>
                </c:pt>
                <c:pt idx="171">
                  <c:v>37.654499999999999</c:v>
                </c:pt>
                <c:pt idx="172">
                  <c:v>37.9861</c:v>
                </c:pt>
                <c:pt idx="173">
                  <c:v>38.705800000000004</c:v>
                </c:pt>
                <c:pt idx="174">
                  <c:v>38.372399999999999</c:v>
                </c:pt>
                <c:pt idx="175">
                  <c:v>38.420900000000003</c:v>
                </c:pt>
                <c:pt idx="176">
                  <c:v>38.413400000000003</c:v>
                </c:pt>
                <c:pt idx="177">
                  <c:v>38.578200000000002</c:v>
                </c:pt>
                <c:pt idx="178">
                  <c:v>38.667200000000001</c:v>
                </c:pt>
                <c:pt idx="179">
                  <c:v>38.383000000000003</c:v>
                </c:pt>
                <c:pt idx="180">
                  <c:v>38.300699999999999</c:v>
                </c:pt>
                <c:pt idx="181">
                  <c:v>38.724299999999999</c:v>
                </c:pt>
                <c:pt idx="182">
                  <c:v>39.386600000000001</c:v>
                </c:pt>
                <c:pt idx="183">
                  <c:v>39.383600000000001</c:v>
                </c:pt>
                <c:pt idx="184">
                  <c:v>39.660400000000003</c:v>
                </c:pt>
                <c:pt idx="185">
                  <c:v>39.547400000000003</c:v>
                </c:pt>
                <c:pt idx="186">
                  <c:v>39.698</c:v>
                </c:pt>
                <c:pt idx="187">
                  <c:v>39.981999999999999</c:v>
                </c:pt>
                <c:pt idx="188">
                  <c:v>39.741700000000002</c:v>
                </c:pt>
                <c:pt idx="189">
                  <c:v>39.981900000000003</c:v>
                </c:pt>
                <c:pt idx="190">
                  <c:v>39.979999999999997</c:v>
                </c:pt>
                <c:pt idx="191">
                  <c:v>40.212499999999999</c:v>
                </c:pt>
                <c:pt idx="192">
                  <c:v>40.325099999999999</c:v>
                </c:pt>
                <c:pt idx="193">
                  <c:v>40.5304</c:v>
                </c:pt>
                <c:pt idx="194">
                  <c:v>40.941600000000001</c:v>
                </c:pt>
                <c:pt idx="195">
                  <c:v>40.745699999999999</c:v>
                </c:pt>
                <c:pt idx="196">
                  <c:v>41.045000000000002</c:v>
                </c:pt>
                <c:pt idx="197">
                  <c:v>40.881500000000003</c:v>
                </c:pt>
                <c:pt idx="198">
                  <c:v>41.0501</c:v>
                </c:pt>
                <c:pt idx="199">
                  <c:v>40.967100000000002</c:v>
                </c:pt>
                <c:pt idx="200">
                  <c:v>41.495800000000003</c:v>
                </c:pt>
                <c:pt idx="201">
                  <c:v>41.810099999999998</c:v>
                </c:pt>
                <c:pt idx="202">
                  <c:v>41.9497</c:v>
                </c:pt>
                <c:pt idx="203">
                  <c:v>42.3934</c:v>
                </c:pt>
                <c:pt idx="204">
                  <c:v>42.652500000000003</c:v>
                </c:pt>
                <c:pt idx="205">
                  <c:v>43.394300000000001</c:v>
                </c:pt>
                <c:pt idx="206">
                  <c:v>41.962699999999998</c:v>
                </c:pt>
                <c:pt idx="207">
                  <c:v>44.399299999999997</c:v>
                </c:pt>
                <c:pt idx="208">
                  <c:v>45.185400000000001</c:v>
                </c:pt>
                <c:pt idx="209">
                  <c:v>47.877400000000002</c:v>
                </c:pt>
                <c:pt idx="210">
                  <c:v>45.892600000000002</c:v>
                </c:pt>
                <c:pt idx="211">
                  <c:v>45.951999999999998</c:v>
                </c:pt>
                <c:pt idx="212">
                  <c:v>46.337899999999998</c:v>
                </c:pt>
                <c:pt idx="213">
                  <c:v>46.1233</c:v>
                </c:pt>
                <c:pt idx="214">
                  <c:v>47.392000000000003</c:v>
                </c:pt>
                <c:pt idx="215">
                  <c:v>47.332900000000002</c:v>
                </c:pt>
                <c:pt idx="216">
                  <c:v>46.979700000000001</c:v>
                </c:pt>
                <c:pt idx="217">
                  <c:v>47.029400000000003</c:v>
                </c:pt>
                <c:pt idx="218">
                  <c:v>46.704700000000003</c:v>
                </c:pt>
                <c:pt idx="219">
                  <c:v>45.7926</c:v>
                </c:pt>
                <c:pt idx="220">
                  <c:v>44.785200000000003</c:v>
                </c:pt>
                <c:pt idx="221">
                  <c:v>44.9758</c:v>
                </c:pt>
                <c:pt idx="222">
                  <c:v>46.424399999999999</c:v>
                </c:pt>
                <c:pt idx="223">
                  <c:v>47.6629</c:v>
                </c:pt>
                <c:pt idx="224">
                  <c:v>49.322000000000003</c:v>
                </c:pt>
                <c:pt idx="225">
                  <c:v>51.806800000000003</c:v>
                </c:pt>
                <c:pt idx="226">
                  <c:v>50.767800000000001</c:v>
                </c:pt>
                <c:pt idx="227">
                  <c:v>54.382100000000001</c:v>
                </c:pt>
                <c:pt idx="228">
                  <c:v>52.693199999999997</c:v>
                </c:pt>
                <c:pt idx="229">
                  <c:v>53.108800000000002</c:v>
                </c:pt>
                <c:pt idx="230">
                  <c:v>53.307899999999997</c:v>
                </c:pt>
                <c:pt idx="231">
                  <c:v>54.211599999999997</c:v>
                </c:pt>
                <c:pt idx="232">
                  <c:v>54.275799999999997</c:v>
                </c:pt>
                <c:pt idx="233">
                  <c:v>54.793199999999999</c:v>
                </c:pt>
                <c:pt idx="234">
                  <c:v>56.8919</c:v>
                </c:pt>
                <c:pt idx="235">
                  <c:v>58.3461</c:v>
                </c:pt>
                <c:pt idx="236">
                  <c:v>61.151200000000003</c:v>
                </c:pt>
                <c:pt idx="237">
                  <c:v>67.7851</c:v>
                </c:pt>
                <c:pt idx="238">
                  <c:v>59.602899999999998</c:v>
                </c:pt>
                <c:pt idx="239">
                  <c:v>60.682499999999997</c:v>
                </c:pt>
                <c:pt idx="240">
                  <c:v>56.494</c:v>
                </c:pt>
                <c:pt idx="241">
                  <c:v>54.5687</c:v>
                </c:pt>
                <c:pt idx="242">
                  <c:v>54.491300000000003</c:v>
                </c:pt>
                <c:pt idx="243">
                  <c:v>52.615900000000003</c:v>
                </c:pt>
                <c:pt idx="244">
                  <c:v>52.034300000000002</c:v>
                </c:pt>
                <c:pt idx="245">
                  <c:v>56.680100000000003</c:v>
                </c:pt>
                <c:pt idx="246">
                  <c:v>56.258400000000002</c:v>
                </c:pt>
                <c:pt idx="247">
                  <c:v>56.2376</c:v>
                </c:pt>
                <c:pt idx="248">
                  <c:v>62.7363</c:v>
                </c:pt>
                <c:pt idx="249">
                  <c:v>64.842500000000001</c:v>
                </c:pt>
                <c:pt idx="250">
                  <c:v>66.098299999999995</c:v>
                </c:pt>
                <c:pt idx="251">
                  <c:v>64.833699999999993</c:v>
                </c:pt>
                <c:pt idx="252">
                  <c:v>65.1738</c:v>
                </c:pt>
                <c:pt idx="253">
                  <c:v>64.973200000000006</c:v>
                </c:pt>
                <c:pt idx="254">
                  <c:v>64.986199999999997</c:v>
                </c:pt>
                <c:pt idx="255">
                  <c:v>65.555800000000005</c:v>
                </c:pt>
                <c:pt idx="256">
                  <c:v>65.400000000000006</c:v>
                </c:pt>
                <c:pt idx="257">
                  <c:v>63.393000000000001</c:v>
                </c:pt>
                <c:pt idx="258">
                  <c:v>65.593699999999998</c:v>
                </c:pt>
                <c:pt idx="259">
                  <c:v>67.815299999999993</c:v>
                </c:pt>
                <c:pt idx="260">
                  <c:v>67.150599999999997</c:v>
                </c:pt>
                <c:pt idx="261">
                  <c:v>68.7303</c:v>
                </c:pt>
                <c:pt idx="262">
                  <c:v>68.929100000000005</c:v>
                </c:pt>
                <c:pt idx="263">
                  <c:v>69.664000000000001</c:v>
                </c:pt>
                <c:pt idx="264">
                  <c:v>67.7727</c:v>
                </c:pt>
                <c:pt idx="265">
                  <c:v>65.447000000000003</c:v>
                </c:pt>
                <c:pt idx="266">
                  <c:v>68.6113</c:v>
                </c:pt>
                <c:pt idx="267">
                  <c:v>66.043199999999999</c:v>
                </c:pt>
                <c:pt idx="268">
                  <c:v>65.781700000000001</c:v>
                </c:pt>
                <c:pt idx="269">
                  <c:v>65.446899999999999</c:v>
                </c:pt>
                <c:pt idx="270">
                  <c:v>66.058499999999995</c:v>
                </c:pt>
                <c:pt idx="271">
                  <c:v>66.099400000000003</c:v>
                </c:pt>
                <c:pt idx="272">
                  <c:v>65.086200000000005</c:v>
                </c:pt>
                <c:pt idx="273">
                  <c:v>62.663200000000003</c:v>
                </c:pt>
                <c:pt idx="274">
                  <c:v>62.835299999999997</c:v>
                </c:pt>
                <c:pt idx="275">
                  <c:v>62.400100000000002</c:v>
                </c:pt>
                <c:pt idx="276">
                  <c:v>62.130699999999997</c:v>
                </c:pt>
                <c:pt idx="277">
                  <c:v>61.723500000000001</c:v>
                </c:pt>
                <c:pt idx="278">
                  <c:v>63.508299999999998</c:v>
                </c:pt>
                <c:pt idx="279">
                  <c:v>62.590600000000002</c:v>
                </c:pt>
                <c:pt idx="280">
                  <c:v>60.710900000000002</c:v>
                </c:pt>
                <c:pt idx="281">
                  <c:v>61.271799999999999</c:v>
                </c:pt>
                <c:pt idx="282">
                  <c:v>62.224800000000002</c:v>
                </c:pt>
                <c:pt idx="283">
                  <c:v>62.364899999999999</c:v>
                </c:pt>
                <c:pt idx="284">
                  <c:v>61.874499999999998</c:v>
                </c:pt>
                <c:pt idx="285">
                  <c:v>61.845700000000001</c:v>
                </c:pt>
                <c:pt idx="286">
                  <c:v>59.9938</c:v>
                </c:pt>
                <c:pt idx="287">
                  <c:v>60.664900000000003</c:v>
                </c:pt>
                <c:pt idx="288">
                  <c:v>62.679699999999997</c:v>
                </c:pt>
                <c:pt idx="289">
                  <c:v>60.959499999999998</c:v>
                </c:pt>
                <c:pt idx="290">
                  <c:v>61.316699999999997</c:v>
                </c:pt>
                <c:pt idx="291">
                  <c:v>62.149700000000003</c:v>
                </c:pt>
                <c:pt idx="292">
                  <c:v>61.750999999999998</c:v>
                </c:pt>
                <c:pt idx="293">
                  <c:v>61.348300000000002</c:v>
                </c:pt>
                <c:pt idx="294">
                  <c:v>59.830800000000004</c:v>
                </c:pt>
                <c:pt idx="295">
                  <c:v>60.034100000000002</c:v>
                </c:pt>
                <c:pt idx="296">
                  <c:v>59.4452</c:v>
                </c:pt>
                <c:pt idx="297">
                  <c:v>58.771000000000001</c:v>
                </c:pt>
                <c:pt idx="298">
                  <c:v>57.387900000000002</c:v>
                </c:pt>
                <c:pt idx="299">
                  <c:v>56.427100000000003</c:v>
                </c:pt>
                <c:pt idx="300">
                  <c:v>57.727899999999998</c:v>
                </c:pt>
                <c:pt idx="301">
                  <c:v>58.464300000000001</c:v>
                </c:pt>
                <c:pt idx="302">
                  <c:v>57.65</c:v>
                </c:pt>
                <c:pt idx="303">
                  <c:v>58.3536</c:v>
                </c:pt>
                <c:pt idx="304">
                  <c:v>56.990200000000002</c:v>
                </c:pt>
                <c:pt idx="305">
                  <c:v>56.753399999999999</c:v>
                </c:pt>
                <c:pt idx="306">
                  <c:v>56.516100000000002</c:v>
                </c:pt>
                <c:pt idx="307">
                  <c:v>55.332799999999999</c:v>
                </c:pt>
                <c:pt idx="308">
                  <c:v>54.027000000000001</c:v>
                </c:pt>
                <c:pt idx="309">
                  <c:v>52.542400000000001</c:v>
                </c:pt>
                <c:pt idx="310">
                  <c:v>51.067799999999998</c:v>
                </c:pt>
                <c:pt idx="311">
                  <c:v>52.421999999999997</c:v>
                </c:pt>
                <c:pt idx="312">
                  <c:v>51.974899999999998</c:v>
                </c:pt>
                <c:pt idx="313">
                  <c:v>50.503300000000003</c:v>
                </c:pt>
                <c:pt idx="314">
                  <c:v>49.674900000000001</c:v>
                </c:pt>
                <c:pt idx="315">
                  <c:v>50.529499999999999</c:v>
                </c:pt>
                <c:pt idx="316">
                  <c:v>51.520699999999998</c:v>
                </c:pt>
                <c:pt idx="317">
                  <c:v>53.972799999999999</c:v>
                </c:pt>
                <c:pt idx="318">
                  <c:v>53.655500000000004</c:v>
                </c:pt>
                <c:pt idx="319">
                  <c:v>51.601100000000002</c:v>
                </c:pt>
                <c:pt idx="320">
                  <c:v>50.247300000000003</c:v>
                </c:pt>
                <c:pt idx="321">
                  <c:v>51.469000000000001</c:v>
                </c:pt>
                <c:pt idx="322">
                  <c:v>52.304099999999998</c:v>
                </c:pt>
                <c:pt idx="323">
                  <c:v>51.7029</c:v>
                </c:pt>
                <c:pt idx="324">
                  <c:v>51.138800000000003</c:v>
                </c:pt>
                <c:pt idx="325">
                  <c:v>51.757399999999997</c:v>
                </c:pt>
                <c:pt idx="326">
                  <c:v>49.9816</c:v>
                </c:pt>
                <c:pt idx="327">
                  <c:v>50.361499999999999</c:v>
                </c:pt>
                <c:pt idx="328">
                  <c:v>50.751100000000001</c:v>
                </c:pt>
                <c:pt idx="329">
                  <c:v>50.914000000000001</c:v>
                </c:pt>
                <c:pt idx="330">
                  <c:v>49.5366</c:v>
                </c:pt>
                <c:pt idx="331">
                  <c:v>50.077399999999997</c:v>
                </c:pt>
                <c:pt idx="332">
                  <c:v>50.011499999999998</c:v>
                </c:pt>
                <c:pt idx="333">
                  <c:v>49.217500000000001</c:v>
                </c:pt>
                <c:pt idx="334">
                  <c:v>49.177700000000002</c:v>
                </c:pt>
                <c:pt idx="335">
                  <c:v>49.791899999999998</c:v>
                </c:pt>
                <c:pt idx="336">
                  <c:v>49.920400000000001</c:v>
                </c:pt>
                <c:pt idx="337">
                  <c:v>49.790100000000002</c:v>
                </c:pt>
                <c:pt idx="338">
                  <c:v>49.8613</c:v>
                </c:pt>
                <c:pt idx="339">
                  <c:v>50.322299999999998</c:v>
                </c:pt>
                <c:pt idx="340">
                  <c:v>51.017800000000001</c:v>
                </c:pt>
                <c:pt idx="341">
                  <c:v>52.290700000000001</c:v>
                </c:pt>
                <c:pt idx="342">
                  <c:v>52.971600000000002</c:v>
                </c:pt>
                <c:pt idx="343">
                  <c:v>52.821300000000001</c:v>
                </c:pt>
                <c:pt idx="344">
                  <c:v>53.441299999999998</c:v>
                </c:pt>
                <c:pt idx="345">
                  <c:v>53.058999999999997</c:v>
                </c:pt>
                <c:pt idx="346">
                  <c:v>54.9908</c:v>
                </c:pt>
                <c:pt idx="347">
                  <c:v>56.246299999999998</c:v>
                </c:pt>
                <c:pt idx="348">
                  <c:v>56.043500000000002</c:v>
                </c:pt>
                <c:pt idx="349">
                  <c:v>55.91</c:v>
                </c:pt>
                <c:pt idx="350">
                  <c:v>54.821899999999999</c:v>
                </c:pt>
                <c:pt idx="351">
                  <c:v>54.528500000000001</c:v>
                </c:pt>
                <c:pt idx="352">
                  <c:v>55.267899999999997</c:v>
                </c:pt>
                <c:pt idx="353">
                  <c:v>54.040900000000001</c:v>
                </c:pt>
                <c:pt idx="354">
                  <c:v>53.899900000000002</c:v>
                </c:pt>
                <c:pt idx="355">
                  <c:v>53.330100000000002</c:v>
                </c:pt>
                <c:pt idx="356">
                  <c:v>53.800600000000003</c:v>
                </c:pt>
                <c:pt idx="357">
                  <c:v>53.556899999999999</c:v>
                </c:pt>
                <c:pt idx="358">
                  <c:v>54.208100000000002</c:v>
                </c:pt>
                <c:pt idx="359">
                  <c:v>54.074599999999997</c:v>
                </c:pt>
                <c:pt idx="360">
                  <c:v>54.602600000000002</c:v>
                </c:pt>
                <c:pt idx="361">
                  <c:v>54.812600000000003</c:v>
                </c:pt>
                <c:pt idx="362">
                  <c:v>55.524000000000001</c:v>
                </c:pt>
                <c:pt idx="363">
                  <c:v>55.841299999999997</c:v>
                </c:pt>
                <c:pt idx="364">
                  <c:v>55.4756</c:v>
                </c:pt>
                <c:pt idx="365">
                  <c:v>55.655500000000004</c:v>
                </c:pt>
                <c:pt idx="366">
                  <c:v>55.604900000000001</c:v>
                </c:pt>
                <c:pt idx="367">
                  <c:v>56.411200000000001</c:v>
                </c:pt>
                <c:pt idx="368">
                  <c:v>57.219200000000001</c:v>
                </c:pt>
                <c:pt idx="369">
                  <c:v>57.217399999999998</c:v>
                </c:pt>
                <c:pt idx="370">
                  <c:v>56.9803</c:v>
                </c:pt>
                <c:pt idx="371">
                  <c:v>56.668500000000002</c:v>
                </c:pt>
                <c:pt idx="372">
                  <c:v>56.607900000000001</c:v>
                </c:pt>
                <c:pt idx="373">
                  <c:v>56.977400000000003</c:v>
                </c:pt>
                <c:pt idx="374">
                  <c:v>56.664200000000001</c:v>
                </c:pt>
                <c:pt idx="375">
                  <c:v>56.950400000000002</c:v>
                </c:pt>
                <c:pt idx="376">
                  <c:v>56.842300000000002</c:v>
                </c:pt>
                <c:pt idx="377">
                  <c:v>56.833599999999997</c:v>
                </c:pt>
                <c:pt idx="378">
                  <c:v>57.002499999999998</c:v>
                </c:pt>
                <c:pt idx="379">
                  <c:v>57.023200000000003</c:v>
                </c:pt>
                <c:pt idx="380">
                  <c:v>57.357799999999997</c:v>
                </c:pt>
                <c:pt idx="381">
                  <c:v>58.037399999999998</c:v>
                </c:pt>
                <c:pt idx="382">
                  <c:v>58.781599999999997</c:v>
                </c:pt>
                <c:pt idx="383">
                  <c:v>60.223100000000002</c:v>
                </c:pt>
                <c:pt idx="384">
                  <c:v>59.766500000000001</c:v>
                </c:pt>
                <c:pt idx="385">
                  <c:v>58.990600000000001</c:v>
                </c:pt>
                <c:pt idx="386">
                  <c:v>60.345799999999997</c:v>
                </c:pt>
                <c:pt idx="387">
                  <c:v>62.467700000000001</c:v>
                </c:pt>
                <c:pt idx="388">
                  <c:v>62.918199999999999</c:v>
                </c:pt>
                <c:pt idx="389">
                  <c:v>62.718400000000003</c:v>
                </c:pt>
                <c:pt idx="390">
                  <c:v>63.864400000000003</c:v>
                </c:pt>
                <c:pt idx="391">
                  <c:v>63.8399</c:v>
                </c:pt>
                <c:pt idx="392">
                  <c:v>64.497699999999995</c:v>
                </c:pt>
                <c:pt idx="393">
                  <c:v>63.209800000000001</c:v>
                </c:pt>
                <c:pt idx="394">
                  <c:v>65.016900000000007</c:v>
                </c:pt>
                <c:pt idx="395">
                  <c:v>63.998800000000003</c:v>
                </c:pt>
                <c:pt idx="396">
                  <c:v>64.936300000000003</c:v>
                </c:pt>
                <c:pt idx="397">
                  <c:v>65.503399999999999</c:v>
                </c:pt>
                <c:pt idx="398">
                  <c:v>65.828900000000004</c:v>
                </c:pt>
                <c:pt idx="399">
                  <c:v>65.722200000000001</c:v>
                </c:pt>
                <c:pt idx="400">
                  <c:v>66.960800000000006</c:v>
                </c:pt>
                <c:pt idx="401">
                  <c:v>68.121600000000001</c:v>
                </c:pt>
                <c:pt idx="402">
                  <c:v>70.746499999999997</c:v>
                </c:pt>
                <c:pt idx="403">
                  <c:v>69.946100000000001</c:v>
                </c:pt>
                <c:pt idx="404">
                  <c:v>69.3142</c:v>
                </c:pt>
                <c:pt idx="405">
                  <c:v>67.447299999999998</c:v>
                </c:pt>
                <c:pt idx="406">
                  <c:v>66.477900000000005</c:v>
                </c:pt>
                <c:pt idx="407">
                  <c:v>66.715199999999996</c:v>
                </c:pt>
                <c:pt idx="408">
                  <c:v>65.349500000000006</c:v>
                </c:pt>
                <c:pt idx="409">
                  <c:v>66.675600000000003</c:v>
                </c:pt>
                <c:pt idx="410">
                  <c:v>67.010199999999998</c:v>
                </c:pt>
                <c:pt idx="411">
                  <c:v>67.685000000000002</c:v>
                </c:pt>
                <c:pt idx="412">
                  <c:v>68.486400000000003</c:v>
                </c:pt>
                <c:pt idx="413">
                  <c:v>68.793199999999999</c:v>
                </c:pt>
                <c:pt idx="414">
                  <c:v>67.621899999999997</c:v>
                </c:pt>
                <c:pt idx="415">
                  <c:v>68.496099999999998</c:v>
                </c:pt>
                <c:pt idx="416">
                  <c:v>68.009299999999996</c:v>
                </c:pt>
                <c:pt idx="417">
                  <c:v>67.957099999999997</c:v>
                </c:pt>
                <c:pt idx="418">
                  <c:v>67.157399999999996</c:v>
                </c:pt>
                <c:pt idx="419">
                  <c:v>65.927300000000002</c:v>
                </c:pt>
                <c:pt idx="420">
                  <c:v>65.362300000000005</c:v>
                </c:pt>
                <c:pt idx="421">
                  <c:v>65.644499999999994</c:v>
                </c:pt>
                <c:pt idx="422">
                  <c:v>66.145499999999998</c:v>
                </c:pt>
                <c:pt idx="423">
                  <c:v>66.174700000000001</c:v>
                </c:pt>
                <c:pt idx="424">
                  <c:v>66.040999999999997</c:v>
                </c:pt>
                <c:pt idx="425">
                  <c:v>66.515100000000004</c:v>
                </c:pt>
                <c:pt idx="426">
                  <c:v>65.672700000000006</c:v>
                </c:pt>
                <c:pt idx="427">
                  <c:v>65.546999999999997</c:v>
                </c:pt>
                <c:pt idx="428">
                  <c:v>66.236699999999999</c:v>
                </c:pt>
                <c:pt idx="429">
                  <c:v>65.736400000000003</c:v>
                </c:pt>
                <c:pt idx="430">
                  <c:v>65.033600000000007</c:v>
                </c:pt>
                <c:pt idx="431">
                  <c:v>65.941400000000002</c:v>
                </c:pt>
                <c:pt idx="432">
                  <c:v>65.624799999999993</c:v>
                </c:pt>
                <c:pt idx="433">
                  <c:v>65.096199999999996</c:v>
                </c:pt>
                <c:pt idx="434">
                  <c:v>62.706099999999999</c:v>
                </c:pt>
                <c:pt idx="435">
                  <c:v>62.294199999999996</c:v>
                </c:pt>
                <c:pt idx="436">
                  <c:v>61.296700000000001</c:v>
                </c:pt>
                <c:pt idx="437">
                  <c:v>61.153500000000001</c:v>
                </c:pt>
                <c:pt idx="438">
                  <c:v>62.223700000000001</c:v>
                </c:pt>
                <c:pt idx="439">
                  <c:v>63.1248</c:v>
                </c:pt>
                <c:pt idx="440">
                  <c:v>62.243299999999998</c:v>
                </c:pt>
                <c:pt idx="441">
                  <c:v>61.358699999999999</c:v>
                </c:pt>
                <c:pt idx="442">
                  <c:v>61.441899999999997</c:v>
                </c:pt>
                <c:pt idx="443">
                  <c:v>62.161999999999999</c:v>
                </c:pt>
                <c:pt idx="444">
                  <c:v>62.630899999999997</c:v>
                </c:pt>
                <c:pt idx="445">
                  <c:v>62.788800000000002</c:v>
                </c:pt>
                <c:pt idx="446">
                  <c:v>61.928600000000003</c:v>
                </c:pt>
                <c:pt idx="447">
                  <c:v>62.503799999999998</c:v>
                </c:pt>
                <c:pt idx="448">
                  <c:v>63.500399999999999</c:v>
                </c:pt>
                <c:pt idx="449">
                  <c:v>65.315899999999999</c:v>
                </c:pt>
                <c:pt idx="450">
                  <c:v>64.168599999999998</c:v>
                </c:pt>
                <c:pt idx="451">
                  <c:v>64.374200000000002</c:v>
                </c:pt>
                <c:pt idx="452">
                  <c:v>63.799300000000002</c:v>
                </c:pt>
                <c:pt idx="453">
                  <c:v>63.852499999999999</c:v>
                </c:pt>
                <c:pt idx="454">
                  <c:v>63.399099999999997</c:v>
                </c:pt>
                <c:pt idx="455">
                  <c:v>63.683199999999999</c:v>
                </c:pt>
                <c:pt idx="456">
                  <c:v>64.660600000000002</c:v>
                </c:pt>
                <c:pt idx="457">
                  <c:v>64.390799999999999</c:v>
                </c:pt>
                <c:pt idx="458">
                  <c:v>64.569299999999998</c:v>
                </c:pt>
                <c:pt idx="459">
                  <c:v>65.454099999999997</c:v>
                </c:pt>
                <c:pt idx="460">
                  <c:v>66.634299999999996</c:v>
                </c:pt>
                <c:pt idx="461">
                  <c:v>66.460700000000003</c:v>
                </c:pt>
                <c:pt idx="462">
                  <c:v>65.479900000000001</c:v>
                </c:pt>
                <c:pt idx="463">
                  <c:v>64.778499999999994</c:v>
                </c:pt>
                <c:pt idx="464">
                  <c:v>64.912000000000006</c:v>
                </c:pt>
                <c:pt idx="465">
                  <c:v>64.8673</c:v>
                </c:pt>
                <c:pt idx="466">
                  <c:v>65.597300000000004</c:v>
                </c:pt>
                <c:pt idx="467">
                  <c:v>65.620999999999995</c:v>
                </c:pt>
                <c:pt idx="468">
                  <c:v>65.478899999999996</c:v>
                </c:pt>
                <c:pt idx="469">
                  <c:v>65.683599999999998</c:v>
                </c:pt>
                <c:pt idx="470">
                  <c:v>66.2393</c:v>
                </c:pt>
                <c:pt idx="471">
                  <c:v>66.736999999999995</c:v>
                </c:pt>
                <c:pt idx="472">
                  <c:v>66.258399999999995</c:v>
                </c:pt>
                <c:pt idx="473">
                  <c:v>66.740200000000002</c:v>
                </c:pt>
                <c:pt idx="474">
                  <c:v>67.769099999999995</c:v>
                </c:pt>
                <c:pt idx="475">
                  <c:v>67.669799999999995</c:v>
                </c:pt>
                <c:pt idx="476">
                  <c:v>68.515600000000006</c:v>
                </c:pt>
                <c:pt idx="477">
                  <c:v>69.302599999999998</c:v>
                </c:pt>
                <c:pt idx="478">
                  <c:v>69.2</c:v>
                </c:pt>
                <c:pt idx="479">
                  <c:v>69.215100000000007</c:v>
                </c:pt>
                <c:pt idx="480">
                  <c:v>69.1755</c:v>
                </c:pt>
                <c:pt idx="481">
                  <c:v>70.224400000000003</c:v>
                </c:pt>
                <c:pt idx="482">
                  <c:v>70.829499999999996</c:v>
                </c:pt>
                <c:pt idx="483">
                  <c:v>70.401200000000003</c:v>
                </c:pt>
                <c:pt idx="484">
                  <c:v>70.580600000000004</c:v>
                </c:pt>
                <c:pt idx="485">
                  <c:v>71.3215</c:v>
                </c:pt>
                <c:pt idx="486">
                  <c:v>71.255300000000005</c:v>
                </c:pt>
                <c:pt idx="487">
                  <c:v>71.121099999999998</c:v>
                </c:pt>
                <c:pt idx="488">
                  <c:v>70.933300000000003</c:v>
                </c:pt>
                <c:pt idx="489">
                  <c:v>69.516499999999994</c:v>
                </c:pt>
                <c:pt idx="490">
                  <c:v>70.269000000000005</c:v>
                </c:pt>
                <c:pt idx="491">
                  <c:v>70.786500000000004</c:v>
                </c:pt>
                <c:pt idx="492">
                  <c:v>72.506600000000006</c:v>
                </c:pt>
                <c:pt idx="493">
                  <c:v>72.8827</c:v>
                </c:pt>
                <c:pt idx="494">
                  <c:v>72.929900000000004</c:v>
                </c:pt>
                <c:pt idx="495">
                  <c:v>75.950699999999998</c:v>
                </c:pt>
                <c:pt idx="496">
                  <c:v>76.604100000000003</c:v>
                </c:pt>
                <c:pt idx="497">
                  <c:v>76.427499999999995</c:v>
                </c:pt>
                <c:pt idx="498">
                  <c:v>76.522999999999996</c:v>
                </c:pt>
                <c:pt idx="499">
                  <c:v>76.564999999999998</c:v>
                </c:pt>
                <c:pt idx="500">
                  <c:v>78.6678</c:v>
                </c:pt>
                <c:pt idx="501">
                  <c:v>78.486199999999997</c:v>
                </c:pt>
                <c:pt idx="502">
                  <c:v>79.461399999999998</c:v>
                </c:pt>
                <c:pt idx="503">
                  <c:v>83.591300000000004</c:v>
                </c:pt>
                <c:pt idx="504">
                  <c:v>80.571399999999997</c:v>
                </c:pt>
                <c:pt idx="505">
                  <c:v>77.796499999999995</c:v>
                </c:pt>
                <c:pt idx="506">
                  <c:v>81.839399999999998</c:v>
                </c:pt>
                <c:pt idx="507">
                  <c:v>78.996899999999997</c:v>
                </c:pt>
                <c:pt idx="508">
                  <c:v>77.367400000000004</c:v>
                </c:pt>
                <c:pt idx="509">
                  <c:v>75.172300000000007</c:v>
                </c:pt>
                <c:pt idx="510">
                  <c:v>76.326400000000007</c:v>
                </c:pt>
                <c:pt idx="511">
                  <c:v>77.927300000000002</c:v>
                </c:pt>
                <c:pt idx="512">
                  <c:v>79.259299999999996</c:v>
                </c:pt>
                <c:pt idx="513">
                  <c:v>76.460899999999995</c:v>
                </c:pt>
                <c:pt idx="514">
                  <c:v>77.340900000000005</c:v>
                </c:pt>
                <c:pt idx="515">
                  <c:v>76.861400000000003</c:v>
                </c:pt>
                <c:pt idx="516">
                  <c:v>78.680499999999995</c:v>
                </c:pt>
                <c:pt idx="517">
                  <c:v>79.068899999999999</c:v>
                </c:pt>
                <c:pt idx="518">
                  <c:v>79.114400000000003</c:v>
                </c:pt>
                <c:pt idx="519">
                  <c:v>79.495099999999994</c:v>
                </c:pt>
                <c:pt idx="520">
                  <c:v>77.779200000000003</c:v>
                </c:pt>
                <c:pt idx="521">
                  <c:v>76.245000000000005</c:v>
                </c:pt>
                <c:pt idx="522">
                  <c:v>77.850300000000004</c:v>
                </c:pt>
                <c:pt idx="523">
                  <c:v>75.457499999999996</c:v>
                </c:pt>
                <c:pt idx="524">
                  <c:v>76.365700000000004</c:v>
                </c:pt>
                <c:pt idx="525">
                  <c:v>77.132599999999996</c:v>
                </c:pt>
                <c:pt idx="526">
                  <c:v>76.392799999999994</c:v>
                </c:pt>
                <c:pt idx="527">
                  <c:v>76.392899999999997</c:v>
                </c:pt>
                <c:pt idx="528">
                  <c:v>75.090299999999999</c:v>
                </c:pt>
                <c:pt idx="529">
                  <c:v>75.8994</c:v>
                </c:pt>
                <c:pt idx="530">
                  <c:v>74.053600000000003</c:v>
                </c:pt>
                <c:pt idx="531">
                  <c:v>73.625600000000006</c:v>
                </c:pt>
                <c:pt idx="532">
                  <c:v>73.824200000000005</c:v>
                </c:pt>
                <c:pt idx="533">
                  <c:v>73.185400000000001</c:v>
                </c:pt>
                <c:pt idx="534">
                  <c:v>72.377499999999998</c:v>
                </c:pt>
                <c:pt idx="535">
                  <c:v>71.092799999999997</c:v>
                </c:pt>
                <c:pt idx="536">
                  <c:v>70.306700000000006</c:v>
                </c:pt>
                <c:pt idx="537">
                  <c:v>70.154200000000003</c:v>
                </c:pt>
                <c:pt idx="538">
                  <c:v>70.540800000000004</c:v>
                </c:pt>
                <c:pt idx="539">
                  <c:v>71.025599999999997</c:v>
                </c:pt>
                <c:pt idx="540">
                  <c:v>68.559799999999996</c:v>
                </c:pt>
                <c:pt idx="541">
                  <c:v>68.402600000000007</c:v>
                </c:pt>
                <c:pt idx="542">
                  <c:v>68.808599999999998</c:v>
                </c:pt>
                <c:pt idx="543">
                  <c:v>67.776399999999995</c:v>
                </c:pt>
                <c:pt idx="544">
                  <c:v>67.640900000000002</c:v>
                </c:pt>
                <c:pt idx="545">
                  <c:v>68.9328</c:v>
                </c:pt>
                <c:pt idx="546">
                  <c:v>68.434600000000003</c:v>
                </c:pt>
                <c:pt idx="547">
                  <c:v>67.780699999999996</c:v>
                </c:pt>
                <c:pt idx="548">
                  <c:v>68.754900000000006</c:v>
                </c:pt>
                <c:pt idx="549">
                  <c:v>67.607600000000005</c:v>
                </c:pt>
                <c:pt idx="550">
                  <c:v>67.855199999999996</c:v>
                </c:pt>
                <c:pt idx="551">
                  <c:v>67.141000000000005</c:v>
                </c:pt>
                <c:pt idx="552">
                  <c:v>68.675299999999993</c:v>
                </c:pt>
                <c:pt idx="553">
                  <c:v>68.890100000000004</c:v>
                </c:pt>
                <c:pt idx="554">
                  <c:v>68.521500000000003</c:v>
                </c:pt>
                <c:pt idx="555">
                  <c:v>67.796000000000006</c:v>
                </c:pt>
                <c:pt idx="556">
                  <c:v>67.466200000000001</c:v>
                </c:pt>
                <c:pt idx="557">
                  <c:v>67.125</c:v>
                </c:pt>
                <c:pt idx="558">
                  <c:v>66.345600000000005</c:v>
                </c:pt>
                <c:pt idx="559">
                  <c:v>65.766199999999998</c:v>
                </c:pt>
                <c:pt idx="560">
                  <c:v>66.495400000000004</c:v>
                </c:pt>
                <c:pt idx="561">
                  <c:v>66.045199999999994</c:v>
                </c:pt>
                <c:pt idx="562">
                  <c:v>68.272400000000005</c:v>
                </c:pt>
                <c:pt idx="563">
                  <c:v>65.647400000000005</c:v>
                </c:pt>
                <c:pt idx="564">
                  <c:v>66.0364</c:v>
                </c:pt>
                <c:pt idx="565">
                  <c:v>65.025400000000005</c:v>
                </c:pt>
                <c:pt idx="566">
                  <c:v>66.219800000000006</c:v>
                </c:pt>
                <c:pt idx="567">
                  <c:v>66.629499999999993</c:v>
                </c:pt>
                <c:pt idx="568">
                  <c:v>66.4559</c:v>
                </c:pt>
                <c:pt idx="569">
                  <c:v>65.161799999999999</c:v>
                </c:pt>
                <c:pt idx="570">
                  <c:v>65.113299999999995</c:v>
                </c:pt>
                <c:pt idx="571">
                  <c:v>64.333399999999997</c:v>
                </c:pt>
                <c:pt idx="572">
                  <c:v>66.171800000000005</c:v>
                </c:pt>
                <c:pt idx="573">
                  <c:v>65.891800000000003</c:v>
                </c:pt>
                <c:pt idx="574">
                  <c:v>66.192800000000005</c:v>
                </c:pt>
                <c:pt idx="575">
                  <c:v>66.327699999999993</c:v>
                </c:pt>
                <c:pt idx="576">
                  <c:v>66.242800000000003</c:v>
                </c:pt>
                <c:pt idx="577">
                  <c:v>64.960700000000003</c:v>
                </c:pt>
                <c:pt idx="578">
                  <c:v>64.930599999999998</c:v>
                </c:pt>
                <c:pt idx="579">
                  <c:v>64.889499999999998</c:v>
                </c:pt>
                <c:pt idx="580">
                  <c:v>64.513800000000003</c:v>
                </c:pt>
                <c:pt idx="581">
                  <c:v>65.064099999999996</c:v>
                </c:pt>
                <c:pt idx="582">
                  <c:v>66.210999999999999</c:v>
                </c:pt>
                <c:pt idx="583">
                  <c:v>66.377499999999998</c:v>
                </c:pt>
                <c:pt idx="584">
                  <c:v>67.047499999999999</c:v>
                </c:pt>
                <c:pt idx="585">
                  <c:v>67.049300000000002</c:v>
                </c:pt>
                <c:pt idx="586">
                  <c:v>65.894900000000007</c:v>
                </c:pt>
                <c:pt idx="587">
                  <c:v>65.206199999999995</c:v>
                </c:pt>
                <c:pt idx="588">
                  <c:v>66.041300000000007</c:v>
                </c:pt>
                <c:pt idx="589">
                  <c:v>66.082499999999996</c:v>
                </c:pt>
                <c:pt idx="590">
                  <c:v>65.996200000000002</c:v>
                </c:pt>
                <c:pt idx="591">
                  <c:v>66.615600000000001</c:v>
                </c:pt>
                <c:pt idx="592">
                  <c:v>66.749099999999999</c:v>
                </c:pt>
                <c:pt idx="593">
                  <c:v>66.852900000000005</c:v>
                </c:pt>
                <c:pt idx="594">
                  <c:v>65.789400000000001</c:v>
                </c:pt>
                <c:pt idx="595">
                  <c:v>65.2089</c:v>
                </c:pt>
                <c:pt idx="596">
                  <c:v>64.679699999999997</c:v>
                </c:pt>
                <c:pt idx="597">
                  <c:v>63.740200000000002</c:v>
                </c:pt>
                <c:pt idx="598">
                  <c:v>64.707700000000003</c:v>
                </c:pt>
                <c:pt idx="599">
                  <c:v>66.030600000000007</c:v>
                </c:pt>
                <c:pt idx="600">
                  <c:v>65.915599999999998</c:v>
                </c:pt>
                <c:pt idx="601">
                  <c:v>65.861800000000002</c:v>
                </c:pt>
                <c:pt idx="602">
                  <c:v>65.439800000000005</c:v>
                </c:pt>
                <c:pt idx="603">
                  <c:v>64.150899999999993</c:v>
                </c:pt>
                <c:pt idx="604">
                  <c:v>64.174300000000002</c:v>
                </c:pt>
                <c:pt idx="605">
                  <c:v>63.716200000000001</c:v>
                </c:pt>
                <c:pt idx="606">
                  <c:v>64.321200000000005</c:v>
                </c:pt>
                <c:pt idx="607">
                  <c:v>65.528700000000001</c:v>
                </c:pt>
                <c:pt idx="608">
                  <c:v>65.058800000000005</c:v>
                </c:pt>
                <c:pt idx="609">
                  <c:v>64.8095</c:v>
                </c:pt>
                <c:pt idx="610">
                  <c:v>64.257499999999993</c:v>
                </c:pt>
                <c:pt idx="611">
                  <c:v>64.1755</c:v>
                </c:pt>
                <c:pt idx="612">
                  <c:v>64.016499999999994</c:v>
                </c:pt>
                <c:pt idx="613">
                  <c:v>63.684399999999997</c:v>
                </c:pt>
                <c:pt idx="614">
                  <c:v>64.267600000000002</c:v>
                </c:pt>
                <c:pt idx="615">
                  <c:v>64.630399999999995</c:v>
                </c:pt>
                <c:pt idx="616">
                  <c:v>64.05</c:v>
                </c:pt>
                <c:pt idx="617">
                  <c:v>64.248800000000003</c:v>
                </c:pt>
                <c:pt idx="618">
                  <c:v>64.202399999999997</c:v>
                </c:pt>
                <c:pt idx="619">
                  <c:v>63.902900000000002</c:v>
                </c:pt>
                <c:pt idx="620">
                  <c:v>63.853099999999998</c:v>
                </c:pt>
                <c:pt idx="621">
                  <c:v>63.577300000000001</c:v>
                </c:pt>
                <c:pt idx="622">
                  <c:v>63.169699999999999</c:v>
                </c:pt>
                <c:pt idx="623">
                  <c:v>63.115400000000001</c:v>
                </c:pt>
                <c:pt idx="624">
                  <c:v>62.989100000000001</c:v>
                </c:pt>
                <c:pt idx="625">
                  <c:v>63.418300000000002</c:v>
                </c:pt>
                <c:pt idx="626">
                  <c:v>63.737299999999998</c:v>
                </c:pt>
                <c:pt idx="627">
                  <c:v>64.626999999999995</c:v>
                </c:pt>
                <c:pt idx="628">
                  <c:v>64.918400000000005</c:v>
                </c:pt>
                <c:pt idx="629">
                  <c:v>65.740799999999993</c:v>
                </c:pt>
                <c:pt idx="630">
                  <c:v>65.946700000000007</c:v>
                </c:pt>
                <c:pt idx="631">
                  <c:v>66.112499999999997</c:v>
                </c:pt>
                <c:pt idx="632">
                  <c:v>67.051199999999994</c:v>
                </c:pt>
                <c:pt idx="633">
                  <c:v>65.955299999999994</c:v>
                </c:pt>
                <c:pt idx="634">
                  <c:v>66.881600000000006</c:v>
                </c:pt>
                <c:pt idx="635">
                  <c:v>66.742000000000004</c:v>
                </c:pt>
                <c:pt idx="636">
                  <c:v>66.394099999999995</c:v>
                </c:pt>
                <c:pt idx="637">
                  <c:v>65.562700000000007</c:v>
                </c:pt>
                <c:pt idx="638">
                  <c:v>65.079899999999995</c:v>
                </c:pt>
                <c:pt idx="639">
                  <c:v>64.784800000000004</c:v>
                </c:pt>
                <c:pt idx="640">
                  <c:v>64.813699999999997</c:v>
                </c:pt>
                <c:pt idx="641">
                  <c:v>64.949700000000007</c:v>
                </c:pt>
                <c:pt idx="642">
                  <c:v>64.336399999999998</c:v>
                </c:pt>
                <c:pt idx="643">
                  <c:v>64.207599999999999</c:v>
                </c:pt>
                <c:pt idx="644">
                  <c:v>63.9514</c:v>
                </c:pt>
                <c:pt idx="645">
                  <c:v>63.994300000000003</c:v>
                </c:pt>
                <c:pt idx="646">
                  <c:v>63.548699999999997</c:v>
                </c:pt>
                <c:pt idx="647">
                  <c:v>63.939100000000003</c:v>
                </c:pt>
                <c:pt idx="648">
                  <c:v>64.207800000000006</c:v>
                </c:pt>
                <c:pt idx="649">
                  <c:v>64.7684</c:v>
                </c:pt>
                <c:pt idx="650">
                  <c:v>64.813999999999993</c:v>
                </c:pt>
                <c:pt idx="651">
                  <c:v>64.945899999999995</c:v>
                </c:pt>
                <c:pt idx="652">
                  <c:v>64.738</c:v>
                </c:pt>
                <c:pt idx="653">
                  <c:v>65.081000000000003</c:v>
                </c:pt>
                <c:pt idx="654">
                  <c:v>64.907200000000003</c:v>
                </c:pt>
                <c:pt idx="655">
                  <c:v>65.253500000000003</c:v>
                </c:pt>
                <c:pt idx="656">
                  <c:v>65.256600000000006</c:v>
                </c:pt>
                <c:pt idx="657">
                  <c:v>65.868399999999994</c:v>
                </c:pt>
                <c:pt idx="658">
                  <c:v>64.764399999999995</c:v>
                </c:pt>
                <c:pt idx="659">
                  <c:v>64.830600000000004</c:v>
                </c:pt>
                <c:pt idx="660">
                  <c:v>64.380399999999995</c:v>
                </c:pt>
                <c:pt idx="661">
                  <c:v>63.972999999999999</c:v>
                </c:pt>
                <c:pt idx="662">
                  <c:v>64.161699999999996</c:v>
                </c:pt>
                <c:pt idx="663">
                  <c:v>65.053899999999999</c:v>
                </c:pt>
                <c:pt idx="664">
                  <c:v>64.810199999999995</c:v>
                </c:pt>
                <c:pt idx="665">
                  <c:v>64.973699999999994</c:v>
                </c:pt>
                <c:pt idx="666">
                  <c:v>65.216999999999999</c:v>
                </c:pt>
                <c:pt idx="667">
                  <c:v>64.994</c:v>
                </c:pt>
                <c:pt idx="668">
                  <c:v>64.917299999999997</c:v>
                </c:pt>
                <c:pt idx="669">
                  <c:v>64.751300000000001</c:v>
                </c:pt>
                <c:pt idx="670">
                  <c:v>64.442400000000006</c:v>
                </c:pt>
                <c:pt idx="671">
                  <c:v>63.794199999999996</c:v>
                </c:pt>
                <c:pt idx="672">
                  <c:v>63.864199999999997</c:v>
                </c:pt>
                <c:pt idx="673">
                  <c:v>64.150599999999997</c:v>
                </c:pt>
                <c:pt idx="674">
                  <c:v>63.692100000000003</c:v>
                </c:pt>
                <c:pt idx="675">
                  <c:v>63.950899999999997</c:v>
                </c:pt>
                <c:pt idx="676">
                  <c:v>63.158099999999997</c:v>
                </c:pt>
                <c:pt idx="677">
                  <c:v>63.396000000000001</c:v>
                </c:pt>
                <c:pt idx="678">
                  <c:v>62.547699999999999</c:v>
                </c:pt>
                <c:pt idx="679">
                  <c:v>62.432299999999998</c:v>
                </c:pt>
                <c:pt idx="680">
                  <c:v>62.458300000000001</c:v>
                </c:pt>
                <c:pt idx="681">
                  <c:v>62.39</c:v>
                </c:pt>
                <c:pt idx="682">
                  <c:v>62.303100000000001</c:v>
                </c:pt>
                <c:pt idx="683">
                  <c:v>62.388399999999997</c:v>
                </c:pt>
                <c:pt idx="684">
                  <c:v>62.194600000000001</c:v>
                </c:pt>
                <c:pt idx="685">
                  <c:v>62.589199999999998</c:v>
                </c:pt>
                <c:pt idx="686">
                  <c:v>63.346499999999999</c:v>
                </c:pt>
                <c:pt idx="687">
                  <c:v>62.993400000000001</c:v>
                </c:pt>
                <c:pt idx="688">
                  <c:v>63.151000000000003</c:v>
                </c:pt>
                <c:pt idx="689">
                  <c:v>62.89</c:v>
                </c:pt>
                <c:pt idx="690">
                  <c:v>62.584099999999999</c:v>
                </c:pt>
                <c:pt idx="691">
                  <c:v>62.419400000000003</c:v>
                </c:pt>
                <c:pt idx="692">
                  <c:v>62.4499</c:v>
                </c:pt>
                <c:pt idx="693">
                  <c:v>62.234900000000003</c:v>
                </c:pt>
                <c:pt idx="694">
                  <c:v>62.048000000000002</c:v>
                </c:pt>
                <c:pt idx="695">
                  <c:v>62.259700000000002</c:v>
                </c:pt>
                <c:pt idx="696">
                  <c:v>63.039900000000003</c:v>
                </c:pt>
                <c:pt idx="697">
                  <c:v>62.903700000000001</c:v>
                </c:pt>
                <c:pt idx="698">
                  <c:v>63.217399999999998</c:v>
                </c:pt>
                <c:pt idx="699">
                  <c:v>63.202500000000001</c:v>
                </c:pt>
                <c:pt idx="700">
                  <c:v>63.416600000000003</c:v>
                </c:pt>
                <c:pt idx="701">
                  <c:v>63.504300000000001</c:v>
                </c:pt>
                <c:pt idx="702">
                  <c:v>63.907400000000003</c:v>
                </c:pt>
                <c:pt idx="703">
                  <c:v>63.736400000000003</c:v>
                </c:pt>
                <c:pt idx="704">
                  <c:v>63.892800000000001</c:v>
                </c:pt>
                <c:pt idx="705">
                  <c:v>63.4161</c:v>
                </c:pt>
                <c:pt idx="706">
                  <c:v>65.216700000000003</c:v>
                </c:pt>
                <c:pt idx="707">
                  <c:v>65.859099999999998</c:v>
                </c:pt>
                <c:pt idx="708">
                  <c:v>65.5548</c:v>
                </c:pt>
                <c:pt idx="709">
                  <c:v>64.546300000000002</c:v>
                </c:pt>
                <c:pt idx="710">
                  <c:v>64.915400000000005</c:v>
                </c:pt>
                <c:pt idx="711">
                  <c:v>65.1023</c:v>
                </c:pt>
                <c:pt idx="712">
                  <c:v>64.358000000000004</c:v>
                </c:pt>
                <c:pt idx="713">
                  <c:v>63.6282</c:v>
                </c:pt>
                <c:pt idx="714">
                  <c:v>64.008700000000005</c:v>
                </c:pt>
                <c:pt idx="715">
                  <c:v>64.627899999999997</c:v>
                </c:pt>
                <c:pt idx="716">
                  <c:v>64.617400000000004</c:v>
                </c:pt>
                <c:pt idx="717">
                  <c:v>64.915300000000002</c:v>
                </c:pt>
                <c:pt idx="718">
                  <c:v>64.944900000000004</c:v>
                </c:pt>
                <c:pt idx="719">
                  <c:v>65.238200000000006</c:v>
                </c:pt>
                <c:pt idx="720">
                  <c:v>63.680700000000002</c:v>
                </c:pt>
                <c:pt idx="721">
                  <c:v>64.152799999999999</c:v>
                </c:pt>
                <c:pt idx="722">
                  <c:v>63.924199999999999</c:v>
                </c:pt>
                <c:pt idx="723">
                  <c:v>63.874099999999999</c:v>
                </c:pt>
                <c:pt idx="724">
                  <c:v>63.9114</c:v>
                </c:pt>
                <c:pt idx="725">
                  <c:v>63.390099999999997</c:v>
                </c:pt>
                <c:pt idx="726">
                  <c:v>63.302799999999998</c:v>
                </c:pt>
                <c:pt idx="727">
                  <c:v>61.580399999999997</c:v>
                </c:pt>
                <c:pt idx="728">
                  <c:v>61.069000000000003</c:v>
                </c:pt>
                <c:pt idx="729">
                  <c:v>60.807899999999997</c:v>
                </c:pt>
                <c:pt idx="730">
                  <c:v>61.636800000000001</c:v>
                </c:pt>
                <c:pt idx="731">
                  <c:v>61.7515</c:v>
                </c:pt>
                <c:pt idx="732">
                  <c:v>61.793100000000003</c:v>
                </c:pt>
                <c:pt idx="733">
                  <c:v>61.796700000000001</c:v>
                </c:pt>
                <c:pt idx="734">
                  <c:v>61.109200000000001</c:v>
                </c:pt>
                <c:pt idx="735">
                  <c:v>60.864100000000001</c:v>
                </c:pt>
                <c:pt idx="736">
                  <c:v>60.852800000000002</c:v>
                </c:pt>
                <c:pt idx="737">
                  <c:v>60.9084</c:v>
                </c:pt>
                <c:pt idx="738">
                  <c:v>60.858699999999999</c:v>
                </c:pt>
                <c:pt idx="739">
                  <c:v>60.666899999999998</c:v>
                </c:pt>
                <c:pt idx="740">
                  <c:v>60.273000000000003</c:v>
                </c:pt>
                <c:pt idx="741">
                  <c:v>60.6569</c:v>
                </c:pt>
                <c:pt idx="742">
                  <c:v>59.896099999999997</c:v>
                </c:pt>
                <c:pt idx="743">
                  <c:v>59.953299999999999</c:v>
                </c:pt>
                <c:pt idx="744">
                  <c:v>60.1614</c:v>
                </c:pt>
                <c:pt idx="745">
                  <c:v>59.497799999999998</c:v>
                </c:pt>
                <c:pt idx="746">
                  <c:v>59.37</c:v>
                </c:pt>
                <c:pt idx="747">
                  <c:v>59.606699999999996</c:v>
                </c:pt>
                <c:pt idx="748">
                  <c:v>59.401499999999999</c:v>
                </c:pt>
                <c:pt idx="749">
                  <c:v>59.183</c:v>
                </c:pt>
                <c:pt idx="750">
                  <c:v>59.3521</c:v>
                </c:pt>
                <c:pt idx="751">
                  <c:v>59.669699999999999</c:v>
                </c:pt>
                <c:pt idx="752">
                  <c:v>59.503399999999999</c:v>
                </c:pt>
                <c:pt idx="753">
                  <c:v>59.216799999999999</c:v>
                </c:pt>
                <c:pt idx="754">
                  <c:v>59.148899999999998</c:v>
                </c:pt>
                <c:pt idx="755">
                  <c:v>59.635599999999997</c:v>
                </c:pt>
                <c:pt idx="756">
                  <c:v>60.319600000000001</c:v>
                </c:pt>
                <c:pt idx="757">
                  <c:v>60.161799999999999</c:v>
                </c:pt>
                <c:pt idx="758">
                  <c:v>60.085099999999997</c:v>
                </c:pt>
                <c:pt idx="759">
                  <c:v>60.309899999999999</c:v>
                </c:pt>
                <c:pt idx="760">
                  <c:v>59.985799999999998</c:v>
                </c:pt>
                <c:pt idx="761">
                  <c:v>59.313699999999997</c:v>
                </c:pt>
                <c:pt idx="762">
                  <c:v>58.7121</c:v>
                </c:pt>
                <c:pt idx="763">
                  <c:v>59.193300000000001</c:v>
                </c:pt>
                <c:pt idx="764">
                  <c:v>59.512900000000002</c:v>
                </c:pt>
                <c:pt idx="765">
                  <c:v>59.023499999999999</c:v>
                </c:pt>
                <c:pt idx="766">
                  <c:v>58.845700000000001</c:v>
                </c:pt>
                <c:pt idx="767">
                  <c:v>58.061900000000001</c:v>
                </c:pt>
                <c:pt idx="768">
                  <c:v>57.738799999999998</c:v>
                </c:pt>
                <c:pt idx="769">
                  <c:v>56.771900000000002</c:v>
                </c:pt>
                <c:pt idx="770">
                  <c:v>57.150700000000001</c:v>
                </c:pt>
                <c:pt idx="771">
                  <c:v>57.6342</c:v>
                </c:pt>
                <c:pt idx="772">
                  <c:v>58.096699999999998</c:v>
                </c:pt>
                <c:pt idx="773">
                  <c:v>57.859000000000002</c:v>
                </c:pt>
                <c:pt idx="774">
                  <c:v>57.476199999999999</c:v>
                </c:pt>
                <c:pt idx="775">
                  <c:v>57.937100000000001</c:v>
                </c:pt>
                <c:pt idx="776">
                  <c:v>57.962699999999998</c:v>
                </c:pt>
                <c:pt idx="777">
                  <c:v>58.377600000000001</c:v>
                </c:pt>
                <c:pt idx="778">
                  <c:v>58.406700000000001</c:v>
                </c:pt>
                <c:pt idx="779">
                  <c:v>58.9099</c:v>
                </c:pt>
                <c:pt idx="780">
                  <c:v>58.337000000000003</c:v>
                </c:pt>
                <c:pt idx="781">
                  <c:v>58.262999999999998</c:v>
                </c:pt>
                <c:pt idx="782">
                  <c:v>58.831800000000001</c:v>
                </c:pt>
                <c:pt idx="783">
                  <c:v>59.217399999999998</c:v>
                </c:pt>
                <c:pt idx="784">
                  <c:v>59.1327</c:v>
                </c:pt>
                <c:pt idx="785">
                  <c:v>58.954000000000001</c:v>
                </c:pt>
                <c:pt idx="786">
                  <c:v>59.1128</c:v>
                </c:pt>
                <c:pt idx="787">
                  <c:v>58.243699999999997</c:v>
                </c:pt>
                <c:pt idx="788">
                  <c:v>57.934399999999997</c:v>
                </c:pt>
                <c:pt idx="789">
                  <c:v>57.284700000000001</c:v>
                </c:pt>
                <c:pt idx="790">
                  <c:v>57.232300000000002</c:v>
                </c:pt>
                <c:pt idx="791">
                  <c:v>57.636000000000003</c:v>
                </c:pt>
                <c:pt idx="792">
                  <c:v>57.522799999999997</c:v>
                </c:pt>
                <c:pt idx="793">
                  <c:v>57.424700000000001</c:v>
                </c:pt>
                <c:pt idx="794">
                  <c:v>57.023299999999999</c:v>
                </c:pt>
                <c:pt idx="795">
                  <c:v>56.936399999999999</c:v>
                </c:pt>
                <c:pt idx="796">
                  <c:v>57.024099999999997</c:v>
                </c:pt>
                <c:pt idx="797">
                  <c:v>56.377899999999997</c:v>
                </c:pt>
                <c:pt idx="798">
                  <c:v>55.960599999999999</c:v>
                </c:pt>
                <c:pt idx="799">
                  <c:v>56.139600000000002</c:v>
                </c:pt>
                <c:pt idx="800">
                  <c:v>56.555300000000003</c:v>
                </c:pt>
                <c:pt idx="801">
                  <c:v>55.893999999999998</c:v>
                </c:pt>
                <c:pt idx="802">
                  <c:v>56.436900000000001</c:v>
                </c:pt>
                <c:pt idx="803">
                  <c:v>56.920099999999998</c:v>
                </c:pt>
                <c:pt idx="804">
                  <c:v>57.389600000000002</c:v>
                </c:pt>
                <c:pt idx="805">
                  <c:v>56.955199999999998</c:v>
                </c:pt>
                <c:pt idx="806">
                  <c:v>56.755600000000001</c:v>
                </c:pt>
                <c:pt idx="807">
                  <c:v>56.601900000000001</c:v>
                </c:pt>
                <c:pt idx="808">
                  <c:v>56.294499999999999</c:v>
                </c:pt>
                <c:pt idx="809">
                  <c:v>56.250500000000002</c:v>
                </c:pt>
                <c:pt idx="810">
                  <c:v>55.979300000000002</c:v>
                </c:pt>
                <c:pt idx="811">
                  <c:v>56.1753</c:v>
                </c:pt>
                <c:pt idx="812">
                  <c:v>56.416499999999999</c:v>
                </c:pt>
                <c:pt idx="813">
                  <c:v>56.230699999999999</c:v>
                </c:pt>
                <c:pt idx="814">
                  <c:v>56.0794</c:v>
                </c:pt>
                <c:pt idx="815">
                  <c:v>55.845300000000002</c:v>
                </c:pt>
                <c:pt idx="816">
                  <c:v>56.313099999999999</c:v>
                </c:pt>
                <c:pt idx="817">
                  <c:v>56.970700000000001</c:v>
                </c:pt>
                <c:pt idx="818">
                  <c:v>56.983800000000002</c:v>
                </c:pt>
                <c:pt idx="819">
                  <c:v>56.951799999999999</c:v>
                </c:pt>
                <c:pt idx="820">
                  <c:v>57.092700000000001</c:v>
                </c:pt>
                <c:pt idx="821">
                  <c:v>57.571399999999997</c:v>
                </c:pt>
                <c:pt idx="822">
                  <c:v>58.538200000000003</c:v>
                </c:pt>
                <c:pt idx="823">
                  <c:v>58.0824</c:v>
                </c:pt>
                <c:pt idx="824">
                  <c:v>57.116100000000003</c:v>
                </c:pt>
                <c:pt idx="825">
                  <c:v>57.164000000000001</c:v>
                </c:pt>
                <c:pt idx="826">
                  <c:v>56.525799999999997</c:v>
                </c:pt>
                <c:pt idx="827">
                  <c:v>56.260300000000001</c:v>
                </c:pt>
                <c:pt idx="828">
                  <c:v>56.738300000000002</c:v>
                </c:pt>
                <c:pt idx="829">
                  <c:v>57.468299999999999</c:v>
                </c:pt>
                <c:pt idx="830">
                  <c:v>57.160200000000003</c:v>
                </c:pt>
                <c:pt idx="831">
                  <c:v>56.498800000000003</c:v>
                </c:pt>
                <c:pt idx="832">
                  <c:v>56.555199999999999</c:v>
                </c:pt>
                <c:pt idx="833">
                  <c:v>56.274299999999997</c:v>
                </c:pt>
                <c:pt idx="834">
                  <c:v>56.070099999999996</c:v>
                </c:pt>
                <c:pt idx="835">
                  <c:v>56.756</c:v>
                </c:pt>
                <c:pt idx="836">
                  <c:v>56.710599999999999</c:v>
                </c:pt>
                <c:pt idx="837">
                  <c:v>56.516800000000003</c:v>
                </c:pt>
                <c:pt idx="838">
                  <c:v>56.687600000000003</c:v>
                </c:pt>
                <c:pt idx="839">
                  <c:v>56.537300000000002</c:v>
                </c:pt>
                <c:pt idx="840">
                  <c:v>56.687600000000003</c:v>
                </c:pt>
                <c:pt idx="841">
                  <c:v>56.615200000000002</c:v>
                </c:pt>
                <c:pt idx="842">
                  <c:v>56.674700000000001</c:v>
                </c:pt>
                <c:pt idx="843">
                  <c:v>56.587800000000001</c:v>
                </c:pt>
                <c:pt idx="844">
                  <c:v>56.985700000000001</c:v>
                </c:pt>
                <c:pt idx="845">
                  <c:v>57.002000000000002</c:v>
                </c:pt>
                <c:pt idx="846">
                  <c:v>56.909599999999998</c:v>
                </c:pt>
                <c:pt idx="847">
                  <c:v>57.030299999999997</c:v>
                </c:pt>
                <c:pt idx="848">
                  <c:v>57.4437</c:v>
                </c:pt>
                <c:pt idx="849">
                  <c:v>57.7408</c:v>
                </c:pt>
                <c:pt idx="850">
                  <c:v>57.958500000000001</c:v>
                </c:pt>
                <c:pt idx="851">
                  <c:v>58.578600000000002</c:v>
                </c:pt>
                <c:pt idx="852">
                  <c:v>60</c:v>
                </c:pt>
                <c:pt idx="853">
                  <c:v>60.148200000000003</c:v>
                </c:pt>
                <c:pt idx="854">
                  <c:v>59.656399999999998</c:v>
                </c:pt>
                <c:pt idx="855">
                  <c:v>59.001399999999997</c:v>
                </c:pt>
                <c:pt idx="856">
                  <c:v>58.884300000000003</c:v>
                </c:pt>
                <c:pt idx="857">
                  <c:v>59.541499999999999</c:v>
                </c:pt>
                <c:pt idx="858">
                  <c:v>59.085500000000003</c:v>
                </c:pt>
                <c:pt idx="859">
                  <c:v>59.386200000000002</c:v>
                </c:pt>
                <c:pt idx="860">
                  <c:v>58.969499999999996</c:v>
                </c:pt>
                <c:pt idx="861">
                  <c:v>59.229500000000002</c:v>
                </c:pt>
                <c:pt idx="862">
                  <c:v>59.578699999999998</c:v>
                </c:pt>
                <c:pt idx="863">
                  <c:v>60.242600000000003</c:v>
                </c:pt>
                <c:pt idx="864">
                  <c:v>60.379199999999997</c:v>
                </c:pt>
                <c:pt idx="865">
                  <c:v>60.301400000000001</c:v>
                </c:pt>
                <c:pt idx="866">
                  <c:v>60.739699999999999</c:v>
                </c:pt>
                <c:pt idx="867">
                  <c:v>60.622700000000002</c:v>
                </c:pt>
                <c:pt idx="868">
                  <c:v>60.183599999999998</c:v>
                </c:pt>
                <c:pt idx="869">
                  <c:v>59.880600000000001</c:v>
                </c:pt>
                <c:pt idx="870">
                  <c:v>59.0657</c:v>
                </c:pt>
                <c:pt idx="871">
                  <c:v>59.3705</c:v>
                </c:pt>
                <c:pt idx="872">
                  <c:v>59.241799999999998</c:v>
                </c:pt>
                <c:pt idx="873">
                  <c:v>59.082299999999996</c:v>
                </c:pt>
                <c:pt idx="874">
                  <c:v>58.932499999999997</c:v>
                </c:pt>
                <c:pt idx="875">
                  <c:v>59.657200000000003</c:v>
                </c:pt>
                <c:pt idx="876">
                  <c:v>59.8185</c:v>
                </c:pt>
                <c:pt idx="877">
                  <c:v>59.910200000000003</c:v>
                </c:pt>
                <c:pt idx="878">
                  <c:v>59.410200000000003</c:v>
                </c:pt>
                <c:pt idx="879">
                  <c:v>59.543599999999998</c:v>
                </c:pt>
                <c:pt idx="880">
                  <c:v>60.063299999999998</c:v>
                </c:pt>
                <c:pt idx="881">
                  <c:v>59.845399999999998</c:v>
                </c:pt>
                <c:pt idx="882">
                  <c:v>60.581899999999997</c:v>
                </c:pt>
                <c:pt idx="883">
                  <c:v>60.750300000000003</c:v>
                </c:pt>
                <c:pt idx="884">
                  <c:v>60.328099999999999</c:v>
                </c:pt>
                <c:pt idx="885">
                  <c:v>60.060499999999998</c:v>
                </c:pt>
                <c:pt idx="886">
                  <c:v>59.988599999999998</c:v>
                </c:pt>
                <c:pt idx="887">
                  <c:v>59.961100000000002</c:v>
                </c:pt>
                <c:pt idx="888">
                  <c:v>59.9298</c:v>
                </c:pt>
                <c:pt idx="889">
                  <c:v>60.1873</c:v>
                </c:pt>
                <c:pt idx="890">
                  <c:v>59.798999999999999</c:v>
                </c:pt>
                <c:pt idx="891">
                  <c:v>59.926600000000001</c:v>
                </c:pt>
                <c:pt idx="892">
                  <c:v>59.652099999999997</c:v>
                </c:pt>
                <c:pt idx="893">
                  <c:v>59.249000000000002</c:v>
                </c:pt>
                <c:pt idx="894">
                  <c:v>59.361199999999997</c:v>
                </c:pt>
                <c:pt idx="895">
                  <c:v>59.140900000000002</c:v>
                </c:pt>
                <c:pt idx="896">
                  <c:v>59.0396</c:v>
                </c:pt>
                <c:pt idx="897">
                  <c:v>59.1312</c:v>
                </c:pt>
                <c:pt idx="898">
                  <c:v>59.139699999999998</c:v>
                </c:pt>
                <c:pt idx="899">
                  <c:v>59.147599999999997</c:v>
                </c:pt>
                <c:pt idx="900">
                  <c:v>58.546900000000001</c:v>
                </c:pt>
                <c:pt idx="901">
                  <c:v>58.531999999999996</c:v>
                </c:pt>
                <c:pt idx="902">
                  <c:v>58.730600000000003</c:v>
                </c:pt>
                <c:pt idx="903">
                  <c:v>58.545400000000001</c:v>
                </c:pt>
                <c:pt idx="904">
                  <c:v>58.055700000000002</c:v>
                </c:pt>
                <c:pt idx="905">
                  <c:v>57.781700000000001</c:v>
                </c:pt>
                <c:pt idx="906">
                  <c:v>57.850299999999997</c:v>
                </c:pt>
                <c:pt idx="907">
                  <c:v>57.338700000000003</c:v>
                </c:pt>
                <c:pt idx="908">
                  <c:v>57.141100000000002</c:v>
                </c:pt>
                <c:pt idx="909">
                  <c:v>56.996600000000001</c:v>
                </c:pt>
                <c:pt idx="910">
                  <c:v>57.169400000000003</c:v>
                </c:pt>
                <c:pt idx="911">
                  <c:v>57.265599999999999</c:v>
                </c:pt>
                <c:pt idx="912">
                  <c:v>57.667900000000003</c:v>
                </c:pt>
                <c:pt idx="913">
                  <c:v>57.770600000000002</c:v>
                </c:pt>
                <c:pt idx="914">
                  <c:v>57.5336</c:v>
                </c:pt>
                <c:pt idx="915">
                  <c:v>57.624200000000002</c:v>
                </c:pt>
                <c:pt idx="916">
                  <c:v>58.099299999999999</c:v>
                </c:pt>
                <c:pt idx="917">
                  <c:v>58.128999999999998</c:v>
                </c:pt>
                <c:pt idx="918">
                  <c:v>58.224200000000003</c:v>
                </c:pt>
                <c:pt idx="919">
                  <c:v>57.652700000000003</c:v>
                </c:pt>
                <c:pt idx="920">
                  <c:v>57.566000000000003</c:v>
                </c:pt>
                <c:pt idx="921">
                  <c:v>57.518599999999999</c:v>
                </c:pt>
                <c:pt idx="922">
                  <c:v>58.010199999999998</c:v>
                </c:pt>
                <c:pt idx="923">
                  <c:v>58.4255</c:v>
                </c:pt>
                <c:pt idx="924">
                  <c:v>58.0169</c:v>
                </c:pt>
                <c:pt idx="925">
                  <c:v>57.813400000000001</c:v>
                </c:pt>
                <c:pt idx="926">
                  <c:v>57.9375</c:v>
                </c:pt>
                <c:pt idx="927">
                  <c:v>57.783200000000001</c:v>
                </c:pt>
                <c:pt idx="928">
                  <c:v>57.581099999999999</c:v>
                </c:pt>
                <c:pt idx="929">
                  <c:v>57.761200000000002</c:v>
                </c:pt>
                <c:pt idx="930">
                  <c:v>58.315100000000001</c:v>
                </c:pt>
                <c:pt idx="931">
                  <c:v>58.071300000000001</c:v>
                </c:pt>
                <c:pt idx="932">
                  <c:v>57.920999999999999</c:v>
                </c:pt>
                <c:pt idx="933">
                  <c:v>57.686900000000001</c:v>
                </c:pt>
                <c:pt idx="934">
                  <c:v>57.619599999999998</c:v>
                </c:pt>
                <c:pt idx="935">
                  <c:v>57.086100000000002</c:v>
                </c:pt>
                <c:pt idx="936">
                  <c:v>57.339199999999998</c:v>
                </c:pt>
                <c:pt idx="937">
                  <c:v>57.272100000000002</c:v>
                </c:pt>
                <c:pt idx="938">
                  <c:v>57.570599999999999</c:v>
                </c:pt>
                <c:pt idx="939">
                  <c:v>57.511800000000001</c:v>
                </c:pt>
                <c:pt idx="940">
                  <c:v>57.470599999999997</c:v>
                </c:pt>
                <c:pt idx="941">
                  <c:v>57.5852</c:v>
                </c:pt>
                <c:pt idx="942">
                  <c:v>57.613999999999997</c:v>
                </c:pt>
                <c:pt idx="943">
                  <c:v>57.764299999999999</c:v>
                </c:pt>
                <c:pt idx="944">
                  <c:v>58.083300000000001</c:v>
                </c:pt>
                <c:pt idx="945">
                  <c:v>57.871600000000001</c:v>
                </c:pt>
                <c:pt idx="946">
                  <c:v>58.117899999999999</c:v>
                </c:pt>
                <c:pt idx="947">
                  <c:v>58.155700000000003</c:v>
                </c:pt>
                <c:pt idx="948">
                  <c:v>58.0869</c:v>
                </c:pt>
                <c:pt idx="949">
                  <c:v>58.429600000000001</c:v>
                </c:pt>
                <c:pt idx="950">
                  <c:v>58.4557</c:v>
                </c:pt>
                <c:pt idx="951">
                  <c:v>59.247999999999998</c:v>
                </c:pt>
                <c:pt idx="952">
                  <c:v>59.252699999999997</c:v>
                </c:pt>
                <c:pt idx="953">
                  <c:v>59.280799999999999</c:v>
                </c:pt>
                <c:pt idx="954">
                  <c:v>59.182299999999998</c:v>
                </c:pt>
                <c:pt idx="955">
                  <c:v>59.620699999999999</c:v>
                </c:pt>
                <c:pt idx="956">
                  <c:v>60.249000000000002</c:v>
                </c:pt>
                <c:pt idx="957">
                  <c:v>59.989800000000002</c:v>
                </c:pt>
                <c:pt idx="958">
                  <c:v>59.6325</c:v>
                </c:pt>
                <c:pt idx="959">
                  <c:v>59.2746</c:v>
                </c:pt>
                <c:pt idx="960">
                  <c:v>59.4604</c:v>
                </c:pt>
                <c:pt idx="961">
                  <c:v>59.006100000000004</c:v>
                </c:pt>
                <c:pt idx="962">
                  <c:v>58.462200000000003</c:v>
                </c:pt>
                <c:pt idx="963">
                  <c:v>58.531799999999997</c:v>
                </c:pt>
                <c:pt idx="964">
                  <c:v>58.277299999999997</c:v>
                </c:pt>
                <c:pt idx="965">
                  <c:v>58.412500000000001</c:v>
                </c:pt>
                <c:pt idx="966">
                  <c:v>58.331099999999999</c:v>
                </c:pt>
                <c:pt idx="967">
                  <c:v>58.581400000000002</c:v>
                </c:pt>
                <c:pt idx="968">
                  <c:v>58.5182</c:v>
                </c:pt>
                <c:pt idx="969">
                  <c:v>58.991100000000003</c:v>
                </c:pt>
                <c:pt idx="970">
                  <c:v>58.692399999999999</c:v>
                </c:pt>
                <c:pt idx="971">
                  <c:v>58.928100000000001</c:v>
                </c:pt>
                <c:pt idx="972">
                  <c:v>59.294800000000002</c:v>
                </c:pt>
                <c:pt idx="973">
                  <c:v>59.281100000000002</c:v>
                </c:pt>
                <c:pt idx="974">
                  <c:v>59.2348</c:v>
                </c:pt>
                <c:pt idx="975">
                  <c:v>58.837000000000003</c:v>
                </c:pt>
                <c:pt idx="976">
                  <c:v>59.144599999999997</c:v>
                </c:pt>
                <c:pt idx="977">
                  <c:v>58.708199999999998</c:v>
                </c:pt>
                <c:pt idx="978">
                  <c:v>58.898699999999998</c:v>
                </c:pt>
                <c:pt idx="979">
                  <c:v>58.694000000000003</c:v>
                </c:pt>
                <c:pt idx="980">
                  <c:v>58.611699999999999</c:v>
                </c:pt>
                <c:pt idx="981">
                  <c:v>58.716999999999999</c:v>
                </c:pt>
                <c:pt idx="982">
                  <c:v>58.559600000000003</c:v>
                </c:pt>
                <c:pt idx="983">
                  <c:v>58.315199999999997</c:v>
                </c:pt>
                <c:pt idx="984">
                  <c:v>58.198900000000002</c:v>
                </c:pt>
                <c:pt idx="985">
                  <c:v>57.734299999999998</c:v>
                </c:pt>
                <c:pt idx="986">
                  <c:v>57.4544</c:v>
                </c:pt>
                <c:pt idx="987">
                  <c:v>57.629100000000001</c:v>
                </c:pt>
                <c:pt idx="988">
                  <c:v>57.600200000000001</c:v>
                </c:pt>
                <c:pt idx="989">
                  <c:v>57.046300000000002</c:v>
                </c:pt>
                <c:pt idx="990">
                  <c:v>56.873399999999997</c:v>
                </c:pt>
                <c:pt idx="991">
                  <c:v>56.995699999999999</c:v>
                </c:pt>
                <c:pt idx="992">
                  <c:v>56.601900000000001</c:v>
                </c:pt>
                <c:pt idx="993">
                  <c:v>56.356900000000003</c:v>
                </c:pt>
                <c:pt idx="994">
                  <c:v>56.387799999999999</c:v>
                </c:pt>
                <c:pt idx="995">
                  <c:v>56.592500000000001</c:v>
                </c:pt>
                <c:pt idx="996">
                  <c:v>56.759700000000002</c:v>
                </c:pt>
                <c:pt idx="997">
                  <c:v>56.589199999999998</c:v>
                </c:pt>
                <c:pt idx="998">
                  <c:v>56.626100000000001</c:v>
                </c:pt>
                <c:pt idx="999">
                  <c:v>56.411499999999997</c:v>
                </c:pt>
                <c:pt idx="1000">
                  <c:v>56.388800000000003</c:v>
                </c:pt>
                <c:pt idx="1001">
                  <c:v>55.928800000000003</c:v>
                </c:pt>
                <c:pt idx="1002">
                  <c:v>55.828800000000001</c:v>
                </c:pt>
                <c:pt idx="1003">
                  <c:v>56.290799999999997</c:v>
                </c:pt>
                <c:pt idx="1004">
                  <c:v>56.291400000000003</c:v>
                </c:pt>
                <c:pt idx="1005">
                  <c:v>56.183999999999997</c:v>
                </c:pt>
                <c:pt idx="1006">
                  <c:v>56.261299999999999</c:v>
                </c:pt>
                <c:pt idx="1007">
                  <c:v>56.040799999999997</c:v>
                </c:pt>
                <c:pt idx="1008">
                  <c:v>56.627800000000001</c:v>
                </c:pt>
                <c:pt idx="1009">
                  <c:v>57.2196</c:v>
                </c:pt>
                <c:pt idx="1010">
                  <c:v>56.953299999999999</c:v>
                </c:pt>
                <c:pt idx="1011">
                  <c:v>57.6736</c:v>
                </c:pt>
                <c:pt idx="1012">
                  <c:v>58.171799999999998</c:v>
                </c:pt>
                <c:pt idx="1013">
                  <c:v>58.017099999999999</c:v>
                </c:pt>
                <c:pt idx="1014">
                  <c:v>57.770099999999999</c:v>
                </c:pt>
                <c:pt idx="1015">
                  <c:v>57.5899</c:v>
                </c:pt>
                <c:pt idx="1016">
                  <c:v>56.591799999999999</c:v>
                </c:pt>
                <c:pt idx="1017">
                  <c:v>56.355400000000003</c:v>
                </c:pt>
                <c:pt idx="1018">
                  <c:v>56.343800000000002</c:v>
                </c:pt>
                <c:pt idx="1019">
                  <c:v>56.520099999999999</c:v>
                </c:pt>
                <c:pt idx="1020">
                  <c:v>56.653700000000001</c:v>
                </c:pt>
                <c:pt idx="1021">
                  <c:v>56.760800000000003</c:v>
                </c:pt>
                <c:pt idx="1022">
                  <c:v>55.9208</c:v>
                </c:pt>
                <c:pt idx="1023">
                  <c:v>55.671700000000001</c:v>
                </c:pt>
                <c:pt idx="1024">
                  <c:v>56.374200000000002</c:v>
                </c:pt>
                <c:pt idx="1025">
                  <c:v>56.433399999999999</c:v>
                </c:pt>
                <c:pt idx="1026">
                  <c:v>56.6616</c:v>
                </c:pt>
                <c:pt idx="1027">
                  <c:v>57.1</c:v>
                </c:pt>
                <c:pt idx="1028">
                  <c:v>56.504100000000001</c:v>
                </c:pt>
                <c:pt idx="1029">
                  <c:v>56.801099999999998</c:v>
                </c:pt>
                <c:pt idx="1030">
                  <c:v>56.612200000000001</c:v>
                </c:pt>
                <c:pt idx="1031">
                  <c:v>56.935899999999997</c:v>
                </c:pt>
                <c:pt idx="1032">
                  <c:v>56.937199999999997</c:v>
                </c:pt>
                <c:pt idx="1033">
                  <c:v>57.018799999999999</c:v>
                </c:pt>
                <c:pt idx="1034">
                  <c:v>57.494199999999999</c:v>
                </c:pt>
                <c:pt idx="1035">
                  <c:v>57.552100000000003</c:v>
                </c:pt>
                <c:pt idx="1036">
                  <c:v>57.703299999999999</c:v>
                </c:pt>
                <c:pt idx="1037">
                  <c:v>57.495399999999997</c:v>
                </c:pt>
                <c:pt idx="1038">
                  <c:v>56.839100000000002</c:v>
                </c:pt>
                <c:pt idx="1039">
                  <c:v>57.107199999999999</c:v>
                </c:pt>
                <c:pt idx="1040">
                  <c:v>57.003900000000002</c:v>
                </c:pt>
                <c:pt idx="1041">
                  <c:v>57.174700000000001</c:v>
                </c:pt>
                <c:pt idx="1042">
                  <c:v>57.559800000000003</c:v>
                </c:pt>
                <c:pt idx="1043">
                  <c:v>57.762599999999999</c:v>
                </c:pt>
                <c:pt idx="1044">
                  <c:v>57.264899999999997</c:v>
                </c:pt>
                <c:pt idx="1045">
                  <c:v>57.284999999999997</c:v>
                </c:pt>
                <c:pt idx="1046">
                  <c:v>57.537500000000001</c:v>
                </c:pt>
                <c:pt idx="1047">
                  <c:v>57.764600000000002</c:v>
                </c:pt>
                <c:pt idx="1048">
                  <c:v>57.579599999999999</c:v>
                </c:pt>
                <c:pt idx="1049">
                  <c:v>57.833199999999998</c:v>
                </c:pt>
                <c:pt idx="1050">
                  <c:v>58.571399999999997</c:v>
                </c:pt>
                <c:pt idx="1051">
                  <c:v>62.369900000000001</c:v>
                </c:pt>
                <c:pt idx="1052">
                  <c:v>64.062600000000003</c:v>
                </c:pt>
                <c:pt idx="1053">
                  <c:v>62.065899999999999</c:v>
                </c:pt>
                <c:pt idx="1054">
                  <c:v>61.431100000000001</c:v>
                </c:pt>
                <c:pt idx="1055">
                  <c:v>62.279400000000003</c:v>
                </c:pt>
                <c:pt idx="1056">
                  <c:v>61.145400000000002</c:v>
                </c:pt>
                <c:pt idx="1057">
                  <c:v>61.553899999999999</c:v>
                </c:pt>
                <c:pt idx="1058">
                  <c:v>60.8583</c:v>
                </c:pt>
                <c:pt idx="1059">
                  <c:v>61.322200000000002</c:v>
                </c:pt>
                <c:pt idx="1060">
                  <c:v>61.765500000000003</c:v>
                </c:pt>
                <c:pt idx="1061">
                  <c:v>61.664400000000001</c:v>
                </c:pt>
                <c:pt idx="1062">
                  <c:v>61.749400000000001</c:v>
                </c:pt>
                <c:pt idx="1063">
                  <c:v>62.602699999999999</c:v>
                </c:pt>
                <c:pt idx="1064">
                  <c:v>62.725999999999999</c:v>
                </c:pt>
                <c:pt idx="1065">
                  <c:v>61.999699999999997</c:v>
                </c:pt>
                <c:pt idx="1066">
                  <c:v>63.485999999999997</c:v>
                </c:pt>
                <c:pt idx="1067">
                  <c:v>63.2012</c:v>
                </c:pt>
                <c:pt idx="1068">
                  <c:v>62.714799999999997</c:v>
                </c:pt>
                <c:pt idx="1069">
                  <c:v>63.006599999999999</c:v>
                </c:pt>
                <c:pt idx="1070">
                  <c:v>62.5229</c:v>
                </c:pt>
                <c:pt idx="1071">
                  <c:v>61.735399999999998</c:v>
                </c:pt>
                <c:pt idx="1072">
                  <c:v>61.7684</c:v>
                </c:pt>
                <c:pt idx="1073">
                  <c:v>61.916400000000003</c:v>
                </c:pt>
                <c:pt idx="1074">
                  <c:v>62.3033</c:v>
                </c:pt>
                <c:pt idx="1075">
                  <c:v>61.8215</c:v>
                </c:pt>
                <c:pt idx="1076">
                  <c:v>61.940800000000003</c:v>
                </c:pt>
                <c:pt idx="1077">
                  <c:v>62.532699999999998</c:v>
                </c:pt>
                <c:pt idx="1078">
                  <c:v>61.261000000000003</c:v>
                </c:pt>
                <c:pt idx="1079">
                  <c:v>61.594499999999996</c:v>
                </c:pt>
                <c:pt idx="1080">
                  <c:v>61.408999999999999</c:v>
                </c:pt>
                <c:pt idx="1081">
                  <c:v>61.665900000000001</c:v>
                </c:pt>
                <c:pt idx="1082">
                  <c:v>62.271000000000001</c:v>
                </c:pt>
                <c:pt idx="1083">
                  <c:v>62.642000000000003</c:v>
                </c:pt>
                <c:pt idx="1084">
                  <c:v>62.593699999999998</c:v>
                </c:pt>
                <c:pt idx="1085">
                  <c:v>62.018799999999999</c:v>
                </c:pt>
                <c:pt idx="1086">
                  <c:v>62.205599999999997</c:v>
                </c:pt>
                <c:pt idx="1087">
                  <c:v>61.929000000000002</c:v>
                </c:pt>
                <c:pt idx="1088">
                  <c:v>61.982199999999999</c:v>
                </c:pt>
                <c:pt idx="1089">
                  <c:v>62.006399999999999</c:v>
                </c:pt>
                <c:pt idx="1090">
                  <c:v>61.8125</c:v>
                </c:pt>
                <c:pt idx="1091">
                  <c:v>62.667999999999999</c:v>
                </c:pt>
                <c:pt idx="1092">
                  <c:v>62.3431</c:v>
                </c:pt>
                <c:pt idx="1093">
                  <c:v>63.116399999999999</c:v>
                </c:pt>
                <c:pt idx="1094">
                  <c:v>62.251100000000001</c:v>
                </c:pt>
                <c:pt idx="1095">
                  <c:v>62.685099999999998</c:v>
                </c:pt>
                <c:pt idx="1096">
                  <c:v>63.483800000000002</c:v>
                </c:pt>
                <c:pt idx="1097">
                  <c:v>64.068299999999994</c:v>
                </c:pt>
                <c:pt idx="1098">
                  <c:v>63.6175</c:v>
                </c:pt>
                <c:pt idx="1099">
                  <c:v>63.787300000000002</c:v>
                </c:pt>
                <c:pt idx="1100">
                  <c:v>63.239600000000003</c:v>
                </c:pt>
                <c:pt idx="1101">
                  <c:v>62.9497</c:v>
                </c:pt>
                <c:pt idx="1102">
                  <c:v>62.790799999999997</c:v>
                </c:pt>
                <c:pt idx="1103">
                  <c:v>63.135899999999999</c:v>
                </c:pt>
                <c:pt idx="1104">
                  <c:v>63.290999999999997</c:v>
                </c:pt>
                <c:pt idx="1105">
                  <c:v>62.756500000000003</c:v>
                </c:pt>
                <c:pt idx="1106">
                  <c:v>63.139400000000002</c:v>
                </c:pt>
                <c:pt idx="1107">
                  <c:v>63.2194</c:v>
                </c:pt>
                <c:pt idx="1108">
                  <c:v>63.226700000000001</c:v>
                </c:pt>
                <c:pt idx="1109">
                  <c:v>63.260399999999997</c:v>
                </c:pt>
                <c:pt idx="1110">
                  <c:v>63.121600000000001</c:v>
                </c:pt>
                <c:pt idx="1111">
                  <c:v>62.833799999999997</c:v>
                </c:pt>
                <c:pt idx="1112">
                  <c:v>62.444200000000002</c:v>
                </c:pt>
                <c:pt idx="1113">
                  <c:v>62.097999999999999</c:v>
                </c:pt>
                <c:pt idx="1114">
                  <c:v>62.206200000000003</c:v>
                </c:pt>
                <c:pt idx="1115">
                  <c:v>62.293399999999998</c:v>
                </c:pt>
                <c:pt idx="1116">
                  <c:v>62.255600000000001</c:v>
                </c:pt>
                <c:pt idx="1117">
                  <c:v>62.435200000000002</c:v>
                </c:pt>
                <c:pt idx="1118">
                  <c:v>62.900599999999997</c:v>
                </c:pt>
                <c:pt idx="1119">
                  <c:v>63.2746</c:v>
                </c:pt>
                <c:pt idx="1120">
                  <c:v>63.488799999999998</c:v>
                </c:pt>
                <c:pt idx="1121">
                  <c:v>63.195700000000002</c:v>
                </c:pt>
                <c:pt idx="1122">
                  <c:v>62.923499999999997</c:v>
                </c:pt>
                <c:pt idx="1123">
                  <c:v>63.083599999999997</c:v>
                </c:pt>
                <c:pt idx="1124">
                  <c:v>62.947099999999999</c:v>
                </c:pt>
                <c:pt idx="1125">
                  <c:v>62.9726</c:v>
                </c:pt>
                <c:pt idx="1126">
                  <c:v>62.780500000000004</c:v>
                </c:pt>
                <c:pt idx="1127">
                  <c:v>62.349699999999999</c:v>
                </c:pt>
                <c:pt idx="1128">
                  <c:v>62.558999999999997</c:v>
                </c:pt>
                <c:pt idx="1129">
                  <c:v>63.135800000000003</c:v>
                </c:pt>
                <c:pt idx="1130">
                  <c:v>63.454900000000002</c:v>
                </c:pt>
                <c:pt idx="1131">
                  <c:v>63.497500000000002</c:v>
                </c:pt>
                <c:pt idx="1132">
                  <c:v>63.542499999999997</c:v>
                </c:pt>
                <c:pt idx="1133">
                  <c:v>63.594999999999999</c:v>
                </c:pt>
                <c:pt idx="1134">
                  <c:v>66.285600000000002</c:v>
                </c:pt>
                <c:pt idx="1135">
                  <c:v>66.907499999999999</c:v>
                </c:pt>
                <c:pt idx="1136">
                  <c:v>68.223399999999998</c:v>
                </c:pt>
                <c:pt idx="1137">
                  <c:v>66.753500000000003</c:v>
                </c:pt>
                <c:pt idx="1138">
                  <c:v>66.377200000000002</c:v>
                </c:pt>
                <c:pt idx="1139">
                  <c:v>66.893199999999993</c:v>
                </c:pt>
                <c:pt idx="1140">
                  <c:v>66.875699999999995</c:v>
                </c:pt>
                <c:pt idx="1141">
                  <c:v>67.180700000000002</c:v>
                </c:pt>
                <c:pt idx="1142">
                  <c:v>67.178299999999993</c:v>
                </c:pt>
                <c:pt idx="1143">
                  <c:v>67.616299999999995</c:v>
                </c:pt>
                <c:pt idx="1144">
                  <c:v>68.525899999999993</c:v>
                </c:pt>
                <c:pt idx="1145">
                  <c:v>67.7911</c:v>
                </c:pt>
                <c:pt idx="1146">
                  <c:v>67.396299999999997</c:v>
                </c:pt>
                <c:pt idx="1147">
                  <c:v>67.391099999999994</c:v>
                </c:pt>
                <c:pt idx="1148">
                  <c:v>68.145099999999999</c:v>
                </c:pt>
                <c:pt idx="1149">
                  <c:v>68.082099999999997</c:v>
                </c:pt>
                <c:pt idx="1150">
                  <c:v>68.044700000000006</c:v>
                </c:pt>
                <c:pt idx="1151">
                  <c:v>67.744299999999996</c:v>
                </c:pt>
                <c:pt idx="1152">
                  <c:v>68.273700000000005</c:v>
                </c:pt>
                <c:pt idx="1153">
                  <c:v>68.462800000000001</c:v>
                </c:pt>
                <c:pt idx="1154">
                  <c:v>68.250500000000002</c:v>
                </c:pt>
                <c:pt idx="1155">
                  <c:v>69.028599999999997</c:v>
                </c:pt>
                <c:pt idx="1156">
                  <c:v>69.868499999999997</c:v>
                </c:pt>
                <c:pt idx="1157">
                  <c:v>69.974400000000003</c:v>
                </c:pt>
                <c:pt idx="1158">
                  <c:v>69.572800000000001</c:v>
                </c:pt>
                <c:pt idx="1159">
                  <c:v>68.637</c:v>
                </c:pt>
                <c:pt idx="1160">
                  <c:v>68.282600000000002</c:v>
                </c:pt>
                <c:pt idx="1161">
                  <c:v>68.195800000000006</c:v>
                </c:pt>
                <c:pt idx="1162">
                  <c:v>67.751900000000006</c:v>
                </c:pt>
                <c:pt idx="1163">
                  <c:v>67.009799999999998</c:v>
                </c:pt>
                <c:pt idx="1164">
                  <c:v>66.472499999999997</c:v>
                </c:pt>
                <c:pt idx="1165">
                  <c:v>66.249700000000004</c:v>
                </c:pt>
                <c:pt idx="1166">
                  <c:v>66.159400000000005</c:v>
                </c:pt>
                <c:pt idx="1167">
                  <c:v>65.824399999999997</c:v>
                </c:pt>
                <c:pt idx="1168">
                  <c:v>65.758499999999998</c:v>
                </c:pt>
                <c:pt idx="1169">
                  <c:v>65.835499999999996</c:v>
                </c:pt>
                <c:pt idx="1170">
                  <c:v>65.590599999999995</c:v>
                </c:pt>
                <c:pt idx="1171">
                  <c:v>65.5745</c:v>
                </c:pt>
                <c:pt idx="1172">
                  <c:v>65.222099999999998</c:v>
                </c:pt>
                <c:pt idx="1173">
                  <c:v>65.424400000000006</c:v>
                </c:pt>
                <c:pt idx="1174">
                  <c:v>66.211500000000001</c:v>
                </c:pt>
                <c:pt idx="1175">
                  <c:v>66.626999999999995</c:v>
                </c:pt>
                <c:pt idx="1176">
                  <c:v>66.968500000000006</c:v>
                </c:pt>
                <c:pt idx="1177">
                  <c:v>66.403199999999998</c:v>
                </c:pt>
                <c:pt idx="1178">
                  <c:v>66.183199999999999</c:v>
                </c:pt>
                <c:pt idx="1179">
                  <c:v>66.7727</c:v>
                </c:pt>
                <c:pt idx="1180">
                  <c:v>65.975099999999998</c:v>
                </c:pt>
                <c:pt idx="1181">
                  <c:v>65.750799999999998</c:v>
                </c:pt>
                <c:pt idx="1182">
                  <c:v>65.530500000000004</c:v>
                </c:pt>
                <c:pt idx="1183">
                  <c:v>65.402600000000007</c:v>
                </c:pt>
                <c:pt idx="1184">
                  <c:v>65.723799999999997</c:v>
                </c:pt>
                <c:pt idx="1185">
                  <c:v>65.813999999999993</c:v>
                </c:pt>
                <c:pt idx="1186">
                  <c:v>65.3065</c:v>
                </c:pt>
                <c:pt idx="1187">
                  <c:v>65.310100000000006</c:v>
                </c:pt>
                <c:pt idx="1188">
                  <c:v>65.629900000000006</c:v>
                </c:pt>
                <c:pt idx="1189">
                  <c:v>65.747600000000006</c:v>
                </c:pt>
                <c:pt idx="1190">
                  <c:v>65.634500000000003</c:v>
                </c:pt>
                <c:pt idx="1191">
                  <c:v>65.812899999999999</c:v>
                </c:pt>
                <c:pt idx="1192">
                  <c:v>65.774199999999993</c:v>
                </c:pt>
                <c:pt idx="1193">
                  <c:v>65.596199999999996</c:v>
                </c:pt>
                <c:pt idx="1194">
                  <c:v>65.651700000000005</c:v>
                </c:pt>
                <c:pt idx="1195">
                  <c:v>65.579899999999995</c:v>
                </c:pt>
                <c:pt idx="1196">
                  <c:v>65.991200000000006</c:v>
                </c:pt>
                <c:pt idx="1197">
                  <c:v>66.091800000000006</c:v>
                </c:pt>
                <c:pt idx="1198">
                  <c:v>66.215500000000006</c:v>
                </c:pt>
                <c:pt idx="1199">
                  <c:v>66.849699999999999</c:v>
                </c:pt>
                <c:pt idx="1200">
                  <c:v>67.523799999999994</c:v>
                </c:pt>
                <c:pt idx="1201">
                  <c:v>67.681200000000004</c:v>
                </c:pt>
                <c:pt idx="1202">
                  <c:v>67.997500000000002</c:v>
                </c:pt>
                <c:pt idx="1203">
                  <c:v>66.615899999999996</c:v>
                </c:pt>
                <c:pt idx="1204">
                  <c:v>65.993099999999998</c:v>
                </c:pt>
                <c:pt idx="1205">
                  <c:v>66.008099999999999</c:v>
                </c:pt>
                <c:pt idx="1206">
                  <c:v>65.587100000000007</c:v>
                </c:pt>
                <c:pt idx="1207">
                  <c:v>65.948499999999996</c:v>
                </c:pt>
                <c:pt idx="1208">
                  <c:v>65.606700000000004</c:v>
                </c:pt>
                <c:pt idx="1209">
                  <c:v>65.666399999999996</c:v>
                </c:pt>
                <c:pt idx="1210">
                  <c:v>66.507199999999997</c:v>
                </c:pt>
                <c:pt idx="1211">
                  <c:v>66.78</c:v>
                </c:pt>
                <c:pt idx="1212">
                  <c:v>66.943600000000004</c:v>
                </c:pt>
                <c:pt idx="1213">
                  <c:v>66.634200000000007</c:v>
                </c:pt>
                <c:pt idx="1214">
                  <c:v>66.533500000000004</c:v>
                </c:pt>
                <c:pt idx="1215">
                  <c:v>66.292100000000005</c:v>
                </c:pt>
                <c:pt idx="1216">
                  <c:v>66.446700000000007</c:v>
                </c:pt>
                <c:pt idx="1217">
                  <c:v>66.824200000000005</c:v>
                </c:pt>
                <c:pt idx="1218">
                  <c:v>66.737700000000004</c:v>
                </c:pt>
                <c:pt idx="1219">
                  <c:v>66.922700000000006</c:v>
                </c:pt>
                <c:pt idx="1220">
                  <c:v>66.241600000000005</c:v>
                </c:pt>
                <c:pt idx="1221">
                  <c:v>66.502200000000002</c:v>
                </c:pt>
                <c:pt idx="1222">
                  <c:v>66.422499999999999</c:v>
                </c:pt>
                <c:pt idx="1223">
                  <c:v>66.254999999999995</c:v>
                </c:pt>
                <c:pt idx="1224">
                  <c:v>66.433700000000002</c:v>
                </c:pt>
                <c:pt idx="1225">
                  <c:v>66.620800000000003</c:v>
                </c:pt>
                <c:pt idx="1226">
                  <c:v>66.745400000000004</c:v>
                </c:pt>
                <c:pt idx="1227">
                  <c:v>67.112099999999998</c:v>
                </c:pt>
                <c:pt idx="1228">
                  <c:v>67.370999999999995</c:v>
                </c:pt>
                <c:pt idx="1229">
                  <c:v>68.008499999999998</c:v>
                </c:pt>
                <c:pt idx="1230">
                  <c:v>68.407300000000006</c:v>
                </c:pt>
                <c:pt idx="1231">
                  <c:v>68.744799999999998</c:v>
                </c:pt>
                <c:pt idx="1232">
                  <c:v>68.886499999999998</c:v>
                </c:pt>
                <c:pt idx="1233">
                  <c:v>68.876199999999997</c:v>
                </c:pt>
                <c:pt idx="1234">
                  <c:v>69.521799999999999</c:v>
                </c:pt>
                <c:pt idx="1235">
                  <c:v>69.470600000000005</c:v>
                </c:pt>
              </c:numCache>
            </c:numRef>
          </c:val>
          <c:smooth val="0"/>
          <c:extLst>
            <c:ext xmlns:c16="http://schemas.microsoft.com/office/drawing/2014/chart" uri="{C3380CC4-5D6E-409C-BE32-E72D297353CC}">
              <c16:uniqueId val="{00000000-D82B-4605-9F3E-9653A30EDBE2}"/>
            </c:ext>
          </c:extLst>
        </c:ser>
        <c:dLbls>
          <c:showLegendKey val="0"/>
          <c:showVal val="0"/>
          <c:showCatName val="0"/>
          <c:showSerName val="0"/>
          <c:showPercent val="0"/>
          <c:showBubbleSize val="0"/>
        </c:dLbls>
        <c:smooth val="0"/>
        <c:axId val="942836152"/>
        <c:axId val="942836808"/>
      </c:lineChart>
      <c:dateAx>
        <c:axId val="942836152"/>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2836808"/>
        <c:crosses val="autoZero"/>
        <c:auto val="1"/>
        <c:lblOffset val="100"/>
        <c:baseTimeUnit val="days"/>
      </c:dateAx>
      <c:valAx>
        <c:axId val="942836808"/>
        <c:scaling>
          <c:orientation val="minMax"/>
        </c:scaling>
        <c:delete val="0"/>
        <c:axPos val="l"/>
        <c:majorGridlines>
          <c:spPr>
            <a:ln w="9525" cap="flat" cmpd="sng" algn="ctr">
              <a:solidFill>
                <a:schemeClr val="tx1">
                  <a:lumMod val="15000"/>
                  <a:lumOff val="85000"/>
                </a:schemeClr>
              </a:solidFill>
              <a:round/>
            </a:ln>
            <a:effectLst/>
          </c:spPr>
        </c:majorGridlines>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2836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US T-Bills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'1-year-treasury-rate-yield-char'!$B$17:$B$1285</c:f>
              <c:numCache>
                <c:formatCode>m/d/yyyy</c:formatCode>
                <c:ptCount val="1269"/>
                <c:pt idx="0">
                  <c:v>41641</c:v>
                </c:pt>
                <c:pt idx="1">
                  <c:v>41642</c:v>
                </c:pt>
                <c:pt idx="2">
                  <c:v>41645</c:v>
                </c:pt>
                <c:pt idx="3">
                  <c:v>41646</c:v>
                </c:pt>
                <c:pt idx="4">
                  <c:v>41647</c:v>
                </c:pt>
                <c:pt idx="5">
                  <c:v>41648</c:v>
                </c:pt>
                <c:pt idx="6">
                  <c:v>41649</c:v>
                </c:pt>
                <c:pt idx="7">
                  <c:v>41652</c:v>
                </c:pt>
                <c:pt idx="8">
                  <c:v>41653</c:v>
                </c:pt>
                <c:pt idx="9">
                  <c:v>41654</c:v>
                </c:pt>
                <c:pt idx="10">
                  <c:v>41655</c:v>
                </c:pt>
                <c:pt idx="11">
                  <c:v>41656</c:v>
                </c:pt>
                <c:pt idx="12">
                  <c:v>41660</c:v>
                </c:pt>
                <c:pt idx="13">
                  <c:v>41661</c:v>
                </c:pt>
                <c:pt idx="14">
                  <c:v>41662</c:v>
                </c:pt>
                <c:pt idx="15">
                  <c:v>41663</c:v>
                </c:pt>
                <c:pt idx="16">
                  <c:v>41666</c:v>
                </c:pt>
                <c:pt idx="17">
                  <c:v>41667</c:v>
                </c:pt>
                <c:pt idx="18">
                  <c:v>41668</c:v>
                </c:pt>
                <c:pt idx="19">
                  <c:v>41669</c:v>
                </c:pt>
                <c:pt idx="20">
                  <c:v>41670</c:v>
                </c:pt>
                <c:pt idx="21">
                  <c:v>41673</c:v>
                </c:pt>
                <c:pt idx="22">
                  <c:v>41674</c:v>
                </c:pt>
                <c:pt idx="23">
                  <c:v>41675</c:v>
                </c:pt>
                <c:pt idx="24">
                  <c:v>41676</c:v>
                </c:pt>
                <c:pt idx="25">
                  <c:v>41677</c:v>
                </c:pt>
                <c:pt idx="26">
                  <c:v>41680</c:v>
                </c:pt>
                <c:pt idx="27">
                  <c:v>41681</c:v>
                </c:pt>
                <c:pt idx="28">
                  <c:v>41682</c:v>
                </c:pt>
                <c:pt idx="29">
                  <c:v>41683</c:v>
                </c:pt>
                <c:pt idx="30">
                  <c:v>41684</c:v>
                </c:pt>
                <c:pt idx="31">
                  <c:v>41688</c:v>
                </c:pt>
                <c:pt idx="32">
                  <c:v>41689</c:v>
                </c:pt>
                <c:pt idx="33">
                  <c:v>41690</c:v>
                </c:pt>
                <c:pt idx="34">
                  <c:v>41691</c:v>
                </c:pt>
                <c:pt idx="35">
                  <c:v>41694</c:v>
                </c:pt>
                <c:pt idx="36">
                  <c:v>41695</c:v>
                </c:pt>
                <c:pt idx="37">
                  <c:v>41696</c:v>
                </c:pt>
                <c:pt idx="38">
                  <c:v>41697</c:v>
                </c:pt>
                <c:pt idx="39">
                  <c:v>41698</c:v>
                </c:pt>
                <c:pt idx="40">
                  <c:v>41701</c:v>
                </c:pt>
                <c:pt idx="41">
                  <c:v>41702</c:v>
                </c:pt>
                <c:pt idx="42">
                  <c:v>41703</c:v>
                </c:pt>
                <c:pt idx="43">
                  <c:v>41704</c:v>
                </c:pt>
                <c:pt idx="44">
                  <c:v>41705</c:v>
                </c:pt>
                <c:pt idx="45">
                  <c:v>41708</c:v>
                </c:pt>
                <c:pt idx="46">
                  <c:v>41709</c:v>
                </c:pt>
                <c:pt idx="47">
                  <c:v>41710</c:v>
                </c:pt>
                <c:pt idx="48">
                  <c:v>41711</c:v>
                </c:pt>
                <c:pt idx="49">
                  <c:v>41712</c:v>
                </c:pt>
                <c:pt idx="50">
                  <c:v>41715</c:v>
                </c:pt>
                <c:pt idx="51">
                  <c:v>41716</c:v>
                </c:pt>
                <c:pt idx="52">
                  <c:v>41717</c:v>
                </c:pt>
                <c:pt idx="53">
                  <c:v>41718</c:v>
                </c:pt>
                <c:pt idx="54">
                  <c:v>41719</c:v>
                </c:pt>
                <c:pt idx="55">
                  <c:v>41722</c:v>
                </c:pt>
                <c:pt idx="56">
                  <c:v>41723</c:v>
                </c:pt>
                <c:pt idx="57">
                  <c:v>41724</c:v>
                </c:pt>
                <c:pt idx="58">
                  <c:v>41725</c:v>
                </c:pt>
                <c:pt idx="59">
                  <c:v>41726</c:v>
                </c:pt>
                <c:pt idx="60">
                  <c:v>41729</c:v>
                </c:pt>
                <c:pt idx="61">
                  <c:v>41730</c:v>
                </c:pt>
                <c:pt idx="62">
                  <c:v>41731</c:v>
                </c:pt>
                <c:pt idx="63">
                  <c:v>41732</c:v>
                </c:pt>
                <c:pt idx="64">
                  <c:v>41733</c:v>
                </c:pt>
                <c:pt idx="65">
                  <c:v>41736</c:v>
                </c:pt>
                <c:pt idx="66">
                  <c:v>41737</c:v>
                </c:pt>
                <c:pt idx="67">
                  <c:v>41738</c:v>
                </c:pt>
                <c:pt idx="68">
                  <c:v>41739</c:v>
                </c:pt>
                <c:pt idx="69">
                  <c:v>41740</c:v>
                </c:pt>
                <c:pt idx="70">
                  <c:v>41743</c:v>
                </c:pt>
                <c:pt idx="71">
                  <c:v>41744</c:v>
                </c:pt>
                <c:pt idx="72">
                  <c:v>41745</c:v>
                </c:pt>
                <c:pt idx="73">
                  <c:v>41746</c:v>
                </c:pt>
                <c:pt idx="74">
                  <c:v>41750</c:v>
                </c:pt>
                <c:pt idx="75">
                  <c:v>41751</c:v>
                </c:pt>
                <c:pt idx="76">
                  <c:v>41752</c:v>
                </c:pt>
                <c:pt idx="77">
                  <c:v>41753</c:v>
                </c:pt>
                <c:pt idx="78">
                  <c:v>41754</c:v>
                </c:pt>
                <c:pt idx="79">
                  <c:v>41757</c:v>
                </c:pt>
                <c:pt idx="80">
                  <c:v>41758</c:v>
                </c:pt>
                <c:pt idx="81">
                  <c:v>41759</c:v>
                </c:pt>
                <c:pt idx="82">
                  <c:v>41760</c:v>
                </c:pt>
                <c:pt idx="83">
                  <c:v>41761</c:v>
                </c:pt>
                <c:pt idx="84">
                  <c:v>41764</c:v>
                </c:pt>
                <c:pt idx="85">
                  <c:v>41765</c:v>
                </c:pt>
                <c:pt idx="86">
                  <c:v>41766</c:v>
                </c:pt>
                <c:pt idx="87">
                  <c:v>41767</c:v>
                </c:pt>
                <c:pt idx="88">
                  <c:v>41768</c:v>
                </c:pt>
                <c:pt idx="89">
                  <c:v>41771</c:v>
                </c:pt>
                <c:pt idx="90">
                  <c:v>41772</c:v>
                </c:pt>
                <c:pt idx="91">
                  <c:v>41773</c:v>
                </c:pt>
                <c:pt idx="92">
                  <c:v>41774</c:v>
                </c:pt>
                <c:pt idx="93">
                  <c:v>41775</c:v>
                </c:pt>
                <c:pt idx="94">
                  <c:v>41778</c:v>
                </c:pt>
                <c:pt idx="95">
                  <c:v>41779</c:v>
                </c:pt>
                <c:pt idx="96">
                  <c:v>41780</c:v>
                </c:pt>
                <c:pt idx="97">
                  <c:v>41781</c:v>
                </c:pt>
                <c:pt idx="98">
                  <c:v>41782</c:v>
                </c:pt>
                <c:pt idx="99">
                  <c:v>41786</c:v>
                </c:pt>
                <c:pt idx="100">
                  <c:v>41787</c:v>
                </c:pt>
                <c:pt idx="101">
                  <c:v>41788</c:v>
                </c:pt>
                <c:pt idx="102">
                  <c:v>41789</c:v>
                </c:pt>
                <c:pt idx="103">
                  <c:v>41792</c:v>
                </c:pt>
                <c:pt idx="104">
                  <c:v>41793</c:v>
                </c:pt>
                <c:pt idx="105">
                  <c:v>41794</c:v>
                </c:pt>
                <c:pt idx="106">
                  <c:v>41795</c:v>
                </c:pt>
                <c:pt idx="107">
                  <c:v>41796</c:v>
                </c:pt>
                <c:pt idx="108">
                  <c:v>41799</c:v>
                </c:pt>
                <c:pt idx="109">
                  <c:v>41800</c:v>
                </c:pt>
                <c:pt idx="110">
                  <c:v>41801</c:v>
                </c:pt>
                <c:pt idx="111">
                  <c:v>41802</c:v>
                </c:pt>
                <c:pt idx="112">
                  <c:v>41803</c:v>
                </c:pt>
                <c:pt idx="113">
                  <c:v>41806</c:v>
                </c:pt>
                <c:pt idx="114">
                  <c:v>41807</c:v>
                </c:pt>
                <c:pt idx="115">
                  <c:v>41808</c:v>
                </c:pt>
                <c:pt idx="116">
                  <c:v>41809</c:v>
                </c:pt>
                <c:pt idx="117">
                  <c:v>41810</c:v>
                </c:pt>
                <c:pt idx="118">
                  <c:v>41813</c:v>
                </c:pt>
                <c:pt idx="119">
                  <c:v>41814</c:v>
                </c:pt>
                <c:pt idx="120">
                  <c:v>41815</c:v>
                </c:pt>
                <c:pt idx="121">
                  <c:v>41816</c:v>
                </c:pt>
                <c:pt idx="122">
                  <c:v>41817</c:v>
                </c:pt>
                <c:pt idx="123">
                  <c:v>41820</c:v>
                </c:pt>
                <c:pt idx="124">
                  <c:v>41821</c:v>
                </c:pt>
                <c:pt idx="125">
                  <c:v>41822</c:v>
                </c:pt>
                <c:pt idx="126">
                  <c:v>41823</c:v>
                </c:pt>
                <c:pt idx="127">
                  <c:v>41827</c:v>
                </c:pt>
                <c:pt idx="128">
                  <c:v>41828</c:v>
                </c:pt>
                <c:pt idx="129">
                  <c:v>41829</c:v>
                </c:pt>
                <c:pt idx="130">
                  <c:v>41830</c:v>
                </c:pt>
                <c:pt idx="131">
                  <c:v>41831</c:v>
                </c:pt>
                <c:pt idx="132">
                  <c:v>41834</c:v>
                </c:pt>
                <c:pt idx="133">
                  <c:v>41835</c:v>
                </c:pt>
                <c:pt idx="134">
                  <c:v>41836</c:v>
                </c:pt>
                <c:pt idx="135">
                  <c:v>41837</c:v>
                </c:pt>
                <c:pt idx="136">
                  <c:v>41838</c:v>
                </c:pt>
                <c:pt idx="137">
                  <c:v>41841</c:v>
                </c:pt>
                <c:pt idx="138">
                  <c:v>41842</c:v>
                </c:pt>
                <c:pt idx="139">
                  <c:v>41843</c:v>
                </c:pt>
                <c:pt idx="140">
                  <c:v>41844</c:v>
                </c:pt>
                <c:pt idx="141">
                  <c:v>41845</c:v>
                </c:pt>
                <c:pt idx="142">
                  <c:v>41848</c:v>
                </c:pt>
                <c:pt idx="143">
                  <c:v>41849</c:v>
                </c:pt>
                <c:pt idx="144">
                  <c:v>41850</c:v>
                </c:pt>
                <c:pt idx="145">
                  <c:v>41851</c:v>
                </c:pt>
                <c:pt idx="146">
                  <c:v>41852</c:v>
                </c:pt>
                <c:pt idx="147">
                  <c:v>41855</c:v>
                </c:pt>
                <c:pt idx="148">
                  <c:v>41856</c:v>
                </c:pt>
                <c:pt idx="149">
                  <c:v>41857</c:v>
                </c:pt>
                <c:pt idx="150">
                  <c:v>41858</c:v>
                </c:pt>
                <c:pt idx="151">
                  <c:v>41859</c:v>
                </c:pt>
                <c:pt idx="152">
                  <c:v>41862</c:v>
                </c:pt>
                <c:pt idx="153">
                  <c:v>41863</c:v>
                </c:pt>
                <c:pt idx="154">
                  <c:v>41864</c:v>
                </c:pt>
                <c:pt idx="155">
                  <c:v>41865</c:v>
                </c:pt>
                <c:pt idx="156">
                  <c:v>41866</c:v>
                </c:pt>
                <c:pt idx="157">
                  <c:v>41869</c:v>
                </c:pt>
                <c:pt idx="158">
                  <c:v>41870</c:v>
                </c:pt>
                <c:pt idx="159">
                  <c:v>41871</c:v>
                </c:pt>
                <c:pt idx="160">
                  <c:v>41872</c:v>
                </c:pt>
                <c:pt idx="161">
                  <c:v>41873</c:v>
                </c:pt>
                <c:pt idx="162">
                  <c:v>41876</c:v>
                </c:pt>
                <c:pt idx="163">
                  <c:v>41877</c:v>
                </c:pt>
                <c:pt idx="164">
                  <c:v>41878</c:v>
                </c:pt>
                <c:pt idx="165">
                  <c:v>41879</c:v>
                </c:pt>
                <c:pt idx="166">
                  <c:v>41880</c:v>
                </c:pt>
                <c:pt idx="167">
                  <c:v>41884</c:v>
                </c:pt>
                <c:pt idx="168">
                  <c:v>41885</c:v>
                </c:pt>
                <c:pt idx="169">
                  <c:v>41886</c:v>
                </c:pt>
                <c:pt idx="170">
                  <c:v>41887</c:v>
                </c:pt>
                <c:pt idx="171">
                  <c:v>41890</c:v>
                </c:pt>
                <c:pt idx="172">
                  <c:v>41891</c:v>
                </c:pt>
                <c:pt idx="173">
                  <c:v>41892</c:v>
                </c:pt>
                <c:pt idx="174">
                  <c:v>41893</c:v>
                </c:pt>
                <c:pt idx="175">
                  <c:v>41894</c:v>
                </c:pt>
                <c:pt idx="176">
                  <c:v>41897</c:v>
                </c:pt>
                <c:pt idx="177">
                  <c:v>41898</c:v>
                </c:pt>
                <c:pt idx="178">
                  <c:v>41899</c:v>
                </c:pt>
                <c:pt idx="179">
                  <c:v>41900</c:v>
                </c:pt>
                <c:pt idx="180">
                  <c:v>41901</c:v>
                </c:pt>
                <c:pt idx="181">
                  <c:v>41904</c:v>
                </c:pt>
                <c:pt idx="182">
                  <c:v>41905</c:v>
                </c:pt>
                <c:pt idx="183">
                  <c:v>41906</c:v>
                </c:pt>
                <c:pt idx="184">
                  <c:v>41907</c:v>
                </c:pt>
                <c:pt idx="185">
                  <c:v>41908</c:v>
                </c:pt>
                <c:pt idx="186">
                  <c:v>41911</c:v>
                </c:pt>
                <c:pt idx="187">
                  <c:v>41912</c:v>
                </c:pt>
                <c:pt idx="188">
                  <c:v>41913</c:v>
                </c:pt>
                <c:pt idx="189">
                  <c:v>41914</c:v>
                </c:pt>
                <c:pt idx="190">
                  <c:v>41915</c:v>
                </c:pt>
                <c:pt idx="191">
                  <c:v>41918</c:v>
                </c:pt>
                <c:pt idx="192">
                  <c:v>41919</c:v>
                </c:pt>
                <c:pt idx="193">
                  <c:v>41920</c:v>
                </c:pt>
                <c:pt idx="194">
                  <c:v>41921</c:v>
                </c:pt>
                <c:pt idx="195">
                  <c:v>41922</c:v>
                </c:pt>
                <c:pt idx="196">
                  <c:v>41926</c:v>
                </c:pt>
                <c:pt idx="197">
                  <c:v>41927</c:v>
                </c:pt>
                <c:pt idx="198">
                  <c:v>41928</c:v>
                </c:pt>
                <c:pt idx="199">
                  <c:v>41929</c:v>
                </c:pt>
                <c:pt idx="200">
                  <c:v>41932</c:v>
                </c:pt>
                <c:pt idx="201">
                  <c:v>41933</c:v>
                </c:pt>
                <c:pt idx="202">
                  <c:v>41934</c:v>
                </c:pt>
                <c:pt idx="203">
                  <c:v>41935</c:v>
                </c:pt>
                <c:pt idx="204">
                  <c:v>41936</c:v>
                </c:pt>
                <c:pt idx="205">
                  <c:v>41939</c:v>
                </c:pt>
                <c:pt idx="206">
                  <c:v>41940</c:v>
                </c:pt>
                <c:pt idx="207">
                  <c:v>41941</c:v>
                </c:pt>
                <c:pt idx="208">
                  <c:v>41942</c:v>
                </c:pt>
                <c:pt idx="209">
                  <c:v>41943</c:v>
                </c:pt>
                <c:pt idx="210">
                  <c:v>41946</c:v>
                </c:pt>
                <c:pt idx="211">
                  <c:v>41947</c:v>
                </c:pt>
                <c:pt idx="212">
                  <c:v>41948</c:v>
                </c:pt>
                <c:pt idx="213">
                  <c:v>41949</c:v>
                </c:pt>
                <c:pt idx="214">
                  <c:v>41950</c:v>
                </c:pt>
                <c:pt idx="215">
                  <c:v>41953</c:v>
                </c:pt>
                <c:pt idx="216">
                  <c:v>41955</c:v>
                </c:pt>
                <c:pt idx="217">
                  <c:v>41956</c:v>
                </c:pt>
                <c:pt idx="218">
                  <c:v>41957</c:v>
                </c:pt>
                <c:pt idx="219">
                  <c:v>41960</c:v>
                </c:pt>
                <c:pt idx="220">
                  <c:v>41961</c:v>
                </c:pt>
                <c:pt idx="221">
                  <c:v>41962</c:v>
                </c:pt>
                <c:pt idx="222">
                  <c:v>41963</c:v>
                </c:pt>
                <c:pt idx="223">
                  <c:v>41964</c:v>
                </c:pt>
                <c:pt idx="224">
                  <c:v>41967</c:v>
                </c:pt>
                <c:pt idx="225">
                  <c:v>41968</c:v>
                </c:pt>
                <c:pt idx="226">
                  <c:v>41969</c:v>
                </c:pt>
                <c:pt idx="227">
                  <c:v>41971</c:v>
                </c:pt>
                <c:pt idx="228">
                  <c:v>41974</c:v>
                </c:pt>
                <c:pt idx="229">
                  <c:v>41975</c:v>
                </c:pt>
                <c:pt idx="230">
                  <c:v>41976</c:v>
                </c:pt>
                <c:pt idx="231">
                  <c:v>41977</c:v>
                </c:pt>
                <c:pt idx="232">
                  <c:v>41978</c:v>
                </c:pt>
                <c:pt idx="233">
                  <c:v>41981</c:v>
                </c:pt>
                <c:pt idx="234">
                  <c:v>41982</c:v>
                </c:pt>
                <c:pt idx="235">
                  <c:v>41983</c:v>
                </c:pt>
                <c:pt idx="236">
                  <c:v>41984</c:v>
                </c:pt>
                <c:pt idx="237">
                  <c:v>41985</c:v>
                </c:pt>
                <c:pt idx="238">
                  <c:v>41988</c:v>
                </c:pt>
                <c:pt idx="239">
                  <c:v>41989</c:v>
                </c:pt>
                <c:pt idx="240">
                  <c:v>41990</c:v>
                </c:pt>
                <c:pt idx="241">
                  <c:v>41991</c:v>
                </c:pt>
                <c:pt idx="242">
                  <c:v>41992</c:v>
                </c:pt>
                <c:pt idx="243">
                  <c:v>41995</c:v>
                </c:pt>
                <c:pt idx="244">
                  <c:v>41996</c:v>
                </c:pt>
                <c:pt idx="245">
                  <c:v>41997</c:v>
                </c:pt>
                <c:pt idx="246">
                  <c:v>41999</c:v>
                </c:pt>
                <c:pt idx="247">
                  <c:v>42002</c:v>
                </c:pt>
                <c:pt idx="248">
                  <c:v>42003</c:v>
                </c:pt>
                <c:pt idx="249">
                  <c:v>42004</c:v>
                </c:pt>
                <c:pt idx="250">
                  <c:v>42006</c:v>
                </c:pt>
                <c:pt idx="251">
                  <c:v>42009</c:v>
                </c:pt>
                <c:pt idx="252">
                  <c:v>42010</c:v>
                </c:pt>
                <c:pt idx="253">
                  <c:v>42011</c:v>
                </c:pt>
                <c:pt idx="254">
                  <c:v>42012</c:v>
                </c:pt>
                <c:pt idx="255">
                  <c:v>42013</c:v>
                </c:pt>
                <c:pt idx="256">
                  <c:v>42016</c:v>
                </c:pt>
                <c:pt idx="257">
                  <c:v>42017</c:v>
                </c:pt>
                <c:pt idx="258">
                  <c:v>42018</c:v>
                </c:pt>
                <c:pt idx="259">
                  <c:v>42019</c:v>
                </c:pt>
                <c:pt idx="260">
                  <c:v>42020</c:v>
                </c:pt>
                <c:pt idx="261">
                  <c:v>42024</c:v>
                </c:pt>
                <c:pt idx="262">
                  <c:v>42025</c:v>
                </c:pt>
                <c:pt idx="263">
                  <c:v>42026</c:v>
                </c:pt>
                <c:pt idx="264">
                  <c:v>42027</c:v>
                </c:pt>
                <c:pt idx="265">
                  <c:v>42030</c:v>
                </c:pt>
                <c:pt idx="266">
                  <c:v>42031</c:v>
                </c:pt>
                <c:pt idx="267">
                  <c:v>42032</c:v>
                </c:pt>
                <c:pt idx="268">
                  <c:v>42033</c:v>
                </c:pt>
                <c:pt idx="269">
                  <c:v>42034</c:v>
                </c:pt>
                <c:pt idx="270">
                  <c:v>42037</c:v>
                </c:pt>
                <c:pt idx="271">
                  <c:v>42038</c:v>
                </c:pt>
                <c:pt idx="272">
                  <c:v>42039</c:v>
                </c:pt>
                <c:pt idx="273">
                  <c:v>42040</c:v>
                </c:pt>
                <c:pt idx="274">
                  <c:v>42041</c:v>
                </c:pt>
                <c:pt idx="275">
                  <c:v>42044</c:v>
                </c:pt>
                <c:pt idx="276">
                  <c:v>42045</c:v>
                </c:pt>
                <c:pt idx="277">
                  <c:v>42046</c:v>
                </c:pt>
                <c:pt idx="278">
                  <c:v>42047</c:v>
                </c:pt>
                <c:pt idx="279">
                  <c:v>42048</c:v>
                </c:pt>
                <c:pt idx="280">
                  <c:v>42052</c:v>
                </c:pt>
                <c:pt idx="281">
                  <c:v>42053</c:v>
                </c:pt>
                <c:pt idx="282">
                  <c:v>42054</c:v>
                </c:pt>
                <c:pt idx="283">
                  <c:v>42055</c:v>
                </c:pt>
                <c:pt idx="284">
                  <c:v>42058</c:v>
                </c:pt>
                <c:pt idx="285">
                  <c:v>42059</c:v>
                </c:pt>
                <c:pt idx="286">
                  <c:v>42060</c:v>
                </c:pt>
                <c:pt idx="287">
                  <c:v>42061</c:v>
                </c:pt>
                <c:pt idx="288">
                  <c:v>42062</c:v>
                </c:pt>
                <c:pt idx="289">
                  <c:v>42065</c:v>
                </c:pt>
                <c:pt idx="290">
                  <c:v>42066</c:v>
                </c:pt>
                <c:pt idx="291">
                  <c:v>42067</c:v>
                </c:pt>
                <c:pt idx="292">
                  <c:v>42068</c:v>
                </c:pt>
                <c:pt idx="293">
                  <c:v>42069</c:v>
                </c:pt>
                <c:pt idx="294">
                  <c:v>42072</c:v>
                </c:pt>
                <c:pt idx="295">
                  <c:v>42073</c:v>
                </c:pt>
                <c:pt idx="296">
                  <c:v>42074</c:v>
                </c:pt>
                <c:pt idx="297">
                  <c:v>42075</c:v>
                </c:pt>
                <c:pt idx="298">
                  <c:v>42076</c:v>
                </c:pt>
                <c:pt idx="299">
                  <c:v>42079</c:v>
                </c:pt>
                <c:pt idx="300">
                  <c:v>42080</c:v>
                </c:pt>
                <c:pt idx="301">
                  <c:v>42081</c:v>
                </c:pt>
                <c:pt idx="302">
                  <c:v>42082</c:v>
                </c:pt>
                <c:pt idx="303">
                  <c:v>42083</c:v>
                </c:pt>
                <c:pt idx="304">
                  <c:v>42086</c:v>
                </c:pt>
                <c:pt idx="305">
                  <c:v>42087</c:v>
                </c:pt>
                <c:pt idx="306">
                  <c:v>42088</c:v>
                </c:pt>
                <c:pt idx="307">
                  <c:v>42089</c:v>
                </c:pt>
                <c:pt idx="308">
                  <c:v>42090</c:v>
                </c:pt>
                <c:pt idx="309">
                  <c:v>42093</c:v>
                </c:pt>
                <c:pt idx="310">
                  <c:v>42094</c:v>
                </c:pt>
                <c:pt idx="311">
                  <c:v>42095</c:v>
                </c:pt>
                <c:pt idx="312">
                  <c:v>42096</c:v>
                </c:pt>
                <c:pt idx="313">
                  <c:v>42097</c:v>
                </c:pt>
                <c:pt idx="314">
                  <c:v>42100</c:v>
                </c:pt>
                <c:pt idx="315">
                  <c:v>42101</c:v>
                </c:pt>
                <c:pt idx="316">
                  <c:v>42102</c:v>
                </c:pt>
                <c:pt idx="317">
                  <c:v>42103</c:v>
                </c:pt>
                <c:pt idx="318">
                  <c:v>42104</c:v>
                </c:pt>
                <c:pt idx="319">
                  <c:v>42107</c:v>
                </c:pt>
                <c:pt idx="320">
                  <c:v>42108</c:v>
                </c:pt>
                <c:pt idx="321">
                  <c:v>42109</c:v>
                </c:pt>
                <c:pt idx="322">
                  <c:v>42110</c:v>
                </c:pt>
                <c:pt idx="323">
                  <c:v>42111</c:v>
                </c:pt>
                <c:pt idx="324">
                  <c:v>42114</c:v>
                </c:pt>
                <c:pt idx="325">
                  <c:v>42115</c:v>
                </c:pt>
                <c:pt idx="326">
                  <c:v>42116</c:v>
                </c:pt>
                <c:pt idx="327">
                  <c:v>42117</c:v>
                </c:pt>
                <c:pt idx="328">
                  <c:v>42118</c:v>
                </c:pt>
                <c:pt idx="329">
                  <c:v>42121</c:v>
                </c:pt>
                <c:pt idx="330">
                  <c:v>42122</c:v>
                </c:pt>
                <c:pt idx="331">
                  <c:v>42123</c:v>
                </c:pt>
                <c:pt idx="332">
                  <c:v>42124</c:v>
                </c:pt>
                <c:pt idx="333">
                  <c:v>42125</c:v>
                </c:pt>
                <c:pt idx="334">
                  <c:v>42128</c:v>
                </c:pt>
                <c:pt idx="335">
                  <c:v>42129</c:v>
                </c:pt>
                <c:pt idx="336">
                  <c:v>42130</c:v>
                </c:pt>
                <c:pt idx="337">
                  <c:v>42131</c:v>
                </c:pt>
                <c:pt idx="338">
                  <c:v>42132</c:v>
                </c:pt>
                <c:pt idx="339">
                  <c:v>42135</c:v>
                </c:pt>
                <c:pt idx="340">
                  <c:v>42136</c:v>
                </c:pt>
                <c:pt idx="341">
                  <c:v>42137</c:v>
                </c:pt>
                <c:pt idx="342">
                  <c:v>42138</c:v>
                </c:pt>
                <c:pt idx="343">
                  <c:v>42139</c:v>
                </c:pt>
                <c:pt idx="344">
                  <c:v>42142</c:v>
                </c:pt>
                <c:pt idx="345">
                  <c:v>42143</c:v>
                </c:pt>
                <c:pt idx="346">
                  <c:v>42144</c:v>
                </c:pt>
                <c:pt idx="347">
                  <c:v>42145</c:v>
                </c:pt>
                <c:pt idx="348">
                  <c:v>42146</c:v>
                </c:pt>
                <c:pt idx="349">
                  <c:v>42150</c:v>
                </c:pt>
                <c:pt idx="350">
                  <c:v>42151</c:v>
                </c:pt>
                <c:pt idx="351">
                  <c:v>42152</c:v>
                </c:pt>
                <c:pt idx="352">
                  <c:v>42153</c:v>
                </c:pt>
                <c:pt idx="353">
                  <c:v>42156</c:v>
                </c:pt>
                <c:pt idx="354">
                  <c:v>42157</c:v>
                </c:pt>
                <c:pt idx="355">
                  <c:v>42158</c:v>
                </c:pt>
                <c:pt idx="356">
                  <c:v>42159</c:v>
                </c:pt>
                <c:pt idx="357">
                  <c:v>42160</c:v>
                </c:pt>
                <c:pt idx="358">
                  <c:v>42163</c:v>
                </c:pt>
                <c:pt idx="359">
                  <c:v>42164</c:v>
                </c:pt>
                <c:pt idx="360">
                  <c:v>42165</c:v>
                </c:pt>
                <c:pt idx="361">
                  <c:v>42166</c:v>
                </c:pt>
                <c:pt idx="362">
                  <c:v>42167</c:v>
                </c:pt>
                <c:pt idx="363">
                  <c:v>42170</c:v>
                </c:pt>
                <c:pt idx="364">
                  <c:v>42171</c:v>
                </c:pt>
                <c:pt idx="365">
                  <c:v>42172</c:v>
                </c:pt>
                <c:pt idx="366">
                  <c:v>42173</c:v>
                </c:pt>
                <c:pt idx="367">
                  <c:v>42174</c:v>
                </c:pt>
                <c:pt idx="368">
                  <c:v>42177</c:v>
                </c:pt>
                <c:pt idx="369">
                  <c:v>42178</c:v>
                </c:pt>
                <c:pt idx="370">
                  <c:v>42179</c:v>
                </c:pt>
                <c:pt idx="371">
                  <c:v>42180</c:v>
                </c:pt>
                <c:pt idx="372">
                  <c:v>42181</c:v>
                </c:pt>
                <c:pt idx="373">
                  <c:v>42184</c:v>
                </c:pt>
                <c:pt idx="374">
                  <c:v>42185</c:v>
                </c:pt>
                <c:pt idx="375">
                  <c:v>42186</c:v>
                </c:pt>
                <c:pt idx="376">
                  <c:v>42187</c:v>
                </c:pt>
                <c:pt idx="377">
                  <c:v>42191</c:v>
                </c:pt>
                <c:pt idx="378">
                  <c:v>42192</c:v>
                </c:pt>
                <c:pt idx="379">
                  <c:v>42193</c:v>
                </c:pt>
                <c:pt idx="380">
                  <c:v>42194</c:v>
                </c:pt>
                <c:pt idx="381">
                  <c:v>42195</c:v>
                </c:pt>
                <c:pt idx="382">
                  <c:v>42198</c:v>
                </c:pt>
                <c:pt idx="383">
                  <c:v>42199</c:v>
                </c:pt>
                <c:pt idx="384">
                  <c:v>42200</c:v>
                </c:pt>
                <c:pt idx="385">
                  <c:v>42201</c:v>
                </c:pt>
                <c:pt idx="386">
                  <c:v>42202</c:v>
                </c:pt>
                <c:pt idx="387">
                  <c:v>42205</c:v>
                </c:pt>
                <c:pt idx="388">
                  <c:v>42206</c:v>
                </c:pt>
                <c:pt idx="389">
                  <c:v>42207</c:v>
                </c:pt>
                <c:pt idx="390">
                  <c:v>42208</c:v>
                </c:pt>
                <c:pt idx="391">
                  <c:v>42209</c:v>
                </c:pt>
                <c:pt idx="392">
                  <c:v>42212</c:v>
                </c:pt>
                <c:pt idx="393">
                  <c:v>42213</c:v>
                </c:pt>
                <c:pt idx="394">
                  <c:v>42214</c:v>
                </c:pt>
                <c:pt idx="395">
                  <c:v>42215</c:v>
                </c:pt>
                <c:pt idx="396">
                  <c:v>42216</c:v>
                </c:pt>
                <c:pt idx="397">
                  <c:v>42219</c:v>
                </c:pt>
                <c:pt idx="398">
                  <c:v>42220</c:v>
                </c:pt>
                <c:pt idx="399">
                  <c:v>42221</c:v>
                </c:pt>
                <c:pt idx="400">
                  <c:v>42222</c:v>
                </c:pt>
                <c:pt idx="401">
                  <c:v>42223</c:v>
                </c:pt>
                <c:pt idx="402">
                  <c:v>42226</c:v>
                </c:pt>
                <c:pt idx="403">
                  <c:v>42227</c:v>
                </c:pt>
                <c:pt idx="404">
                  <c:v>42228</c:v>
                </c:pt>
                <c:pt idx="405">
                  <c:v>42229</c:v>
                </c:pt>
                <c:pt idx="406">
                  <c:v>42230</c:v>
                </c:pt>
                <c:pt idx="407">
                  <c:v>42233</c:v>
                </c:pt>
                <c:pt idx="408">
                  <c:v>42234</c:v>
                </c:pt>
                <c:pt idx="409">
                  <c:v>42235</c:v>
                </c:pt>
                <c:pt idx="410">
                  <c:v>42236</c:v>
                </c:pt>
                <c:pt idx="411">
                  <c:v>42237</c:v>
                </c:pt>
                <c:pt idx="412">
                  <c:v>42240</c:v>
                </c:pt>
                <c:pt idx="413">
                  <c:v>42241</c:v>
                </c:pt>
                <c:pt idx="414">
                  <c:v>42242</c:v>
                </c:pt>
                <c:pt idx="415">
                  <c:v>42243</c:v>
                </c:pt>
                <c:pt idx="416">
                  <c:v>42244</c:v>
                </c:pt>
                <c:pt idx="417">
                  <c:v>42247</c:v>
                </c:pt>
                <c:pt idx="418">
                  <c:v>42248</c:v>
                </c:pt>
                <c:pt idx="419">
                  <c:v>42249</c:v>
                </c:pt>
                <c:pt idx="420">
                  <c:v>42250</c:v>
                </c:pt>
                <c:pt idx="421">
                  <c:v>42251</c:v>
                </c:pt>
                <c:pt idx="422">
                  <c:v>42255</c:v>
                </c:pt>
                <c:pt idx="423">
                  <c:v>42256</c:v>
                </c:pt>
                <c:pt idx="424">
                  <c:v>42257</c:v>
                </c:pt>
                <c:pt idx="425">
                  <c:v>42258</c:v>
                </c:pt>
                <c:pt idx="426">
                  <c:v>42261</c:v>
                </c:pt>
                <c:pt idx="427">
                  <c:v>42262</c:v>
                </c:pt>
                <c:pt idx="428">
                  <c:v>42263</c:v>
                </c:pt>
                <c:pt idx="429">
                  <c:v>42264</c:v>
                </c:pt>
                <c:pt idx="430">
                  <c:v>42265</c:v>
                </c:pt>
                <c:pt idx="431">
                  <c:v>42268</c:v>
                </c:pt>
                <c:pt idx="432">
                  <c:v>42269</c:v>
                </c:pt>
                <c:pt idx="433">
                  <c:v>42270</c:v>
                </c:pt>
                <c:pt idx="434">
                  <c:v>42271</c:v>
                </c:pt>
                <c:pt idx="435">
                  <c:v>42272</c:v>
                </c:pt>
                <c:pt idx="436">
                  <c:v>42275</c:v>
                </c:pt>
                <c:pt idx="437">
                  <c:v>42276</c:v>
                </c:pt>
                <c:pt idx="438">
                  <c:v>42277</c:v>
                </c:pt>
                <c:pt idx="439">
                  <c:v>42278</c:v>
                </c:pt>
                <c:pt idx="440">
                  <c:v>42279</c:v>
                </c:pt>
                <c:pt idx="441">
                  <c:v>42282</c:v>
                </c:pt>
                <c:pt idx="442">
                  <c:v>42283</c:v>
                </c:pt>
                <c:pt idx="443">
                  <c:v>42284</c:v>
                </c:pt>
                <c:pt idx="444">
                  <c:v>42285</c:v>
                </c:pt>
                <c:pt idx="445">
                  <c:v>42286</c:v>
                </c:pt>
                <c:pt idx="446">
                  <c:v>42290</c:v>
                </c:pt>
                <c:pt idx="447">
                  <c:v>42291</c:v>
                </c:pt>
                <c:pt idx="448">
                  <c:v>42292</c:v>
                </c:pt>
                <c:pt idx="449">
                  <c:v>42293</c:v>
                </c:pt>
                <c:pt idx="450">
                  <c:v>42296</c:v>
                </c:pt>
                <c:pt idx="451">
                  <c:v>42297</c:v>
                </c:pt>
                <c:pt idx="452">
                  <c:v>42298</c:v>
                </c:pt>
                <c:pt idx="453">
                  <c:v>42299</c:v>
                </c:pt>
                <c:pt idx="454">
                  <c:v>42300</c:v>
                </c:pt>
                <c:pt idx="455">
                  <c:v>42303</c:v>
                </c:pt>
                <c:pt idx="456">
                  <c:v>42304</c:v>
                </c:pt>
                <c:pt idx="457">
                  <c:v>42305</c:v>
                </c:pt>
                <c:pt idx="458">
                  <c:v>42306</c:v>
                </c:pt>
                <c:pt idx="459">
                  <c:v>42307</c:v>
                </c:pt>
                <c:pt idx="460">
                  <c:v>42310</c:v>
                </c:pt>
                <c:pt idx="461">
                  <c:v>42311</c:v>
                </c:pt>
                <c:pt idx="462">
                  <c:v>42312</c:v>
                </c:pt>
                <c:pt idx="463">
                  <c:v>42313</c:v>
                </c:pt>
                <c:pt idx="464">
                  <c:v>42314</c:v>
                </c:pt>
                <c:pt idx="465">
                  <c:v>42317</c:v>
                </c:pt>
                <c:pt idx="466">
                  <c:v>42318</c:v>
                </c:pt>
                <c:pt idx="467">
                  <c:v>42320</c:v>
                </c:pt>
                <c:pt idx="468">
                  <c:v>42321</c:v>
                </c:pt>
                <c:pt idx="469">
                  <c:v>42324</c:v>
                </c:pt>
                <c:pt idx="470">
                  <c:v>42325</c:v>
                </c:pt>
                <c:pt idx="471">
                  <c:v>42326</c:v>
                </c:pt>
                <c:pt idx="472">
                  <c:v>42327</c:v>
                </c:pt>
                <c:pt idx="473">
                  <c:v>42328</c:v>
                </c:pt>
                <c:pt idx="474">
                  <c:v>42331</c:v>
                </c:pt>
                <c:pt idx="475">
                  <c:v>42332</c:v>
                </c:pt>
                <c:pt idx="476">
                  <c:v>42333</c:v>
                </c:pt>
                <c:pt idx="477">
                  <c:v>42335</c:v>
                </c:pt>
                <c:pt idx="478">
                  <c:v>42338</c:v>
                </c:pt>
                <c:pt idx="479">
                  <c:v>42339</c:v>
                </c:pt>
                <c:pt idx="480">
                  <c:v>42340</c:v>
                </c:pt>
                <c:pt idx="481">
                  <c:v>42341</c:v>
                </c:pt>
                <c:pt idx="482">
                  <c:v>42342</c:v>
                </c:pt>
                <c:pt idx="483">
                  <c:v>42345</c:v>
                </c:pt>
                <c:pt idx="484">
                  <c:v>42346</c:v>
                </c:pt>
                <c:pt idx="485">
                  <c:v>42347</c:v>
                </c:pt>
                <c:pt idx="486">
                  <c:v>42348</c:v>
                </c:pt>
                <c:pt idx="487">
                  <c:v>42349</c:v>
                </c:pt>
                <c:pt idx="488">
                  <c:v>42352</c:v>
                </c:pt>
                <c:pt idx="489">
                  <c:v>42353</c:v>
                </c:pt>
                <c:pt idx="490">
                  <c:v>42354</c:v>
                </c:pt>
                <c:pt idx="491">
                  <c:v>42355</c:v>
                </c:pt>
                <c:pt idx="492">
                  <c:v>42356</c:v>
                </c:pt>
                <c:pt idx="493">
                  <c:v>42359</c:v>
                </c:pt>
                <c:pt idx="494">
                  <c:v>42360</c:v>
                </c:pt>
                <c:pt idx="495">
                  <c:v>42361</c:v>
                </c:pt>
                <c:pt idx="496">
                  <c:v>42362</c:v>
                </c:pt>
                <c:pt idx="497">
                  <c:v>42366</c:v>
                </c:pt>
                <c:pt idx="498">
                  <c:v>42367</c:v>
                </c:pt>
                <c:pt idx="499">
                  <c:v>42368</c:v>
                </c:pt>
                <c:pt idx="500">
                  <c:v>42369</c:v>
                </c:pt>
                <c:pt idx="501">
                  <c:v>42373</c:v>
                </c:pt>
                <c:pt idx="502">
                  <c:v>42374</c:v>
                </c:pt>
                <c:pt idx="503">
                  <c:v>42375</c:v>
                </c:pt>
                <c:pt idx="504">
                  <c:v>42376</c:v>
                </c:pt>
                <c:pt idx="505">
                  <c:v>42377</c:v>
                </c:pt>
                <c:pt idx="506">
                  <c:v>42380</c:v>
                </c:pt>
                <c:pt idx="507">
                  <c:v>42381</c:v>
                </c:pt>
                <c:pt idx="508">
                  <c:v>42382</c:v>
                </c:pt>
                <c:pt idx="509">
                  <c:v>42383</c:v>
                </c:pt>
                <c:pt idx="510">
                  <c:v>42384</c:v>
                </c:pt>
                <c:pt idx="511">
                  <c:v>42388</c:v>
                </c:pt>
                <c:pt idx="512">
                  <c:v>42389</c:v>
                </c:pt>
                <c:pt idx="513">
                  <c:v>42390</c:v>
                </c:pt>
                <c:pt idx="514">
                  <c:v>42391</c:v>
                </c:pt>
                <c:pt idx="515">
                  <c:v>42394</c:v>
                </c:pt>
                <c:pt idx="516">
                  <c:v>42395</c:v>
                </c:pt>
                <c:pt idx="517">
                  <c:v>42396</c:v>
                </c:pt>
                <c:pt idx="518">
                  <c:v>42397</c:v>
                </c:pt>
                <c:pt idx="519">
                  <c:v>42398</c:v>
                </c:pt>
                <c:pt idx="520">
                  <c:v>42401</c:v>
                </c:pt>
                <c:pt idx="521">
                  <c:v>42402</c:v>
                </c:pt>
                <c:pt idx="522">
                  <c:v>42403</c:v>
                </c:pt>
                <c:pt idx="523">
                  <c:v>42404</c:v>
                </c:pt>
                <c:pt idx="524">
                  <c:v>42405</c:v>
                </c:pt>
                <c:pt idx="525">
                  <c:v>42408</c:v>
                </c:pt>
                <c:pt idx="526">
                  <c:v>42409</c:v>
                </c:pt>
                <c:pt idx="527">
                  <c:v>42410</c:v>
                </c:pt>
                <c:pt idx="528">
                  <c:v>42411</c:v>
                </c:pt>
                <c:pt idx="529">
                  <c:v>42412</c:v>
                </c:pt>
                <c:pt idx="530">
                  <c:v>42416</c:v>
                </c:pt>
                <c:pt idx="531">
                  <c:v>42417</c:v>
                </c:pt>
                <c:pt idx="532">
                  <c:v>42418</c:v>
                </c:pt>
                <c:pt idx="533">
                  <c:v>42419</c:v>
                </c:pt>
                <c:pt idx="534">
                  <c:v>42422</c:v>
                </c:pt>
                <c:pt idx="535">
                  <c:v>42423</c:v>
                </c:pt>
                <c:pt idx="536">
                  <c:v>42424</c:v>
                </c:pt>
                <c:pt idx="537">
                  <c:v>42425</c:v>
                </c:pt>
                <c:pt idx="538">
                  <c:v>42426</c:v>
                </c:pt>
                <c:pt idx="539">
                  <c:v>42429</c:v>
                </c:pt>
                <c:pt idx="540">
                  <c:v>42430</c:v>
                </c:pt>
                <c:pt idx="541">
                  <c:v>42431</c:v>
                </c:pt>
                <c:pt idx="542">
                  <c:v>42432</c:v>
                </c:pt>
                <c:pt idx="543">
                  <c:v>42433</c:v>
                </c:pt>
                <c:pt idx="544">
                  <c:v>42436</c:v>
                </c:pt>
                <c:pt idx="545">
                  <c:v>42437</c:v>
                </c:pt>
                <c:pt idx="546">
                  <c:v>42438</c:v>
                </c:pt>
                <c:pt idx="547">
                  <c:v>42439</c:v>
                </c:pt>
                <c:pt idx="548">
                  <c:v>42440</c:v>
                </c:pt>
                <c:pt idx="549">
                  <c:v>42443</c:v>
                </c:pt>
                <c:pt idx="550">
                  <c:v>42444</c:v>
                </c:pt>
                <c:pt idx="551">
                  <c:v>42445</c:v>
                </c:pt>
                <c:pt idx="552">
                  <c:v>42446</c:v>
                </c:pt>
                <c:pt idx="553">
                  <c:v>42447</c:v>
                </c:pt>
                <c:pt idx="554">
                  <c:v>42450</c:v>
                </c:pt>
                <c:pt idx="555">
                  <c:v>42451</c:v>
                </c:pt>
                <c:pt idx="556">
                  <c:v>42452</c:v>
                </c:pt>
                <c:pt idx="557">
                  <c:v>42453</c:v>
                </c:pt>
                <c:pt idx="558">
                  <c:v>42457</c:v>
                </c:pt>
                <c:pt idx="559">
                  <c:v>42458</c:v>
                </c:pt>
                <c:pt idx="560">
                  <c:v>42459</c:v>
                </c:pt>
                <c:pt idx="561">
                  <c:v>42460</c:v>
                </c:pt>
                <c:pt idx="562">
                  <c:v>42461</c:v>
                </c:pt>
                <c:pt idx="563">
                  <c:v>42464</c:v>
                </c:pt>
                <c:pt idx="564">
                  <c:v>42465</c:v>
                </c:pt>
                <c:pt idx="565">
                  <c:v>42466</c:v>
                </c:pt>
                <c:pt idx="566">
                  <c:v>42467</c:v>
                </c:pt>
                <c:pt idx="567">
                  <c:v>42468</c:v>
                </c:pt>
                <c:pt idx="568">
                  <c:v>42471</c:v>
                </c:pt>
                <c:pt idx="569">
                  <c:v>42472</c:v>
                </c:pt>
                <c:pt idx="570">
                  <c:v>42473</c:v>
                </c:pt>
                <c:pt idx="571">
                  <c:v>42474</c:v>
                </c:pt>
                <c:pt idx="572">
                  <c:v>42475</c:v>
                </c:pt>
                <c:pt idx="573">
                  <c:v>42478</c:v>
                </c:pt>
                <c:pt idx="574">
                  <c:v>42479</c:v>
                </c:pt>
                <c:pt idx="575">
                  <c:v>42480</c:v>
                </c:pt>
                <c:pt idx="576">
                  <c:v>42481</c:v>
                </c:pt>
                <c:pt idx="577">
                  <c:v>42482</c:v>
                </c:pt>
                <c:pt idx="578">
                  <c:v>42485</c:v>
                </c:pt>
                <c:pt idx="579">
                  <c:v>42486</c:v>
                </c:pt>
                <c:pt idx="580">
                  <c:v>42487</c:v>
                </c:pt>
                <c:pt idx="581">
                  <c:v>42488</c:v>
                </c:pt>
                <c:pt idx="582">
                  <c:v>42489</c:v>
                </c:pt>
                <c:pt idx="583">
                  <c:v>42492</c:v>
                </c:pt>
                <c:pt idx="584">
                  <c:v>42493</c:v>
                </c:pt>
                <c:pt idx="585">
                  <c:v>42494</c:v>
                </c:pt>
                <c:pt idx="586">
                  <c:v>42495</c:v>
                </c:pt>
                <c:pt idx="587">
                  <c:v>42496</c:v>
                </c:pt>
                <c:pt idx="588">
                  <c:v>42499</c:v>
                </c:pt>
                <c:pt idx="589">
                  <c:v>42500</c:v>
                </c:pt>
                <c:pt idx="590">
                  <c:v>42501</c:v>
                </c:pt>
                <c:pt idx="591">
                  <c:v>42502</c:v>
                </c:pt>
                <c:pt idx="592">
                  <c:v>42503</c:v>
                </c:pt>
                <c:pt idx="593">
                  <c:v>42506</c:v>
                </c:pt>
                <c:pt idx="594">
                  <c:v>42507</c:v>
                </c:pt>
                <c:pt idx="595">
                  <c:v>42508</c:v>
                </c:pt>
                <c:pt idx="596">
                  <c:v>42509</c:v>
                </c:pt>
                <c:pt idx="597">
                  <c:v>42510</c:v>
                </c:pt>
                <c:pt idx="598">
                  <c:v>42513</c:v>
                </c:pt>
                <c:pt idx="599">
                  <c:v>42514</c:v>
                </c:pt>
                <c:pt idx="600">
                  <c:v>42515</c:v>
                </c:pt>
                <c:pt idx="601">
                  <c:v>42516</c:v>
                </c:pt>
                <c:pt idx="602">
                  <c:v>42517</c:v>
                </c:pt>
                <c:pt idx="603">
                  <c:v>42521</c:v>
                </c:pt>
                <c:pt idx="604">
                  <c:v>42522</c:v>
                </c:pt>
                <c:pt idx="605">
                  <c:v>42523</c:v>
                </c:pt>
                <c:pt idx="606">
                  <c:v>42524</c:v>
                </c:pt>
                <c:pt idx="607">
                  <c:v>42527</c:v>
                </c:pt>
                <c:pt idx="608">
                  <c:v>42528</c:v>
                </c:pt>
                <c:pt idx="609">
                  <c:v>42529</c:v>
                </c:pt>
                <c:pt idx="610">
                  <c:v>42530</c:v>
                </c:pt>
                <c:pt idx="611">
                  <c:v>42531</c:v>
                </c:pt>
                <c:pt idx="612">
                  <c:v>42534</c:v>
                </c:pt>
                <c:pt idx="613">
                  <c:v>42535</c:v>
                </c:pt>
                <c:pt idx="614">
                  <c:v>42536</c:v>
                </c:pt>
                <c:pt idx="615">
                  <c:v>42537</c:v>
                </c:pt>
                <c:pt idx="616">
                  <c:v>42538</c:v>
                </c:pt>
                <c:pt idx="617">
                  <c:v>42541</c:v>
                </c:pt>
                <c:pt idx="618">
                  <c:v>42542</c:v>
                </c:pt>
                <c:pt idx="619">
                  <c:v>42543</c:v>
                </c:pt>
                <c:pt idx="620">
                  <c:v>42544</c:v>
                </c:pt>
                <c:pt idx="621">
                  <c:v>42545</c:v>
                </c:pt>
                <c:pt idx="622">
                  <c:v>42548</c:v>
                </c:pt>
                <c:pt idx="623">
                  <c:v>42549</c:v>
                </c:pt>
                <c:pt idx="624">
                  <c:v>42550</c:v>
                </c:pt>
                <c:pt idx="625">
                  <c:v>42551</c:v>
                </c:pt>
                <c:pt idx="626">
                  <c:v>42552</c:v>
                </c:pt>
                <c:pt idx="627">
                  <c:v>42556</c:v>
                </c:pt>
                <c:pt idx="628">
                  <c:v>42557</c:v>
                </c:pt>
                <c:pt idx="629">
                  <c:v>42558</c:v>
                </c:pt>
                <c:pt idx="630">
                  <c:v>42559</c:v>
                </c:pt>
                <c:pt idx="631">
                  <c:v>42562</c:v>
                </c:pt>
                <c:pt idx="632">
                  <c:v>42563</c:v>
                </c:pt>
                <c:pt idx="633">
                  <c:v>42564</c:v>
                </c:pt>
                <c:pt idx="634">
                  <c:v>42565</c:v>
                </c:pt>
                <c:pt idx="635">
                  <c:v>42566</c:v>
                </c:pt>
                <c:pt idx="636">
                  <c:v>42569</c:v>
                </c:pt>
                <c:pt idx="637">
                  <c:v>42570</c:v>
                </c:pt>
                <c:pt idx="638">
                  <c:v>42571</c:v>
                </c:pt>
                <c:pt idx="639">
                  <c:v>42572</c:v>
                </c:pt>
                <c:pt idx="640">
                  <c:v>42573</c:v>
                </c:pt>
                <c:pt idx="641">
                  <c:v>42576</c:v>
                </c:pt>
                <c:pt idx="642">
                  <c:v>42577</c:v>
                </c:pt>
                <c:pt idx="643">
                  <c:v>42578</c:v>
                </c:pt>
                <c:pt idx="644">
                  <c:v>42579</c:v>
                </c:pt>
                <c:pt idx="645">
                  <c:v>42580</c:v>
                </c:pt>
                <c:pt idx="646">
                  <c:v>42583</c:v>
                </c:pt>
                <c:pt idx="647">
                  <c:v>42584</c:v>
                </c:pt>
                <c:pt idx="648">
                  <c:v>42585</c:v>
                </c:pt>
                <c:pt idx="649">
                  <c:v>42586</c:v>
                </c:pt>
                <c:pt idx="650">
                  <c:v>42587</c:v>
                </c:pt>
                <c:pt idx="651">
                  <c:v>42590</c:v>
                </c:pt>
                <c:pt idx="652">
                  <c:v>42591</c:v>
                </c:pt>
                <c:pt idx="653">
                  <c:v>42592</c:v>
                </c:pt>
                <c:pt idx="654">
                  <c:v>42593</c:v>
                </c:pt>
                <c:pt idx="655">
                  <c:v>42594</c:v>
                </c:pt>
                <c:pt idx="656">
                  <c:v>42597</c:v>
                </c:pt>
                <c:pt idx="657">
                  <c:v>42598</c:v>
                </c:pt>
                <c:pt idx="658">
                  <c:v>42599</c:v>
                </c:pt>
                <c:pt idx="659">
                  <c:v>42600</c:v>
                </c:pt>
                <c:pt idx="660">
                  <c:v>42601</c:v>
                </c:pt>
                <c:pt idx="661">
                  <c:v>42604</c:v>
                </c:pt>
                <c:pt idx="662">
                  <c:v>42605</c:v>
                </c:pt>
                <c:pt idx="663">
                  <c:v>42606</c:v>
                </c:pt>
                <c:pt idx="664">
                  <c:v>42607</c:v>
                </c:pt>
                <c:pt idx="665">
                  <c:v>42608</c:v>
                </c:pt>
                <c:pt idx="666">
                  <c:v>42611</c:v>
                </c:pt>
                <c:pt idx="667">
                  <c:v>42612</c:v>
                </c:pt>
                <c:pt idx="668">
                  <c:v>42613</c:v>
                </c:pt>
                <c:pt idx="669">
                  <c:v>42614</c:v>
                </c:pt>
                <c:pt idx="670">
                  <c:v>42615</c:v>
                </c:pt>
                <c:pt idx="671">
                  <c:v>42618</c:v>
                </c:pt>
                <c:pt idx="672">
                  <c:v>42619</c:v>
                </c:pt>
                <c:pt idx="673">
                  <c:v>42620</c:v>
                </c:pt>
                <c:pt idx="674">
                  <c:v>42621</c:v>
                </c:pt>
                <c:pt idx="675">
                  <c:v>42622</c:v>
                </c:pt>
                <c:pt idx="676">
                  <c:v>42625</c:v>
                </c:pt>
                <c:pt idx="677">
                  <c:v>42626</c:v>
                </c:pt>
                <c:pt idx="678">
                  <c:v>42627</c:v>
                </c:pt>
                <c:pt idx="679">
                  <c:v>42628</c:v>
                </c:pt>
                <c:pt idx="680">
                  <c:v>42629</c:v>
                </c:pt>
                <c:pt idx="681">
                  <c:v>42632</c:v>
                </c:pt>
                <c:pt idx="682">
                  <c:v>42633</c:v>
                </c:pt>
                <c:pt idx="683">
                  <c:v>42634</c:v>
                </c:pt>
                <c:pt idx="684">
                  <c:v>42635</c:v>
                </c:pt>
                <c:pt idx="685">
                  <c:v>42636</c:v>
                </c:pt>
                <c:pt idx="686">
                  <c:v>42639</c:v>
                </c:pt>
                <c:pt idx="687">
                  <c:v>42640</c:v>
                </c:pt>
                <c:pt idx="688">
                  <c:v>42641</c:v>
                </c:pt>
                <c:pt idx="689">
                  <c:v>42642</c:v>
                </c:pt>
                <c:pt idx="690">
                  <c:v>42643</c:v>
                </c:pt>
                <c:pt idx="691">
                  <c:v>42646</c:v>
                </c:pt>
                <c:pt idx="692">
                  <c:v>42647</c:v>
                </c:pt>
                <c:pt idx="693">
                  <c:v>42648</c:v>
                </c:pt>
                <c:pt idx="694">
                  <c:v>42649</c:v>
                </c:pt>
                <c:pt idx="695">
                  <c:v>42650</c:v>
                </c:pt>
                <c:pt idx="696">
                  <c:v>42653</c:v>
                </c:pt>
                <c:pt idx="697">
                  <c:v>42654</c:v>
                </c:pt>
                <c:pt idx="698">
                  <c:v>42655</c:v>
                </c:pt>
                <c:pt idx="699">
                  <c:v>42656</c:v>
                </c:pt>
                <c:pt idx="700">
                  <c:v>42657</c:v>
                </c:pt>
                <c:pt idx="701">
                  <c:v>42660</c:v>
                </c:pt>
                <c:pt idx="702">
                  <c:v>42661</c:v>
                </c:pt>
                <c:pt idx="703">
                  <c:v>42662</c:v>
                </c:pt>
                <c:pt idx="704">
                  <c:v>42663</c:v>
                </c:pt>
                <c:pt idx="705">
                  <c:v>42664</c:v>
                </c:pt>
                <c:pt idx="706">
                  <c:v>42667</c:v>
                </c:pt>
                <c:pt idx="707">
                  <c:v>42668</c:v>
                </c:pt>
                <c:pt idx="708">
                  <c:v>42669</c:v>
                </c:pt>
                <c:pt idx="709">
                  <c:v>42670</c:v>
                </c:pt>
                <c:pt idx="710">
                  <c:v>42671</c:v>
                </c:pt>
                <c:pt idx="711">
                  <c:v>42674</c:v>
                </c:pt>
                <c:pt idx="712">
                  <c:v>42675</c:v>
                </c:pt>
                <c:pt idx="713">
                  <c:v>42676</c:v>
                </c:pt>
                <c:pt idx="714">
                  <c:v>42677</c:v>
                </c:pt>
                <c:pt idx="715">
                  <c:v>42678</c:v>
                </c:pt>
                <c:pt idx="716">
                  <c:v>42681</c:v>
                </c:pt>
                <c:pt idx="717">
                  <c:v>42682</c:v>
                </c:pt>
                <c:pt idx="718">
                  <c:v>42683</c:v>
                </c:pt>
                <c:pt idx="719">
                  <c:v>42684</c:v>
                </c:pt>
                <c:pt idx="720">
                  <c:v>42685</c:v>
                </c:pt>
                <c:pt idx="721">
                  <c:v>42688</c:v>
                </c:pt>
                <c:pt idx="722">
                  <c:v>42689</c:v>
                </c:pt>
                <c:pt idx="723">
                  <c:v>42690</c:v>
                </c:pt>
                <c:pt idx="724">
                  <c:v>42691</c:v>
                </c:pt>
                <c:pt idx="725">
                  <c:v>42692</c:v>
                </c:pt>
                <c:pt idx="726">
                  <c:v>42695</c:v>
                </c:pt>
                <c:pt idx="727">
                  <c:v>42696</c:v>
                </c:pt>
                <c:pt idx="728">
                  <c:v>42697</c:v>
                </c:pt>
                <c:pt idx="729">
                  <c:v>42698</c:v>
                </c:pt>
                <c:pt idx="730">
                  <c:v>42699</c:v>
                </c:pt>
                <c:pt idx="731">
                  <c:v>42702</c:v>
                </c:pt>
                <c:pt idx="732">
                  <c:v>42703</c:v>
                </c:pt>
                <c:pt idx="733">
                  <c:v>42704</c:v>
                </c:pt>
                <c:pt idx="734">
                  <c:v>42705</c:v>
                </c:pt>
                <c:pt idx="735">
                  <c:v>42706</c:v>
                </c:pt>
                <c:pt idx="736">
                  <c:v>42709</c:v>
                </c:pt>
                <c:pt idx="737">
                  <c:v>42710</c:v>
                </c:pt>
                <c:pt idx="738">
                  <c:v>42711</c:v>
                </c:pt>
                <c:pt idx="739">
                  <c:v>42712</c:v>
                </c:pt>
                <c:pt idx="740">
                  <c:v>42713</c:v>
                </c:pt>
                <c:pt idx="741">
                  <c:v>42716</c:v>
                </c:pt>
                <c:pt idx="742">
                  <c:v>42717</c:v>
                </c:pt>
                <c:pt idx="743">
                  <c:v>42718</c:v>
                </c:pt>
                <c:pt idx="744">
                  <c:v>42719</c:v>
                </c:pt>
                <c:pt idx="745">
                  <c:v>42720</c:v>
                </c:pt>
                <c:pt idx="746">
                  <c:v>42723</c:v>
                </c:pt>
                <c:pt idx="747">
                  <c:v>42724</c:v>
                </c:pt>
                <c:pt idx="748">
                  <c:v>42725</c:v>
                </c:pt>
                <c:pt idx="749">
                  <c:v>42726</c:v>
                </c:pt>
                <c:pt idx="750">
                  <c:v>42727</c:v>
                </c:pt>
                <c:pt idx="751">
                  <c:v>42730</c:v>
                </c:pt>
                <c:pt idx="752">
                  <c:v>42731</c:v>
                </c:pt>
                <c:pt idx="753">
                  <c:v>42732</c:v>
                </c:pt>
                <c:pt idx="754">
                  <c:v>42733</c:v>
                </c:pt>
                <c:pt idx="755">
                  <c:v>42734</c:v>
                </c:pt>
                <c:pt idx="756">
                  <c:v>42737</c:v>
                </c:pt>
                <c:pt idx="757">
                  <c:v>42738</c:v>
                </c:pt>
                <c:pt idx="758">
                  <c:v>42739</c:v>
                </c:pt>
                <c:pt idx="759">
                  <c:v>42740</c:v>
                </c:pt>
                <c:pt idx="760">
                  <c:v>42741</c:v>
                </c:pt>
                <c:pt idx="761">
                  <c:v>42744</c:v>
                </c:pt>
                <c:pt idx="762">
                  <c:v>42745</c:v>
                </c:pt>
                <c:pt idx="763">
                  <c:v>42746</c:v>
                </c:pt>
                <c:pt idx="764">
                  <c:v>42747</c:v>
                </c:pt>
                <c:pt idx="765">
                  <c:v>42748</c:v>
                </c:pt>
                <c:pt idx="766">
                  <c:v>42751</c:v>
                </c:pt>
                <c:pt idx="767">
                  <c:v>42752</c:v>
                </c:pt>
                <c:pt idx="768">
                  <c:v>42753</c:v>
                </c:pt>
                <c:pt idx="769">
                  <c:v>42754</c:v>
                </c:pt>
                <c:pt idx="770">
                  <c:v>42755</c:v>
                </c:pt>
                <c:pt idx="771">
                  <c:v>42758</c:v>
                </c:pt>
                <c:pt idx="772">
                  <c:v>42759</c:v>
                </c:pt>
                <c:pt idx="773">
                  <c:v>42760</c:v>
                </c:pt>
                <c:pt idx="774">
                  <c:v>42761</c:v>
                </c:pt>
                <c:pt idx="775">
                  <c:v>42762</c:v>
                </c:pt>
                <c:pt idx="776">
                  <c:v>42765</c:v>
                </c:pt>
                <c:pt idx="777">
                  <c:v>42766</c:v>
                </c:pt>
                <c:pt idx="778">
                  <c:v>42767</c:v>
                </c:pt>
                <c:pt idx="779">
                  <c:v>42768</c:v>
                </c:pt>
                <c:pt idx="780">
                  <c:v>42769</c:v>
                </c:pt>
                <c:pt idx="781">
                  <c:v>42772</c:v>
                </c:pt>
                <c:pt idx="782">
                  <c:v>42773</c:v>
                </c:pt>
                <c:pt idx="783">
                  <c:v>42774</c:v>
                </c:pt>
                <c:pt idx="784">
                  <c:v>42775</c:v>
                </c:pt>
                <c:pt idx="785">
                  <c:v>42776</c:v>
                </c:pt>
                <c:pt idx="786">
                  <c:v>42779</c:v>
                </c:pt>
                <c:pt idx="787">
                  <c:v>42780</c:v>
                </c:pt>
                <c:pt idx="788">
                  <c:v>42781</c:v>
                </c:pt>
                <c:pt idx="789">
                  <c:v>42782</c:v>
                </c:pt>
                <c:pt idx="790">
                  <c:v>42783</c:v>
                </c:pt>
                <c:pt idx="791">
                  <c:v>42786</c:v>
                </c:pt>
                <c:pt idx="792">
                  <c:v>42787</c:v>
                </c:pt>
                <c:pt idx="793">
                  <c:v>42788</c:v>
                </c:pt>
                <c:pt idx="794">
                  <c:v>42789</c:v>
                </c:pt>
                <c:pt idx="795">
                  <c:v>42790</c:v>
                </c:pt>
                <c:pt idx="796">
                  <c:v>42793</c:v>
                </c:pt>
                <c:pt idx="797">
                  <c:v>42794</c:v>
                </c:pt>
                <c:pt idx="798">
                  <c:v>42795</c:v>
                </c:pt>
                <c:pt idx="799">
                  <c:v>42796</c:v>
                </c:pt>
                <c:pt idx="800">
                  <c:v>42797</c:v>
                </c:pt>
                <c:pt idx="801">
                  <c:v>42800</c:v>
                </c:pt>
                <c:pt idx="802">
                  <c:v>42801</c:v>
                </c:pt>
                <c:pt idx="803">
                  <c:v>42802</c:v>
                </c:pt>
                <c:pt idx="804">
                  <c:v>42803</c:v>
                </c:pt>
                <c:pt idx="805">
                  <c:v>42804</c:v>
                </c:pt>
                <c:pt idx="806">
                  <c:v>42807</c:v>
                </c:pt>
                <c:pt idx="807">
                  <c:v>42808</c:v>
                </c:pt>
                <c:pt idx="808">
                  <c:v>42809</c:v>
                </c:pt>
                <c:pt idx="809">
                  <c:v>42810</c:v>
                </c:pt>
                <c:pt idx="810">
                  <c:v>42811</c:v>
                </c:pt>
                <c:pt idx="811">
                  <c:v>42814</c:v>
                </c:pt>
                <c:pt idx="812">
                  <c:v>42815</c:v>
                </c:pt>
                <c:pt idx="813">
                  <c:v>42816</c:v>
                </c:pt>
                <c:pt idx="814">
                  <c:v>42817</c:v>
                </c:pt>
                <c:pt idx="815">
                  <c:v>42818</c:v>
                </c:pt>
                <c:pt idx="816">
                  <c:v>42821</c:v>
                </c:pt>
                <c:pt idx="817">
                  <c:v>42822</c:v>
                </c:pt>
                <c:pt idx="818">
                  <c:v>42823</c:v>
                </c:pt>
                <c:pt idx="819">
                  <c:v>42824</c:v>
                </c:pt>
                <c:pt idx="820">
                  <c:v>42825</c:v>
                </c:pt>
                <c:pt idx="821">
                  <c:v>42828</c:v>
                </c:pt>
                <c:pt idx="822">
                  <c:v>42829</c:v>
                </c:pt>
                <c:pt idx="823">
                  <c:v>42830</c:v>
                </c:pt>
                <c:pt idx="824">
                  <c:v>42831</c:v>
                </c:pt>
                <c:pt idx="825">
                  <c:v>42832</c:v>
                </c:pt>
                <c:pt idx="826">
                  <c:v>42835</c:v>
                </c:pt>
                <c:pt idx="827">
                  <c:v>42836</c:v>
                </c:pt>
                <c:pt idx="828">
                  <c:v>42837</c:v>
                </c:pt>
                <c:pt idx="829">
                  <c:v>42838</c:v>
                </c:pt>
                <c:pt idx="830">
                  <c:v>42839</c:v>
                </c:pt>
                <c:pt idx="831">
                  <c:v>42842</c:v>
                </c:pt>
                <c:pt idx="832">
                  <c:v>42843</c:v>
                </c:pt>
                <c:pt idx="833">
                  <c:v>42844</c:v>
                </c:pt>
                <c:pt idx="834">
                  <c:v>42845</c:v>
                </c:pt>
                <c:pt idx="835">
                  <c:v>42846</c:v>
                </c:pt>
                <c:pt idx="836">
                  <c:v>42849</c:v>
                </c:pt>
                <c:pt idx="837">
                  <c:v>42850</c:v>
                </c:pt>
                <c:pt idx="838">
                  <c:v>42851</c:v>
                </c:pt>
                <c:pt idx="839">
                  <c:v>42852</c:v>
                </c:pt>
                <c:pt idx="840">
                  <c:v>42853</c:v>
                </c:pt>
                <c:pt idx="841">
                  <c:v>42856</c:v>
                </c:pt>
                <c:pt idx="842">
                  <c:v>42857</c:v>
                </c:pt>
                <c:pt idx="843">
                  <c:v>42858</c:v>
                </c:pt>
                <c:pt idx="844">
                  <c:v>42859</c:v>
                </c:pt>
                <c:pt idx="845">
                  <c:v>42860</c:v>
                </c:pt>
                <c:pt idx="846">
                  <c:v>42863</c:v>
                </c:pt>
                <c:pt idx="847">
                  <c:v>42864</c:v>
                </c:pt>
                <c:pt idx="848">
                  <c:v>42865</c:v>
                </c:pt>
                <c:pt idx="849">
                  <c:v>42866</c:v>
                </c:pt>
                <c:pt idx="850">
                  <c:v>42867</c:v>
                </c:pt>
                <c:pt idx="851">
                  <c:v>42870</c:v>
                </c:pt>
                <c:pt idx="852">
                  <c:v>42871</c:v>
                </c:pt>
                <c:pt idx="853">
                  <c:v>42872</c:v>
                </c:pt>
                <c:pt idx="854">
                  <c:v>42873</c:v>
                </c:pt>
                <c:pt idx="855">
                  <c:v>42874</c:v>
                </c:pt>
                <c:pt idx="856">
                  <c:v>42877</c:v>
                </c:pt>
                <c:pt idx="857">
                  <c:v>42878</c:v>
                </c:pt>
                <c:pt idx="858">
                  <c:v>42879</c:v>
                </c:pt>
                <c:pt idx="859">
                  <c:v>42880</c:v>
                </c:pt>
                <c:pt idx="860">
                  <c:v>42881</c:v>
                </c:pt>
                <c:pt idx="861">
                  <c:v>42884</c:v>
                </c:pt>
                <c:pt idx="862">
                  <c:v>42885</c:v>
                </c:pt>
                <c:pt idx="863">
                  <c:v>42886</c:v>
                </c:pt>
                <c:pt idx="864">
                  <c:v>42887</c:v>
                </c:pt>
                <c:pt idx="865">
                  <c:v>42888</c:v>
                </c:pt>
                <c:pt idx="866">
                  <c:v>42891</c:v>
                </c:pt>
                <c:pt idx="867">
                  <c:v>42892</c:v>
                </c:pt>
                <c:pt idx="868">
                  <c:v>42893</c:v>
                </c:pt>
                <c:pt idx="869">
                  <c:v>42894</c:v>
                </c:pt>
                <c:pt idx="870">
                  <c:v>42895</c:v>
                </c:pt>
                <c:pt idx="871">
                  <c:v>42898</c:v>
                </c:pt>
                <c:pt idx="872">
                  <c:v>42899</c:v>
                </c:pt>
                <c:pt idx="873">
                  <c:v>42900</c:v>
                </c:pt>
                <c:pt idx="874">
                  <c:v>42901</c:v>
                </c:pt>
                <c:pt idx="875">
                  <c:v>42902</c:v>
                </c:pt>
                <c:pt idx="876">
                  <c:v>42905</c:v>
                </c:pt>
                <c:pt idx="877">
                  <c:v>42906</c:v>
                </c:pt>
                <c:pt idx="878">
                  <c:v>42907</c:v>
                </c:pt>
                <c:pt idx="879">
                  <c:v>42908</c:v>
                </c:pt>
                <c:pt idx="880">
                  <c:v>42909</c:v>
                </c:pt>
                <c:pt idx="881">
                  <c:v>42912</c:v>
                </c:pt>
                <c:pt idx="882">
                  <c:v>42913</c:v>
                </c:pt>
                <c:pt idx="883">
                  <c:v>42914</c:v>
                </c:pt>
                <c:pt idx="884">
                  <c:v>42915</c:v>
                </c:pt>
                <c:pt idx="885">
                  <c:v>42916</c:v>
                </c:pt>
                <c:pt idx="886">
                  <c:v>42918</c:v>
                </c:pt>
                <c:pt idx="887">
                  <c:v>42919</c:v>
                </c:pt>
                <c:pt idx="888">
                  <c:v>42920</c:v>
                </c:pt>
                <c:pt idx="889">
                  <c:v>42921</c:v>
                </c:pt>
                <c:pt idx="890">
                  <c:v>42922</c:v>
                </c:pt>
                <c:pt idx="891">
                  <c:v>42923</c:v>
                </c:pt>
                <c:pt idx="892">
                  <c:v>42925</c:v>
                </c:pt>
                <c:pt idx="893">
                  <c:v>42926</c:v>
                </c:pt>
                <c:pt idx="894">
                  <c:v>42927</c:v>
                </c:pt>
                <c:pt idx="895">
                  <c:v>42928</c:v>
                </c:pt>
                <c:pt idx="896">
                  <c:v>42929</c:v>
                </c:pt>
                <c:pt idx="897">
                  <c:v>42930</c:v>
                </c:pt>
                <c:pt idx="898">
                  <c:v>42933</c:v>
                </c:pt>
                <c:pt idx="899">
                  <c:v>42934</c:v>
                </c:pt>
                <c:pt idx="900">
                  <c:v>42935</c:v>
                </c:pt>
                <c:pt idx="901">
                  <c:v>42936</c:v>
                </c:pt>
                <c:pt idx="902">
                  <c:v>42937</c:v>
                </c:pt>
                <c:pt idx="903">
                  <c:v>42940</c:v>
                </c:pt>
                <c:pt idx="904">
                  <c:v>42941</c:v>
                </c:pt>
                <c:pt idx="905">
                  <c:v>42942</c:v>
                </c:pt>
                <c:pt idx="906">
                  <c:v>42943</c:v>
                </c:pt>
                <c:pt idx="907">
                  <c:v>42944</c:v>
                </c:pt>
                <c:pt idx="908">
                  <c:v>42947</c:v>
                </c:pt>
                <c:pt idx="909">
                  <c:v>42948</c:v>
                </c:pt>
                <c:pt idx="910">
                  <c:v>42949</c:v>
                </c:pt>
                <c:pt idx="911">
                  <c:v>42950</c:v>
                </c:pt>
                <c:pt idx="912">
                  <c:v>42951</c:v>
                </c:pt>
                <c:pt idx="913">
                  <c:v>42954</c:v>
                </c:pt>
                <c:pt idx="914">
                  <c:v>42955</c:v>
                </c:pt>
                <c:pt idx="915">
                  <c:v>42956</c:v>
                </c:pt>
                <c:pt idx="916">
                  <c:v>42957</c:v>
                </c:pt>
                <c:pt idx="917">
                  <c:v>42958</c:v>
                </c:pt>
                <c:pt idx="918">
                  <c:v>42961</c:v>
                </c:pt>
                <c:pt idx="919">
                  <c:v>42962</c:v>
                </c:pt>
                <c:pt idx="920">
                  <c:v>42963</c:v>
                </c:pt>
                <c:pt idx="921">
                  <c:v>42964</c:v>
                </c:pt>
                <c:pt idx="922">
                  <c:v>42965</c:v>
                </c:pt>
                <c:pt idx="923">
                  <c:v>42968</c:v>
                </c:pt>
                <c:pt idx="924">
                  <c:v>42969</c:v>
                </c:pt>
                <c:pt idx="925">
                  <c:v>42970</c:v>
                </c:pt>
                <c:pt idx="926">
                  <c:v>42971</c:v>
                </c:pt>
                <c:pt idx="927">
                  <c:v>42972</c:v>
                </c:pt>
                <c:pt idx="928">
                  <c:v>42975</c:v>
                </c:pt>
                <c:pt idx="929">
                  <c:v>42976</c:v>
                </c:pt>
                <c:pt idx="930">
                  <c:v>42977</c:v>
                </c:pt>
                <c:pt idx="931">
                  <c:v>42978</c:v>
                </c:pt>
                <c:pt idx="932">
                  <c:v>42979</c:v>
                </c:pt>
                <c:pt idx="933">
                  <c:v>42982</c:v>
                </c:pt>
                <c:pt idx="934">
                  <c:v>42983</c:v>
                </c:pt>
                <c:pt idx="935">
                  <c:v>42984</c:v>
                </c:pt>
                <c:pt idx="936">
                  <c:v>42985</c:v>
                </c:pt>
                <c:pt idx="937">
                  <c:v>42986</c:v>
                </c:pt>
                <c:pt idx="938">
                  <c:v>42989</c:v>
                </c:pt>
                <c:pt idx="939">
                  <c:v>42990</c:v>
                </c:pt>
                <c:pt idx="940">
                  <c:v>42991</c:v>
                </c:pt>
                <c:pt idx="941">
                  <c:v>42992</c:v>
                </c:pt>
                <c:pt idx="942">
                  <c:v>42993</c:v>
                </c:pt>
                <c:pt idx="943">
                  <c:v>42996</c:v>
                </c:pt>
                <c:pt idx="944">
                  <c:v>42997</c:v>
                </c:pt>
                <c:pt idx="945">
                  <c:v>42998</c:v>
                </c:pt>
                <c:pt idx="946">
                  <c:v>42999</c:v>
                </c:pt>
                <c:pt idx="947">
                  <c:v>43000</c:v>
                </c:pt>
                <c:pt idx="948">
                  <c:v>43003</c:v>
                </c:pt>
                <c:pt idx="949">
                  <c:v>43004</c:v>
                </c:pt>
                <c:pt idx="950">
                  <c:v>43005</c:v>
                </c:pt>
                <c:pt idx="951">
                  <c:v>43006</c:v>
                </c:pt>
                <c:pt idx="952">
                  <c:v>43007</c:v>
                </c:pt>
                <c:pt idx="953">
                  <c:v>43010</c:v>
                </c:pt>
                <c:pt idx="954">
                  <c:v>43011</c:v>
                </c:pt>
                <c:pt idx="955">
                  <c:v>43012</c:v>
                </c:pt>
                <c:pt idx="956">
                  <c:v>43013</c:v>
                </c:pt>
                <c:pt idx="957">
                  <c:v>43014</c:v>
                </c:pt>
                <c:pt idx="958">
                  <c:v>43017</c:v>
                </c:pt>
                <c:pt idx="959">
                  <c:v>43018</c:v>
                </c:pt>
                <c:pt idx="960">
                  <c:v>43019</c:v>
                </c:pt>
                <c:pt idx="961">
                  <c:v>43020</c:v>
                </c:pt>
                <c:pt idx="962">
                  <c:v>43021</c:v>
                </c:pt>
                <c:pt idx="963">
                  <c:v>43024</c:v>
                </c:pt>
                <c:pt idx="964">
                  <c:v>43025</c:v>
                </c:pt>
                <c:pt idx="965">
                  <c:v>43026</c:v>
                </c:pt>
                <c:pt idx="966">
                  <c:v>43027</c:v>
                </c:pt>
                <c:pt idx="967">
                  <c:v>43028</c:v>
                </c:pt>
                <c:pt idx="968">
                  <c:v>43031</c:v>
                </c:pt>
                <c:pt idx="969">
                  <c:v>43032</c:v>
                </c:pt>
                <c:pt idx="970">
                  <c:v>43033</c:v>
                </c:pt>
                <c:pt idx="971">
                  <c:v>43034</c:v>
                </c:pt>
                <c:pt idx="972">
                  <c:v>43035</c:v>
                </c:pt>
                <c:pt idx="973">
                  <c:v>43038</c:v>
                </c:pt>
                <c:pt idx="974">
                  <c:v>43039</c:v>
                </c:pt>
                <c:pt idx="975">
                  <c:v>43040</c:v>
                </c:pt>
                <c:pt idx="976">
                  <c:v>43041</c:v>
                </c:pt>
                <c:pt idx="977">
                  <c:v>43042</c:v>
                </c:pt>
                <c:pt idx="978">
                  <c:v>43045</c:v>
                </c:pt>
                <c:pt idx="979">
                  <c:v>43046</c:v>
                </c:pt>
                <c:pt idx="980">
                  <c:v>43047</c:v>
                </c:pt>
                <c:pt idx="981">
                  <c:v>43048</c:v>
                </c:pt>
                <c:pt idx="982">
                  <c:v>43049</c:v>
                </c:pt>
                <c:pt idx="983">
                  <c:v>43052</c:v>
                </c:pt>
                <c:pt idx="984">
                  <c:v>43053</c:v>
                </c:pt>
                <c:pt idx="985">
                  <c:v>43054</c:v>
                </c:pt>
                <c:pt idx="986">
                  <c:v>43055</c:v>
                </c:pt>
                <c:pt idx="987">
                  <c:v>43056</c:v>
                </c:pt>
                <c:pt idx="988">
                  <c:v>43059</c:v>
                </c:pt>
                <c:pt idx="989">
                  <c:v>43060</c:v>
                </c:pt>
                <c:pt idx="990">
                  <c:v>43061</c:v>
                </c:pt>
                <c:pt idx="991">
                  <c:v>43063</c:v>
                </c:pt>
                <c:pt idx="992">
                  <c:v>43066</c:v>
                </c:pt>
                <c:pt idx="993">
                  <c:v>43067</c:v>
                </c:pt>
                <c:pt idx="994">
                  <c:v>43068</c:v>
                </c:pt>
                <c:pt idx="995">
                  <c:v>43069</c:v>
                </c:pt>
                <c:pt idx="996">
                  <c:v>43070</c:v>
                </c:pt>
                <c:pt idx="997">
                  <c:v>43073</c:v>
                </c:pt>
                <c:pt idx="998">
                  <c:v>43074</c:v>
                </c:pt>
                <c:pt idx="999">
                  <c:v>43075</c:v>
                </c:pt>
                <c:pt idx="1000">
                  <c:v>43076</c:v>
                </c:pt>
                <c:pt idx="1001">
                  <c:v>43077</c:v>
                </c:pt>
                <c:pt idx="1002">
                  <c:v>43080</c:v>
                </c:pt>
                <c:pt idx="1003">
                  <c:v>43081</c:v>
                </c:pt>
                <c:pt idx="1004">
                  <c:v>43082</c:v>
                </c:pt>
                <c:pt idx="1005">
                  <c:v>43083</c:v>
                </c:pt>
                <c:pt idx="1006">
                  <c:v>43084</c:v>
                </c:pt>
                <c:pt idx="1007">
                  <c:v>43087</c:v>
                </c:pt>
                <c:pt idx="1008">
                  <c:v>43088</c:v>
                </c:pt>
                <c:pt idx="1009">
                  <c:v>43089</c:v>
                </c:pt>
                <c:pt idx="1010">
                  <c:v>43090</c:v>
                </c:pt>
                <c:pt idx="1011">
                  <c:v>43091</c:v>
                </c:pt>
                <c:pt idx="1012">
                  <c:v>43093</c:v>
                </c:pt>
                <c:pt idx="1013">
                  <c:v>43095</c:v>
                </c:pt>
                <c:pt idx="1014">
                  <c:v>43096</c:v>
                </c:pt>
                <c:pt idx="1015">
                  <c:v>43097</c:v>
                </c:pt>
                <c:pt idx="1016">
                  <c:v>43098</c:v>
                </c:pt>
                <c:pt idx="1017">
                  <c:v>43100</c:v>
                </c:pt>
                <c:pt idx="1018">
                  <c:v>43102</c:v>
                </c:pt>
                <c:pt idx="1019">
                  <c:v>43103</c:v>
                </c:pt>
                <c:pt idx="1020">
                  <c:v>43104</c:v>
                </c:pt>
                <c:pt idx="1021">
                  <c:v>43105</c:v>
                </c:pt>
                <c:pt idx="1022">
                  <c:v>43108</c:v>
                </c:pt>
                <c:pt idx="1023">
                  <c:v>43109</c:v>
                </c:pt>
                <c:pt idx="1024">
                  <c:v>43110</c:v>
                </c:pt>
                <c:pt idx="1025">
                  <c:v>43111</c:v>
                </c:pt>
                <c:pt idx="1026">
                  <c:v>43112</c:v>
                </c:pt>
                <c:pt idx="1027">
                  <c:v>43114</c:v>
                </c:pt>
                <c:pt idx="1028">
                  <c:v>43116</c:v>
                </c:pt>
                <c:pt idx="1029">
                  <c:v>43117</c:v>
                </c:pt>
                <c:pt idx="1030">
                  <c:v>43118</c:v>
                </c:pt>
                <c:pt idx="1031">
                  <c:v>43119</c:v>
                </c:pt>
                <c:pt idx="1032">
                  <c:v>43122</c:v>
                </c:pt>
                <c:pt idx="1033">
                  <c:v>43123</c:v>
                </c:pt>
                <c:pt idx="1034">
                  <c:v>43124</c:v>
                </c:pt>
                <c:pt idx="1035">
                  <c:v>43125</c:v>
                </c:pt>
                <c:pt idx="1036">
                  <c:v>43126</c:v>
                </c:pt>
                <c:pt idx="1037">
                  <c:v>43129</c:v>
                </c:pt>
                <c:pt idx="1038">
                  <c:v>43130</c:v>
                </c:pt>
                <c:pt idx="1039">
                  <c:v>43131</c:v>
                </c:pt>
                <c:pt idx="1040">
                  <c:v>43132</c:v>
                </c:pt>
                <c:pt idx="1041">
                  <c:v>43133</c:v>
                </c:pt>
                <c:pt idx="1042">
                  <c:v>43136</c:v>
                </c:pt>
                <c:pt idx="1043">
                  <c:v>43137</c:v>
                </c:pt>
                <c:pt idx="1044">
                  <c:v>43138</c:v>
                </c:pt>
                <c:pt idx="1045">
                  <c:v>43139</c:v>
                </c:pt>
                <c:pt idx="1046">
                  <c:v>43140</c:v>
                </c:pt>
                <c:pt idx="1047">
                  <c:v>43143</c:v>
                </c:pt>
                <c:pt idx="1048">
                  <c:v>43144</c:v>
                </c:pt>
                <c:pt idx="1049">
                  <c:v>43145</c:v>
                </c:pt>
                <c:pt idx="1050">
                  <c:v>43146</c:v>
                </c:pt>
                <c:pt idx="1051">
                  <c:v>43147</c:v>
                </c:pt>
                <c:pt idx="1052">
                  <c:v>43149</c:v>
                </c:pt>
                <c:pt idx="1053">
                  <c:v>43151</c:v>
                </c:pt>
                <c:pt idx="1054">
                  <c:v>43152</c:v>
                </c:pt>
                <c:pt idx="1055">
                  <c:v>43153</c:v>
                </c:pt>
                <c:pt idx="1056">
                  <c:v>43154</c:v>
                </c:pt>
                <c:pt idx="1057">
                  <c:v>43157</c:v>
                </c:pt>
                <c:pt idx="1058">
                  <c:v>43158</c:v>
                </c:pt>
                <c:pt idx="1059">
                  <c:v>43159</c:v>
                </c:pt>
                <c:pt idx="1060">
                  <c:v>43160</c:v>
                </c:pt>
                <c:pt idx="1061">
                  <c:v>43161</c:v>
                </c:pt>
                <c:pt idx="1062">
                  <c:v>43164</c:v>
                </c:pt>
                <c:pt idx="1063">
                  <c:v>43165</c:v>
                </c:pt>
                <c:pt idx="1064">
                  <c:v>43166</c:v>
                </c:pt>
                <c:pt idx="1065">
                  <c:v>43167</c:v>
                </c:pt>
                <c:pt idx="1066">
                  <c:v>43168</c:v>
                </c:pt>
                <c:pt idx="1067">
                  <c:v>43171</c:v>
                </c:pt>
                <c:pt idx="1068">
                  <c:v>43172</c:v>
                </c:pt>
                <c:pt idx="1069">
                  <c:v>43173</c:v>
                </c:pt>
                <c:pt idx="1070">
                  <c:v>43174</c:v>
                </c:pt>
                <c:pt idx="1071">
                  <c:v>43175</c:v>
                </c:pt>
                <c:pt idx="1072">
                  <c:v>43178</c:v>
                </c:pt>
                <c:pt idx="1073">
                  <c:v>43179</c:v>
                </c:pt>
                <c:pt idx="1074">
                  <c:v>43180</c:v>
                </c:pt>
                <c:pt idx="1075">
                  <c:v>43181</c:v>
                </c:pt>
                <c:pt idx="1076">
                  <c:v>43182</c:v>
                </c:pt>
                <c:pt idx="1077">
                  <c:v>43185</c:v>
                </c:pt>
                <c:pt idx="1078">
                  <c:v>43186</c:v>
                </c:pt>
                <c:pt idx="1079">
                  <c:v>43187</c:v>
                </c:pt>
                <c:pt idx="1080">
                  <c:v>43188</c:v>
                </c:pt>
                <c:pt idx="1081">
                  <c:v>43192</c:v>
                </c:pt>
                <c:pt idx="1082">
                  <c:v>43193</c:v>
                </c:pt>
                <c:pt idx="1083">
                  <c:v>43194</c:v>
                </c:pt>
                <c:pt idx="1084">
                  <c:v>43195</c:v>
                </c:pt>
                <c:pt idx="1085">
                  <c:v>43196</c:v>
                </c:pt>
                <c:pt idx="1086">
                  <c:v>43199</c:v>
                </c:pt>
                <c:pt idx="1087">
                  <c:v>43200</c:v>
                </c:pt>
                <c:pt idx="1088">
                  <c:v>43201</c:v>
                </c:pt>
                <c:pt idx="1089">
                  <c:v>43202</c:v>
                </c:pt>
                <c:pt idx="1090">
                  <c:v>43203</c:v>
                </c:pt>
                <c:pt idx="1091">
                  <c:v>43206</c:v>
                </c:pt>
                <c:pt idx="1092">
                  <c:v>43207</c:v>
                </c:pt>
                <c:pt idx="1093">
                  <c:v>43208</c:v>
                </c:pt>
                <c:pt idx="1094">
                  <c:v>43209</c:v>
                </c:pt>
                <c:pt idx="1095">
                  <c:v>43210</c:v>
                </c:pt>
                <c:pt idx="1096">
                  <c:v>43213</c:v>
                </c:pt>
                <c:pt idx="1097">
                  <c:v>43214</c:v>
                </c:pt>
                <c:pt idx="1098">
                  <c:v>43215</c:v>
                </c:pt>
                <c:pt idx="1099">
                  <c:v>43216</c:v>
                </c:pt>
                <c:pt idx="1100">
                  <c:v>43217</c:v>
                </c:pt>
                <c:pt idx="1101">
                  <c:v>43220</c:v>
                </c:pt>
                <c:pt idx="1102">
                  <c:v>43221</c:v>
                </c:pt>
                <c:pt idx="1103">
                  <c:v>43222</c:v>
                </c:pt>
                <c:pt idx="1104">
                  <c:v>43223</c:v>
                </c:pt>
                <c:pt idx="1105">
                  <c:v>43224</c:v>
                </c:pt>
                <c:pt idx="1106">
                  <c:v>43227</c:v>
                </c:pt>
                <c:pt idx="1107">
                  <c:v>43228</c:v>
                </c:pt>
                <c:pt idx="1108">
                  <c:v>43229</c:v>
                </c:pt>
                <c:pt idx="1109">
                  <c:v>43230</c:v>
                </c:pt>
                <c:pt idx="1110">
                  <c:v>43231</c:v>
                </c:pt>
                <c:pt idx="1111">
                  <c:v>43234</c:v>
                </c:pt>
                <c:pt idx="1112">
                  <c:v>43235</c:v>
                </c:pt>
                <c:pt idx="1113">
                  <c:v>43236</c:v>
                </c:pt>
                <c:pt idx="1114">
                  <c:v>43237</c:v>
                </c:pt>
                <c:pt idx="1115">
                  <c:v>43238</c:v>
                </c:pt>
                <c:pt idx="1116">
                  <c:v>43241</c:v>
                </c:pt>
                <c:pt idx="1117">
                  <c:v>43242</c:v>
                </c:pt>
                <c:pt idx="1118">
                  <c:v>43243</c:v>
                </c:pt>
                <c:pt idx="1119">
                  <c:v>43244</c:v>
                </c:pt>
                <c:pt idx="1120">
                  <c:v>43245</c:v>
                </c:pt>
                <c:pt idx="1121">
                  <c:v>43249</c:v>
                </c:pt>
                <c:pt idx="1122">
                  <c:v>43250</c:v>
                </c:pt>
                <c:pt idx="1123">
                  <c:v>43251</c:v>
                </c:pt>
                <c:pt idx="1124">
                  <c:v>43252</c:v>
                </c:pt>
                <c:pt idx="1125">
                  <c:v>43255</c:v>
                </c:pt>
                <c:pt idx="1126">
                  <c:v>43256</c:v>
                </c:pt>
                <c:pt idx="1127">
                  <c:v>43257</c:v>
                </c:pt>
                <c:pt idx="1128">
                  <c:v>43258</c:v>
                </c:pt>
                <c:pt idx="1129">
                  <c:v>43259</c:v>
                </c:pt>
                <c:pt idx="1130">
                  <c:v>43262</c:v>
                </c:pt>
                <c:pt idx="1131">
                  <c:v>43263</c:v>
                </c:pt>
                <c:pt idx="1132">
                  <c:v>43264</c:v>
                </c:pt>
                <c:pt idx="1133">
                  <c:v>43265</c:v>
                </c:pt>
                <c:pt idx="1134">
                  <c:v>43266</c:v>
                </c:pt>
                <c:pt idx="1135">
                  <c:v>43269</c:v>
                </c:pt>
                <c:pt idx="1136">
                  <c:v>43270</c:v>
                </c:pt>
                <c:pt idx="1137">
                  <c:v>43271</c:v>
                </c:pt>
                <c:pt idx="1138">
                  <c:v>43272</c:v>
                </c:pt>
                <c:pt idx="1139">
                  <c:v>43273</c:v>
                </c:pt>
                <c:pt idx="1140">
                  <c:v>43276</c:v>
                </c:pt>
                <c:pt idx="1141">
                  <c:v>43277</c:v>
                </c:pt>
                <c:pt idx="1142">
                  <c:v>43278</c:v>
                </c:pt>
                <c:pt idx="1143">
                  <c:v>43279</c:v>
                </c:pt>
                <c:pt idx="1144">
                  <c:v>43280</c:v>
                </c:pt>
                <c:pt idx="1145">
                  <c:v>43283</c:v>
                </c:pt>
                <c:pt idx="1146">
                  <c:v>43284</c:v>
                </c:pt>
                <c:pt idx="1147">
                  <c:v>43286</c:v>
                </c:pt>
                <c:pt idx="1148">
                  <c:v>43287</c:v>
                </c:pt>
                <c:pt idx="1149">
                  <c:v>43290</c:v>
                </c:pt>
                <c:pt idx="1150">
                  <c:v>43291</c:v>
                </c:pt>
                <c:pt idx="1151">
                  <c:v>43292</c:v>
                </c:pt>
                <c:pt idx="1152">
                  <c:v>43293</c:v>
                </c:pt>
                <c:pt idx="1153">
                  <c:v>43294</c:v>
                </c:pt>
                <c:pt idx="1154">
                  <c:v>43297</c:v>
                </c:pt>
                <c:pt idx="1155">
                  <c:v>43298</c:v>
                </c:pt>
                <c:pt idx="1156">
                  <c:v>43299</c:v>
                </c:pt>
                <c:pt idx="1157">
                  <c:v>43300</c:v>
                </c:pt>
                <c:pt idx="1158">
                  <c:v>43301</c:v>
                </c:pt>
                <c:pt idx="1159">
                  <c:v>43304</c:v>
                </c:pt>
                <c:pt idx="1160">
                  <c:v>43305</c:v>
                </c:pt>
                <c:pt idx="1161">
                  <c:v>43306</c:v>
                </c:pt>
                <c:pt idx="1162">
                  <c:v>43307</c:v>
                </c:pt>
                <c:pt idx="1163">
                  <c:v>43308</c:v>
                </c:pt>
                <c:pt idx="1164">
                  <c:v>43311</c:v>
                </c:pt>
                <c:pt idx="1165">
                  <c:v>43312</c:v>
                </c:pt>
                <c:pt idx="1166">
                  <c:v>43313</c:v>
                </c:pt>
                <c:pt idx="1167">
                  <c:v>43314</c:v>
                </c:pt>
                <c:pt idx="1168">
                  <c:v>43315</c:v>
                </c:pt>
                <c:pt idx="1169">
                  <c:v>43318</c:v>
                </c:pt>
                <c:pt idx="1170">
                  <c:v>43319</c:v>
                </c:pt>
                <c:pt idx="1171">
                  <c:v>43320</c:v>
                </c:pt>
                <c:pt idx="1172">
                  <c:v>43321</c:v>
                </c:pt>
                <c:pt idx="1173">
                  <c:v>43322</c:v>
                </c:pt>
                <c:pt idx="1174">
                  <c:v>43325</c:v>
                </c:pt>
                <c:pt idx="1175">
                  <c:v>43326</c:v>
                </c:pt>
                <c:pt idx="1176">
                  <c:v>43327</c:v>
                </c:pt>
                <c:pt idx="1177">
                  <c:v>43328</c:v>
                </c:pt>
                <c:pt idx="1178">
                  <c:v>43329</c:v>
                </c:pt>
                <c:pt idx="1179">
                  <c:v>43332</c:v>
                </c:pt>
                <c:pt idx="1180">
                  <c:v>43333</c:v>
                </c:pt>
                <c:pt idx="1181">
                  <c:v>43334</c:v>
                </c:pt>
                <c:pt idx="1182">
                  <c:v>43335</c:v>
                </c:pt>
                <c:pt idx="1183">
                  <c:v>43336</c:v>
                </c:pt>
                <c:pt idx="1184">
                  <c:v>43339</c:v>
                </c:pt>
                <c:pt idx="1185">
                  <c:v>43340</c:v>
                </c:pt>
                <c:pt idx="1186">
                  <c:v>43341</c:v>
                </c:pt>
                <c:pt idx="1187">
                  <c:v>43342</c:v>
                </c:pt>
                <c:pt idx="1188">
                  <c:v>43343</c:v>
                </c:pt>
                <c:pt idx="1189">
                  <c:v>43347</c:v>
                </c:pt>
                <c:pt idx="1190">
                  <c:v>43348</c:v>
                </c:pt>
                <c:pt idx="1191">
                  <c:v>43349</c:v>
                </c:pt>
                <c:pt idx="1192">
                  <c:v>43350</c:v>
                </c:pt>
                <c:pt idx="1193">
                  <c:v>43353</c:v>
                </c:pt>
                <c:pt idx="1194">
                  <c:v>43354</c:v>
                </c:pt>
                <c:pt idx="1195">
                  <c:v>43355</c:v>
                </c:pt>
                <c:pt idx="1196">
                  <c:v>43356</c:v>
                </c:pt>
                <c:pt idx="1197">
                  <c:v>43357</c:v>
                </c:pt>
                <c:pt idx="1198">
                  <c:v>43360</c:v>
                </c:pt>
                <c:pt idx="1199">
                  <c:v>43361</c:v>
                </c:pt>
                <c:pt idx="1200">
                  <c:v>43362</c:v>
                </c:pt>
                <c:pt idx="1201">
                  <c:v>43363</c:v>
                </c:pt>
                <c:pt idx="1202">
                  <c:v>43364</c:v>
                </c:pt>
                <c:pt idx="1203">
                  <c:v>43367</c:v>
                </c:pt>
                <c:pt idx="1204">
                  <c:v>43368</c:v>
                </c:pt>
                <c:pt idx="1205">
                  <c:v>43369</c:v>
                </c:pt>
                <c:pt idx="1206">
                  <c:v>43370</c:v>
                </c:pt>
                <c:pt idx="1207">
                  <c:v>43371</c:v>
                </c:pt>
                <c:pt idx="1208">
                  <c:v>43374</c:v>
                </c:pt>
                <c:pt idx="1209">
                  <c:v>43375</c:v>
                </c:pt>
                <c:pt idx="1210">
                  <c:v>43376</c:v>
                </c:pt>
                <c:pt idx="1211">
                  <c:v>43377</c:v>
                </c:pt>
                <c:pt idx="1212">
                  <c:v>43378</c:v>
                </c:pt>
                <c:pt idx="1213">
                  <c:v>43382</c:v>
                </c:pt>
                <c:pt idx="1214">
                  <c:v>43383</c:v>
                </c:pt>
                <c:pt idx="1215">
                  <c:v>43384</c:v>
                </c:pt>
                <c:pt idx="1216">
                  <c:v>43385</c:v>
                </c:pt>
                <c:pt idx="1217">
                  <c:v>43388</c:v>
                </c:pt>
                <c:pt idx="1218">
                  <c:v>43389</c:v>
                </c:pt>
                <c:pt idx="1219">
                  <c:v>43390</c:v>
                </c:pt>
                <c:pt idx="1220">
                  <c:v>43391</c:v>
                </c:pt>
                <c:pt idx="1221">
                  <c:v>43392</c:v>
                </c:pt>
                <c:pt idx="1222">
                  <c:v>43395</c:v>
                </c:pt>
                <c:pt idx="1223">
                  <c:v>43396</c:v>
                </c:pt>
                <c:pt idx="1224">
                  <c:v>43397</c:v>
                </c:pt>
                <c:pt idx="1225">
                  <c:v>43398</c:v>
                </c:pt>
                <c:pt idx="1226">
                  <c:v>43399</c:v>
                </c:pt>
                <c:pt idx="1227">
                  <c:v>43402</c:v>
                </c:pt>
                <c:pt idx="1228">
                  <c:v>43403</c:v>
                </c:pt>
                <c:pt idx="1229">
                  <c:v>43404</c:v>
                </c:pt>
                <c:pt idx="1230">
                  <c:v>43405</c:v>
                </c:pt>
                <c:pt idx="1231">
                  <c:v>43406</c:v>
                </c:pt>
                <c:pt idx="1232">
                  <c:v>43409</c:v>
                </c:pt>
                <c:pt idx="1233">
                  <c:v>43410</c:v>
                </c:pt>
                <c:pt idx="1234">
                  <c:v>43411</c:v>
                </c:pt>
                <c:pt idx="1235">
                  <c:v>43412</c:v>
                </c:pt>
                <c:pt idx="1236">
                  <c:v>43413</c:v>
                </c:pt>
                <c:pt idx="1237">
                  <c:v>43417</c:v>
                </c:pt>
                <c:pt idx="1238">
                  <c:v>43418</c:v>
                </c:pt>
                <c:pt idx="1239">
                  <c:v>43419</c:v>
                </c:pt>
                <c:pt idx="1240">
                  <c:v>43420</c:v>
                </c:pt>
                <c:pt idx="1241">
                  <c:v>43423</c:v>
                </c:pt>
                <c:pt idx="1242">
                  <c:v>43424</c:v>
                </c:pt>
                <c:pt idx="1243">
                  <c:v>43425</c:v>
                </c:pt>
                <c:pt idx="1244">
                  <c:v>43427</c:v>
                </c:pt>
                <c:pt idx="1245">
                  <c:v>43430</c:v>
                </c:pt>
                <c:pt idx="1246">
                  <c:v>43431</c:v>
                </c:pt>
                <c:pt idx="1247">
                  <c:v>43432</c:v>
                </c:pt>
                <c:pt idx="1248">
                  <c:v>43433</c:v>
                </c:pt>
                <c:pt idx="1249">
                  <c:v>43434</c:v>
                </c:pt>
                <c:pt idx="1250">
                  <c:v>43437</c:v>
                </c:pt>
                <c:pt idx="1251">
                  <c:v>43438</c:v>
                </c:pt>
                <c:pt idx="1252">
                  <c:v>43440</c:v>
                </c:pt>
                <c:pt idx="1253">
                  <c:v>43441</c:v>
                </c:pt>
                <c:pt idx="1254">
                  <c:v>43444</c:v>
                </c:pt>
                <c:pt idx="1255">
                  <c:v>43445</c:v>
                </c:pt>
                <c:pt idx="1256">
                  <c:v>43446</c:v>
                </c:pt>
                <c:pt idx="1257">
                  <c:v>43447</c:v>
                </c:pt>
                <c:pt idx="1258">
                  <c:v>43448</c:v>
                </c:pt>
                <c:pt idx="1259">
                  <c:v>43451</c:v>
                </c:pt>
                <c:pt idx="1260">
                  <c:v>43452</c:v>
                </c:pt>
                <c:pt idx="1261">
                  <c:v>43453</c:v>
                </c:pt>
                <c:pt idx="1262">
                  <c:v>43454</c:v>
                </c:pt>
                <c:pt idx="1263">
                  <c:v>43455</c:v>
                </c:pt>
                <c:pt idx="1264">
                  <c:v>43458</c:v>
                </c:pt>
                <c:pt idx="1265">
                  <c:v>43460</c:v>
                </c:pt>
                <c:pt idx="1266">
                  <c:v>43461</c:v>
                </c:pt>
                <c:pt idx="1267">
                  <c:v>43462</c:v>
                </c:pt>
                <c:pt idx="1268">
                  <c:v>43465</c:v>
                </c:pt>
              </c:numCache>
            </c:numRef>
          </c:cat>
          <c:val>
            <c:numRef>
              <c:f>'1-year-treasury-rate-yield-char'!$C$17:$C$1285</c:f>
              <c:numCache>
                <c:formatCode>General</c:formatCode>
                <c:ptCount val="1269"/>
                <c:pt idx="0">
                  <c:v>0.13</c:v>
                </c:pt>
                <c:pt idx="1">
                  <c:v>0.13</c:v>
                </c:pt>
                <c:pt idx="2">
                  <c:v>0.12</c:v>
                </c:pt>
                <c:pt idx="3">
                  <c:v>0.13</c:v>
                </c:pt>
                <c:pt idx="4">
                  <c:v>0.13</c:v>
                </c:pt>
                <c:pt idx="5">
                  <c:v>0.13</c:v>
                </c:pt>
                <c:pt idx="6">
                  <c:v>0.12</c:v>
                </c:pt>
                <c:pt idx="7">
                  <c:v>0.11</c:v>
                </c:pt>
                <c:pt idx="8">
                  <c:v>0.11</c:v>
                </c:pt>
                <c:pt idx="9">
                  <c:v>0.13</c:v>
                </c:pt>
                <c:pt idx="10">
                  <c:v>0.11</c:v>
                </c:pt>
                <c:pt idx="11">
                  <c:v>0.11</c:v>
                </c:pt>
                <c:pt idx="12">
                  <c:v>0.12</c:v>
                </c:pt>
                <c:pt idx="13">
                  <c:v>0.11</c:v>
                </c:pt>
                <c:pt idx="14">
                  <c:v>0.11</c:v>
                </c:pt>
                <c:pt idx="15">
                  <c:v>0.11</c:v>
                </c:pt>
                <c:pt idx="16">
                  <c:v>0.11</c:v>
                </c:pt>
                <c:pt idx="17">
                  <c:v>0.11</c:v>
                </c:pt>
                <c:pt idx="18">
                  <c:v>0.11</c:v>
                </c:pt>
                <c:pt idx="19">
                  <c:v>0.1</c:v>
                </c:pt>
                <c:pt idx="20">
                  <c:v>0.1</c:v>
                </c:pt>
                <c:pt idx="21">
                  <c:v>0.11</c:v>
                </c:pt>
                <c:pt idx="22">
                  <c:v>0.12</c:v>
                </c:pt>
                <c:pt idx="23">
                  <c:v>0.12</c:v>
                </c:pt>
                <c:pt idx="24">
                  <c:v>0.13</c:v>
                </c:pt>
                <c:pt idx="25">
                  <c:v>0.12</c:v>
                </c:pt>
                <c:pt idx="26">
                  <c:v>0.12</c:v>
                </c:pt>
                <c:pt idx="27">
                  <c:v>0.12</c:v>
                </c:pt>
                <c:pt idx="28">
                  <c:v>0.12</c:v>
                </c:pt>
                <c:pt idx="29">
                  <c:v>0.12</c:v>
                </c:pt>
                <c:pt idx="30">
                  <c:v>0.11</c:v>
                </c:pt>
                <c:pt idx="31">
                  <c:v>0.12</c:v>
                </c:pt>
                <c:pt idx="32">
                  <c:v>0.11</c:v>
                </c:pt>
                <c:pt idx="33">
                  <c:v>0.12</c:v>
                </c:pt>
                <c:pt idx="34">
                  <c:v>0.12</c:v>
                </c:pt>
                <c:pt idx="35">
                  <c:v>0.11</c:v>
                </c:pt>
                <c:pt idx="36">
                  <c:v>0.11</c:v>
                </c:pt>
                <c:pt idx="37">
                  <c:v>0.11</c:v>
                </c:pt>
                <c:pt idx="38">
                  <c:v>0.11</c:v>
                </c:pt>
                <c:pt idx="39">
                  <c:v>0.12</c:v>
                </c:pt>
                <c:pt idx="40">
                  <c:v>0.12</c:v>
                </c:pt>
                <c:pt idx="41">
                  <c:v>0.12</c:v>
                </c:pt>
                <c:pt idx="42">
                  <c:v>0.13</c:v>
                </c:pt>
                <c:pt idx="43">
                  <c:v>0.12</c:v>
                </c:pt>
                <c:pt idx="44">
                  <c:v>0.13</c:v>
                </c:pt>
                <c:pt idx="45">
                  <c:v>0.12</c:v>
                </c:pt>
                <c:pt idx="46">
                  <c:v>0.13</c:v>
                </c:pt>
                <c:pt idx="47">
                  <c:v>0.12</c:v>
                </c:pt>
                <c:pt idx="48">
                  <c:v>0.12</c:v>
                </c:pt>
                <c:pt idx="49">
                  <c:v>0.12</c:v>
                </c:pt>
                <c:pt idx="50">
                  <c:v>0.13</c:v>
                </c:pt>
                <c:pt idx="51">
                  <c:v>0.13</c:v>
                </c:pt>
                <c:pt idx="52">
                  <c:v>0.15</c:v>
                </c:pt>
                <c:pt idx="53">
                  <c:v>0.14000000000000001</c:v>
                </c:pt>
                <c:pt idx="54">
                  <c:v>0.14000000000000001</c:v>
                </c:pt>
                <c:pt idx="55">
                  <c:v>0.14000000000000001</c:v>
                </c:pt>
                <c:pt idx="56">
                  <c:v>0.13</c:v>
                </c:pt>
                <c:pt idx="57">
                  <c:v>0.12</c:v>
                </c:pt>
                <c:pt idx="58">
                  <c:v>0.12</c:v>
                </c:pt>
                <c:pt idx="59">
                  <c:v>0.13</c:v>
                </c:pt>
                <c:pt idx="60">
                  <c:v>0.13</c:v>
                </c:pt>
                <c:pt idx="61">
                  <c:v>0.13</c:v>
                </c:pt>
                <c:pt idx="62">
                  <c:v>0.12</c:v>
                </c:pt>
                <c:pt idx="63">
                  <c:v>0.11</c:v>
                </c:pt>
                <c:pt idx="64">
                  <c:v>0.11</c:v>
                </c:pt>
                <c:pt idx="65">
                  <c:v>0.11</c:v>
                </c:pt>
                <c:pt idx="66">
                  <c:v>0.11</c:v>
                </c:pt>
                <c:pt idx="67">
                  <c:v>0.1</c:v>
                </c:pt>
                <c:pt idx="68">
                  <c:v>0.09</c:v>
                </c:pt>
                <c:pt idx="69">
                  <c:v>0.09</c:v>
                </c:pt>
                <c:pt idx="70">
                  <c:v>0.1</c:v>
                </c:pt>
                <c:pt idx="71">
                  <c:v>0.11</c:v>
                </c:pt>
                <c:pt idx="72">
                  <c:v>0.11</c:v>
                </c:pt>
                <c:pt idx="73">
                  <c:v>0.11</c:v>
                </c:pt>
                <c:pt idx="74">
                  <c:v>0.11</c:v>
                </c:pt>
                <c:pt idx="75">
                  <c:v>0.11</c:v>
                </c:pt>
                <c:pt idx="76">
                  <c:v>0.11</c:v>
                </c:pt>
                <c:pt idx="77">
                  <c:v>0.1</c:v>
                </c:pt>
                <c:pt idx="78">
                  <c:v>0.11</c:v>
                </c:pt>
                <c:pt idx="79">
                  <c:v>0.1</c:v>
                </c:pt>
                <c:pt idx="80">
                  <c:v>0.11</c:v>
                </c:pt>
                <c:pt idx="81">
                  <c:v>0.11</c:v>
                </c:pt>
                <c:pt idx="82">
                  <c:v>0.1</c:v>
                </c:pt>
                <c:pt idx="83">
                  <c:v>0.1</c:v>
                </c:pt>
                <c:pt idx="84">
                  <c:v>0.11</c:v>
                </c:pt>
                <c:pt idx="85">
                  <c:v>0.1</c:v>
                </c:pt>
                <c:pt idx="86">
                  <c:v>0.1</c:v>
                </c:pt>
                <c:pt idx="87">
                  <c:v>0.1</c:v>
                </c:pt>
                <c:pt idx="88">
                  <c:v>0.1</c:v>
                </c:pt>
                <c:pt idx="89">
                  <c:v>0.09</c:v>
                </c:pt>
                <c:pt idx="90">
                  <c:v>0.1</c:v>
                </c:pt>
                <c:pt idx="91">
                  <c:v>0.1</c:v>
                </c:pt>
                <c:pt idx="92">
                  <c:v>0.09</c:v>
                </c:pt>
                <c:pt idx="93">
                  <c:v>0.09</c:v>
                </c:pt>
                <c:pt idx="94">
                  <c:v>0.09</c:v>
                </c:pt>
                <c:pt idx="95">
                  <c:v>0.09</c:v>
                </c:pt>
                <c:pt idx="96">
                  <c:v>0.09</c:v>
                </c:pt>
                <c:pt idx="97">
                  <c:v>0.09</c:v>
                </c:pt>
                <c:pt idx="98">
                  <c:v>0.1</c:v>
                </c:pt>
                <c:pt idx="99">
                  <c:v>0.09</c:v>
                </c:pt>
                <c:pt idx="100">
                  <c:v>0.1</c:v>
                </c:pt>
                <c:pt idx="101">
                  <c:v>0.1</c:v>
                </c:pt>
                <c:pt idx="102">
                  <c:v>0.1</c:v>
                </c:pt>
                <c:pt idx="103">
                  <c:v>0.1</c:v>
                </c:pt>
                <c:pt idx="104">
                  <c:v>0.1</c:v>
                </c:pt>
                <c:pt idx="105">
                  <c:v>0.1</c:v>
                </c:pt>
                <c:pt idx="106">
                  <c:v>0.1</c:v>
                </c:pt>
                <c:pt idx="107">
                  <c:v>0.11</c:v>
                </c:pt>
                <c:pt idx="108">
                  <c:v>0.11</c:v>
                </c:pt>
                <c:pt idx="109">
                  <c:v>0.11</c:v>
                </c:pt>
                <c:pt idx="110">
                  <c:v>0.11</c:v>
                </c:pt>
                <c:pt idx="111">
                  <c:v>0.1</c:v>
                </c:pt>
                <c:pt idx="112">
                  <c:v>0.11</c:v>
                </c:pt>
                <c:pt idx="113">
                  <c:v>0.11</c:v>
                </c:pt>
                <c:pt idx="114">
                  <c:v>0.11</c:v>
                </c:pt>
                <c:pt idx="115">
                  <c:v>0.1</c:v>
                </c:pt>
                <c:pt idx="116">
                  <c:v>0.09</c:v>
                </c:pt>
                <c:pt idx="117">
                  <c:v>0.09</c:v>
                </c:pt>
                <c:pt idx="118">
                  <c:v>0.1</c:v>
                </c:pt>
                <c:pt idx="119">
                  <c:v>0.12</c:v>
                </c:pt>
                <c:pt idx="120">
                  <c:v>0.11</c:v>
                </c:pt>
                <c:pt idx="121">
                  <c:v>0.11</c:v>
                </c:pt>
                <c:pt idx="122">
                  <c:v>0.1</c:v>
                </c:pt>
                <c:pt idx="123">
                  <c:v>0.11</c:v>
                </c:pt>
                <c:pt idx="124">
                  <c:v>0.11</c:v>
                </c:pt>
                <c:pt idx="125">
                  <c:v>0.12</c:v>
                </c:pt>
                <c:pt idx="126">
                  <c:v>0.11</c:v>
                </c:pt>
                <c:pt idx="127">
                  <c:v>0.12</c:v>
                </c:pt>
                <c:pt idx="128">
                  <c:v>0.11</c:v>
                </c:pt>
                <c:pt idx="129">
                  <c:v>0.11</c:v>
                </c:pt>
                <c:pt idx="130">
                  <c:v>0.1</c:v>
                </c:pt>
                <c:pt idx="131">
                  <c:v>0.11</c:v>
                </c:pt>
                <c:pt idx="132">
                  <c:v>0.11</c:v>
                </c:pt>
                <c:pt idx="133">
                  <c:v>0.11</c:v>
                </c:pt>
                <c:pt idx="134">
                  <c:v>0.11</c:v>
                </c:pt>
                <c:pt idx="135">
                  <c:v>0.1</c:v>
                </c:pt>
                <c:pt idx="136">
                  <c:v>0.1</c:v>
                </c:pt>
                <c:pt idx="137">
                  <c:v>0.11</c:v>
                </c:pt>
                <c:pt idx="138">
                  <c:v>0.11</c:v>
                </c:pt>
                <c:pt idx="139">
                  <c:v>0.11</c:v>
                </c:pt>
                <c:pt idx="140">
                  <c:v>0.11</c:v>
                </c:pt>
                <c:pt idx="141">
                  <c:v>0.11</c:v>
                </c:pt>
                <c:pt idx="142">
                  <c:v>0.11</c:v>
                </c:pt>
                <c:pt idx="143">
                  <c:v>0.12</c:v>
                </c:pt>
                <c:pt idx="144">
                  <c:v>0.13</c:v>
                </c:pt>
                <c:pt idx="145">
                  <c:v>0.12</c:v>
                </c:pt>
                <c:pt idx="146">
                  <c:v>0.13</c:v>
                </c:pt>
                <c:pt idx="147">
                  <c:v>0.12</c:v>
                </c:pt>
                <c:pt idx="148">
                  <c:v>0.12</c:v>
                </c:pt>
                <c:pt idx="149">
                  <c:v>0.11</c:v>
                </c:pt>
                <c:pt idx="150">
                  <c:v>0.11</c:v>
                </c:pt>
                <c:pt idx="151">
                  <c:v>0.1</c:v>
                </c:pt>
                <c:pt idx="152">
                  <c:v>0.1</c:v>
                </c:pt>
                <c:pt idx="153">
                  <c:v>0.1</c:v>
                </c:pt>
                <c:pt idx="154">
                  <c:v>0.1</c:v>
                </c:pt>
                <c:pt idx="155">
                  <c:v>0.1</c:v>
                </c:pt>
                <c:pt idx="156">
                  <c:v>0.09</c:v>
                </c:pt>
                <c:pt idx="157">
                  <c:v>0.1</c:v>
                </c:pt>
                <c:pt idx="158">
                  <c:v>0.11</c:v>
                </c:pt>
                <c:pt idx="159">
                  <c:v>0.12</c:v>
                </c:pt>
                <c:pt idx="160">
                  <c:v>0.1</c:v>
                </c:pt>
                <c:pt idx="161">
                  <c:v>0.1</c:v>
                </c:pt>
                <c:pt idx="162">
                  <c:v>0.11</c:v>
                </c:pt>
                <c:pt idx="163">
                  <c:v>0.12</c:v>
                </c:pt>
                <c:pt idx="164">
                  <c:v>0.11</c:v>
                </c:pt>
                <c:pt idx="165">
                  <c:v>0.11</c:v>
                </c:pt>
                <c:pt idx="166">
                  <c:v>0.09</c:v>
                </c:pt>
                <c:pt idx="167">
                  <c:v>0.1</c:v>
                </c:pt>
                <c:pt idx="168">
                  <c:v>0.11</c:v>
                </c:pt>
                <c:pt idx="169">
                  <c:v>0.1</c:v>
                </c:pt>
                <c:pt idx="170">
                  <c:v>0.1</c:v>
                </c:pt>
                <c:pt idx="171">
                  <c:v>0.1</c:v>
                </c:pt>
                <c:pt idx="172">
                  <c:v>0.11</c:v>
                </c:pt>
                <c:pt idx="173">
                  <c:v>0.11</c:v>
                </c:pt>
                <c:pt idx="174">
                  <c:v>0.11</c:v>
                </c:pt>
                <c:pt idx="175">
                  <c:v>0.11</c:v>
                </c:pt>
                <c:pt idx="176">
                  <c:v>0.11</c:v>
                </c:pt>
                <c:pt idx="177">
                  <c:v>0.13</c:v>
                </c:pt>
                <c:pt idx="178">
                  <c:v>0.12</c:v>
                </c:pt>
                <c:pt idx="179">
                  <c:v>0.12</c:v>
                </c:pt>
                <c:pt idx="180">
                  <c:v>0.11</c:v>
                </c:pt>
                <c:pt idx="181">
                  <c:v>0.1</c:v>
                </c:pt>
                <c:pt idx="182">
                  <c:v>0.1</c:v>
                </c:pt>
                <c:pt idx="183">
                  <c:v>0.11</c:v>
                </c:pt>
                <c:pt idx="184">
                  <c:v>0.1</c:v>
                </c:pt>
                <c:pt idx="185">
                  <c:v>0.11</c:v>
                </c:pt>
                <c:pt idx="186">
                  <c:v>0.11</c:v>
                </c:pt>
                <c:pt idx="187">
                  <c:v>0.13</c:v>
                </c:pt>
                <c:pt idx="188">
                  <c:v>0.1</c:v>
                </c:pt>
                <c:pt idx="189">
                  <c:v>0.1</c:v>
                </c:pt>
                <c:pt idx="190">
                  <c:v>0.11</c:v>
                </c:pt>
                <c:pt idx="191">
                  <c:v>0.11</c:v>
                </c:pt>
                <c:pt idx="192">
                  <c:v>0.1</c:v>
                </c:pt>
                <c:pt idx="193">
                  <c:v>0.1</c:v>
                </c:pt>
                <c:pt idx="194">
                  <c:v>0.1</c:v>
                </c:pt>
                <c:pt idx="195">
                  <c:v>0.1</c:v>
                </c:pt>
                <c:pt idx="196">
                  <c:v>0.09</c:v>
                </c:pt>
                <c:pt idx="197">
                  <c:v>0.1</c:v>
                </c:pt>
                <c:pt idx="198">
                  <c:v>0.1</c:v>
                </c:pt>
                <c:pt idx="199">
                  <c:v>0.11</c:v>
                </c:pt>
                <c:pt idx="200">
                  <c:v>0.1</c:v>
                </c:pt>
                <c:pt idx="201">
                  <c:v>0.1</c:v>
                </c:pt>
                <c:pt idx="202">
                  <c:v>0.11</c:v>
                </c:pt>
                <c:pt idx="203">
                  <c:v>0.11</c:v>
                </c:pt>
                <c:pt idx="204">
                  <c:v>0.11</c:v>
                </c:pt>
                <c:pt idx="205">
                  <c:v>0.11</c:v>
                </c:pt>
                <c:pt idx="206">
                  <c:v>0.11</c:v>
                </c:pt>
                <c:pt idx="207">
                  <c:v>0.11</c:v>
                </c:pt>
                <c:pt idx="208">
                  <c:v>0.11</c:v>
                </c:pt>
                <c:pt idx="209">
                  <c:v>0.11</c:v>
                </c:pt>
                <c:pt idx="210">
                  <c:v>0.12</c:v>
                </c:pt>
                <c:pt idx="211">
                  <c:v>0.11</c:v>
                </c:pt>
                <c:pt idx="212">
                  <c:v>0.11</c:v>
                </c:pt>
                <c:pt idx="213">
                  <c:v>0.12</c:v>
                </c:pt>
                <c:pt idx="214">
                  <c:v>0.12</c:v>
                </c:pt>
                <c:pt idx="215">
                  <c:v>0.13</c:v>
                </c:pt>
                <c:pt idx="216">
                  <c:v>0.14000000000000001</c:v>
                </c:pt>
                <c:pt idx="217">
                  <c:v>0.15</c:v>
                </c:pt>
                <c:pt idx="218">
                  <c:v>0.15</c:v>
                </c:pt>
                <c:pt idx="219">
                  <c:v>0.15</c:v>
                </c:pt>
                <c:pt idx="220">
                  <c:v>0.14000000000000001</c:v>
                </c:pt>
                <c:pt idx="221">
                  <c:v>0.15</c:v>
                </c:pt>
                <c:pt idx="222">
                  <c:v>0.14000000000000001</c:v>
                </c:pt>
                <c:pt idx="223">
                  <c:v>0.14000000000000001</c:v>
                </c:pt>
                <c:pt idx="224">
                  <c:v>0.14000000000000001</c:v>
                </c:pt>
                <c:pt idx="225">
                  <c:v>0.14000000000000001</c:v>
                </c:pt>
                <c:pt idx="226">
                  <c:v>0.14000000000000001</c:v>
                </c:pt>
                <c:pt idx="227">
                  <c:v>0.13</c:v>
                </c:pt>
                <c:pt idx="228">
                  <c:v>0.13</c:v>
                </c:pt>
                <c:pt idx="229">
                  <c:v>0.14000000000000001</c:v>
                </c:pt>
                <c:pt idx="230">
                  <c:v>0.15</c:v>
                </c:pt>
                <c:pt idx="231">
                  <c:v>0.14000000000000001</c:v>
                </c:pt>
                <c:pt idx="232">
                  <c:v>0.18</c:v>
                </c:pt>
                <c:pt idx="233">
                  <c:v>0.18</c:v>
                </c:pt>
                <c:pt idx="234">
                  <c:v>0.23</c:v>
                </c:pt>
                <c:pt idx="235">
                  <c:v>0.21</c:v>
                </c:pt>
                <c:pt idx="236">
                  <c:v>0.21</c:v>
                </c:pt>
                <c:pt idx="237">
                  <c:v>0.19</c:v>
                </c:pt>
                <c:pt idx="238">
                  <c:v>0.22</c:v>
                </c:pt>
                <c:pt idx="239">
                  <c:v>0.21</c:v>
                </c:pt>
                <c:pt idx="240">
                  <c:v>0.23</c:v>
                </c:pt>
                <c:pt idx="241">
                  <c:v>0.25</c:v>
                </c:pt>
                <c:pt idx="242">
                  <c:v>0.26</c:v>
                </c:pt>
                <c:pt idx="243">
                  <c:v>0.28000000000000003</c:v>
                </c:pt>
                <c:pt idx="244">
                  <c:v>0.26</c:v>
                </c:pt>
                <c:pt idx="245">
                  <c:v>0.26</c:v>
                </c:pt>
                <c:pt idx="246">
                  <c:v>0.26</c:v>
                </c:pt>
                <c:pt idx="247">
                  <c:v>0.25</c:v>
                </c:pt>
                <c:pt idx="248">
                  <c:v>0.23</c:v>
                </c:pt>
                <c:pt idx="249">
                  <c:v>0.25</c:v>
                </c:pt>
                <c:pt idx="250">
                  <c:v>0.25</c:v>
                </c:pt>
                <c:pt idx="251">
                  <c:v>0.26</c:v>
                </c:pt>
                <c:pt idx="252">
                  <c:v>0.25</c:v>
                </c:pt>
                <c:pt idx="253">
                  <c:v>0.25</c:v>
                </c:pt>
                <c:pt idx="254">
                  <c:v>0.23</c:v>
                </c:pt>
                <c:pt idx="255">
                  <c:v>0.22</c:v>
                </c:pt>
                <c:pt idx="256">
                  <c:v>0.19</c:v>
                </c:pt>
                <c:pt idx="257">
                  <c:v>0.2</c:v>
                </c:pt>
                <c:pt idx="258">
                  <c:v>0.18</c:v>
                </c:pt>
                <c:pt idx="259">
                  <c:v>0.16</c:v>
                </c:pt>
                <c:pt idx="260">
                  <c:v>0.17</c:v>
                </c:pt>
                <c:pt idx="261">
                  <c:v>0.17</c:v>
                </c:pt>
                <c:pt idx="262">
                  <c:v>0.17</c:v>
                </c:pt>
                <c:pt idx="263">
                  <c:v>0.17</c:v>
                </c:pt>
                <c:pt idx="264">
                  <c:v>0.17</c:v>
                </c:pt>
                <c:pt idx="265">
                  <c:v>0.18</c:v>
                </c:pt>
                <c:pt idx="266">
                  <c:v>0.17</c:v>
                </c:pt>
                <c:pt idx="267">
                  <c:v>0.17</c:v>
                </c:pt>
                <c:pt idx="268">
                  <c:v>0.17</c:v>
                </c:pt>
                <c:pt idx="269">
                  <c:v>0.18</c:v>
                </c:pt>
                <c:pt idx="270">
                  <c:v>0.17</c:v>
                </c:pt>
                <c:pt idx="271">
                  <c:v>0.21</c:v>
                </c:pt>
                <c:pt idx="272">
                  <c:v>0.2</c:v>
                </c:pt>
                <c:pt idx="273">
                  <c:v>0.2</c:v>
                </c:pt>
                <c:pt idx="274">
                  <c:v>0.26</c:v>
                </c:pt>
                <c:pt idx="275">
                  <c:v>0.24</c:v>
                </c:pt>
                <c:pt idx="276">
                  <c:v>0.25</c:v>
                </c:pt>
                <c:pt idx="277">
                  <c:v>0.24</c:v>
                </c:pt>
                <c:pt idx="278">
                  <c:v>0.23</c:v>
                </c:pt>
                <c:pt idx="279">
                  <c:v>0.23</c:v>
                </c:pt>
                <c:pt idx="280">
                  <c:v>0.25</c:v>
                </c:pt>
                <c:pt idx="281">
                  <c:v>0.23</c:v>
                </c:pt>
                <c:pt idx="282">
                  <c:v>0.23</c:v>
                </c:pt>
                <c:pt idx="283">
                  <c:v>0.23</c:v>
                </c:pt>
                <c:pt idx="284">
                  <c:v>0.22</c:v>
                </c:pt>
                <c:pt idx="285">
                  <c:v>0.22</c:v>
                </c:pt>
                <c:pt idx="286">
                  <c:v>0.21</c:v>
                </c:pt>
                <c:pt idx="287">
                  <c:v>0.22</c:v>
                </c:pt>
                <c:pt idx="288">
                  <c:v>0.22</c:v>
                </c:pt>
                <c:pt idx="289">
                  <c:v>0.22</c:v>
                </c:pt>
                <c:pt idx="290">
                  <c:v>0.26</c:v>
                </c:pt>
                <c:pt idx="291">
                  <c:v>0.26</c:v>
                </c:pt>
                <c:pt idx="292">
                  <c:v>0.25</c:v>
                </c:pt>
                <c:pt idx="293">
                  <c:v>0.27</c:v>
                </c:pt>
                <c:pt idx="294">
                  <c:v>0.27</c:v>
                </c:pt>
                <c:pt idx="295">
                  <c:v>0.25</c:v>
                </c:pt>
                <c:pt idx="296">
                  <c:v>0.25</c:v>
                </c:pt>
                <c:pt idx="297">
                  <c:v>0.24</c:v>
                </c:pt>
                <c:pt idx="298">
                  <c:v>0.24</c:v>
                </c:pt>
                <c:pt idx="299">
                  <c:v>0.26</c:v>
                </c:pt>
                <c:pt idx="300">
                  <c:v>0.27</c:v>
                </c:pt>
                <c:pt idx="301">
                  <c:v>0.23</c:v>
                </c:pt>
                <c:pt idx="302">
                  <c:v>0.26</c:v>
                </c:pt>
                <c:pt idx="303">
                  <c:v>0.24</c:v>
                </c:pt>
                <c:pt idx="304">
                  <c:v>0.24</c:v>
                </c:pt>
                <c:pt idx="305">
                  <c:v>0.24</c:v>
                </c:pt>
                <c:pt idx="306">
                  <c:v>0.25</c:v>
                </c:pt>
                <c:pt idx="307">
                  <c:v>0.28000000000000003</c:v>
                </c:pt>
                <c:pt idx="308">
                  <c:v>0.27</c:v>
                </c:pt>
                <c:pt idx="309">
                  <c:v>0.27</c:v>
                </c:pt>
                <c:pt idx="310">
                  <c:v>0.26</c:v>
                </c:pt>
                <c:pt idx="311">
                  <c:v>0.27</c:v>
                </c:pt>
                <c:pt idx="312">
                  <c:v>0.25</c:v>
                </c:pt>
                <c:pt idx="313">
                  <c:v>0.21</c:v>
                </c:pt>
                <c:pt idx="314">
                  <c:v>0.21</c:v>
                </c:pt>
                <c:pt idx="315">
                  <c:v>0.22</c:v>
                </c:pt>
                <c:pt idx="316">
                  <c:v>0.22</c:v>
                </c:pt>
                <c:pt idx="317">
                  <c:v>0.22</c:v>
                </c:pt>
                <c:pt idx="318">
                  <c:v>0.24</c:v>
                </c:pt>
                <c:pt idx="319">
                  <c:v>0.23</c:v>
                </c:pt>
                <c:pt idx="320">
                  <c:v>0.23</c:v>
                </c:pt>
                <c:pt idx="321">
                  <c:v>0.23</c:v>
                </c:pt>
                <c:pt idx="322">
                  <c:v>0.22</c:v>
                </c:pt>
                <c:pt idx="323">
                  <c:v>0.23</c:v>
                </c:pt>
                <c:pt idx="324">
                  <c:v>0.24</c:v>
                </c:pt>
                <c:pt idx="325">
                  <c:v>0.23</c:v>
                </c:pt>
                <c:pt idx="326">
                  <c:v>0.23</c:v>
                </c:pt>
                <c:pt idx="327">
                  <c:v>0.24</c:v>
                </c:pt>
                <c:pt idx="328">
                  <c:v>0.24</c:v>
                </c:pt>
                <c:pt idx="329">
                  <c:v>0.25</c:v>
                </c:pt>
                <c:pt idx="330">
                  <c:v>0.24</c:v>
                </c:pt>
                <c:pt idx="331">
                  <c:v>0.25</c:v>
                </c:pt>
                <c:pt idx="332">
                  <c:v>0.24</c:v>
                </c:pt>
                <c:pt idx="333">
                  <c:v>0.25</c:v>
                </c:pt>
                <c:pt idx="334">
                  <c:v>0.25</c:v>
                </c:pt>
                <c:pt idx="335">
                  <c:v>0.24</c:v>
                </c:pt>
                <c:pt idx="336">
                  <c:v>0.25</c:v>
                </c:pt>
                <c:pt idx="337">
                  <c:v>0.24</c:v>
                </c:pt>
                <c:pt idx="338">
                  <c:v>0.23</c:v>
                </c:pt>
                <c:pt idx="339">
                  <c:v>0.25</c:v>
                </c:pt>
                <c:pt idx="340">
                  <c:v>0.25</c:v>
                </c:pt>
                <c:pt idx="341">
                  <c:v>0.24</c:v>
                </c:pt>
                <c:pt idx="342">
                  <c:v>0.23</c:v>
                </c:pt>
                <c:pt idx="343">
                  <c:v>0.23</c:v>
                </c:pt>
                <c:pt idx="344">
                  <c:v>0.22</c:v>
                </c:pt>
                <c:pt idx="345">
                  <c:v>0.23</c:v>
                </c:pt>
                <c:pt idx="346">
                  <c:v>0.23</c:v>
                </c:pt>
                <c:pt idx="347">
                  <c:v>0.22</c:v>
                </c:pt>
                <c:pt idx="348">
                  <c:v>0.23</c:v>
                </c:pt>
                <c:pt idx="349">
                  <c:v>0.24</c:v>
                </c:pt>
                <c:pt idx="350">
                  <c:v>0.27</c:v>
                </c:pt>
                <c:pt idx="351">
                  <c:v>0.26</c:v>
                </c:pt>
                <c:pt idx="352">
                  <c:v>0.26</c:v>
                </c:pt>
                <c:pt idx="353">
                  <c:v>0.26</c:v>
                </c:pt>
                <c:pt idx="354">
                  <c:v>0.26</c:v>
                </c:pt>
                <c:pt idx="355">
                  <c:v>0.26</c:v>
                </c:pt>
                <c:pt idx="356">
                  <c:v>0.27</c:v>
                </c:pt>
                <c:pt idx="357">
                  <c:v>0.28999999999999998</c:v>
                </c:pt>
                <c:pt idx="358">
                  <c:v>0.27</c:v>
                </c:pt>
                <c:pt idx="359">
                  <c:v>0.27</c:v>
                </c:pt>
                <c:pt idx="360">
                  <c:v>0.28000000000000003</c:v>
                </c:pt>
                <c:pt idx="361">
                  <c:v>0.28000000000000003</c:v>
                </c:pt>
                <c:pt idx="362">
                  <c:v>0.28000000000000003</c:v>
                </c:pt>
                <c:pt idx="363">
                  <c:v>0.28000000000000003</c:v>
                </c:pt>
                <c:pt idx="364">
                  <c:v>0.28000000000000003</c:v>
                </c:pt>
                <c:pt idx="365">
                  <c:v>0.27</c:v>
                </c:pt>
                <c:pt idx="366">
                  <c:v>0.26</c:v>
                </c:pt>
                <c:pt idx="367">
                  <c:v>0.25</c:v>
                </c:pt>
                <c:pt idx="368">
                  <c:v>0.27</c:v>
                </c:pt>
                <c:pt idx="369">
                  <c:v>0.3</c:v>
                </c:pt>
                <c:pt idx="370">
                  <c:v>0.3</c:v>
                </c:pt>
                <c:pt idx="371">
                  <c:v>0.28999999999999998</c:v>
                </c:pt>
                <c:pt idx="372">
                  <c:v>0.28999999999999998</c:v>
                </c:pt>
                <c:pt idx="373">
                  <c:v>0.27</c:v>
                </c:pt>
                <c:pt idx="374">
                  <c:v>0.28000000000000003</c:v>
                </c:pt>
                <c:pt idx="375">
                  <c:v>0.28000000000000003</c:v>
                </c:pt>
                <c:pt idx="376">
                  <c:v>0.26</c:v>
                </c:pt>
                <c:pt idx="377">
                  <c:v>0.26</c:v>
                </c:pt>
                <c:pt idx="378">
                  <c:v>0.25</c:v>
                </c:pt>
                <c:pt idx="379">
                  <c:v>0.24</c:v>
                </c:pt>
                <c:pt idx="380">
                  <c:v>0.25</c:v>
                </c:pt>
                <c:pt idx="381">
                  <c:v>0.28000000000000003</c:v>
                </c:pt>
                <c:pt idx="382">
                  <c:v>0.28000000000000003</c:v>
                </c:pt>
                <c:pt idx="383">
                  <c:v>0.27</c:v>
                </c:pt>
                <c:pt idx="384">
                  <c:v>0.28000000000000003</c:v>
                </c:pt>
                <c:pt idx="385">
                  <c:v>0.28999999999999998</c:v>
                </c:pt>
                <c:pt idx="386">
                  <c:v>0.28999999999999998</c:v>
                </c:pt>
                <c:pt idx="387">
                  <c:v>0.31</c:v>
                </c:pt>
                <c:pt idx="388">
                  <c:v>0.34</c:v>
                </c:pt>
                <c:pt idx="389">
                  <c:v>0.34</c:v>
                </c:pt>
                <c:pt idx="390">
                  <c:v>0.33</c:v>
                </c:pt>
                <c:pt idx="391">
                  <c:v>0.32</c:v>
                </c:pt>
                <c:pt idx="392">
                  <c:v>0.32</c:v>
                </c:pt>
                <c:pt idx="393">
                  <c:v>0.32</c:v>
                </c:pt>
                <c:pt idx="394">
                  <c:v>0.33</c:v>
                </c:pt>
                <c:pt idx="395">
                  <c:v>0.36</c:v>
                </c:pt>
                <c:pt idx="396">
                  <c:v>0.33</c:v>
                </c:pt>
                <c:pt idx="397">
                  <c:v>0.33</c:v>
                </c:pt>
                <c:pt idx="398">
                  <c:v>0.37</c:v>
                </c:pt>
                <c:pt idx="399">
                  <c:v>0.38</c:v>
                </c:pt>
                <c:pt idx="400">
                  <c:v>0.35</c:v>
                </c:pt>
                <c:pt idx="401">
                  <c:v>0.38</c:v>
                </c:pt>
                <c:pt idx="402">
                  <c:v>0.4</c:v>
                </c:pt>
                <c:pt idx="403">
                  <c:v>0.37</c:v>
                </c:pt>
                <c:pt idx="404">
                  <c:v>0.37</c:v>
                </c:pt>
                <c:pt idx="405">
                  <c:v>0.4</c:v>
                </c:pt>
                <c:pt idx="406">
                  <c:v>0.41</c:v>
                </c:pt>
                <c:pt idx="407">
                  <c:v>0.4</c:v>
                </c:pt>
                <c:pt idx="408">
                  <c:v>0.42</c:v>
                </c:pt>
                <c:pt idx="409">
                  <c:v>0.39</c:v>
                </c:pt>
                <c:pt idx="410">
                  <c:v>0.39</c:v>
                </c:pt>
                <c:pt idx="411">
                  <c:v>0.36</c:v>
                </c:pt>
                <c:pt idx="412">
                  <c:v>0.33</c:v>
                </c:pt>
                <c:pt idx="413">
                  <c:v>0.36</c:v>
                </c:pt>
                <c:pt idx="414">
                  <c:v>0.35</c:v>
                </c:pt>
                <c:pt idx="415">
                  <c:v>0.36</c:v>
                </c:pt>
                <c:pt idx="416">
                  <c:v>0.38</c:v>
                </c:pt>
                <c:pt idx="417">
                  <c:v>0.39</c:v>
                </c:pt>
                <c:pt idx="418">
                  <c:v>0.39</c:v>
                </c:pt>
                <c:pt idx="419">
                  <c:v>0.37</c:v>
                </c:pt>
                <c:pt idx="420">
                  <c:v>0.36</c:v>
                </c:pt>
                <c:pt idx="421">
                  <c:v>0.36</c:v>
                </c:pt>
                <c:pt idx="422">
                  <c:v>0.39</c:v>
                </c:pt>
                <c:pt idx="423">
                  <c:v>0.39</c:v>
                </c:pt>
                <c:pt idx="424">
                  <c:v>0.39</c:v>
                </c:pt>
                <c:pt idx="425">
                  <c:v>0.4</c:v>
                </c:pt>
                <c:pt idx="426">
                  <c:v>0.4</c:v>
                </c:pt>
                <c:pt idx="427">
                  <c:v>0.47</c:v>
                </c:pt>
                <c:pt idx="428">
                  <c:v>0.46</c:v>
                </c:pt>
                <c:pt idx="429">
                  <c:v>0.39</c:v>
                </c:pt>
                <c:pt idx="430">
                  <c:v>0.35</c:v>
                </c:pt>
                <c:pt idx="431">
                  <c:v>0.36</c:v>
                </c:pt>
                <c:pt idx="432">
                  <c:v>0.35</c:v>
                </c:pt>
                <c:pt idx="433">
                  <c:v>0.34</c:v>
                </c:pt>
                <c:pt idx="434">
                  <c:v>0.32</c:v>
                </c:pt>
                <c:pt idx="435">
                  <c:v>0.35</c:v>
                </c:pt>
                <c:pt idx="436">
                  <c:v>0.34</c:v>
                </c:pt>
                <c:pt idx="437">
                  <c:v>0.33</c:v>
                </c:pt>
                <c:pt idx="438">
                  <c:v>0.33</c:v>
                </c:pt>
                <c:pt idx="439">
                  <c:v>0.31</c:v>
                </c:pt>
                <c:pt idx="440">
                  <c:v>0.25</c:v>
                </c:pt>
                <c:pt idx="441">
                  <c:v>0.26</c:v>
                </c:pt>
                <c:pt idx="442">
                  <c:v>0.26</c:v>
                </c:pt>
                <c:pt idx="443">
                  <c:v>0.27</c:v>
                </c:pt>
                <c:pt idx="444">
                  <c:v>0.27</c:v>
                </c:pt>
                <c:pt idx="445">
                  <c:v>0.28000000000000003</c:v>
                </c:pt>
                <c:pt idx="446">
                  <c:v>0.27</c:v>
                </c:pt>
                <c:pt idx="447">
                  <c:v>0.21</c:v>
                </c:pt>
                <c:pt idx="448">
                  <c:v>0.22</c:v>
                </c:pt>
                <c:pt idx="449">
                  <c:v>0.23</c:v>
                </c:pt>
                <c:pt idx="450">
                  <c:v>0.23</c:v>
                </c:pt>
                <c:pt idx="451">
                  <c:v>0.23</c:v>
                </c:pt>
                <c:pt idx="452">
                  <c:v>0.23</c:v>
                </c:pt>
                <c:pt idx="453">
                  <c:v>0.23</c:v>
                </c:pt>
                <c:pt idx="454">
                  <c:v>0.24</c:v>
                </c:pt>
                <c:pt idx="455">
                  <c:v>0.25</c:v>
                </c:pt>
                <c:pt idx="456">
                  <c:v>0.28999999999999998</c:v>
                </c:pt>
                <c:pt idx="457">
                  <c:v>0.33</c:v>
                </c:pt>
                <c:pt idx="458">
                  <c:v>0.33</c:v>
                </c:pt>
                <c:pt idx="459">
                  <c:v>0.34</c:v>
                </c:pt>
                <c:pt idx="460">
                  <c:v>0.37</c:v>
                </c:pt>
                <c:pt idx="461">
                  <c:v>0.39</c:v>
                </c:pt>
                <c:pt idx="462">
                  <c:v>0.4</c:v>
                </c:pt>
                <c:pt idx="463">
                  <c:v>0.42</c:v>
                </c:pt>
                <c:pt idx="464">
                  <c:v>0.47</c:v>
                </c:pt>
                <c:pt idx="465">
                  <c:v>0.47</c:v>
                </c:pt>
                <c:pt idx="466">
                  <c:v>0.51</c:v>
                </c:pt>
                <c:pt idx="467">
                  <c:v>0.51</c:v>
                </c:pt>
                <c:pt idx="468">
                  <c:v>0.5</c:v>
                </c:pt>
                <c:pt idx="469">
                  <c:v>0.5</c:v>
                </c:pt>
                <c:pt idx="470">
                  <c:v>0.5</c:v>
                </c:pt>
                <c:pt idx="471">
                  <c:v>0.49</c:v>
                </c:pt>
                <c:pt idx="472">
                  <c:v>0.49</c:v>
                </c:pt>
                <c:pt idx="473">
                  <c:v>0.49</c:v>
                </c:pt>
                <c:pt idx="474">
                  <c:v>0.5</c:v>
                </c:pt>
                <c:pt idx="475">
                  <c:v>0.52</c:v>
                </c:pt>
                <c:pt idx="476">
                  <c:v>0.52</c:v>
                </c:pt>
                <c:pt idx="477">
                  <c:v>0.5</c:v>
                </c:pt>
                <c:pt idx="478">
                  <c:v>0.51</c:v>
                </c:pt>
                <c:pt idx="479">
                  <c:v>0.51</c:v>
                </c:pt>
                <c:pt idx="480">
                  <c:v>0.52</c:v>
                </c:pt>
                <c:pt idx="481">
                  <c:v>0.56999999999999995</c:v>
                </c:pt>
                <c:pt idx="482">
                  <c:v>0.6</c:v>
                </c:pt>
                <c:pt idx="483">
                  <c:v>0.67</c:v>
                </c:pt>
                <c:pt idx="484">
                  <c:v>0.76</c:v>
                </c:pt>
                <c:pt idx="485">
                  <c:v>0.72</c:v>
                </c:pt>
                <c:pt idx="486">
                  <c:v>0.71</c:v>
                </c:pt>
                <c:pt idx="487">
                  <c:v>0.68</c:v>
                </c:pt>
                <c:pt idx="488">
                  <c:v>0.68</c:v>
                </c:pt>
                <c:pt idx="489">
                  <c:v>0.69</c:v>
                </c:pt>
                <c:pt idx="490">
                  <c:v>0.7</c:v>
                </c:pt>
                <c:pt idx="491">
                  <c:v>0.69</c:v>
                </c:pt>
                <c:pt idx="492">
                  <c:v>0.67</c:v>
                </c:pt>
                <c:pt idx="493">
                  <c:v>0.64</c:v>
                </c:pt>
                <c:pt idx="494">
                  <c:v>0.66</c:v>
                </c:pt>
                <c:pt idx="495">
                  <c:v>0.65</c:v>
                </c:pt>
                <c:pt idx="496">
                  <c:v>0.64</c:v>
                </c:pt>
                <c:pt idx="497">
                  <c:v>0.66</c:v>
                </c:pt>
                <c:pt idx="498">
                  <c:v>0.67</c:v>
                </c:pt>
                <c:pt idx="499">
                  <c:v>0.64</c:v>
                </c:pt>
                <c:pt idx="500">
                  <c:v>0.65</c:v>
                </c:pt>
                <c:pt idx="501">
                  <c:v>0.61</c:v>
                </c:pt>
                <c:pt idx="502">
                  <c:v>0.68</c:v>
                </c:pt>
                <c:pt idx="503">
                  <c:v>0.67</c:v>
                </c:pt>
                <c:pt idx="504">
                  <c:v>0.66</c:v>
                </c:pt>
                <c:pt idx="505">
                  <c:v>0.64</c:v>
                </c:pt>
                <c:pt idx="506">
                  <c:v>0.63</c:v>
                </c:pt>
                <c:pt idx="507">
                  <c:v>0.62</c:v>
                </c:pt>
                <c:pt idx="508">
                  <c:v>0.6</c:v>
                </c:pt>
                <c:pt idx="509">
                  <c:v>0.55000000000000004</c:v>
                </c:pt>
                <c:pt idx="510">
                  <c:v>0.49</c:v>
                </c:pt>
                <c:pt idx="511">
                  <c:v>0.48</c:v>
                </c:pt>
                <c:pt idx="512">
                  <c:v>0.43</c:v>
                </c:pt>
                <c:pt idx="513">
                  <c:v>0.44</c:v>
                </c:pt>
                <c:pt idx="514">
                  <c:v>0.47</c:v>
                </c:pt>
                <c:pt idx="515">
                  <c:v>0.47</c:v>
                </c:pt>
                <c:pt idx="516">
                  <c:v>0.47</c:v>
                </c:pt>
                <c:pt idx="517">
                  <c:v>0.47</c:v>
                </c:pt>
                <c:pt idx="518">
                  <c:v>0.47</c:v>
                </c:pt>
                <c:pt idx="519">
                  <c:v>0.47</c:v>
                </c:pt>
                <c:pt idx="520">
                  <c:v>0.47</c:v>
                </c:pt>
                <c:pt idx="521">
                  <c:v>0.54</c:v>
                </c:pt>
                <c:pt idx="522">
                  <c:v>0.54</c:v>
                </c:pt>
                <c:pt idx="523">
                  <c:v>0.52</c:v>
                </c:pt>
                <c:pt idx="524">
                  <c:v>0.55000000000000004</c:v>
                </c:pt>
                <c:pt idx="525">
                  <c:v>0.51</c:v>
                </c:pt>
                <c:pt idx="526">
                  <c:v>0.52</c:v>
                </c:pt>
                <c:pt idx="527">
                  <c:v>0.52</c:v>
                </c:pt>
                <c:pt idx="528">
                  <c:v>0.47</c:v>
                </c:pt>
                <c:pt idx="529">
                  <c:v>0.51</c:v>
                </c:pt>
                <c:pt idx="530">
                  <c:v>0.51</c:v>
                </c:pt>
                <c:pt idx="531">
                  <c:v>0.53</c:v>
                </c:pt>
                <c:pt idx="532">
                  <c:v>0.53</c:v>
                </c:pt>
                <c:pt idx="533">
                  <c:v>0.53</c:v>
                </c:pt>
                <c:pt idx="534">
                  <c:v>0.55000000000000004</c:v>
                </c:pt>
                <c:pt idx="535">
                  <c:v>0.55000000000000004</c:v>
                </c:pt>
                <c:pt idx="536">
                  <c:v>0.55000000000000004</c:v>
                </c:pt>
                <c:pt idx="537">
                  <c:v>0.56000000000000005</c:v>
                </c:pt>
                <c:pt idx="538">
                  <c:v>0.6</c:v>
                </c:pt>
                <c:pt idx="539">
                  <c:v>0.62</c:v>
                </c:pt>
                <c:pt idx="540">
                  <c:v>0.68</c:v>
                </c:pt>
                <c:pt idx="541">
                  <c:v>0.67</c:v>
                </c:pt>
                <c:pt idx="542">
                  <c:v>0.65</c:v>
                </c:pt>
                <c:pt idx="543">
                  <c:v>0.67</c:v>
                </c:pt>
                <c:pt idx="544">
                  <c:v>0.67</c:v>
                </c:pt>
                <c:pt idx="545">
                  <c:v>0.68</c:v>
                </c:pt>
                <c:pt idx="546">
                  <c:v>0.68</c:v>
                </c:pt>
                <c:pt idx="547">
                  <c:v>0.69</c:v>
                </c:pt>
                <c:pt idx="548">
                  <c:v>0.7</c:v>
                </c:pt>
                <c:pt idx="549">
                  <c:v>0.7</c:v>
                </c:pt>
                <c:pt idx="550">
                  <c:v>0.71</c:v>
                </c:pt>
                <c:pt idx="551">
                  <c:v>0.66</c:v>
                </c:pt>
                <c:pt idx="552">
                  <c:v>0.64</c:v>
                </c:pt>
                <c:pt idx="553">
                  <c:v>0.62</c:v>
                </c:pt>
                <c:pt idx="554">
                  <c:v>0.63</c:v>
                </c:pt>
                <c:pt idx="555">
                  <c:v>0.64</c:v>
                </c:pt>
                <c:pt idx="556">
                  <c:v>0.64</c:v>
                </c:pt>
                <c:pt idx="557">
                  <c:v>0.63</c:v>
                </c:pt>
                <c:pt idx="558">
                  <c:v>0.65</c:v>
                </c:pt>
                <c:pt idx="559">
                  <c:v>0.63</c:v>
                </c:pt>
                <c:pt idx="560">
                  <c:v>0.61</c:v>
                </c:pt>
                <c:pt idx="561">
                  <c:v>0.59</c:v>
                </c:pt>
                <c:pt idx="562">
                  <c:v>0.62</c:v>
                </c:pt>
                <c:pt idx="563">
                  <c:v>0.59</c:v>
                </c:pt>
                <c:pt idx="564">
                  <c:v>0.56000000000000005</c:v>
                </c:pt>
                <c:pt idx="565">
                  <c:v>0.55000000000000004</c:v>
                </c:pt>
                <c:pt idx="566">
                  <c:v>0.52</c:v>
                </c:pt>
                <c:pt idx="567">
                  <c:v>0.54</c:v>
                </c:pt>
                <c:pt idx="568">
                  <c:v>0.53</c:v>
                </c:pt>
                <c:pt idx="569">
                  <c:v>0.54</c:v>
                </c:pt>
                <c:pt idx="570">
                  <c:v>0.55000000000000004</c:v>
                </c:pt>
                <c:pt idx="571">
                  <c:v>0.55000000000000004</c:v>
                </c:pt>
                <c:pt idx="572">
                  <c:v>0.53</c:v>
                </c:pt>
                <c:pt idx="573">
                  <c:v>0.52</c:v>
                </c:pt>
                <c:pt idx="574">
                  <c:v>0.53</c:v>
                </c:pt>
                <c:pt idx="575">
                  <c:v>0.54</c:v>
                </c:pt>
                <c:pt idx="576">
                  <c:v>0.56000000000000005</c:v>
                </c:pt>
                <c:pt idx="577">
                  <c:v>0.56000000000000005</c:v>
                </c:pt>
                <c:pt idx="578">
                  <c:v>0.56999999999999995</c:v>
                </c:pt>
                <c:pt idx="579">
                  <c:v>0.61</c:v>
                </c:pt>
                <c:pt idx="580">
                  <c:v>0.57999999999999996</c:v>
                </c:pt>
                <c:pt idx="581">
                  <c:v>0.56000000000000005</c:v>
                </c:pt>
                <c:pt idx="582">
                  <c:v>0.56000000000000005</c:v>
                </c:pt>
                <c:pt idx="583">
                  <c:v>0.55000000000000004</c:v>
                </c:pt>
                <c:pt idx="584">
                  <c:v>0.53</c:v>
                </c:pt>
                <c:pt idx="585">
                  <c:v>0.52</c:v>
                </c:pt>
                <c:pt idx="586">
                  <c:v>0.51</c:v>
                </c:pt>
                <c:pt idx="587">
                  <c:v>0.51</c:v>
                </c:pt>
                <c:pt idx="588">
                  <c:v>0.51</c:v>
                </c:pt>
                <c:pt idx="589">
                  <c:v>0.52</c:v>
                </c:pt>
                <c:pt idx="590">
                  <c:v>0.53</c:v>
                </c:pt>
                <c:pt idx="591">
                  <c:v>0.54</c:v>
                </c:pt>
                <c:pt idx="592">
                  <c:v>0.55000000000000004</c:v>
                </c:pt>
                <c:pt idx="593">
                  <c:v>0.56999999999999995</c:v>
                </c:pt>
                <c:pt idx="594">
                  <c:v>0.57999999999999996</c:v>
                </c:pt>
                <c:pt idx="595">
                  <c:v>0.63</c:v>
                </c:pt>
                <c:pt idx="596">
                  <c:v>0.64</c:v>
                </c:pt>
                <c:pt idx="597">
                  <c:v>0.67</c:v>
                </c:pt>
                <c:pt idx="598">
                  <c:v>0.69</c:v>
                </c:pt>
                <c:pt idx="599">
                  <c:v>0.69</c:v>
                </c:pt>
                <c:pt idx="600">
                  <c:v>0.67</c:v>
                </c:pt>
                <c:pt idx="601">
                  <c:v>0.65</c:v>
                </c:pt>
                <c:pt idx="602">
                  <c:v>0.68</c:v>
                </c:pt>
                <c:pt idx="603">
                  <c:v>0.68</c:v>
                </c:pt>
                <c:pt idx="604">
                  <c:v>0.7</c:v>
                </c:pt>
                <c:pt idx="605">
                  <c:v>0.68</c:v>
                </c:pt>
                <c:pt idx="606">
                  <c:v>0.6</c:v>
                </c:pt>
                <c:pt idx="607">
                  <c:v>0.6</c:v>
                </c:pt>
                <c:pt idx="608">
                  <c:v>0.59</c:v>
                </c:pt>
                <c:pt idx="609">
                  <c:v>0.6</c:v>
                </c:pt>
                <c:pt idx="610">
                  <c:v>0.59</c:v>
                </c:pt>
                <c:pt idx="611">
                  <c:v>0.56999999999999995</c:v>
                </c:pt>
                <c:pt idx="612">
                  <c:v>0.55000000000000004</c:v>
                </c:pt>
                <c:pt idx="613">
                  <c:v>0.55000000000000004</c:v>
                </c:pt>
                <c:pt idx="614">
                  <c:v>0.52</c:v>
                </c:pt>
                <c:pt idx="615">
                  <c:v>0.53</c:v>
                </c:pt>
                <c:pt idx="616">
                  <c:v>0.51</c:v>
                </c:pt>
                <c:pt idx="617">
                  <c:v>0.56000000000000005</c:v>
                </c:pt>
                <c:pt idx="618">
                  <c:v>0.56999999999999995</c:v>
                </c:pt>
                <c:pt idx="619">
                  <c:v>0.56000000000000005</c:v>
                </c:pt>
                <c:pt idx="620">
                  <c:v>0.57999999999999996</c:v>
                </c:pt>
                <c:pt idx="621">
                  <c:v>0.48</c:v>
                </c:pt>
                <c:pt idx="622">
                  <c:v>0.45</c:v>
                </c:pt>
                <c:pt idx="623">
                  <c:v>0.45</c:v>
                </c:pt>
                <c:pt idx="624">
                  <c:v>0.46</c:v>
                </c:pt>
                <c:pt idx="625">
                  <c:v>0.45</c:v>
                </c:pt>
                <c:pt idx="626">
                  <c:v>0.45</c:v>
                </c:pt>
                <c:pt idx="627">
                  <c:v>0.44</c:v>
                </c:pt>
                <c:pt idx="628">
                  <c:v>0.46</c:v>
                </c:pt>
                <c:pt idx="629">
                  <c:v>0.47</c:v>
                </c:pt>
                <c:pt idx="630">
                  <c:v>0.48</c:v>
                </c:pt>
                <c:pt idx="631">
                  <c:v>0.5</c:v>
                </c:pt>
                <c:pt idx="632">
                  <c:v>0.52</c:v>
                </c:pt>
                <c:pt idx="633">
                  <c:v>0.51</c:v>
                </c:pt>
                <c:pt idx="634">
                  <c:v>0.53</c:v>
                </c:pt>
                <c:pt idx="635">
                  <c:v>0.52</c:v>
                </c:pt>
                <c:pt idx="636">
                  <c:v>0.52</c:v>
                </c:pt>
                <c:pt idx="637">
                  <c:v>0.56000000000000005</c:v>
                </c:pt>
                <c:pt idx="638">
                  <c:v>0.56000000000000005</c:v>
                </c:pt>
                <c:pt idx="639">
                  <c:v>0.54</c:v>
                </c:pt>
                <c:pt idx="640">
                  <c:v>0.55000000000000004</c:v>
                </c:pt>
                <c:pt idx="641">
                  <c:v>0.55000000000000004</c:v>
                </c:pt>
                <c:pt idx="642">
                  <c:v>0.55000000000000004</c:v>
                </c:pt>
                <c:pt idx="643">
                  <c:v>0.53</c:v>
                </c:pt>
                <c:pt idx="644">
                  <c:v>0.53</c:v>
                </c:pt>
                <c:pt idx="645">
                  <c:v>0.5</c:v>
                </c:pt>
                <c:pt idx="646">
                  <c:v>0.5</c:v>
                </c:pt>
                <c:pt idx="647">
                  <c:v>0.5</c:v>
                </c:pt>
                <c:pt idx="648">
                  <c:v>0.53</c:v>
                </c:pt>
                <c:pt idx="649">
                  <c:v>0.51</c:v>
                </c:pt>
                <c:pt idx="650">
                  <c:v>0.56000000000000005</c:v>
                </c:pt>
                <c:pt idx="651">
                  <c:v>0.56999999999999995</c:v>
                </c:pt>
                <c:pt idx="652">
                  <c:v>0.55000000000000004</c:v>
                </c:pt>
                <c:pt idx="653">
                  <c:v>0.55000000000000004</c:v>
                </c:pt>
                <c:pt idx="654">
                  <c:v>0.55000000000000004</c:v>
                </c:pt>
                <c:pt idx="655">
                  <c:v>0.56000000000000005</c:v>
                </c:pt>
                <c:pt idx="656">
                  <c:v>0.56000000000000005</c:v>
                </c:pt>
                <c:pt idx="657">
                  <c:v>0.53939999999999999</c:v>
                </c:pt>
                <c:pt idx="658">
                  <c:v>0.57530000000000003</c:v>
                </c:pt>
                <c:pt idx="659">
                  <c:v>0.56510000000000005</c:v>
                </c:pt>
                <c:pt idx="660">
                  <c:v>0.58040000000000003</c:v>
                </c:pt>
                <c:pt idx="661">
                  <c:v>0.58040000000000003</c:v>
                </c:pt>
                <c:pt idx="662">
                  <c:v>0.58040000000000003</c:v>
                </c:pt>
                <c:pt idx="663">
                  <c:v>0.57530000000000003</c:v>
                </c:pt>
                <c:pt idx="664">
                  <c:v>0.57530000000000003</c:v>
                </c:pt>
                <c:pt idx="665">
                  <c:v>0.6008</c:v>
                </c:pt>
                <c:pt idx="666">
                  <c:v>0.59570000000000001</c:v>
                </c:pt>
                <c:pt idx="667">
                  <c:v>0.59060000000000001</c:v>
                </c:pt>
                <c:pt idx="668">
                  <c:v>0.59060000000000001</c:v>
                </c:pt>
                <c:pt idx="669">
                  <c:v>0.58540000000000003</c:v>
                </c:pt>
                <c:pt idx="670">
                  <c:v>0.58030000000000004</c:v>
                </c:pt>
                <c:pt idx="671">
                  <c:v>0.58030000000000004</c:v>
                </c:pt>
                <c:pt idx="672">
                  <c:v>0.54959999999999998</c:v>
                </c:pt>
                <c:pt idx="673">
                  <c:v>0.54959999999999998</c:v>
                </c:pt>
                <c:pt idx="674">
                  <c:v>0.56489999999999996</c:v>
                </c:pt>
                <c:pt idx="675">
                  <c:v>0.55979999999999996</c:v>
                </c:pt>
                <c:pt idx="676">
                  <c:v>0.55469999999999997</c:v>
                </c:pt>
                <c:pt idx="677">
                  <c:v>0.56999999999999995</c:v>
                </c:pt>
                <c:pt idx="678">
                  <c:v>0.61109999999999998</c:v>
                </c:pt>
                <c:pt idx="679">
                  <c:v>0.5958</c:v>
                </c:pt>
                <c:pt idx="680">
                  <c:v>0.60089999999999999</c:v>
                </c:pt>
                <c:pt idx="681">
                  <c:v>0.60599999999999998</c:v>
                </c:pt>
                <c:pt idx="682">
                  <c:v>0.60599999999999998</c:v>
                </c:pt>
                <c:pt idx="683">
                  <c:v>0.6008</c:v>
                </c:pt>
                <c:pt idx="684">
                  <c:v>0.58040000000000003</c:v>
                </c:pt>
                <c:pt idx="685">
                  <c:v>0.57520000000000004</c:v>
                </c:pt>
                <c:pt idx="686">
                  <c:v>0.57010000000000005</c:v>
                </c:pt>
                <c:pt idx="687">
                  <c:v>0.57010000000000005</c:v>
                </c:pt>
                <c:pt idx="688">
                  <c:v>0.58030000000000004</c:v>
                </c:pt>
                <c:pt idx="689">
                  <c:v>0.57010000000000005</c:v>
                </c:pt>
                <c:pt idx="690">
                  <c:v>0.58540000000000003</c:v>
                </c:pt>
                <c:pt idx="691">
                  <c:v>0.60589999999999999</c:v>
                </c:pt>
                <c:pt idx="692">
                  <c:v>0.62629999999999997</c:v>
                </c:pt>
                <c:pt idx="693">
                  <c:v>0.62629999999999997</c:v>
                </c:pt>
                <c:pt idx="694">
                  <c:v>0.63139999999999996</c:v>
                </c:pt>
                <c:pt idx="695">
                  <c:v>0.63139999999999996</c:v>
                </c:pt>
                <c:pt idx="696">
                  <c:v>0.63139999999999996</c:v>
                </c:pt>
                <c:pt idx="697">
                  <c:v>0.64159999999999995</c:v>
                </c:pt>
                <c:pt idx="698">
                  <c:v>0.67769999999999997</c:v>
                </c:pt>
                <c:pt idx="699">
                  <c:v>0.65200000000000002</c:v>
                </c:pt>
                <c:pt idx="700">
                  <c:v>0.65710000000000002</c:v>
                </c:pt>
                <c:pt idx="701">
                  <c:v>0.64180000000000004</c:v>
                </c:pt>
                <c:pt idx="702">
                  <c:v>0.64180000000000004</c:v>
                </c:pt>
                <c:pt idx="703">
                  <c:v>0.63149999999999995</c:v>
                </c:pt>
                <c:pt idx="704">
                  <c:v>0.64690000000000003</c:v>
                </c:pt>
                <c:pt idx="705">
                  <c:v>0.64170000000000005</c:v>
                </c:pt>
                <c:pt idx="706">
                  <c:v>0.64680000000000004</c:v>
                </c:pt>
                <c:pt idx="707">
                  <c:v>0.65190000000000003</c:v>
                </c:pt>
                <c:pt idx="708">
                  <c:v>0.64680000000000004</c:v>
                </c:pt>
                <c:pt idx="709">
                  <c:v>0.65190000000000003</c:v>
                </c:pt>
                <c:pt idx="710">
                  <c:v>0.64170000000000005</c:v>
                </c:pt>
                <c:pt idx="711">
                  <c:v>0.64170000000000005</c:v>
                </c:pt>
                <c:pt idx="712">
                  <c:v>0.63649999999999995</c:v>
                </c:pt>
                <c:pt idx="713">
                  <c:v>0.62629999999999997</c:v>
                </c:pt>
                <c:pt idx="714">
                  <c:v>0.62119999999999997</c:v>
                </c:pt>
                <c:pt idx="715">
                  <c:v>0.60070000000000001</c:v>
                </c:pt>
                <c:pt idx="716">
                  <c:v>0.6109</c:v>
                </c:pt>
                <c:pt idx="717">
                  <c:v>0.64159999999999995</c:v>
                </c:pt>
                <c:pt idx="718">
                  <c:v>0.70840000000000003</c:v>
                </c:pt>
                <c:pt idx="719">
                  <c:v>0.71860000000000002</c:v>
                </c:pt>
                <c:pt idx="720">
                  <c:v>0.71860000000000002</c:v>
                </c:pt>
                <c:pt idx="721">
                  <c:v>0.76470000000000005</c:v>
                </c:pt>
                <c:pt idx="722">
                  <c:v>0.75439999999999996</c:v>
                </c:pt>
                <c:pt idx="723">
                  <c:v>0.73909999999999998</c:v>
                </c:pt>
                <c:pt idx="724">
                  <c:v>0.75949999999999995</c:v>
                </c:pt>
                <c:pt idx="725">
                  <c:v>0.75439999999999996</c:v>
                </c:pt>
                <c:pt idx="726">
                  <c:v>0.75949999999999995</c:v>
                </c:pt>
                <c:pt idx="727">
                  <c:v>0.75949999999999995</c:v>
                </c:pt>
                <c:pt idx="728">
                  <c:v>0.76970000000000005</c:v>
                </c:pt>
                <c:pt idx="729">
                  <c:v>0.76970000000000005</c:v>
                </c:pt>
                <c:pt idx="730">
                  <c:v>0.77990000000000004</c:v>
                </c:pt>
                <c:pt idx="731">
                  <c:v>0.76970000000000005</c:v>
                </c:pt>
                <c:pt idx="732">
                  <c:v>0.76449999999999996</c:v>
                </c:pt>
                <c:pt idx="733">
                  <c:v>0.77480000000000004</c:v>
                </c:pt>
                <c:pt idx="734">
                  <c:v>0.77990000000000004</c:v>
                </c:pt>
                <c:pt idx="735">
                  <c:v>0.76959999999999995</c:v>
                </c:pt>
                <c:pt idx="736">
                  <c:v>0.79010000000000002</c:v>
                </c:pt>
                <c:pt idx="737">
                  <c:v>0.78500000000000003</c:v>
                </c:pt>
                <c:pt idx="738">
                  <c:v>0.83150000000000002</c:v>
                </c:pt>
                <c:pt idx="739">
                  <c:v>0.83660000000000001</c:v>
                </c:pt>
                <c:pt idx="740">
                  <c:v>0.8468</c:v>
                </c:pt>
                <c:pt idx="741">
                  <c:v>0.8468</c:v>
                </c:pt>
                <c:pt idx="742">
                  <c:v>0.86729999999999996</c:v>
                </c:pt>
                <c:pt idx="743">
                  <c:v>0.90839999999999999</c:v>
                </c:pt>
                <c:pt idx="744">
                  <c:v>0.88780000000000003</c:v>
                </c:pt>
                <c:pt idx="745">
                  <c:v>0.88260000000000005</c:v>
                </c:pt>
                <c:pt idx="746">
                  <c:v>0.87749999999999995</c:v>
                </c:pt>
                <c:pt idx="747">
                  <c:v>0.87749999999999995</c:v>
                </c:pt>
                <c:pt idx="748">
                  <c:v>0.8569</c:v>
                </c:pt>
                <c:pt idx="749">
                  <c:v>0.8518</c:v>
                </c:pt>
                <c:pt idx="750">
                  <c:v>0.85170000000000001</c:v>
                </c:pt>
                <c:pt idx="751">
                  <c:v>0.85170000000000001</c:v>
                </c:pt>
                <c:pt idx="752">
                  <c:v>0.85680000000000001</c:v>
                </c:pt>
                <c:pt idx="753">
                  <c:v>0.85170000000000001</c:v>
                </c:pt>
                <c:pt idx="754">
                  <c:v>0.81579999999999997</c:v>
                </c:pt>
                <c:pt idx="755">
                  <c:v>0.81059999999999999</c:v>
                </c:pt>
                <c:pt idx="756">
                  <c:v>0.81059999999999999</c:v>
                </c:pt>
                <c:pt idx="757">
                  <c:v>0.82599999999999996</c:v>
                </c:pt>
                <c:pt idx="758">
                  <c:v>0.86229999999999996</c:v>
                </c:pt>
                <c:pt idx="759">
                  <c:v>0.82120000000000004</c:v>
                </c:pt>
                <c:pt idx="760">
                  <c:v>0.83140000000000003</c:v>
                </c:pt>
                <c:pt idx="761">
                  <c:v>0.80569999999999997</c:v>
                </c:pt>
                <c:pt idx="762">
                  <c:v>0.80059999999999998</c:v>
                </c:pt>
                <c:pt idx="763">
                  <c:v>0.80569999999999997</c:v>
                </c:pt>
                <c:pt idx="764">
                  <c:v>0.7954</c:v>
                </c:pt>
                <c:pt idx="765">
                  <c:v>0.7954</c:v>
                </c:pt>
                <c:pt idx="766">
                  <c:v>0.7954</c:v>
                </c:pt>
                <c:pt idx="767">
                  <c:v>0.78</c:v>
                </c:pt>
                <c:pt idx="768">
                  <c:v>0.80559999999999998</c:v>
                </c:pt>
                <c:pt idx="769">
                  <c:v>0.80049999999999999</c:v>
                </c:pt>
                <c:pt idx="770">
                  <c:v>0.79020000000000001</c:v>
                </c:pt>
                <c:pt idx="771">
                  <c:v>0.76449999999999996</c:v>
                </c:pt>
                <c:pt idx="772">
                  <c:v>0.77990000000000004</c:v>
                </c:pt>
                <c:pt idx="773">
                  <c:v>0.78500000000000003</c:v>
                </c:pt>
                <c:pt idx="774">
                  <c:v>0.78500000000000003</c:v>
                </c:pt>
                <c:pt idx="775">
                  <c:v>0.78500000000000003</c:v>
                </c:pt>
                <c:pt idx="776">
                  <c:v>0.77470000000000006</c:v>
                </c:pt>
                <c:pt idx="777">
                  <c:v>0.75929999999999997</c:v>
                </c:pt>
                <c:pt idx="778">
                  <c:v>0.82120000000000004</c:v>
                </c:pt>
                <c:pt idx="779">
                  <c:v>0.81089999999999995</c:v>
                </c:pt>
                <c:pt idx="780">
                  <c:v>0.80059999999999998</c:v>
                </c:pt>
                <c:pt idx="781">
                  <c:v>0.78010000000000002</c:v>
                </c:pt>
                <c:pt idx="782">
                  <c:v>0.78010000000000002</c:v>
                </c:pt>
                <c:pt idx="783">
                  <c:v>0.77490000000000003</c:v>
                </c:pt>
                <c:pt idx="784">
                  <c:v>0.78520000000000001</c:v>
                </c:pt>
                <c:pt idx="785">
                  <c:v>0.7903</c:v>
                </c:pt>
                <c:pt idx="786">
                  <c:v>0.80049999999999999</c:v>
                </c:pt>
                <c:pt idx="787">
                  <c:v>0.82099999999999995</c:v>
                </c:pt>
                <c:pt idx="788">
                  <c:v>0.82609999999999995</c:v>
                </c:pt>
                <c:pt idx="789">
                  <c:v>0.79530000000000001</c:v>
                </c:pt>
                <c:pt idx="790">
                  <c:v>0.79530000000000001</c:v>
                </c:pt>
                <c:pt idx="791">
                  <c:v>0.79530000000000001</c:v>
                </c:pt>
                <c:pt idx="792">
                  <c:v>0.79530000000000001</c:v>
                </c:pt>
                <c:pt idx="793">
                  <c:v>0.79530000000000001</c:v>
                </c:pt>
                <c:pt idx="794">
                  <c:v>0.77990000000000004</c:v>
                </c:pt>
                <c:pt idx="795">
                  <c:v>0.77470000000000006</c:v>
                </c:pt>
                <c:pt idx="796">
                  <c:v>0.77470000000000006</c:v>
                </c:pt>
                <c:pt idx="797">
                  <c:v>0.82079999999999997</c:v>
                </c:pt>
                <c:pt idx="798">
                  <c:v>0.91359999999999997</c:v>
                </c:pt>
                <c:pt idx="799">
                  <c:v>0.95989999999999998</c:v>
                </c:pt>
                <c:pt idx="800">
                  <c:v>0.95979999999999999</c:v>
                </c:pt>
                <c:pt idx="801">
                  <c:v>0.96499999999999997</c:v>
                </c:pt>
                <c:pt idx="802">
                  <c:v>0.99580000000000002</c:v>
                </c:pt>
                <c:pt idx="803">
                  <c:v>1.0163</c:v>
                </c:pt>
                <c:pt idx="804">
                  <c:v>1.0318000000000001</c:v>
                </c:pt>
                <c:pt idx="805">
                  <c:v>1.0266</c:v>
                </c:pt>
                <c:pt idx="806">
                  <c:v>1.0470999999999999</c:v>
                </c:pt>
                <c:pt idx="807">
                  <c:v>1.0367999999999999</c:v>
                </c:pt>
                <c:pt idx="808">
                  <c:v>1.0007999999999999</c:v>
                </c:pt>
                <c:pt idx="809">
                  <c:v>0.98529999999999995</c:v>
                </c:pt>
                <c:pt idx="810">
                  <c:v>0.98009999999999997</c:v>
                </c:pt>
                <c:pt idx="811">
                  <c:v>0.98009999999999997</c:v>
                </c:pt>
                <c:pt idx="812">
                  <c:v>0.9698</c:v>
                </c:pt>
                <c:pt idx="813">
                  <c:v>0.9647</c:v>
                </c:pt>
                <c:pt idx="814">
                  <c:v>0.95950000000000002</c:v>
                </c:pt>
                <c:pt idx="815">
                  <c:v>0.96460000000000001</c:v>
                </c:pt>
                <c:pt idx="816">
                  <c:v>0.9748</c:v>
                </c:pt>
                <c:pt idx="817">
                  <c:v>1.0107999999999999</c:v>
                </c:pt>
                <c:pt idx="818">
                  <c:v>1.0319</c:v>
                </c:pt>
                <c:pt idx="819">
                  <c:v>1.0216000000000001</c:v>
                </c:pt>
                <c:pt idx="820">
                  <c:v>1.0164</c:v>
                </c:pt>
                <c:pt idx="821">
                  <c:v>1.0061</c:v>
                </c:pt>
                <c:pt idx="822">
                  <c:v>1.0215000000000001</c:v>
                </c:pt>
                <c:pt idx="823">
                  <c:v>1.0163</c:v>
                </c:pt>
                <c:pt idx="824">
                  <c:v>1.0266</c:v>
                </c:pt>
                <c:pt idx="825">
                  <c:v>1.0573999999999999</c:v>
                </c:pt>
                <c:pt idx="826">
                  <c:v>1.0523</c:v>
                </c:pt>
                <c:pt idx="827">
                  <c:v>1.0367999999999999</c:v>
                </c:pt>
                <c:pt idx="828">
                  <c:v>1.0162</c:v>
                </c:pt>
                <c:pt idx="829">
                  <c:v>1.0109999999999999</c:v>
                </c:pt>
                <c:pt idx="830">
                  <c:v>1.0109999999999999</c:v>
                </c:pt>
                <c:pt idx="831">
                  <c:v>1.0161</c:v>
                </c:pt>
                <c:pt idx="832">
                  <c:v>1.0006999999999999</c:v>
                </c:pt>
                <c:pt idx="833">
                  <c:v>1.0005999999999999</c:v>
                </c:pt>
                <c:pt idx="834">
                  <c:v>0.99029999999999996</c:v>
                </c:pt>
                <c:pt idx="835">
                  <c:v>0.97489999999999999</c:v>
                </c:pt>
                <c:pt idx="836">
                  <c:v>1.0057</c:v>
                </c:pt>
                <c:pt idx="837">
                  <c:v>1.0262</c:v>
                </c:pt>
                <c:pt idx="838">
                  <c:v>1.0628</c:v>
                </c:pt>
                <c:pt idx="839">
                  <c:v>1.0525</c:v>
                </c:pt>
                <c:pt idx="840">
                  <c:v>1.0576000000000001</c:v>
                </c:pt>
                <c:pt idx="841">
                  <c:v>1.073</c:v>
                </c:pt>
                <c:pt idx="842">
                  <c:v>1.0678000000000001</c:v>
                </c:pt>
                <c:pt idx="843">
                  <c:v>1.0832999999999999</c:v>
                </c:pt>
                <c:pt idx="844">
                  <c:v>1.0934999999999999</c:v>
                </c:pt>
                <c:pt idx="845">
                  <c:v>1.0934999999999999</c:v>
                </c:pt>
                <c:pt idx="846">
                  <c:v>1.1089</c:v>
                </c:pt>
                <c:pt idx="847">
                  <c:v>1.1192</c:v>
                </c:pt>
                <c:pt idx="848">
                  <c:v>1.1192</c:v>
                </c:pt>
                <c:pt idx="849">
                  <c:v>1.1191</c:v>
                </c:pt>
                <c:pt idx="850">
                  <c:v>1.1035999999999999</c:v>
                </c:pt>
                <c:pt idx="851">
                  <c:v>1.1035999999999999</c:v>
                </c:pt>
                <c:pt idx="852">
                  <c:v>1.0984</c:v>
                </c:pt>
                <c:pt idx="853">
                  <c:v>1.0726</c:v>
                </c:pt>
                <c:pt idx="854">
                  <c:v>1.0726</c:v>
                </c:pt>
                <c:pt idx="855">
                  <c:v>1.0880000000000001</c:v>
                </c:pt>
                <c:pt idx="856">
                  <c:v>1.0983000000000001</c:v>
                </c:pt>
                <c:pt idx="857">
                  <c:v>1.1240000000000001</c:v>
                </c:pt>
                <c:pt idx="858">
                  <c:v>1.1504000000000001</c:v>
                </c:pt>
                <c:pt idx="859">
                  <c:v>1.1504000000000001</c:v>
                </c:pt>
                <c:pt idx="860">
                  <c:v>1.1452</c:v>
                </c:pt>
                <c:pt idx="861">
                  <c:v>1.1452</c:v>
                </c:pt>
                <c:pt idx="862">
                  <c:v>1.1451</c:v>
                </c:pt>
                <c:pt idx="863">
                  <c:v>1.1503000000000001</c:v>
                </c:pt>
                <c:pt idx="864">
                  <c:v>1.1451</c:v>
                </c:pt>
                <c:pt idx="865">
                  <c:v>1.1501999999999999</c:v>
                </c:pt>
                <c:pt idx="866">
                  <c:v>1.1553</c:v>
                </c:pt>
                <c:pt idx="867">
                  <c:v>1.1449</c:v>
                </c:pt>
                <c:pt idx="868">
                  <c:v>1.1655</c:v>
                </c:pt>
                <c:pt idx="869">
                  <c:v>1.1707000000000001</c:v>
                </c:pt>
                <c:pt idx="870">
                  <c:v>1.1859999999999999</c:v>
                </c:pt>
                <c:pt idx="871">
                  <c:v>1.1962999999999999</c:v>
                </c:pt>
                <c:pt idx="872">
                  <c:v>1.2015</c:v>
                </c:pt>
                <c:pt idx="873">
                  <c:v>1.1859999999999999</c:v>
                </c:pt>
                <c:pt idx="874">
                  <c:v>1.1961999999999999</c:v>
                </c:pt>
                <c:pt idx="875">
                  <c:v>1.1859</c:v>
                </c:pt>
                <c:pt idx="876">
                  <c:v>1.2013</c:v>
                </c:pt>
                <c:pt idx="877">
                  <c:v>1.2063999999999999</c:v>
                </c:pt>
                <c:pt idx="878">
                  <c:v>1.2123999999999999</c:v>
                </c:pt>
                <c:pt idx="879">
                  <c:v>1.2072000000000001</c:v>
                </c:pt>
                <c:pt idx="880">
                  <c:v>1.2019</c:v>
                </c:pt>
                <c:pt idx="881">
                  <c:v>1.1967000000000001</c:v>
                </c:pt>
                <c:pt idx="882">
                  <c:v>1.2070000000000001</c:v>
                </c:pt>
                <c:pt idx="883">
                  <c:v>1.2018</c:v>
                </c:pt>
                <c:pt idx="884">
                  <c:v>1.2173</c:v>
                </c:pt>
                <c:pt idx="885">
                  <c:v>1.2275</c:v>
                </c:pt>
                <c:pt idx="886">
                  <c:v>1.2326999999999999</c:v>
                </c:pt>
                <c:pt idx="887">
                  <c:v>1.2428999999999999</c:v>
                </c:pt>
                <c:pt idx="888">
                  <c:v>1.2428999999999999</c:v>
                </c:pt>
                <c:pt idx="889">
                  <c:v>1.2274</c:v>
                </c:pt>
                <c:pt idx="890">
                  <c:v>1.2171000000000001</c:v>
                </c:pt>
                <c:pt idx="891">
                  <c:v>1.2067000000000001</c:v>
                </c:pt>
                <c:pt idx="892">
                  <c:v>1.2118</c:v>
                </c:pt>
                <c:pt idx="893">
                  <c:v>1.2065999999999999</c:v>
                </c:pt>
                <c:pt idx="894">
                  <c:v>1.1962999999999999</c:v>
                </c:pt>
                <c:pt idx="895">
                  <c:v>1.1911</c:v>
                </c:pt>
                <c:pt idx="896">
                  <c:v>1.2014</c:v>
                </c:pt>
                <c:pt idx="897">
                  <c:v>1.1961999999999999</c:v>
                </c:pt>
                <c:pt idx="898">
                  <c:v>1.1960999999999999</c:v>
                </c:pt>
                <c:pt idx="899">
                  <c:v>1.1910000000000001</c:v>
                </c:pt>
                <c:pt idx="900">
                  <c:v>1.2175</c:v>
                </c:pt>
                <c:pt idx="901">
                  <c:v>1.2072000000000001</c:v>
                </c:pt>
                <c:pt idx="902">
                  <c:v>1.2071000000000001</c:v>
                </c:pt>
                <c:pt idx="903">
                  <c:v>1.2174</c:v>
                </c:pt>
                <c:pt idx="904">
                  <c:v>1.2277</c:v>
                </c:pt>
                <c:pt idx="905">
                  <c:v>1.2173</c:v>
                </c:pt>
                <c:pt idx="906">
                  <c:v>1.2173</c:v>
                </c:pt>
                <c:pt idx="907">
                  <c:v>1.2069000000000001</c:v>
                </c:pt>
                <c:pt idx="908">
                  <c:v>1.212</c:v>
                </c:pt>
                <c:pt idx="909">
                  <c:v>1.2068000000000001</c:v>
                </c:pt>
                <c:pt idx="910">
                  <c:v>1.2119</c:v>
                </c:pt>
                <c:pt idx="911">
                  <c:v>1.2105999999999999</c:v>
                </c:pt>
                <c:pt idx="912">
                  <c:v>1.2182999999999999</c:v>
                </c:pt>
                <c:pt idx="913">
                  <c:v>1.2208000000000001</c:v>
                </c:pt>
                <c:pt idx="914">
                  <c:v>1.2221</c:v>
                </c:pt>
                <c:pt idx="915">
                  <c:v>1.2027000000000001</c:v>
                </c:pt>
                <c:pt idx="916">
                  <c:v>1.2014</c:v>
                </c:pt>
                <c:pt idx="917">
                  <c:v>1.1949000000000001</c:v>
                </c:pt>
                <c:pt idx="918">
                  <c:v>1.2052</c:v>
                </c:pt>
                <c:pt idx="919">
                  <c:v>1.2270000000000001</c:v>
                </c:pt>
                <c:pt idx="920">
                  <c:v>1.2382</c:v>
                </c:pt>
                <c:pt idx="921">
                  <c:v>1.2226999999999999</c:v>
                </c:pt>
                <c:pt idx="922">
                  <c:v>1.2225999999999999</c:v>
                </c:pt>
                <c:pt idx="923">
                  <c:v>1.2148000000000001</c:v>
                </c:pt>
                <c:pt idx="924">
                  <c:v>1.2277</c:v>
                </c:pt>
                <c:pt idx="925">
                  <c:v>1.2173</c:v>
                </c:pt>
                <c:pt idx="926">
                  <c:v>1.2289000000000001</c:v>
                </c:pt>
                <c:pt idx="927">
                  <c:v>1.2249000000000001</c:v>
                </c:pt>
                <c:pt idx="928">
                  <c:v>1.2287999999999999</c:v>
                </c:pt>
                <c:pt idx="929">
                  <c:v>1.2158</c:v>
                </c:pt>
                <c:pt idx="930">
                  <c:v>1.2183999999999999</c:v>
                </c:pt>
                <c:pt idx="931">
                  <c:v>1.2171000000000001</c:v>
                </c:pt>
                <c:pt idx="932">
                  <c:v>1.2221</c:v>
                </c:pt>
                <c:pt idx="933">
                  <c:v>1.2221</c:v>
                </c:pt>
                <c:pt idx="934">
                  <c:v>1.2092000000000001</c:v>
                </c:pt>
                <c:pt idx="935">
                  <c:v>1.2272000000000001</c:v>
                </c:pt>
                <c:pt idx="936">
                  <c:v>1.2000999999999999</c:v>
                </c:pt>
                <c:pt idx="937">
                  <c:v>1.1975</c:v>
                </c:pt>
                <c:pt idx="938">
                  <c:v>1.2244999999999999</c:v>
                </c:pt>
                <c:pt idx="939">
                  <c:v>1.2205999999999999</c:v>
                </c:pt>
                <c:pt idx="940">
                  <c:v>1.264</c:v>
                </c:pt>
                <c:pt idx="941">
                  <c:v>1.2768999999999999</c:v>
                </c:pt>
                <c:pt idx="942">
                  <c:v>1.2897000000000001</c:v>
                </c:pt>
                <c:pt idx="943">
                  <c:v>1.2948</c:v>
                </c:pt>
                <c:pt idx="944">
                  <c:v>1.2922</c:v>
                </c:pt>
                <c:pt idx="945">
                  <c:v>1.2948</c:v>
                </c:pt>
                <c:pt idx="946">
                  <c:v>1.2999000000000001</c:v>
                </c:pt>
                <c:pt idx="947">
                  <c:v>1.2946</c:v>
                </c:pt>
                <c:pt idx="948">
                  <c:v>1.2843</c:v>
                </c:pt>
                <c:pt idx="949">
                  <c:v>1.292</c:v>
                </c:pt>
                <c:pt idx="950">
                  <c:v>1.3023</c:v>
                </c:pt>
                <c:pt idx="951">
                  <c:v>1.2867999999999999</c:v>
                </c:pt>
                <c:pt idx="952">
                  <c:v>1.2891999999999999</c:v>
                </c:pt>
                <c:pt idx="953">
                  <c:v>1.2866</c:v>
                </c:pt>
                <c:pt idx="954">
                  <c:v>1.2866</c:v>
                </c:pt>
                <c:pt idx="955">
                  <c:v>1.3098000000000001</c:v>
                </c:pt>
                <c:pt idx="956">
                  <c:v>1.333</c:v>
                </c:pt>
                <c:pt idx="957">
                  <c:v>1.3329</c:v>
                </c:pt>
                <c:pt idx="958">
                  <c:v>1.3329</c:v>
                </c:pt>
                <c:pt idx="959">
                  <c:v>1.3586</c:v>
                </c:pt>
                <c:pt idx="960">
                  <c:v>1.3985000000000001</c:v>
                </c:pt>
                <c:pt idx="961">
                  <c:v>1.3957999999999999</c:v>
                </c:pt>
                <c:pt idx="962">
                  <c:v>1.3878999999999999</c:v>
                </c:pt>
                <c:pt idx="963">
                  <c:v>1.4034</c:v>
                </c:pt>
                <c:pt idx="964">
                  <c:v>1.3982000000000001</c:v>
                </c:pt>
                <c:pt idx="965">
                  <c:v>1.4058999999999999</c:v>
                </c:pt>
                <c:pt idx="966">
                  <c:v>1.3955</c:v>
                </c:pt>
                <c:pt idx="967">
                  <c:v>1.4135</c:v>
                </c:pt>
                <c:pt idx="968">
                  <c:v>1.4031</c:v>
                </c:pt>
                <c:pt idx="969">
                  <c:v>1.4135</c:v>
                </c:pt>
                <c:pt idx="970">
                  <c:v>1.4134</c:v>
                </c:pt>
                <c:pt idx="971">
                  <c:v>1.4185000000000001</c:v>
                </c:pt>
                <c:pt idx="972">
                  <c:v>1.4055</c:v>
                </c:pt>
                <c:pt idx="973">
                  <c:v>1.4079999999999999</c:v>
                </c:pt>
                <c:pt idx="974">
                  <c:v>1.4209000000000001</c:v>
                </c:pt>
                <c:pt idx="975">
                  <c:v>1.4312</c:v>
                </c:pt>
                <c:pt idx="976">
                  <c:v>1.4338</c:v>
                </c:pt>
                <c:pt idx="977">
                  <c:v>1.4569000000000001</c:v>
                </c:pt>
                <c:pt idx="978">
                  <c:v>1.4776</c:v>
                </c:pt>
                <c:pt idx="979">
                  <c:v>1.4879</c:v>
                </c:pt>
                <c:pt idx="980">
                  <c:v>1.5202</c:v>
                </c:pt>
                <c:pt idx="981">
                  <c:v>1.5149999999999999</c:v>
                </c:pt>
                <c:pt idx="982">
                  <c:v>1.5278</c:v>
                </c:pt>
                <c:pt idx="983">
                  <c:v>1.5381</c:v>
                </c:pt>
                <c:pt idx="984">
                  <c:v>1.5458000000000001</c:v>
                </c:pt>
                <c:pt idx="985">
                  <c:v>1.538</c:v>
                </c:pt>
                <c:pt idx="986">
                  <c:v>1.59</c:v>
                </c:pt>
                <c:pt idx="987">
                  <c:v>1.6</c:v>
                </c:pt>
                <c:pt idx="988">
                  <c:v>1.62</c:v>
                </c:pt>
                <c:pt idx="989">
                  <c:v>1.62</c:v>
                </c:pt>
                <c:pt idx="990">
                  <c:v>1.61</c:v>
                </c:pt>
                <c:pt idx="991">
                  <c:v>1.61</c:v>
                </c:pt>
                <c:pt idx="992">
                  <c:v>1.62</c:v>
                </c:pt>
                <c:pt idx="993">
                  <c:v>1.61</c:v>
                </c:pt>
                <c:pt idx="994">
                  <c:v>1.61</c:v>
                </c:pt>
                <c:pt idx="995">
                  <c:v>1.62</c:v>
                </c:pt>
                <c:pt idx="996">
                  <c:v>1.62</c:v>
                </c:pt>
                <c:pt idx="997">
                  <c:v>1.66</c:v>
                </c:pt>
                <c:pt idx="998">
                  <c:v>1.64</c:v>
                </c:pt>
                <c:pt idx="999">
                  <c:v>1.68</c:v>
                </c:pt>
                <c:pt idx="1000">
                  <c:v>1.67</c:v>
                </c:pt>
                <c:pt idx="1001">
                  <c:v>1.65</c:v>
                </c:pt>
                <c:pt idx="1002">
                  <c:v>1.69</c:v>
                </c:pt>
                <c:pt idx="1003">
                  <c:v>1.7</c:v>
                </c:pt>
                <c:pt idx="1004">
                  <c:v>1.68</c:v>
                </c:pt>
                <c:pt idx="1005">
                  <c:v>1.7</c:v>
                </c:pt>
                <c:pt idx="1006">
                  <c:v>1.71</c:v>
                </c:pt>
                <c:pt idx="1007">
                  <c:v>1.7</c:v>
                </c:pt>
                <c:pt idx="1008">
                  <c:v>1.71</c:v>
                </c:pt>
                <c:pt idx="1009">
                  <c:v>1.72</c:v>
                </c:pt>
                <c:pt idx="1010">
                  <c:v>1.73</c:v>
                </c:pt>
                <c:pt idx="1011">
                  <c:v>1.73</c:v>
                </c:pt>
                <c:pt idx="1012">
                  <c:v>1.7138</c:v>
                </c:pt>
                <c:pt idx="1013">
                  <c:v>1.75</c:v>
                </c:pt>
                <c:pt idx="1014">
                  <c:v>1.75</c:v>
                </c:pt>
                <c:pt idx="1015">
                  <c:v>1.76</c:v>
                </c:pt>
                <c:pt idx="1016">
                  <c:v>1.76</c:v>
                </c:pt>
                <c:pt idx="1017">
                  <c:v>1.7316</c:v>
                </c:pt>
                <c:pt idx="1018">
                  <c:v>1.83</c:v>
                </c:pt>
                <c:pt idx="1019">
                  <c:v>1.81</c:v>
                </c:pt>
                <c:pt idx="1020">
                  <c:v>1.82</c:v>
                </c:pt>
                <c:pt idx="1021">
                  <c:v>1.8</c:v>
                </c:pt>
                <c:pt idx="1022">
                  <c:v>1.79</c:v>
                </c:pt>
                <c:pt idx="1023">
                  <c:v>1.78</c:v>
                </c:pt>
                <c:pt idx="1024">
                  <c:v>1.78</c:v>
                </c:pt>
                <c:pt idx="1025">
                  <c:v>1.77</c:v>
                </c:pt>
                <c:pt idx="1026">
                  <c:v>1.78</c:v>
                </c:pt>
                <c:pt idx="1027">
                  <c:v>1.7714000000000001</c:v>
                </c:pt>
                <c:pt idx="1028">
                  <c:v>1.79</c:v>
                </c:pt>
                <c:pt idx="1029">
                  <c:v>1.79</c:v>
                </c:pt>
                <c:pt idx="1030">
                  <c:v>1.79</c:v>
                </c:pt>
                <c:pt idx="1031">
                  <c:v>1.79</c:v>
                </c:pt>
                <c:pt idx="1032">
                  <c:v>1.79</c:v>
                </c:pt>
                <c:pt idx="1033">
                  <c:v>1.78</c:v>
                </c:pt>
                <c:pt idx="1034">
                  <c:v>1.79</c:v>
                </c:pt>
                <c:pt idx="1035">
                  <c:v>1.8</c:v>
                </c:pt>
                <c:pt idx="1036">
                  <c:v>1.8</c:v>
                </c:pt>
                <c:pt idx="1037">
                  <c:v>1.8</c:v>
                </c:pt>
                <c:pt idx="1038">
                  <c:v>1.88</c:v>
                </c:pt>
                <c:pt idx="1039">
                  <c:v>1.9</c:v>
                </c:pt>
                <c:pt idx="1040">
                  <c:v>1.89</c:v>
                </c:pt>
                <c:pt idx="1041">
                  <c:v>1.88</c:v>
                </c:pt>
                <c:pt idx="1042">
                  <c:v>1.85</c:v>
                </c:pt>
                <c:pt idx="1043">
                  <c:v>1.87</c:v>
                </c:pt>
                <c:pt idx="1044">
                  <c:v>1.91</c:v>
                </c:pt>
                <c:pt idx="1045">
                  <c:v>1.91</c:v>
                </c:pt>
                <c:pt idx="1046">
                  <c:v>1.89</c:v>
                </c:pt>
                <c:pt idx="1047">
                  <c:v>1.93</c:v>
                </c:pt>
                <c:pt idx="1048">
                  <c:v>1.95</c:v>
                </c:pt>
                <c:pt idx="1049">
                  <c:v>1.98</c:v>
                </c:pt>
                <c:pt idx="1050">
                  <c:v>1.99</c:v>
                </c:pt>
                <c:pt idx="1051">
                  <c:v>2</c:v>
                </c:pt>
                <c:pt idx="1052">
                  <c:v>1.9714</c:v>
                </c:pt>
                <c:pt idx="1053">
                  <c:v>2.0099999999999998</c:v>
                </c:pt>
                <c:pt idx="1054">
                  <c:v>2.0299999999999998</c:v>
                </c:pt>
                <c:pt idx="1055">
                  <c:v>2.02</c:v>
                </c:pt>
                <c:pt idx="1056">
                  <c:v>2.02</c:v>
                </c:pt>
                <c:pt idx="1057">
                  <c:v>2.0299999999999998</c:v>
                </c:pt>
                <c:pt idx="1058">
                  <c:v>2.08</c:v>
                </c:pt>
                <c:pt idx="1059">
                  <c:v>2.0699999999999998</c:v>
                </c:pt>
                <c:pt idx="1060">
                  <c:v>2.0499999999999998</c:v>
                </c:pt>
                <c:pt idx="1061">
                  <c:v>2.06</c:v>
                </c:pt>
                <c:pt idx="1062">
                  <c:v>2.06</c:v>
                </c:pt>
                <c:pt idx="1063">
                  <c:v>2.06</c:v>
                </c:pt>
                <c:pt idx="1064">
                  <c:v>2.0499999999999998</c:v>
                </c:pt>
                <c:pt idx="1065">
                  <c:v>2.0499999999999998</c:v>
                </c:pt>
                <c:pt idx="1066">
                  <c:v>2.0299999999999998</c:v>
                </c:pt>
                <c:pt idx="1067">
                  <c:v>2.0499999999999998</c:v>
                </c:pt>
                <c:pt idx="1068">
                  <c:v>2.0299999999999998</c:v>
                </c:pt>
                <c:pt idx="1069">
                  <c:v>2.0499999999999998</c:v>
                </c:pt>
                <c:pt idx="1070">
                  <c:v>2.0699999999999998</c:v>
                </c:pt>
                <c:pt idx="1071">
                  <c:v>2.08</c:v>
                </c:pt>
                <c:pt idx="1072">
                  <c:v>2.08</c:v>
                </c:pt>
                <c:pt idx="1073">
                  <c:v>2.08</c:v>
                </c:pt>
                <c:pt idx="1074">
                  <c:v>2.06</c:v>
                </c:pt>
                <c:pt idx="1075">
                  <c:v>2.0499999999999998</c:v>
                </c:pt>
                <c:pt idx="1076">
                  <c:v>2.04</c:v>
                </c:pt>
                <c:pt idx="1077">
                  <c:v>2.06</c:v>
                </c:pt>
                <c:pt idx="1078">
                  <c:v>2.1</c:v>
                </c:pt>
                <c:pt idx="1079">
                  <c:v>2.12</c:v>
                </c:pt>
                <c:pt idx="1080">
                  <c:v>2.09</c:v>
                </c:pt>
                <c:pt idx="1081">
                  <c:v>2.08</c:v>
                </c:pt>
                <c:pt idx="1082">
                  <c:v>2.09</c:v>
                </c:pt>
                <c:pt idx="1083">
                  <c:v>2.0699999999999998</c:v>
                </c:pt>
                <c:pt idx="1084">
                  <c:v>2.0699999999999998</c:v>
                </c:pt>
                <c:pt idx="1085">
                  <c:v>2.06</c:v>
                </c:pt>
                <c:pt idx="1086">
                  <c:v>2.08</c:v>
                </c:pt>
                <c:pt idx="1087">
                  <c:v>2.09</c:v>
                </c:pt>
                <c:pt idx="1088">
                  <c:v>2.09</c:v>
                </c:pt>
                <c:pt idx="1089">
                  <c:v>2.11</c:v>
                </c:pt>
                <c:pt idx="1090">
                  <c:v>2.12</c:v>
                </c:pt>
                <c:pt idx="1091">
                  <c:v>2.12</c:v>
                </c:pt>
                <c:pt idx="1092">
                  <c:v>2.16</c:v>
                </c:pt>
                <c:pt idx="1093">
                  <c:v>2.17</c:v>
                </c:pt>
                <c:pt idx="1094">
                  <c:v>2.21</c:v>
                </c:pt>
                <c:pt idx="1095">
                  <c:v>2.2200000000000002</c:v>
                </c:pt>
                <c:pt idx="1096">
                  <c:v>2.25</c:v>
                </c:pt>
                <c:pt idx="1097">
                  <c:v>2.25</c:v>
                </c:pt>
                <c:pt idx="1098">
                  <c:v>2.2599999999999998</c:v>
                </c:pt>
                <c:pt idx="1099">
                  <c:v>2.25</c:v>
                </c:pt>
                <c:pt idx="1100">
                  <c:v>2.2400000000000002</c:v>
                </c:pt>
                <c:pt idx="1101">
                  <c:v>2.2400000000000002</c:v>
                </c:pt>
                <c:pt idx="1102">
                  <c:v>2.2599999999999998</c:v>
                </c:pt>
                <c:pt idx="1103">
                  <c:v>2.2400000000000002</c:v>
                </c:pt>
                <c:pt idx="1104">
                  <c:v>2.2400000000000002</c:v>
                </c:pt>
                <c:pt idx="1105">
                  <c:v>2.2400000000000002</c:v>
                </c:pt>
                <c:pt idx="1106">
                  <c:v>2.25</c:v>
                </c:pt>
                <c:pt idx="1107">
                  <c:v>2.2599999999999998</c:v>
                </c:pt>
                <c:pt idx="1108">
                  <c:v>2.27</c:v>
                </c:pt>
                <c:pt idx="1109">
                  <c:v>2.27</c:v>
                </c:pt>
                <c:pt idx="1110">
                  <c:v>2.2799999999999998</c:v>
                </c:pt>
                <c:pt idx="1111">
                  <c:v>2.2799999999999998</c:v>
                </c:pt>
                <c:pt idx="1112">
                  <c:v>2.31</c:v>
                </c:pt>
                <c:pt idx="1113">
                  <c:v>2.3199999999999998</c:v>
                </c:pt>
                <c:pt idx="1114">
                  <c:v>2.3199999999999998</c:v>
                </c:pt>
                <c:pt idx="1115">
                  <c:v>2.3199999999999998</c:v>
                </c:pt>
                <c:pt idx="1116">
                  <c:v>2.35</c:v>
                </c:pt>
                <c:pt idx="1117">
                  <c:v>2.34</c:v>
                </c:pt>
                <c:pt idx="1118">
                  <c:v>2.29</c:v>
                </c:pt>
                <c:pt idx="1119">
                  <c:v>2.2799999999999998</c:v>
                </c:pt>
                <c:pt idx="1120">
                  <c:v>2.27</c:v>
                </c:pt>
                <c:pt idx="1121">
                  <c:v>2.17</c:v>
                </c:pt>
                <c:pt idx="1122">
                  <c:v>2.23</c:v>
                </c:pt>
                <c:pt idx="1123">
                  <c:v>2.23</c:v>
                </c:pt>
                <c:pt idx="1124">
                  <c:v>2.2799999999999998</c:v>
                </c:pt>
                <c:pt idx="1125">
                  <c:v>2.2999999999999998</c:v>
                </c:pt>
                <c:pt idx="1126">
                  <c:v>2.3199999999999998</c:v>
                </c:pt>
                <c:pt idx="1127">
                  <c:v>2.3199999999999998</c:v>
                </c:pt>
                <c:pt idx="1128">
                  <c:v>2.31</c:v>
                </c:pt>
                <c:pt idx="1129">
                  <c:v>2.2999999999999998</c:v>
                </c:pt>
                <c:pt idx="1130">
                  <c:v>2.3199999999999998</c:v>
                </c:pt>
                <c:pt idx="1131">
                  <c:v>2.31</c:v>
                </c:pt>
                <c:pt idx="1132">
                  <c:v>2.35</c:v>
                </c:pt>
                <c:pt idx="1133">
                  <c:v>2.35</c:v>
                </c:pt>
                <c:pt idx="1134">
                  <c:v>2.35</c:v>
                </c:pt>
                <c:pt idx="1135">
                  <c:v>2.35</c:v>
                </c:pt>
                <c:pt idx="1136">
                  <c:v>2.34</c:v>
                </c:pt>
                <c:pt idx="1137">
                  <c:v>2.36</c:v>
                </c:pt>
                <c:pt idx="1138">
                  <c:v>2.34</c:v>
                </c:pt>
                <c:pt idx="1139">
                  <c:v>2.33</c:v>
                </c:pt>
                <c:pt idx="1140">
                  <c:v>2.34</c:v>
                </c:pt>
                <c:pt idx="1141">
                  <c:v>2.33</c:v>
                </c:pt>
                <c:pt idx="1142">
                  <c:v>2.33</c:v>
                </c:pt>
                <c:pt idx="1143">
                  <c:v>2.33</c:v>
                </c:pt>
                <c:pt idx="1144">
                  <c:v>2.33</c:v>
                </c:pt>
                <c:pt idx="1145">
                  <c:v>2.34</c:v>
                </c:pt>
                <c:pt idx="1146">
                  <c:v>2.33</c:v>
                </c:pt>
                <c:pt idx="1147">
                  <c:v>2.3199999999999998</c:v>
                </c:pt>
                <c:pt idx="1148">
                  <c:v>2.34</c:v>
                </c:pt>
                <c:pt idx="1149">
                  <c:v>2.34</c:v>
                </c:pt>
                <c:pt idx="1150">
                  <c:v>2.36</c:v>
                </c:pt>
                <c:pt idx="1151">
                  <c:v>2.36</c:v>
                </c:pt>
                <c:pt idx="1152">
                  <c:v>2.39</c:v>
                </c:pt>
                <c:pt idx="1153">
                  <c:v>2.37</c:v>
                </c:pt>
                <c:pt idx="1154">
                  <c:v>2.39</c:v>
                </c:pt>
                <c:pt idx="1155">
                  <c:v>2.39</c:v>
                </c:pt>
                <c:pt idx="1156">
                  <c:v>2.4300000000000002</c:v>
                </c:pt>
                <c:pt idx="1157">
                  <c:v>2.4</c:v>
                </c:pt>
                <c:pt idx="1158">
                  <c:v>2.41</c:v>
                </c:pt>
                <c:pt idx="1159">
                  <c:v>2.42</c:v>
                </c:pt>
                <c:pt idx="1160">
                  <c:v>2.42</c:v>
                </c:pt>
                <c:pt idx="1161">
                  <c:v>2.42</c:v>
                </c:pt>
                <c:pt idx="1162">
                  <c:v>2.41</c:v>
                </c:pt>
                <c:pt idx="1163">
                  <c:v>2.4300000000000002</c:v>
                </c:pt>
                <c:pt idx="1164">
                  <c:v>2.4300000000000002</c:v>
                </c:pt>
                <c:pt idx="1165">
                  <c:v>2.44</c:v>
                </c:pt>
                <c:pt idx="1166">
                  <c:v>2.4500000000000002</c:v>
                </c:pt>
                <c:pt idx="1167">
                  <c:v>2.4500000000000002</c:v>
                </c:pt>
                <c:pt idx="1168">
                  <c:v>2.4300000000000002</c:v>
                </c:pt>
                <c:pt idx="1169">
                  <c:v>2.44</c:v>
                </c:pt>
                <c:pt idx="1170">
                  <c:v>2.4500000000000002</c:v>
                </c:pt>
                <c:pt idx="1171">
                  <c:v>2.44</c:v>
                </c:pt>
                <c:pt idx="1172">
                  <c:v>2.44</c:v>
                </c:pt>
                <c:pt idx="1173">
                  <c:v>2.42</c:v>
                </c:pt>
                <c:pt idx="1174">
                  <c:v>2.42</c:v>
                </c:pt>
                <c:pt idx="1175">
                  <c:v>2.44</c:v>
                </c:pt>
                <c:pt idx="1176">
                  <c:v>2.4500000000000002</c:v>
                </c:pt>
                <c:pt idx="1177">
                  <c:v>2.4500000000000002</c:v>
                </c:pt>
                <c:pt idx="1178">
                  <c:v>2.44</c:v>
                </c:pt>
                <c:pt idx="1179">
                  <c:v>2.4300000000000002</c:v>
                </c:pt>
                <c:pt idx="1180">
                  <c:v>2.4500000000000002</c:v>
                </c:pt>
                <c:pt idx="1181">
                  <c:v>2.4300000000000002</c:v>
                </c:pt>
                <c:pt idx="1182">
                  <c:v>2.4300000000000002</c:v>
                </c:pt>
                <c:pt idx="1183">
                  <c:v>2.44</c:v>
                </c:pt>
                <c:pt idx="1184">
                  <c:v>2.4700000000000002</c:v>
                </c:pt>
                <c:pt idx="1185">
                  <c:v>2.4700000000000002</c:v>
                </c:pt>
                <c:pt idx="1186">
                  <c:v>2.48</c:v>
                </c:pt>
                <c:pt idx="1187">
                  <c:v>2.4700000000000002</c:v>
                </c:pt>
                <c:pt idx="1188">
                  <c:v>2.46</c:v>
                </c:pt>
                <c:pt idx="1189">
                  <c:v>2.4900000000000002</c:v>
                </c:pt>
                <c:pt idx="1190">
                  <c:v>2.4900000000000002</c:v>
                </c:pt>
                <c:pt idx="1191">
                  <c:v>2.5</c:v>
                </c:pt>
                <c:pt idx="1192">
                  <c:v>2.5299999999999998</c:v>
                </c:pt>
                <c:pt idx="1193">
                  <c:v>2.54</c:v>
                </c:pt>
                <c:pt idx="1194">
                  <c:v>2.5499999999999998</c:v>
                </c:pt>
                <c:pt idx="1195">
                  <c:v>2.56</c:v>
                </c:pt>
                <c:pt idx="1196">
                  <c:v>2.5499999999999998</c:v>
                </c:pt>
                <c:pt idx="1197">
                  <c:v>2.56</c:v>
                </c:pt>
                <c:pt idx="1198">
                  <c:v>2.57</c:v>
                </c:pt>
                <c:pt idx="1199">
                  <c:v>2.58</c:v>
                </c:pt>
                <c:pt idx="1200">
                  <c:v>2.58</c:v>
                </c:pt>
                <c:pt idx="1201">
                  <c:v>2.58</c:v>
                </c:pt>
                <c:pt idx="1202">
                  <c:v>2.58</c:v>
                </c:pt>
                <c:pt idx="1203">
                  <c:v>2.6</c:v>
                </c:pt>
                <c:pt idx="1204">
                  <c:v>2.59</c:v>
                </c:pt>
                <c:pt idx="1205">
                  <c:v>2.58</c:v>
                </c:pt>
                <c:pt idx="1206">
                  <c:v>2.58</c:v>
                </c:pt>
                <c:pt idx="1207">
                  <c:v>2.59</c:v>
                </c:pt>
                <c:pt idx="1208">
                  <c:v>2.6</c:v>
                </c:pt>
                <c:pt idx="1209">
                  <c:v>2.61</c:v>
                </c:pt>
                <c:pt idx="1210">
                  <c:v>2.62</c:v>
                </c:pt>
                <c:pt idx="1211">
                  <c:v>2.63</c:v>
                </c:pt>
                <c:pt idx="1212">
                  <c:v>2.64</c:v>
                </c:pt>
                <c:pt idx="1213">
                  <c:v>2.65</c:v>
                </c:pt>
                <c:pt idx="1214">
                  <c:v>2.67</c:v>
                </c:pt>
                <c:pt idx="1215">
                  <c:v>2.66</c:v>
                </c:pt>
                <c:pt idx="1216">
                  <c:v>2.66</c:v>
                </c:pt>
                <c:pt idx="1217">
                  <c:v>2.67</c:v>
                </c:pt>
                <c:pt idx="1218">
                  <c:v>2.66</c:v>
                </c:pt>
                <c:pt idx="1219">
                  <c:v>2.66</c:v>
                </c:pt>
                <c:pt idx="1220">
                  <c:v>2.67</c:v>
                </c:pt>
                <c:pt idx="1221">
                  <c:v>2.67</c:v>
                </c:pt>
                <c:pt idx="1222">
                  <c:v>2.68</c:v>
                </c:pt>
                <c:pt idx="1223">
                  <c:v>2.67</c:v>
                </c:pt>
                <c:pt idx="1224">
                  <c:v>2.64</c:v>
                </c:pt>
                <c:pt idx="1225">
                  <c:v>2.66</c:v>
                </c:pt>
                <c:pt idx="1226">
                  <c:v>2.63</c:v>
                </c:pt>
                <c:pt idx="1227">
                  <c:v>2.64</c:v>
                </c:pt>
                <c:pt idx="1228">
                  <c:v>2.66</c:v>
                </c:pt>
                <c:pt idx="1229">
                  <c:v>2.69</c:v>
                </c:pt>
                <c:pt idx="1230">
                  <c:v>2.67</c:v>
                </c:pt>
                <c:pt idx="1231">
                  <c:v>2.7</c:v>
                </c:pt>
                <c:pt idx="1232">
                  <c:v>2.71</c:v>
                </c:pt>
                <c:pt idx="1233">
                  <c:v>2.72</c:v>
                </c:pt>
                <c:pt idx="1234">
                  <c:v>2.74</c:v>
                </c:pt>
                <c:pt idx="1235">
                  <c:v>2.74</c:v>
                </c:pt>
                <c:pt idx="1236">
                  <c:v>2.73</c:v>
                </c:pt>
                <c:pt idx="1237">
                  <c:v>2.72</c:v>
                </c:pt>
                <c:pt idx="1238">
                  <c:v>2.71</c:v>
                </c:pt>
                <c:pt idx="1239">
                  <c:v>2.7</c:v>
                </c:pt>
                <c:pt idx="1240">
                  <c:v>2.68</c:v>
                </c:pt>
                <c:pt idx="1241">
                  <c:v>2.66</c:v>
                </c:pt>
                <c:pt idx="1242">
                  <c:v>2.67</c:v>
                </c:pt>
                <c:pt idx="1243">
                  <c:v>2.67</c:v>
                </c:pt>
                <c:pt idx="1244">
                  <c:v>2.67</c:v>
                </c:pt>
                <c:pt idx="1245">
                  <c:v>2.7</c:v>
                </c:pt>
                <c:pt idx="1246">
                  <c:v>2.7</c:v>
                </c:pt>
                <c:pt idx="1247">
                  <c:v>2.69</c:v>
                </c:pt>
                <c:pt idx="1248">
                  <c:v>2.69</c:v>
                </c:pt>
                <c:pt idx="1249">
                  <c:v>2.7</c:v>
                </c:pt>
                <c:pt idx="1250">
                  <c:v>2.72</c:v>
                </c:pt>
                <c:pt idx="1251">
                  <c:v>2.71</c:v>
                </c:pt>
                <c:pt idx="1252">
                  <c:v>2.7</c:v>
                </c:pt>
                <c:pt idx="1253">
                  <c:v>2.68</c:v>
                </c:pt>
                <c:pt idx="1254">
                  <c:v>2.69</c:v>
                </c:pt>
                <c:pt idx="1255">
                  <c:v>2.7</c:v>
                </c:pt>
                <c:pt idx="1256">
                  <c:v>2.7</c:v>
                </c:pt>
                <c:pt idx="1257">
                  <c:v>2.69</c:v>
                </c:pt>
                <c:pt idx="1258">
                  <c:v>2.68</c:v>
                </c:pt>
                <c:pt idx="1259">
                  <c:v>2.66</c:v>
                </c:pt>
                <c:pt idx="1260">
                  <c:v>2.64</c:v>
                </c:pt>
                <c:pt idx="1261">
                  <c:v>2.62</c:v>
                </c:pt>
                <c:pt idx="1262">
                  <c:v>2.64</c:v>
                </c:pt>
                <c:pt idx="1263">
                  <c:v>2.62</c:v>
                </c:pt>
                <c:pt idx="1264">
                  <c:v>2.61</c:v>
                </c:pt>
                <c:pt idx="1265">
                  <c:v>2.61</c:v>
                </c:pt>
                <c:pt idx="1266">
                  <c:v>2.58</c:v>
                </c:pt>
                <c:pt idx="1267">
                  <c:v>2.57</c:v>
                </c:pt>
                <c:pt idx="1268">
                  <c:v>2.63</c:v>
                </c:pt>
              </c:numCache>
            </c:numRef>
          </c:val>
          <c:smooth val="0"/>
          <c:extLst>
            <c:ext xmlns:c16="http://schemas.microsoft.com/office/drawing/2014/chart" uri="{C3380CC4-5D6E-409C-BE32-E72D297353CC}">
              <c16:uniqueId val="{00000000-CCAA-4529-A388-ABD4363AF28E}"/>
            </c:ext>
          </c:extLst>
        </c:ser>
        <c:dLbls>
          <c:showLegendKey val="0"/>
          <c:showVal val="0"/>
          <c:showCatName val="0"/>
          <c:showSerName val="0"/>
          <c:showPercent val="0"/>
          <c:showBubbleSize val="0"/>
        </c:dLbls>
        <c:smooth val="0"/>
        <c:axId val="934586376"/>
        <c:axId val="934584408"/>
      </c:lineChart>
      <c:dateAx>
        <c:axId val="934586376"/>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4584408"/>
        <c:crosses val="autoZero"/>
        <c:auto val="1"/>
        <c:lblOffset val="100"/>
        <c:baseTimeUnit val="days"/>
      </c:dateAx>
      <c:valAx>
        <c:axId val="934584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4586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MIBOR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Sheet1!$A$1:$A$60</c:f>
              <c:numCache>
                <c:formatCode>mmm\-yy</c:formatCode>
                <c:ptCount val="60"/>
                <c:pt idx="0">
                  <c:v>43435</c:v>
                </c:pt>
                <c:pt idx="1">
                  <c:v>43405</c:v>
                </c:pt>
                <c:pt idx="2">
                  <c:v>43374</c:v>
                </c:pt>
                <c:pt idx="3">
                  <c:v>43344</c:v>
                </c:pt>
                <c:pt idx="4">
                  <c:v>43313</c:v>
                </c:pt>
                <c:pt idx="5">
                  <c:v>43282</c:v>
                </c:pt>
                <c:pt idx="6">
                  <c:v>43252</c:v>
                </c:pt>
                <c:pt idx="7">
                  <c:v>43221</c:v>
                </c:pt>
                <c:pt idx="8">
                  <c:v>43191</c:v>
                </c:pt>
                <c:pt idx="9">
                  <c:v>43160</c:v>
                </c:pt>
                <c:pt idx="10">
                  <c:v>43132</c:v>
                </c:pt>
                <c:pt idx="11">
                  <c:v>43101</c:v>
                </c:pt>
                <c:pt idx="12">
                  <c:v>43070</c:v>
                </c:pt>
                <c:pt idx="13">
                  <c:v>43040</c:v>
                </c:pt>
                <c:pt idx="14">
                  <c:v>43009</c:v>
                </c:pt>
                <c:pt idx="15">
                  <c:v>42979</c:v>
                </c:pt>
                <c:pt idx="16">
                  <c:v>42948</c:v>
                </c:pt>
                <c:pt idx="17">
                  <c:v>42917</c:v>
                </c:pt>
                <c:pt idx="18">
                  <c:v>42887</c:v>
                </c:pt>
                <c:pt idx="19">
                  <c:v>42856</c:v>
                </c:pt>
                <c:pt idx="20">
                  <c:v>42826</c:v>
                </c:pt>
                <c:pt idx="21">
                  <c:v>42795</c:v>
                </c:pt>
                <c:pt idx="22">
                  <c:v>42767</c:v>
                </c:pt>
                <c:pt idx="23">
                  <c:v>42736</c:v>
                </c:pt>
                <c:pt idx="24">
                  <c:v>42705</c:v>
                </c:pt>
                <c:pt idx="25">
                  <c:v>42675</c:v>
                </c:pt>
                <c:pt idx="26">
                  <c:v>42644</c:v>
                </c:pt>
                <c:pt idx="27">
                  <c:v>42614</c:v>
                </c:pt>
                <c:pt idx="28">
                  <c:v>42583</c:v>
                </c:pt>
                <c:pt idx="29">
                  <c:v>42552</c:v>
                </c:pt>
                <c:pt idx="30">
                  <c:v>42522</c:v>
                </c:pt>
                <c:pt idx="31">
                  <c:v>42491</c:v>
                </c:pt>
                <c:pt idx="32">
                  <c:v>42461</c:v>
                </c:pt>
                <c:pt idx="33">
                  <c:v>42430</c:v>
                </c:pt>
                <c:pt idx="34">
                  <c:v>42401</c:v>
                </c:pt>
                <c:pt idx="35">
                  <c:v>42370</c:v>
                </c:pt>
                <c:pt idx="36">
                  <c:v>42339</c:v>
                </c:pt>
                <c:pt idx="37">
                  <c:v>42309</c:v>
                </c:pt>
                <c:pt idx="38">
                  <c:v>42278</c:v>
                </c:pt>
                <c:pt idx="39">
                  <c:v>42248</c:v>
                </c:pt>
                <c:pt idx="40">
                  <c:v>42217</c:v>
                </c:pt>
                <c:pt idx="41">
                  <c:v>42186</c:v>
                </c:pt>
                <c:pt idx="42">
                  <c:v>42156</c:v>
                </c:pt>
                <c:pt idx="43">
                  <c:v>42125</c:v>
                </c:pt>
                <c:pt idx="44">
                  <c:v>42095</c:v>
                </c:pt>
                <c:pt idx="45">
                  <c:v>42064</c:v>
                </c:pt>
                <c:pt idx="46">
                  <c:v>42036</c:v>
                </c:pt>
                <c:pt idx="47">
                  <c:v>42005</c:v>
                </c:pt>
                <c:pt idx="48">
                  <c:v>41974</c:v>
                </c:pt>
                <c:pt idx="49">
                  <c:v>41944</c:v>
                </c:pt>
                <c:pt idx="50">
                  <c:v>41913</c:v>
                </c:pt>
                <c:pt idx="51">
                  <c:v>41883</c:v>
                </c:pt>
                <c:pt idx="52">
                  <c:v>41852</c:v>
                </c:pt>
                <c:pt idx="53">
                  <c:v>41821</c:v>
                </c:pt>
                <c:pt idx="54">
                  <c:v>41791</c:v>
                </c:pt>
                <c:pt idx="55">
                  <c:v>41760</c:v>
                </c:pt>
                <c:pt idx="56">
                  <c:v>41730</c:v>
                </c:pt>
                <c:pt idx="57">
                  <c:v>41699</c:v>
                </c:pt>
                <c:pt idx="58">
                  <c:v>41671</c:v>
                </c:pt>
                <c:pt idx="59">
                  <c:v>41640</c:v>
                </c:pt>
              </c:numCache>
            </c:numRef>
          </c:cat>
          <c:val>
            <c:numRef>
              <c:f>Sheet1!$B$1:$B$60</c:f>
              <c:numCache>
                <c:formatCode>General</c:formatCode>
                <c:ptCount val="60"/>
                <c:pt idx="0">
                  <c:v>7.49</c:v>
                </c:pt>
                <c:pt idx="1">
                  <c:v>7.25</c:v>
                </c:pt>
                <c:pt idx="2">
                  <c:v>7.27</c:v>
                </c:pt>
                <c:pt idx="3">
                  <c:v>7.15</c:v>
                </c:pt>
                <c:pt idx="4">
                  <c:v>7.03</c:v>
                </c:pt>
                <c:pt idx="5">
                  <c:v>7.09</c:v>
                </c:pt>
                <c:pt idx="6">
                  <c:v>7.02</c:v>
                </c:pt>
                <c:pt idx="7">
                  <c:v>6.95</c:v>
                </c:pt>
                <c:pt idx="8">
                  <c:v>7</c:v>
                </c:pt>
                <c:pt idx="9">
                  <c:v>7.15</c:v>
                </c:pt>
                <c:pt idx="10">
                  <c:v>7.15</c:v>
                </c:pt>
                <c:pt idx="11">
                  <c:v>7.09</c:v>
                </c:pt>
                <c:pt idx="12">
                  <c:v>7.73</c:v>
                </c:pt>
                <c:pt idx="13">
                  <c:v>8.01</c:v>
                </c:pt>
                <c:pt idx="14">
                  <c:v>8.0399999999999991</c:v>
                </c:pt>
                <c:pt idx="15">
                  <c:v>8.3699999999999992</c:v>
                </c:pt>
                <c:pt idx="16">
                  <c:v>8.5399999999999991</c:v>
                </c:pt>
                <c:pt idx="17">
                  <c:v>8.9499999999999993</c:v>
                </c:pt>
                <c:pt idx="18">
                  <c:v>9.11</c:v>
                </c:pt>
                <c:pt idx="19">
                  <c:v>9.1300000000000008</c:v>
                </c:pt>
                <c:pt idx="20">
                  <c:v>9.58</c:v>
                </c:pt>
                <c:pt idx="21">
                  <c:v>9.9</c:v>
                </c:pt>
                <c:pt idx="22">
                  <c:v>10.14</c:v>
                </c:pt>
                <c:pt idx="23">
                  <c:v>10.11</c:v>
                </c:pt>
                <c:pt idx="24">
                  <c:v>10.16</c:v>
                </c:pt>
                <c:pt idx="25">
                  <c:v>10.02</c:v>
                </c:pt>
                <c:pt idx="26">
                  <c:v>10.32</c:v>
                </c:pt>
                <c:pt idx="27">
                  <c:v>10.24</c:v>
                </c:pt>
                <c:pt idx="28">
                  <c:v>10.34</c:v>
                </c:pt>
                <c:pt idx="29">
                  <c:v>10.38</c:v>
                </c:pt>
                <c:pt idx="30">
                  <c:v>10.64</c:v>
                </c:pt>
                <c:pt idx="31">
                  <c:v>11.06</c:v>
                </c:pt>
                <c:pt idx="32">
                  <c:v>10.73</c:v>
                </c:pt>
                <c:pt idx="33">
                  <c:v>10.94</c:v>
                </c:pt>
                <c:pt idx="34">
                  <c:v>10.84</c:v>
                </c:pt>
                <c:pt idx="35">
                  <c:v>11.02</c:v>
                </c:pt>
                <c:pt idx="36">
                  <c:v>11.07</c:v>
                </c:pt>
                <c:pt idx="37">
                  <c:v>11.43</c:v>
                </c:pt>
                <c:pt idx="38">
                  <c:v>11.14</c:v>
                </c:pt>
                <c:pt idx="39">
                  <c:v>11.15</c:v>
                </c:pt>
                <c:pt idx="40">
                  <c:v>10.86</c:v>
                </c:pt>
                <c:pt idx="41">
                  <c:v>11.52</c:v>
                </c:pt>
                <c:pt idx="42">
                  <c:v>12.5</c:v>
                </c:pt>
                <c:pt idx="43">
                  <c:v>12.83</c:v>
                </c:pt>
                <c:pt idx="44">
                  <c:v>14.36</c:v>
                </c:pt>
                <c:pt idx="45">
                  <c:v>14.9</c:v>
                </c:pt>
                <c:pt idx="46">
                  <c:v>15.12</c:v>
                </c:pt>
                <c:pt idx="47">
                  <c:v>16.96</c:v>
                </c:pt>
                <c:pt idx="48">
                  <c:v>15.47</c:v>
                </c:pt>
                <c:pt idx="49">
                  <c:v>10.210000000000001</c:v>
                </c:pt>
                <c:pt idx="50">
                  <c:v>8.24</c:v>
                </c:pt>
                <c:pt idx="51">
                  <c:v>7.95</c:v>
                </c:pt>
                <c:pt idx="52">
                  <c:v>7.88</c:v>
                </c:pt>
                <c:pt idx="53">
                  <c:v>8.17</c:v>
                </c:pt>
                <c:pt idx="54">
                  <c:v>8.23</c:v>
                </c:pt>
                <c:pt idx="55">
                  <c:v>8.2100000000000009</c:v>
                </c:pt>
                <c:pt idx="56">
                  <c:v>7.87</c:v>
                </c:pt>
                <c:pt idx="57">
                  <c:v>7.85</c:v>
                </c:pt>
                <c:pt idx="58">
                  <c:v>5.99</c:v>
                </c:pt>
                <c:pt idx="59">
                  <c:v>6.06</c:v>
                </c:pt>
              </c:numCache>
            </c:numRef>
          </c:val>
          <c:smooth val="0"/>
          <c:extLst>
            <c:ext xmlns:c16="http://schemas.microsoft.com/office/drawing/2014/chart" uri="{C3380CC4-5D6E-409C-BE32-E72D297353CC}">
              <c16:uniqueId val="{00000000-8FAA-476E-B677-46633BFDD5C4}"/>
            </c:ext>
          </c:extLst>
        </c:ser>
        <c:dLbls>
          <c:showLegendKey val="0"/>
          <c:showVal val="0"/>
          <c:showCatName val="0"/>
          <c:showSerName val="0"/>
          <c:showPercent val="0"/>
          <c:showBubbleSize val="0"/>
        </c:dLbls>
        <c:smooth val="0"/>
        <c:axId val="1172339328"/>
        <c:axId val="1172333752"/>
      </c:lineChart>
      <c:dateAx>
        <c:axId val="11723393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2333752"/>
        <c:crosses val="autoZero"/>
        <c:auto val="1"/>
        <c:lblOffset val="100"/>
        <c:baseTimeUnit val="months"/>
      </c:dateAx>
      <c:valAx>
        <c:axId val="1172333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23393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Gold</a:t>
            </a:r>
            <a:r>
              <a:rPr lang="en-US" baseline="0"/>
              <a:t> Reserves of Russian Central Bank</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Sheet1!$G$4:$G$63</c:f>
              <c:numCache>
                <c:formatCode>m/d/yyyy</c:formatCode>
                <c:ptCount val="60"/>
                <c:pt idx="0">
                  <c:v>43434</c:v>
                </c:pt>
                <c:pt idx="1">
                  <c:v>43404</c:v>
                </c:pt>
                <c:pt idx="2">
                  <c:v>43373</c:v>
                </c:pt>
                <c:pt idx="3">
                  <c:v>43343</c:v>
                </c:pt>
                <c:pt idx="4">
                  <c:v>43312</c:v>
                </c:pt>
                <c:pt idx="5">
                  <c:v>43281</c:v>
                </c:pt>
                <c:pt idx="6">
                  <c:v>43251</c:v>
                </c:pt>
                <c:pt idx="7">
                  <c:v>43220</c:v>
                </c:pt>
                <c:pt idx="8">
                  <c:v>43190</c:v>
                </c:pt>
                <c:pt idx="9">
                  <c:v>43159</c:v>
                </c:pt>
                <c:pt idx="10">
                  <c:v>43131</c:v>
                </c:pt>
                <c:pt idx="11">
                  <c:v>43100</c:v>
                </c:pt>
                <c:pt idx="12">
                  <c:v>43069</c:v>
                </c:pt>
                <c:pt idx="13">
                  <c:v>43039</c:v>
                </c:pt>
                <c:pt idx="14">
                  <c:v>43008</c:v>
                </c:pt>
                <c:pt idx="15">
                  <c:v>42978</c:v>
                </c:pt>
                <c:pt idx="16">
                  <c:v>42947</c:v>
                </c:pt>
                <c:pt idx="17">
                  <c:v>42916</c:v>
                </c:pt>
                <c:pt idx="18">
                  <c:v>42886</c:v>
                </c:pt>
                <c:pt idx="19">
                  <c:v>42855</c:v>
                </c:pt>
                <c:pt idx="20">
                  <c:v>42825</c:v>
                </c:pt>
                <c:pt idx="21">
                  <c:v>42794</c:v>
                </c:pt>
                <c:pt idx="22">
                  <c:v>42766</c:v>
                </c:pt>
                <c:pt idx="23">
                  <c:v>42735</c:v>
                </c:pt>
                <c:pt idx="24">
                  <c:v>42704</c:v>
                </c:pt>
                <c:pt idx="25">
                  <c:v>42674</c:v>
                </c:pt>
                <c:pt idx="26">
                  <c:v>42643</c:v>
                </c:pt>
                <c:pt idx="27">
                  <c:v>42613</c:v>
                </c:pt>
                <c:pt idx="28">
                  <c:v>42582</c:v>
                </c:pt>
                <c:pt idx="29">
                  <c:v>42551</c:v>
                </c:pt>
                <c:pt idx="30">
                  <c:v>42521</c:v>
                </c:pt>
                <c:pt idx="31">
                  <c:v>42490</c:v>
                </c:pt>
                <c:pt idx="32">
                  <c:v>42460</c:v>
                </c:pt>
                <c:pt idx="33">
                  <c:v>42429</c:v>
                </c:pt>
                <c:pt idx="34">
                  <c:v>42400</c:v>
                </c:pt>
                <c:pt idx="35">
                  <c:v>42369</c:v>
                </c:pt>
                <c:pt idx="36">
                  <c:v>42338</c:v>
                </c:pt>
                <c:pt idx="37">
                  <c:v>42308</c:v>
                </c:pt>
                <c:pt idx="38">
                  <c:v>42277</c:v>
                </c:pt>
                <c:pt idx="39">
                  <c:v>42247</c:v>
                </c:pt>
                <c:pt idx="40">
                  <c:v>42216</c:v>
                </c:pt>
                <c:pt idx="41">
                  <c:v>42185</c:v>
                </c:pt>
                <c:pt idx="42">
                  <c:v>42155</c:v>
                </c:pt>
                <c:pt idx="43">
                  <c:v>42124</c:v>
                </c:pt>
                <c:pt idx="44">
                  <c:v>42094</c:v>
                </c:pt>
                <c:pt idx="45">
                  <c:v>42063</c:v>
                </c:pt>
                <c:pt idx="46">
                  <c:v>42035</c:v>
                </c:pt>
                <c:pt idx="47">
                  <c:v>42004</c:v>
                </c:pt>
                <c:pt idx="48">
                  <c:v>41973</c:v>
                </c:pt>
                <c:pt idx="49">
                  <c:v>41943</c:v>
                </c:pt>
                <c:pt idx="50">
                  <c:v>41912</c:v>
                </c:pt>
                <c:pt idx="51">
                  <c:v>41882</c:v>
                </c:pt>
                <c:pt idx="52">
                  <c:v>41851</c:v>
                </c:pt>
                <c:pt idx="53">
                  <c:v>41820</c:v>
                </c:pt>
                <c:pt idx="54">
                  <c:v>41790</c:v>
                </c:pt>
                <c:pt idx="55">
                  <c:v>41759</c:v>
                </c:pt>
                <c:pt idx="56">
                  <c:v>41729</c:v>
                </c:pt>
                <c:pt idx="57">
                  <c:v>41698</c:v>
                </c:pt>
                <c:pt idx="58">
                  <c:v>41670</c:v>
                </c:pt>
                <c:pt idx="59">
                  <c:v>41639</c:v>
                </c:pt>
              </c:numCache>
            </c:numRef>
          </c:cat>
          <c:val>
            <c:numRef>
              <c:f>Sheet1!$H$4:$H$63</c:f>
              <c:numCache>
                <c:formatCode>#,##0</c:formatCode>
                <c:ptCount val="60"/>
                <c:pt idx="0">
                  <c:v>82925</c:v>
                </c:pt>
                <c:pt idx="1">
                  <c:v>81055</c:v>
                </c:pt>
                <c:pt idx="2">
                  <c:v>77491</c:v>
                </c:pt>
                <c:pt idx="3">
                  <c:v>77265</c:v>
                </c:pt>
                <c:pt idx="4">
                  <c:v>77411</c:v>
                </c:pt>
                <c:pt idx="5">
                  <c:v>78167</c:v>
                </c:pt>
                <c:pt idx="6">
                  <c:v>80511</c:v>
                </c:pt>
                <c:pt idx="7">
                  <c:v>81146</c:v>
                </c:pt>
                <c:pt idx="8">
                  <c:v>80482</c:v>
                </c:pt>
                <c:pt idx="9">
                  <c:v>80582</c:v>
                </c:pt>
                <c:pt idx="10">
                  <c:v>80378</c:v>
                </c:pt>
                <c:pt idx="11">
                  <c:v>76647</c:v>
                </c:pt>
                <c:pt idx="12">
                  <c:v>76118</c:v>
                </c:pt>
                <c:pt idx="13">
                  <c:v>73705</c:v>
                </c:pt>
                <c:pt idx="14">
                  <c:v>73603</c:v>
                </c:pt>
                <c:pt idx="15">
                  <c:v>73500</c:v>
                </c:pt>
                <c:pt idx="16">
                  <c:v>70037</c:v>
                </c:pt>
                <c:pt idx="17">
                  <c:v>68770</c:v>
                </c:pt>
                <c:pt idx="18">
                  <c:v>69295</c:v>
                </c:pt>
                <c:pt idx="19">
                  <c:v>68653</c:v>
                </c:pt>
                <c:pt idx="20">
                  <c:v>67570</c:v>
                </c:pt>
                <c:pt idx="21">
                  <c:v>66863</c:v>
                </c:pt>
                <c:pt idx="22">
                  <c:v>62936</c:v>
                </c:pt>
                <c:pt idx="23">
                  <c:v>60194</c:v>
                </c:pt>
                <c:pt idx="24">
                  <c:v>61657</c:v>
                </c:pt>
                <c:pt idx="25">
                  <c:v>64431</c:v>
                </c:pt>
                <c:pt idx="26">
                  <c:v>65512</c:v>
                </c:pt>
                <c:pt idx="27">
                  <c:v>64710</c:v>
                </c:pt>
                <c:pt idx="28">
                  <c:v>64520</c:v>
                </c:pt>
                <c:pt idx="29">
                  <c:v>63497</c:v>
                </c:pt>
                <c:pt idx="30">
                  <c:v>57930</c:v>
                </c:pt>
                <c:pt idx="31">
                  <c:v>60506</c:v>
                </c:pt>
                <c:pt idx="32">
                  <c:v>58137</c:v>
                </c:pt>
                <c:pt idx="33">
                  <c:v>57269</c:v>
                </c:pt>
                <c:pt idx="34">
                  <c:v>51379</c:v>
                </c:pt>
                <c:pt idx="35">
                  <c:v>48563</c:v>
                </c:pt>
                <c:pt idx="36">
                  <c:v>47680</c:v>
                </c:pt>
                <c:pt idx="37">
                  <c:v>50578</c:v>
                </c:pt>
                <c:pt idx="38">
                  <c:v>48892</c:v>
                </c:pt>
                <c:pt idx="39">
                  <c:v>47683</c:v>
                </c:pt>
                <c:pt idx="40">
                  <c:v>44963</c:v>
                </c:pt>
                <c:pt idx="41">
                  <c:v>48229</c:v>
                </c:pt>
                <c:pt idx="42">
                  <c:v>47875</c:v>
                </c:pt>
                <c:pt idx="43">
                  <c:v>48287</c:v>
                </c:pt>
                <c:pt idx="44">
                  <c:v>47272</c:v>
                </c:pt>
                <c:pt idx="45">
                  <c:v>46790</c:v>
                </c:pt>
                <c:pt idx="46">
                  <c:v>49061</c:v>
                </c:pt>
                <c:pt idx="47">
                  <c:v>46089</c:v>
                </c:pt>
                <c:pt idx="48">
                  <c:v>45222</c:v>
                </c:pt>
                <c:pt idx="49">
                  <c:v>45307</c:v>
                </c:pt>
                <c:pt idx="50">
                  <c:v>45016</c:v>
                </c:pt>
                <c:pt idx="51">
                  <c:v>45990</c:v>
                </c:pt>
                <c:pt idx="52">
                  <c:v>46109</c:v>
                </c:pt>
                <c:pt idx="53">
                  <c:v>46292</c:v>
                </c:pt>
                <c:pt idx="54">
                  <c:v>43459</c:v>
                </c:pt>
                <c:pt idx="55">
                  <c:v>44303</c:v>
                </c:pt>
                <c:pt idx="56">
                  <c:v>43355</c:v>
                </c:pt>
                <c:pt idx="57">
                  <c:v>44588</c:v>
                </c:pt>
                <c:pt idx="58">
                  <c:v>41715</c:v>
                </c:pt>
                <c:pt idx="59">
                  <c:v>39990</c:v>
                </c:pt>
              </c:numCache>
            </c:numRef>
          </c:val>
          <c:smooth val="0"/>
          <c:extLst>
            <c:ext xmlns:c16="http://schemas.microsoft.com/office/drawing/2014/chart" uri="{C3380CC4-5D6E-409C-BE32-E72D297353CC}">
              <c16:uniqueId val="{00000000-5CB9-4229-9AC3-981BD2147D98}"/>
            </c:ext>
          </c:extLst>
        </c:ser>
        <c:dLbls>
          <c:showLegendKey val="0"/>
          <c:showVal val="0"/>
          <c:showCatName val="0"/>
          <c:showSerName val="0"/>
          <c:showPercent val="0"/>
          <c:showBubbleSize val="0"/>
        </c:dLbls>
        <c:smooth val="0"/>
        <c:axId val="619105992"/>
        <c:axId val="619106320"/>
      </c:lineChart>
      <c:dateAx>
        <c:axId val="619105992"/>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9106320"/>
        <c:crosses val="autoZero"/>
        <c:auto val="1"/>
        <c:lblOffset val="100"/>
        <c:baseTimeUnit val="months"/>
      </c:dateAx>
      <c:valAx>
        <c:axId val="619106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9105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MICEX</a:t>
            </a:r>
            <a:r>
              <a:rPr lang="en-US" baseline="0"/>
              <a:t> 10 reaction to sanctions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'индекс мосбиржи 10'!$A$1210:$A$1225</c:f>
              <c:numCache>
                <c:formatCode>m/d/yyyy</c:formatCode>
                <c:ptCount val="16"/>
                <c:pt idx="0">
                  <c:v>41712</c:v>
                </c:pt>
                <c:pt idx="1">
                  <c:v>41711</c:v>
                </c:pt>
                <c:pt idx="2">
                  <c:v>41710</c:v>
                </c:pt>
                <c:pt idx="3">
                  <c:v>41709</c:v>
                </c:pt>
                <c:pt idx="4">
                  <c:v>41705</c:v>
                </c:pt>
                <c:pt idx="5">
                  <c:v>41704</c:v>
                </c:pt>
                <c:pt idx="6">
                  <c:v>41703</c:v>
                </c:pt>
                <c:pt idx="7">
                  <c:v>41702</c:v>
                </c:pt>
                <c:pt idx="8">
                  <c:v>41701</c:v>
                </c:pt>
                <c:pt idx="9">
                  <c:v>41698</c:v>
                </c:pt>
                <c:pt idx="10">
                  <c:v>41697</c:v>
                </c:pt>
                <c:pt idx="11">
                  <c:v>41696</c:v>
                </c:pt>
                <c:pt idx="12">
                  <c:v>41695</c:v>
                </c:pt>
                <c:pt idx="13">
                  <c:v>41694</c:v>
                </c:pt>
                <c:pt idx="14">
                  <c:v>41691</c:v>
                </c:pt>
                <c:pt idx="15">
                  <c:v>41690</c:v>
                </c:pt>
              </c:numCache>
            </c:numRef>
          </c:cat>
          <c:val>
            <c:numRef>
              <c:f>'индекс мосбиржи 10'!$B$1210:$B$1225</c:f>
              <c:numCache>
                <c:formatCode>#,##0.00</c:formatCode>
                <c:ptCount val="16"/>
                <c:pt idx="0">
                  <c:v>2762.26</c:v>
                </c:pt>
                <c:pt idx="1">
                  <c:v>2767.33</c:v>
                </c:pt>
                <c:pt idx="2">
                  <c:v>2810.31</c:v>
                </c:pt>
                <c:pt idx="3">
                  <c:v>2888.48</c:v>
                </c:pt>
                <c:pt idx="4">
                  <c:v>2970.05</c:v>
                </c:pt>
                <c:pt idx="5">
                  <c:v>2963.03</c:v>
                </c:pt>
                <c:pt idx="6">
                  <c:v>2988.46</c:v>
                </c:pt>
                <c:pt idx="7">
                  <c:v>2999.71</c:v>
                </c:pt>
                <c:pt idx="8">
                  <c:v>2847.3</c:v>
                </c:pt>
                <c:pt idx="9">
                  <c:v>3143.47</c:v>
                </c:pt>
                <c:pt idx="10">
                  <c:v>3151.64</c:v>
                </c:pt>
                <c:pt idx="11">
                  <c:v>3203.29</c:v>
                </c:pt>
                <c:pt idx="12">
                  <c:v>3225.3</c:v>
                </c:pt>
                <c:pt idx="13">
                  <c:v>3239.33</c:v>
                </c:pt>
                <c:pt idx="14">
                  <c:v>3238.03</c:v>
                </c:pt>
                <c:pt idx="15">
                  <c:v>3217.55</c:v>
                </c:pt>
              </c:numCache>
            </c:numRef>
          </c:val>
          <c:smooth val="0"/>
          <c:extLst>
            <c:ext xmlns:c16="http://schemas.microsoft.com/office/drawing/2014/chart" uri="{C3380CC4-5D6E-409C-BE32-E72D297353CC}">
              <c16:uniqueId val="{00000000-B17B-49C8-A3E3-2CD95235E85F}"/>
            </c:ext>
          </c:extLst>
        </c:ser>
        <c:dLbls>
          <c:showLegendKey val="0"/>
          <c:showVal val="0"/>
          <c:showCatName val="0"/>
          <c:showSerName val="0"/>
          <c:showPercent val="0"/>
          <c:showBubbleSize val="0"/>
        </c:dLbls>
        <c:smooth val="0"/>
        <c:axId val="937207128"/>
        <c:axId val="937209752"/>
      </c:lineChart>
      <c:dateAx>
        <c:axId val="937207128"/>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7209752"/>
        <c:crosses val="autoZero"/>
        <c:auto val="1"/>
        <c:lblOffset val="100"/>
        <c:baseTimeUnit val="days"/>
      </c:dateAx>
      <c:valAx>
        <c:axId val="9372097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7207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MICEX</a:t>
            </a:r>
            <a:r>
              <a:rPr lang="en-US" baseline="0"/>
              <a:t> 10 reaction to VISA ban and asset freezes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'индекс мосбиржи 10'!$A$185:$A$195</c:f>
              <c:numCache>
                <c:formatCode>m/d/yyyy</c:formatCode>
                <c:ptCount val="11"/>
                <c:pt idx="0">
                  <c:v>43203</c:v>
                </c:pt>
                <c:pt idx="1">
                  <c:v>43202</c:v>
                </c:pt>
                <c:pt idx="2">
                  <c:v>43201</c:v>
                </c:pt>
                <c:pt idx="3">
                  <c:v>43200</c:v>
                </c:pt>
                <c:pt idx="4">
                  <c:v>43199</c:v>
                </c:pt>
                <c:pt idx="5">
                  <c:v>43196</c:v>
                </c:pt>
                <c:pt idx="6">
                  <c:v>43195</c:v>
                </c:pt>
                <c:pt idx="7">
                  <c:v>43194</c:v>
                </c:pt>
                <c:pt idx="8">
                  <c:v>43193</c:v>
                </c:pt>
                <c:pt idx="9">
                  <c:v>43192</c:v>
                </c:pt>
                <c:pt idx="10">
                  <c:v>43189</c:v>
                </c:pt>
              </c:numCache>
            </c:numRef>
          </c:cat>
          <c:val>
            <c:numRef>
              <c:f>'индекс мосбиржи 10'!$B$185:$B$195</c:f>
              <c:numCache>
                <c:formatCode>#,##0.00</c:formatCode>
                <c:ptCount val="11"/>
                <c:pt idx="0">
                  <c:v>4248.09</c:v>
                </c:pt>
                <c:pt idx="1">
                  <c:v>4290.7299999999996</c:v>
                </c:pt>
                <c:pt idx="2">
                  <c:v>4211.87</c:v>
                </c:pt>
                <c:pt idx="3">
                  <c:v>4179.74</c:v>
                </c:pt>
                <c:pt idx="4">
                  <c:v>4088.61</c:v>
                </c:pt>
                <c:pt idx="5">
                  <c:v>4448.18</c:v>
                </c:pt>
                <c:pt idx="6">
                  <c:v>4460.58</c:v>
                </c:pt>
                <c:pt idx="7">
                  <c:v>4411.1099999999997</c:v>
                </c:pt>
                <c:pt idx="8">
                  <c:v>4404.91</c:v>
                </c:pt>
                <c:pt idx="9">
                  <c:v>4401.88</c:v>
                </c:pt>
                <c:pt idx="10">
                  <c:v>4419.28</c:v>
                </c:pt>
              </c:numCache>
            </c:numRef>
          </c:val>
          <c:smooth val="0"/>
          <c:extLst>
            <c:ext xmlns:c16="http://schemas.microsoft.com/office/drawing/2014/chart" uri="{C3380CC4-5D6E-409C-BE32-E72D297353CC}">
              <c16:uniqueId val="{00000000-2A94-407A-946D-2A308184D06C}"/>
            </c:ext>
          </c:extLst>
        </c:ser>
        <c:dLbls>
          <c:showLegendKey val="0"/>
          <c:showVal val="0"/>
          <c:showCatName val="0"/>
          <c:showSerName val="0"/>
          <c:showPercent val="0"/>
          <c:showBubbleSize val="0"/>
        </c:dLbls>
        <c:smooth val="0"/>
        <c:axId val="674481448"/>
        <c:axId val="674482104"/>
      </c:lineChart>
      <c:dateAx>
        <c:axId val="674481448"/>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4482104"/>
        <c:crosses val="autoZero"/>
        <c:auto val="1"/>
        <c:lblOffset val="100"/>
        <c:baseTimeUnit val="days"/>
      </c:dateAx>
      <c:valAx>
        <c:axId val="6744821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4481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Rebranding">
  <a:themeElements>
    <a:clrScheme name="PwC Orange">
      <a:dk1>
        <a:srgbClr val="000000"/>
      </a:dk1>
      <a:lt1>
        <a:srgbClr val="FFFFFF"/>
      </a:lt1>
      <a:dk2>
        <a:srgbClr val="DC6900"/>
      </a:dk2>
      <a:lt2>
        <a:srgbClr val="FFFFFF"/>
      </a:lt2>
      <a:accent1>
        <a:srgbClr val="DC6900"/>
      </a:accent1>
      <a:accent2>
        <a:srgbClr val="FFB600"/>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Bec10</b:Tag>
    <b:SourceType>JournalArticle</b:SourceType>
    <b:Guid>{FF155243-D62C-4B39-8062-52140A12E5EF}</b:Guid>
    <b:Author>
      <b:Author>
        <b:NameList>
          <b:Person>
            <b:Last>Beckley</b:Last>
            <b:First>Michael</b:First>
          </b:Person>
        </b:NameList>
      </b:Author>
    </b:Author>
    <b:Title>Economic Development and Military Effectiveness</b:Title>
    <b:JournalName>The Journal of Strategic Studies</b:JournalName>
    <b:Year>2010</b:Year>
    <b:Pages>43-79</b:Pages>
    <b:RefOrder>19</b:RefOrder>
  </b:Source>
  <b:Source>
    <b:Tag>Kau90</b:Tag>
    <b:SourceType>JournalArticle</b:SourceType>
    <b:Guid>{1D562571-D101-4D0E-AD03-276EE2BFFBBC}</b:Guid>
    <b:Author>
      <b:Author>
        <b:NameList>
          <b:Person>
            <b:Last>Kaun</b:Last>
            <b:First>David</b:First>
            <b:Middle>E</b:Middle>
          </b:Person>
        </b:NameList>
      </b:Author>
    </b:Author>
    <b:Title>War and Wall Street: the impact of military conflict on investor attitudes</b:Title>
    <b:JournalName>Journal of Economics</b:JournalName>
    <b:Year>1990</b:Year>
    <b:Pages>439-452</b:Pages>
    <b:RefOrder>10</b:RefOrder>
  </b:Source>
  <b:Source>
    <b:Tag>Bru15</b:Tag>
    <b:SourceType>JournalArticle</b:SourceType>
    <b:Guid>{4B0CEC51-6D9F-4249-A653-97640CD73C73}</b:Guid>
    <b:Title>The war puzzle: contradictory effects of international conflicts on stock markets</b:Title>
    <b:Year>2015</b:Year>
    <b:Author>
      <b:Author>
        <b:NameList>
          <b:Person>
            <b:Last>Brune</b:Last>
            <b:First>Amelie</b:First>
          </b:Person>
          <b:Person>
            <b:Last>Hens</b:Last>
            <b:First>Thorsten</b:First>
          </b:Person>
          <b:Person>
            <b:Last>Rieger</b:Last>
            <b:First>Marc</b:First>
            <b:Middle>Oliver</b:Middle>
          </b:Person>
          <b:Person>
            <b:Last>Wang</b:Last>
            <b:First>Mei</b:First>
          </b:Person>
        </b:NameList>
      </b:Author>
    </b:Author>
    <b:JournalName>International Review of Economics</b:JournalName>
    <b:Pages>1-21</b:Pages>
    <b:RefOrder>8</b:RefOrder>
  </b:Source>
  <b:Source>
    <b:Tag>Sch06</b:Tag>
    <b:SourceType>JournalArticle</b:SourceType>
    <b:Guid>{43B79816-7EA5-431D-AF33-440EA9BBF8E5}</b:Guid>
    <b:Title>War and the world economy: stock market reactions to international conflicts</b:Title>
    <b:Year>2006</b:Year>
    <b:Author>
      <b:Author>
        <b:NameList>
          <b:Person>
            <b:Last>Schneider</b:Last>
            <b:First>G</b:First>
          </b:Person>
          <b:Person>
            <b:Last>Troeger</b:Last>
            <b:First>V</b:First>
          </b:Person>
        </b:NameList>
      </b:Author>
    </b:Author>
    <b:JournalName>Journal of Conflict Resolution, vol. 50</b:JournalName>
    <b:Pages>623-645</b:Pages>
    <b:RefOrder>9</b:RefOrder>
  </b:Source>
  <b:Source>
    <b:Tag>Elt00</b:Tag>
    <b:SourceType>BookSection</b:SourceType>
    <b:Guid>{3B1727EB-9F8F-407D-9298-32C881B02573}</b:Guid>
    <b:Title>Adam Smith's Theory of Economic Growth.</b:Title>
    <b:Year>2000</b:Year>
    <b:City>London</b:City>
    <b:Publisher>Palgrave Macmillan</b:Publisher>
    <b:Author>
      <b:Author>
        <b:NameList>
          <b:Person>
            <b:Last>Eltis</b:Last>
            <b:First>W</b:First>
          </b:Person>
        </b:NameList>
      </b:Author>
      <b:BookAuthor>
        <b:NameList>
          <b:Person>
            <b:Last>Eltis</b:Last>
            <b:First>W</b:First>
          </b:Person>
        </b:NameList>
      </b:BookAuthor>
    </b:Author>
    <b:Pages>68-105</b:Pages>
    <b:BookTitle>The Classifical Theory of Economic Growh</b:BookTitle>
    <b:RefOrder>20</b:RefOrder>
  </b:Source>
  <b:Source>
    <b:Tag>Pie14</b:Tag>
    <b:SourceType>JournalArticle</b:SourceType>
    <b:Guid>{97F74084-D0D3-4037-A911-FD02E0BA982F}</b:Guid>
    <b:Author>
      <b:Author>
        <b:NameList>
          <b:Person>
            <b:Last>Pietak</b:Last>
            <b:First>Lukasz</b:First>
          </b:Person>
        </b:NameList>
      </b:Author>
    </b:Author>
    <b:Title>Review of Theories and Models of Economic Growth</b:Title>
    <b:JournalName>Comparative Economic Research</b:JournalName>
    <b:Year>2014</b:Year>
    <b:RefOrder>21</b:RefOrder>
  </b:Source>
  <b:Source>
    <b:Tag>Car01</b:Tag>
    <b:SourceType>Book</b:SourceType>
    <b:Guid>{D25ACD23-6DC4-4FD0-A685-DA1C7AD66B72}</b:Guid>
    <b:Title>Technology, Urbanization, and Economic Growth</b:Title>
    <b:Year>2001</b:Year>
    <b:City>New York</b:City>
    <b:Publisher>Taylor and Francis Group</b:Publisher>
    <b:Author>
      <b:Author>
        <b:NameList>
          <b:Person>
            <b:Last>Carl</b:Last>
            <b:First>Mosk</b:First>
          </b:Person>
        </b:NameList>
      </b:Author>
    </b:Author>
    <b:RefOrder>22</b:RefOrder>
  </b:Source>
  <b:Source>
    <b:Tag>Rob15</b:Tag>
    <b:SourceType>JournalArticle</b:SourceType>
    <b:Guid>{8687F96C-BD5A-4A4E-9CCB-B4A0247EB056}</b:Guid>
    <b:Title>Studying the relationship between economic growth, CO2 emissions, and the environmental Kuznets curve in Venezuela</b:Title>
    <b:Year>2015</b:Year>
    <b:Author>
      <b:Author>
        <b:NameList>
          <b:Person>
            <b:Last>Robalino-Lopez</b:Last>
            <b:First>Andres</b:First>
          </b:Person>
          <b:Person>
            <b:Last>Mena-Nieto</b:Last>
            <b:First>Angel</b:First>
          </b:Person>
          <b:Person>
            <b:Last>Garcia-Ramos</b:Last>
            <b:First>Jose-Enrique</b:First>
          </b:Person>
          <b:Person>
            <b:Last>Golpe</b:Last>
            <b:First>Antonio</b:First>
          </b:Person>
        </b:NameList>
      </b:Author>
    </b:Author>
    <b:JournalName>Renewable and Sustainable Energy Reviews</b:JournalName>
    <b:Pages>602-614</b:Pages>
    <b:RefOrder>23</b:RefOrder>
  </b:Source>
  <b:Source>
    <b:Tag>Pol04</b:Tag>
    <b:SourceType>JournalArticle</b:SourceType>
    <b:Guid>{CD484D31-4197-405F-A74E-E9999EA5DF75}</b:Guid>
    <b:Title>Is the US Aggregate Production Function Cobb-Douglas? New Estimates of the Elasticity of Substitution</b:Title>
    <b:Year>2004</b:Year>
    <b:Author>
      <b:Author>
        <b:NameList>
          <b:Person>
            <b:Last>Pol</b:Last>
            <b:First>Antras</b:First>
          </b:Person>
        </b:NameList>
      </b:Author>
    </b:Author>
    <b:JournalName>Contributions to Macroeconomics, vol. 4</b:JournalName>
    <b:RefOrder>24</b:RefOrder>
  </b:Source>
  <b:Source>
    <b:Tag>Sch34</b:Tag>
    <b:SourceType>Book</b:SourceType>
    <b:Guid>{FDEF89CE-FD48-416B-B8F2-0C3E181DF2E6}</b:Guid>
    <b:Author>
      <b:Author>
        <b:NameList>
          <b:Person>
            <b:Last>Schumpeter</b:Last>
            <b:First>J.A.</b:First>
          </b:Person>
        </b:NameList>
      </b:Author>
    </b:Author>
    <b:Title>The Theory of Economic Development</b:Title>
    <b:Year>1934</b:Year>
    <b:City>Cambridge</b:City>
    <b:Publisher>Harvard University Press</b:Publisher>
    <b:RefOrder>25</b:RefOrder>
  </b:Source>
  <b:Source>
    <b:Tag>Hou13</b:Tag>
    <b:SourceType>JournalArticle</b:SourceType>
    <b:Guid>{D7891246-6B06-4A5A-9726-0E46B5B3BFAD}</b:Guid>
    <b:Author>
      <b:Author>
        <b:NameList>
          <b:Person>
            <b:Last>Hou</b:Last>
            <b:First>Na</b:First>
          </b:Person>
          <b:Person>
            <b:Last>Chen</b:Last>
            <b:First>Bo</b:First>
          </b:Person>
        </b:NameList>
      </b:Author>
    </b:Author>
    <b:Title>Military Expenditure and Economic Growth in Developing Countries: Evidence from System GMM Estimates</b:Title>
    <b:JournalName>Defense and Peace Economics</b:JournalName>
    <b:Year>2013</b:Year>
    <b:Pages>183-193</b:Pages>
    <b:RefOrder>26</b:RefOrder>
  </b:Source>
  <b:Source>
    <b:Tag>Ben78</b:Tag>
    <b:SourceType>JournalArticle</b:SourceType>
    <b:Guid>{42086411-6EE5-4C21-AFE7-B9A6656D5522}</b:Guid>
    <b:Author>
      <b:Author>
        <b:NameList>
          <b:Person>
            <b:Last>Benoit</b:Last>
            <b:First>E</b:First>
          </b:Person>
        </b:NameList>
      </b:Author>
    </b:Author>
    <b:Title>growth and defense in LDCs</b:Title>
    <b:JournalName>Economic Development and Cultural Change</b:JournalName>
    <b:Year>1978</b:Year>
    <b:Pages>271-280</b:Pages>
    <b:RefOrder>27</b:RefOrder>
  </b:Source>
  <b:Source>
    <b:Tag>Kol19</b:Tag>
    <b:SourceType>JournalArticle</b:SourceType>
    <b:Guid>{7981B9C6-2E1E-4766-A314-90C9CFFDA5F7}</b:Guid>
    <b:Author>
      <b:Author>
        <b:NameList>
          <b:Person>
            <b:Last>Kollias</b:Last>
            <b:First>Christos</b:First>
          </b:Person>
          <b:Person>
            <b:Last>Paleologou</b:Last>
            <b:First>Suzanna-Maria</b:First>
          </b:Person>
        </b:NameList>
      </b:Author>
    </b:Author>
    <b:Title>Military spending, economic growth and investment: a disaggregated analysis by income group</b:Title>
    <b:JournalName>Empirical Economics</b:JournalName>
    <b:Year>2019</b:Year>
    <b:Pages>935-958</b:Pages>
    <b:RefOrder>28</b:RefOrder>
  </b:Source>
  <b:Source>
    <b:Tag>Dun15</b:Tag>
    <b:SourceType>JournalArticle</b:SourceType>
    <b:Guid>{9E384F55-6945-4CD6-873C-AF673123AC0E}</b:Guid>
    <b:Author>
      <b:Author>
        <b:NameList>
          <b:Person>
            <b:Last>Dunne</b:Last>
            <b:First>Paul</b:First>
            <b:Middle>J</b:Middle>
          </b:Person>
          <b:Person>
            <b:Last>Tian</b:Last>
            <b:First>Nan</b:First>
          </b:Person>
        </b:NameList>
      </b:Author>
    </b:Author>
    <b:Title>Military Expenditure, Economic Growth and Heterogeneity</b:Title>
    <b:JournalName>Defense and Peace Economics</b:JournalName>
    <b:Year>2015</b:Year>
    <b:Pages>15-31</b:Pages>
    <b:RefOrder>29</b:RefOrder>
  </b:Source>
  <b:Source>
    <b:Tag>Str08</b:Tag>
    <b:SourceType>JournalArticle</b:SourceType>
    <b:Guid>{F4636D31-4422-44DB-83BF-3DD28B15A7CC}</b:Guid>
    <b:Author>
      <b:Author>
        <b:NameList>
          <b:Person>
            <b:Last>Straetmans</b:Last>
            <b:First>S.T.M</b:First>
          </b:Person>
          <b:Person>
            <b:Last>Verschoor</b:Last>
            <b:First>W.F.C</b:First>
          </b:Person>
          <b:Person>
            <b:Last>Wolff</b:Last>
            <b:First>C.C.P</b:First>
          </b:Person>
        </b:NameList>
      </b:Author>
    </b:Author>
    <b:Title>Extreme US Stock market fluctuations in the wake of 9/11</b:Title>
    <b:JournalName>Journal of Applied Econometrics</b:JournalName>
    <b:Year>2008</b:Year>
    <b:RefOrder>11</b:RefOrder>
  </b:Source>
  <b:Source>
    <b:Tag>Che11</b:Tag>
    <b:SourceType>JournalArticle</b:SourceType>
    <b:Guid>{EAA984EE-B196-4ADB-A7C8-9648169965DD}</b:Guid>
    <b:Author>
      <b:Author>
        <b:NameList>
          <b:Person>
            <b:Last>Chesney</b:Last>
            <b:First>M</b:First>
          </b:Person>
          <b:Person>
            <b:Last>Reshetarb</b:Last>
            <b:First>G</b:First>
          </b:Person>
          <b:Person>
            <b:Last>Karamana</b:Last>
            <b:First>M</b:First>
          </b:Person>
        </b:NameList>
      </b:Author>
    </b:Author>
    <b:Title>The Impact of terrorism on financial markets: an empirical study</b:Title>
    <b:JournalName>Journal of Banking and Finance</b:JournalName>
    <b:Year>2011</b:Year>
    <b:Pages>253-267</b:Pages>
    <b:RefOrder>5</b:RefOrder>
  </b:Source>
  <b:Source>
    <b:Tag>Bia08</b:Tag>
    <b:SourceType>JournalArticle</b:SourceType>
    <b:Guid>{93BA9F0C-CA5E-48FA-9078-075AFE6FE514}</b:Guid>
    <b:Author>
      <b:Author>
        <b:NameList>
          <b:Person>
            <b:Last>Bialkowski</b:Last>
            <b:First>J</b:First>
          </b:Person>
          <b:Person>
            <b:Last>Gottschalk</b:Last>
            <b:First>K</b:First>
          </b:Person>
          <b:Person>
            <b:Last>Wisniewski</b:Last>
            <b:First>T</b:First>
          </b:Person>
        </b:NameList>
      </b:Author>
    </b:Author>
    <b:Title>Stock market volatility around national election</b:Title>
    <b:JournalName>Journal of Banking and Finance</b:JournalName>
    <b:Year>2008</b:Year>
    <b:Pages>1942-1953</b:Pages>
    <b:RefOrder>17</b:RefOrder>
  </b:Source>
  <b:Source>
    <b:Tag>Ami04</b:Tag>
    <b:SourceType>JournalArticle</b:SourceType>
    <b:Guid>{504ECCC5-9F0D-4A89-9CDE-910E79873005}</b:Guid>
    <b:Author>
      <b:Author>
        <b:NameList>
          <b:Person>
            <b:Last>Amihud</b:Last>
            <b:First>Y</b:First>
          </b:Person>
          <b:Person>
            <b:Last>Wohl</b:Last>
            <b:First>A</b:First>
          </b:Person>
        </b:NameList>
      </b:Author>
    </b:Author>
    <b:Title>Political news and stock prices: the case of Saddam Hussein</b:Title>
    <b:JournalName>Journal of Banking and Finance, vol. 28. N5</b:JournalName>
    <b:Year>2004</b:Year>
    <b:Pages>1185-1200</b:Pages>
    <b:RefOrder>3</b:RefOrder>
  </b:Source>
  <b:Source>
    <b:Tag>Kon18</b:Tag>
    <b:SourceType>JournalArticle</b:SourceType>
    <b:Guid>{24F55311-111D-4B3E-9278-5744CDDABBB2}</b:Guid>
    <b:Title>Crimea and punishment: the impact of sanctions on Russian economy and economies of the euro are</b:Title>
    <b:Year>2018</b:Year>
    <b:Author>
      <b:Author>
        <b:NameList>
          <b:Person>
            <b:Last>Konstatin</b:Last>
            <b:First>A</b:First>
          </b:Person>
          <b:Person>
            <b:Last>Kholodilin</b:Last>
            <b:First>A</b:First>
          </b:Person>
          <b:Person>
            <b:Last>Netsunayev</b:Last>
            <b:First>A</b:First>
          </b:Person>
        </b:NameList>
      </b:Author>
    </b:Author>
    <b:JournalName>Baltic Journal of Economics</b:JournalName>
    <b:Pages>39-51</b:Pages>
    <b:RefOrder>7</b:RefOrder>
  </b:Source>
  <b:Source>
    <b:Tag>Mei04</b:Tag>
    <b:SourceType>JournalArticle</b:SourceType>
    <b:Guid>{A8FCC2DD-E6F8-435E-98D8-96EA87817DFA}</b:Guid>
    <b:Author>
      <b:Author>
        <b:NameList>
          <b:Person>
            <b:Last>Mei</b:Last>
            <b:First>Jianping</b:First>
          </b:Person>
          <b:Person>
            <b:Last>Guo</b:Last>
            <b:First>Limin</b:First>
          </b:Person>
        </b:NameList>
      </b:Author>
    </b:Author>
    <b:Title>Political Uncertainty, Financial Crisis and Market Volatility</b:Title>
    <b:JournalName>European Financial Management</b:JournalName>
    <b:Year>2004</b:Year>
    <b:RefOrder>12</b:RefOrder>
  </b:Source>
  <b:Source>
    <b:Tag>Abd13</b:Tag>
    <b:SourceType>JournalArticle</b:SourceType>
    <b:Guid>{555ABF24-72A5-4185-9E5F-518FD4372A79}</b:Guid>
    <b:Author>
      <b:Author>
        <b:NameList>
          <b:Person>
            <b:Last>Abdelbaki</b:Last>
            <b:First>Hisham</b:First>
            <b:Middle>Handal</b:Middle>
          </b:Person>
        </b:NameList>
      </b:Author>
    </b:Author>
    <b:Title>The impact of Arab Spring on Stock Market Performance</b:Title>
    <b:JournalName>British Journal of Economics, Management and Trade</b:JournalName>
    <b:Year>2013</b:Year>
    <b:Pages>169-185</b:Pages>
    <b:RefOrder>4</b:RefOrder>
  </b:Source>
  <b:Source>
    <b:Tag>Rat07</b:Tag>
    <b:SourceType>JournalArticle</b:SourceType>
    <b:Guid>{02832616-49F8-41D3-86A6-FC7DCDB98B81}</b:Guid>
    <b:Author>
      <b:Author>
        <b:NameList>
          <b:Person>
            <b:Last>Ratanapakorn</b:Last>
            <b:First>Orawan</b:First>
          </b:Person>
          <b:Person>
            <b:Last>Sharma</b:Last>
            <b:First>Subhash</b:First>
            <b:Middle>C</b:Middle>
          </b:Person>
        </b:NameList>
      </b:Author>
    </b:Author>
    <b:Title>Dynamic analysis between the US stock returns and the marcoeconomic variables</b:Title>
    <b:JournalName>Applied Financial Economics</b:JournalName>
    <b:Year>2007</b:Year>
    <b:Pages>369-377</b:Pages>
    <b:RefOrder>15</b:RefOrder>
  </b:Source>
  <b:Source>
    <b:Tag>Che04</b:Tag>
    <b:SourceType>JournalArticle</b:SourceType>
    <b:Guid>{5605BB46-91EE-443D-A7A2-3678603BA503}</b:Guid>
    <b:Author>
      <b:Author>
        <b:NameList>
          <b:Person>
            <b:Last>Chen</b:Last>
            <b:First>AH</b:First>
          </b:Person>
          <b:Person>
            <b:Last>Siems</b:Last>
            <b:First>TF</b:First>
          </b:Person>
        </b:NameList>
      </b:Author>
    </b:Author>
    <b:Title>The effect of terrorism on global capital markets</b:Title>
    <b:JournalName>European Journal of Political Economy</b:JournalName>
    <b:Year>2004</b:Year>
    <b:Pages>249-366</b:Pages>
    <b:RefOrder>16</b:RefOrder>
  </b:Source>
  <b:Source>
    <b:Tag>Rut16</b:Tag>
    <b:SourceType>InternetSite</b:SourceType>
    <b:Guid>{3AAFB7D0-D31B-46A9-820F-D8E9DBEAB217}</b:Guid>
    <b:Title>History in the Making: The agreement that ended the Soviet Union</b:Title>
    <b:Year>2016</b:Year>
    <b:Author>
      <b:Author>
        <b:NameList>
          <b:Person>
            <b:Last>Rutland</b:Last>
            <b:First>Peter</b:First>
          </b:Person>
        </b:NameList>
      </b:Author>
    </b:Author>
    <b:InternetSiteTitle>The Moscow Times</b:InternetSiteTitle>
    <b:Month>December </b:Month>
    <b:Day>7</b:Day>
    <b:URL>https://www.themoscowtimes.com/2016/12/07/history-in-the-making-the-agreement-that-ended-the-soviet-union-a56456</b:URL>
    <b:RefOrder>30</b:RefOrder>
  </b:Source>
  <b:Source>
    <b:Tag>Rig05</b:Tag>
    <b:SourceType>JournalArticle</b:SourceType>
    <b:Guid>{6BB273B3-CF5F-4343-B1E0-5516A8ECB0EB}</b:Guid>
    <b:Author>
      <b:Author>
        <b:NameList>
          <b:Person>
            <b:Last>Rigobon</b:Last>
            <b:First>R</b:First>
          </b:Person>
          <b:Person>
            <b:Last>Sack</b:Last>
            <b:First>B</b:First>
          </b:Person>
        </b:NameList>
      </b:Author>
    </b:Author>
    <b:Title>The effects of war risk on U.S. financial marketrs</b:Title>
    <b:JournalName>Journal of Banking and Finance</b:JournalName>
    <b:Year>2005</b:Year>
    <b:Pages>1769-1789</b:Pages>
    <b:RefOrder>31</b:RefOrder>
  </b:Source>
  <b:Source>
    <b:Tag>Mai05</b:Tag>
    <b:SourceType>JournalArticle</b:SourceType>
    <b:Guid>{EDE9B631-E0D8-4A63-9783-A281863FA235}</b:Guid>
    <b:Author>
      <b:Author>
        <b:NameList>
          <b:Person>
            <b:Last>Maillet</b:Last>
            <b:First>B</b:First>
          </b:Person>
          <b:Person>
            <b:Last>Micheal</b:Last>
            <b:First>T</b:First>
          </b:Person>
        </b:NameList>
      </b:Author>
    </b:Author>
    <b:Title>The impact of the 9/11 events on the American and French stock markets</b:Title>
    <b:JournalName>Review of International Economy</b:JournalName>
    <b:Year>2005</b:Year>
    <b:Pages>597-611</b:Pages>
    <b:RefOrder>32</b:RefOrder>
  </b:Source>
  <b:Source>
    <b:Tag>BBC15</b:Tag>
    <b:SourceType>InternetSite</b:SourceType>
    <b:Guid>{69A90FC0-11C3-4565-954A-17050A88B88D}</b:Guid>
    <b:Author>
      <b:Author>
        <b:NameList>
          <b:Person>
            <b:Last>BBC</b:Last>
          </b:Person>
        </b:NameList>
      </b:Author>
    </b:Author>
    <b:Title>Crimea annexation: One year on</b:Title>
    <b:InternetSiteTitle>BBC</b:InternetSiteTitle>
    <b:Year>2015</b:Year>
    <b:Month>March </b:Month>
    <b:Day>15`</b:Day>
    <b:URL>https://www.bbc.com/news/av/world-europe-31901039/crimea-annexation-by-russia-one-year-on</b:URL>
    <b:RefOrder>1</b:RefOrder>
  </b:Source>
  <b:Source>
    <b:Tag>Ano08</b:Tag>
    <b:SourceType>JournalArticle</b:SourceType>
    <b:Guid>{B62066B8-18F0-4A7F-A8E4-56BD5CD65FA6}</b:Guid>
    <b:Author>
      <b:Author>
        <b:NameList>
          <b:Person>
            <b:Last>Anotolyev</b:Last>
            <b:First>S</b:First>
          </b:Person>
        </b:NameList>
      </b:Author>
    </b:Author>
    <b:Title>A 10-year retrospective on the determinants of Russian Stock Returns</b:Title>
    <b:JournalName>Research in International Business and Finance</b:JournalName>
    <b:Year>2008</b:Year>
    <b:RefOrder>33</b:RefOrder>
  </b:Source>
  <b:Source>
    <b:Tag>Kho17</b:Tag>
    <b:SourceType>JournalArticle</b:SourceType>
    <b:Guid>{68C7B50E-421B-47DD-8577-60B6A0098332}</b:Guid>
    <b:Author>
      <b:Author>
        <b:NameList>
          <b:Person>
            <b:Last>Kholodilin</b:Last>
            <b:First>Konstantin</b:First>
            <b:Middle>A</b:Middle>
          </b:Person>
          <b:Person>
            <b:Last>Netsunajev</b:Last>
            <b:First>Aleksei</b:First>
          </b:Person>
        </b:NameList>
      </b:Author>
    </b:Author>
    <b:Title>Crimea and punishment: The impact of sanctions on Russian and European economies</b:Title>
    <b:JournalName>Workin Paper Series </b:JournalName>
    <b:Year>2017</b:Year>
    <b:RefOrder>13</b:RefOrder>
  </b:Source>
  <b:Source>
    <b:Tag>Dre14</b:Tag>
    <b:SourceType>JournalArticle</b:SourceType>
    <b:Guid>{B9021A37-DFAF-4C4F-99B3-5BF0EEBB91AB}</b:Guid>
    <b:Author>
      <b:Author>
        <b:NameList>
          <b:Person>
            <b:Last>Dreyer</b:Last>
            <b:First>Iana</b:First>
          </b:Person>
          <b:Person>
            <b:Last>Popescu</b:Last>
            <b:First>Nicu</b:First>
          </b:Person>
        </b:NameList>
      </b:Author>
    </b:Author>
    <b:Title>Do sanctions against Russia work?</b:Title>
    <b:JournalName>European Union Institute for Security Studies</b:JournalName>
    <b:Year>2014</b:Year>
    <b:Pages>1-4</b:Pages>
    <b:RefOrder>6</b:RefOrder>
  </b:Source>
  <b:Source>
    <b:Tag>Ank17</b:Tag>
    <b:SourceType>JournalArticle</b:SourceType>
    <b:Guid>{CF83213D-1D56-49DE-BC46-6C9BCCF8DB58}</b:Guid>
    <b:Author>
      <b:Author>
        <b:NameList>
          <b:Person>
            <b:Last>Ankudinov</b:Last>
            <b:First>Andrei</b:First>
          </b:Person>
          <b:Person>
            <b:Last>Ibragimov</b:Last>
            <b:First>Rustam</b:First>
          </b:Person>
          <b:Person>
            <b:Last>Lebedev</b:Last>
            <b:First>Oleg</b:First>
          </b:Person>
        </b:NameList>
      </b:Author>
    </b:Author>
    <b:Title>Sanctions and the Russian stock market</b:Title>
    <b:JournalName>Research in International Business and Finance</b:JournalName>
    <b:Year>2017</b:Year>
    <b:Pages>150-162</b:Pages>
    <b:RefOrder>14</b:RefOrder>
  </b:Source>
  <b:Source>
    <b:Tag>Gur15</b:Tag>
    <b:SourceType>JournalArticle</b:SourceType>
    <b:Guid>{C1BAE145-F9C5-4B14-AF09-25F21548CD54}</b:Guid>
    <b:Author>
      <b:Author>
        <b:NameList>
          <b:Person>
            <b:Last>Gurvich</b:Last>
            <b:First>Evsey</b:First>
          </b:Person>
          <b:Person>
            <b:Last>Prilepskiy</b:Last>
            <b:First>Ilya</b:First>
          </b:Person>
        </b:NameList>
      </b:Author>
    </b:Author>
    <b:Title>The impact of financial sanctions on the Russian economy</b:Title>
    <b:JournalName>Russian Journal of Economics</b:JournalName>
    <b:Year>2015</b:Year>
    <b:Pages>359-385</b:Pages>
    <b:RefOrder>2</b:RefOrder>
  </b:Source>
  <b:Source xmlns:b="http://schemas.openxmlformats.org/officeDocument/2006/bibliography">
    <b:Tag>Sig15</b:Tag>
    <b:SourceType>InternetSite</b:SourceType>
    <b:Guid>{6E67C15E-F8A1-4CBC-86CA-CE28EFBEB82D}</b:Guid>
    <b:Title>The impact of the Russia-Ukraine conflict on stock investments</b:Title>
    <b:Year>2015</b:Year>
    <b:Author>
      <b:Author>
        <b:NameList>
          <b:Person>
            <b:Last>Sigerson</b:Last>
            <b:First>Frank</b:First>
            <b:Middle>J</b:Middle>
          </b:Person>
        </b:NameList>
      </b:Author>
    </b:Author>
    <b:InternetSiteTitle>Markets</b:InternetSiteTitle>
    <b:Month>February</b:Month>
    <b:Day>4</b:Day>
    <b:URL>https://born2invest.com/articles/the-impact-of-the-russia-ukraine-conflict-on-stock-investments/</b:URL>
    <b:RefOrder>18</b:RefOrder>
  </b:Source>
</b:Sources>
</file>

<file path=customXml/itemProps1.xml><?xml version="1.0" encoding="utf-8"?>
<ds:datastoreItem xmlns:ds="http://schemas.openxmlformats.org/officeDocument/2006/customXml" ds:itemID="{71D0199C-8EE8-40A7-A134-4A0EED16F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30</Pages>
  <Words>9039</Words>
  <Characters>49266</Characters>
  <Application>Microsoft Office Word</Application>
  <DocSecurity>0</DocSecurity>
  <Lines>1492</Lines>
  <Paragraphs>1166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cp:lastPrinted>2010-10-12T07:45:00Z</cp:lastPrinted>
  <dcterms:created xsi:type="dcterms:W3CDTF">2019-07-31T11:51:00Z</dcterms:created>
  <dcterms:modified xsi:type="dcterms:W3CDTF">2019-07-31T15:13:00Z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NegativeNumbersBrackets">
    <vt:lpwstr>True</vt:lpwstr>
  </property>
  <property fmtid="{D5CDD505-2E9C-101B-9397-08002B2CF9AE}" pid="3" name="EuropeanNumberFormatting">
    <vt:lpwstr>False</vt:lpwstr>
  </property>
  <property fmtid="{D5CDD505-2E9C-101B-9397-08002B2CF9AE}" pid="4" name="NoDecimals">
    <vt:lpwstr>False</vt:lpwstr>
  </property>
  <property fmtid="{D5CDD505-2E9C-101B-9397-08002B2CF9AE}" pid="5" name="CurrencySymbol">
    <vt:lpwstr>€</vt:lpwstr>
  </property>
</Properties>
</file>