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1.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FD290" w14:textId="77777777" w:rsidR="007F043B" w:rsidRPr="004B2E2B" w:rsidRDefault="007F043B" w:rsidP="007F043B">
      <w:pPr>
        <w:pStyle w:val="Geenafstand"/>
        <w:rPr>
          <w:rFonts w:ascii="Arial" w:hAnsi="Arial" w:cs="Arial"/>
          <w:lang w:val="en-GB"/>
        </w:rPr>
      </w:pPr>
      <w:r w:rsidRPr="004B2E2B">
        <w:rPr>
          <w:rFonts w:ascii="Arial" w:hAnsi="Arial" w:cs="Arial"/>
          <w:lang w:val="en-GB"/>
        </w:rPr>
        <w:t xml:space="preserve">ERASMUS UNIVERSITY ROTTERDAM Erasmus School of Economics </w:t>
      </w:r>
    </w:p>
    <w:p w14:paraId="4D8DC45D" w14:textId="77777777" w:rsidR="007F043B" w:rsidRPr="004B2E2B" w:rsidRDefault="007F043B" w:rsidP="007F043B">
      <w:pPr>
        <w:pStyle w:val="Geenafstand"/>
        <w:rPr>
          <w:rFonts w:ascii="Arial" w:hAnsi="Arial" w:cs="Arial"/>
          <w:lang w:val="en-GB"/>
        </w:rPr>
      </w:pPr>
      <w:r w:rsidRPr="004B2E2B">
        <w:rPr>
          <w:rFonts w:ascii="Arial" w:hAnsi="Arial" w:cs="Arial"/>
          <w:lang w:val="en-GB"/>
        </w:rPr>
        <w:t>Bachelor Thesis</w:t>
      </w:r>
      <w:r>
        <w:rPr>
          <w:rFonts w:ascii="Arial" w:hAnsi="Arial" w:cs="Arial"/>
          <w:lang w:val="en-GB"/>
        </w:rPr>
        <w:t xml:space="preserve"> Economics and Business Economics </w:t>
      </w:r>
      <w:r w:rsidRPr="004B2E2B">
        <w:rPr>
          <w:rFonts w:ascii="Arial" w:hAnsi="Arial" w:cs="Arial"/>
          <w:lang w:val="en-GB"/>
        </w:rPr>
        <w:t xml:space="preserve"> </w:t>
      </w:r>
    </w:p>
    <w:p w14:paraId="52B30CC2" w14:textId="77777777" w:rsidR="007F043B" w:rsidRDefault="007F043B" w:rsidP="007F043B">
      <w:pPr>
        <w:ind w:firstLine="0"/>
        <w:rPr>
          <w:rFonts w:ascii="Arial" w:hAnsi="Arial" w:cs="Arial"/>
          <w:color w:val="000000"/>
          <w:sz w:val="40"/>
          <w:szCs w:val="40"/>
          <w:lang w:val="en-GB"/>
        </w:rPr>
      </w:pPr>
    </w:p>
    <w:p w14:paraId="39FD5AAC" w14:textId="77777777" w:rsidR="007F043B" w:rsidRPr="009874AB" w:rsidRDefault="007F043B" w:rsidP="007F043B">
      <w:pPr>
        <w:ind w:firstLine="0"/>
        <w:rPr>
          <w:rFonts w:ascii="Arial" w:hAnsi="Arial" w:cs="Arial"/>
          <w:sz w:val="32"/>
          <w:szCs w:val="32"/>
        </w:rPr>
      </w:pPr>
      <w:r w:rsidRPr="009874AB">
        <w:rPr>
          <w:rFonts w:ascii="Arial" w:hAnsi="Arial" w:cs="Arial"/>
          <w:color w:val="000000"/>
          <w:sz w:val="32"/>
          <w:szCs w:val="32"/>
        </w:rPr>
        <w:t>Homeownership subsidies and the housing market: the effects of a policy reform in the Netherlands</w:t>
      </w:r>
    </w:p>
    <w:p w14:paraId="478C5D6A" w14:textId="77777777" w:rsidR="007F043B" w:rsidRPr="009874AB" w:rsidRDefault="007F043B" w:rsidP="007F043B">
      <w:pPr>
        <w:ind w:firstLine="0"/>
        <w:rPr>
          <w:rFonts w:ascii="Arial" w:hAnsi="Arial" w:cs="Arial"/>
          <w:sz w:val="22"/>
          <w:szCs w:val="22"/>
        </w:rPr>
      </w:pPr>
      <w:r w:rsidRPr="00B5269A">
        <w:rPr>
          <w:rFonts w:ascii="Arial" w:hAnsi="Arial" w:cs="Arial"/>
          <w:b/>
          <w:bCs/>
          <w:noProof/>
          <w:lang w:val="en-GB"/>
        </w:rPr>
        <mc:AlternateContent>
          <mc:Choice Requires="wps">
            <w:drawing>
              <wp:anchor distT="45720" distB="45720" distL="114300" distR="114300" simplePos="0" relativeHeight="251683840" behindDoc="0" locked="0" layoutInCell="1" allowOverlap="1" wp14:anchorId="11645E36" wp14:editId="527EE674">
                <wp:simplePos x="0" y="0"/>
                <wp:positionH relativeFrom="margin">
                  <wp:align>left</wp:align>
                </wp:positionH>
                <wp:positionV relativeFrom="paragraph">
                  <wp:posOffset>8255</wp:posOffset>
                </wp:positionV>
                <wp:extent cx="5308600" cy="3009900"/>
                <wp:effectExtent l="0" t="0" r="25400" b="19050"/>
                <wp:wrapSquare wrapText="bothSides"/>
                <wp:docPr id="2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3009900"/>
                        </a:xfrm>
                        <a:prstGeom prst="rect">
                          <a:avLst/>
                        </a:prstGeom>
                        <a:solidFill>
                          <a:srgbClr val="FFFFFF"/>
                        </a:solidFill>
                        <a:ln w="9525">
                          <a:solidFill>
                            <a:schemeClr val="bg1"/>
                          </a:solidFill>
                          <a:miter lim="800000"/>
                          <a:headEnd/>
                          <a:tailEnd/>
                        </a:ln>
                      </wps:spPr>
                      <wps:txbx>
                        <w:txbxContent>
                          <w:p w14:paraId="79D589A8" w14:textId="77777777" w:rsidR="00BD50E1" w:rsidRDefault="00BD50E1" w:rsidP="007F043B">
                            <w:pPr>
                              <w:ind w:firstLine="0"/>
                              <w:rPr>
                                <w:rFonts w:ascii="Arial" w:hAnsi="Arial" w:cs="Arial"/>
                                <w:sz w:val="22"/>
                                <w:szCs w:val="22"/>
                              </w:rPr>
                            </w:pPr>
                            <w:r>
                              <w:rPr>
                                <w:rFonts w:ascii="Arial" w:hAnsi="Arial" w:cs="Arial"/>
                                <w:sz w:val="22"/>
                                <w:szCs w:val="22"/>
                              </w:rPr>
                              <w:t>Abstract</w:t>
                            </w:r>
                          </w:p>
                          <w:p w14:paraId="100EDDEE" w14:textId="77777777" w:rsidR="00BD50E1" w:rsidRDefault="00BD50E1" w:rsidP="007F043B">
                            <w:pPr>
                              <w:ind w:firstLine="0"/>
                              <w:rPr>
                                <w:rFonts w:ascii="Arial" w:hAnsi="Arial" w:cs="Arial"/>
                                <w:sz w:val="22"/>
                                <w:szCs w:val="22"/>
                              </w:rPr>
                            </w:pPr>
                            <w:r>
                              <w:rPr>
                                <w:rFonts w:ascii="Arial" w:hAnsi="Arial" w:cs="Arial"/>
                                <w:sz w:val="22"/>
                                <w:szCs w:val="22"/>
                              </w:rPr>
                              <w:t xml:space="preserve">In 2017, the Dutch government started to reduce the maximum deductible amount of home mortgage interest from taxable income. The effects of this policy reform on the average housing prices and the homeownership rate are still uncertain. Based on the effects of a similar policy reform in Denmark, a prediction for the Dutch housing market is made. Data on the housing prices in the Netherlands and Denmark in the period 1980-2018 and data on the Dutch homeownership rate are used to come to a prediction. This prediction consists of two main components. Firstly, it is likely that the policy reform will decrease the average housing prices. Furthermore, it is likely that the homeownership rate will remain unaffected.      </w:t>
                            </w:r>
                          </w:p>
                          <w:p w14:paraId="2564BC85" w14:textId="77777777" w:rsidR="00BD50E1" w:rsidRPr="00661F06" w:rsidRDefault="00BD50E1" w:rsidP="007F043B">
                            <w:pPr>
                              <w:ind w:firstLine="0"/>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645E36" id="_x0000_t202" coordsize="21600,21600" o:spt="202" path="m,l,21600r21600,l21600,xe">
                <v:stroke joinstyle="miter"/>
                <v:path gradientshapeok="t" o:connecttype="rect"/>
              </v:shapetype>
              <v:shape id="Tekstvak 2" o:spid="_x0000_s1026" type="#_x0000_t202" style="position:absolute;left:0;text-align:left;margin-left:0;margin-top:.65pt;width:418pt;height:237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" strokecolor="white [3212]">
                <v:textbox>
                  <w:txbxContent>
                    <w:p w14:paraId="79D589A8" w14:textId="77777777" w:rsidR="00BD50E1" w:rsidRDefault="00BD50E1" w:rsidP="007F043B">
                      <w:pPr>
                        <w:ind w:firstLine="0"/>
                        <w:rPr>
                          <w:rFonts w:ascii="Arial" w:hAnsi="Arial" w:cs="Arial"/>
                          <w:sz w:val="22"/>
                          <w:szCs w:val="22"/>
                        </w:rPr>
                      </w:pPr>
                      <w:r>
                        <w:rPr>
                          <w:rFonts w:ascii="Arial" w:hAnsi="Arial" w:cs="Arial"/>
                          <w:sz w:val="22"/>
                          <w:szCs w:val="22"/>
                        </w:rPr>
                        <w:t>Abstract</w:t>
                      </w:r>
                    </w:p>
                    <w:p w14:paraId="100EDDEE" w14:textId="77777777" w:rsidR="00BD50E1" w:rsidRDefault="00BD50E1" w:rsidP="007F043B">
                      <w:pPr>
                        <w:ind w:firstLine="0"/>
                        <w:rPr>
                          <w:rFonts w:ascii="Arial" w:hAnsi="Arial" w:cs="Arial"/>
                          <w:sz w:val="22"/>
                          <w:szCs w:val="22"/>
                        </w:rPr>
                      </w:pPr>
                      <w:r>
                        <w:rPr>
                          <w:rFonts w:ascii="Arial" w:hAnsi="Arial" w:cs="Arial"/>
                          <w:sz w:val="22"/>
                          <w:szCs w:val="22"/>
                        </w:rPr>
                        <w:t xml:space="preserve">In 2017, the Dutch government started to reduce the maximum deductible amount of home mortgage interest from taxable income. The effects of this policy reform on the average housing prices and the homeownership rate are still uncertain. Based on the effects of a similar policy reform in Denmark, a prediction for the Dutch housing market is made. Data on the housing prices in the Netherlands and Denmark in the period 1980-2018 and data on the Dutch homeownership rate are used to come to a prediction. This prediction consists of two main components. Firstly, it is likely that the policy reform will decrease the average housing prices. Furthermore, it is likely that the homeownership rate will remain unaffected.      </w:t>
                      </w:r>
                    </w:p>
                    <w:p w14:paraId="2564BC85" w14:textId="77777777" w:rsidR="00BD50E1" w:rsidRPr="00661F06" w:rsidRDefault="00BD50E1" w:rsidP="007F043B">
                      <w:pPr>
                        <w:ind w:firstLine="0"/>
                        <w:rPr>
                          <w:lang w:val="en-GB"/>
                        </w:rPr>
                      </w:pPr>
                    </w:p>
                  </w:txbxContent>
                </v:textbox>
                <w10:wrap type="square" anchorx="margin"/>
              </v:shape>
            </w:pict>
          </mc:Fallback>
        </mc:AlternateContent>
      </w:r>
    </w:p>
    <w:p w14:paraId="6EE878AE" w14:textId="77777777" w:rsidR="007F043B" w:rsidRDefault="007F043B" w:rsidP="007F043B">
      <w:pPr>
        <w:ind w:firstLine="0"/>
        <w:rPr>
          <w:rFonts w:ascii="Arial" w:hAnsi="Arial" w:cs="Arial"/>
          <w:sz w:val="22"/>
          <w:szCs w:val="22"/>
        </w:rPr>
      </w:pPr>
    </w:p>
    <w:p w14:paraId="676AAEDC" w14:textId="77777777" w:rsidR="007F043B" w:rsidRDefault="007F043B" w:rsidP="007F043B">
      <w:pPr>
        <w:ind w:firstLine="0"/>
        <w:rPr>
          <w:rFonts w:ascii="Arial" w:hAnsi="Arial" w:cs="Arial"/>
          <w:sz w:val="22"/>
          <w:szCs w:val="22"/>
        </w:rPr>
      </w:pPr>
    </w:p>
    <w:p w14:paraId="02C30D4F" w14:textId="77777777" w:rsidR="007F043B" w:rsidRDefault="007F043B" w:rsidP="007F043B">
      <w:pPr>
        <w:ind w:firstLine="0"/>
        <w:rPr>
          <w:rFonts w:ascii="Arial" w:hAnsi="Arial" w:cs="Arial"/>
          <w:sz w:val="22"/>
          <w:szCs w:val="22"/>
        </w:rPr>
      </w:pPr>
    </w:p>
    <w:p w14:paraId="0FE24BF2" w14:textId="77777777" w:rsidR="007F043B" w:rsidRDefault="007F043B" w:rsidP="007F043B">
      <w:pPr>
        <w:ind w:firstLine="0"/>
        <w:rPr>
          <w:rFonts w:ascii="Arial" w:hAnsi="Arial" w:cs="Arial"/>
          <w:sz w:val="22"/>
          <w:szCs w:val="22"/>
        </w:rPr>
      </w:pPr>
    </w:p>
    <w:p w14:paraId="778837E3" w14:textId="77777777" w:rsidR="007F043B" w:rsidRDefault="007F043B" w:rsidP="007F043B">
      <w:pPr>
        <w:ind w:firstLine="0"/>
        <w:rPr>
          <w:rFonts w:ascii="Arial" w:hAnsi="Arial" w:cs="Arial"/>
          <w:sz w:val="22"/>
          <w:szCs w:val="22"/>
        </w:rPr>
      </w:pPr>
    </w:p>
    <w:p w14:paraId="3FD5006B" w14:textId="77777777" w:rsidR="007F043B" w:rsidRDefault="007F043B" w:rsidP="007F043B">
      <w:pPr>
        <w:ind w:firstLine="0"/>
        <w:rPr>
          <w:rFonts w:ascii="Arial" w:hAnsi="Arial" w:cs="Arial"/>
          <w:sz w:val="22"/>
          <w:szCs w:val="22"/>
        </w:rPr>
      </w:pPr>
    </w:p>
    <w:p w14:paraId="697DD393" w14:textId="77777777" w:rsidR="007F043B" w:rsidRDefault="007F043B" w:rsidP="007F043B">
      <w:pPr>
        <w:ind w:firstLine="0"/>
        <w:rPr>
          <w:rFonts w:ascii="Arial" w:hAnsi="Arial" w:cs="Arial"/>
          <w:sz w:val="22"/>
          <w:szCs w:val="22"/>
        </w:rPr>
      </w:pPr>
    </w:p>
    <w:p w14:paraId="1B2A8BEA" w14:textId="77777777" w:rsidR="007F043B" w:rsidRDefault="007F043B" w:rsidP="007F043B">
      <w:pPr>
        <w:ind w:firstLine="0"/>
        <w:rPr>
          <w:rFonts w:ascii="Arial" w:hAnsi="Arial" w:cs="Arial"/>
          <w:sz w:val="22"/>
          <w:szCs w:val="22"/>
        </w:rPr>
      </w:pPr>
    </w:p>
    <w:p w14:paraId="4A465DDC" w14:textId="77777777" w:rsidR="007F043B" w:rsidRDefault="007F043B" w:rsidP="007F043B">
      <w:pPr>
        <w:ind w:firstLine="0"/>
        <w:rPr>
          <w:rFonts w:ascii="Arial" w:hAnsi="Arial" w:cs="Arial"/>
          <w:sz w:val="22"/>
          <w:szCs w:val="22"/>
        </w:rPr>
      </w:pPr>
    </w:p>
    <w:p w14:paraId="088B9033" w14:textId="77777777" w:rsidR="007F043B" w:rsidRDefault="007F043B" w:rsidP="007F043B">
      <w:pPr>
        <w:ind w:firstLine="0"/>
        <w:rPr>
          <w:rFonts w:ascii="Arial" w:hAnsi="Arial" w:cs="Arial"/>
          <w:sz w:val="22"/>
          <w:szCs w:val="22"/>
        </w:rPr>
      </w:pPr>
    </w:p>
    <w:p w14:paraId="6D27AEBF" w14:textId="77777777" w:rsidR="007F043B" w:rsidRDefault="007F043B" w:rsidP="007F043B">
      <w:pPr>
        <w:ind w:firstLine="0"/>
        <w:rPr>
          <w:rFonts w:ascii="Arial" w:hAnsi="Arial" w:cs="Arial"/>
          <w:sz w:val="22"/>
          <w:szCs w:val="22"/>
        </w:rPr>
      </w:pPr>
    </w:p>
    <w:p w14:paraId="2667B466" w14:textId="77777777" w:rsidR="007F043B" w:rsidRPr="009874AB" w:rsidRDefault="007F043B" w:rsidP="007F043B">
      <w:pPr>
        <w:ind w:firstLine="0"/>
        <w:rPr>
          <w:rFonts w:ascii="Arial" w:hAnsi="Arial" w:cs="Arial"/>
          <w:sz w:val="22"/>
          <w:szCs w:val="22"/>
        </w:rPr>
      </w:pPr>
      <w:r w:rsidRPr="009874AB">
        <w:rPr>
          <w:rFonts w:ascii="Arial" w:hAnsi="Arial" w:cs="Arial"/>
          <w:sz w:val="22"/>
          <w:szCs w:val="22"/>
        </w:rPr>
        <w:t>Bachelor Thesis Policy Economics</w:t>
      </w:r>
    </w:p>
    <w:p w14:paraId="73806CD1" w14:textId="77777777" w:rsidR="007F043B" w:rsidRPr="004676AD" w:rsidRDefault="007F043B" w:rsidP="007F043B">
      <w:pPr>
        <w:pStyle w:val="Geenafstand"/>
        <w:spacing w:line="360" w:lineRule="auto"/>
        <w:rPr>
          <w:rFonts w:ascii="Arial" w:hAnsi="Arial" w:cs="Arial"/>
          <w:lang w:val="en-GB"/>
        </w:rPr>
      </w:pPr>
      <w:r w:rsidRPr="004676AD">
        <w:rPr>
          <w:rFonts w:ascii="Arial" w:hAnsi="Arial" w:cs="Arial"/>
          <w:lang w:val="en-GB"/>
        </w:rPr>
        <w:t>Name student: Kim Meeuwissen</w:t>
      </w:r>
    </w:p>
    <w:p w14:paraId="20DB7DDF" w14:textId="77777777" w:rsidR="007F043B" w:rsidRPr="004676AD" w:rsidRDefault="007F043B" w:rsidP="007F043B">
      <w:pPr>
        <w:pStyle w:val="Geenafstand"/>
        <w:spacing w:line="360" w:lineRule="auto"/>
        <w:rPr>
          <w:rFonts w:ascii="Arial" w:hAnsi="Arial" w:cs="Arial"/>
          <w:lang w:val="en-GB"/>
        </w:rPr>
      </w:pPr>
      <w:r w:rsidRPr="004676AD">
        <w:rPr>
          <w:rFonts w:ascii="Arial" w:hAnsi="Arial" w:cs="Arial"/>
          <w:lang w:val="en-GB"/>
        </w:rPr>
        <w:t>Student ID number:  457218</w:t>
      </w:r>
    </w:p>
    <w:p w14:paraId="1F7895E0" w14:textId="77777777" w:rsidR="007F043B" w:rsidRPr="004676AD" w:rsidRDefault="007F043B" w:rsidP="007F043B">
      <w:pPr>
        <w:pStyle w:val="Geenafstand"/>
        <w:spacing w:line="360" w:lineRule="auto"/>
        <w:rPr>
          <w:rFonts w:ascii="Arial" w:hAnsi="Arial" w:cs="Arial"/>
          <w:lang w:val="en-GB"/>
        </w:rPr>
      </w:pPr>
      <w:r w:rsidRPr="004676AD">
        <w:rPr>
          <w:rFonts w:ascii="Arial" w:hAnsi="Arial" w:cs="Arial"/>
          <w:lang w:val="en-GB"/>
        </w:rPr>
        <w:t xml:space="preserve"> </w:t>
      </w:r>
    </w:p>
    <w:p w14:paraId="701A7F40" w14:textId="77777777" w:rsidR="007F043B" w:rsidRDefault="007F043B" w:rsidP="007F043B">
      <w:pPr>
        <w:pStyle w:val="Geenafstand"/>
        <w:spacing w:line="360" w:lineRule="auto"/>
        <w:rPr>
          <w:rFonts w:ascii="Arial" w:hAnsi="Arial" w:cs="Arial"/>
          <w:lang w:val="en-GB"/>
        </w:rPr>
      </w:pPr>
      <w:r w:rsidRPr="009874AB">
        <w:rPr>
          <w:rFonts w:ascii="Arial" w:hAnsi="Arial" w:cs="Arial"/>
          <w:lang w:val="en-GB"/>
        </w:rPr>
        <w:t xml:space="preserve">Supervisor: </w:t>
      </w:r>
      <w:r>
        <w:rPr>
          <w:rFonts w:ascii="Arial" w:hAnsi="Arial" w:cs="Arial"/>
          <w:lang w:val="en-GB"/>
        </w:rPr>
        <w:t xml:space="preserve">D.S. Schindler </w:t>
      </w:r>
      <w:r w:rsidRPr="009874AB">
        <w:rPr>
          <w:rFonts w:ascii="Arial" w:hAnsi="Arial" w:cs="Arial"/>
          <w:lang w:val="en-GB"/>
        </w:rPr>
        <w:t xml:space="preserve"> </w:t>
      </w:r>
    </w:p>
    <w:p w14:paraId="4390A207" w14:textId="77777777" w:rsidR="007F043B" w:rsidRPr="009874AB" w:rsidRDefault="007F043B" w:rsidP="007F043B">
      <w:pPr>
        <w:pStyle w:val="Geenafstand"/>
        <w:spacing w:line="360" w:lineRule="auto"/>
        <w:rPr>
          <w:rFonts w:ascii="Arial" w:hAnsi="Arial" w:cs="Arial"/>
          <w:lang w:val="en-GB"/>
        </w:rPr>
      </w:pPr>
      <w:r w:rsidRPr="009874AB">
        <w:rPr>
          <w:rFonts w:ascii="Arial" w:hAnsi="Arial" w:cs="Arial"/>
          <w:lang w:val="en-GB"/>
        </w:rPr>
        <w:t xml:space="preserve">Second assessor: </w:t>
      </w:r>
      <w:r>
        <w:rPr>
          <w:rFonts w:ascii="Arial" w:hAnsi="Arial" w:cs="Arial"/>
          <w:lang w:val="en-GB"/>
        </w:rPr>
        <w:t>A.A.F. Gerritsen</w:t>
      </w:r>
    </w:p>
    <w:p w14:paraId="1EA4B00D" w14:textId="1C20DCF5" w:rsidR="007F043B" w:rsidRPr="009874AB" w:rsidRDefault="007F043B" w:rsidP="007F043B">
      <w:pPr>
        <w:pStyle w:val="Geenafstand"/>
        <w:spacing w:line="360" w:lineRule="auto"/>
        <w:rPr>
          <w:rFonts w:ascii="Arial" w:hAnsi="Arial" w:cs="Arial"/>
          <w:lang w:val="en-GB"/>
        </w:rPr>
      </w:pPr>
      <w:r>
        <w:rPr>
          <w:rFonts w:ascii="Arial" w:hAnsi="Arial" w:cs="Arial"/>
          <w:lang w:val="en-GB"/>
        </w:rPr>
        <w:t>Number of words: 1</w:t>
      </w:r>
      <w:r w:rsidR="00591C95">
        <w:rPr>
          <w:rFonts w:ascii="Arial" w:hAnsi="Arial" w:cs="Arial"/>
          <w:lang w:val="en-GB"/>
        </w:rPr>
        <w:t>1989</w:t>
      </w:r>
    </w:p>
    <w:p w14:paraId="2F029D78" w14:textId="1FF532AC" w:rsidR="007F043B" w:rsidRPr="009874AB" w:rsidRDefault="007F043B" w:rsidP="007F043B">
      <w:pPr>
        <w:pStyle w:val="Geenafstand"/>
        <w:spacing w:line="360" w:lineRule="auto"/>
        <w:rPr>
          <w:rFonts w:ascii="Arial" w:hAnsi="Arial" w:cs="Arial"/>
          <w:lang w:val="en-GB"/>
        </w:rPr>
      </w:pPr>
      <w:r w:rsidRPr="009874AB">
        <w:rPr>
          <w:rFonts w:ascii="Arial" w:hAnsi="Arial" w:cs="Arial"/>
          <w:lang w:val="en-GB"/>
        </w:rPr>
        <w:t xml:space="preserve">Date final version: </w:t>
      </w:r>
      <w:r w:rsidR="00591C95">
        <w:rPr>
          <w:rFonts w:ascii="Arial" w:hAnsi="Arial" w:cs="Arial"/>
          <w:lang w:val="en-GB"/>
        </w:rPr>
        <w:t>14/07/2019</w:t>
      </w:r>
    </w:p>
    <w:p w14:paraId="125FC7A8" w14:textId="77777777" w:rsidR="007F043B" w:rsidRPr="004B2E2B" w:rsidRDefault="007F043B" w:rsidP="007F043B">
      <w:pPr>
        <w:pStyle w:val="Geenafstand"/>
        <w:rPr>
          <w:rFonts w:ascii="Arial" w:hAnsi="Arial" w:cs="Arial"/>
          <w:lang w:val="en-GB"/>
        </w:rPr>
      </w:pPr>
      <w:r w:rsidRPr="004B2E2B">
        <w:rPr>
          <w:rFonts w:ascii="Arial" w:hAnsi="Arial" w:cs="Arial"/>
          <w:lang w:val="en-GB"/>
        </w:rPr>
        <w:t xml:space="preserve"> </w:t>
      </w:r>
    </w:p>
    <w:p w14:paraId="7F7B414F" w14:textId="77777777" w:rsidR="007F043B" w:rsidRDefault="007F043B" w:rsidP="007F043B">
      <w:pPr>
        <w:pStyle w:val="Geenafstand"/>
        <w:rPr>
          <w:rFonts w:ascii="Arial" w:hAnsi="Arial" w:cs="Arial"/>
          <w:lang w:val="en-GB"/>
        </w:rPr>
      </w:pPr>
    </w:p>
    <w:p w14:paraId="36856644" w14:textId="77777777" w:rsidR="007F043B" w:rsidRDefault="007F043B" w:rsidP="007F043B">
      <w:pPr>
        <w:pStyle w:val="Geenafstand"/>
        <w:rPr>
          <w:rFonts w:ascii="Arial" w:hAnsi="Arial" w:cs="Arial"/>
          <w:lang w:val="en-GB"/>
        </w:rPr>
      </w:pPr>
    </w:p>
    <w:p w14:paraId="36B10E34" w14:textId="77777777" w:rsidR="007F043B" w:rsidRDefault="007F043B" w:rsidP="007F043B">
      <w:pPr>
        <w:pStyle w:val="Geenafstand"/>
        <w:rPr>
          <w:rFonts w:ascii="Arial" w:hAnsi="Arial" w:cs="Arial"/>
          <w:lang w:val="en-GB"/>
        </w:rPr>
      </w:pPr>
    </w:p>
    <w:p w14:paraId="417AB004" w14:textId="77777777" w:rsidR="007F043B" w:rsidRDefault="007F043B" w:rsidP="007F043B">
      <w:pPr>
        <w:pStyle w:val="Geenafstand"/>
        <w:rPr>
          <w:rFonts w:ascii="Arial" w:hAnsi="Arial" w:cs="Arial"/>
          <w:lang w:val="en-GB"/>
        </w:rPr>
      </w:pPr>
      <w:r w:rsidRPr="004B2E2B">
        <w:rPr>
          <w:rFonts w:ascii="Arial" w:hAnsi="Arial" w:cs="Arial"/>
          <w:lang w:val="en-GB"/>
        </w:rPr>
        <w:t>The views stated in this thesis are those of the author and not necessarily those of Erasmus School of Economics or Erasmus University Rotterdam.</w:t>
      </w:r>
    </w:p>
    <w:p w14:paraId="1ABF5C1A" w14:textId="77777777" w:rsidR="007F043B" w:rsidRDefault="007F043B" w:rsidP="007F043B">
      <w:pPr>
        <w:spacing w:after="160" w:line="259" w:lineRule="auto"/>
        <w:ind w:firstLine="0"/>
        <w:jc w:val="left"/>
        <w:rPr>
          <w:rFonts w:ascii="Arial" w:eastAsiaTheme="minorHAnsi" w:hAnsi="Arial" w:cs="Arial"/>
          <w:sz w:val="22"/>
          <w:szCs w:val="22"/>
          <w:lang w:val="en-GB"/>
        </w:rPr>
      </w:pPr>
      <w:r>
        <w:rPr>
          <w:rFonts w:ascii="Arial" w:hAnsi="Arial" w:cs="Arial"/>
          <w:lang w:val="en-GB"/>
        </w:rPr>
        <w:br w:type="page"/>
      </w:r>
    </w:p>
    <w:p w14:paraId="3A3D1255" w14:textId="77777777" w:rsidR="007F043B" w:rsidRPr="00B5269A" w:rsidRDefault="007F043B" w:rsidP="007F043B">
      <w:pPr>
        <w:pStyle w:val="Geenafstand"/>
        <w:rPr>
          <w:rFonts w:ascii="Arial" w:hAnsi="Arial" w:cs="Arial"/>
          <w:b/>
          <w:bCs/>
          <w:sz w:val="24"/>
          <w:szCs w:val="24"/>
          <w:lang w:val="en-GB"/>
        </w:rPr>
      </w:pPr>
      <w:r w:rsidRPr="00B5269A">
        <w:rPr>
          <w:rFonts w:ascii="Arial" w:hAnsi="Arial" w:cs="Arial"/>
          <w:b/>
          <w:bCs/>
          <w:sz w:val="24"/>
          <w:szCs w:val="24"/>
          <w:lang w:val="en-GB"/>
        </w:rPr>
        <w:lastRenderedPageBreak/>
        <w:t>Table of contents</w:t>
      </w:r>
    </w:p>
    <w:sdt>
      <w:sdtPr>
        <w:rPr>
          <w:rFonts w:ascii="Times New Roman" w:eastAsia="Times New Roman" w:hAnsi="Times New Roman" w:cs="Times New Roman"/>
          <w:color w:val="auto"/>
          <w:sz w:val="24"/>
          <w:szCs w:val="24"/>
          <w:lang w:val="en-US" w:eastAsia="en-US"/>
        </w:rPr>
        <w:id w:val="-444385847"/>
        <w:docPartObj>
          <w:docPartGallery w:val="Table of Contents"/>
          <w:docPartUnique/>
        </w:docPartObj>
      </w:sdtPr>
      <w:sdtEndPr>
        <w:rPr>
          <w:b/>
          <w:bCs/>
        </w:rPr>
      </w:sdtEndPr>
      <w:sdtContent>
        <w:p w14:paraId="53F52C42" w14:textId="77777777" w:rsidR="007F043B" w:rsidRDefault="007F043B" w:rsidP="007F043B">
          <w:pPr>
            <w:pStyle w:val="Kopvaninhoudsopgave"/>
          </w:pPr>
        </w:p>
        <w:p w14:paraId="5078AA52" w14:textId="7E2F456D" w:rsidR="00EC16C8" w:rsidRPr="00EC16C8" w:rsidRDefault="007F043B">
          <w:pPr>
            <w:pStyle w:val="Inhopg1"/>
            <w:tabs>
              <w:tab w:val="right" w:leader="dot" w:pos="9062"/>
            </w:tabs>
            <w:rPr>
              <w:rFonts w:ascii="Arial" w:eastAsiaTheme="minorEastAsia" w:hAnsi="Arial" w:cs="Arial"/>
              <w:noProof/>
              <w:sz w:val="22"/>
              <w:szCs w:val="22"/>
              <w:lang w:val="nl-NL" w:eastAsia="nl-NL"/>
            </w:rPr>
          </w:pPr>
          <w:r w:rsidRPr="00EC16C8">
            <w:rPr>
              <w:rFonts w:ascii="Arial" w:hAnsi="Arial" w:cs="Arial"/>
              <w:sz w:val="22"/>
              <w:szCs w:val="22"/>
            </w:rPr>
            <w:fldChar w:fldCharType="begin"/>
          </w:r>
          <w:r w:rsidRPr="00EC16C8">
            <w:rPr>
              <w:rFonts w:ascii="Arial" w:hAnsi="Arial" w:cs="Arial"/>
              <w:sz w:val="22"/>
              <w:szCs w:val="22"/>
            </w:rPr>
            <w:instrText xml:space="preserve"> TOC \o "1-3" \h \z \u </w:instrText>
          </w:r>
          <w:r w:rsidRPr="00EC16C8">
            <w:rPr>
              <w:rFonts w:ascii="Arial" w:hAnsi="Arial" w:cs="Arial"/>
              <w:sz w:val="22"/>
              <w:szCs w:val="22"/>
            </w:rPr>
            <w:fldChar w:fldCharType="separate"/>
          </w:r>
          <w:hyperlink w:anchor="_Toc14016522" w:history="1">
            <w:r w:rsidR="00EC16C8" w:rsidRPr="00EC16C8">
              <w:rPr>
                <w:rStyle w:val="Hyperlink"/>
                <w:rFonts w:ascii="Arial" w:hAnsi="Arial" w:cs="Arial"/>
                <w:noProof/>
                <w:sz w:val="22"/>
                <w:szCs w:val="22"/>
                <w:lang w:val="en-GB"/>
              </w:rPr>
              <w:t>1 Introduction</w:t>
            </w:r>
            <w:r w:rsidR="00EC16C8" w:rsidRPr="00EC16C8">
              <w:rPr>
                <w:rFonts w:ascii="Arial" w:hAnsi="Arial" w:cs="Arial"/>
                <w:noProof/>
                <w:webHidden/>
                <w:sz w:val="22"/>
                <w:szCs w:val="22"/>
              </w:rPr>
              <w:tab/>
            </w:r>
            <w:r w:rsidR="00EC16C8" w:rsidRPr="00EC16C8">
              <w:rPr>
                <w:rFonts w:ascii="Arial" w:hAnsi="Arial" w:cs="Arial"/>
                <w:noProof/>
                <w:webHidden/>
                <w:sz w:val="22"/>
                <w:szCs w:val="22"/>
              </w:rPr>
              <w:fldChar w:fldCharType="begin"/>
            </w:r>
            <w:r w:rsidR="00EC16C8" w:rsidRPr="00EC16C8">
              <w:rPr>
                <w:rFonts w:ascii="Arial" w:hAnsi="Arial" w:cs="Arial"/>
                <w:noProof/>
                <w:webHidden/>
                <w:sz w:val="22"/>
                <w:szCs w:val="22"/>
              </w:rPr>
              <w:instrText xml:space="preserve"> PAGEREF _Toc14016522 \h </w:instrText>
            </w:r>
            <w:r w:rsidR="00EC16C8" w:rsidRPr="00EC16C8">
              <w:rPr>
                <w:rFonts w:ascii="Arial" w:hAnsi="Arial" w:cs="Arial"/>
                <w:noProof/>
                <w:webHidden/>
                <w:sz w:val="22"/>
                <w:szCs w:val="22"/>
              </w:rPr>
            </w:r>
            <w:r w:rsidR="00EC16C8" w:rsidRPr="00EC16C8">
              <w:rPr>
                <w:rFonts w:ascii="Arial" w:hAnsi="Arial" w:cs="Arial"/>
                <w:noProof/>
                <w:webHidden/>
                <w:sz w:val="22"/>
                <w:szCs w:val="22"/>
              </w:rPr>
              <w:fldChar w:fldCharType="separate"/>
            </w:r>
            <w:r w:rsidR="00EC16C8" w:rsidRPr="00EC16C8">
              <w:rPr>
                <w:rFonts w:ascii="Arial" w:hAnsi="Arial" w:cs="Arial"/>
                <w:noProof/>
                <w:webHidden/>
                <w:sz w:val="22"/>
                <w:szCs w:val="22"/>
              </w:rPr>
              <w:t>3</w:t>
            </w:r>
            <w:r w:rsidR="00EC16C8" w:rsidRPr="00EC16C8">
              <w:rPr>
                <w:rFonts w:ascii="Arial" w:hAnsi="Arial" w:cs="Arial"/>
                <w:noProof/>
                <w:webHidden/>
                <w:sz w:val="22"/>
                <w:szCs w:val="22"/>
              </w:rPr>
              <w:fldChar w:fldCharType="end"/>
            </w:r>
          </w:hyperlink>
        </w:p>
        <w:p w14:paraId="402AED32" w14:textId="66C655CB"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23" w:history="1">
            <w:r w:rsidRPr="00EC16C8">
              <w:rPr>
                <w:rStyle w:val="Hyperlink"/>
                <w:rFonts w:ascii="Arial" w:hAnsi="Arial" w:cs="Arial"/>
                <w:noProof/>
                <w:sz w:val="22"/>
                <w:szCs w:val="22"/>
                <w:lang w:val="en-GB"/>
              </w:rPr>
              <w:t>2 Housing Market Theory</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_Toc14016523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5</w:t>
            </w:r>
            <w:r w:rsidRPr="00EC16C8">
              <w:rPr>
                <w:rFonts w:ascii="Arial" w:hAnsi="Arial" w:cs="Arial"/>
                <w:noProof/>
                <w:webHidden/>
                <w:sz w:val="22"/>
                <w:szCs w:val="22"/>
              </w:rPr>
              <w:fldChar w:fldCharType="end"/>
            </w:r>
          </w:hyperlink>
        </w:p>
        <w:p w14:paraId="49DA7619" w14:textId="1B34A9D1"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24" w:history="1">
            <w:r w:rsidRPr="00EC16C8">
              <w:rPr>
                <w:rStyle w:val="Hyperlink"/>
                <w:rFonts w:ascii="Arial" w:hAnsi="Arial" w:cs="Arial"/>
                <w:noProof/>
                <w:sz w:val="22"/>
                <w:szCs w:val="22"/>
                <w:lang w:val="en-GB"/>
              </w:rPr>
              <w:t>3 Literature Review and Hypothesis Development</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_Toc14016524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9</w:t>
            </w:r>
            <w:r w:rsidRPr="00EC16C8">
              <w:rPr>
                <w:rFonts w:ascii="Arial" w:hAnsi="Arial" w:cs="Arial"/>
                <w:noProof/>
                <w:webHidden/>
                <w:sz w:val="22"/>
                <w:szCs w:val="22"/>
              </w:rPr>
              <w:fldChar w:fldCharType="end"/>
            </w:r>
          </w:hyperlink>
        </w:p>
        <w:p w14:paraId="5CF17C3D" w14:textId="1DFC829B"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25" w:history="1">
            <w:r w:rsidRPr="00EC16C8">
              <w:rPr>
                <w:rStyle w:val="Hyperlink"/>
                <w:rFonts w:ascii="Arial" w:hAnsi="Arial" w:cs="Arial"/>
                <w:noProof/>
                <w:sz w:val="22"/>
                <w:szCs w:val="22"/>
                <w:lang w:val="en-GB"/>
              </w:rPr>
              <w:t>4 Methodology</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_Toc14016525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14</w:t>
            </w:r>
            <w:r w:rsidRPr="00EC16C8">
              <w:rPr>
                <w:rFonts w:ascii="Arial" w:hAnsi="Arial" w:cs="Arial"/>
                <w:noProof/>
                <w:webHidden/>
                <w:sz w:val="22"/>
                <w:szCs w:val="22"/>
              </w:rPr>
              <w:fldChar w:fldCharType="end"/>
            </w:r>
          </w:hyperlink>
        </w:p>
        <w:p w14:paraId="3738243A" w14:textId="53410BF1"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26" w:history="1">
            <w:r w:rsidRPr="00EC16C8">
              <w:rPr>
                <w:rStyle w:val="Hyperlink"/>
                <w:rFonts w:ascii="Arial" w:hAnsi="Arial" w:cs="Arial"/>
                <w:noProof/>
                <w:sz w:val="22"/>
                <w:szCs w:val="22"/>
                <w:lang w:val="en-GB"/>
              </w:rPr>
              <w:t>5 Data</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_Toc14016526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16</w:t>
            </w:r>
            <w:r w:rsidRPr="00EC16C8">
              <w:rPr>
                <w:rFonts w:ascii="Arial" w:hAnsi="Arial" w:cs="Arial"/>
                <w:noProof/>
                <w:webHidden/>
                <w:sz w:val="22"/>
                <w:szCs w:val="22"/>
              </w:rPr>
              <w:fldChar w:fldCharType="end"/>
            </w:r>
          </w:hyperlink>
        </w:p>
        <w:p w14:paraId="7FD28667" w14:textId="7E0F86C6"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27" w:history="1">
            <w:r w:rsidRPr="00EC16C8">
              <w:rPr>
                <w:rStyle w:val="Hyperlink"/>
                <w:rFonts w:ascii="Arial" w:hAnsi="Arial" w:cs="Arial"/>
                <w:noProof/>
                <w:sz w:val="22"/>
                <w:szCs w:val="22"/>
                <w:lang w:val="en-GB"/>
              </w:rPr>
              <w:t>6 Descriptive Statistics and a comparison of the Netherlands and Denmark</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_Toc14016527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18</w:t>
            </w:r>
            <w:r w:rsidRPr="00EC16C8">
              <w:rPr>
                <w:rFonts w:ascii="Arial" w:hAnsi="Arial" w:cs="Arial"/>
                <w:noProof/>
                <w:webHidden/>
                <w:sz w:val="22"/>
                <w:szCs w:val="22"/>
              </w:rPr>
              <w:fldChar w:fldCharType="end"/>
            </w:r>
          </w:hyperlink>
        </w:p>
        <w:p w14:paraId="4A7B2C9B" w14:textId="7332D305"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28" w:history="1">
            <w:r w:rsidRPr="00EC16C8">
              <w:rPr>
                <w:rStyle w:val="Hyperlink"/>
                <w:rFonts w:ascii="Arial" w:hAnsi="Arial" w:cs="Arial"/>
                <w:noProof/>
                <w:sz w:val="22"/>
                <w:szCs w:val="22"/>
                <w:lang w:val="en-GB"/>
              </w:rPr>
              <w:t>6.1 Housing prices development Netherlands</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_Toc14016528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18</w:t>
            </w:r>
            <w:r w:rsidRPr="00EC16C8">
              <w:rPr>
                <w:rFonts w:ascii="Arial" w:hAnsi="Arial" w:cs="Arial"/>
                <w:noProof/>
                <w:webHidden/>
                <w:sz w:val="22"/>
                <w:szCs w:val="22"/>
              </w:rPr>
              <w:fldChar w:fldCharType="end"/>
            </w:r>
          </w:hyperlink>
        </w:p>
        <w:p w14:paraId="726B14A4" w14:textId="2F8466B3"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29" w:history="1">
            <w:r w:rsidRPr="00EC16C8">
              <w:rPr>
                <w:rStyle w:val="Hyperlink"/>
                <w:rFonts w:ascii="Arial" w:hAnsi="Arial" w:cs="Arial"/>
                <w:noProof/>
                <w:sz w:val="22"/>
                <w:szCs w:val="22"/>
                <w:lang w:val="en-GB"/>
              </w:rPr>
              <w:t>6.2 Nominal house price index comparison between the Netherlands and Denmark</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_Toc14016529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19</w:t>
            </w:r>
            <w:r w:rsidRPr="00EC16C8">
              <w:rPr>
                <w:rFonts w:ascii="Arial" w:hAnsi="Arial" w:cs="Arial"/>
                <w:noProof/>
                <w:webHidden/>
                <w:sz w:val="22"/>
                <w:szCs w:val="22"/>
              </w:rPr>
              <w:fldChar w:fldCharType="end"/>
            </w:r>
          </w:hyperlink>
        </w:p>
        <w:p w14:paraId="1103CBB8" w14:textId="06BCC283"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30" w:history="1">
            <w:r w:rsidRPr="00EC16C8">
              <w:rPr>
                <w:rStyle w:val="Hyperlink"/>
                <w:rFonts w:ascii="Arial" w:hAnsi="Arial" w:cs="Arial"/>
                <w:noProof/>
                <w:sz w:val="22"/>
                <w:szCs w:val="22"/>
                <w:lang w:val="en-GB"/>
              </w:rPr>
              <w:t>6.3 Income taxation and policy reform in the Netherlands and Denmark</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_Toc14016530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21</w:t>
            </w:r>
            <w:r w:rsidRPr="00EC16C8">
              <w:rPr>
                <w:rFonts w:ascii="Arial" w:hAnsi="Arial" w:cs="Arial"/>
                <w:noProof/>
                <w:webHidden/>
                <w:sz w:val="22"/>
                <w:szCs w:val="22"/>
              </w:rPr>
              <w:fldChar w:fldCharType="end"/>
            </w:r>
          </w:hyperlink>
        </w:p>
        <w:p w14:paraId="59AB1A4C" w14:textId="57BDBCAC"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31" w:history="1">
            <w:r w:rsidRPr="00EC16C8">
              <w:rPr>
                <w:rStyle w:val="Hyperlink"/>
                <w:rFonts w:ascii="Arial" w:hAnsi="Arial" w:cs="Arial"/>
                <w:noProof/>
                <w:sz w:val="22"/>
                <w:szCs w:val="22"/>
                <w:lang w:val="en-GB"/>
              </w:rPr>
              <w:t>6.4 Economic circumstances and demography in the Netherlands and Denmark</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_Toc14016531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21</w:t>
            </w:r>
            <w:r w:rsidRPr="00EC16C8">
              <w:rPr>
                <w:rFonts w:ascii="Arial" w:hAnsi="Arial" w:cs="Arial"/>
                <w:noProof/>
                <w:webHidden/>
                <w:sz w:val="22"/>
                <w:szCs w:val="22"/>
              </w:rPr>
              <w:fldChar w:fldCharType="end"/>
            </w:r>
          </w:hyperlink>
        </w:p>
        <w:p w14:paraId="141CC841" w14:textId="3EB9C05F"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32" w:history="1">
            <w:r w:rsidRPr="00EC16C8">
              <w:rPr>
                <w:rStyle w:val="Hyperlink"/>
                <w:rFonts w:ascii="Arial" w:hAnsi="Arial" w:cs="Arial"/>
                <w:noProof/>
                <w:sz w:val="22"/>
                <w:szCs w:val="22"/>
                <w:lang w:val="en-GB"/>
              </w:rPr>
              <w:t>6.5 Current housing market circumstances in the Netherlands</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_Toc14016532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23</w:t>
            </w:r>
            <w:r w:rsidRPr="00EC16C8">
              <w:rPr>
                <w:rFonts w:ascii="Arial" w:hAnsi="Arial" w:cs="Arial"/>
                <w:noProof/>
                <w:webHidden/>
                <w:sz w:val="22"/>
                <w:szCs w:val="22"/>
              </w:rPr>
              <w:fldChar w:fldCharType="end"/>
            </w:r>
          </w:hyperlink>
        </w:p>
        <w:p w14:paraId="2F3B15A5" w14:textId="5D6F0DED"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33" w:history="1">
            <w:r w:rsidRPr="00EC16C8">
              <w:rPr>
                <w:rStyle w:val="Hyperlink"/>
                <w:rFonts w:ascii="Arial" w:hAnsi="Arial" w:cs="Arial"/>
                <w:noProof/>
                <w:sz w:val="22"/>
                <w:szCs w:val="22"/>
                <w:lang w:val="en-GB"/>
              </w:rPr>
              <w:t>7 Predictions and Discussion</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_Toc14016533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24</w:t>
            </w:r>
            <w:r w:rsidRPr="00EC16C8">
              <w:rPr>
                <w:rFonts w:ascii="Arial" w:hAnsi="Arial" w:cs="Arial"/>
                <w:noProof/>
                <w:webHidden/>
                <w:sz w:val="22"/>
                <w:szCs w:val="22"/>
              </w:rPr>
              <w:fldChar w:fldCharType="end"/>
            </w:r>
          </w:hyperlink>
        </w:p>
        <w:p w14:paraId="08BA1EFB" w14:textId="7B4C88EC"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34" w:history="1">
            <w:r w:rsidRPr="00EC16C8">
              <w:rPr>
                <w:rStyle w:val="Hyperlink"/>
                <w:rFonts w:ascii="Arial" w:hAnsi="Arial" w:cs="Arial"/>
                <w:noProof/>
                <w:sz w:val="22"/>
                <w:szCs w:val="22"/>
                <w:lang w:val="en-GB"/>
              </w:rPr>
              <w:t>7.1 The effect on homeownership</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_Toc14016534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24</w:t>
            </w:r>
            <w:r w:rsidRPr="00EC16C8">
              <w:rPr>
                <w:rFonts w:ascii="Arial" w:hAnsi="Arial" w:cs="Arial"/>
                <w:noProof/>
                <w:webHidden/>
                <w:sz w:val="22"/>
                <w:szCs w:val="22"/>
              </w:rPr>
              <w:fldChar w:fldCharType="end"/>
            </w:r>
          </w:hyperlink>
        </w:p>
        <w:p w14:paraId="674333F6" w14:textId="095A5E27"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35" w:history="1">
            <w:r w:rsidRPr="00EC16C8">
              <w:rPr>
                <w:rStyle w:val="Hyperlink"/>
                <w:rFonts w:ascii="Arial" w:hAnsi="Arial" w:cs="Arial"/>
                <w:noProof/>
                <w:sz w:val="22"/>
                <w:szCs w:val="22"/>
                <w:lang w:val="en-GB"/>
              </w:rPr>
              <w:t>7.2 The effect on housing prices</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_Toc14016535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26</w:t>
            </w:r>
            <w:r w:rsidRPr="00EC16C8">
              <w:rPr>
                <w:rFonts w:ascii="Arial" w:hAnsi="Arial" w:cs="Arial"/>
                <w:noProof/>
                <w:webHidden/>
                <w:sz w:val="22"/>
                <w:szCs w:val="22"/>
              </w:rPr>
              <w:fldChar w:fldCharType="end"/>
            </w:r>
          </w:hyperlink>
        </w:p>
        <w:p w14:paraId="182D47BA" w14:textId="431563E8" w:rsidR="00EC16C8" w:rsidRPr="00EC16C8" w:rsidRDefault="00EC16C8">
          <w:pPr>
            <w:pStyle w:val="Inhopg2"/>
            <w:tabs>
              <w:tab w:val="right" w:leader="dot" w:pos="9062"/>
            </w:tabs>
            <w:rPr>
              <w:rFonts w:ascii="Arial" w:eastAsiaTheme="minorEastAsia" w:hAnsi="Arial" w:cs="Arial"/>
              <w:noProof/>
              <w:sz w:val="22"/>
              <w:szCs w:val="22"/>
              <w:lang w:val="nl-NL" w:eastAsia="nl-NL"/>
            </w:rPr>
          </w:pPr>
          <w:hyperlink w:anchor="_Toc14016536" w:history="1">
            <w:r w:rsidRPr="00EC16C8">
              <w:rPr>
                <w:rStyle w:val="Hyperlink"/>
                <w:rFonts w:ascii="Arial" w:hAnsi="Arial" w:cs="Arial"/>
                <w:noProof/>
                <w:sz w:val="22"/>
                <w:szCs w:val="22"/>
                <w:lang w:val="en-GB"/>
              </w:rPr>
              <w:t>7.3 Discussion</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_Toc14016536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27</w:t>
            </w:r>
            <w:r w:rsidRPr="00EC16C8">
              <w:rPr>
                <w:rFonts w:ascii="Arial" w:hAnsi="Arial" w:cs="Arial"/>
                <w:noProof/>
                <w:webHidden/>
                <w:sz w:val="22"/>
                <w:szCs w:val="22"/>
              </w:rPr>
              <w:fldChar w:fldCharType="end"/>
            </w:r>
          </w:hyperlink>
        </w:p>
        <w:p w14:paraId="1C255881" w14:textId="6D287E46"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37" w:history="1">
            <w:r w:rsidRPr="00EC16C8">
              <w:rPr>
                <w:rStyle w:val="Hyperlink"/>
                <w:rFonts w:ascii="Arial" w:hAnsi="Arial" w:cs="Arial"/>
                <w:noProof/>
                <w:sz w:val="22"/>
                <w:szCs w:val="22"/>
                <w:lang w:val="en-GB"/>
              </w:rPr>
              <w:t>8 Conclusion</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_Toc14016537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29</w:t>
            </w:r>
            <w:r w:rsidRPr="00EC16C8">
              <w:rPr>
                <w:rFonts w:ascii="Arial" w:hAnsi="Arial" w:cs="Arial"/>
                <w:noProof/>
                <w:webHidden/>
                <w:sz w:val="22"/>
                <w:szCs w:val="22"/>
              </w:rPr>
              <w:fldChar w:fldCharType="end"/>
            </w:r>
          </w:hyperlink>
        </w:p>
        <w:p w14:paraId="5FC10D9A" w14:textId="45988908"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38" w:history="1">
            <w:r w:rsidRPr="00EC16C8">
              <w:rPr>
                <w:rStyle w:val="Hyperlink"/>
                <w:rFonts w:ascii="Arial" w:hAnsi="Arial" w:cs="Arial"/>
                <w:noProof/>
                <w:sz w:val="22"/>
                <w:szCs w:val="22"/>
                <w:lang w:val="en-GB"/>
              </w:rPr>
              <w:t>Bibliography</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_Toc14016538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31</w:t>
            </w:r>
            <w:r w:rsidRPr="00EC16C8">
              <w:rPr>
                <w:rFonts w:ascii="Arial" w:hAnsi="Arial" w:cs="Arial"/>
                <w:noProof/>
                <w:webHidden/>
                <w:sz w:val="22"/>
                <w:szCs w:val="22"/>
              </w:rPr>
              <w:fldChar w:fldCharType="end"/>
            </w:r>
          </w:hyperlink>
        </w:p>
        <w:p w14:paraId="0C33A464" w14:textId="76591C1D"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39" w:history="1">
            <w:r w:rsidRPr="00EC16C8">
              <w:rPr>
                <w:rStyle w:val="Hyperlink"/>
                <w:rFonts w:ascii="Arial" w:eastAsiaTheme="minorHAnsi" w:hAnsi="Arial" w:cs="Arial"/>
                <w:noProof/>
                <w:sz w:val="22"/>
                <w:szCs w:val="22"/>
                <w:lang w:val="en-GB"/>
              </w:rPr>
              <w:t>Appendix A</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_Toc14016539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33</w:t>
            </w:r>
            <w:r w:rsidRPr="00EC16C8">
              <w:rPr>
                <w:rFonts w:ascii="Arial" w:hAnsi="Arial" w:cs="Arial"/>
                <w:noProof/>
                <w:webHidden/>
                <w:sz w:val="22"/>
                <w:szCs w:val="22"/>
              </w:rPr>
              <w:fldChar w:fldCharType="end"/>
            </w:r>
          </w:hyperlink>
        </w:p>
        <w:p w14:paraId="343642D5" w14:textId="00F055BA"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40" w:history="1">
            <w:r w:rsidRPr="00EC16C8">
              <w:rPr>
                <w:rStyle w:val="Hyperlink"/>
                <w:rFonts w:ascii="Arial" w:eastAsiaTheme="minorHAnsi" w:hAnsi="Arial" w:cs="Arial"/>
                <w:noProof/>
                <w:sz w:val="22"/>
                <w:szCs w:val="22"/>
                <w:lang w:val="en-GB"/>
              </w:rPr>
              <w:t>Appendix B</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_Toc14016540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35</w:t>
            </w:r>
            <w:r w:rsidRPr="00EC16C8">
              <w:rPr>
                <w:rFonts w:ascii="Arial" w:hAnsi="Arial" w:cs="Arial"/>
                <w:noProof/>
                <w:webHidden/>
                <w:sz w:val="22"/>
                <w:szCs w:val="22"/>
              </w:rPr>
              <w:fldChar w:fldCharType="end"/>
            </w:r>
          </w:hyperlink>
        </w:p>
        <w:p w14:paraId="20AEA931" w14:textId="518BA6F8" w:rsidR="00EC16C8" w:rsidRPr="00EC16C8" w:rsidRDefault="00EC16C8">
          <w:pPr>
            <w:pStyle w:val="Inhopg1"/>
            <w:tabs>
              <w:tab w:val="right" w:leader="dot" w:pos="9062"/>
            </w:tabs>
            <w:rPr>
              <w:rFonts w:ascii="Arial" w:eastAsiaTheme="minorEastAsia" w:hAnsi="Arial" w:cs="Arial"/>
              <w:noProof/>
              <w:sz w:val="22"/>
              <w:szCs w:val="22"/>
              <w:lang w:val="nl-NL" w:eastAsia="nl-NL"/>
            </w:rPr>
          </w:pPr>
          <w:hyperlink w:anchor="_Toc14016541" w:history="1">
            <w:r w:rsidRPr="00EC16C8">
              <w:rPr>
                <w:rStyle w:val="Hyperlink"/>
                <w:rFonts w:ascii="Arial" w:eastAsiaTheme="minorHAnsi" w:hAnsi="Arial" w:cs="Arial"/>
                <w:noProof/>
                <w:sz w:val="22"/>
                <w:szCs w:val="22"/>
                <w:lang w:val="nl-NL"/>
              </w:rPr>
              <w:t>Appendix C</w:t>
            </w:r>
            <w:r w:rsidRPr="00EC16C8">
              <w:rPr>
                <w:rFonts w:ascii="Arial" w:hAnsi="Arial" w:cs="Arial"/>
                <w:noProof/>
                <w:webHidden/>
                <w:sz w:val="22"/>
                <w:szCs w:val="22"/>
              </w:rPr>
              <w:tab/>
            </w:r>
            <w:r w:rsidRPr="00EC16C8">
              <w:rPr>
                <w:rFonts w:ascii="Arial" w:hAnsi="Arial" w:cs="Arial"/>
                <w:noProof/>
                <w:webHidden/>
                <w:sz w:val="22"/>
                <w:szCs w:val="22"/>
              </w:rPr>
              <w:fldChar w:fldCharType="begin"/>
            </w:r>
            <w:r w:rsidRPr="00EC16C8">
              <w:rPr>
                <w:rFonts w:ascii="Arial" w:hAnsi="Arial" w:cs="Arial"/>
                <w:noProof/>
                <w:webHidden/>
                <w:sz w:val="22"/>
                <w:szCs w:val="22"/>
              </w:rPr>
              <w:instrText xml:space="preserve"> PAGEREF _Toc14016541 \h </w:instrText>
            </w:r>
            <w:r w:rsidRPr="00EC16C8">
              <w:rPr>
                <w:rFonts w:ascii="Arial" w:hAnsi="Arial" w:cs="Arial"/>
                <w:noProof/>
                <w:webHidden/>
                <w:sz w:val="22"/>
                <w:szCs w:val="22"/>
              </w:rPr>
            </w:r>
            <w:r w:rsidRPr="00EC16C8">
              <w:rPr>
                <w:rFonts w:ascii="Arial" w:hAnsi="Arial" w:cs="Arial"/>
                <w:noProof/>
                <w:webHidden/>
                <w:sz w:val="22"/>
                <w:szCs w:val="22"/>
              </w:rPr>
              <w:fldChar w:fldCharType="separate"/>
            </w:r>
            <w:r w:rsidRPr="00EC16C8">
              <w:rPr>
                <w:rFonts w:ascii="Arial" w:hAnsi="Arial" w:cs="Arial"/>
                <w:noProof/>
                <w:webHidden/>
                <w:sz w:val="22"/>
                <w:szCs w:val="22"/>
              </w:rPr>
              <w:t>42</w:t>
            </w:r>
            <w:r w:rsidRPr="00EC16C8">
              <w:rPr>
                <w:rFonts w:ascii="Arial" w:hAnsi="Arial" w:cs="Arial"/>
                <w:noProof/>
                <w:webHidden/>
                <w:sz w:val="22"/>
                <w:szCs w:val="22"/>
              </w:rPr>
              <w:fldChar w:fldCharType="end"/>
            </w:r>
          </w:hyperlink>
        </w:p>
        <w:p w14:paraId="199A0C3B" w14:textId="2F2F57FE" w:rsidR="007F043B" w:rsidRDefault="007F043B" w:rsidP="007F043B">
          <w:r w:rsidRPr="00EC16C8">
            <w:rPr>
              <w:rFonts w:ascii="Arial" w:hAnsi="Arial" w:cs="Arial"/>
              <w:sz w:val="22"/>
              <w:szCs w:val="22"/>
            </w:rPr>
            <w:fldChar w:fldCharType="end"/>
          </w:r>
        </w:p>
      </w:sdtContent>
    </w:sdt>
    <w:p w14:paraId="45D3E64F" w14:textId="77777777" w:rsidR="007F043B" w:rsidRDefault="007F043B" w:rsidP="007F043B">
      <w:pPr>
        <w:spacing w:after="160" w:line="259" w:lineRule="auto"/>
        <w:ind w:firstLine="0"/>
        <w:jc w:val="left"/>
        <w:rPr>
          <w:rFonts w:ascii="Arial" w:eastAsiaTheme="minorHAnsi" w:hAnsi="Arial" w:cs="Arial"/>
          <w:b/>
          <w:bCs/>
          <w:sz w:val="22"/>
          <w:szCs w:val="22"/>
          <w:lang w:val="en-GB"/>
        </w:rPr>
      </w:pPr>
      <w:r>
        <w:rPr>
          <w:rFonts w:ascii="Arial" w:hAnsi="Arial" w:cs="Arial"/>
          <w:b/>
          <w:bCs/>
          <w:lang w:val="en-GB"/>
        </w:rPr>
        <w:br w:type="page"/>
      </w:r>
      <w:bookmarkStart w:id="0" w:name="_GoBack"/>
      <w:bookmarkEnd w:id="0"/>
    </w:p>
    <w:p w14:paraId="6D374B59" w14:textId="77777777" w:rsidR="007F043B" w:rsidRPr="00F33413" w:rsidRDefault="007F043B" w:rsidP="007F043B">
      <w:pPr>
        <w:pStyle w:val="Kop1"/>
        <w:ind w:firstLine="0"/>
        <w:rPr>
          <w:rFonts w:ascii="Arial" w:hAnsi="Arial" w:cs="Arial"/>
          <w:b/>
          <w:bCs/>
          <w:color w:val="auto"/>
          <w:sz w:val="24"/>
          <w:szCs w:val="24"/>
          <w:lang w:val="en-GB"/>
        </w:rPr>
      </w:pPr>
      <w:bookmarkStart w:id="1" w:name="_Toc14016522"/>
      <w:r>
        <w:rPr>
          <w:rFonts w:ascii="Arial" w:hAnsi="Arial" w:cs="Arial"/>
          <w:b/>
          <w:bCs/>
          <w:color w:val="auto"/>
          <w:sz w:val="24"/>
          <w:szCs w:val="24"/>
          <w:lang w:val="en-GB"/>
        </w:rPr>
        <w:lastRenderedPageBreak/>
        <w:t>1</w:t>
      </w:r>
      <w:r w:rsidRPr="00F33413">
        <w:rPr>
          <w:rFonts w:ascii="Arial" w:hAnsi="Arial" w:cs="Arial"/>
          <w:b/>
          <w:bCs/>
          <w:color w:val="auto"/>
          <w:sz w:val="24"/>
          <w:szCs w:val="24"/>
          <w:lang w:val="en-GB"/>
        </w:rPr>
        <w:t xml:space="preserve"> Introduction</w:t>
      </w:r>
      <w:bookmarkEnd w:id="1"/>
    </w:p>
    <w:p w14:paraId="7D528FB0" w14:textId="77777777" w:rsidR="007F043B" w:rsidRDefault="007F043B" w:rsidP="007F043B">
      <w:pPr>
        <w:pStyle w:val="Geenafstand"/>
        <w:rPr>
          <w:rFonts w:ascii="Arial" w:hAnsi="Arial" w:cs="Arial"/>
          <w:b/>
          <w:bCs/>
          <w:lang w:val="en-GB"/>
        </w:rPr>
      </w:pPr>
    </w:p>
    <w:p w14:paraId="635F449A" w14:textId="071A837E" w:rsidR="007F043B" w:rsidRPr="00FC24CA" w:rsidRDefault="007F043B" w:rsidP="007F043B">
      <w:pPr>
        <w:pStyle w:val="Geenafstand"/>
        <w:spacing w:line="360" w:lineRule="auto"/>
        <w:jc w:val="both"/>
        <w:rPr>
          <w:rFonts w:ascii="Arial" w:hAnsi="Arial" w:cs="Arial"/>
          <w:lang w:val="en-GB"/>
        </w:rPr>
      </w:pPr>
      <w:r w:rsidRPr="00FC24CA">
        <w:rPr>
          <w:rFonts w:ascii="Arial" w:hAnsi="Arial" w:cs="Arial"/>
          <w:lang w:val="en-GB"/>
        </w:rPr>
        <w:t xml:space="preserve">Government support for homeownership is an important policy instrument in many countries. Homeownership is encouraged through a mortgage interest payment deduction on income taxes, also known as housing subsidies. These subsidies create a situation where buying a house becomes more attractive than renting and they increase the affordability of homeownership for lower-income households. However, there is a lot of debate going on among politicians and economists about the precise effects of mortgage interest payment </w:t>
      </w:r>
      <w:r>
        <w:rPr>
          <w:rFonts w:ascii="Arial" w:hAnsi="Arial" w:cs="Arial"/>
          <w:lang w:val="en-GB"/>
        </w:rPr>
        <w:t>d</w:t>
      </w:r>
      <w:r w:rsidRPr="00FC24CA">
        <w:rPr>
          <w:rFonts w:ascii="Arial" w:hAnsi="Arial" w:cs="Arial"/>
          <w:lang w:val="en-GB"/>
        </w:rPr>
        <w:t>eductions. It enables people to borrow more money and buy homes that they actually cannot afford, which could result in an increase in the overall housing prices. Furthermore, these subsidies mainly benefit the higher-income groups because of the progressiveness of income taxation, creating more income inequality (</w:t>
      </w:r>
      <w:proofErr w:type="spellStart"/>
      <w:r w:rsidRPr="00FC24CA">
        <w:rPr>
          <w:rFonts w:ascii="Arial" w:hAnsi="Arial" w:cs="Arial"/>
          <w:lang w:val="en-GB"/>
        </w:rPr>
        <w:t>Archarya</w:t>
      </w:r>
      <w:proofErr w:type="spellEnd"/>
      <w:r w:rsidRPr="00FC24CA">
        <w:rPr>
          <w:rFonts w:ascii="Arial" w:hAnsi="Arial" w:cs="Arial"/>
          <w:lang w:val="en-GB"/>
        </w:rPr>
        <w:t xml:space="preserve">, Richardson, Van </w:t>
      </w:r>
      <w:proofErr w:type="spellStart"/>
      <w:r w:rsidRPr="00FC24CA">
        <w:rPr>
          <w:rFonts w:ascii="Arial" w:hAnsi="Arial" w:cs="Arial"/>
          <w:lang w:val="en-GB"/>
        </w:rPr>
        <w:t>Nieuwerburgh</w:t>
      </w:r>
      <w:proofErr w:type="spellEnd"/>
      <w:r w:rsidRPr="00FC24CA">
        <w:rPr>
          <w:rFonts w:ascii="Arial" w:hAnsi="Arial" w:cs="Arial"/>
          <w:lang w:val="en-GB"/>
        </w:rPr>
        <w:t xml:space="preserve"> &amp; White, 2011). This raises the question whether or not subsidising homeowners is still a desired policy and what would happen if the government decided to abolish or reduce this subsidy. </w:t>
      </w:r>
    </w:p>
    <w:p w14:paraId="58D7B6EA" w14:textId="77777777" w:rsidR="007F043B" w:rsidRPr="00FC24CA" w:rsidRDefault="007F043B" w:rsidP="007F043B">
      <w:pPr>
        <w:pStyle w:val="Geenafstand"/>
        <w:spacing w:line="360" w:lineRule="auto"/>
        <w:jc w:val="both"/>
        <w:rPr>
          <w:rFonts w:ascii="Arial" w:hAnsi="Arial" w:cs="Arial"/>
          <w:lang w:val="en-GB"/>
        </w:rPr>
      </w:pPr>
    </w:p>
    <w:p w14:paraId="66910938" w14:textId="77777777" w:rsidR="007F043B" w:rsidRPr="00FC24CA" w:rsidRDefault="007F043B" w:rsidP="007F043B">
      <w:pPr>
        <w:pStyle w:val="Geenafstand"/>
        <w:spacing w:line="360" w:lineRule="auto"/>
        <w:jc w:val="both"/>
        <w:rPr>
          <w:rFonts w:ascii="Arial" w:hAnsi="Arial" w:cs="Arial"/>
          <w:lang w:val="en-GB"/>
        </w:rPr>
      </w:pPr>
      <w:r w:rsidRPr="00FC24CA">
        <w:rPr>
          <w:rFonts w:ascii="Arial" w:hAnsi="Arial" w:cs="Arial"/>
          <w:lang w:val="en-GB"/>
        </w:rPr>
        <w:t xml:space="preserve">In 1893, the home mortgage interest deduction was implemented in the Netherlands. Homeowners were taxed on the value of their house, which was based on the rental value. However, they were able to deduct the costs of owning a home from the tax base, including mortgage interest costs. At the time, policymakers concluded that this tax deduction increases homeownership, which in turn creates more responsibility in maintaining property. Additionally, homeownership increases savings for future periods and it supports family stability. However, politicians started to doubt these positive effects later on. The tax deduction reduces the potential tax revenues for the government and it is not certain that it stimulates homeownership, since it increases demand and thus it could increase the housing prices </w:t>
      </w:r>
      <w:sdt>
        <w:sdtPr>
          <w:rPr>
            <w:rFonts w:ascii="Arial" w:hAnsi="Arial" w:cs="Arial"/>
          </w:rPr>
          <w:id w:val="1213917273"/>
          <w:citation/>
        </w:sdtPr>
        <w:sdtContent>
          <w:r w:rsidRPr="00820678">
            <w:rPr>
              <w:rFonts w:ascii="Arial" w:hAnsi="Arial" w:cs="Arial"/>
            </w:rPr>
            <w:fldChar w:fldCharType="begin"/>
          </w:r>
          <w:r w:rsidRPr="00FC24CA">
            <w:rPr>
              <w:rFonts w:ascii="Arial" w:hAnsi="Arial" w:cs="Arial"/>
              <w:lang w:val="en-GB"/>
            </w:rPr>
            <w:instrText xml:space="preserve"> CITATION Kro08 \l 1043 </w:instrText>
          </w:r>
          <w:r w:rsidRPr="00820678">
            <w:rPr>
              <w:rFonts w:ascii="Arial" w:hAnsi="Arial" w:cs="Arial"/>
            </w:rPr>
            <w:fldChar w:fldCharType="separate"/>
          </w:r>
          <w:r w:rsidRPr="00FC24CA">
            <w:rPr>
              <w:rFonts w:ascii="Arial" w:hAnsi="Arial" w:cs="Arial"/>
              <w:noProof/>
              <w:lang w:val="en-GB"/>
            </w:rPr>
            <w:t>(Kromhout &amp; Oving, 2008)</w:t>
          </w:r>
          <w:r w:rsidRPr="00820678">
            <w:rPr>
              <w:rFonts w:ascii="Arial" w:hAnsi="Arial" w:cs="Arial"/>
            </w:rPr>
            <w:fldChar w:fldCharType="end"/>
          </w:r>
        </w:sdtContent>
      </w:sdt>
      <w:r w:rsidRPr="00FC24CA">
        <w:rPr>
          <w:rFonts w:ascii="Arial" w:hAnsi="Arial" w:cs="Arial"/>
          <w:lang w:val="en-GB"/>
        </w:rPr>
        <w:t xml:space="preserve">. </w:t>
      </w:r>
    </w:p>
    <w:p w14:paraId="651B9DDB" w14:textId="77777777" w:rsidR="007F043B" w:rsidRPr="00FC24CA" w:rsidRDefault="007F043B" w:rsidP="007F043B">
      <w:pPr>
        <w:pStyle w:val="Geenafstand"/>
        <w:spacing w:line="360" w:lineRule="auto"/>
        <w:jc w:val="both"/>
        <w:rPr>
          <w:rFonts w:ascii="Arial" w:hAnsi="Arial" w:cs="Arial"/>
          <w:lang w:val="en-GB"/>
        </w:rPr>
      </w:pPr>
    </w:p>
    <w:p w14:paraId="6F83C5B4" w14:textId="77777777" w:rsidR="007F043B" w:rsidRDefault="007F043B" w:rsidP="007F043B">
      <w:pPr>
        <w:pStyle w:val="Geenafstand"/>
        <w:spacing w:line="360" w:lineRule="auto"/>
        <w:jc w:val="both"/>
        <w:rPr>
          <w:rFonts w:ascii="Arial" w:hAnsi="Arial" w:cs="Arial"/>
          <w:lang w:val="en-GB"/>
        </w:rPr>
      </w:pPr>
      <w:r w:rsidRPr="00FC24CA">
        <w:rPr>
          <w:rFonts w:ascii="Arial" w:hAnsi="Arial" w:cs="Arial"/>
          <w:lang w:val="en-GB"/>
        </w:rPr>
        <w:t>As a consequence, in 2017 the Dutch government decided to reduce the maximum amount of home mortgage interest deduction for homeowners</w:t>
      </w:r>
      <w:r>
        <w:rPr>
          <w:rFonts w:ascii="Arial" w:hAnsi="Arial" w:cs="Arial"/>
          <w:lang w:val="en-GB"/>
        </w:rPr>
        <w:t xml:space="preserve"> in the highest income bracket. The mortgage deduction will be reduced over the years until the target rate of 37.05 percent is reached in 2023 </w:t>
      </w:r>
      <w:sdt>
        <w:sdtPr>
          <w:rPr>
            <w:rFonts w:ascii="Arial" w:hAnsi="Arial" w:cs="Arial"/>
          </w:rPr>
          <w:id w:val="1439258086"/>
          <w:citation/>
        </w:sdtPr>
        <w:sdtContent>
          <w:r w:rsidRPr="00820678">
            <w:rPr>
              <w:rFonts w:ascii="Arial" w:hAnsi="Arial" w:cs="Arial"/>
            </w:rPr>
            <w:fldChar w:fldCharType="begin"/>
          </w:r>
          <w:r w:rsidRPr="00FC24CA">
            <w:rPr>
              <w:rFonts w:ascii="Arial" w:hAnsi="Arial" w:cs="Arial"/>
              <w:lang w:val="en-GB"/>
            </w:rPr>
            <w:instrText xml:space="preserve"> CITATION Rij18 \l 1043 </w:instrText>
          </w:r>
          <w:r w:rsidRPr="00820678">
            <w:rPr>
              <w:rFonts w:ascii="Arial" w:hAnsi="Arial" w:cs="Arial"/>
            </w:rPr>
            <w:fldChar w:fldCharType="separate"/>
          </w:r>
          <w:r w:rsidRPr="00FC24CA">
            <w:rPr>
              <w:rFonts w:ascii="Arial" w:hAnsi="Arial" w:cs="Arial"/>
              <w:noProof/>
              <w:lang w:val="en-GB"/>
            </w:rPr>
            <w:t>(Rijksoverheid, 2018)</w:t>
          </w:r>
          <w:r w:rsidRPr="00820678">
            <w:rPr>
              <w:rFonts w:ascii="Arial" w:hAnsi="Arial" w:cs="Arial"/>
            </w:rPr>
            <w:fldChar w:fldCharType="end"/>
          </w:r>
        </w:sdtContent>
      </w:sdt>
      <w:r w:rsidRPr="00FC24CA">
        <w:rPr>
          <w:rFonts w:ascii="Arial" w:hAnsi="Arial" w:cs="Arial"/>
          <w:lang w:val="en-GB"/>
        </w:rPr>
        <w:t xml:space="preserve">. It is uncertain what the consequences of this new policy will be for the housing market and more specifically what the effects will be for the housing prices of current homeowners. </w:t>
      </w:r>
      <w:r>
        <w:rPr>
          <w:rFonts w:ascii="Arial" w:hAnsi="Arial" w:cs="Arial"/>
          <w:lang w:val="en-GB"/>
        </w:rPr>
        <w:t>Furthermore, t</w:t>
      </w:r>
      <w:r w:rsidRPr="00FC24CA">
        <w:rPr>
          <w:rFonts w:ascii="Arial" w:hAnsi="Arial" w:cs="Arial"/>
          <w:lang w:val="en-GB"/>
        </w:rPr>
        <w:t>he policy reform could affect the housing demand and thus the homeownership rate. This leads to the main question for this thesis: ‘what is the effect of the decrease in home mortgage interest deduction on the average housing prices and homeownership in the Netherlands?’</w:t>
      </w:r>
    </w:p>
    <w:p w14:paraId="2D4480DB" w14:textId="77777777" w:rsidR="007F043B" w:rsidRDefault="007F043B" w:rsidP="007F043B">
      <w:pPr>
        <w:pStyle w:val="Geenafstand"/>
        <w:spacing w:line="360" w:lineRule="auto"/>
        <w:jc w:val="both"/>
        <w:rPr>
          <w:rFonts w:ascii="Arial" w:hAnsi="Arial" w:cs="Arial"/>
          <w:lang w:val="en-GB"/>
        </w:rPr>
      </w:pPr>
    </w:p>
    <w:p w14:paraId="38100BC7" w14:textId="77777777" w:rsidR="007F043B" w:rsidRDefault="007F043B" w:rsidP="007F043B">
      <w:pPr>
        <w:pStyle w:val="Geenafstand"/>
        <w:spacing w:line="360" w:lineRule="auto"/>
        <w:jc w:val="both"/>
        <w:rPr>
          <w:rFonts w:ascii="Arial" w:hAnsi="Arial" w:cs="Arial"/>
          <w:lang w:val="en-GB"/>
        </w:rPr>
      </w:pPr>
    </w:p>
    <w:p w14:paraId="5AA0B04D" w14:textId="77777777" w:rsidR="007F043B" w:rsidRDefault="007F043B" w:rsidP="007F043B">
      <w:pPr>
        <w:pStyle w:val="Geenafstand"/>
        <w:spacing w:line="360" w:lineRule="auto"/>
        <w:jc w:val="both"/>
        <w:rPr>
          <w:rFonts w:ascii="Arial" w:hAnsi="Arial" w:cs="Arial"/>
          <w:lang w:val="en-GB"/>
        </w:rPr>
      </w:pPr>
      <w:r w:rsidRPr="00FC24CA">
        <w:rPr>
          <w:rFonts w:ascii="Arial" w:hAnsi="Arial" w:cs="Arial"/>
          <w:lang w:val="en-GB"/>
        </w:rPr>
        <w:lastRenderedPageBreak/>
        <w:t xml:space="preserve">It is important for society to know what the consequences of a reduction in mortgage interest deduction will be, since many individuals consider their house as their main source of investment. </w:t>
      </w:r>
      <w:r>
        <w:rPr>
          <w:rFonts w:ascii="Arial" w:hAnsi="Arial" w:cs="Arial"/>
          <w:lang w:val="en-GB"/>
        </w:rPr>
        <w:t xml:space="preserve">Also, it is interesting for individuals just entering the housing market to know what effect the policy reform will have on the housing prices. </w:t>
      </w:r>
      <w:r w:rsidRPr="00FC24CA">
        <w:rPr>
          <w:rFonts w:ascii="Arial" w:hAnsi="Arial" w:cs="Arial"/>
          <w:lang w:val="en-GB"/>
        </w:rPr>
        <w:t xml:space="preserve">In addition, the housing market is interdependent with many other markets such as the construction market, the market for consumptive goods and financial markets. Developments in the housing market might have spill-over effects on these related markets and thus affect the entire economy. </w:t>
      </w:r>
    </w:p>
    <w:p w14:paraId="61986019" w14:textId="77777777" w:rsidR="007F043B" w:rsidRDefault="007F043B" w:rsidP="007F043B">
      <w:pPr>
        <w:pStyle w:val="Geenafstand"/>
        <w:spacing w:line="360" w:lineRule="auto"/>
        <w:jc w:val="both"/>
        <w:rPr>
          <w:rFonts w:ascii="Arial" w:hAnsi="Arial" w:cs="Arial"/>
          <w:lang w:val="en-GB"/>
        </w:rPr>
      </w:pPr>
    </w:p>
    <w:p w14:paraId="23918BE9" w14:textId="2643CAB4" w:rsidR="00343A59" w:rsidRDefault="005B433B" w:rsidP="007F043B">
      <w:pPr>
        <w:pStyle w:val="Geenafstand"/>
        <w:spacing w:line="360" w:lineRule="auto"/>
        <w:jc w:val="both"/>
        <w:rPr>
          <w:rFonts w:ascii="Arial" w:hAnsi="Arial" w:cs="Arial"/>
          <w:lang w:val="en-GB"/>
        </w:rPr>
      </w:pPr>
      <w:r>
        <w:rPr>
          <w:rFonts w:ascii="Arial" w:hAnsi="Arial" w:cs="Arial"/>
          <w:lang w:val="en-GB"/>
        </w:rPr>
        <w:t>The</w:t>
      </w:r>
      <w:r w:rsidR="007F043B" w:rsidRPr="00026B28">
        <w:rPr>
          <w:rFonts w:ascii="Arial" w:hAnsi="Arial" w:cs="Arial"/>
          <w:lang w:val="en-GB"/>
        </w:rPr>
        <w:t xml:space="preserve"> effect of the reduction in home mortgage deduction in the Netherlands is not researched yet, considering the policy reform is not completely implemented. The effect of the policy reform on housing prices and the homeownership rate can only be estimated a couple of years after the full implementation</w:t>
      </w:r>
      <w:r>
        <w:rPr>
          <w:rFonts w:ascii="Arial" w:hAnsi="Arial" w:cs="Arial"/>
          <w:lang w:val="en-GB"/>
        </w:rPr>
        <w:t>.</w:t>
      </w:r>
      <w:r w:rsidR="007F043B" w:rsidRPr="00026B28">
        <w:rPr>
          <w:rFonts w:ascii="Arial" w:hAnsi="Arial" w:cs="Arial"/>
          <w:lang w:val="en-GB"/>
        </w:rPr>
        <w:t xml:space="preserve"> </w:t>
      </w:r>
      <w:r>
        <w:rPr>
          <w:rFonts w:ascii="Arial" w:hAnsi="Arial" w:cs="Arial"/>
          <w:lang w:val="en-GB"/>
        </w:rPr>
        <w:t>It</w:t>
      </w:r>
      <w:r w:rsidR="007F043B" w:rsidRPr="00026B28">
        <w:rPr>
          <w:rFonts w:ascii="Arial" w:hAnsi="Arial" w:cs="Arial"/>
          <w:lang w:val="en-GB"/>
        </w:rPr>
        <w:t xml:space="preserve"> takes time for markets to adjust and</w:t>
      </w:r>
      <w:r>
        <w:rPr>
          <w:rFonts w:ascii="Arial" w:hAnsi="Arial" w:cs="Arial"/>
          <w:lang w:val="en-GB"/>
        </w:rPr>
        <w:t xml:space="preserve"> reach</w:t>
      </w:r>
      <w:r w:rsidR="007F043B" w:rsidRPr="00026B28">
        <w:rPr>
          <w:rFonts w:ascii="Arial" w:hAnsi="Arial" w:cs="Arial"/>
          <w:lang w:val="en-GB"/>
        </w:rPr>
        <w:t xml:space="preserve"> a new equilibrium </w:t>
      </w:r>
      <w:r>
        <w:rPr>
          <w:rFonts w:ascii="Arial" w:hAnsi="Arial" w:cs="Arial"/>
          <w:lang w:val="en-GB"/>
        </w:rPr>
        <w:t>and the necessary data has to be collected after the changes have realized</w:t>
      </w:r>
      <w:r w:rsidR="007F043B" w:rsidRPr="00026B28">
        <w:rPr>
          <w:rFonts w:ascii="Arial" w:hAnsi="Arial" w:cs="Arial"/>
          <w:lang w:val="en-GB"/>
        </w:rPr>
        <w:t>. However, it is possible to predict the effects that the policy reform will have in the future based on the effects of similar policy reforms in other countries.</w:t>
      </w:r>
      <w:r w:rsidR="00343A59">
        <w:rPr>
          <w:rFonts w:ascii="Arial" w:hAnsi="Arial" w:cs="Arial"/>
          <w:lang w:val="en-GB"/>
        </w:rPr>
        <w:t xml:space="preserve"> </w:t>
      </w:r>
      <w:r w:rsidR="006271EE">
        <w:rPr>
          <w:rFonts w:ascii="Arial" w:hAnsi="Arial" w:cs="Arial"/>
          <w:lang w:val="en-GB"/>
        </w:rPr>
        <w:t>When estimating the effect of the policy reform, the</w:t>
      </w:r>
      <w:r w:rsidR="00343A59">
        <w:rPr>
          <w:rFonts w:ascii="Arial" w:hAnsi="Arial" w:cs="Arial"/>
          <w:lang w:val="en-GB"/>
        </w:rPr>
        <w:t xml:space="preserve"> methodology that would ideally have been used if the data were available will be discussed followed by a prediction of the effect. </w:t>
      </w:r>
      <w:r w:rsidR="007F043B" w:rsidRPr="00026B28">
        <w:rPr>
          <w:rFonts w:ascii="Arial" w:hAnsi="Arial" w:cs="Arial"/>
          <w:lang w:val="en-GB"/>
        </w:rPr>
        <w:t xml:space="preserve"> </w:t>
      </w:r>
    </w:p>
    <w:p w14:paraId="2419FFF7" w14:textId="77777777" w:rsidR="00343A59" w:rsidRDefault="00343A59" w:rsidP="007F043B">
      <w:pPr>
        <w:pStyle w:val="Geenafstand"/>
        <w:spacing w:line="360" w:lineRule="auto"/>
        <w:jc w:val="both"/>
        <w:rPr>
          <w:rFonts w:ascii="Arial" w:hAnsi="Arial" w:cs="Arial"/>
          <w:lang w:val="en-GB"/>
        </w:rPr>
      </w:pPr>
    </w:p>
    <w:p w14:paraId="2DAB8F07" w14:textId="7D0B222D" w:rsidR="007F043B" w:rsidRDefault="007F043B" w:rsidP="007F043B">
      <w:pPr>
        <w:pStyle w:val="Geenafstand"/>
        <w:spacing w:line="360" w:lineRule="auto"/>
        <w:jc w:val="both"/>
        <w:rPr>
          <w:rFonts w:ascii="Arial" w:hAnsi="Arial" w:cs="Arial"/>
          <w:lang w:val="en-GB"/>
        </w:rPr>
      </w:pPr>
      <w:r w:rsidRPr="00026B28">
        <w:rPr>
          <w:rFonts w:ascii="Arial" w:hAnsi="Arial" w:cs="Arial"/>
          <w:lang w:val="en-GB"/>
        </w:rPr>
        <w:t xml:space="preserve">The Danish government implemented </w:t>
      </w:r>
      <w:r w:rsidR="006271EE">
        <w:rPr>
          <w:rFonts w:ascii="Arial" w:hAnsi="Arial" w:cs="Arial"/>
          <w:lang w:val="en-GB"/>
        </w:rPr>
        <w:t xml:space="preserve">a </w:t>
      </w:r>
      <w:r w:rsidRPr="00026B28">
        <w:rPr>
          <w:rFonts w:ascii="Arial" w:hAnsi="Arial" w:cs="Arial"/>
          <w:lang w:val="en-GB"/>
        </w:rPr>
        <w:t xml:space="preserve">policy reform </w:t>
      </w:r>
      <w:r w:rsidR="00343A59">
        <w:rPr>
          <w:rFonts w:ascii="Arial" w:hAnsi="Arial" w:cs="Arial"/>
          <w:lang w:val="en-GB"/>
        </w:rPr>
        <w:t xml:space="preserve">similar to the Dutch reform </w:t>
      </w:r>
      <w:r w:rsidRPr="00026B28">
        <w:rPr>
          <w:rFonts w:ascii="Arial" w:hAnsi="Arial" w:cs="Arial"/>
          <w:lang w:val="en-GB"/>
        </w:rPr>
        <w:t xml:space="preserve">in 1987. The policy change introduced a substantial reduction of mortgage deductibles for the higher and middle income groups. Gruber, Jensen &amp; </w:t>
      </w:r>
      <w:proofErr w:type="spellStart"/>
      <w:r w:rsidRPr="00026B28">
        <w:rPr>
          <w:rFonts w:ascii="Arial" w:hAnsi="Arial" w:cs="Arial"/>
          <w:lang w:val="en-GB"/>
        </w:rPr>
        <w:t>Kleven</w:t>
      </w:r>
      <w:proofErr w:type="spellEnd"/>
      <w:r w:rsidRPr="00026B28">
        <w:rPr>
          <w:rFonts w:ascii="Arial" w:hAnsi="Arial" w:cs="Arial"/>
          <w:lang w:val="en-GB"/>
        </w:rPr>
        <w:t xml:space="preserve"> (2018) research the effect of this reform on the average housing prices and housing demand. The results show no effect on the homeownership rate for the affected income groups. Furthermore, they found some evidence that the reduction in housing subsidy was capitalized into house prices. </w:t>
      </w:r>
      <w:r>
        <w:rPr>
          <w:rFonts w:ascii="Arial" w:hAnsi="Arial" w:cs="Arial"/>
          <w:lang w:val="en-GB"/>
        </w:rPr>
        <w:t>These findings in combination with data on the current situation on the Dutch housing market will form the basis of the prediction.</w:t>
      </w:r>
      <w:r w:rsidR="005B433B">
        <w:rPr>
          <w:rFonts w:ascii="Arial" w:hAnsi="Arial" w:cs="Arial"/>
          <w:lang w:val="en-GB"/>
        </w:rPr>
        <w:t xml:space="preserve"> </w:t>
      </w:r>
      <w:r w:rsidR="00BB185F">
        <w:rPr>
          <w:rFonts w:ascii="Arial" w:hAnsi="Arial" w:cs="Arial"/>
          <w:lang w:val="en-GB"/>
        </w:rPr>
        <w:t>The Dutch housing price development up until the full implementation of the policy reform in 2023 will be estimated</w:t>
      </w:r>
      <w:r w:rsidR="005B433B">
        <w:rPr>
          <w:rFonts w:ascii="Arial" w:hAnsi="Arial" w:cs="Arial"/>
          <w:lang w:val="en-GB"/>
        </w:rPr>
        <w:t xml:space="preserve"> </w:t>
      </w:r>
      <w:r w:rsidR="00BB185F">
        <w:rPr>
          <w:rFonts w:ascii="Arial" w:hAnsi="Arial" w:cs="Arial"/>
          <w:lang w:val="en-GB"/>
        </w:rPr>
        <w:t>u</w:t>
      </w:r>
      <w:r w:rsidR="005B433B">
        <w:rPr>
          <w:rFonts w:ascii="Arial" w:hAnsi="Arial" w:cs="Arial"/>
          <w:lang w:val="en-GB"/>
        </w:rPr>
        <w:t>sing a linear trend prediction</w:t>
      </w:r>
      <w:r w:rsidR="00BB185F">
        <w:rPr>
          <w:rFonts w:ascii="Arial" w:hAnsi="Arial" w:cs="Arial"/>
          <w:lang w:val="en-GB"/>
        </w:rPr>
        <w:t xml:space="preserve"> based on the housing prices in the period 2013-2018. Then the effect of the policy reform found in Denmark is used to predict the effect</w:t>
      </w:r>
      <w:r w:rsidR="00F03F00">
        <w:rPr>
          <w:rFonts w:ascii="Arial" w:hAnsi="Arial" w:cs="Arial"/>
          <w:lang w:val="en-GB"/>
        </w:rPr>
        <w:t xml:space="preserve"> on the housing prices</w:t>
      </w:r>
      <w:r w:rsidR="00BB185F">
        <w:rPr>
          <w:rFonts w:ascii="Arial" w:hAnsi="Arial" w:cs="Arial"/>
          <w:lang w:val="en-GB"/>
        </w:rPr>
        <w:t xml:space="preserve"> for the Netherlands.</w:t>
      </w:r>
      <w:r w:rsidR="00F03F00">
        <w:rPr>
          <w:rFonts w:ascii="Arial" w:hAnsi="Arial" w:cs="Arial"/>
          <w:lang w:val="en-GB"/>
        </w:rPr>
        <w:t xml:space="preserve"> Similarly, Dutch descriptive statistics on homeownership in combination with the findings for Denmark will be used to predict the effect of the policy reform on the homeownership rate in the Netherlands.</w:t>
      </w:r>
      <w:r w:rsidR="00BB185F">
        <w:rPr>
          <w:rFonts w:ascii="Arial" w:hAnsi="Arial" w:cs="Arial"/>
          <w:lang w:val="en-GB"/>
        </w:rPr>
        <w:t xml:space="preserve"> </w:t>
      </w:r>
      <w:r>
        <w:rPr>
          <w:rFonts w:ascii="Arial" w:hAnsi="Arial" w:cs="Arial"/>
          <w:lang w:val="en-GB"/>
        </w:rPr>
        <w:t xml:space="preserve">Based on this analysis, it is likely that the homeownership rate will remain constant while the average housing prices will decrease. </w:t>
      </w:r>
    </w:p>
    <w:p w14:paraId="299AC142" w14:textId="77777777" w:rsidR="007F043B" w:rsidRDefault="007F043B" w:rsidP="007F043B">
      <w:pPr>
        <w:pStyle w:val="Geenafstand"/>
        <w:spacing w:line="360" w:lineRule="auto"/>
        <w:jc w:val="both"/>
        <w:rPr>
          <w:rFonts w:ascii="Arial" w:hAnsi="Arial" w:cs="Arial"/>
          <w:lang w:val="en-GB"/>
        </w:rPr>
      </w:pPr>
    </w:p>
    <w:p w14:paraId="4A45190C" w14:textId="77777777" w:rsidR="00270462" w:rsidRDefault="007F043B" w:rsidP="00343A59">
      <w:pPr>
        <w:pStyle w:val="Geenafstand"/>
        <w:spacing w:line="360" w:lineRule="auto"/>
        <w:jc w:val="both"/>
        <w:rPr>
          <w:rFonts w:ascii="Arial" w:hAnsi="Arial" w:cs="Arial"/>
          <w:lang w:val="en-GB"/>
        </w:rPr>
      </w:pPr>
      <w:r>
        <w:rPr>
          <w:rFonts w:ascii="Arial" w:hAnsi="Arial" w:cs="Arial"/>
          <w:lang w:val="en-GB"/>
        </w:rPr>
        <w:t xml:space="preserve">The remainder of this paper is structured as follows. In </w:t>
      </w:r>
      <w:r w:rsidR="00840DD4">
        <w:rPr>
          <w:rFonts w:ascii="Arial" w:hAnsi="Arial" w:cs="Arial"/>
          <w:lang w:val="en-GB"/>
        </w:rPr>
        <w:t>s</w:t>
      </w:r>
      <w:r w:rsidR="0036367F">
        <w:rPr>
          <w:rFonts w:ascii="Arial" w:hAnsi="Arial" w:cs="Arial"/>
          <w:lang w:val="en-GB"/>
        </w:rPr>
        <w:t>ection</w:t>
      </w:r>
      <w:r>
        <w:rPr>
          <w:rFonts w:ascii="Arial" w:hAnsi="Arial" w:cs="Arial"/>
          <w:lang w:val="en-GB"/>
        </w:rPr>
        <w:t xml:space="preserve"> 2, general housing market theory will be discussed. </w:t>
      </w:r>
      <w:r w:rsidR="0036367F">
        <w:rPr>
          <w:rFonts w:ascii="Arial" w:hAnsi="Arial" w:cs="Arial"/>
          <w:lang w:val="en-GB"/>
        </w:rPr>
        <w:t>Section</w:t>
      </w:r>
      <w:r>
        <w:rPr>
          <w:rFonts w:ascii="Arial" w:hAnsi="Arial" w:cs="Arial"/>
          <w:lang w:val="en-GB"/>
        </w:rPr>
        <w:t xml:space="preserve"> 3 will provide the relevant findings from the existing literature on housing subsidy. </w:t>
      </w:r>
      <w:r w:rsidR="0036367F">
        <w:rPr>
          <w:rFonts w:ascii="Arial" w:hAnsi="Arial" w:cs="Arial"/>
          <w:lang w:val="en-GB"/>
        </w:rPr>
        <w:t>Section</w:t>
      </w:r>
      <w:r>
        <w:rPr>
          <w:rFonts w:ascii="Arial" w:hAnsi="Arial" w:cs="Arial"/>
          <w:lang w:val="en-GB"/>
        </w:rPr>
        <w:t xml:space="preserve"> 4 will provide the methodology used to answer the research </w:t>
      </w:r>
      <w:r>
        <w:rPr>
          <w:rFonts w:ascii="Arial" w:hAnsi="Arial" w:cs="Arial"/>
          <w:lang w:val="en-GB"/>
        </w:rPr>
        <w:lastRenderedPageBreak/>
        <w:t xml:space="preserve">question, followed by the data </w:t>
      </w:r>
      <w:r w:rsidR="0036367F">
        <w:rPr>
          <w:rFonts w:ascii="Arial" w:hAnsi="Arial" w:cs="Arial"/>
          <w:lang w:val="en-GB"/>
        </w:rPr>
        <w:t xml:space="preserve">in </w:t>
      </w:r>
      <w:r w:rsidR="00840DD4">
        <w:rPr>
          <w:rFonts w:ascii="Arial" w:hAnsi="Arial" w:cs="Arial"/>
          <w:lang w:val="en-GB"/>
        </w:rPr>
        <w:t>s</w:t>
      </w:r>
      <w:r>
        <w:rPr>
          <w:rFonts w:ascii="Arial" w:hAnsi="Arial" w:cs="Arial"/>
          <w:lang w:val="en-GB"/>
        </w:rPr>
        <w:t xml:space="preserve">ection 5. In </w:t>
      </w:r>
      <w:r w:rsidR="0036367F">
        <w:rPr>
          <w:rFonts w:ascii="Arial" w:hAnsi="Arial" w:cs="Arial"/>
          <w:lang w:val="en-GB"/>
        </w:rPr>
        <w:t>section</w:t>
      </w:r>
      <w:r>
        <w:rPr>
          <w:rFonts w:ascii="Arial" w:hAnsi="Arial" w:cs="Arial"/>
          <w:lang w:val="en-GB"/>
        </w:rPr>
        <w:t xml:space="preserve"> 6, the descriptive statistics will be discussed and </w:t>
      </w:r>
      <w:r w:rsidR="0036367F">
        <w:rPr>
          <w:rFonts w:ascii="Arial" w:hAnsi="Arial" w:cs="Arial"/>
          <w:lang w:val="en-GB"/>
        </w:rPr>
        <w:t>section</w:t>
      </w:r>
      <w:r>
        <w:rPr>
          <w:rFonts w:ascii="Arial" w:hAnsi="Arial" w:cs="Arial"/>
          <w:lang w:val="en-GB"/>
        </w:rPr>
        <w:t xml:space="preserve"> 7 will provide the </w:t>
      </w:r>
      <w:r w:rsidR="0036367F">
        <w:rPr>
          <w:rFonts w:ascii="Arial" w:hAnsi="Arial" w:cs="Arial"/>
          <w:lang w:val="en-GB"/>
        </w:rPr>
        <w:t>predictions and discussion</w:t>
      </w:r>
      <w:r>
        <w:rPr>
          <w:rFonts w:ascii="Arial" w:hAnsi="Arial" w:cs="Arial"/>
          <w:lang w:val="en-GB"/>
        </w:rPr>
        <w:t xml:space="preserve">. Finally, in </w:t>
      </w:r>
      <w:r w:rsidR="0036367F">
        <w:rPr>
          <w:rFonts w:ascii="Arial" w:hAnsi="Arial" w:cs="Arial"/>
          <w:lang w:val="en-GB"/>
        </w:rPr>
        <w:t>section</w:t>
      </w:r>
      <w:r>
        <w:rPr>
          <w:rFonts w:ascii="Arial" w:hAnsi="Arial" w:cs="Arial"/>
          <w:lang w:val="en-GB"/>
        </w:rPr>
        <w:t xml:space="preserve"> 8 the conclusion will be provided.</w:t>
      </w:r>
    </w:p>
    <w:p w14:paraId="3DD12939" w14:textId="58D04DCA" w:rsidR="009F2148" w:rsidRPr="00343A59" w:rsidRDefault="007F043B" w:rsidP="00270462">
      <w:pPr>
        <w:pStyle w:val="Geenafstand"/>
        <w:rPr>
          <w:lang w:val="en-GB"/>
        </w:rPr>
      </w:pPr>
      <w:r>
        <w:rPr>
          <w:lang w:val="en-GB"/>
        </w:rPr>
        <w:t xml:space="preserve"> </w:t>
      </w:r>
    </w:p>
    <w:p w14:paraId="1C2750E4" w14:textId="77777777" w:rsidR="007F043B" w:rsidRPr="009F2148" w:rsidRDefault="007F043B" w:rsidP="009F2148">
      <w:pPr>
        <w:pStyle w:val="Kop1"/>
        <w:ind w:firstLine="0"/>
        <w:rPr>
          <w:rFonts w:ascii="Arial" w:eastAsiaTheme="minorHAnsi" w:hAnsi="Arial" w:cs="Arial"/>
          <w:b/>
          <w:bCs/>
          <w:color w:val="auto"/>
          <w:sz w:val="24"/>
          <w:szCs w:val="24"/>
          <w:lang w:val="en-GB"/>
        </w:rPr>
      </w:pPr>
      <w:bookmarkStart w:id="2" w:name="_Toc14016523"/>
      <w:r w:rsidRPr="009F2148">
        <w:rPr>
          <w:rFonts w:ascii="Arial" w:hAnsi="Arial" w:cs="Arial"/>
          <w:b/>
          <w:bCs/>
          <w:color w:val="auto"/>
          <w:sz w:val="24"/>
          <w:szCs w:val="24"/>
          <w:lang w:val="en-GB"/>
        </w:rPr>
        <w:t>2 Housing Market Theory</w:t>
      </w:r>
      <w:bookmarkEnd w:id="2"/>
    </w:p>
    <w:p w14:paraId="2B5704DC" w14:textId="77777777" w:rsidR="007F043B" w:rsidRPr="00E765F2" w:rsidRDefault="007F043B" w:rsidP="007F043B">
      <w:pPr>
        <w:pStyle w:val="Geenafstand"/>
        <w:spacing w:line="360" w:lineRule="auto"/>
        <w:jc w:val="both"/>
        <w:rPr>
          <w:rFonts w:ascii="Arial" w:hAnsi="Arial" w:cs="Arial"/>
          <w:lang w:val="en-GB"/>
        </w:rPr>
      </w:pPr>
    </w:p>
    <w:p w14:paraId="44623115" w14:textId="77777777" w:rsidR="007F043B" w:rsidRDefault="007F043B" w:rsidP="007F043B">
      <w:pPr>
        <w:pStyle w:val="Geenafstand"/>
        <w:spacing w:line="360" w:lineRule="auto"/>
        <w:jc w:val="both"/>
        <w:rPr>
          <w:rFonts w:ascii="Arial" w:hAnsi="Arial" w:cs="Arial"/>
          <w:lang w:val="en-GB"/>
        </w:rPr>
      </w:pPr>
      <w:r w:rsidRPr="00474119">
        <w:rPr>
          <w:rFonts w:ascii="Arial" w:hAnsi="Arial" w:cs="Arial"/>
          <w:lang w:val="en-GB"/>
        </w:rPr>
        <w:t>In this section, economic t</w:t>
      </w:r>
      <w:r>
        <w:rPr>
          <w:rFonts w:ascii="Arial" w:hAnsi="Arial" w:cs="Arial"/>
          <w:lang w:val="en-GB"/>
        </w:rPr>
        <w:t xml:space="preserve">heory on the demand and supply side of the housing market and home mortgage interest deduction will be discussed using some equations and a graph. There is still some debate going on among economists on the true effect of this deduction. The different visions will be mentioned and explained. It is important to have some theoretical understanding of the housing market in order to be able to predict the potential effects that a reduction in mortgage interest deduction might have on housing prices and demand. </w:t>
      </w:r>
    </w:p>
    <w:p w14:paraId="0601BF36" w14:textId="77777777" w:rsidR="007F043B" w:rsidRPr="00474119" w:rsidRDefault="007F043B" w:rsidP="007F043B">
      <w:pPr>
        <w:pStyle w:val="Geenafstand"/>
        <w:spacing w:line="360" w:lineRule="auto"/>
        <w:jc w:val="both"/>
        <w:rPr>
          <w:rFonts w:ascii="Arial" w:hAnsi="Arial" w:cs="Arial"/>
          <w:lang w:val="en-GB"/>
        </w:rPr>
      </w:pPr>
    </w:p>
    <w:p w14:paraId="0C112029" w14:textId="77777777" w:rsidR="007F043B" w:rsidRPr="00474119" w:rsidRDefault="007F043B" w:rsidP="007F043B">
      <w:pPr>
        <w:pStyle w:val="Geenafstand"/>
        <w:spacing w:line="360" w:lineRule="auto"/>
        <w:jc w:val="both"/>
        <w:rPr>
          <w:rFonts w:ascii="Arial" w:hAnsi="Arial" w:cs="Arial"/>
          <w:lang w:val="en-GB"/>
        </w:rPr>
      </w:pPr>
      <w:r w:rsidRPr="00474119">
        <w:rPr>
          <w:rFonts w:ascii="Arial" w:hAnsi="Arial" w:cs="Arial"/>
          <w:lang w:val="en-GB"/>
        </w:rPr>
        <w:t>In a tax system that grants home mortgage interest deduction, homeowners can deduct their mortgage interest costs fr</w:t>
      </w:r>
      <w:r>
        <w:rPr>
          <w:rFonts w:ascii="Arial" w:hAnsi="Arial" w:cs="Arial"/>
          <w:lang w:val="en-GB"/>
        </w:rPr>
        <w:t>o</w:t>
      </w:r>
      <w:r w:rsidRPr="00474119">
        <w:rPr>
          <w:rFonts w:ascii="Arial" w:hAnsi="Arial" w:cs="Arial"/>
          <w:lang w:val="en-GB"/>
        </w:rPr>
        <w:t>m their tax base.</w:t>
      </w:r>
      <w:r>
        <w:rPr>
          <w:rFonts w:ascii="Arial" w:hAnsi="Arial" w:cs="Arial"/>
          <w:lang w:val="en-GB"/>
        </w:rPr>
        <w:t xml:space="preserve"> This makes that</w:t>
      </w:r>
      <w:r w:rsidRPr="00474119">
        <w:rPr>
          <w:rFonts w:ascii="Arial" w:hAnsi="Arial" w:cs="Arial"/>
          <w:lang w:val="en-GB"/>
        </w:rPr>
        <w:t xml:space="preserve"> the cost of homeownership are reduced. This effect of lowering cost increases with</w:t>
      </w:r>
      <w:r>
        <w:rPr>
          <w:rFonts w:ascii="Arial" w:hAnsi="Arial" w:cs="Arial"/>
          <w:lang w:val="en-GB"/>
        </w:rPr>
        <w:t xml:space="preserve"> the nominal interest rate and</w:t>
      </w:r>
      <w:r w:rsidRPr="00474119">
        <w:rPr>
          <w:rFonts w:ascii="Arial" w:hAnsi="Arial" w:cs="Arial"/>
          <w:lang w:val="en-GB"/>
        </w:rPr>
        <w:t xml:space="preserve"> the household’s marginal tax rate. Most countries employ a progressive tax system, where the marginal tax rate increases with income. In </w:t>
      </w:r>
      <w:r>
        <w:rPr>
          <w:rFonts w:ascii="Arial" w:hAnsi="Arial" w:cs="Arial"/>
          <w:lang w:val="en-GB"/>
        </w:rPr>
        <w:t>such</w:t>
      </w:r>
      <w:r w:rsidRPr="00474119">
        <w:rPr>
          <w:rFonts w:ascii="Arial" w:hAnsi="Arial" w:cs="Arial"/>
          <w:lang w:val="en-GB"/>
        </w:rPr>
        <w:t xml:space="preserve"> tax system</w:t>
      </w:r>
      <w:r>
        <w:rPr>
          <w:rFonts w:ascii="Arial" w:hAnsi="Arial" w:cs="Arial"/>
          <w:lang w:val="en-GB"/>
        </w:rPr>
        <w:t>s,</w:t>
      </w:r>
      <w:r w:rsidRPr="00474119">
        <w:rPr>
          <w:rFonts w:ascii="Arial" w:hAnsi="Arial" w:cs="Arial"/>
          <w:lang w:val="en-GB"/>
        </w:rPr>
        <w:t xml:space="preserve"> these deductions mainly benefit high-income households. Additionally, these user cost disparities distort consumer behaviour and create an increase in housing demand, which in turn could increase the housing prices </w:t>
      </w:r>
      <w:r>
        <w:rPr>
          <w:rFonts w:ascii="Arial" w:hAnsi="Arial" w:cs="Arial"/>
          <w:lang w:val="en-GB"/>
        </w:rPr>
        <w:t>(Poterba, 1992, pp. 1-4).</w:t>
      </w:r>
    </w:p>
    <w:p w14:paraId="080B7873" w14:textId="77777777" w:rsidR="007F043B" w:rsidRDefault="007F043B" w:rsidP="007F043B">
      <w:pPr>
        <w:pStyle w:val="Geenafstand"/>
        <w:spacing w:line="360" w:lineRule="auto"/>
        <w:jc w:val="both"/>
        <w:rPr>
          <w:rFonts w:ascii="Arial" w:hAnsi="Arial" w:cs="Arial"/>
          <w:lang w:val="en-GB"/>
        </w:rPr>
      </w:pPr>
    </w:p>
    <w:p w14:paraId="3B18860E" w14:textId="77777777" w:rsidR="007F043B" w:rsidRDefault="007F043B" w:rsidP="007F043B">
      <w:pPr>
        <w:pStyle w:val="Geenafstand"/>
        <w:spacing w:line="360" w:lineRule="auto"/>
        <w:jc w:val="both"/>
        <w:rPr>
          <w:rFonts w:ascii="Arial" w:hAnsi="Arial" w:cs="Arial"/>
          <w:lang w:val="en-GB"/>
        </w:rPr>
      </w:pPr>
      <w:r w:rsidRPr="00474119">
        <w:rPr>
          <w:rFonts w:ascii="Arial" w:hAnsi="Arial" w:cs="Arial"/>
          <w:lang w:val="en-GB"/>
        </w:rPr>
        <w:t>Economic theory states that the person who receives a subsidy is not necessarily the person who benefits from it, because subsidies can cause changes in economic behaviour, which in turn can affect market prices. This is known as tax shifting. The extent to which tax shifting is possible, depends on the relative elasticities of demand and supply. The lower the relative elasticity, the higher the tax incidence for that side of the market</w:t>
      </w:r>
      <w:r>
        <w:rPr>
          <w:rFonts w:ascii="Arial" w:hAnsi="Arial" w:cs="Arial"/>
          <w:lang w:val="en-GB"/>
        </w:rPr>
        <w:t xml:space="preserve"> (Jacobs, 2011, pp. 9-10).</w:t>
      </w:r>
      <w:r w:rsidRPr="00474119">
        <w:rPr>
          <w:rFonts w:ascii="Arial" w:hAnsi="Arial" w:cs="Arial"/>
          <w:lang w:val="en-GB"/>
        </w:rPr>
        <w:t xml:space="preserve"> </w:t>
      </w:r>
      <w:r>
        <w:rPr>
          <w:rFonts w:ascii="Arial" w:hAnsi="Arial" w:cs="Arial"/>
          <w:lang w:val="en-GB"/>
        </w:rPr>
        <w:t xml:space="preserve">The reason is that the relative inelastic side of the market does not have a strong response to price changes. This makes it easier to shift the tax to this side of the market without changing the quantity traded on the market too much. </w:t>
      </w:r>
    </w:p>
    <w:p w14:paraId="36DB9C5B" w14:textId="77777777" w:rsidR="007F043B" w:rsidRPr="00474119" w:rsidRDefault="007F043B" w:rsidP="007F043B">
      <w:pPr>
        <w:pStyle w:val="Geenafstand"/>
        <w:spacing w:line="360" w:lineRule="auto"/>
        <w:jc w:val="both"/>
        <w:rPr>
          <w:rFonts w:ascii="Arial" w:hAnsi="Arial" w:cs="Arial"/>
          <w:lang w:val="en-GB"/>
        </w:rPr>
      </w:pPr>
      <w:r w:rsidRPr="00474119">
        <w:rPr>
          <w:rFonts w:ascii="Arial" w:hAnsi="Arial" w:cs="Arial"/>
          <w:lang w:val="en-GB"/>
        </w:rPr>
        <w:t xml:space="preserve"> </w:t>
      </w:r>
    </w:p>
    <w:p w14:paraId="220A1DA9" w14:textId="77777777" w:rsidR="007F043B" w:rsidRDefault="007F043B" w:rsidP="007F043B">
      <w:pPr>
        <w:pStyle w:val="Geenafstand"/>
        <w:spacing w:line="360" w:lineRule="auto"/>
        <w:jc w:val="both"/>
        <w:rPr>
          <w:rFonts w:ascii="Arial" w:hAnsi="Arial" w:cs="Arial"/>
          <w:lang w:val="en-GB"/>
        </w:rPr>
      </w:pPr>
      <w:r w:rsidRPr="00474119">
        <w:rPr>
          <w:rFonts w:ascii="Arial" w:hAnsi="Arial" w:cs="Arial"/>
          <w:lang w:val="en-GB"/>
        </w:rPr>
        <w:t xml:space="preserve">Based on this economic theory, there are two main perceptions on the housing subsidy that homeowners receive. On the one hand, there are economists who argue that both demand and supply on the housing market are elastic. The demand side benefits from the subsidy because it reduces the costs of housing investment. Their reasoning is that a decrease in mortgage interest deduction will increase the cost of housing, which in turn negatively affects </w:t>
      </w:r>
      <w:r w:rsidRPr="00474119">
        <w:rPr>
          <w:rFonts w:ascii="Arial" w:hAnsi="Arial" w:cs="Arial"/>
          <w:lang w:val="en-GB"/>
        </w:rPr>
        <w:lastRenderedPageBreak/>
        <w:t>the economic preference for investment in housing relative to other forms of investment</w:t>
      </w:r>
      <w:r>
        <w:rPr>
          <w:rFonts w:ascii="Arial" w:hAnsi="Arial" w:cs="Arial"/>
          <w:lang w:val="en-GB"/>
        </w:rPr>
        <w:t xml:space="preserve"> (Mann, 2000, pp. 1387-1388). </w:t>
      </w:r>
      <w:r w:rsidRPr="00474119">
        <w:rPr>
          <w:rFonts w:ascii="Arial" w:hAnsi="Arial" w:cs="Arial"/>
          <w:lang w:val="en-GB"/>
        </w:rPr>
        <w:t>Hence, the demand for owner-occupied housing will decrease and this will decrease the prices of these houses. However, the supply of housing is flexible and thus the change in prices would only be short-term. In the long run, the supply of housing will adjust and the effect on</w:t>
      </w:r>
      <w:r>
        <w:rPr>
          <w:rFonts w:ascii="Arial" w:hAnsi="Arial" w:cs="Arial"/>
          <w:lang w:val="en-GB"/>
        </w:rPr>
        <w:t xml:space="preserve"> producer</w:t>
      </w:r>
      <w:r w:rsidRPr="00474119">
        <w:rPr>
          <w:rFonts w:ascii="Arial" w:hAnsi="Arial" w:cs="Arial"/>
          <w:lang w:val="en-GB"/>
        </w:rPr>
        <w:t xml:space="preserve"> prices will be minimal. As a consequence, it will be more expensive for individuals to buy a house, because they no longer receive the subsidy</w:t>
      </w:r>
      <w:r>
        <w:rPr>
          <w:rFonts w:ascii="Arial" w:hAnsi="Arial" w:cs="Arial"/>
          <w:lang w:val="en-GB"/>
        </w:rPr>
        <w:t xml:space="preserve"> and the consumer price increases</w:t>
      </w:r>
      <w:r w:rsidRPr="00474119">
        <w:rPr>
          <w:rFonts w:ascii="Arial" w:hAnsi="Arial" w:cs="Arial"/>
          <w:lang w:val="en-GB"/>
        </w:rPr>
        <w:t>.</w:t>
      </w:r>
    </w:p>
    <w:p w14:paraId="7920A49F" w14:textId="77777777" w:rsidR="007F043B" w:rsidRDefault="007F043B" w:rsidP="007F043B">
      <w:pPr>
        <w:pStyle w:val="Geenafstand"/>
        <w:spacing w:line="360" w:lineRule="auto"/>
        <w:jc w:val="both"/>
        <w:rPr>
          <w:rFonts w:ascii="Arial" w:hAnsi="Arial" w:cs="Arial"/>
          <w:lang w:val="en-GB"/>
        </w:rPr>
      </w:pPr>
    </w:p>
    <w:p w14:paraId="74586BDC" w14:textId="77777777" w:rsidR="007F043B" w:rsidRDefault="007F043B" w:rsidP="007F043B">
      <w:pPr>
        <w:pStyle w:val="Geenafstand"/>
        <w:spacing w:line="360" w:lineRule="auto"/>
        <w:jc w:val="both"/>
        <w:rPr>
          <w:rFonts w:ascii="Arial" w:hAnsi="Arial" w:cs="Arial"/>
          <w:lang w:val="en-GB"/>
        </w:rPr>
      </w:pPr>
      <w:r w:rsidRPr="00474119">
        <w:rPr>
          <w:rFonts w:ascii="Arial" w:hAnsi="Arial" w:cs="Arial"/>
          <w:lang w:val="en-GB"/>
        </w:rPr>
        <w:t>Other economists argue that the supply side of the housing market i</w:t>
      </w:r>
      <w:r>
        <w:rPr>
          <w:rFonts w:ascii="Arial" w:hAnsi="Arial" w:cs="Arial"/>
          <w:lang w:val="en-GB"/>
        </w:rPr>
        <w:t>s</w:t>
      </w:r>
      <w:r w:rsidRPr="00474119">
        <w:rPr>
          <w:rFonts w:ascii="Arial" w:hAnsi="Arial" w:cs="Arial"/>
          <w:lang w:val="en-GB"/>
        </w:rPr>
        <w:t xml:space="preserve"> inelastic, because of the inelasticity of the supply of land. At the same time, the demand side is elastic and thus sensitive to changes in prices. Hence, only the supply side of the housing market benefits f</w:t>
      </w:r>
      <w:r>
        <w:rPr>
          <w:rFonts w:ascii="Arial" w:hAnsi="Arial" w:cs="Arial"/>
          <w:lang w:val="en-GB"/>
        </w:rPr>
        <w:t>rom</w:t>
      </w:r>
      <w:r w:rsidRPr="00474119">
        <w:rPr>
          <w:rFonts w:ascii="Arial" w:hAnsi="Arial" w:cs="Arial"/>
          <w:lang w:val="en-GB"/>
        </w:rPr>
        <w:t xml:space="preserve"> these homeowner subsidies. A repeal of home mortgage interest deduction and property tax deduction will make investment in owner-occupied housing more expensive, which will lead to a decrease in housing demand. But supply cannot adjust and as a result, the prices will decrease in the long run</w:t>
      </w:r>
      <w:r>
        <w:rPr>
          <w:rFonts w:ascii="Arial" w:hAnsi="Arial" w:cs="Arial"/>
          <w:lang w:val="en-GB"/>
        </w:rPr>
        <w:t xml:space="preserve"> (Mann, 2000, pp. 1388-1390).</w:t>
      </w:r>
      <w:r w:rsidRPr="00474119">
        <w:rPr>
          <w:rFonts w:ascii="Arial" w:hAnsi="Arial" w:cs="Arial"/>
          <w:lang w:val="en-GB"/>
        </w:rPr>
        <w:t xml:space="preserve"> </w:t>
      </w:r>
    </w:p>
    <w:p w14:paraId="7F2EB9C0" w14:textId="77777777" w:rsidR="007F043B" w:rsidRDefault="007F043B" w:rsidP="007F043B">
      <w:pPr>
        <w:pStyle w:val="Geenafstand"/>
        <w:spacing w:line="360" w:lineRule="auto"/>
        <w:jc w:val="both"/>
        <w:rPr>
          <w:rFonts w:ascii="Arial" w:hAnsi="Arial" w:cs="Arial"/>
          <w:lang w:val="en-GB"/>
        </w:rPr>
      </w:pPr>
    </w:p>
    <w:p w14:paraId="3E98EB11"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The view that the supply side of the housing market is more or less inelastic </w:t>
      </w:r>
      <w:r w:rsidRPr="00B41927">
        <w:rPr>
          <w:rFonts w:ascii="Arial" w:hAnsi="Arial" w:cs="Arial"/>
          <w:lang w:val="en-GB"/>
        </w:rPr>
        <w:t>is agreed upon by most economists</w:t>
      </w:r>
      <w:r>
        <w:rPr>
          <w:rFonts w:ascii="Arial" w:hAnsi="Arial" w:cs="Arial"/>
          <w:lang w:val="en-GB"/>
        </w:rPr>
        <w:t xml:space="preserve"> (Mann, 2000, pp. 1384-1386)</w:t>
      </w:r>
      <w:r w:rsidRPr="00B41927">
        <w:rPr>
          <w:rFonts w:ascii="Arial" w:hAnsi="Arial" w:cs="Arial"/>
          <w:lang w:val="en-GB"/>
        </w:rPr>
        <w:t>.</w:t>
      </w:r>
      <w:r>
        <w:rPr>
          <w:rFonts w:ascii="Arial" w:hAnsi="Arial" w:cs="Arial"/>
          <w:lang w:val="en-GB"/>
        </w:rPr>
        <w:t xml:space="preserve"> Hence, this economic perception will be used when determining the effect of home mortgage interest deduction on the housing market. By adopting the general market modelling in Jacobs (2011), a model of demand and supply of the housing market can be developed that allows for explaining the effect that the subsidy has on the housing market in theory.</w:t>
      </w:r>
    </w:p>
    <w:p w14:paraId="0B7ECFCF" w14:textId="77777777" w:rsidR="007F043B" w:rsidRDefault="007F043B" w:rsidP="007F043B">
      <w:pPr>
        <w:pStyle w:val="Geenafstand"/>
        <w:spacing w:line="360" w:lineRule="auto"/>
        <w:jc w:val="both"/>
        <w:rPr>
          <w:rFonts w:ascii="Arial" w:hAnsi="Arial" w:cs="Arial"/>
          <w:lang w:val="en-GB"/>
        </w:rPr>
      </w:pPr>
    </w:p>
    <w:p w14:paraId="1AF6E981"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Basic economic theory states that equilibrium prices and quantities in a market are determined by demand and supply. This will also be the starting point for the housing market model. Demand and supply are functions of the housing prices, where the housing subsidy that is given to homeowners needs to be taken into account. The demand side of the market receives a subsidy in the form of mortgage interest deduction. These housing subsidies create a wedge between the housing price received by the supply side of the market and the actual financing cost of housing paid by the demand side.</w:t>
      </w:r>
    </w:p>
    <w:p w14:paraId="0D68C146" w14:textId="77777777" w:rsidR="007F043B" w:rsidRDefault="007F043B" w:rsidP="007F043B">
      <w:pPr>
        <w:pStyle w:val="Geenafstand"/>
        <w:spacing w:line="360" w:lineRule="auto"/>
        <w:jc w:val="both"/>
        <w:rPr>
          <w:rFonts w:ascii="Arial" w:hAnsi="Arial" w:cs="Arial"/>
          <w:lang w:val="en-GB"/>
        </w:rPr>
      </w:pPr>
    </w:p>
    <w:p w14:paraId="06CB51E1"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Housing supply </w:t>
      </w:r>
      <m:oMath>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s</m:t>
            </m:r>
          </m:sup>
        </m:sSup>
      </m:oMath>
      <w:r>
        <w:rPr>
          <w:rFonts w:ascii="Arial" w:hAnsi="Arial" w:cs="Arial"/>
          <w:lang w:val="en-GB"/>
        </w:rPr>
        <w:t xml:space="preserve"> is a function of the producer price of housing </w:t>
      </w:r>
      <m:oMath>
        <m:r>
          <w:rPr>
            <w:rFonts w:ascii="Cambria Math" w:hAnsi="Cambria Math" w:cs="Arial"/>
            <w:lang w:val="en-GB"/>
          </w:rPr>
          <m:t>ρ</m:t>
        </m:r>
      </m:oMath>
      <w:r>
        <w:rPr>
          <w:rFonts w:ascii="Arial" w:hAnsi="Arial" w:cs="Arial"/>
          <w:lang w:val="en-GB"/>
        </w:rPr>
        <w:t xml:space="preserve"> of the following form:</w:t>
      </w:r>
    </w:p>
    <w:p w14:paraId="4110E819" w14:textId="77777777" w:rsidR="007F043B" w:rsidRDefault="007F043B" w:rsidP="007F043B">
      <w:pPr>
        <w:pStyle w:val="Geenafstand"/>
        <w:spacing w:line="360" w:lineRule="auto"/>
        <w:jc w:val="both"/>
        <w:rPr>
          <w:rFonts w:ascii="Arial" w:hAnsi="Arial" w:cs="Arial"/>
          <w:lang w:val="en-GB"/>
        </w:rPr>
      </w:pPr>
    </w:p>
    <w:p w14:paraId="40A4EC3C" w14:textId="77777777" w:rsidR="007F043B" w:rsidRPr="005170D4" w:rsidRDefault="007F043B" w:rsidP="007F043B">
      <w:pPr>
        <w:pStyle w:val="Geenafstand"/>
        <w:spacing w:line="360" w:lineRule="auto"/>
        <w:jc w:val="right"/>
        <w:rPr>
          <w:rFonts w:ascii="Arial" w:hAnsi="Arial" w:cs="Arial"/>
          <w:lang w:val="en-GB"/>
        </w:rPr>
      </w:pPr>
      <w:r>
        <w:rPr>
          <w:rFonts w:ascii="Arial" w:eastAsiaTheme="minorEastAsia" w:hAnsi="Arial" w:cs="Arial"/>
          <w:lang w:val="en-GB"/>
        </w:rPr>
        <w:t xml:space="preserve">  </w:t>
      </w:r>
      <w:r>
        <w:rPr>
          <w:rFonts w:ascii="Arial" w:eastAsiaTheme="minorEastAsia" w:hAnsi="Arial" w:cs="Arial"/>
          <w:lang w:val="en-GB"/>
        </w:rPr>
        <w:tab/>
      </w:r>
      <w:r>
        <w:rPr>
          <w:rFonts w:ascii="Arial" w:eastAsiaTheme="minorEastAsia" w:hAnsi="Arial" w:cs="Arial"/>
          <w:lang w:val="en-GB"/>
        </w:rPr>
        <w:tab/>
        <w:t xml:space="preserve">   </w:t>
      </w:r>
      <m:oMath>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s</m:t>
            </m:r>
          </m:sup>
        </m:sSup>
        <m:r>
          <w:rPr>
            <w:rFonts w:ascii="Cambria Math" w:hAnsi="Cambria Math" w:cs="Arial"/>
            <w:lang w:val="en-GB"/>
          </w:rPr>
          <m:t xml:space="preserve">≡ </m:t>
        </m:r>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s</m:t>
            </m:r>
          </m:sup>
        </m:sSup>
        <m:d>
          <m:dPr>
            <m:ctrlPr>
              <w:rPr>
                <w:rFonts w:ascii="Cambria Math" w:hAnsi="Cambria Math" w:cs="Arial"/>
                <w:i/>
                <w:lang w:val="en-GB"/>
              </w:rPr>
            </m:ctrlPr>
          </m:dPr>
          <m:e>
            <m:r>
              <w:rPr>
                <w:rFonts w:ascii="Cambria Math" w:hAnsi="Cambria Math" w:cs="Arial"/>
                <w:lang w:val="en-GB"/>
              </w:rPr>
              <m:t>ρ</m:t>
            </m:r>
          </m:e>
        </m:d>
        <m:r>
          <w:rPr>
            <w:rFonts w:ascii="Cambria Math" w:hAnsi="Cambria Math" w:cs="Arial"/>
            <w:lang w:val="en-GB"/>
          </w:rPr>
          <m:t>=</m:t>
        </m:r>
        <m:sSup>
          <m:sSupPr>
            <m:ctrlPr>
              <w:rPr>
                <w:rFonts w:ascii="Cambria Math" w:hAnsi="Cambria Math" w:cs="Arial"/>
                <w:i/>
                <w:lang w:val="en-GB"/>
              </w:rPr>
            </m:ctrlPr>
          </m:sSupPr>
          <m:e>
            <m:acc>
              <m:accPr>
                <m:chr m:val="̅"/>
                <m:ctrlPr>
                  <w:rPr>
                    <w:rFonts w:ascii="Cambria Math" w:hAnsi="Cambria Math" w:cs="Arial"/>
                    <w:i/>
                    <w:lang w:val="en-GB"/>
                  </w:rPr>
                </m:ctrlPr>
              </m:accPr>
              <m:e>
                <m:r>
                  <w:rPr>
                    <w:rFonts w:ascii="Cambria Math" w:hAnsi="Cambria Math" w:cs="Arial"/>
                    <w:lang w:val="en-GB"/>
                  </w:rPr>
                  <m:t>H</m:t>
                </m:r>
              </m:e>
            </m:acc>
          </m:e>
          <m:sup>
            <m:r>
              <w:rPr>
                <w:rFonts w:ascii="Cambria Math" w:hAnsi="Cambria Math" w:cs="Arial"/>
                <w:lang w:val="en-GB"/>
              </w:rPr>
              <m:t>s</m:t>
            </m:r>
          </m:sup>
        </m:sSup>
      </m:oMath>
      <w:r>
        <w:rPr>
          <w:rFonts w:ascii="Arial" w:hAnsi="Arial" w:cs="Arial"/>
          <w:lang w:val="en-GB"/>
        </w:rPr>
        <w:t xml:space="preserve">                                                              (1)</w:t>
      </w:r>
    </w:p>
    <w:p w14:paraId="12079BE2" w14:textId="77777777" w:rsidR="007F043B" w:rsidRDefault="007F043B" w:rsidP="007F043B">
      <w:pPr>
        <w:pStyle w:val="Geenafstand"/>
        <w:spacing w:line="360" w:lineRule="auto"/>
        <w:jc w:val="both"/>
        <w:rPr>
          <w:rFonts w:ascii="Arial" w:hAnsi="Arial" w:cs="Arial"/>
          <w:lang w:val="en-GB"/>
        </w:rPr>
      </w:pPr>
    </w:p>
    <w:p w14:paraId="48F3D7A9"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The price </w:t>
      </w:r>
      <m:oMath>
        <m:r>
          <w:rPr>
            <w:rFonts w:ascii="Cambria Math" w:hAnsi="Cambria Math" w:cs="Arial"/>
            <w:lang w:val="en-GB"/>
          </w:rPr>
          <m:t>ρ</m:t>
        </m:r>
      </m:oMath>
      <w:r>
        <w:rPr>
          <w:rFonts w:ascii="Arial" w:hAnsi="Arial" w:cs="Arial"/>
          <w:lang w:val="en-GB"/>
        </w:rPr>
        <w:t xml:space="preserve"> is the price that the seller of the house receives on the market. As mentioned previously, the supply of houses is fixed because the amount of land available for housing is </w:t>
      </w:r>
      <w:r>
        <w:rPr>
          <w:rFonts w:ascii="Arial" w:hAnsi="Arial" w:cs="Arial"/>
          <w:lang w:val="en-GB"/>
        </w:rPr>
        <w:lastRenderedPageBreak/>
        <w:t xml:space="preserve">constant. This means that supply </w:t>
      </w:r>
      <m:oMath>
        <m:sSup>
          <m:sSupPr>
            <m:ctrlPr>
              <w:rPr>
                <w:rFonts w:ascii="Cambria Math" w:hAnsi="Cambria Math" w:cs="Arial"/>
                <w:i/>
                <w:lang w:val="en-GB"/>
              </w:rPr>
            </m:ctrlPr>
          </m:sSupPr>
          <m:e>
            <m:acc>
              <m:accPr>
                <m:chr m:val="̅"/>
                <m:ctrlPr>
                  <w:rPr>
                    <w:rFonts w:ascii="Cambria Math" w:hAnsi="Cambria Math" w:cs="Arial"/>
                    <w:i/>
                    <w:lang w:val="en-GB"/>
                  </w:rPr>
                </m:ctrlPr>
              </m:accPr>
              <m:e>
                <m:r>
                  <w:rPr>
                    <w:rFonts w:ascii="Cambria Math" w:hAnsi="Cambria Math" w:cs="Arial"/>
                    <w:lang w:val="en-GB"/>
                  </w:rPr>
                  <m:t>H</m:t>
                </m:r>
              </m:e>
            </m:acc>
          </m:e>
          <m:sup>
            <m:r>
              <w:rPr>
                <w:rFonts w:ascii="Cambria Math" w:hAnsi="Cambria Math" w:cs="Arial"/>
                <w:lang w:val="en-GB"/>
              </w:rPr>
              <m:t>s</m:t>
            </m:r>
          </m:sup>
        </m:sSup>
        <m:r>
          <w:rPr>
            <w:rFonts w:ascii="Cambria Math" w:hAnsi="Cambria Math" w:cs="Arial"/>
            <w:lang w:val="en-GB"/>
          </w:rPr>
          <m:t xml:space="preserve"> </m:t>
        </m:r>
      </m:oMath>
      <w:r>
        <w:rPr>
          <w:rFonts w:ascii="Arial" w:hAnsi="Arial" w:cs="Arial"/>
          <w:lang w:val="en-GB"/>
        </w:rPr>
        <w:t xml:space="preserve">is perfectly inelastic; hence, the supply curve is vertical and insensitive to price changes.  </w:t>
      </w:r>
    </w:p>
    <w:p w14:paraId="4BE6F65C" w14:textId="77777777" w:rsidR="007F043B" w:rsidRDefault="007F043B" w:rsidP="007F043B">
      <w:pPr>
        <w:pStyle w:val="Geenafstand"/>
        <w:spacing w:line="360" w:lineRule="auto"/>
        <w:jc w:val="both"/>
        <w:rPr>
          <w:rFonts w:ascii="Arial" w:hAnsi="Arial" w:cs="Arial"/>
          <w:lang w:val="en-GB"/>
        </w:rPr>
      </w:pPr>
    </w:p>
    <w:p w14:paraId="7686169D"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Housing demand </w:t>
      </w:r>
      <m:oMath>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d</m:t>
            </m:r>
          </m:sup>
        </m:sSup>
        <m:r>
          <w:rPr>
            <w:rFonts w:ascii="Cambria Math" w:hAnsi="Cambria Math" w:cs="Arial"/>
            <w:lang w:val="en-GB"/>
          </w:rPr>
          <m:t xml:space="preserve"> </m:t>
        </m:r>
      </m:oMath>
      <w:r>
        <w:rPr>
          <w:rFonts w:ascii="Arial" w:hAnsi="Arial" w:cs="Arial"/>
          <w:lang w:val="en-GB"/>
        </w:rPr>
        <w:t xml:space="preserve">is a function of the consumer price of housing </w:t>
      </w:r>
      <m:oMath>
        <m:r>
          <w:rPr>
            <w:rFonts w:ascii="Cambria Math" w:hAnsi="Cambria Math" w:cs="Arial"/>
            <w:lang w:val="en-GB"/>
          </w:rPr>
          <m:t>p</m:t>
        </m:r>
      </m:oMath>
      <w:r>
        <w:rPr>
          <w:rFonts w:ascii="Arial" w:hAnsi="Arial" w:cs="Arial"/>
          <w:lang w:val="en-GB"/>
        </w:rPr>
        <w:t xml:space="preserve"> of the following form:</w:t>
      </w:r>
    </w:p>
    <w:p w14:paraId="111E7428" w14:textId="77777777" w:rsidR="007F043B" w:rsidRDefault="007F043B" w:rsidP="007F043B">
      <w:pPr>
        <w:pStyle w:val="Geenafstand"/>
        <w:spacing w:line="360" w:lineRule="auto"/>
        <w:jc w:val="both"/>
        <w:rPr>
          <w:rFonts w:ascii="Arial" w:hAnsi="Arial" w:cs="Arial"/>
          <w:lang w:val="en-GB"/>
        </w:rPr>
      </w:pPr>
    </w:p>
    <w:p w14:paraId="585AE464" w14:textId="77777777" w:rsidR="007F043B" w:rsidRDefault="00BD50E1" w:rsidP="007F043B">
      <w:pPr>
        <w:pStyle w:val="Geenafstand"/>
        <w:spacing w:line="360" w:lineRule="auto"/>
        <w:jc w:val="right"/>
        <w:rPr>
          <w:rFonts w:ascii="Arial" w:hAnsi="Arial" w:cs="Arial"/>
          <w:lang w:val="en-GB"/>
        </w:rPr>
      </w:pPr>
      <m:oMath>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d</m:t>
            </m:r>
          </m:sup>
        </m:sSup>
        <m:r>
          <w:rPr>
            <w:rFonts w:ascii="Cambria Math" w:hAnsi="Cambria Math" w:cs="Arial"/>
            <w:lang w:val="en-GB"/>
          </w:rPr>
          <m:t xml:space="preserve">≡ </m:t>
        </m:r>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 xml:space="preserve">d </m:t>
            </m:r>
          </m:sup>
        </m:sSup>
        <m:r>
          <w:rPr>
            <w:rFonts w:ascii="Cambria Math" w:hAnsi="Cambria Math" w:cs="Arial"/>
            <w:lang w:val="en-GB"/>
          </w:rPr>
          <m:t>(p)</m:t>
        </m:r>
      </m:oMath>
      <w:r w:rsidR="007F043B">
        <w:rPr>
          <w:rFonts w:ascii="Arial" w:eastAsiaTheme="minorEastAsia" w:hAnsi="Arial" w:cs="Arial"/>
          <w:lang w:val="en-GB"/>
        </w:rPr>
        <w:t xml:space="preserve">                                                                    (2)</w:t>
      </w:r>
    </w:p>
    <w:p w14:paraId="31F8C392" w14:textId="77777777" w:rsidR="007F043B" w:rsidRDefault="007F043B" w:rsidP="007F043B">
      <w:pPr>
        <w:pStyle w:val="Geenafstand"/>
        <w:spacing w:line="360" w:lineRule="auto"/>
        <w:jc w:val="both"/>
        <w:rPr>
          <w:rFonts w:ascii="Arial" w:hAnsi="Arial" w:cs="Arial"/>
          <w:lang w:val="en-GB"/>
        </w:rPr>
      </w:pPr>
    </w:p>
    <w:p w14:paraId="2F737974"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Demand decreases when prices increase, hence the demand curve is downward sloping. Households will substitute homeownership for rental housing if the housing prices get too high.  </w:t>
      </w:r>
    </w:p>
    <w:p w14:paraId="7C072091"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The quantity demanded depends on the consumer prices for housing, which means that the subsidy that homeowners receive is accounted for. Hence, the consumer housing prices are a function of the producer prices for housing </w:t>
      </w:r>
      <m:oMath>
        <m:r>
          <w:rPr>
            <w:rFonts w:ascii="Cambria Math" w:hAnsi="Cambria Math" w:cs="Arial"/>
            <w:lang w:val="en-GB"/>
          </w:rPr>
          <m:t>ρ</m:t>
        </m:r>
      </m:oMath>
      <w:r>
        <w:rPr>
          <w:rFonts w:ascii="Arial" w:hAnsi="Arial" w:cs="Arial"/>
          <w:lang w:val="en-GB"/>
        </w:rPr>
        <w:t xml:space="preserve"> minus the tax benefit </w:t>
      </w:r>
      <m:oMath>
        <m:r>
          <w:rPr>
            <w:rFonts w:ascii="Cambria Math" w:hAnsi="Cambria Math" w:cs="Arial"/>
            <w:lang w:val="en-GB"/>
          </w:rPr>
          <m:t>s</m:t>
        </m:r>
      </m:oMath>
      <w:r>
        <w:rPr>
          <w:rFonts w:ascii="Arial" w:hAnsi="Arial" w:cs="Arial"/>
          <w:lang w:val="en-GB"/>
        </w:rPr>
        <w:t xml:space="preserve"> of the following form:</w:t>
      </w:r>
    </w:p>
    <w:p w14:paraId="38795B2E" w14:textId="77777777" w:rsidR="007F043B" w:rsidRDefault="007F043B" w:rsidP="007F043B">
      <w:pPr>
        <w:pStyle w:val="Geenafstand"/>
        <w:spacing w:line="360" w:lineRule="auto"/>
        <w:jc w:val="both"/>
        <w:rPr>
          <w:rFonts w:ascii="Arial" w:hAnsi="Arial" w:cs="Arial"/>
          <w:lang w:val="en-GB"/>
        </w:rPr>
      </w:pPr>
    </w:p>
    <w:p w14:paraId="22ABBAF8" w14:textId="77777777" w:rsidR="007F043B" w:rsidRDefault="007F043B" w:rsidP="007F043B">
      <w:pPr>
        <w:pStyle w:val="Geenafstand"/>
        <w:spacing w:line="360" w:lineRule="auto"/>
        <w:jc w:val="right"/>
        <w:rPr>
          <w:rFonts w:ascii="Arial" w:hAnsi="Arial" w:cs="Arial"/>
          <w:lang w:val="en-GB"/>
        </w:rPr>
      </w:pPr>
      <m:oMath>
        <m:r>
          <w:rPr>
            <w:rFonts w:ascii="Cambria Math" w:hAnsi="Cambria Math" w:cs="Arial"/>
            <w:lang w:val="en-GB"/>
          </w:rPr>
          <m:t>p=</m:t>
        </m:r>
        <m:d>
          <m:dPr>
            <m:ctrlPr>
              <w:rPr>
                <w:rFonts w:ascii="Cambria Math" w:hAnsi="Cambria Math" w:cs="Arial"/>
                <w:i/>
                <w:lang w:val="en-GB"/>
              </w:rPr>
            </m:ctrlPr>
          </m:dPr>
          <m:e>
            <m:r>
              <w:rPr>
                <w:rFonts w:ascii="Cambria Math" w:hAnsi="Cambria Math" w:cs="Arial"/>
                <w:lang w:val="en-GB"/>
              </w:rPr>
              <m:t>1-s</m:t>
            </m:r>
          </m:e>
        </m:d>
        <m:r>
          <w:rPr>
            <w:rFonts w:ascii="Cambria Math" w:hAnsi="Cambria Math" w:cs="Arial"/>
            <w:lang w:val="en-GB"/>
          </w:rPr>
          <m:t>* ρ</m:t>
        </m:r>
      </m:oMath>
      <w:r>
        <w:rPr>
          <w:rFonts w:ascii="Arial" w:eastAsiaTheme="minorEastAsia" w:hAnsi="Arial" w:cs="Arial"/>
          <w:lang w:val="en-GB"/>
        </w:rPr>
        <w:t xml:space="preserve">                                                               (3)</w:t>
      </w:r>
    </w:p>
    <w:p w14:paraId="31308BF8" w14:textId="77777777" w:rsidR="007F043B" w:rsidRDefault="007F043B" w:rsidP="007F043B">
      <w:pPr>
        <w:pStyle w:val="Geenafstand"/>
        <w:spacing w:line="360" w:lineRule="auto"/>
        <w:jc w:val="both"/>
        <w:rPr>
          <w:rFonts w:ascii="Arial" w:hAnsi="Arial" w:cs="Arial"/>
          <w:lang w:val="en-GB"/>
        </w:rPr>
      </w:pPr>
    </w:p>
    <w:p w14:paraId="2E7674B3"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The subsidy lowers the real financing cost of housing and thus affects the quantity of houses demanded. The size of this tax benefit determines the difference between the price that the supply side receives and the real price the demand side pays after they receive the subsidy. </w:t>
      </w:r>
    </w:p>
    <w:p w14:paraId="1167B512" w14:textId="77777777" w:rsidR="007F043B" w:rsidRDefault="007F043B" w:rsidP="007F043B">
      <w:pPr>
        <w:pStyle w:val="Geenafstand"/>
        <w:spacing w:line="360" w:lineRule="auto"/>
        <w:jc w:val="both"/>
        <w:rPr>
          <w:rFonts w:ascii="Arial" w:hAnsi="Arial" w:cs="Arial"/>
          <w:lang w:val="en-GB"/>
        </w:rPr>
      </w:pPr>
    </w:p>
    <w:p w14:paraId="529A364D"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In order for the housing market to be in equilibrium, demand should equal supply:</w:t>
      </w:r>
    </w:p>
    <w:p w14:paraId="0121FBBF" w14:textId="77777777" w:rsidR="007F043B" w:rsidRDefault="007F043B" w:rsidP="007F043B">
      <w:pPr>
        <w:pStyle w:val="Geenafstand"/>
        <w:spacing w:line="360" w:lineRule="auto"/>
        <w:jc w:val="both"/>
        <w:rPr>
          <w:rFonts w:ascii="Arial" w:hAnsi="Arial" w:cs="Arial"/>
          <w:lang w:val="en-GB"/>
        </w:rPr>
      </w:pPr>
    </w:p>
    <w:p w14:paraId="0FC384B7" w14:textId="77777777" w:rsidR="007F043B" w:rsidRDefault="007F043B" w:rsidP="007F043B">
      <w:pPr>
        <w:pStyle w:val="Geenafstand"/>
        <w:spacing w:line="360" w:lineRule="auto"/>
        <w:jc w:val="right"/>
        <w:rPr>
          <w:rFonts w:ascii="Arial" w:hAnsi="Arial" w:cs="Arial"/>
          <w:lang w:val="en-GB"/>
        </w:rPr>
      </w:pPr>
      <m:oMath>
        <m:r>
          <w:rPr>
            <w:rFonts w:ascii="Cambria Math" w:hAnsi="Cambria Math" w:cs="Arial"/>
            <w:lang w:val="en-GB"/>
          </w:rPr>
          <m:t xml:space="preserve">H= </m:t>
        </m:r>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 xml:space="preserve">s </m:t>
            </m:r>
          </m:sup>
        </m:sSup>
        <m:d>
          <m:dPr>
            <m:ctrlPr>
              <w:rPr>
                <w:rFonts w:ascii="Cambria Math" w:hAnsi="Cambria Math" w:cs="Arial"/>
                <w:i/>
                <w:lang w:val="en-GB"/>
              </w:rPr>
            </m:ctrlPr>
          </m:dPr>
          <m:e>
            <m:r>
              <w:rPr>
                <w:rFonts w:ascii="Cambria Math" w:hAnsi="Cambria Math" w:cs="Arial"/>
                <w:lang w:val="en-GB"/>
              </w:rPr>
              <m:t>ρ</m:t>
            </m:r>
          </m:e>
        </m:d>
        <m:r>
          <w:rPr>
            <w:rFonts w:ascii="Cambria Math" w:hAnsi="Cambria Math" w:cs="Arial"/>
            <w:lang w:val="en-GB"/>
          </w:rPr>
          <m:t>=</m:t>
        </m:r>
        <m:sSup>
          <m:sSupPr>
            <m:ctrlPr>
              <w:rPr>
                <w:rFonts w:ascii="Cambria Math" w:hAnsi="Cambria Math" w:cs="Arial"/>
                <w:i/>
                <w:lang w:val="en-GB"/>
              </w:rPr>
            </m:ctrlPr>
          </m:sSupPr>
          <m:e>
            <m:acc>
              <m:accPr>
                <m:chr m:val="̅"/>
                <m:ctrlPr>
                  <w:rPr>
                    <w:rFonts w:ascii="Cambria Math" w:hAnsi="Cambria Math" w:cs="Arial"/>
                    <w:i/>
                    <w:lang w:val="en-GB"/>
                  </w:rPr>
                </m:ctrlPr>
              </m:accPr>
              <m:e>
                <m:r>
                  <w:rPr>
                    <w:rFonts w:ascii="Cambria Math" w:hAnsi="Cambria Math" w:cs="Arial"/>
                    <w:lang w:val="en-GB"/>
                  </w:rPr>
                  <m:t>H</m:t>
                </m:r>
              </m:e>
            </m:acc>
          </m:e>
          <m:sup>
            <m:r>
              <w:rPr>
                <w:rFonts w:ascii="Cambria Math" w:hAnsi="Cambria Math" w:cs="Arial"/>
                <w:lang w:val="en-GB"/>
              </w:rPr>
              <m:t>s</m:t>
            </m:r>
          </m:sup>
        </m:sSup>
        <m:r>
          <w:rPr>
            <w:rFonts w:ascii="Cambria Math" w:hAnsi="Cambria Math" w:cs="Arial"/>
            <w:lang w:val="en-GB"/>
          </w:rPr>
          <m:t xml:space="preserve">= </m:t>
        </m:r>
        <m:sSup>
          <m:sSupPr>
            <m:ctrlPr>
              <w:rPr>
                <w:rFonts w:ascii="Cambria Math" w:hAnsi="Cambria Math" w:cs="Arial"/>
                <w:i/>
                <w:lang w:val="en-GB"/>
              </w:rPr>
            </m:ctrlPr>
          </m:sSupPr>
          <m:e>
            <m:r>
              <w:rPr>
                <w:rFonts w:ascii="Cambria Math" w:hAnsi="Cambria Math" w:cs="Arial"/>
                <w:lang w:val="en-GB"/>
              </w:rPr>
              <m:t>H</m:t>
            </m:r>
          </m:e>
          <m:sup>
            <m:r>
              <w:rPr>
                <w:rFonts w:ascii="Cambria Math" w:hAnsi="Cambria Math" w:cs="Arial"/>
                <w:lang w:val="en-GB"/>
              </w:rPr>
              <m:t>d</m:t>
            </m:r>
          </m:sup>
        </m:sSup>
        <m:r>
          <w:rPr>
            <w:rFonts w:ascii="Cambria Math" w:eastAsiaTheme="minorEastAsia" w:hAnsi="Cambria Math" w:cs="Arial"/>
            <w:lang w:val="en-GB"/>
          </w:rPr>
          <m:t>(</m:t>
        </m:r>
        <m:r>
          <w:rPr>
            <w:rFonts w:ascii="Cambria Math" w:hAnsi="Cambria Math" w:cs="Arial"/>
            <w:lang w:val="en-GB"/>
          </w:rPr>
          <m:t>p)</m:t>
        </m:r>
      </m:oMath>
      <w:r>
        <w:rPr>
          <w:rFonts w:ascii="Arial" w:eastAsiaTheme="minorEastAsia" w:hAnsi="Arial" w:cs="Arial"/>
          <w:lang w:val="en-GB"/>
        </w:rPr>
        <w:t xml:space="preserve">                                                         (4)</w:t>
      </w:r>
    </w:p>
    <w:p w14:paraId="5AC7080B" w14:textId="77777777" w:rsidR="007F043B" w:rsidRDefault="007F043B" w:rsidP="007F043B">
      <w:pPr>
        <w:pStyle w:val="Geenafstand"/>
        <w:spacing w:line="360" w:lineRule="auto"/>
        <w:jc w:val="right"/>
        <w:rPr>
          <w:rFonts w:ascii="Arial" w:hAnsi="Arial" w:cs="Arial"/>
          <w:lang w:val="en-GB"/>
        </w:rPr>
      </w:pPr>
    </w:p>
    <w:p w14:paraId="208C6FBE" w14:textId="77777777" w:rsidR="007F043B" w:rsidRDefault="007F043B" w:rsidP="007F043B">
      <w:pPr>
        <w:pStyle w:val="Geenafstand"/>
        <w:spacing w:line="360" w:lineRule="auto"/>
        <w:jc w:val="both"/>
        <w:rPr>
          <w:rFonts w:ascii="Arial" w:eastAsiaTheme="minorEastAsia" w:hAnsi="Arial" w:cs="Arial"/>
          <w:lang w:val="en-GB"/>
        </w:rPr>
      </w:pPr>
      <w:r>
        <w:rPr>
          <w:rFonts w:ascii="Arial" w:hAnsi="Arial" w:cs="Arial"/>
          <w:lang w:val="en-GB"/>
        </w:rPr>
        <w:t xml:space="preserve">Here, </w:t>
      </w:r>
      <m:oMath>
        <m:r>
          <w:rPr>
            <w:rFonts w:ascii="Cambria Math" w:hAnsi="Cambria Math" w:cs="Arial"/>
            <w:lang w:val="en-GB"/>
          </w:rPr>
          <m:t>H</m:t>
        </m:r>
      </m:oMath>
      <w:r>
        <w:rPr>
          <w:rFonts w:ascii="Arial" w:eastAsiaTheme="minorEastAsia" w:hAnsi="Arial" w:cs="Arial"/>
          <w:lang w:val="en-GB"/>
        </w:rPr>
        <w:t xml:space="preserve"> equals the total amount of housing available, which is determined by the supply side of the economy. The equilibrium price is only determined by the demand side, because supply is constant while demand decreases with the consumer price. The subsidy determines the prices that homeowners effectively pay. </w:t>
      </w:r>
    </w:p>
    <w:p w14:paraId="46A790CF" w14:textId="77777777" w:rsidR="007F043B" w:rsidRDefault="007F043B" w:rsidP="007F043B">
      <w:pPr>
        <w:pStyle w:val="Geenafstand"/>
        <w:spacing w:line="360" w:lineRule="auto"/>
        <w:jc w:val="both"/>
        <w:rPr>
          <w:rFonts w:ascii="Arial" w:eastAsiaTheme="minorEastAsia" w:hAnsi="Arial" w:cs="Arial"/>
          <w:lang w:val="en-GB"/>
        </w:rPr>
      </w:pPr>
    </w:p>
    <w:p w14:paraId="1A82B51F" w14:textId="629FC979" w:rsidR="007F043B" w:rsidRDefault="007F043B" w:rsidP="007F043B">
      <w:pPr>
        <w:pStyle w:val="Geenafstand"/>
        <w:spacing w:line="360" w:lineRule="auto"/>
        <w:jc w:val="both"/>
        <w:rPr>
          <w:rFonts w:ascii="Arial" w:eastAsiaTheme="minorEastAsia" w:hAnsi="Arial" w:cs="Arial"/>
          <w:lang w:val="en-GB"/>
        </w:rPr>
      </w:pPr>
      <w:r>
        <w:rPr>
          <w:rFonts w:ascii="Arial" w:eastAsiaTheme="minorEastAsia" w:hAnsi="Arial" w:cs="Arial"/>
          <w:lang w:val="en-GB"/>
        </w:rPr>
        <w:t xml:space="preserve">The housing subsidy affects the equilibrium that emerges on the housing market. Since the housing quantity is fixed, the subsidy only affects the equilibrium price. The extent to which demand and supply benefit from a subsidy depends on their relative elasticities, where the least elastic side of the market receives most of the benefits in the form of the subsidy (Jacobs, 2011, pp. 4-5). </w:t>
      </w:r>
      <w:r w:rsidR="0096748E">
        <w:rPr>
          <w:rFonts w:ascii="Arial" w:eastAsiaTheme="minorEastAsia" w:hAnsi="Arial" w:cs="Arial"/>
          <w:lang w:val="en-GB"/>
        </w:rPr>
        <w:t>The price elasticities</w:t>
      </w:r>
      <w:r>
        <w:rPr>
          <w:rFonts w:ascii="Arial" w:eastAsiaTheme="minorEastAsia" w:hAnsi="Arial" w:cs="Arial"/>
          <w:lang w:val="en-GB"/>
        </w:rPr>
        <w:t xml:space="preserve"> of supply and demand, respectively,</w:t>
      </w:r>
      <w:r w:rsidRPr="003931B1">
        <w:rPr>
          <w:rFonts w:ascii="Arial" w:eastAsiaTheme="minorEastAsia" w:hAnsi="Arial" w:cs="Arial"/>
          <w:lang w:val="en-GB"/>
        </w:rPr>
        <w:t xml:space="preserve"> </w:t>
      </w:r>
      <w:r>
        <w:rPr>
          <w:rFonts w:ascii="Arial" w:eastAsiaTheme="minorEastAsia" w:hAnsi="Arial" w:cs="Arial"/>
          <w:lang w:val="en-GB"/>
        </w:rPr>
        <w:t>are specified as follows, where</w:t>
      </w:r>
      <w:r w:rsidRPr="003931B1">
        <w:rPr>
          <w:rFonts w:ascii="Arial" w:eastAsiaTheme="minorEastAsia" w:hAnsi="Arial" w:cs="Arial"/>
          <w:lang w:val="en-GB"/>
        </w:rPr>
        <w:t xml:space="preserve"> </w:t>
      </w:r>
      <m:oMath>
        <m:r>
          <w:rPr>
            <w:rFonts w:ascii="Cambria Math" w:hAnsi="Cambria Math" w:cs="Arial"/>
            <w:lang w:val="en-GB"/>
          </w:rPr>
          <m:t>∂</m:t>
        </m:r>
      </m:oMath>
      <w:r w:rsidRPr="003931B1">
        <w:rPr>
          <w:rFonts w:ascii="Arial" w:eastAsiaTheme="minorEastAsia" w:hAnsi="Arial" w:cs="Arial"/>
          <w:lang w:val="en-GB"/>
        </w:rPr>
        <w:t xml:space="preserve"> depicts a change</w:t>
      </w:r>
      <w:r>
        <w:rPr>
          <w:rFonts w:ascii="Arial" w:eastAsiaTheme="minorEastAsia" w:hAnsi="Arial" w:cs="Arial"/>
          <w:lang w:val="en-GB"/>
        </w:rPr>
        <w:t>:</w:t>
      </w:r>
    </w:p>
    <w:p w14:paraId="236B17F1" w14:textId="77777777" w:rsidR="007F043B" w:rsidRDefault="00BD50E1" w:rsidP="007F043B">
      <w:pPr>
        <w:pStyle w:val="Geenafstand"/>
        <w:spacing w:line="360" w:lineRule="auto"/>
        <w:jc w:val="right"/>
        <w:rPr>
          <w:rFonts w:ascii="Arial" w:eastAsiaTheme="minorEastAsia" w:hAnsi="Arial" w:cs="Arial"/>
          <w:lang w:val="en-GB"/>
        </w:rPr>
      </w:pPr>
      <m:oMath>
        <m:sSup>
          <m:sSupPr>
            <m:ctrlPr>
              <w:rPr>
                <w:rFonts w:ascii="Cambria Math" w:hAnsi="Cambria Math" w:cs="Arial"/>
                <w:i/>
                <w:sz w:val="24"/>
                <w:lang w:val="en-GB"/>
              </w:rPr>
            </m:ctrlPr>
          </m:sSupPr>
          <m:e>
            <m:r>
              <w:rPr>
                <w:rFonts w:ascii="Cambria Math" w:hAnsi="Cambria Math" w:cs="Arial"/>
                <w:sz w:val="24"/>
                <w:lang w:val="en-GB"/>
              </w:rPr>
              <m:t>ε</m:t>
            </m:r>
          </m:e>
          <m:sup>
            <m:r>
              <w:rPr>
                <w:rFonts w:ascii="Cambria Math" w:hAnsi="Cambria Math" w:cs="Arial"/>
                <w:sz w:val="24"/>
                <w:lang w:val="en-GB"/>
              </w:rPr>
              <m:t>s</m:t>
            </m:r>
          </m:sup>
        </m:sSup>
        <m:r>
          <w:rPr>
            <w:rFonts w:ascii="Cambria Math" w:hAnsi="Cambria Math" w:cs="Arial"/>
            <w:sz w:val="24"/>
            <w:lang w:val="en-GB"/>
          </w:rPr>
          <m:t xml:space="preserve">≡ </m:t>
        </m:r>
        <m:f>
          <m:fPr>
            <m:ctrlPr>
              <w:rPr>
                <w:rFonts w:ascii="Cambria Math" w:hAnsi="Cambria Math" w:cs="Arial"/>
                <w:i/>
                <w:sz w:val="24"/>
                <w:lang w:val="en-GB"/>
              </w:rPr>
            </m:ctrlPr>
          </m:fPr>
          <m:num>
            <m:r>
              <w:rPr>
                <w:rFonts w:ascii="Cambria Math" w:hAnsi="Cambria Math" w:cs="Arial"/>
                <w:sz w:val="24"/>
                <w:lang w:val="en-GB"/>
              </w:rPr>
              <m:t>∂</m:t>
            </m:r>
            <m:sSup>
              <m:sSupPr>
                <m:ctrlPr>
                  <w:rPr>
                    <w:rFonts w:ascii="Cambria Math" w:hAnsi="Cambria Math" w:cs="Arial"/>
                    <w:i/>
                    <w:sz w:val="24"/>
                    <w:lang w:val="en-GB"/>
                  </w:rPr>
                </m:ctrlPr>
              </m:sSupPr>
              <m:e>
                <m:r>
                  <w:rPr>
                    <w:rFonts w:ascii="Cambria Math" w:hAnsi="Cambria Math" w:cs="Arial"/>
                    <w:sz w:val="24"/>
                    <w:lang w:val="en-GB"/>
                  </w:rPr>
                  <m:t>H</m:t>
                </m:r>
              </m:e>
              <m:sup>
                <m:r>
                  <w:rPr>
                    <w:rFonts w:ascii="Cambria Math" w:hAnsi="Cambria Math" w:cs="Arial"/>
                    <w:sz w:val="24"/>
                    <w:lang w:val="en-GB"/>
                  </w:rPr>
                  <m:t>s</m:t>
                </m:r>
              </m:sup>
            </m:sSup>
          </m:num>
          <m:den>
            <m:r>
              <w:rPr>
                <w:rFonts w:ascii="Cambria Math" w:hAnsi="Cambria Math" w:cs="Arial"/>
                <w:sz w:val="24"/>
                <w:lang w:val="en-GB"/>
              </w:rPr>
              <m:t>∂ρ</m:t>
            </m:r>
          </m:den>
        </m:f>
        <m:r>
          <w:rPr>
            <w:rFonts w:ascii="Cambria Math" w:hAnsi="Cambria Math" w:cs="Arial"/>
            <w:sz w:val="24"/>
            <w:lang w:val="en-GB"/>
          </w:rPr>
          <m:t xml:space="preserve"> * </m:t>
        </m:r>
        <m:f>
          <m:fPr>
            <m:ctrlPr>
              <w:rPr>
                <w:rFonts w:ascii="Cambria Math" w:hAnsi="Cambria Math" w:cs="Arial"/>
                <w:i/>
                <w:sz w:val="24"/>
                <w:lang w:val="en-GB"/>
              </w:rPr>
            </m:ctrlPr>
          </m:fPr>
          <m:num>
            <m:r>
              <w:rPr>
                <w:rFonts w:ascii="Cambria Math" w:hAnsi="Cambria Math" w:cs="Arial"/>
                <w:sz w:val="24"/>
                <w:lang w:val="en-GB"/>
              </w:rPr>
              <m:t>ρ</m:t>
            </m:r>
          </m:num>
          <m:den>
            <m:sSup>
              <m:sSupPr>
                <m:ctrlPr>
                  <w:rPr>
                    <w:rFonts w:ascii="Cambria Math" w:hAnsi="Cambria Math" w:cs="Arial"/>
                    <w:i/>
                    <w:sz w:val="24"/>
                    <w:lang w:val="en-GB"/>
                  </w:rPr>
                </m:ctrlPr>
              </m:sSupPr>
              <m:e>
                <m:r>
                  <w:rPr>
                    <w:rFonts w:ascii="Cambria Math" w:hAnsi="Cambria Math" w:cs="Arial"/>
                    <w:sz w:val="24"/>
                    <w:lang w:val="en-GB"/>
                  </w:rPr>
                  <m:t>H</m:t>
                </m:r>
              </m:e>
              <m:sup>
                <m:r>
                  <w:rPr>
                    <w:rFonts w:ascii="Cambria Math" w:hAnsi="Cambria Math" w:cs="Arial"/>
                    <w:sz w:val="24"/>
                    <w:lang w:val="en-GB"/>
                  </w:rPr>
                  <m:t>s</m:t>
                </m:r>
              </m:sup>
            </m:sSup>
          </m:den>
        </m:f>
      </m:oMath>
      <w:r w:rsidR="007F043B">
        <w:rPr>
          <w:rFonts w:ascii="Arial" w:eastAsiaTheme="minorEastAsia" w:hAnsi="Arial" w:cs="Arial"/>
          <w:lang w:val="en-GB"/>
        </w:rPr>
        <w:t xml:space="preserve">                                                            (5)</w:t>
      </w:r>
    </w:p>
    <w:p w14:paraId="5E823C6F" w14:textId="77777777" w:rsidR="007F043B" w:rsidRDefault="007F043B" w:rsidP="007F043B">
      <w:pPr>
        <w:pStyle w:val="Geenafstand"/>
        <w:spacing w:line="360" w:lineRule="auto"/>
        <w:jc w:val="right"/>
        <w:rPr>
          <w:rFonts w:ascii="Arial" w:eastAsiaTheme="minorEastAsia" w:hAnsi="Arial" w:cs="Arial"/>
          <w:lang w:val="en-GB"/>
        </w:rPr>
      </w:pPr>
    </w:p>
    <w:p w14:paraId="45555DE4" w14:textId="77777777" w:rsidR="007F043B" w:rsidRDefault="00BD50E1" w:rsidP="007F043B">
      <w:pPr>
        <w:pStyle w:val="Geenafstand"/>
        <w:spacing w:line="360" w:lineRule="auto"/>
        <w:jc w:val="right"/>
        <w:rPr>
          <w:rFonts w:ascii="Arial" w:eastAsiaTheme="minorEastAsia" w:hAnsi="Arial" w:cs="Arial"/>
          <w:lang w:val="en-GB"/>
        </w:rPr>
      </w:pPr>
      <m:oMath>
        <m:sSup>
          <m:sSupPr>
            <m:ctrlPr>
              <w:rPr>
                <w:rFonts w:ascii="Cambria Math" w:hAnsi="Cambria Math" w:cs="Arial"/>
                <w:i/>
                <w:sz w:val="24"/>
                <w:lang w:val="en-GB"/>
              </w:rPr>
            </m:ctrlPr>
          </m:sSupPr>
          <m:e>
            <m:r>
              <w:rPr>
                <w:rFonts w:ascii="Cambria Math" w:hAnsi="Cambria Math" w:cs="Arial"/>
                <w:sz w:val="24"/>
                <w:lang w:val="en-GB"/>
              </w:rPr>
              <m:t>ε</m:t>
            </m:r>
          </m:e>
          <m:sup>
            <m:r>
              <w:rPr>
                <w:rFonts w:ascii="Cambria Math" w:hAnsi="Cambria Math" w:cs="Arial"/>
                <w:sz w:val="24"/>
                <w:lang w:val="en-GB"/>
              </w:rPr>
              <m:t>d</m:t>
            </m:r>
          </m:sup>
        </m:sSup>
        <m:r>
          <w:rPr>
            <w:rFonts w:ascii="Cambria Math" w:hAnsi="Cambria Math" w:cs="Arial"/>
            <w:sz w:val="24"/>
            <w:lang w:val="en-GB"/>
          </w:rPr>
          <m:t>≡ -</m:t>
        </m:r>
        <m:f>
          <m:fPr>
            <m:ctrlPr>
              <w:rPr>
                <w:rFonts w:ascii="Cambria Math" w:hAnsi="Cambria Math" w:cs="Arial"/>
                <w:i/>
                <w:sz w:val="24"/>
                <w:lang w:val="en-GB"/>
              </w:rPr>
            </m:ctrlPr>
          </m:fPr>
          <m:num>
            <m:r>
              <w:rPr>
                <w:rFonts w:ascii="Cambria Math" w:hAnsi="Cambria Math" w:cs="Arial"/>
                <w:sz w:val="24"/>
                <w:lang w:val="en-GB"/>
              </w:rPr>
              <m:t>∂</m:t>
            </m:r>
            <m:sSup>
              <m:sSupPr>
                <m:ctrlPr>
                  <w:rPr>
                    <w:rFonts w:ascii="Cambria Math" w:hAnsi="Cambria Math" w:cs="Arial"/>
                    <w:i/>
                    <w:sz w:val="24"/>
                    <w:lang w:val="en-GB"/>
                  </w:rPr>
                </m:ctrlPr>
              </m:sSupPr>
              <m:e>
                <m:r>
                  <w:rPr>
                    <w:rFonts w:ascii="Cambria Math" w:hAnsi="Cambria Math" w:cs="Arial"/>
                    <w:sz w:val="24"/>
                    <w:lang w:val="en-GB"/>
                  </w:rPr>
                  <m:t>H</m:t>
                </m:r>
              </m:e>
              <m:sup>
                <m:r>
                  <w:rPr>
                    <w:rFonts w:ascii="Cambria Math" w:hAnsi="Cambria Math" w:cs="Arial"/>
                    <w:sz w:val="24"/>
                    <w:lang w:val="en-GB"/>
                  </w:rPr>
                  <m:t>d</m:t>
                </m:r>
              </m:sup>
            </m:sSup>
          </m:num>
          <m:den>
            <m:r>
              <w:rPr>
                <w:rFonts w:ascii="Cambria Math" w:hAnsi="Cambria Math" w:cs="Arial"/>
                <w:sz w:val="24"/>
                <w:lang w:val="en-GB"/>
              </w:rPr>
              <m:t>∂p</m:t>
            </m:r>
          </m:den>
        </m:f>
        <m:r>
          <w:rPr>
            <w:rFonts w:ascii="Cambria Math" w:hAnsi="Cambria Math" w:cs="Arial"/>
            <w:sz w:val="24"/>
            <w:lang w:val="en-GB"/>
          </w:rPr>
          <m:t xml:space="preserve"> * </m:t>
        </m:r>
        <m:f>
          <m:fPr>
            <m:ctrlPr>
              <w:rPr>
                <w:rFonts w:ascii="Cambria Math" w:hAnsi="Cambria Math" w:cs="Arial"/>
                <w:i/>
                <w:sz w:val="24"/>
                <w:lang w:val="en-GB"/>
              </w:rPr>
            </m:ctrlPr>
          </m:fPr>
          <m:num>
            <m:r>
              <w:rPr>
                <w:rFonts w:ascii="Cambria Math" w:hAnsi="Cambria Math" w:cs="Arial"/>
                <w:sz w:val="24"/>
                <w:lang w:val="en-GB"/>
              </w:rPr>
              <m:t>p</m:t>
            </m:r>
          </m:num>
          <m:den>
            <m:sSup>
              <m:sSupPr>
                <m:ctrlPr>
                  <w:rPr>
                    <w:rFonts w:ascii="Cambria Math" w:hAnsi="Cambria Math" w:cs="Arial"/>
                    <w:i/>
                    <w:sz w:val="24"/>
                    <w:lang w:val="en-GB"/>
                  </w:rPr>
                </m:ctrlPr>
              </m:sSupPr>
              <m:e>
                <m:r>
                  <w:rPr>
                    <w:rFonts w:ascii="Cambria Math" w:hAnsi="Cambria Math" w:cs="Arial"/>
                    <w:sz w:val="24"/>
                    <w:lang w:val="en-GB"/>
                  </w:rPr>
                  <m:t>H</m:t>
                </m:r>
              </m:e>
              <m:sup>
                <m:r>
                  <w:rPr>
                    <w:rFonts w:ascii="Cambria Math" w:hAnsi="Cambria Math" w:cs="Arial"/>
                    <w:sz w:val="24"/>
                    <w:lang w:val="en-GB"/>
                  </w:rPr>
                  <m:t>d</m:t>
                </m:r>
              </m:sup>
            </m:sSup>
          </m:den>
        </m:f>
      </m:oMath>
      <w:r w:rsidR="007F043B" w:rsidRPr="003931B1">
        <w:rPr>
          <w:rFonts w:ascii="Arial" w:eastAsiaTheme="minorEastAsia" w:hAnsi="Arial" w:cs="Arial"/>
          <w:sz w:val="24"/>
          <w:lang w:val="en-GB"/>
        </w:rPr>
        <w:t xml:space="preserve">                                                    </w:t>
      </w:r>
      <w:r w:rsidR="007F043B">
        <w:rPr>
          <w:rFonts w:ascii="Arial" w:eastAsiaTheme="minorEastAsia" w:hAnsi="Arial" w:cs="Arial"/>
          <w:lang w:val="en-GB"/>
        </w:rPr>
        <w:t>(6)</w:t>
      </w:r>
    </w:p>
    <w:p w14:paraId="76FFDF6C" w14:textId="77777777" w:rsidR="007F043B" w:rsidRDefault="007F043B" w:rsidP="007F043B">
      <w:pPr>
        <w:pStyle w:val="Geenafstand"/>
        <w:spacing w:before="240" w:line="360" w:lineRule="auto"/>
        <w:jc w:val="both"/>
        <w:rPr>
          <w:rFonts w:ascii="Arial" w:eastAsiaTheme="minorEastAsia" w:hAnsi="Arial" w:cs="Arial"/>
          <w:lang w:val="en-GB"/>
        </w:rPr>
      </w:pPr>
      <w:r>
        <w:rPr>
          <w:rFonts w:ascii="Arial" w:eastAsiaTheme="minorEastAsia" w:hAnsi="Arial" w:cs="Arial"/>
          <w:lang w:val="en-GB"/>
        </w:rPr>
        <w:t>The elasticities show the percentage change of the quantities supplied and demanded when the housing prices go up by one percent. The supply of housing is perfectly inelastic, which means that the price elasticity of supply is equal zero (</w:t>
      </w:r>
      <m:oMath>
        <m:sSup>
          <m:sSupPr>
            <m:ctrlPr>
              <w:rPr>
                <w:rFonts w:ascii="Cambria Math" w:hAnsi="Cambria Math" w:cs="Arial"/>
                <w:i/>
                <w:sz w:val="24"/>
                <w:lang w:val="en-GB"/>
              </w:rPr>
            </m:ctrlPr>
          </m:sSupPr>
          <m:e>
            <m:r>
              <w:rPr>
                <w:rFonts w:ascii="Cambria Math" w:hAnsi="Cambria Math" w:cs="Arial"/>
                <w:sz w:val="24"/>
                <w:lang w:val="en-GB"/>
              </w:rPr>
              <m:t>ε</m:t>
            </m:r>
          </m:e>
          <m:sup>
            <m:r>
              <w:rPr>
                <w:rFonts w:ascii="Cambria Math" w:hAnsi="Cambria Math" w:cs="Arial"/>
                <w:sz w:val="24"/>
                <w:lang w:val="en-GB"/>
              </w:rPr>
              <m:t>s</m:t>
            </m:r>
          </m:sup>
        </m:sSup>
        <m:r>
          <w:rPr>
            <w:rFonts w:ascii="Cambria Math" w:hAnsi="Cambria Math" w:cs="Arial"/>
            <w:sz w:val="24"/>
            <w:lang w:val="en-GB"/>
          </w:rPr>
          <m:t>=0)</m:t>
        </m:r>
      </m:oMath>
      <w:r>
        <w:rPr>
          <w:rFonts w:ascii="Arial" w:eastAsiaTheme="minorEastAsia" w:hAnsi="Arial" w:cs="Arial"/>
          <w:lang w:val="en-GB"/>
        </w:rPr>
        <w:t>. The quantity demanded responds to a change in housing prices, which means that demand has a positive elasticity (</w:t>
      </w:r>
      <m:oMath>
        <m:sSup>
          <m:sSupPr>
            <m:ctrlPr>
              <w:rPr>
                <w:rFonts w:ascii="Cambria Math" w:hAnsi="Cambria Math" w:cs="Arial"/>
                <w:i/>
                <w:sz w:val="24"/>
                <w:lang w:val="en-GB"/>
              </w:rPr>
            </m:ctrlPr>
          </m:sSupPr>
          <m:e>
            <m:r>
              <w:rPr>
                <w:rFonts w:ascii="Cambria Math" w:hAnsi="Cambria Math" w:cs="Arial"/>
                <w:sz w:val="24"/>
                <w:lang w:val="en-GB"/>
              </w:rPr>
              <m:t>ε</m:t>
            </m:r>
          </m:e>
          <m:sup>
            <m:r>
              <w:rPr>
                <w:rFonts w:ascii="Cambria Math" w:hAnsi="Cambria Math" w:cs="Arial"/>
                <w:sz w:val="24"/>
                <w:lang w:val="en-GB"/>
              </w:rPr>
              <m:t>d</m:t>
            </m:r>
          </m:sup>
        </m:sSup>
        <m:r>
          <w:rPr>
            <w:rFonts w:ascii="Cambria Math" w:hAnsi="Cambria Math" w:cs="Arial"/>
            <w:sz w:val="24"/>
            <w:lang w:val="en-GB"/>
          </w:rPr>
          <m:t>&gt;0)</m:t>
        </m:r>
      </m:oMath>
      <w:r>
        <w:rPr>
          <w:rFonts w:ascii="Arial" w:eastAsiaTheme="minorEastAsia" w:hAnsi="Arial" w:cs="Arial"/>
          <w:lang w:val="en-GB"/>
        </w:rPr>
        <w:t xml:space="preserve">. </w:t>
      </w:r>
    </w:p>
    <w:p w14:paraId="00494F4D" w14:textId="3C9A98A1" w:rsidR="007F043B" w:rsidRDefault="00270462" w:rsidP="007F043B">
      <w:pPr>
        <w:pStyle w:val="Geenafstand"/>
        <w:spacing w:before="240" w:line="360" w:lineRule="auto"/>
        <w:jc w:val="both"/>
        <w:rPr>
          <w:rFonts w:ascii="Arial" w:eastAsiaTheme="minorEastAsia" w:hAnsi="Arial" w:cs="Arial"/>
          <w:lang w:val="en-GB"/>
        </w:rPr>
      </w:pPr>
      <w:r>
        <w:rPr>
          <w:noProof/>
        </w:rPr>
        <w:drawing>
          <wp:anchor distT="0" distB="0" distL="114300" distR="114300" simplePos="0" relativeHeight="251684864" behindDoc="0" locked="0" layoutInCell="1" allowOverlap="1" wp14:anchorId="175F9ACA" wp14:editId="7EC284CF">
            <wp:simplePos x="0" y="0"/>
            <wp:positionH relativeFrom="margin">
              <wp:align>center</wp:align>
            </wp:positionH>
            <wp:positionV relativeFrom="paragraph">
              <wp:posOffset>3709670</wp:posOffset>
            </wp:positionV>
            <wp:extent cx="3562350" cy="2843530"/>
            <wp:effectExtent l="0" t="0" r="0" b="0"/>
            <wp:wrapSquare wrapText="bothSides"/>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7668" t="22732" r="24714" b="9661"/>
                    <a:stretch/>
                  </pic:blipFill>
                  <pic:spPr bwMode="auto">
                    <a:xfrm>
                      <a:off x="0" y="0"/>
                      <a:ext cx="3562350" cy="2843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043B">
        <w:rPr>
          <w:rFonts w:ascii="Arial" w:eastAsiaTheme="minorEastAsia" w:hAnsi="Arial" w:cs="Arial"/>
          <w:lang w:val="en-GB"/>
        </w:rPr>
        <w:t xml:space="preserve">The model of the housing market is now used in order to determine what happens to the housing market when the home mortgage interest deduction decreases or is completely abolished. First of all, it follows from </w:t>
      </w:r>
      <w:r w:rsidR="00612AF9">
        <w:rPr>
          <w:rFonts w:ascii="Arial" w:eastAsiaTheme="minorEastAsia" w:hAnsi="Arial" w:cs="Arial"/>
          <w:lang w:val="en-GB"/>
        </w:rPr>
        <w:t>E</w:t>
      </w:r>
      <w:r w:rsidR="007F043B">
        <w:rPr>
          <w:rFonts w:ascii="Arial" w:eastAsiaTheme="minorEastAsia" w:hAnsi="Arial" w:cs="Arial"/>
          <w:lang w:val="en-GB"/>
        </w:rPr>
        <w:t>quation (3) that a decrease in subsidy will increase the consumer housing prices. As a consequence, the demand for houses decreases, which leads to a downward shift of the demand curve</w:t>
      </w:r>
      <w:r w:rsidR="00704C77">
        <w:rPr>
          <w:rFonts w:ascii="Arial" w:eastAsiaTheme="minorEastAsia" w:hAnsi="Arial" w:cs="Arial"/>
          <w:lang w:val="en-GB"/>
        </w:rPr>
        <w:t xml:space="preserve"> from D to D’</w:t>
      </w:r>
      <w:r w:rsidR="007F043B">
        <w:rPr>
          <w:rFonts w:ascii="Arial" w:eastAsiaTheme="minorEastAsia" w:hAnsi="Arial" w:cs="Arial"/>
          <w:lang w:val="en-GB"/>
        </w:rPr>
        <w:t xml:space="preserve"> as shown in </w:t>
      </w:r>
      <w:r w:rsidR="000A5A4E">
        <w:rPr>
          <w:rFonts w:ascii="Arial" w:eastAsiaTheme="minorEastAsia" w:hAnsi="Arial" w:cs="Arial"/>
          <w:lang w:val="en-GB"/>
        </w:rPr>
        <w:t>F</w:t>
      </w:r>
      <w:r w:rsidR="007F043B">
        <w:rPr>
          <w:rFonts w:ascii="Arial" w:eastAsiaTheme="minorEastAsia" w:hAnsi="Arial" w:cs="Arial"/>
          <w:lang w:val="en-GB"/>
        </w:rPr>
        <w:t xml:space="preserve">igure 1. The housing supply is inelastic, hence the quantity supplied does not change. This means that the equilibrium price has to adjust in order to clear the market. Producer housing prices will move from the old equilibrium (p*) to the new equilibrium price (p’). Producer housing prices will decrease and the quantity will remain the same, which means that the same number of houses will be sold, but for a lower producer price. Furthermore, the consumer housing price remains constant and unchanged in equilibrium. The inelasticity of supply and the positive elasticity of demand indicate that the supply side of the market receives all the benefits from the housing </w:t>
      </w:r>
      <w:proofErr w:type="spellStart"/>
      <w:r w:rsidR="007F043B">
        <w:rPr>
          <w:rFonts w:ascii="Arial" w:eastAsiaTheme="minorEastAsia" w:hAnsi="Arial" w:cs="Arial"/>
          <w:lang w:val="en-GB"/>
        </w:rPr>
        <w:t>subsidy.This</w:t>
      </w:r>
      <w:proofErr w:type="spellEnd"/>
      <w:r w:rsidR="007F043B">
        <w:rPr>
          <w:rFonts w:ascii="Arial" w:eastAsiaTheme="minorEastAsia" w:hAnsi="Arial" w:cs="Arial"/>
          <w:lang w:val="en-GB"/>
        </w:rPr>
        <w:t xml:space="preserve"> leads to the conclusion that in theory, the abolishment of home mortgage interest deduction will only decrease the producer prices for houses. At the same time, it will not affect homeownership, since it does not change the quantity of houses sold. </w:t>
      </w:r>
    </w:p>
    <w:p w14:paraId="1773F7DE" w14:textId="7F6C99A1" w:rsidR="007F043B" w:rsidRDefault="007F043B" w:rsidP="007F043B">
      <w:pPr>
        <w:pStyle w:val="Geenafstand"/>
        <w:spacing w:before="240" w:line="360" w:lineRule="auto"/>
        <w:jc w:val="both"/>
        <w:rPr>
          <w:rFonts w:ascii="Arial" w:eastAsiaTheme="minorEastAsia" w:hAnsi="Arial" w:cs="Arial"/>
          <w:lang w:val="en-GB"/>
        </w:rPr>
      </w:pPr>
    </w:p>
    <w:p w14:paraId="56F8D0A5" w14:textId="77777777" w:rsidR="007F043B" w:rsidRDefault="007F043B" w:rsidP="007F043B">
      <w:pPr>
        <w:pStyle w:val="Geenafstand"/>
        <w:spacing w:before="240" w:line="360" w:lineRule="auto"/>
        <w:jc w:val="both"/>
        <w:rPr>
          <w:rFonts w:ascii="Arial" w:eastAsiaTheme="minorEastAsia" w:hAnsi="Arial" w:cs="Arial"/>
          <w:lang w:val="en-GB"/>
        </w:rPr>
      </w:pPr>
    </w:p>
    <w:p w14:paraId="22693FB6" w14:textId="77777777" w:rsidR="007F043B" w:rsidRPr="003931B1" w:rsidRDefault="007F043B" w:rsidP="007F043B">
      <w:pPr>
        <w:pStyle w:val="Geenafstand"/>
        <w:spacing w:before="240" w:line="360" w:lineRule="auto"/>
        <w:jc w:val="both"/>
        <w:rPr>
          <w:rFonts w:ascii="Arial" w:eastAsiaTheme="minorEastAsia" w:hAnsi="Arial" w:cs="Arial"/>
          <w:lang w:val="en-GB"/>
        </w:rPr>
      </w:pPr>
    </w:p>
    <w:p w14:paraId="3ABDF924" w14:textId="77777777" w:rsidR="007F043B" w:rsidRDefault="007F043B" w:rsidP="007F043B">
      <w:pPr>
        <w:pStyle w:val="Geenafstand"/>
        <w:spacing w:line="360" w:lineRule="auto"/>
        <w:jc w:val="right"/>
        <w:rPr>
          <w:rFonts w:ascii="Arial" w:eastAsiaTheme="minorEastAsia" w:hAnsi="Arial" w:cs="Arial"/>
          <w:lang w:val="en-GB"/>
        </w:rPr>
      </w:pPr>
    </w:p>
    <w:p w14:paraId="250BB39F" w14:textId="77777777" w:rsidR="007F043B" w:rsidRDefault="007F043B" w:rsidP="007F043B">
      <w:pPr>
        <w:pStyle w:val="Geenafstand"/>
        <w:spacing w:line="360" w:lineRule="auto"/>
        <w:jc w:val="right"/>
        <w:rPr>
          <w:rFonts w:ascii="Arial" w:hAnsi="Arial" w:cs="Arial"/>
          <w:lang w:val="en-GB"/>
        </w:rPr>
      </w:pPr>
    </w:p>
    <w:p w14:paraId="4CF6908F" w14:textId="07350B6C" w:rsidR="00704C77" w:rsidRDefault="00704C77" w:rsidP="00704C77">
      <w:pPr>
        <w:ind w:firstLine="0"/>
        <w:rPr>
          <w:lang w:val="en-GB"/>
        </w:rPr>
      </w:pPr>
    </w:p>
    <w:p w14:paraId="2A14A7D3" w14:textId="77777777" w:rsidR="00704C77" w:rsidRDefault="00704C77" w:rsidP="00704C77">
      <w:pPr>
        <w:ind w:firstLine="0"/>
        <w:rPr>
          <w:lang w:val="en-GB"/>
        </w:rPr>
      </w:pPr>
    </w:p>
    <w:p w14:paraId="75771660" w14:textId="622BC0E4" w:rsidR="00704C77" w:rsidRDefault="00704C77" w:rsidP="00704C77">
      <w:pPr>
        <w:ind w:firstLine="0"/>
        <w:rPr>
          <w:lang w:val="en-GB"/>
        </w:rPr>
      </w:pPr>
    </w:p>
    <w:p w14:paraId="74A26113" w14:textId="06B2F00E" w:rsidR="00704C77" w:rsidRDefault="00AB6122" w:rsidP="00704C77">
      <w:pPr>
        <w:ind w:firstLine="0"/>
        <w:rPr>
          <w:lang w:val="en-GB"/>
        </w:rPr>
      </w:pPr>
      <w:r w:rsidRPr="00FD55E9">
        <w:rPr>
          <w:rFonts w:ascii="Arial" w:hAnsi="Arial" w:cs="Arial"/>
          <w:noProof/>
          <w:lang w:val="en-GB"/>
        </w:rPr>
        <mc:AlternateContent>
          <mc:Choice Requires="wps">
            <w:drawing>
              <wp:anchor distT="45720" distB="45720" distL="114300" distR="114300" simplePos="0" relativeHeight="251661312" behindDoc="0" locked="0" layoutInCell="1" allowOverlap="1" wp14:anchorId="38169B67" wp14:editId="19B00050">
                <wp:simplePos x="0" y="0"/>
                <wp:positionH relativeFrom="margin">
                  <wp:align>center</wp:align>
                </wp:positionH>
                <wp:positionV relativeFrom="paragraph">
                  <wp:posOffset>262255</wp:posOffset>
                </wp:positionV>
                <wp:extent cx="4254500" cy="1404620"/>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61EFD2" w14:textId="0457F136" w:rsidR="00BD50E1" w:rsidRPr="00DE3F7D" w:rsidRDefault="00BD50E1" w:rsidP="007F043B">
                            <w:pPr>
                              <w:rPr>
                                <w:rFonts w:ascii="Arial" w:hAnsi="Arial" w:cs="Arial"/>
                                <w:sz w:val="18"/>
                                <w:lang w:val="en-GB"/>
                              </w:rPr>
                            </w:pPr>
                            <w:r w:rsidRPr="00DE3F7D">
                              <w:rPr>
                                <w:rFonts w:ascii="Arial" w:hAnsi="Arial" w:cs="Arial"/>
                                <w:sz w:val="18"/>
                                <w:lang w:val="en-GB"/>
                              </w:rPr>
                              <w:t>Source: Own illustration based on J</w:t>
                            </w:r>
                            <w:r>
                              <w:rPr>
                                <w:rFonts w:ascii="Arial" w:hAnsi="Arial" w:cs="Arial"/>
                                <w:sz w:val="18"/>
                                <w:lang w:val="en-GB"/>
                              </w:rPr>
                              <w:t>acobs, 2011, p. 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169B67" id="_x0000_s1027" type="#_x0000_t202" style="position:absolute;left:0;text-align:left;margin-left:0;margin-top:20.65pt;width:33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" filled="f" stroked="f">
                <v:textbox style="mso-fit-shape-to-text:t">
                  <w:txbxContent>
                    <w:p w14:paraId="4D61EFD2" w14:textId="0457F136" w:rsidR="00BD50E1" w:rsidRPr="00DE3F7D" w:rsidRDefault="00BD50E1" w:rsidP="007F043B">
                      <w:pPr>
                        <w:rPr>
                          <w:rFonts w:ascii="Arial" w:hAnsi="Arial" w:cs="Arial"/>
                          <w:sz w:val="18"/>
                          <w:lang w:val="en-GB"/>
                        </w:rPr>
                      </w:pPr>
                      <w:r w:rsidRPr="00DE3F7D">
                        <w:rPr>
                          <w:rFonts w:ascii="Arial" w:hAnsi="Arial" w:cs="Arial"/>
                          <w:sz w:val="18"/>
                          <w:lang w:val="en-GB"/>
                        </w:rPr>
                        <w:t>Source: Own illustration based on J</w:t>
                      </w:r>
                      <w:r>
                        <w:rPr>
                          <w:rFonts w:ascii="Arial" w:hAnsi="Arial" w:cs="Arial"/>
                          <w:sz w:val="18"/>
                          <w:lang w:val="en-GB"/>
                        </w:rPr>
                        <w:t>acobs, 2011, p. 8.</w:t>
                      </w:r>
                    </w:p>
                  </w:txbxContent>
                </v:textbox>
                <w10:wrap type="square" anchorx="margin"/>
              </v:shape>
            </w:pict>
          </mc:Fallback>
        </mc:AlternateContent>
      </w:r>
      <w:r w:rsidR="0039183F">
        <w:rPr>
          <w:noProof/>
        </w:rPr>
        <mc:AlternateContent>
          <mc:Choice Requires="wps">
            <w:drawing>
              <wp:anchor distT="0" distB="0" distL="114300" distR="114300" simplePos="0" relativeHeight="251660288" behindDoc="0" locked="0" layoutInCell="1" allowOverlap="1" wp14:anchorId="021284AB" wp14:editId="6C2AC236">
                <wp:simplePos x="0" y="0"/>
                <wp:positionH relativeFrom="margin">
                  <wp:posOffset>1292860</wp:posOffset>
                </wp:positionH>
                <wp:positionV relativeFrom="paragraph">
                  <wp:posOffset>112395</wp:posOffset>
                </wp:positionV>
                <wp:extent cx="5099050" cy="247650"/>
                <wp:effectExtent l="0" t="0" r="6350" b="0"/>
                <wp:wrapThrough wrapText="bothSides">
                  <wp:wrapPolygon edited="0">
                    <wp:start x="0" y="0"/>
                    <wp:lineTo x="0" y="19938"/>
                    <wp:lineTo x="21546" y="19938"/>
                    <wp:lineTo x="21546" y="0"/>
                    <wp:lineTo x="0" y="0"/>
                  </wp:wrapPolygon>
                </wp:wrapThrough>
                <wp:docPr id="2" name="Tekstvak 2"/>
                <wp:cNvGraphicFramePr/>
                <a:graphic xmlns:a="http://schemas.openxmlformats.org/drawingml/2006/main">
                  <a:graphicData uri="http://schemas.microsoft.com/office/word/2010/wordprocessingShape">
                    <wps:wsp>
                      <wps:cNvSpPr txBox="1"/>
                      <wps:spPr>
                        <a:xfrm>
                          <a:off x="0" y="0"/>
                          <a:ext cx="5099050" cy="247650"/>
                        </a:xfrm>
                        <a:prstGeom prst="rect">
                          <a:avLst/>
                        </a:prstGeom>
                        <a:solidFill>
                          <a:prstClr val="white"/>
                        </a:solidFill>
                        <a:ln>
                          <a:noFill/>
                        </a:ln>
                      </wps:spPr>
                      <wps:txbx>
                        <w:txbxContent>
                          <w:p w14:paraId="719D72E7" w14:textId="19192382" w:rsidR="00BD50E1" w:rsidRPr="00FD55E9" w:rsidRDefault="00BD50E1" w:rsidP="007F043B">
                            <w:pPr>
                              <w:pStyle w:val="Bijschrift"/>
                              <w:rPr>
                                <w:rFonts w:ascii="Arial" w:hAnsi="Arial" w:cs="Arial"/>
                                <w:color w:val="auto"/>
                                <w:lang w:val="en-GB"/>
                              </w:rPr>
                            </w:pPr>
                            <w:r w:rsidRPr="00FD55E9">
                              <w:rPr>
                                <w:rFonts w:ascii="Arial" w:hAnsi="Arial" w:cs="Arial"/>
                                <w:color w:val="auto"/>
                                <w:lang w:val="en-GB"/>
                              </w:rPr>
                              <w:t xml:space="preserve">Figure </w:t>
                            </w:r>
                            <w:r w:rsidRPr="00FD55E9">
                              <w:rPr>
                                <w:rFonts w:ascii="Arial" w:hAnsi="Arial" w:cs="Arial"/>
                                <w:color w:val="auto"/>
                              </w:rPr>
                              <w:fldChar w:fldCharType="begin"/>
                            </w:r>
                            <w:r w:rsidRPr="00FD55E9">
                              <w:rPr>
                                <w:rFonts w:ascii="Arial" w:hAnsi="Arial" w:cs="Arial"/>
                                <w:color w:val="auto"/>
                                <w:lang w:val="en-GB"/>
                              </w:rPr>
                              <w:instrText xml:space="preserve"> SEQ Figure \* ARABIC </w:instrText>
                            </w:r>
                            <w:r w:rsidRPr="00FD55E9">
                              <w:rPr>
                                <w:rFonts w:ascii="Arial" w:hAnsi="Arial" w:cs="Arial"/>
                                <w:color w:val="auto"/>
                              </w:rPr>
                              <w:fldChar w:fldCharType="separate"/>
                            </w:r>
                            <w:r>
                              <w:rPr>
                                <w:rFonts w:ascii="Arial" w:hAnsi="Arial" w:cs="Arial"/>
                                <w:noProof/>
                                <w:color w:val="auto"/>
                                <w:lang w:val="en-GB"/>
                              </w:rPr>
                              <w:t>1</w:t>
                            </w:r>
                            <w:r w:rsidRPr="00FD55E9">
                              <w:rPr>
                                <w:rFonts w:ascii="Arial" w:hAnsi="Arial" w:cs="Arial"/>
                                <w:color w:val="auto"/>
                              </w:rPr>
                              <w:fldChar w:fldCharType="end"/>
                            </w:r>
                            <w:r w:rsidRPr="00FD55E9">
                              <w:rPr>
                                <w:rFonts w:ascii="Arial" w:hAnsi="Arial" w:cs="Arial"/>
                                <w:color w:val="auto"/>
                                <w:lang w:val="en-GB"/>
                              </w:rPr>
                              <w:t xml:space="preserve"> Housing market equilibrium before and after abolishment subsidy</w:t>
                            </w:r>
                          </w:p>
                          <w:p w14:paraId="404E063F" w14:textId="77777777" w:rsidR="00BD50E1" w:rsidRPr="00B77FDB" w:rsidRDefault="00BD50E1" w:rsidP="007F043B">
                            <w:pPr>
                              <w:pStyle w:val="Bijschrift"/>
                              <w:rPr>
                                <w:rFonts w:ascii="Arial" w:hAnsi="Arial" w:cs="Arial"/>
                                <w:noProof/>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1284AB" id="_x0000_s1028" type="#_x0000_t202" style="position:absolute;left:0;text-align:left;margin-left:101.8pt;margin-top:8.85pt;width:401.5pt;height:19.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" stroked="f">
                <v:textbox inset="0,0,0,0">
                  <w:txbxContent>
                    <w:p w14:paraId="719D72E7" w14:textId="19192382" w:rsidR="00BD50E1" w:rsidRPr="00FD55E9" w:rsidRDefault="00BD50E1" w:rsidP="007F043B">
                      <w:pPr>
                        <w:pStyle w:val="Bijschrift"/>
                        <w:rPr>
                          <w:rFonts w:ascii="Arial" w:hAnsi="Arial" w:cs="Arial"/>
                          <w:color w:val="auto"/>
                          <w:lang w:val="en-GB"/>
                        </w:rPr>
                      </w:pPr>
                      <w:r w:rsidRPr="00FD55E9">
                        <w:rPr>
                          <w:rFonts w:ascii="Arial" w:hAnsi="Arial" w:cs="Arial"/>
                          <w:color w:val="auto"/>
                          <w:lang w:val="en-GB"/>
                        </w:rPr>
                        <w:t xml:space="preserve">Figure </w:t>
                      </w:r>
                      <w:r w:rsidRPr="00FD55E9">
                        <w:rPr>
                          <w:rFonts w:ascii="Arial" w:hAnsi="Arial" w:cs="Arial"/>
                          <w:color w:val="auto"/>
                        </w:rPr>
                        <w:fldChar w:fldCharType="begin"/>
                      </w:r>
                      <w:r w:rsidRPr="00FD55E9">
                        <w:rPr>
                          <w:rFonts w:ascii="Arial" w:hAnsi="Arial" w:cs="Arial"/>
                          <w:color w:val="auto"/>
                          <w:lang w:val="en-GB"/>
                        </w:rPr>
                        <w:instrText xml:space="preserve"> SEQ Figure \* ARABIC </w:instrText>
                      </w:r>
                      <w:r w:rsidRPr="00FD55E9">
                        <w:rPr>
                          <w:rFonts w:ascii="Arial" w:hAnsi="Arial" w:cs="Arial"/>
                          <w:color w:val="auto"/>
                        </w:rPr>
                        <w:fldChar w:fldCharType="separate"/>
                      </w:r>
                      <w:r>
                        <w:rPr>
                          <w:rFonts w:ascii="Arial" w:hAnsi="Arial" w:cs="Arial"/>
                          <w:noProof/>
                          <w:color w:val="auto"/>
                          <w:lang w:val="en-GB"/>
                        </w:rPr>
                        <w:t>1</w:t>
                      </w:r>
                      <w:r w:rsidRPr="00FD55E9">
                        <w:rPr>
                          <w:rFonts w:ascii="Arial" w:hAnsi="Arial" w:cs="Arial"/>
                          <w:color w:val="auto"/>
                        </w:rPr>
                        <w:fldChar w:fldCharType="end"/>
                      </w:r>
                      <w:r w:rsidRPr="00FD55E9">
                        <w:rPr>
                          <w:rFonts w:ascii="Arial" w:hAnsi="Arial" w:cs="Arial"/>
                          <w:color w:val="auto"/>
                          <w:lang w:val="en-GB"/>
                        </w:rPr>
                        <w:t xml:space="preserve"> Housing market equilibrium before and after abolishment subsidy</w:t>
                      </w:r>
                    </w:p>
                    <w:p w14:paraId="404E063F" w14:textId="77777777" w:rsidR="00BD50E1" w:rsidRPr="00B77FDB" w:rsidRDefault="00BD50E1" w:rsidP="007F043B">
                      <w:pPr>
                        <w:pStyle w:val="Bijschrift"/>
                        <w:rPr>
                          <w:rFonts w:ascii="Arial" w:hAnsi="Arial" w:cs="Arial"/>
                          <w:noProof/>
                          <w:lang w:val="en-GB"/>
                        </w:rPr>
                      </w:pPr>
                    </w:p>
                  </w:txbxContent>
                </v:textbox>
                <w10:wrap type="through" anchorx="margin"/>
              </v:shape>
            </w:pict>
          </mc:Fallback>
        </mc:AlternateContent>
      </w:r>
    </w:p>
    <w:p w14:paraId="14730E04" w14:textId="76AB9CCE" w:rsidR="00704C77" w:rsidRPr="00704C77" w:rsidRDefault="00704C77" w:rsidP="00704C77">
      <w:pPr>
        <w:ind w:firstLine="0"/>
        <w:rPr>
          <w:lang w:val="en-GB"/>
        </w:rPr>
      </w:pPr>
    </w:p>
    <w:p w14:paraId="1CED6986" w14:textId="77777777" w:rsidR="007F043B" w:rsidRPr="00F33413" w:rsidRDefault="007F043B" w:rsidP="007F043B">
      <w:pPr>
        <w:pStyle w:val="Kop1"/>
        <w:ind w:firstLine="0"/>
        <w:rPr>
          <w:rFonts w:ascii="Arial" w:hAnsi="Arial" w:cs="Arial"/>
          <w:b/>
          <w:bCs/>
          <w:sz w:val="24"/>
          <w:szCs w:val="24"/>
          <w:lang w:val="en-GB"/>
        </w:rPr>
      </w:pPr>
      <w:bookmarkStart w:id="3" w:name="_Toc14016524"/>
      <w:r>
        <w:rPr>
          <w:rFonts w:ascii="Arial" w:hAnsi="Arial" w:cs="Arial"/>
          <w:b/>
          <w:bCs/>
          <w:color w:val="auto"/>
          <w:sz w:val="24"/>
          <w:szCs w:val="24"/>
          <w:lang w:val="en-GB"/>
        </w:rPr>
        <w:lastRenderedPageBreak/>
        <w:t>3</w:t>
      </w:r>
      <w:r w:rsidRPr="00F33413">
        <w:rPr>
          <w:rFonts w:ascii="Arial" w:hAnsi="Arial" w:cs="Arial"/>
          <w:b/>
          <w:bCs/>
          <w:color w:val="auto"/>
          <w:sz w:val="24"/>
          <w:szCs w:val="24"/>
          <w:lang w:val="en-GB"/>
        </w:rPr>
        <w:t xml:space="preserve"> </w:t>
      </w:r>
      <w:r w:rsidR="00704C77">
        <w:rPr>
          <w:rFonts w:ascii="Arial" w:hAnsi="Arial" w:cs="Arial"/>
          <w:b/>
          <w:bCs/>
          <w:color w:val="auto"/>
          <w:sz w:val="24"/>
          <w:szCs w:val="24"/>
          <w:lang w:val="en-GB"/>
        </w:rPr>
        <w:t>Literature Review and Hypothesis Development</w:t>
      </w:r>
      <w:bookmarkEnd w:id="3"/>
      <w:r w:rsidR="00704C77">
        <w:rPr>
          <w:rFonts w:ascii="Arial" w:hAnsi="Arial" w:cs="Arial"/>
          <w:b/>
          <w:bCs/>
          <w:color w:val="auto"/>
          <w:sz w:val="24"/>
          <w:szCs w:val="24"/>
          <w:lang w:val="en-GB"/>
        </w:rPr>
        <w:t xml:space="preserve"> </w:t>
      </w:r>
      <w:r w:rsidRPr="00F33413">
        <w:rPr>
          <w:rFonts w:ascii="Arial" w:hAnsi="Arial" w:cs="Arial"/>
          <w:b/>
          <w:bCs/>
          <w:color w:val="auto"/>
          <w:sz w:val="24"/>
          <w:szCs w:val="24"/>
          <w:lang w:val="en-GB"/>
        </w:rPr>
        <w:t xml:space="preserve"> </w:t>
      </w:r>
      <w:r w:rsidRPr="00F33413">
        <w:rPr>
          <w:rFonts w:ascii="Arial" w:hAnsi="Arial" w:cs="Arial"/>
          <w:b/>
          <w:bCs/>
          <w:sz w:val="24"/>
          <w:szCs w:val="24"/>
          <w:lang w:val="en-GB"/>
        </w:rPr>
        <w:tab/>
      </w:r>
    </w:p>
    <w:p w14:paraId="5AF60AC0" w14:textId="77777777" w:rsidR="007F043B" w:rsidRDefault="007F043B" w:rsidP="007F043B">
      <w:pPr>
        <w:pStyle w:val="Geenafstand"/>
        <w:rPr>
          <w:rFonts w:ascii="Arial" w:hAnsi="Arial" w:cs="Arial"/>
          <w:lang w:val="en-GB"/>
        </w:rPr>
      </w:pPr>
    </w:p>
    <w:p w14:paraId="2C07561F" w14:textId="77777777" w:rsidR="007F043B" w:rsidRPr="00B32D96" w:rsidRDefault="007F043B" w:rsidP="007F043B">
      <w:pPr>
        <w:pStyle w:val="Geenafstand"/>
        <w:spacing w:line="360" w:lineRule="auto"/>
        <w:jc w:val="both"/>
        <w:rPr>
          <w:rFonts w:ascii="Arial" w:hAnsi="Arial" w:cs="Arial"/>
          <w:lang w:val="en-GB"/>
        </w:rPr>
      </w:pPr>
      <w:r w:rsidRPr="00B32D96">
        <w:rPr>
          <w:rFonts w:ascii="Arial" w:hAnsi="Arial" w:cs="Arial"/>
          <w:lang w:val="en-GB"/>
        </w:rPr>
        <w:t xml:space="preserve">In the Netherlands, homeowners used to be able to deduct all their interest on home mortgage from their income. From 2017 onwards, the government decided to gradually reduce the mortgage interest deduction on income for individuals in the highest income bracket. Hence, only the high-income homeowners will be affected by this policy change. The initial policy was to reduce the deduction with 0.5 percent points per year. However, the government changed this policy in the meantime. From 2019 onwards, the government will accelerate the reduction of the mortgage interest deduction with three percent points per year until the target rate of 37.05 percent is reached in 2023 </w:t>
      </w:r>
      <w:sdt>
        <w:sdtPr>
          <w:rPr>
            <w:rFonts w:ascii="Arial" w:hAnsi="Arial" w:cs="Arial"/>
            <w:lang w:val="en-GB"/>
          </w:rPr>
          <w:id w:val="-580067511"/>
          <w:citation/>
        </w:sdtPr>
        <w:sdtContent>
          <w:r w:rsidRPr="00B32D96">
            <w:rPr>
              <w:rFonts w:ascii="Arial" w:hAnsi="Arial" w:cs="Arial"/>
              <w:lang w:val="en-GB"/>
            </w:rPr>
            <w:fldChar w:fldCharType="begin"/>
          </w:r>
          <w:r w:rsidRPr="00B32D96">
            <w:rPr>
              <w:rFonts w:ascii="Arial" w:hAnsi="Arial" w:cs="Arial"/>
              <w:lang w:val="en-GB"/>
            </w:rPr>
            <w:instrText xml:space="preserve"> CITATION Rij18 \l 1043 </w:instrText>
          </w:r>
          <w:r w:rsidRPr="00B32D96">
            <w:rPr>
              <w:rFonts w:ascii="Arial" w:hAnsi="Arial" w:cs="Arial"/>
              <w:lang w:val="en-GB"/>
            </w:rPr>
            <w:fldChar w:fldCharType="separate"/>
          </w:r>
          <w:r w:rsidRPr="00B32D96">
            <w:rPr>
              <w:rFonts w:ascii="Arial" w:hAnsi="Arial" w:cs="Arial"/>
              <w:noProof/>
              <w:lang w:val="en-GB"/>
            </w:rPr>
            <w:t>(Rijksoverheid, 2018)</w:t>
          </w:r>
          <w:r w:rsidRPr="00B32D96">
            <w:rPr>
              <w:rFonts w:ascii="Arial" w:hAnsi="Arial" w:cs="Arial"/>
              <w:lang w:val="en-GB"/>
            </w:rPr>
            <w:fldChar w:fldCharType="end"/>
          </w:r>
        </w:sdtContent>
      </w:sdt>
      <w:r w:rsidRPr="00B32D96">
        <w:rPr>
          <w:rFonts w:ascii="Arial" w:hAnsi="Arial" w:cs="Arial"/>
          <w:lang w:val="en-GB"/>
        </w:rPr>
        <w:t>.</w:t>
      </w:r>
    </w:p>
    <w:p w14:paraId="307FAC18" w14:textId="77777777" w:rsidR="007F043B" w:rsidRPr="00B32D96" w:rsidRDefault="007F043B" w:rsidP="007F043B">
      <w:pPr>
        <w:pStyle w:val="Geenafstand"/>
        <w:spacing w:line="360" w:lineRule="auto"/>
        <w:jc w:val="both"/>
        <w:rPr>
          <w:rFonts w:ascii="Arial" w:hAnsi="Arial" w:cs="Arial"/>
          <w:lang w:val="en-GB"/>
        </w:rPr>
      </w:pPr>
    </w:p>
    <w:p w14:paraId="2CF9DD7A" w14:textId="77777777" w:rsidR="007F043B" w:rsidRPr="00B32D96" w:rsidRDefault="007F043B" w:rsidP="007F043B">
      <w:pPr>
        <w:pStyle w:val="Geenafstand"/>
        <w:spacing w:line="360" w:lineRule="auto"/>
        <w:jc w:val="both"/>
        <w:rPr>
          <w:rFonts w:ascii="Arial" w:hAnsi="Arial" w:cs="Arial"/>
          <w:lang w:val="en-GB"/>
        </w:rPr>
      </w:pPr>
      <w:r w:rsidRPr="00B32D96">
        <w:rPr>
          <w:rFonts w:ascii="Arial" w:hAnsi="Arial" w:cs="Arial"/>
          <w:lang w:val="en-GB"/>
        </w:rPr>
        <w:t>The CPB report on the economic-political consequences of home mortgage interest deduction states that the Dutch housing market does not function well</w:t>
      </w:r>
      <w:r w:rsidRPr="00155D97">
        <w:rPr>
          <w:rFonts w:ascii="Arial" w:hAnsi="Arial" w:cs="Arial"/>
          <w:lang w:val="en-GB"/>
        </w:rPr>
        <w:t xml:space="preserve"> </w:t>
      </w:r>
      <w:r>
        <w:rPr>
          <w:rFonts w:ascii="Arial" w:hAnsi="Arial" w:cs="Arial"/>
          <w:lang w:val="en-GB"/>
        </w:rPr>
        <w:t>(</w:t>
      </w:r>
      <w:proofErr w:type="spellStart"/>
      <w:r w:rsidRPr="00B32D96">
        <w:rPr>
          <w:rFonts w:ascii="Arial" w:hAnsi="Arial" w:cs="Arial"/>
          <w:lang w:val="en-GB"/>
        </w:rPr>
        <w:t>Lejour</w:t>
      </w:r>
      <w:proofErr w:type="spellEnd"/>
      <w:r>
        <w:rPr>
          <w:rFonts w:ascii="Arial" w:hAnsi="Arial" w:cs="Arial"/>
          <w:lang w:val="en-GB"/>
        </w:rPr>
        <w:t>,</w:t>
      </w:r>
      <w:r w:rsidRPr="00B32D96">
        <w:rPr>
          <w:rFonts w:ascii="Arial" w:hAnsi="Arial" w:cs="Arial"/>
          <w:lang w:val="en-GB"/>
        </w:rPr>
        <w:t xml:space="preserve"> 2016</w:t>
      </w:r>
      <w:r>
        <w:rPr>
          <w:rFonts w:ascii="Arial" w:hAnsi="Arial" w:cs="Arial"/>
          <w:lang w:val="en-GB"/>
        </w:rPr>
        <w:t>, p. 14</w:t>
      </w:r>
      <w:r w:rsidRPr="00B32D96">
        <w:rPr>
          <w:rFonts w:ascii="Arial" w:hAnsi="Arial" w:cs="Arial"/>
          <w:lang w:val="en-GB"/>
        </w:rPr>
        <w:t xml:space="preserve">). The deduction has driven up the housing prices substantially, which made it difficult for </w:t>
      </w:r>
      <w:r>
        <w:rPr>
          <w:rFonts w:ascii="Arial" w:hAnsi="Arial" w:cs="Arial"/>
          <w:lang w:val="en-GB"/>
        </w:rPr>
        <w:t>young individuals just entering the housing market</w:t>
      </w:r>
      <w:r w:rsidRPr="00B32D96">
        <w:rPr>
          <w:rFonts w:ascii="Arial" w:hAnsi="Arial" w:cs="Arial"/>
          <w:lang w:val="en-GB"/>
        </w:rPr>
        <w:t xml:space="preserve"> to find a house they could afford. The main goal of the policy reform is to create </w:t>
      </w:r>
      <w:r>
        <w:rPr>
          <w:rFonts w:ascii="Arial" w:hAnsi="Arial" w:cs="Arial"/>
          <w:lang w:val="en-GB"/>
        </w:rPr>
        <w:t>a</w:t>
      </w:r>
      <w:r w:rsidRPr="00B32D96">
        <w:rPr>
          <w:rFonts w:ascii="Arial" w:hAnsi="Arial" w:cs="Arial"/>
          <w:lang w:val="en-GB"/>
        </w:rPr>
        <w:t xml:space="preserve"> housing market that is more stable and provides more opportunities for </w:t>
      </w:r>
      <w:r>
        <w:rPr>
          <w:rFonts w:ascii="Arial" w:hAnsi="Arial" w:cs="Arial"/>
          <w:lang w:val="en-GB"/>
        </w:rPr>
        <w:t>these people</w:t>
      </w:r>
      <w:r w:rsidRPr="00B32D96">
        <w:rPr>
          <w:rFonts w:ascii="Arial" w:hAnsi="Arial" w:cs="Arial"/>
          <w:lang w:val="en-GB"/>
        </w:rPr>
        <w:t xml:space="preserve">. In addition, the deduction of mortgage interest from taxable income decreases the potential tax revenue for the government. </w:t>
      </w:r>
      <w:r>
        <w:rPr>
          <w:rFonts w:ascii="Arial" w:hAnsi="Arial" w:cs="Arial"/>
          <w:lang w:val="en-GB"/>
        </w:rPr>
        <w:t>Hence, a</w:t>
      </w:r>
      <w:r w:rsidRPr="00B32D96">
        <w:rPr>
          <w:rFonts w:ascii="Arial" w:hAnsi="Arial" w:cs="Arial"/>
          <w:lang w:val="en-GB"/>
        </w:rPr>
        <w:t>nother argument in favour of the policy reform is to generate additional tax revenue. Finally, the report shows that the Dutch private debts are among the highest of all European countries</w:t>
      </w:r>
      <w:r>
        <w:rPr>
          <w:rFonts w:ascii="Arial" w:hAnsi="Arial" w:cs="Arial"/>
          <w:lang w:val="en-GB"/>
        </w:rPr>
        <w:t xml:space="preserve"> (</w:t>
      </w:r>
      <w:proofErr w:type="spellStart"/>
      <w:r>
        <w:rPr>
          <w:rFonts w:ascii="Arial" w:hAnsi="Arial" w:cs="Arial"/>
          <w:lang w:val="en-GB"/>
        </w:rPr>
        <w:t>Lejour</w:t>
      </w:r>
      <w:proofErr w:type="spellEnd"/>
      <w:r>
        <w:rPr>
          <w:rFonts w:ascii="Arial" w:hAnsi="Arial" w:cs="Arial"/>
          <w:lang w:val="en-GB"/>
        </w:rPr>
        <w:t>, 2016, p. 8)</w:t>
      </w:r>
      <w:r w:rsidRPr="00B32D96">
        <w:rPr>
          <w:rFonts w:ascii="Arial" w:hAnsi="Arial" w:cs="Arial"/>
          <w:lang w:val="en-GB"/>
        </w:rPr>
        <w:t xml:space="preserve">. </w:t>
      </w:r>
      <w:r>
        <w:rPr>
          <w:rFonts w:ascii="Arial" w:hAnsi="Arial" w:cs="Arial"/>
          <w:lang w:val="en-GB"/>
        </w:rPr>
        <w:t>The explanations are the home mortgage interest deduction in combination with interest-only mortgages, where individuals only have to pay the monthly interest rate without paying off part of the debt (</w:t>
      </w:r>
      <w:proofErr w:type="spellStart"/>
      <w:r>
        <w:rPr>
          <w:rFonts w:ascii="Arial" w:hAnsi="Arial" w:cs="Arial"/>
          <w:lang w:val="en-GB"/>
        </w:rPr>
        <w:t>Lejour</w:t>
      </w:r>
      <w:proofErr w:type="spellEnd"/>
      <w:r>
        <w:rPr>
          <w:rFonts w:ascii="Arial" w:hAnsi="Arial" w:cs="Arial"/>
          <w:lang w:val="en-GB"/>
        </w:rPr>
        <w:t>, 2016, p. 14). This</w:t>
      </w:r>
      <w:r w:rsidRPr="00B32D96">
        <w:rPr>
          <w:rFonts w:ascii="Arial" w:hAnsi="Arial" w:cs="Arial"/>
          <w:lang w:val="en-GB"/>
        </w:rPr>
        <w:t xml:space="preserve"> results in substantial indebtedness of households</w:t>
      </w:r>
      <w:r>
        <w:rPr>
          <w:rFonts w:ascii="Arial" w:hAnsi="Arial" w:cs="Arial"/>
          <w:lang w:val="en-GB"/>
        </w:rPr>
        <w:t xml:space="preserve">, because the mortgage interest deduction generates tax benefit and households are not obligated to pay off their debt </w:t>
      </w:r>
      <w:r w:rsidR="00704C77">
        <w:rPr>
          <w:rFonts w:ascii="Arial" w:hAnsi="Arial" w:cs="Arial"/>
          <w:lang w:val="en-GB"/>
        </w:rPr>
        <w:t>over</w:t>
      </w:r>
      <w:r>
        <w:rPr>
          <w:rFonts w:ascii="Arial" w:hAnsi="Arial" w:cs="Arial"/>
          <w:lang w:val="en-GB"/>
        </w:rPr>
        <w:t xml:space="preserve"> a certain period of time</w:t>
      </w:r>
      <w:r w:rsidRPr="00B32D96">
        <w:rPr>
          <w:rFonts w:ascii="Arial" w:hAnsi="Arial" w:cs="Arial"/>
          <w:lang w:val="en-GB"/>
        </w:rPr>
        <w:t xml:space="preserve">. </w:t>
      </w:r>
      <w:r>
        <w:rPr>
          <w:rFonts w:ascii="Arial" w:hAnsi="Arial" w:cs="Arial"/>
          <w:lang w:val="en-GB"/>
        </w:rPr>
        <w:t>The policy reform increases the cost of borrowing money, which could result in households taking smaller mortgages.</w:t>
      </w:r>
      <w:r w:rsidRPr="00B32D96">
        <w:rPr>
          <w:rFonts w:ascii="Arial" w:hAnsi="Arial" w:cs="Arial"/>
          <w:lang w:val="en-GB"/>
        </w:rPr>
        <w:t xml:space="preserve"> Hence, the reduction in home mortgage deduction can decrease th</w:t>
      </w:r>
      <w:r>
        <w:rPr>
          <w:rFonts w:ascii="Arial" w:hAnsi="Arial" w:cs="Arial"/>
          <w:lang w:val="en-GB"/>
        </w:rPr>
        <w:t>is</w:t>
      </w:r>
      <w:r w:rsidRPr="00B32D96">
        <w:rPr>
          <w:rFonts w:ascii="Arial" w:hAnsi="Arial" w:cs="Arial"/>
          <w:lang w:val="en-GB"/>
        </w:rPr>
        <w:t xml:space="preserve"> substantial indebtedness</w:t>
      </w:r>
      <w:r>
        <w:rPr>
          <w:rFonts w:ascii="Arial" w:hAnsi="Arial" w:cs="Arial"/>
          <w:lang w:val="en-GB"/>
        </w:rPr>
        <w:t xml:space="preserve"> of households </w:t>
      </w:r>
      <w:r w:rsidRPr="00B32D96">
        <w:rPr>
          <w:rFonts w:ascii="Arial" w:hAnsi="Arial" w:cs="Arial"/>
          <w:lang w:val="en-GB"/>
        </w:rPr>
        <w:t>(</w:t>
      </w:r>
      <w:proofErr w:type="spellStart"/>
      <w:r w:rsidRPr="00B32D96">
        <w:rPr>
          <w:rFonts w:ascii="Arial" w:hAnsi="Arial" w:cs="Arial"/>
          <w:lang w:val="en-GB"/>
        </w:rPr>
        <w:t>Lejour</w:t>
      </w:r>
      <w:proofErr w:type="spellEnd"/>
      <w:r w:rsidRPr="00B32D96">
        <w:rPr>
          <w:rFonts w:ascii="Arial" w:hAnsi="Arial" w:cs="Arial"/>
          <w:lang w:val="en-GB"/>
        </w:rPr>
        <w:t>, 2016</w:t>
      </w:r>
      <w:r>
        <w:rPr>
          <w:rFonts w:ascii="Arial" w:hAnsi="Arial" w:cs="Arial"/>
          <w:lang w:val="en-GB"/>
        </w:rPr>
        <w:t>, p. 17</w:t>
      </w:r>
      <w:r w:rsidRPr="00B32D96">
        <w:rPr>
          <w:rFonts w:ascii="Arial" w:hAnsi="Arial" w:cs="Arial"/>
          <w:lang w:val="en-GB"/>
        </w:rPr>
        <w:t xml:space="preserve">). </w:t>
      </w:r>
    </w:p>
    <w:p w14:paraId="08B2531C" w14:textId="77777777" w:rsidR="007F043B" w:rsidRPr="00B32D96" w:rsidRDefault="007F043B" w:rsidP="007F043B">
      <w:pPr>
        <w:pStyle w:val="Geenafstand"/>
        <w:spacing w:line="360" w:lineRule="auto"/>
        <w:jc w:val="both"/>
        <w:rPr>
          <w:rFonts w:ascii="Arial" w:hAnsi="Arial" w:cs="Arial"/>
          <w:lang w:val="en-GB"/>
        </w:rPr>
      </w:pPr>
    </w:p>
    <w:p w14:paraId="3C2B1F15" w14:textId="77777777" w:rsidR="007F043B" w:rsidRPr="00B32D96" w:rsidRDefault="007F043B" w:rsidP="007F043B">
      <w:pPr>
        <w:pStyle w:val="Geenafstand"/>
        <w:spacing w:line="360" w:lineRule="auto"/>
        <w:jc w:val="both"/>
        <w:rPr>
          <w:rFonts w:ascii="Arial" w:hAnsi="Arial" w:cs="Arial"/>
          <w:lang w:val="en-GB"/>
        </w:rPr>
      </w:pPr>
      <w:r w:rsidRPr="00B32D96">
        <w:rPr>
          <w:rFonts w:ascii="Arial" w:hAnsi="Arial" w:cs="Arial"/>
          <w:lang w:val="en-GB"/>
        </w:rPr>
        <w:t>Furthermore, the Netherlands employs a progressive tax system, such that prior to the policy reform, the higher income groups benefited most from the home mortgage interest deduction. The reduction of the deductible amount for the higher income groups could bring disposable incomes closer together and thus reduce income inequality. Even though this is not the main goal of this policy reform, it could be a desired addition</w:t>
      </w:r>
      <w:r>
        <w:rPr>
          <w:rFonts w:ascii="Arial" w:hAnsi="Arial" w:cs="Arial"/>
          <w:lang w:val="en-GB"/>
        </w:rPr>
        <w:t>al</w:t>
      </w:r>
      <w:r w:rsidRPr="00B32D96">
        <w:rPr>
          <w:rFonts w:ascii="Arial" w:hAnsi="Arial" w:cs="Arial"/>
          <w:lang w:val="en-GB"/>
        </w:rPr>
        <w:t xml:space="preserve"> consequence. </w:t>
      </w:r>
    </w:p>
    <w:p w14:paraId="5D542E29" w14:textId="77777777" w:rsidR="007F043B" w:rsidRPr="00B32D96" w:rsidRDefault="007F043B" w:rsidP="007F043B">
      <w:pPr>
        <w:pStyle w:val="Geenafstand"/>
        <w:spacing w:line="360" w:lineRule="auto"/>
        <w:jc w:val="both"/>
        <w:rPr>
          <w:rFonts w:ascii="Arial" w:hAnsi="Arial" w:cs="Arial"/>
          <w:lang w:val="en-GB"/>
        </w:rPr>
      </w:pPr>
    </w:p>
    <w:p w14:paraId="017BCA51" w14:textId="77777777" w:rsidR="007F043B" w:rsidRDefault="007F043B" w:rsidP="007F043B">
      <w:pPr>
        <w:pStyle w:val="Geenafstand"/>
        <w:spacing w:line="360" w:lineRule="auto"/>
        <w:jc w:val="both"/>
        <w:rPr>
          <w:rFonts w:ascii="Arial" w:hAnsi="Arial" w:cs="Arial"/>
          <w:lang w:val="en-GB"/>
        </w:rPr>
      </w:pPr>
    </w:p>
    <w:p w14:paraId="050D3CBA" w14:textId="77777777" w:rsidR="007F043B" w:rsidRPr="00B32D96" w:rsidRDefault="007F043B" w:rsidP="007F043B">
      <w:pPr>
        <w:pStyle w:val="Geenafstand"/>
        <w:spacing w:line="360" w:lineRule="auto"/>
        <w:jc w:val="both"/>
        <w:rPr>
          <w:rFonts w:ascii="Arial" w:hAnsi="Arial" w:cs="Arial"/>
          <w:lang w:val="en-GB"/>
        </w:rPr>
      </w:pPr>
      <w:r w:rsidRPr="00B32D96">
        <w:rPr>
          <w:rFonts w:ascii="Arial" w:hAnsi="Arial" w:cs="Arial"/>
          <w:lang w:val="en-GB"/>
        </w:rPr>
        <w:lastRenderedPageBreak/>
        <w:t xml:space="preserve">The effect that the reduction in home mortgage interest deduction might have on the Dutch housing market </w:t>
      </w:r>
      <w:r>
        <w:rPr>
          <w:rFonts w:ascii="Arial" w:hAnsi="Arial" w:cs="Arial"/>
          <w:lang w:val="en-GB"/>
        </w:rPr>
        <w:t xml:space="preserve">consists of two components. It could affect the overall housing prices and it could affect the number of houses sold, hence, the homeownership rate. The effect in the Netherlands </w:t>
      </w:r>
      <w:r w:rsidRPr="00B32D96">
        <w:rPr>
          <w:rFonts w:ascii="Arial" w:hAnsi="Arial" w:cs="Arial"/>
          <w:lang w:val="en-GB"/>
        </w:rPr>
        <w:t xml:space="preserve">can be </w:t>
      </w:r>
      <w:r>
        <w:rPr>
          <w:rFonts w:ascii="Arial" w:hAnsi="Arial" w:cs="Arial"/>
          <w:lang w:val="en-GB"/>
        </w:rPr>
        <w:t>predicted</w:t>
      </w:r>
      <w:r w:rsidRPr="00B32D96">
        <w:rPr>
          <w:rFonts w:ascii="Arial" w:hAnsi="Arial" w:cs="Arial"/>
          <w:lang w:val="en-GB"/>
        </w:rPr>
        <w:t xml:space="preserve"> by looking at the effect that similar policy reforms had in other European countries. Some countries like Germany and the United Kingdom completely abolished the home mortgage deduction, while other countries like Denmark only reduced it for some income groups without completely abolishing it. The Dutch reform is similar to the Danish one, since the deductible amount decreases for the highest income group</w:t>
      </w:r>
      <w:r>
        <w:rPr>
          <w:rFonts w:ascii="Arial" w:hAnsi="Arial" w:cs="Arial"/>
          <w:lang w:val="en-GB"/>
        </w:rPr>
        <w:t xml:space="preserve"> only</w:t>
      </w:r>
      <w:r w:rsidRPr="00B32D96">
        <w:rPr>
          <w:rFonts w:ascii="Arial" w:hAnsi="Arial" w:cs="Arial"/>
          <w:lang w:val="en-GB"/>
        </w:rPr>
        <w:t xml:space="preserve">. </w:t>
      </w:r>
    </w:p>
    <w:p w14:paraId="67DF60FE" w14:textId="77777777" w:rsidR="007F043B" w:rsidRPr="00B32D96" w:rsidRDefault="007F043B" w:rsidP="007F043B">
      <w:pPr>
        <w:pStyle w:val="Geenafstand"/>
        <w:spacing w:line="360" w:lineRule="auto"/>
        <w:jc w:val="both"/>
        <w:rPr>
          <w:rFonts w:ascii="Arial" w:hAnsi="Arial" w:cs="Arial"/>
          <w:lang w:val="en-GB"/>
        </w:rPr>
      </w:pPr>
    </w:p>
    <w:p w14:paraId="7F98E929" w14:textId="77777777" w:rsidR="007F043B" w:rsidRDefault="007F043B" w:rsidP="007F043B">
      <w:pPr>
        <w:pStyle w:val="Geenafstand"/>
        <w:spacing w:line="360" w:lineRule="auto"/>
        <w:jc w:val="both"/>
        <w:rPr>
          <w:rFonts w:ascii="Arial" w:hAnsi="Arial" w:cs="Arial"/>
          <w:lang w:val="en-GB"/>
        </w:rPr>
      </w:pPr>
      <w:r w:rsidRPr="00B32D96">
        <w:rPr>
          <w:rFonts w:ascii="Arial" w:hAnsi="Arial" w:cs="Arial"/>
          <w:lang w:val="en-GB"/>
        </w:rPr>
        <w:t xml:space="preserve">In </w:t>
      </w:r>
      <w:r>
        <w:rPr>
          <w:rFonts w:ascii="Arial" w:hAnsi="Arial" w:cs="Arial"/>
          <w:lang w:val="en-GB"/>
        </w:rPr>
        <w:t xml:space="preserve">some </w:t>
      </w:r>
      <w:r w:rsidRPr="00B32D96">
        <w:rPr>
          <w:rFonts w:ascii="Arial" w:hAnsi="Arial" w:cs="Arial"/>
          <w:lang w:val="en-GB"/>
        </w:rPr>
        <w:t>countries</w:t>
      </w:r>
      <w:r>
        <w:rPr>
          <w:rFonts w:ascii="Arial" w:hAnsi="Arial" w:cs="Arial"/>
          <w:lang w:val="en-GB"/>
        </w:rPr>
        <w:t xml:space="preserve"> that completely abolished mortgage interest deduction</w:t>
      </w:r>
      <w:r w:rsidRPr="00B32D96">
        <w:rPr>
          <w:rFonts w:ascii="Arial" w:hAnsi="Arial" w:cs="Arial"/>
          <w:lang w:val="en-GB"/>
        </w:rPr>
        <w:t>, there is no clear effect of revisions in tax legislation on housing prices when comparing before and after the revision. In France, the tax deduction for mortgage interest payment was repealed in 1998, which increased the tax bill for many individuals. However, this increase in taxes did not affect the housing prices negatively. In fact, the housing prices increased in the four years following the tax deduction abolishment</w:t>
      </w:r>
      <w:r>
        <w:rPr>
          <w:rFonts w:ascii="Arial" w:hAnsi="Arial" w:cs="Arial"/>
          <w:lang w:val="en-GB"/>
        </w:rPr>
        <w:t>.</w:t>
      </w:r>
      <w:r w:rsidRPr="00B32D96">
        <w:rPr>
          <w:rFonts w:ascii="Arial" w:hAnsi="Arial" w:cs="Arial"/>
          <w:lang w:val="en-GB"/>
        </w:rPr>
        <w:t xml:space="preserve"> The government of the United Kingdom decided to phase out mortgage tax relief gradually and completely abolish it in 1991. Again, there is no observable effect of the abolition on the housing prices</w:t>
      </w:r>
      <w:r>
        <w:rPr>
          <w:rFonts w:ascii="Arial" w:hAnsi="Arial" w:cs="Arial"/>
          <w:lang w:val="en-GB"/>
        </w:rPr>
        <w:t xml:space="preserve"> </w:t>
      </w:r>
      <w:r w:rsidRPr="00B32D96">
        <w:rPr>
          <w:rFonts w:ascii="Arial" w:hAnsi="Arial" w:cs="Arial"/>
          <w:lang w:val="en-GB"/>
        </w:rPr>
        <w:t>(</w:t>
      </w:r>
      <w:proofErr w:type="spellStart"/>
      <w:r w:rsidRPr="00B32D96">
        <w:rPr>
          <w:rFonts w:ascii="Arial" w:hAnsi="Arial" w:cs="Arial"/>
          <w:lang w:val="en-GB"/>
        </w:rPr>
        <w:t>Boelhouwer</w:t>
      </w:r>
      <w:proofErr w:type="spellEnd"/>
      <w:r w:rsidRPr="00B32D96">
        <w:rPr>
          <w:rFonts w:ascii="Arial" w:hAnsi="Arial" w:cs="Arial"/>
          <w:lang w:val="en-GB"/>
        </w:rPr>
        <w:t xml:space="preserve">, </w:t>
      </w:r>
      <w:r w:rsidRPr="00B32D96">
        <w:rPr>
          <w:rFonts w:ascii="Arial" w:hAnsi="Arial" w:cs="Arial"/>
          <w:noProof/>
          <w:lang w:val="en-GB"/>
        </w:rPr>
        <w:t>Haffner, Neuteboom &amp; De Vries, 2004</w:t>
      </w:r>
      <w:r>
        <w:rPr>
          <w:rFonts w:ascii="Arial" w:hAnsi="Arial" w:cs="Arial"/>
          <w:noProof/>
          <w:lang w:val="en-GB"/>
        </w:rPr>
        <w:t>, pp. 422-424</w:t>
      </w:r>
      <w:r w:rsidRPr="00B32D96">
        <w:rPr>
          <w:rFonts w:ascii="Arial" w:hAnsi="Arial" w:cs="Arial"/>
          <w:noProof/>
          <w:lang w:val="en-GB"/>
        </w:rPr>
        <w:t>)</w:t>
      </w:r>
      <w:r w:rsidRPr="00B32D96">
        <w:rPr>
          <w:rFonts w:ascii="Arial" w:hAnsi="Arial" w:cs="Arial"/>
          <w:lang w:val="en-GB"/>
        </w:rPr>
        <w:t xml:space="preserve">. </w:t>
      </w:r>
      <w:r>
        <w:rPr>
          <w:rFonts w:ascii="Arial" w:hAnsi="Arial" w:cs="Arial"/>
          <w:lang w:val="en-GB"/>
        </w:rPr>
        <w:t xml:space="preserve">However, the researchers acknowledge that a before-and-after comparison is only a partial analysis of the housing market. Since other factors affecting housing prices like household income might have changed over time, changes in tax deductibility can still have an effect on housing prices. </w:t>
      </w:r>
    </w:p>
    <w:p w14:paraId="2835D8A2" w14:textId="77777777" w:rsidR="007F043B" w:rsidRDefault="007F043B" w:rsidP="007F043B">
      <w:pPr>
        <w:pStyle w:val="Geenafstand"/>
        <w:spacing w:line="360" w:lineRule="auto"/>
        <w:jc w:val="both"/>
        <w:rPr>
          <w:rFonts w:ascii="Arial" w:hAnsi="Arial" w:cs="Arial"/>
          <w:lang w:val="en-GB"/>
        </w:rPr>
      </w:pPr>
    </w:p>
    <w:p w14:paraId="34C499BE" w14:textId="77777777" w:rsidR="007F043B" w:rsidRDefault="007F043B" w:rsidP="007F043B">
      <w:pPr>
        <w:pStyle w:val="Geenafstand"/>
        <w:spacing w:line="360" w:lineRule="auto"/>
        <w:jc w:val="both"/>
        <w:rPr>
          <w:rFonts w:ascii="Arial" w:hAnsi="Arial" w:cs="Arial"/>
          <w:lang w:val="en-GB"/>
        </w:rPr>
      </w:pPr>
      <w:proofErr w:type="spellStart"/>
      <w:r>
        <w:rPr>
          <w:rFonts w:ascii="Arial" w:hAnsi="Arial" w:cs="Arial"/>
          <w:lang w:val="en-GB"/>
        </w:rPr>
        <w:t>Voigtländer</w:t>
      </w:r>
      <w:proofErr w:type="spellEnd"/>
      <w:r>
        <w:rPr>
          <w:rFonts w:ascii="Arial" w:hAnsi="Arial" w:cs="Arial"/>
          <w:lang w:val="en-GB"/>
        </w:rPr>
        <w:t xml:space="preserve"> (2009) tries to explain the relative</w:t>
      </w:r>
      <w:r w:rsidR="003F2BD6">
        <w:rPr>
          <w:rFonts w:ascii="Arial" w:hAnsi="Arial" w:cs="Arial"/>
          <w:lang w:val="en-GB"/>
        </w:rPr>
        <w:t>ly</w:t>
      </w:r>
      <w:r>
        <w:rPr>
          <w:rFonts w:ascii="Arial" w:hAnsi="Arial" w:cs="Arial"/>
          <w:lang w:val="en-GB"/>
        </w:rPr>
        <w:t xml:space="preserve"> low homeownership rate in Germany when compared to other European countries. It turns out that four factors are of substantial importance. First of all, Germany has an extensive social housing sector which takes up a large share of the total housing market. Secondly, in Germany there is less strict regulation of the rental housing market when compared to other countries. As a result, many households prefer renting a house over buying one. Furthermore, German housing prices are relatively low and stable, which makes housing investment not very profitable. Finally, the most relevant factor here is the tax treatment of homeownership. In the research, a comparison of the tax wedge for homeowners and the homeownership rate between Germany and the Netherlands</w:t>
      </w:r>
      <w:r w:rsidRPr="00BB3F4F">
        <w:rPr>
          <w:rFonts w:ascii="Arial" w:hAnsi="Arial" w:cs="Arial"/>
          <w:lang w:val="en-GB"/>
        </w:rPr>
        <w:t xml:space="preserve"> </w:t>
      </w:r>
      <w:r>
        <w:rPr>
          <w:rFonts w:ascii="Arial" w:hAnsi="Arial" w:cs="Arial"/>
          <w:lang w:val="en-GB"/>
        </w:rPr>
        <w:t>is provided. In order to determine the tax wedge,</w:t>
      </w:r>
      <w:r w:rsidRPr="003A174A">
        <w:rPr>
          <w:rFonts w:ascii="Arial" w:hAnsi="Arial" w:cs="Arial"/>
          <w:lang w:val="en-GB"/>
        </w:rPr>
        <w:t xml:space="preserve"> </w:t>
      </w:r>
      <w:r>
        <w:rPr>
          <w:rFonts w:ascii="Arial" w:hAnsi="Arial" w:cs="Arial"/>
          <w:lang w:val="en-GB"/>
        </w:rPr>
        <w:t xml:space="preserve">the mortgage rate is compared to the effective after-tax interest rate. The results show how Dutch homeowners benefit more strongly from the tax regulation than German homeowners, where the tax wedge is very small. On top of that, the tax wedge in Germany is declining even further since the allowances were cut in 2004 and completely terminated in 2006. Since homeownership is lower in Germany than in the </w:t>
      </w:r>
      <w:r>
        <w:rPr>
          <w:rFonts w:ascii="Arial" w:hAnsi="Arial" w:cs="Arial"/>
          <w:lang w:val="en-GB"/>
        </w:rPr>
        <w:lastRenderedPageBreak/>
        <w:t>Netherlands, the relatively small tax benefit for homeowners could provide an explanation for this (</w:t>
      </w:r>
      <w:proofErr w:type="spellStart"/>
      <w:r>
        <w:rPr>
          <w:rFonts w:ascii="Arial" w:hAnsi="Arial" w:cs="Arial"/>
          <w:lang w:val="en-GB"/>
        </w:rPr>
        <w:t>Voigtländer</w:t>
      </w:r>
      <w:proofErr w:type="spellEnd"/>
      <w:r>
        <w:rPr>
          <w:rFonts w:ascii="Arial" w:hAnsi="Arial" w:cs="Arial"/>
          <w:lang w:val="en-GB"/>
        </w:rPr>
        <w:t xml:space="preserve">, 2009, pp. 360-370). </w:t>
      </w:r>
    </w:p>
    <w:p w14:paraId="754ACE29" w14:textId="77777777" w:rsidR="007F043B" w:rsidRDefault="007F043B" w:rsidP="007F043B">
      <w:pPr>
        <w:pStyle w:val="Geenafstand"/>
        <w:spacing w:line="360" w:lineRule="auto"/>
        <w:jc w:val="both"/>
        <w:rPr>
          <w:rFonts w:ascii="Arial" w:hAnsi="Arial" w:cs="Arial"/>
          <w:lang w:val="en-GB"/>
        </w:rPr>
      </w:pPr>
    </w:p>
    <w:p w14:paraId="51D3E751"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The Dutch policy reform will decline the tax wedge between the mortgage rate and the real effective mortgage rate for the higher income brackets. This may result in a lower homeownership rate, because these income groups would not benefit as much from homeownership as before. However, it is important to keep in mind that the Dutch and German housing markets have different characteristics. Furthermore, it is a combination of factors that explains the relative low homeownership rate in Germany. Hence, the reduction of the mortgage interest deduction in the Netherlands does not necessarily have to lead to a lower homeownership rate.</w:t>
      </w:r>
    </w:p>
    <w:p w14:paraId="495DE1F8" w14:textId="77777777" w:rsidR="007F043B" w:rsidRPr="00B32D96" w:rsidRDefault="007F043B" w:rsidP="007F043B">
      <w:pPr>
        <w:pStyle w:val="Geenafstand"/>
        <w:spacing w:line="360" w:lineRule="auto"/>
        <w:jc w:val="both"/>
        <w:rPr>
          <w:rFonts w:ascii="Arial" w:hAnsi="Arial" w:cs="Arial"/>
          <w:lang w:val="en-GB"/>
        </w:rPr>
      </w:pPr>
    </w:p>
    <w:p w14:paraId="31B2D53D" w14:textId="77777777" w:rsidR="007F043B" w:rsidRDefault="007F043B" w:rsidP="007F043B">
      <w:pPr>
        <w:pStyle w:val="Geenafstand"/>
        <w:spacing w:line="360" w:lineRule="auto"/>
        <w:jc w:val="both"/>
        <w:rPr>
          <w:rFonts w:ascii="Arial" w:hAnsi="Arial" w:cs="Arial"/>
          <w:lang w:val="en-GB"/>
        </w:rPr>
      </w:pPr>
      <w:r w:rsidRPr="00B32D96">
        <w:rPr>
          <w:rFonts w:ascii="Arial" w:hAnsi="Arial" w:cs="Arial"/>
          <w:lang w:val="en-GB"/>
        </w:rPr>
        <w:t xml:space="preserve">As mentioned before, a policy reform similar to the Dutch one was implemented in 1987 in Denmark (Gruber, Jensen &amp; </w:t>
      </w:r>
      <w:proofErr w:type="spellStart"/>
      <w:r w:rsidRPr="00B32D96">
        <w:rPr>
          <w:rFonts w:ascii="Arial" w:hAnsi="Arial" w:cs="Arial"/>
          <w:lang w:val="en-GB"/>
        </w:rPr>
        <w:t>Kleven</w:t>
      </w:r>
      <w:proofErr w:type="spellEnd"/>
      <w:r w:rsidRPr="00B32D96">
        <w:rPr>
          <w:rFonts w:ascii="Arial" w:hAnsi="Arial" w:cs="Arial"/>
          <w:lang w:val="en-GB"/>
        </w:rPr>
        <w:t>, 2018).</w:t>
      </w:r>
      <w:r>
        <w:rPr>
          <w:rFonts w:ascii="Arial" w:hAnsi="Arial" w:cs="Arial"/>
          <w:lang w:val="en-GB"/>
        </w:rPr>
        <w:t xml:space="preserve"> Denmark has three income brackets.</w:t>
      </w:r>
      <w:r w:rsidRPr="00B32D96">
        <w:rPr>
          <w:rFonts w:ascii="Arial" w:hAnsi="Arial" w:cs="Arial"/>
          <w:lang w:val="en-GB"/>
        </w:rPr>
        <w:t xml:space="preserve"> Th</w:t>
      </w:r>
      <w:r>
        <w:rPr>
          <w:rFonts w:ascii="Arial" w:hAnsi="Arial" w:cs="Arial"/>
          <w:lang w:val="en-GB"/>
        </w:rPr>
        <w:t>e Danish tax</w:t>
      </w:r>
      <w:r w:rsidRPr="00B32D96">
        <w:rPr>
          <w:rFonts w:ascii="Arial" w:hAnsi="Arial" w:cs="Arial"/>
          <w:lang w:val="en-GB"/>
        </w:rPr>
        <w:t xml:space="preserve"> reform substantially reduced the subsidies for home mortgage interest for the top bracket, while only partially reducing it for the middle bracket and even raising it for the individuals in the bottom bracket. This created the basis for quasi-experimental variation. The demand effect and house price effects of the mortgage interest deduction </w:t>
      </w:r>
      <w:r>
        <w:rPr>
          <w:rFonts w:ascii="Arial" w:hAnsi="Arial" w:cs="Arial"/>
          <w:lang w:val="en-GB"/>
        </w:rPr>
        <w:t>were estimated.</w:t>
      </w:r>
    </w:p>
    <w:p w14:paraId="34AB5F73" w14:textId="77777777" w:rsidR="007F043B" w:rsidRPr="00B32D96" w:rsidRDefault="007F043B" w:rsidP="007F043B">
      <w:pPr>
        <w:pStyle w:val="Geenafstand"/>
        <w:spacing w:line="360" w:lineRule="auto"/>
        <w:jc w:val="both"/>
        <w:rPr>
          <w:rFonts w:ascii="Arial" w:hAnsi="Arial" w:cs="Arial"/>
          <w:lang w:val="en-GB"/>
        </w:rPr>
      </w:pPr>
    </w:p>
    <w:p w14:paraId="2D7993E6" w14:textId="77777777" w:rsidR="007F043B" w:rsidRPr="00EB7877" w:rsidRDefault="007F043B" w:rsidP="007F043B">
      <w:pPr>
        <w:pStyle w:val="Geenafstand"/>
        <w:spacing w:line="360" w:lineRule="auto"/>
        <w:jc w:val="both"/>
        <w:rPr>
          <w:rFonts w:ascii="Arial" w:hAnsi="Arial" w:cs="Arial"/>
          <w:b/>
          <w:lang w:val="en-GB"/>
        </w:rPr>
      </w:pPr>
      <w:r w:rsidRPr="00B32D96">
        <w:rPr>
          <w:rFonts w:ascii="Arial" w:hAnsi="Arial" w:cs="Arial"/>
          <w:lang w:val="en-GB"/>
        </w:rPr>
        <w:t>Gruber</w:t>
      </w:r>
      <w:r>
        <w:rPr>
          <w:rFonts w:ascii="Arial" w:hAnsi="Arial" w:cs="Arial"/>
          <w:lang w:val="en-GB"/>
        </w:rPr>
        <w:t xml:space="preserve"> et al.</w:t>
      </w:r>
      <w:r w:rsidRPr="00B32D96">
        <w:rPr>
          <w:rFonts w:ascii="Arial" w:hAnsi="Arial" w:cs="Arial"/>
          <w:lang w:val="en-GB"/>
        </w:rPr>
        <w:t xml:space="preserve"> (2018) </w:t>
      </w:r>
      <w:r>
        <w:rPr>
          <w:rFonts w:ascii="Arial" w:hAnsi="Arial" w:cs="Arial"/>
          <w:lang w:val="en-GB"/>
        </w:rPr>
        <w:t>analysed</w:t>
      </w:r>
      <w:r w:rsidRPr="00B32D96">
        <w:rPr>
          <w:rFonts w:ascii="Arial" w:hAnsi="Arial" w:cs="Arial"/>
          <w:lang w:val="en-GB"/>
        </w:rPr>
        <w:t xml:space="preserve"> the effect of this tax reform on housing demand and housing prices using this quasi-experimental variation and a difference-in-differences estimation. They estimated the effect on the general equilibrium house price by comparing the development of housing prices in Denmark with a synthetic control group. </w:t>
      </w:r>
      <w:r>
        <w:rPr>
          <w:rFonts w:ascii="Arial" w:hAnsi="Arial" w:cs="Arial"/>
          <w:lang w:val="en-GB"/>
        </w:rPr>
        <w:t>The</w:t>
      </w:r>
      <w:r w:rsidRPr="00B32D96">
        <w:rPr>
          <w:rFonts w:ascii="Arial" w:hAnsi="Arial" w:cs="Arial"/>
          <w:lang w:val="en-GB"/>
        </w:rPr>
        <w:t xml:space="preserve"> researchers distinguish between the intensive margin and the extensive margin of housing demand. The extensive margin is the trade-off between renting and buying a house and is measured by the homeownership rate, whereas the intensive margin focusses on home size and home value. </w:t>
      </w:r>
    </w:p>
    <w:p w14:paraId="2C2B9F38" w14:textId="77777777" w:rsidR="007F043B" w:rsidRPr="00B32D96" w:rsidRDefault="007F043B" w:rsidP="007F043B">
      <w:pPr>
        <w:pStyle w:val="Geenafstand"/>
        <w:spacing w:line="360" w:lineRule="auto"/>
        <w:jc w:val="both"/>
        <w:rPr>
          <w:rFonts w:ascii="Arial" w:hAnsi="Arial" w:cs="Arial"/>
          <w:lang w:val="en-GB"/>
        </w:rPr>
      </w:pPr>
    </w:p>
    <w:p w14:paraId="2087F7D2" w14:textId="77777777" w:rsidR="007F043B" w:rsidRDefault="007F043B" w:rsidP="007F043B">
      <w:pPr>
        <w:pStyle w:val="Geenafstand"/>
        <w:spacing w:line="360" w:lineRule="auto"/>
        <w:jc w:val="both"/>
        <w:rPr>
          <w:rFonts w:ascii="Arial" w:hAnsi="Arial" w:cs="Arial"/>
          <w:lang w:val="en-GB"/>
        </w:rPr>
      </w:pPr>
      <w:r w:rsidRPr="004A4B97">
        <w:rPr>
          <w:rFonts w:ascii="Arial" w:hAnsi="Arial" w:cs="Arial"/>
          <w:noProof/>
          <w:lang w:val="en-GB"/>
        </w:rPr>
        <mc:AlternateContent>
          <mc:Choice Requires="wps">
            <w:drawing>
              <wp:anchor distT="45720" distB="45720" distL="114300" distR="114300" simplePos="0" relativeHeight="251663360" behindDoc="0" locked="0" layoutInCell="1" allowOverlap="1" wp14:anchorId="20B8CA71" wp14:editId="6C3B190E">
                <wp:simplePos x="0" y="0"/>
                <wp:positionH relativeFrom="margin">
                  <wp:align>right</wp:align>
                </wp:positionH>
                <wp:positionV relativeFrom="paragraph">
                  <wp:posOffset>798830</wp:posOffset>
                </wp:positionV>
                <wp:extent cx="381000" cy="1404620"/>
                <wp:effectExtent l="0" t="0" r="19050" b="21590"/>
                <wp:wrapSquare wrapText="bothSides"/>
                <wp:docPr id="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4620"/>
                        </a:xfrm>
                        <a:prstGeom prst="rect">
                          <a:avLst/>
                        </a:prstGeom>
                        <a:solidFill>
                          <a:srgbClr val="FFFFFF"/>
                        </a:solidFill>
                        <a:ln w="9525">
                          <a:solidFill>
                            <a:schemeClr val="bg1"/>
                          </a:solidFill>
                          <a:miter lim="800000"/>
                          <a:headEnd/>
                          <a:tailEnd/>
                        </a:ln>
                      </wps:spPr>
                      <wps:txbx>
                        <w:txbxContent>
                          <w:p w14:paraId="545E38B0" w14:textId="77777777" w:rsidR="00BD50E1" w:rsidRPr="00737101" w:rsidRDefault="00BD50E1" w:rsidP="007F043B">
                            <w:pPr>
                              <w:rPr>
                                <w:rFonts w:ascii="Arial" w:hAnsi="Arial" w:cs="Arial"/>
                              </w:rPr>
                            </w:pPr>
                            <w:r w:rsidRPr="00737101">
                              <w:rPr>
                                <w:rFonts w:ascii="Arial" w:hAnsi="Arial" w:cs="Arial"/>
                              </w:rPr>
                              <w:t>(</w:t>
                            </w:r>
                            <w:r>
                              <w:rPr>
                                <w:rFonts w:ascii="Arial" w:hAnsi="Arial" w:cs="Arial"/>
                              </w:rPr>
                              <w:t>(</w:t>
                            </w:r>
                            <w:r w:rsidRPr="00737101">
                              <w:rPr>
                                <w:rFonts w:ascii="Arial" w:hAnsi="Arial" w:cs="Arial"/>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B8CA71" id="_x0000_s1029" type="#_x0000_t202" style="position:absolute;left:0;text-align:left;margin-left:-21.2pt;margin-top:62.9pt;width:30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" strokecolor="white [3212]">
                <v:textbox style="mso-fit-shape-to-text:t">
                  <w:txbxContent>
                    <w:p w14:paraId="545E38B0" w14:textId="77777777" w:rsidR="00BD50E1" w:rsidRPr="00737101" w:rsidRDefault="00BD50E1" w:rsidP="007F043B">
                      <w:pPr>
                        <w:rPr>
                          <w:rFonts w:ascii="Arial" w:hAnsi="Arial" w:cs="Arial"/>
                        </w:rPr>
                      </w:pPr>
                      <w:r w:rsidRPr="00737101">
                        <w:rPr>
                          <w:rFonts w:ascii="Arial" w:hAnsi="Arial" w:cs="Arial"/>
                        </w:rPr>
                        <w:t>(</w:t>
                      </w:r>
                      <w:r>
                        <w:rPr>
                          <w:rFonts w:ascii="Arial" w:hAnsi="Arial" w:cs="Arial"/>
                        </w:rPr>
                        <w:t>(</w:t>
                      </w:r>
                      <w:r w:rsidRPr="00737101">
                        <w:rPr>
                          <w:rFonts w:ascii="Arial" w:hAnsi="Arial" w:cs="Arial"/>
                        </w:rPr>
                        <w:t>7)</w:t>
                      </w:r>
                    </w:p>
                  </w:txbxContent>
                </v:textbox>
                <w10:wrap type="square" anchorx="margin"/>
              </v:shape>
            </w:pict>
          </mc:Fallback>
        </mc:AlternateContent>
      </w:r>
      <w:r>
        <w:rPr>
          <w:noProof/>
        </w:rPr>
        <w:drawing>
          <wp:anchor distT="0" distB="0" distL="114300" distR="114300" simplePos="0" relativeHeight="251662336" behindDoc="0" locked="0" layoutInCell="1" allowOverlap="1" wp14:anchorId="323D1D48" wp14:editId="6D991BE9">
            <wp:simplePos x="0" y="0"/>
            <wp:positionH relativeFrom="margin">
              <wp:align>center</wp:align>
            </wp:positionH>
            <wp:positionV relativeFrom="paragraph">
              <wp:posOffset>760730</wp:posOffset>
            </wp:positionV>
            <wp:extent cx="4140200" cy="812800"/>
            <wp:effectExtent l="0" t="0" r="0" b="6350"/>
            <wp:wrapTopAndBottom/>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7747" t="34686" r="10383" b="40231"/>
                    <a:stretch/>
                  </pic:blipFill>
                  <pic:spPr bwMode="auto">
                    <a:xfrm>
                      <a:off x="0" y="0"/>
                      <a:ext cx="4140200" cy="812800"/>
                    </a:xfrm>
                    <a:prstGeom prst="rect">
                      <a:avLst/>
                    </a:prstGeom>
                    <a:ln>
                      <a:noFill/>
                    </a:ln>
                    <a:extLst>
                      <a:ext uri="{53640926-AAD7-44D8-BBD7-CCE9431645EC}">
                        <a14:shadowObscured xmlns:a14="http://schemas.microsoft.com/office/drawing/2010/main"/>
                      </a:ext>
                    </a:extLst>
                  </pic:spPr>
                </pic:pic>
              </a:graphicData>
            </a:graphic>
          </wp:anchor>
        </w:drawing>
      </w:r>
      <w:r w:rsidRPr="00B32D96">
        <w:rPr>
          <w:rFonts w:ascii="Arial" w:hAnsi="Arial" w:cs="Arial"/>
          <w:lang w:val="en-GB"/>
        </w:rPr>
        <w:t>First, the extensive margin of housing demand is researched.</w:t>
      </w:r>
      <w:r>
        <w:rPr>
          <w:rFonts w:ascii="Arial" w:hAnsi="Arial" w:cs="Arial"/>
          <w:lang w:val="en-GB"/>
        </w:rPr>
        <w:t xml:space="preserve"> The effect of the deduction in tax subsidy on the homeownership rate for the top bracket is estimated using the below-top and bottom brackets as control groups.</w:t>
      </w:r>
      <w:r w:rsidRPr="00B32D96">
        <w:rPr>
          <w:rFonts w:ascii="Arial" w:hAnsi="Arial" w:cs="Arial"/>
          <w:lang w:val="en-GB"/>
        </w:rPr>
        <w:t xml:space="preserve"> </w:t>
      </w:r>
      <w:r>
        <w:rPr>
          <w:rFonts w:ascii="Arial" w:hAnsi="Arial" w:cs="Arial"/>
          <w:lang w:val="en-GB"/>
        </w:rPr>
        <w:t>The following regression equation is used:</w:t>
      </w:r>
    </w:p>
    <w:p w14:paraId="1B3AE9EA" w14:textId="32613910"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The outcome variable </w:t>
      </w:r>
      <w:proofErr w:type="spellStart"/>
      <w:r w:rsidRPr="00EE7D03">
        <w:rPr>
          <w:rFonts w:ascii="Arial" w:hAnsi="Arial" w:cs="Arial"/>
          <w:i/>
          <w:lang w:val="en-GB"/>
        </w:rPr>
        <w:t>Y</w:t>
      </w:r>
      <w:r w:rsidRPr="00EE7D03">
        <w:rPr>
          <w:rFonts w:ascii="Arial" w:hAnsi="Arial" w:cs="Arial"/>
          <w:i/>
          <w:vertAlign w:val="subscript"/>
          <w:lang w:val="en-GB"/>
        </w:rPr>
        <w:t>it</w:t>
      </w:r>
      <w:r w:rsidRPr="00EE7D03">
        <w:rPr>
          <w:rFonts w:ascii="Arial" w:hAnsi="Arial" w:cs="Arial"/>
          <w:i/>
          <w:vertAlign w:val="superscript"/>
          <w:lang w:val="en-GB"/>
        </w:rPr>
        <w:t>R</w:t>
      </w:r>
      <w:proofErr w:type="spellEnd"/>
      <w:r w:rsidRPr="00EE7D03">
        <w:rPr>
          <w:rFonts w:ascii="Arial" w:hAnsi="Arial" w:cs="Arial"/>
          <w:i/>
          <w:vertAlign w:val="superscript"/>
          <w:lang w:val="en-GB"/>
        </w:rPr>
        <w:t xml:space="preserve"> </w:t>
      </w:r>
      <w:r w:rsidRPr="00EE7D03">
        <w:rPr>
          <w:rFonts w:ascii="Arial" w:hAnsi="Arial" w:cs="Arial"/>
          <w:i/>
          <w:vertAlign w:val="subscript"/>
          <w:lang w:val="en-GB"/>
        </w:rPr>
        <w:t xml:space="preserve"> </w:t>
      </w:r>
      <w:r>
        <w:rPr>
          <w:rFonts w:ascii="Arial" w:hAnsi="Arial" w:cs="Arial"/>
          <w:lang w:val="en-GB"/>
        </w:rPr>
        <w:t xml:space="preserve">is the homeownership rate for group </w:t>
      </w:r>
      <w:proofErr w:type="spellStart"/>
      <w:r>
        <w:rPr>
          <w:rFonts w:ascii="Arial" w:hAnsi="Arial" w:cs="Arial"/>
          <w:i/>
          <w:lang w:val="en-GB"/>
        </w:rPr>
        <w:t>i</w:t>
      </w:r>
      <w:proofErr w:type="spellEnd"/>
      <w:r>
        <w:rPr>
          <w:rFonts w:ascii="Arial" w:hAnsi="Arial" w:cs="Arial"/>
          <w:i/>
          <w:lang w:val="en-GB"/>
        </w:rPr>
        <w:t xml:space="preserve"> </w:t>
      </w:r>
      <w:r>
        <w:rPr>
          <w:rFonts w:ascii="Arial" w:hAnsi="Arial" w:cs="Arial"/>
          <w:lang w:val="en-GB"/>
        </w:rPr>
        <w:t xml:space="preserve">at time </w:t>
      </w:r>
      <w:r>
        <w:rPr>
          <w:rFonts w:ascii="Arial" w:hAnsi="Arial" w:cs="Arial"/>
          <w:i/>
          <w:lang w:val="en-GB"/>
        </w:rPr>
        <w:t xml:space="preserve">t. </w:t>
      </w:r>
      <w:r>
        <w:rPr>
          <w:rFonts w:ascii="Arial" w:hAnsi="Arial" w:cs="Arial"/>
          <w:lang w:val="en-GB"/>
        </w:rPr>
        <w:t>The interaction term of number of years after treatment with treatment is the main variable of interest.</w:t>
      </w:r>
      <w:r>
        <w:rPr>
          <w:rFonts w:ascii="Arial" w:hAnsi="Arial" w:cs="Arial"/>
          <w:i/>
          <w:lang w:val="en-GB"/>
        </w:rPr>
        <w:t xml:space="preserve"> </w:t>
      </w:r>
      <w:r>
        <w:rPr>
          <w:rFonts w:ascii="Arial" w:hAnsi="Arial" w:cs="Arial"/>
          <w:lang w:val="en-GB"/>
        </w:rPr>
        <w:t>Age dummies are included as control variables</w:t>
      </w:r>
      <w:r>
        <w:rPr>
          <w:rFonts w:ascii="Arial" w:hAnsi="Arial" w:cs="Arial"/>
          <w:i/>
          <w:lang w:val="en-GB"/>
        </w:rPr>
        <w:t>.</w:t>
      </w:r>
      <w:r>
        <w:rPr>
          <w:rFonts w:ascii="Arial" w:hAnsi="Arial" w:cs="Arial"/>
          <w:lang w:val="en-GB"/>
        </w:rPr>
        <w:t xml:space="preserve"> The effect is estimated for the period 1980-1996, where the </w:t>
      </w:r>
      <w:r>
        <w:rPr>
          <w:rFonts w:ascii="Arial" w:hAnsi="Arial" w:cs="Arial"/>
          <w:lang w:val="en-GB"/>
        </w:rPr>
        <w:lastRenderedPageBreak/>
        <w:t>main interest is the</w:t>
      </w:r>
      <w:r w:rsidR="001451F0">
        <w:rPr>
          <w:rFonts w:ascii="Arial" w:hAnsi="Arial" w:cs="Arial"/>
          <w:lang w:val="en-GB"/>
        </w:rPr>
        <w:t xml:space="preserve"> average 10-year effect of the reform </w:t>
      </w:r>
      <w:r w:rsidR="00C17EE2">
        <w:rPr>
          <w:rFonts w:ascii="Arial" w:hAnsi="Arial" w:cs="Arial"/>
          <w:lang w:val="en-GB"/>
        </w:rPr>
        <w:t>in the years following the implementation,</w:t>
      </w:r>
      <w:r>
        <w:rPr>
          <w:rFonts w:ascii="Arial" w:hAnsi="Arial" w:cs="Arial"/>
          <w:lang w:val="en-GB"/>
        </w:rPr>
        <w:t xml:space="preserve"> hence the period 1987-1996. The effect of the reform on homeownership is averaged over this 10-year period and presented in Table 1 of Appendix A, labelled ‘effect of reform’. The price elasticity of housing demand is calculated and also presented in this table. Columns (1)-(3) present different specifications of the age fixed effects and column (3) shows the specification that follows from </w:t>
      </w:r>
      <w:r w:rsidR="00D47343">
        <w:rPr>
          <w:rFonts w:ascii="Arial" w:hAnsi="Arial" w:cs="Arial"/>
          <w:lang w:val="en-GB"/>
        </w:rPr>
        <w:t>E</w:t>
      </w:r>
      <w:r>
        <w:rPr>
          <w:rFonts w:ascii="Arial" w:hAnsi="Arial" w:cs="Arial"/>
          <w:lang w:val="en-GB"/>
        </w:rPr>
        <w:t>quation (7). Panel A shows the results with the below-top bracket as control group and Panel B with the bottom group as control group</w:t>
      </w:r>
      <w:r w:rsidR="00E83EDD">
        <w:rPr>
          <w:rFonts w:ascii="Arial" w:hAnsi="Arial" w:cs="Arial"/>
          <w:lang w:val="en-GB"/>
        </w:rPr>
        <w:t xml:space="preserve">. The coefficients presented in </w:t>
      </w:r>
      <w:r w:rsidR="009261E4">
        <w:rPr>
          <w:rFonts w:ascii="Arial" w:hAnsi="Arial" w:cs="Arial"/>
          <w:lang w:val="en-GB"/>
        </w:rPr>
        <w:t>column (3) are computed using the preferred specification that includes control variables for age fixed effects.</w:t>
      </w:r>
      <w:r w:rsidR="00C32F50">
        <w:rPr>
          <w:rFonts w:ascii="Arial" w:hAnsi="Arial" w:cs="Arial"/>
          <w:lang w:val="en-GB"/>
        </w:rPr>
        <w:t xml:space="preserve"> </w:t>
      </w:r>
      <w:r w:rsidR="00F36D76">
        <w:rPr>
          <w:rFonts w:ascii="Arial" w:hAnsi="Arial" w:cs="Arial"/>
          <w:lang w:val="en-GB"/>
        </w:rPr>
        <w:t xml:space="preserve">Using the below-top bracket as control group, </w:t>
      </w:r>
      <w:r w:rsidR="0030321A">
        <w:rPr>
          <w:rFonts w:ascii="Arial" w:hAnsi="Arial" w:cs="Arial"/>
          <w:lang w:val="en-GB"/>
        </w:rPr>
        <w:t xml:space="preserve">the coefficient has a value of </w:t>
      </w:r>
      <w:r w:rsidR="007D74CE">
        <w:rPr>
          <w:rFonts w:ascii="Arial" w:hAnsi="Arial" w:cs="Arial"/>
          <w:lang w:val="en-GB"/>
        </w:rPr>
        <w:t xml:space="preserve">0.006 percentage points with a </w:t>
      </w:r>
      <w:r w:rsidR="00771702">
        <w:rPr>
          <w:rFonts w:ascii="Arial" w:hAnsi="Arial" w:cs="Arial"/>
          <w:lang w:val="en-GB"/>
        </w:rPr>
        <w:t>standard deviation</w:t>
      </w:r>
      <w:r w:rsidR="007D74CE">
        <w:rPr>
          <w:rFonts w:ascii="Arial" w:hAnsi="Arial" w:cs="Arial"/>
          <w:lang w:val="en-GB"/>
        </w:rPr>
        <w:t xml:space="preserve"> of 0.001.</w:t>
      </w:r>
      <w:r w:rsidR="006E5242">
        <w:rPr>
          <w:rFonts w:ascii="Arial" w:hAnsi="Arial" w:cs="Arial"/>
          <w:lang w:val="en-GB"/>
        </w:rPr>
        <w:t xml:space="preserve"> This </w:t>
      </w:r>
      <w:r w:rsidR="008B0F37">
        <w:rPr>
          <w:rFonts w:ascii="Arial" w:hAnsi="Arial" w:cs="Arial"/>
          <w:lang w:val="en-GB"/>
        </w:rPr>
        <w:t xml:space="preserve">implies that the reduction in home mortgage deduction for the highest income group increases </w:t>
      </w:r>
      <w:r w:rsidR="00C45AB4">
        <w:rPr>
          <w:rFonts w:ascii="Arial" w:hAnsi="Arial" w:cs="Arial"/>
          <w:lang w:val="en-GB"/>
        </w:rPr>
        <w:t xml:space="preserve">their homeownership rate with 0.006 percentage points. If the bottom bracket is used as a control group, then </w:t>
      </w:r>
      <w:r w:rsidR="00771702">
        <w:rPr>
          <w:rFonts w:ascii="Arial" w:hAnsi="Arial" w:cs="Arial"/>
          <w:lang w:val="en-GB"/>
        </w:rPr>
        <w:t xml:space="preserve">the effect is -0.002 percentage points with a </w:t>
      </w:r>
      <w:r w:rsidR="007D74CE">
        <w:rPr>
          <w:rFonts w:ascii="Arial" w:hAnsi="Arial" w:cs="Arial"/>
          <w:lang w:val="en-GB"/>
        </w:rPr>
        <w:t xml:space="preserve"> </w:t>
      </w:r>
      <w:r w:rsidR="00771702">
        <w:rPr>
          <w:rFonts w:ascii="Arial" w:hAnsi="Arial" w:cs="Arial"/>
          <w:lang w:val="en-GB"/>
        </w:rPr>
        <w:t>standard deviation of 0.001.</w:t>
      </w:r>
      <w:r w:rsidR="006069A4">
        <w:rPr>
          <w:rFonts w:ascii="Arial" w:hAnsi="Arial" w:cs="Arial"/>
          <w:lang w:val="en-GB"/>
        </w:rPr>
        <w:t xml:space="preserve"> The standard deviations for these coefficients are small because of the large sample size that is used</w:t>
      </w:r>
      <w:r w:rsidRPr="00C515D8">
        <w:rPr>
          <w:rFonts w:ascii="Arial" w:hAnsi="Arial" w:cs="Arial"/>
          <w:lang w:val="en-GB"/>
        </w:rPr>
        <w:t xml:space="preserve"> </w:t>
      </w:r>
      <w:r>
        <w:rPr>
          <w:rFonts w:ascii="Arial" w:hAnsi="Arial" w:cs="Arial"/>
          <w:lang w:val="en-GB"/>
        </w:rPr>
        <w:t>(Gruber et al., 2018, pp. 14-16).</w:t>
      </w:r>
    </w:p>
    <w:p w14:paraId="3E2C7972" w14:textId="77777777" w:rsidR="007F043B" w:rsidRPr="00602FD0" w:rsidRDefault="007F043B" w:rsidP="007F043B">
      <w:pPr>
        <w:pStyle w:val="Geenafstand"/>
        <w:spacing w:line="360" w:lineRule="auto"/>
        <w:jc w:val="both"/>
        <w:rPr>
          <w:rFonts w:ascii="Arial" w:hAnsi="Arial" w:cs="Arial"/>
          <w:lang w:val="en-GB"/>
        </w:rPr>
      </w:pPr>
    </w:p>
    <w:p w14:paraId="4B3BD02C"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For both control groups, t</w:t>
      </w:r>
      <w:r w:rsidRPr="00B32D96">
        <w:rPr>
          <w:rFonts w:ascii="Arial" w:hAnsi="Arial" w:cs="Arial"/>
          <w:lang w:val="en-GB"/>
        </w:rPr>
        <w:t xml:space="preserve">he results </w:t>
      </w:r>
      <w:r>
        <w:rPr>
          <w:rFonts w:ascii="Arial" w:hAnsi="Arial" w:cs="Arial"/>
          <w:lang w:val="en-GB"/>
        </w:rPr>
        <w:t xml:space="preserve">only </w:t>
      </w:r>
      <w:r w:rsidRPr="00B32D96">
        <w:rPr>
          <w:rFonts w:ascii="Arial" w:hAnsi="Arial" w:cs="Arial"/>
          <w:lang w:val="en-GB"/>
        </w:rPr>
        <w:t xml:space="preserve">show </w:t>
      </w:r>
      <w:r>
        <w:rPr>
          <w:rFonts w:ascii="Arial" w:hAnsi="Arial" w:cs="Arial"/>
          <w:lang w:val="en-GB"/>
        </w:rPr>
        <w:t>a very small effect</w:t>
      </w:r>
      <w:r w:rsidRPr="00B32D96">
        <w:rPr>
          <w:rFonts w:ascii="Arial" w:hAnsi="Arial" w:cs="Arial"/>
          <w:lang w:val="en-GB"/>
        </w:rPr>
        <w:t xml:space="preserve"> of the substantial reduction of the mortgage interest deduction </w:t>
      </w:r>
      <w:r>
        <w:rPr>
          <w:rFonts w:ascii="Arial" w:hAnsi="Arial" w:cs="Arial"/>
          <w:lang w:val="en-GB"/>
        </w:rPr>
        <w:t>on the average homeownership rate</w:t>
      </w:r>
      <w:r w:rsidRPr="00B32D96">
        <w:rPr>
          <w:rFonts w:ascii="Arial" w:hAnsi="Arial" w:cs="Arial"/>
          <w:lang w:val="en-GB"/>
        </w:rPr>
        <w:t xml:space="preserve">. The trends in housing demand for </w:t>
      </w:r>
      <w:r>
        <w:rPr>
          <w:rFonts w:ascii="Arial" w:hAnsi="Arial" w:cs="Arial"/>
          <w:lang w:val="en-GB"/>
        </w:rPr>
        <w:t>all income groups</w:t>
      </w:r>
      <w:r w:rsidRPr="00B32D96">
        <w:rPr>
          <w:rFonts w:ascii="Arial" w:hAnsi="Arial" w:cs="Arial"/>
          <w:lang w:val="en-GB"/>
        </w:rPr>
        <w:t xml:space="preserve"> stay parallel before and after the implementation of the reform. </w:t>
      </w:r>
      <w:r>
        <w:rPr>
          <w:rFonts w:ascii="Arial" w:hAnsi="Arial" w:cs="Arial"/>
          <w:lang w:val="en-GB"/>
        </w:rPr>
        <w:t xml:space="preserve">The tax variation caused by the policy reform is substantial while the effects on homeownership rate are small, which translates into low elasticities. </w:t>
      </w:r>
      <w:r w:rsidRPr="00B32D96">
        <w:rPr>
          <w:rFonts w:ascii="Arial" w:hAnsi="Arial" w:cs="Arial"/>
          <w:lang w:val="en-GB"/>
        </w:rPr>
        <w:t xml:space="preserve">These results lead to the conclusion that the reduction of mortgage interest deduction did not have an </w:t>
      </w:r>
      <w:r>
        <w:rPr>
          <w:rFonts w:ascii="Arial" w:hAnsi="Arial" w:cs="Arial"/>
          <w:lang w:val="en-GB"/>
        </w:rPr>
        <w:t xml:space="preserve">economically relevant </w:t>
      </w:r>
      <w:r w:rsidRPr="00B32D96">
        <w:rPr>
          <w:rFonts w:ascii="Arial" w:hAnsi="Arial" w:cs="Arial"/>
          <w:lang w:val="en-GB"/>
        </w:rPr>
        <w:t>impact on homeownership</w:t>
      </w:r>
      <w:r>
        <w:rPr>
          <w:rFonts w:ascii="Arial" w:hAnsi="Arial" w:cs="Arial"/>
          <w:lang w:val="en-GB"/>
        </w:rPr>
        <w:t>.</w:t>
      </w:r>
      <w:r w:rsidRPr="00B32D96">
        <w:rPr>
          <w:rFonts w:ascii="Arial" w:hAnsi="Arial" w:cs="Arial"/>
          <w:lang w:val="en-GB"/>
        </w:rPr>
        <w:t xml:space="preserve"> </w:t>
      </w:r>
      <w:r>
        <w:rPr>
          <w:rFonts w:ascii="Arial" w:hAnsi="Arial" w:cs="Arial"/>
          <w:lang w:val="en-GB"/>
        </w:rPr>
        <w:t>H</w:t>
      </w:r>
      <w:r w:rsidRPr="00B32D96">
        <w:rPr>
          <w:rFonts w:ascii="Arial" w:hAnsi="Arial" w:cs="Arial"/>
          <w:lang w:val="en-GB"/>
        </w:rPr>
        <w:t>ence</w:t>
      </w:r>
      <w:r>
        <w:rPr>
          <w:rFonts w:ascii="Arial" w:hAnsi="Arial" w:cs="Arial"/>
          <w:lang w:val="en-GB"/>
        </w:rPr>
        <w:t>,</w:t>
      </w:r>
      <w:r w:rsidRPr="00B32D96">
        <w:rPr>
          <w:rFonts w:ascii="Arial" w:hAnsi="Arial" w:cs="Arial"/>
          <w:lang w:val="en-GB"/>
        </w:rPr>
        <w:t xml:space="preserve"> higher income groups do not make homeownership decisions based on housing subsidy</w:t>
      </w:r>
      <w:r>
        <w:rPr>
          <w:rFonts w:ascii="Arial" w:hAnsi="Arial" w:cs="Arial"/>
          <w:lang w:val="en-GB"/>
        </w:rPr>
        <w:t xml:space="preserve"> (Gruber et al., 2018, p. 16)</w:t>
      </w:r>
      <w:r w:rsidRPr="00B32D96">
        <w:rPr>
          <w:rFonts w:ascii="Arial" w:hAnsi="Arial" w:cs="Arial"/>
          <w:lang w:val="en-GB"/>
        </w:rPr>
        <w:t>.</w:t>
      </w:r>
      <w:r>
        <w:rPr>
          <w:rFonts w:ascii="Arial" w:hAnsi="Arial" w:cs="Arial"/>
          <w:lang w:val="en-GB"/>
        </w:rPr>
        <w:t xml:space="preserve"> </w:t>
      </w:r>
    </w:p>
    <w:p w14:paraId="50AE05F2" w14:textId="77777777" w:rsidR="007F043B" w:rsidRDefault="007F043B" w:rsidP="007F043B">
      <w:pPr>
        <w:pStyle w:val="Geenafstand"/>
        <w:spacing w:line="360" w:lineRule="auto"/>
        <w:jc w:val="both"/>
        <w:rPr>
          <w:rFonts w:ascii="Arial" w:hAnsi="Arial" w:cs="Arial"/>
          <w:lang w:val="en-GB"/>
        </w:rPr>
      </w:pPr>
    </w:p>
    <w:p w14:paraId="3F26E636" w14:textId="77777777" w:rsidR="007F043B" w:rsidRDefault="003F2BD6" w:rsidP="007F043B">
      <w:pPr>
        <w:pStyle w:val="Geenafstand"/>
        <w:spacing w:line="360" w:lineRule="auto"/>
        <w:jc w:val="both"/>
        <w:rPr>
          <w:rFonts w:ascii="Arial" w:hAnsi="Arial" w:cs="Arial"/>
          <w:lang w:val="en-GB"/>
        </w:rPr>
      </w:pPr>
      <w:r>
        <w:rPr>
          <w:rFonts w:ascii="Arial" w:hAnsi="Arial" w:cs="Arial"/>
          <w:lang w:val="en-GB"/>
        </w:rPr>
        <w:t>This leads</w:t>
      </w:r>
      <w:r w:rsidR="007F043B">
        <w:rPr>
          <w:rFonts w:ascii="Arial" w:hAnsi="Arial" w:cs="Arial"/>
          <w:lang w:val="en-GB"/>
        </w:rPr>
        <w:t xml:space="preserve"> to Hypothesis 1</w:t>
      </w:r>
      <w:r>
        <w:rPr>
          <w:rFonts w:ascii="Arial" w:hAnsi="Arial" w:cs="Arial"/>
          <w:lang w:val="en-GB"/>
        </w:rPr>
        <w:t xml:space="preserve">: The reduction in home mortgage interest deduction will not affect the homeownership rate in the Netherlands. </w:t>
      </w:r>
    </w:p>
    <w:p w14:paraId="525A8287" w14:textId="77777777" w:rsidR="007F043B" w:rsidRDefault="007F043B" w:rsidP="007F043B">
      <w:pPr>
        <w:pStyle w:val="Geenafstand"/>
        <w:spacing w:line="360" w:lineRule="auto"/>
        <w:jc w:val="both"/>
        <w:rPr>
          <w:rFonts w:ascii="Arial" w:hAnsi="Arial" w:cs="Arial"/>
          <w:lang w:val="en-GB"/>
        </w:rPr>
      </w:pPr>
    </w:p>
    <w:p w14:paraId="754E57DF" w14:textId="1142E118" w:rsidR="007F043B" w:rsidRDefault="007F043B" w:rsidP="007F043B">
      <w:pPr>
        <w:pStyle w:val="Geenafstand"/>
        <w:spacing w:line="360" w:lineRule="auto"/>
        <w:jc w:val="both"/>
        <w:rPr>
          <w:rFonts w:ascii="Arial" w:hAnsi="Arial" w:cs="Arial"/>
          <w:lang w:val="en-GB"/>
        </w:rPr>
      </w:pPr>
      <w:r w:rsidRPr="00B32D96">
        <w:rPr>
          <w:rFonts w:ascii="Arial" w:hAnsi="Arial" w:cs="Arial"/>
          <w:lang w:val="en-GB"/>
        </w:rPr>
        <w:t xml:space="preserve">Second, the researchers evaluate whether or not the policy reform affected the intensive margin of housing demand, where home size is the main determinant. Again, the difference-in-differences method is used with the highest </w:t>
      </w:r>
      <w:r>
        <w:rPr>
          <w:rFonts w:ascii="Arial" w:hAnsi="Arial" w:cs="Arial"/>
          <w:lang w:val="en-GB"/>
        </w:rPr>
        <w:t xml:space="preserve">income bracket as treatment group and the below-top </w:t>
      </w:r>
      <w:r w:rsidRPr="00B32D96">
        <w:rPr>
          <w:rFonts w:ascii="Arial" w:hAnsi="Arial" w:cs="Arial"/>
          <w:lang w:val="en-GB"/>
        </w:rPr>
        <w:t>and lowest income brackets a</w:t>
      </w:r>
      <w:r>
        <w:rPr>
          <w:rFonts w:ascii="Arial" w:hAnsi="Arial" w:cs="Arial"/>
          <w:lang w:val="en-GB"/>
        </w:rPr>
        <w:t>s</w:t>
      </w:r>
      <w:r w:rsidRPr="00B32D96">
        <w:rPr>
          <w:rFonts w:ascii="Arial" w:hAnsi="Arial" w:cs="Arial"/>
          <w:lang w:val="en-GB"/>
        </w:rPr>
        <w:t xml:space="preserve"> control groups</w:t>
      </w:r>
      <w:r>
        <w:rPr>
          <w:rFonts w:ascii="Arial" w:hAnsi="Arial" w:cs="Arial"/>
          <w:lang w:val="en-GB"/>
        </w:rPr>
        <w:t xml:space="preserve">. The specification of </w:t>
      </w:r>
      <w:r w:rsidR="00612AF9">
        <w:rPr>
          <w:rFonts w:ascii="Arial" w:hAnsi="Arial" w:cs="Arial"/>
          <w:lang w:val="en-GB"/>
        </w:rPr>
        <w:t>E</w:t>
      </w:r>
      <w:r>
        <w:rPr>
          <w:rFonts w:ascii="Arial" w:hAnsi="Arial" w:cs="Arial"/>
          <w:lang w:val="en-GB"/>
        </w:rPr>
        <w:t>quation (7) is used to estimate the effect of the policy reform on home size and home value, where home size is in logs. The effects are estimated using a sample of movers and the average effects are calculated over the 10 post-reform years.</w:t>
      </w:r>
    </w:p>
    <w:p w14:paraId="598DF641" w14:textId="77777777" w:rsidR="007F043B" w:rsidRDefault="007F043B" w:rsidP="007F043B">
      <w:pPr>
        <w:pStyle w:val="Geenafstand"/>
        <w:spacing w:line="360" w:lineRule="auto"/>
        <w:jc w:val="both"/>
        <w:rPr>
          <w:rFonts w:ascii="Arial" w:hAnsi="Arial" w:cs="Arial"/>
          <w:lang w:val="en-GB"/>
        </w:rPr>
      </w:pPr>
    </w:p>
    <w:p w14:paraId="4A5407B4" w14:textId="0DF9F967" w:rsidR="00C1705A" w:rsidRDefault="007F043B" w:rsidP="002B549D">
      <w:pPr>
        <w:pStyle w:val="Geenafstand"/>
        <w:spacing w:line="360" w:lineRule="auto"/>
        <w:jc w:val="both"/>
        <w:rPr>
          <w:rFonts w:ascii="Arial" w:hAnsi="Arial" w:cs="Arial"/>
          <w:lang w:val="en-GB"/>
        </w:rPr>
      </w:pPr>
      <w:r>
        <w:rPr>
          <w:rFonts w:ascii="Arial" w:hAnsi="Arial" w:cs="Arial"/>
          <w:lang w:val="en-GB"/>
        </w:rPr>
        <w:lastRenderedPageBreak/>
        <w:t>Table 2 in Appendix A shows the effect of the policy reform on home size among movers and Table 3 in Appendix A shows the effect on home value. Similar to Table 1, different specifications of the regression equation are used in columns (1)-(3) and the estimates for both control groups are presented. Table 2 show</w:t>
      </w:r>
      <w:r w:rsidR="005131FC">
        <w:rPr>
          <w:rFonts w:ascii="Arial" w:hAnsi="Arial" w:cs="Arial"/>
          <w:lang w:val="en-GB"/>
        </w:rPr>
        <w:t>s</w:t>
      </w:r>
      <w:r>
        <w:rPr>
          <w:rFonts w:ascii="Arial" w:hAnsi="Arial" w:cs="Arial"/>
          <w:lang w:val="en-GB"/>
        </w:rPr>
        <w:t xml:space="preserve"> </w:t>
      </w:r>
      <w:r w:rsidR="002248B4">
        <w:rPr>
          <w:rFonts w:ascii="Arial" w:hAnsi="Arial" w:cs="Arial"/>
          <w:lang w:val="en-GB"/>
        </w:rPr>
        <w:t xml:space="preserve">the estimates with the below-top bracket as control group in Panel A </w:t>
      </w:r>
      <w:r w:rsidR="005131FC">
        <w:rPr>
          <w:rFonts w:ascii="Arial" w:hAnsi="Arial" w:cs="Arial"/>
          <w:lang w:val="en-GB"/>
        </w:rPr>
        <w:t>and the bottom-bracket as control group in Panel B</w:t>
      </w:r>
      <w:r w:rsidR="00286044">
        <w:rPr>
          <w:rFonts w:ascii="Arial" w:hAnsi="Arial" w:cs="Arial"/>
          <w:lang w:val="en-GB"/>
        </w:rPr>
        <w:t xml:space="preserve">. </w:t>
      </w:r>
      <w:r w:rsidR="005F07C8">
        <w:rPr>
          <w:rFonts w:ascii="Arial" w:hAnsi="Arial" w:cs="Arial"/>
          <w:lang w:val="en-GB"/>
        </w:rPr>
        <w:t xml:space="preserve">When comparing with the below-top bracket, </w:t>
      </w:r>
      <w:r w:rsidR="00CD5015">
        <w:rPr>
          <w:rFonts w:ascii="Arial" w:hAnsi="Arial" w:cs="Arial"/>
          <w:lang w:val="en-GB"/>
        </w:rPr>
        <w:t>the coefficient has a value of -0.063</w:t>
      </w:r>
      <w:r w:rsidR="00834DB8">
        <w:rPr>
          <w:rFonts w:ascii="Arial" w:hAnsi="Arial" w:cs="Arial"/>
          <w:lang w:val="en-GB"/>
        </w:rPr>
        <w:t xml:space="preserve"> log points</w:t>
      </w:r>
      <w:r w:rsidR="00CD5015">
        <w:rPr>
          <w:rFonts w:ascii="Arial" w:hAnsi="Arial" w:cs="Arial"/>
          <w:lang w:val="en-GB"/>
        </w:rPr>
        <w:t xml:space="preserve"> with a </w:t>
      </w:r>
      <w:r w:rsidR="00F36189">
        <w:rPr>
          <w:rFonts w:ascii="Arial" w:hAnsi="Arial" w:cs="Arial"/>
          <w:lang w:val="en-GB"/>
        </w:rPr>
        <w:t xml:space="preserve">standard deviation of </w:t>
      </w:r>
      <w:r w:rsidR="00CD5015">
        <w:rPr>
          <w:rFonts w:ascii="Arial" w:hAnsi="Arial" w:cs="Arial"/>
          <w:lang w:val="en-GB"/>
        </w:rPr>
        <w:t>0.003</w:t>
      </w:r>
      <w:r w:rsidR="00505A45">
        <w:rPr>
          <w:rFonts w:ascii="Arial" w:hAnsi="Arial" w:cs="Arial"/>
          <w:lang w:val="en-GB"/>
        </w:rPr>
        <w:t xml:space="preserve"> and when comparing with the bottom bracket, the coefficient has a value of </w:t>
      </w:r>
      <w:r w:rsidR="00AD1027">
        <w:rPr>
          <w:rFonts w:ascii="Arial" w:hAnsi="Arial" w:cs="Arial"/>
          <w:lang w:val="en-GB"/>
        </w:rPr>
        <w:t xml:space="preserve">            </w:t>
      </w:r>
      <w:r w:rsidR="00505A45">
        <w:rPr>
          <w:rFonts w:ascii="Arial" w:hAnsi="Arial" w:cs="Arial"/>
          <w:lang w:val="en-GB"/>
        </w:rPr>
        <w:t xml:space="preserve">-0.105 log points with a </w:t>
      </w:r>
      <w:r w:rsidR="00F36189">
        <w:rPr>
          <w:rFonts w:ascii="Arial" w:hAnsi="Arial" w:cs="Arial"/>
          <w:lang w:val="en-GB"/>
        </w:rPr>
        <w:t>standard deviation</w:t>
      </w:r>
      <w:r w:rsidR="00505A45">
        <w:rPr>
          <w:rFonts w:ascii="Arial" w:hAnsi="Arial" w:cs="Arial"/>
          <w:lang w:val="en-GB"/>
        </w:rPr>
        <w:t xml:space="preserve"> of 0.003. </w:t>
      </w:r>
      <w:r w:rsidR="00824C5C">
        <w:rPr>
          <w:rFonts w:ascii="Arial" w:hAnsi="Arial" w:cs="Arial"/>
          <w:lang w:val="en-GB"/>
        </w:rPr>
        <w:t xml:space="preserve">The elasticity of home size </w:t>
      </w:r>
      <w:r w:rsidR="00F62112">
        <w:rPr>
          <w:rFonts w:ascii="Arial" w:hAnsi="Arial" w:cs="Arial"/>
          <w:lang w:val="en-GB"/>
        </w:rPr>
        <w:t xml:space="preserve">has a value between 0.09 and 0.12 in absolute values, </w:t>
      </w:r>
      <w:r w:rsidR="00847AC2">
        <w:rPr>
          <w:rFonts w:ascii="Arial" w:hAnsi="Arial" w:cs="Arial"/>
          <w:lang w:val="en-GB"/>
        </w:rPr>
        <w:t>depending</w:t>
      </w:r>
      <w:r w:rsidR="00F62112">
        <w:rPr>
          <w:rFonts w:ascii="Arial" w:hAnsi="Arial" w:cs="Arial"/>
          <w:lang w:val="en-GB"/>
        </w:rPr>
        <w:t xml:space="preserve"> on the control groups. </w:t>
      </w:r>
      <w:r w:rsidR="0071177D">
        <w:rPr>
          <w:rFonts w:ascii="Arial" w:hAnsi="Arial" w:cs="Arial"/>
          <w:lang w:val="en-GB"/>
        </w:rPr>
        <w:t xml:space="preserve">This means that the reduction in home mortgage deduction has a negative impact on </w:t>
      </w:r>
      <w:r w:rsidR="00BA1C6F">
        <w:rPr>
          <w:rFonts w:ascii="Arial" w:hAnsi="Arial" w:cs="Arial"/>
          <w:lang w:val="en-GB"/>
        </w:rPr>
        <w:t>the home size of households in the top bracket</w:t>
      </w:r>
      <w:r w:rsidR="00824C5C">
        <w:rPr>
          <w:rFonts w:ascii="Arial" w:hAnsi="Arial" w:cs="Arial"/>
          <w:lang w:val="en-GB"/>
        </w:rPr>
        <w:t>.</w:t>
      </w:r>
      <w:r>
        <w:rPr>
          <w:rFonts w:ascii="Arial" w:hAnsi="Arial" w:cs="Arial"/>
          <w:lang w:val="en-GB"/>
        </w:rPr>
        <w:t xml:space="preserve"> This effect is visible right after the implementation of the policy reform and persists over time. </w:t>
      </w:r>
    </w:p>
    <w:p w14:paraId="7E9F5F23" w14:textId="77777777" w:rsidR="00C1705A" w:rsidRDefault="00C1705A" w:rsidP="002B549D">
      <w:pPr>
        <w:pStyle w:val="Geenafstand"/>
        <w:spacing w:line="360" w:lineRule="auto"/>
        <w:jc w:val="both"/>
        <w:rPr>
          <w:rFonts w:ascii="Arial" w:hAnsi="Arial" w:cs="Arial"/>
          <w:lang w:val="en-GB"/>
        </w:rPr>
      </w:pPr>
    </w:p>
    <w:p w14:paraId="362CF959" w14:textId="3A4E5DF8" w:rsidR="007F043B" w:rsidRPr="00664521" w:rsidRDefault="007F043B" w:rsidP="002B549D">
      <w:pPr>
        <w:pStyle w:val="Geenafstand"/>
        <w:spacing w:line="360" w:lineRule="auto"/>
        <w:jc w:val="both"/>
        <w:rPr>
          <w:rFonts w:ascii="Arial" w:hAnsi="Arial" w:cs="Arial"/>
          <w:lang w:val="en-GB"/>
        </w:rPr>
      </w:pPr>
      <w:r>
        <w:rPr>
          <w:rFonts w:ascii="Arial" w:hAnsi="Arial" w:cs="Arial"/>
          <w:lang w:val="en-GB"/>
        </w:rPr>
        <w:t xml:space="preserve">Table 3 shows </w:t>
      </w:r>
      <w:r w:rsidR="00BA706A">
        <w:rPr>
          <w:rFonts w:ascii="Arial" w:hAnsi="Arial" w:cs="Arial"/>
          <w:lang w:val="en-GB"/>
        </w:rPr>
        <w:t>the</w:t>
      </w:r>
      <w:r>
        <w:rPr>
          <w:rFonts w:ascii="Arial" w:hAnsi="Arial" w:cs="Arial"/>
          <w:lang w:val="en-GB"/>
        </w:rPr>
        <w:t xml:space="preserve"> </w:t>
      </w:r>
      <w:r w:rsidR="00BA706A">
        <w:rPr>
          <w:rFonts w:ascii="Arial" w:hAnsi="Arial" w:cs="Arial"/>
          <w:lang w:val="en-GB"/>
        </w:rPr>
        <w:t>effect of the reduction in home mortgage deduction on</w:t>
      </w:r>
      <w:r w:rsidRPr="00B32D96">
        <w:rPr>
          <w:rFonts w:ascii="Arial" w:hAnsi="Arial" w:cs="Arial"/>
          <w:lang w:val="en-GB"/>
        </w:rPr>
        <w:t xml:space="preserve"> home value</w:t>
      </w:r>
      <w:r w:rsidR="00F1100B">
        <w:rPr>
          <w:rFonts w:ascii="Arial" w:hAnsi="Arial" w:cs="Arial"/>
          <w:lang w:val="en-GB"/>
        </w:rPr>
        <w:t>.</w:t>
      </w:r>
      <w:r w:rsidRPr="00B32D96">
        <w:rPr>
          <w:rFonts w:ascii="Arial" w:hAnsi="Arial" w:cs="Arial"/>
          <w:lang w:val="en-GB"/>
        </w:rPr>
        <w:t xml:space="preserve"> </w:t>
      </w:r>
      <w:r w:rsidR="0069272B">
        <w:rPr>
          <w:rFonts w:ascii="Arial" w:hAnsi="Arial" w:cs="Arial"/>
          <w:lang w:val="en-GB"/>
        </w:rPr>
        <w:t xml:space="preserve">Panel A shows a coefficient of -0.119 </w:t>
      </w:r>
      <w:r w:rsidR="00F36189">
        <w:rPr>
          <w:rFonts w:ascii="Arial" w:hAnsi="Arial" w:cs="Arial"/>
          <w:lang w:val="en-GB"/>
        </w:rPr>
        <w:t xml:space="preserve">with a </w:t>
      </w:r>
      <w:r w:rsidR="00F6261A">
        <w:rPr>
          <w:rFonts w:ascii="Arial" w:hAnsi="Arial" w:cs="Arial"/>
          <w:lang w:val="en-GB"/>
        </w:rPr>
        <w:t xml:space="preserve">standard deviation of 0.008 when the bottom-top bracket is used as control group. </w:t>
      </w:r>
      <w:r w:rsidR="0048259A">
        <w:rPr>
          <w:rFonts w:ascii="Arial" w:hAnsi="Arial" w:cs="Arial"/>
          <w:lang w:val="en-GB"/>
        </w:rPr>
        <w:t xml:space="preserve">Panel B shows the estimates when the bottom bracket is used as control group, where the coefficient has a value of -0.215 </w:t>
      </w:r>
      <w:r w:rsidR="00BA706A">
        <w:rPr>
          <w:rFonts w:ascii="Arial" w:hAnsi="Arial" w:cs="Arial"/>
          <w:lang w:val="en-GB"/>
        </w:rPr>
        <w:t>with</w:t>
      </w:r>
      <w:r w:rsidR="0048259A">
        <w:rPr>
          <w:rFonts w:ascii="Arial" w:hAnsi="Arial" w:cs="Arial"/>
          <w:lang w:val="en-GB"/>
        </w:rPr>
        <w:t xml:space="preserve"> a significance level of 0.009</w:t>
      </w:r>
      <w:r w:rsidR="00AE7710">
        <w:rPr>
          <w:rFonts w:ascii="Arial" w:hAnsi="Arial" w:cs="Arial"/>
          <w:lang w:val="en-GB"/>
        </w:rPr>
        <w:t xml:space="preserve">. </w:t>
      </w:r>
      <w:r w:rsidR="00590B30">
        <w:rPr>
          <w:rFonts w:ascii="Arial" w:hAnsi="Arial" w:cs="Arial"/>
          <w:lang w:val="en-GB"/>
        </w:rPr>
        <w:t xml:space="preserve">Hence, </w:t>
      </w:r>
      <w:r w:rsidR="00F1100B" w:rsidRPr="00B32D96">
        <w:rPr>
          <w:rFonts w:ascii="Arial" w:hAnsi="Arial" w:cs="Arial"/>
          <w:lang w:val="en-GB"/>
        </w:rPr>
        <w:t>the home values of the higher income groups decrease after the policy implementation.</w:t>
      </w:r>
      <w:r w:rsidR="00F1100B">
        <w:rPr>
          <w:rFonts w:ascii="Arial" w:hAnsi="Arial" w:cs="Arial"/>
          <w:lang w:val="en-GB"/>
        </w:rPr>
        <w:t xml:space="preserve"> </w:t>
      </w:r>
      <w:r>
        <w:rPr>
          <w:rFonts w:ascii="Arial" w:hAnsi="Arial" w:cs="Arial"/>
          <w:lang w:val="en-GB"/>
        </w:rPr>
        <w:t>The elasticities</w:t>
      </w:r>
      <w:r w:rsidR="00215CC2">
        <w:rPr>
          <w:rFonts w:ascii="Arial" w:hAnsi="Arial" w:cs="Arial"/>
          <w:lang w:val="en-GB"/>
        </w:rPr>
        <w:t xml:space="preserve"> for</w:t>
      </w:r>
      <w:r>
        <w:rPr>
          <w:rFonts w:ascii="Arial" w:hAnsi="Arial" w:cs="Arial"/>
          <w:lang w:val="en-GB"/>
        </w:rPr>
        <w:t xml:space="preserve"> </w:t>
      </w:r>
      <w:r w:rsidR="00503433">
        <w:rPr>
          <w:rFonts w:ascii="Arial" w:hAnsi="Arial" w:cs="Arial"/>
          <w:lang w:val="en-GB"/>
        </w:rPr>
        <w:t xml:space="preserve">both </w:t>
      </w:r>
      <w:r w:rsidR="00215CC2">
        <w:rPr>
          <w:rFonts w:ascii="Arial" w:hAnsi="Arial" w:cs="Arial"/>
          <w:lang w:val="en-GB"/>
        </w:rPr>
        <w:t>the coefficient specifications</w:t>
      </w:r>
      <w:r>
        <w:rPr>
          <w:rFonts w:ascii="Arial" w:hAnsi="Arial" w:cs="Arial"/>
          <w:lang w:val="en-GB"/>
        </w:rPr>
        <w:t xml:space="preserve"> are moderate</w:t>
      </w:r>
      <w:r w:rsidR="00F1182F">
        <w:rPr>
          <w:rFonts w:ascii="Arial" w:hAnsi="Arial" w:cs="Arial"/>
          <w:lang w:val="en-GB"/>
        </w:rPr>
        <w:t xml:space="preserve"> with </w:t>
      </w:r>
      <w:r w:rsidR="00503433">
        <w:rPr>
          <w:rFonts w:ascii="Arial" w:hAnsi="Arial" w:cs="Arial"/>
          <w:lang w:val="en-GB"/>
        </w:rPr>
        <w:t>a value between 0.18 and 0.25</w:t>
      </w:r>
      <w:r>
        <w:rPr>
          <w:rFonts w:ascii="Arial" w:hAnsi="Arial" w:cs="Arial"/>
          <w:lang w:val="en-GB"/>
        </w:rPr>
        <w:t xml:space="preserve"> because the tax variation created by the reform is large. </w:t>
      </w:r>
      <w:r w:rsidRPr="00B32D96">
        <w:rPr>
          <w:rFonts w:ascii="Arial" w:hAnsi="Arial" w:cs="Arial"/>
          <w:lang w:val="en-GB"/>
        </w:rPr>
        <w:t>The</w:t>
      </w:r>
      <w:r>
        <w:rPr>
          <w:rFonts w:ascii="Arial" w:hAnsi="Arial" w:cs="Arial"/>
          <w:lang w:val="en-GB"/>
        </w:rPr>
        <w:t xml:space="preserve"> </w:t>
      </w:r>
      <w:r w:rsidRPr="00B32D96">
        <w:rPr>
          <w:rFonts w:ascii="Arial" w:hAnsi="Arial" w:cs="Arial"/>
          <w:lang w:val="en-GB"/>
        </w:rPr>
        <w:t>findings suggest that housing subsidies have an impact on real housing demand. Furthermore, the researchers show that the main mechanism by which households reduce home size and home value is by reducing their borrowing and thus the interest expenses</w:t>
      </w:r>
      <w:r>
        <w:rPr>
          <w:rFonts w:ascii="Arial" w:hAnsi="Arial" w:cs="Arial"/>
          <w:lang w:val="en-GB"/>
        </w:rPr>
        <w:t xml:space="preserve"> (Gruber et al., 2018, pp. 17-21)</w:t>
      </w:r>
      <w:r w:rsidRPr="00B32D96">
        <w:rPr>
          <w:rFonts w:ascii="Arial" w:hAnsi="Arial" w:cs="Arial"/>
          <w:lang w:val="en-GB"/>
        </w:rPr>
        <w:t xml:space="preserve">. </w:t>
      </w:r>
    </w:p>
    <w:p w14:paraId="7666AE16" w14:textId="77777777" w:rsidR="007F043B" w:rsidRPr="00B32D96" w:rsidRDefault="007F043B" w:rsidP="007F043B">
      <w:pPr>
        <w:pStyle w:val="Geenafstand"/>
        <w:spacing w:line="360" w:lineRule="auto"/>
        <w:jc w:val="both"/>
        <w:rPr>
          <w:rFonts w:ascii="Arial" w:hAnsi="Arial" w:cs="Arial"/>
          <w:lang w:val="en-GB"/>
        </w:rPr>
      </w:pPr>
    </w:p>
    <w:p w14:paraId="5C316B44" w14:textId="32584C16" w:rsidR="007F043B" w:rsidRDefault="007F043B" w:rsidP="007F043B">
      <w:pPr>
        <w:pStyle w:val="Geenafstand"/>
        <w:spacing w:line="360" w:lineRule="auto"/>
        <w:jc w:val="both"/>
        <w:rPr>
          <w:rFonts w:ascii="Arial" w:hAnsi="Arial" w:cs="Arial"/>
          <w:lang w:val="en-GB"/>
        </w:rPr>
      </w:pPr>
      <w:r w:rsidRPr="00B32D96">
        <w:rPr>
          <w:rFonts w:ascii="Arial" w:hAnsi="Arial" w:cs="Arial"/>
          <w:lang w:val="en-GB"/>
        </w:rPr>
        <w:t xml:space="preserve">Additionally, the house price effects of the mortgage interest deduction are </w:t>
      </w:r>
      <w:r w:rsidR="00847AC2">
        <w:rPr>
          <w:rFonts w:ascii="Arial" w:hAnsi="Arial" w:cs="Arial"/>
          <w:lang w:val="en-GB"/>
        </w:rPr>
        <w:t>estimated</w:t>
      </w:r>
      <w:r w:rsidRPr="00B32D96">
        <w:rPr>
          <w:rFonts w:ascii="Arial" w:hAnsi="Arial" w:cs="Arial"/>
          <w:lang w:val="en-GB"/>
        </w:rPr>
        <w:t xml:space="preserve"> using a synthetic control group.</w:t>
      </w:r>
      <w:r>
        <w:rPr>
          <w:rFonts w:ascii="Arial" w:hAnsi="Arial" w:cs="Arial"/>
          <w:lang w:val="en-GB"/>
        </w:rPr>
        <w:t xml:space="preserve"> In order to construct this control group, the evolution of housing prices in Denmark and 16 other developed countries comparable to Denmark are compared in the period around the policy reform. Weights are constructed by matching price levels in each quarter prior to the reform, where the researchers focus on a narrow time window.</w:t>
      </w:r>
      <w:r>
        <w:rPr>
          <w:rFonts w:ascii="Arial" w:hAnsi="Arial" w:cs="Arial"/>
          <w:b/>
          <w:lang w:val="en-GB"/>
        </w:rPr>
        <w:t xml:space="preserve"> </w:t>
      </w:r>
      <w:r w:rsidRPr="00B32D96">
        <w:rPr>
          <w:rFonts w:ascii="Arial" w:hAnsi="Arial" w:cs="Arial"/>
          <w:lang w:val="en-GB"/>
        </w:rPr>
        <w:t>The results show that the Danish house prices dropped by approximately 10 percent shortly after the implementation of the policy reform, which can be explained mostly by the intensive margin of housing demand. These findings suggest that the reduction in home mortgage interest deduction will not affect homeownership, but that it might lead to smaller houses and lower mortgage loans</w:t>
      </w:r>
      <w:r>
        <w:rPr>
          <w:rFonts w:ascii="Arial" w:hAnsi="Arial" w:cs="Arial"/>
          <w:lang w:val="en-GB"/>
        </w:rPr>
        <w:t xml:space="preserve"> (Gruber et al., 2018, pp. 22-23). </w:t>
      </w:r>
      <w:r w:rsidRPr="00B32D96">
        <w:rPr>
          <w:rFonts w:ascii="Arial" w:hAnsi="Arial" w:cs="Arial"/>
          <w:lang w:val="en-GB"/>
        </w:rPr>
        <w:t xml:space="preserve"> </w:t>
      </w:r>
    </w:p>
    <w:p w14:paraId="6EECF17B" w14:textId="77777777" w:rsidR="007F043B" w:rsidRDefault="007F043B" w:rsidP="007F043B">
      <w:pPr>
        <w:pStyle w:val="Geenafstand"/>
        <w:spacing w:line="360" w:lineRule="auto"/>
        <w:jc w:val="both"/>
        <w:rPr>
          <w:rFonts w:ascii="Arial" w:hAnsi="Arial" w:cs="Arial"/>
          <w:lang w:val="en-GB"/>
        </w:rPr>
      </w:pPr>
    </w:p>
    <w:p w14:paraId="7520626B" w14:textId="3D3D84FD" w:rsidR="009F2148" w:rsidRDefault="007F043B" w:rsidP="00991E7C">
      <w:pPr>
        <w:pStyle w:val="Geenafstand"/>
        <w:spacing w:line="360" w:lineRule="auto"/>
        <w:jc w:val="both"/>
        <w:rPr>
          <w:rFonts w:ascii="Arial" w:hAnsi="Arial" w:cs="Arial"/>
          <w:lang w:val="en-GB"/>
        </w:rPr>
      </w:pPr>
      <w:r>
        <w:rPr>
          <w:rFonts w:ascii="Arial" w:hAnsi="Arial" w:cs="Arial"/>
          <w:lang w:val="en-GB"/>
        </w:rPr>
        <w:t xml:space="preserve">These results lead to Hypothesis </w:t>
      </w:r>
      <w:r w:rsidR="003F2BD6">
        <w:rPr>
          <w:rFonts w:ascii="Arial" w:hAnsi="Arial" w:cs="Arial"/>
          <w:lang w:val="en-GB"/>
        </w:rPr>
        <w:t>2: The reduction in mortgage interest deduction will decrease the housing prices in the Netherlands.</w:t>
      </w:r>
      <w:r>
        <w:rPr>
          <w:rFonts w:ascii="Arial" w:hAnsi="Arial" w:cs="Arial"/>
          <w:lang w:val="en-GB"/>
        </w:rPr>
        <w:t xml:space="preserve"> </w:t>
      </w:r>
    </w:p>
    <w:p w14:paraId="766C98CE" w14:textId="77777777" w:rsidR="007F043B" w:rsidRPr="009F2148" w:rsidRDefault="009F2148" w:rsidP="009F2148">
      <w:pPr>
        <w:pStyle w:val="Kop1"/>
        <w:ind w:firstLine="0"/>
        <w:rPr>
          <w:rFonts w:ascii="Arial" w:eastAsiaTheme="minorHAnsi" w:hAnsi="Arial" w:cs="Arial"/>
          <w:b/>
          <w:bCs/>
          <w:color w:val="auto"/>
          <w:sz w:val="24"/>
          <w:szCs w:val="24"/>
          <w:lang w:val="en-GB"/>
        </w:rPr>
      </w:pPr>
      <w:bookmarkStart w:id="4" w:name="_Toc14016525"/>
      <w:r w:rsidRPr="009F2148">
        <w:rPr>
          <w:rFonts w:ascii="Arial" w:hAnsi="Arial" w:cs="Arial"/>
          <w:b/>
          <w:bCs/>
          <w:color w:val="auto"/>
          <w:sz w:val="24"/>
          <w:szCs w:val="24"/>
          <w:lang w:val="en-GB"/>
        </w:rPr>
        <w:lastRenderedPageBreak/>
        <w:t>4</w:t>
      </w:r>
      <w:r w:rsidR="007F043B" w:rsidRPr="009F2148">
        <w:rPr>
          <w:rFonts w:ascii="Arial" w:hAnsi="Arial" w:cs="Arial"/>
          <w:b/>
          <w:bCs/>
          <w:color w:val="auto"/>
          <w:sz w:val="24"/>
          <w:szCs w:val="24"/>
          <w:lang w:val="en-GB"/>
        </w:rPr>
        <w:t xml:space="preserve"> Methodology</w:t>
      </w:r>
      <w:bookmarkEnd w:id="4"/>
    </w:p>
    <w:p w14:paraId="3F2F1371" w14:textId="77777777" w:rsidR="007F043B" w:rsidRDefault="007F043B" w:rsidP="007F043B">
      <w:pPr>
        <w:pStyle w:val="Geenafstand"/>
        <w:spacing w:line="360" w:lineRule="auto"/>
        <w:jc w:val="both"/>
        <w:rPr>
          <w:rFonts w:ascii="Arial" w:hAnsi="Arial" w:cs="Arial"/>
          <w:lang w:val="en-GB"/>
        </w:rPr>
      </w:pPr>
    </w:p>
    <w:p w14:paraId="0C09B297"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In order to estimate the effect that the Dutch policy reform has on the housing market, the effect on the housing prices and the effect on the homeownership rate have to be estimated. The effect on the housing prices can be estimated by using the difference-in-differences (</w:t>
      </w:r>
      <w:proofErr w:type="spellStart"/>
      <w:r w:rsidRPr="00AB467B">
        <w:rPr>
          <w:rFonts w:ascii="Arial" w:hAnsi="Arial" w:cs="Arial"/>
          <w:lang w:val="en-GB"/>
        </w:rPr>
        <w:t>DiD</w:t>
      </w:r>
      <w:proofErr w:type="spellEnd"/>
      <w:r w:rsidRPr="00AB467B">
        <w:rPr>
          <w:rFonts w:ascii="Arial" w:hAnsi="Arial" w:cs="Arial"/>
          <w:lang w:val="en-GB"/>
        </w:rPr>
        <w:t>) design, where a country with similar economic characteristics and housing market circumstances is used as the counterfactual. Treatment is the implementation of the deduction in mortgage interest deduction. The treatment effect can be determined by taking the difference in housing prices before and after the treatment. First, the difference within each country is taken and then the difference in differences between these countries is taken. This will give the effect of the reduction in home mortgage interest deduction on the housing prices in the Netherlands.</w:t>
      </w:r>
    </w:p>
    <w:p w14:paraId="6B150AD8" w14:textId="77777777" w:rsidR="007F043B" w:rsidRPr="00AB467B" w:rsidRDefault="007F043B" w:rsidP="007F043B">
      <w:pPr>
        <w:pStyle w:val="Geenafstand"/>
        <w:spacing w:line="360" w:lineRule="auto"/>
        <w:jc w:val="both"/>
        <w:rPr>
          <w:rFonts w:ascii="Arial" w:hAnsi="Arial" w:cs="Arial"/>
          <w:lang w:val="en-GB"/>
        </w:rPr>
      </w:pPr>
    </w:p>
    <w:p w14:paraId="214DDEF5"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The policy reform will only affect the highest income bracket. The Netherlands has four income brackets, which means that the three income brackets below the highest income bracket are untreated. These groups can be used as the counterfactual. Again, the effect on the homeownership rate can be estimated with the difference-in-differences design. The difference in homeownership rate before and after the implementation of the policy reform is taken within the treatment and control group. The difference in differences between the groups is the estimation of the treatment effect.</w:t>
      </w:r>
    </w:p>
    <w:p w14:paraId="436F126E" w14:textId="77777777" w:rsidR="007F043B" w:rsidRPr="00AB467B" w:rsidRDefault="007F043B" w:rsidP="007F043B">
      <w:pPr>
        <w:pStyle w:val="Geenafstand"/>
        <w:spacing w:line="360" w:lineRule="auto"/>
        <w:jc w:val="both"/>
        <w:rPr>
          <w:rFonts w:ascii="Arial" w:hAnsi="Arial" w:cs="Arial"/>
          <w:lang w:val="en-GB"/>
        </w:rPr>
      </w:pPr>
    </w:p>
    <w:p w14:paraId="1722CCFF"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Since the Dutch government just started to implement the policy reform in 2017 and the new policy will only be fully implemented in 2023, it is not possible to empirically estimate the effects on housing prices and homeownership rate yet. The data on the housing prices, changes in deductible amounts for households and the homeownership rate that are needed, will only be available in a couple of years. Only then the effect of the policy change can be estimated using the methods described above.</w:t>
      </w:r>
    </w:p>
    <w:p w14:paraId="2D1F0D9B" w14:textId="77777777" w:rsidR="007F043B" w:rsidRPr="00AB467B" w:rsidRDefault="007F043B" w:rsidP="007F043B">
      <w:pPr>
        <w:pStyle w:val="Geenafstand"/>
        <w:spacing w:line="360" w:lineRule="auto"/>
        <w:jc w:val="both"/>
        <w:rPr>
          <w:rFonts w:ascii="Arial" w:hAnsi="Arial" w:cs="Arial"/>
          <w:lang w:val="en-GB"/>
        </w:rPr>
      </w:pPr>
    </w:p>
    <w:p w14:paraId="1B59CB47"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Instead, the effects that the policy change will have in the Netherlands can be predicted by looking into the effects that a similar policy reform had in another country with comparable economic characteristics and housing market conditions. The effects that the Danish policy reform had on the housing market could be an accurate prediction for the future effects of the Dutch reform. Gruber et al. (2018) analyse the effects of the Danish policy reform on housing prices and housing demand, as described in </w:t>
      </w:r>
      <w:r w:rsidR="0032384E">
        <w:rPr>
          <w:rFonts w:ascii="Arial" w:hAnsi="Arial" w:cs="Arial"/>
          <w:lang w:val="en-GB"/>
        </w:rPr>
        <w:t>Section 3</w:t>
      </w:r>
      <w:r w:rsidRPr="00AB467B">
        <w:rPr>
          <w:rFonts w:ascii="Arial" w:hAnsi="Arial" w:cs="Arial"/>
          <w:lang w:val="en-GB"/>
        </w:rPr>
        <w:t xml:space="preserve">. </w:t>
      </w:r>
    </w:p>
    <w:p w14:paraId="5ED81FB5" w14:textId="77777777" w:rsidR="007F043B" w:rsidRPr="00AB467B" w:rsidRDefault="007F043B" w:rsidP="007F043B">
      <w:pPr>
        <w:pStyle w:val="Geenafstand"/>
        <w:spacing w:line="360" w:lineRule="auto"/>
        <w:jc w:val="both"/>
        <w:rPr>
          <w:rFonts w:ascii="Arial" w:hAnsi="Arial" w:cs="Arial"/>
          <w:lang w:val="en-GB"/>
        </w:rPr>
      </w:pPr>
    </w:p>
    <w:p w14:paraId="24455672"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However, it is important to keep in mind that there is a difference in the policy reform between the countries. In the Netherlands, the lower and middle income classes are not affected by the </w:t>
      </w:r>
      <w:r w:rsidRPr="00AB467B">
        <w:rPr>
          <w:rFonts w:ascii="Arial" w:hAnsi="Arial" w:cs="Arial"/>
          <w:lang w:val="en-GB"/>
        </w:rPr>
        <w:lastRenderedPageBreak/>
        <w:t xml:space="preserve">policy reform. In contrast, these groups were affected by the policy reform in Denmark to some extent. This means that the Netherlands has an even cleaner control group when estimating the true effects of the policy reform. At the same time, the Danish policy reform mainly affected the higher income group and only had a small effect on the other income groups, which means that it is likely that the effects of the policy reform are more or less the same for both countries. Hence, the results for Denmark can be used to make a prediction for the Netherlands, given that the countries have similar housing market characteristics. The economic characteristics and housing market situations in the Netherlands and Denmark will be described and compared in </w:t>
      </w:r>
      <w:r w:rsidR="0032384E">
        <w:rPr>
          <w:rFonts w:ascii="Arial" w:hAnsi="Arial" w:cs="Arial"/>
          <w:lang w:val="en-GB"/>
        </w:rPr>
        <w:t>Section</w:t>
      </w:r>
      <w:r w:rsidRPr="00AB467B">
        <w:rPr>
          <w:rFonts w:ascii="Arial" w:hAnsi="Arial" w:cs="Arial"/>
          <w:lang w:val="en-GB"/>
        </w:rPr>
        <w:t xml:space="preserve"> 6. </w:t>
      </w:r>
    </w:p>
    <w:p w14:paraId="13121847" w14:textId="77777777" w:rsidR="007F043B" w:rsidRPr="00AB467B" w:rsidRDefault="007F043B" w:rsidP="007F043B">
      <w:pPr>
        <w:pStyle w:val="Geenafstand"/>
        <w:spacing w:line="360" w:lineRule="auto"/>
        <w:jc w:val="both"/>
        <w:rPr>
          <w:rFonts w:ascii="Arial" w:hAnsi="Arial" w:cs="Arial"/>
          <w:lang w:val="en-GB"/>
        </w:rPr>
      </w:pPr>
    </w:p>
    <w:p w14:paraId="383A0C7F"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The effect of the policy reform on the homeownership rate in the Netherlands will be predicted based on three different sources. First of all, general housing market theory as described in </w:t>
      </w:r>
      <w:r w:rsidR="0032384E">
        <w:rPr>
          <w:rFonts w:ascii="Arial" w:hAnsi="Arial" w:cs="Arial"/>
          <w:lang w:val="en-GB"/>
        </w:rPr>
        <w:t>Section</w:t>
      </w:r>
      <w:r w:rsidRPr="00AB467B">
        <w:rPr>
          <w:rFonts w:ascii="Arial" w:hAnsi="Arial" w:cs="Arial"/>
          <w:lang w:val="en-GB"/>
        </w:rPr>
        <w:t xml:space="preserve"> 2 will form the basis of the prediction. Secondly, the current Dutch housing market situation will be analysed using descriptive statistics based on the DNB Household Survey.   Finally, the effect that the Danish policy reform had on the homeownership rate as found in Gruber et al. (2018) will be used for the prediction. </w:t>
      </w:r>
    </w:p>
    <w:p w14:paraId="25FE4086" w14:textId="77777777" w:rsidR="007F043B" w:rsidRPr="00AB467B" w:rsidRDefault="007F043B" w:rsidP="007F043B">
      <w:pPr>
        <w:pStyle w:val="Geenafstand"/>
        <w:spacing w:line="360" w:lineRule="auto"/>
        <w:jc w:val="both"/>
        <w:rPr>
          <w:rFonts w:ascii="Arial" w:hAnsi="Arial" w:cs="Arial"/>
          <w:lang w:val="en-GB"/>
        </w:rPr>
      </w:pPr>
    </w:p>
    <w:p w14:paraId="25FE2D19"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The prediction of the effect of the policy reform on housing prices will be based on the results found for Denmark by Gruber et al. (2018). In combination with data on Dutch nominal residential property prices, their findings can be used to make a prediction of the Dutch housing prices after the policy reform. First, the housing price index for the fourth quarter of 2018 until the last quarter of 2022 has to be estimated, which is the period prior to the complete implementation of the policy change for which actual data is not yet available. This estimation will be done using a linear trend prediction based on the housing price index from the first quarter of 2013 until the third quarter of 2018, which is the most recent data available after the economy recovered from the financial crisis. In order to estimate the linear trend, the method of ordinary least squares will be used. The linear trend prediction is of the following form:</w:t>
      </w:r>
    </w:p>
    <w:p w14:paraId="2314D873" w14:textId="77777777" w:rsidR="007F043B" w:rsidRPr="00AB467B" w:rsidRDefault="007F043B" w:rsidP="007F043B">
      <w:pPr>
        <w:pStyle w:val="Geenafstand"/>
        <w:spacing w:line="360" w:lineRule="auto"/>
        <w:jc w:val="both"/>
        <w:rPr>
          <w:rFonts w:ascii="Arial" w:hAnsi="Arial" w:cs="Arial"/>
          <w:lang w:val="en-GB"/>
        </w:rPr>
      </w:pPr>
    </w:p>
    <w:p w14:paraId="71C06860" w14:textId="77777777" w:rsidR="007F043B" w:rsidRPr="00AB467B" w:rsidRDefault="007F043B" w:rsidP="007F043B">
      <w:pPr>
        <w:pStyle w:val="Geenafstand"/>
        <w:spacing w:line="360" w:lineRule="auto"/>
        <w:ind w:left="3540" w:firstLine="708"/>
        <w:jc w:val="both"/>
        <w:rPr>
          <w:rFonts w:ascii="Arial" w:hAnsi="Arial" w:cs="Arial"/>
          <w:lang w:val="en-GB"/>
        </w:rPr>
      </w:pPr>
      <m:oMath>
        <m:r>
          <w:rPr>
            <w:rFonts w:ascii="Cambria Math" w:hAnsi="Cambria Math" w:cs="Arial"/>
            <w:lang w:val="en-GB"/>
          </w:rPr>
          <m:t>y=ax+b</m:t>
        </m:r>
      </m:oMath>
      <w:r w:rsidRPr="00AB467B">
        <w:rPr>
          <w:rFonts w:ascii="Arial" w:eastAsiaTheme="minorEastAsia" w:hAnsi="Arial" w:cs="Arial"/>
          <w:lang w:val="en-GB"/>
        </w:rPr>
        <w:t xml:space="preserve"> </w:t>
      </w:r>
      <w:r w:rsidRPr="00AB467B">
        <w:rPr>
          <w:rFonts w:ascii="Arial" w:eastAsiaTheme="minorEastAsia" w:hAnsi="Arial" w:cs="Arial"/>
          <w:lang w:val="en-GB"/>
        </w:rPr>
        <w:tab/>
      </w:r>
      <w:r w:rsidRPr="00AB467B">
        <w:rPr>
          <w:rFonts w:ascii="Arial" w:eastAsiaTheme="minorEastAsia" w:hAnsi="Arial" w:cs="Arial"/>
          <w:lang w:val="en-GB"/>
        </w:rPr>
        <w:tab/>
      </w:r>
      <w:r w:rsidRPr="00AB467B">
        <w:rPr>
          <w:rFonts w:ascii="Arial" w:eastAsiaTheme="minorEastAsia" w:hAnsi="Arial" w:cs="Arial"/>
          <w:lang w:val="en-GB"/>
        </w:rPr>
        <w:tab/>
      </w:r>
      <w:r w:rsidRPr="00AB467B">
        <w:rPr>
          <w:rFonts w:ascii="Arial" w:eastAsiaTheme="minorEastAsia" w:hAnsi="Arial" w:cs="Arial"/>
          <w:lang w:val="en-GB"/>
        </w:rPr>
        <w:tab/>
      </w:r>
      <w:r w:rsidRPr="00AB467B">
        <w:rPr>
          <w:rFonts w:ascii="Arial" w:eastAsiaTheme="minorEastAsia" w:hAnsi="Arial" w:cs="Arial"/>
          <w:lang w:val="en-GB"/>
        </w:rPr>
        <w:tab/>
        <w:t xml:space="preserve">     (7)</w:t>
      </w:r>
    </w:p>
    <w:p w14:paraId="7D711858" w14:textId="77777777" w:rsidR="007F043B" w:rsidRPr="00AB467B" w:rsidRDefault="007F043B" w:rsidP="007F043B">
      <w:pPr>
        <w:pStyle w:val="Geenafstand"/>
        <w:spacing w:line="360" w:lineRule="auto"/>
        <w:jc w:val="both"/>
        <w:rPr>
          <w:rFonts w:ascii="Arial" w:hAnsi="Arial" w:cs="Arial"/>
          <w:lang w:val="en-GB"/>
        </w:rPr>
      </w:pPr>
    </w:p>
    <w:p w14:paraId="76BFD057"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Then, the estimated coefficient of the change in housing prices found in Denmark after the policy reform will be used to calculate the predicted nominal residential property prices after the reform in the Netherlands. This coefficient will be multiplied by the predicted housing price index for the fourth quarter 2022 to get the prediction the housing prices in the first quarter of 2023. The descriptive statistics on the Dutch and Danish housing prices that are necessary to make this prediction will be presented in </w:t>
      </w:r>
      <w:r w:rsidR="0032384E">
        <w:rPr>
          <w:rFonts w:ascii="Arial" w:hAnsi="Arial" w:cs="Arial"/>
          <w:lang w:val="en-GB"/>
        </w:rPr>
        <w:t>Section</w:t>
      </w:r>
      <w:r w:rsidRPr="00AB467B">
        <w:rPr>
          <w:rFonts w:ascii="Arial" w:hAnsi="Arial" w:cs="Arial"/>
          <w:lang w:val="en-GB"/>
        </w:rPr>
        <w:t xml:space="preserve"> 6.   </w:t>
      </w:r>
    </w:p>
    <w:p w14:paraId="37A89ADC" w14:textId="77777777" w:rsidR="009F2148" w:rsidRDefault="009F2148" w:rsidP="009F2148">
      <w:pPr>
        <w:spacing w:after="160" w:line="259" w:lineRule="auto"/>
        <w:ind w:firstLine="0"/>
        <w:jc w:val="left"/>
        <w:rPr>
          <w:rFonts w:ascii="Arial" w:hAnsi="Arial" w:cs="Arial"/>
          <w:lang w:val="en-GB"/>
        </w:rPr>
      </w:pPr>
    </w:p>
    <w:p w14:paraId="5A49AA22" w14:textId="77777777" w:rsidR="007F043B" w:rsidRPr="0032384E" w:rsidRDefault="009F2148" w:rsidP="009F2148">
      <w:pPr>
        <w:pStyle w:val="Kop1"/>
        <w:ind w:firstLine="0"/>
        <w:rPr>
          <w:rFonts w:ascii="Arial" w:eastAsiaTheme="minorHAnsi" w:hAnsi="Arial" w:cs="Arial"/>
          <w:b/>
          <w:bCs/>
          <w:color w:val="auto"/>
          <w:sz w:val="24"/>
          <w:szCs w:val="24"/>
          <w:lang w:val="en-GB"/>
        </w:rPr>
      </w:pPr>
      <w:bookmarkStart w:id="5" w:name="_Toc14016526"/>
      <w:r w:rsidRPr="0032384E">
        <w:rPr>
          <w:rFonts w:ascii="Arial" w:hAnsi="Arial" w:cs="Arial"/>
          <w:b/>
          <w:bCs/>
          <w:color w:val="auto"/>
          <w:sz w:val="24"/>
          <w:szCs w:val="24"/>
          <w:lang w:val="en-GB"/>
        </w:rPr>
        <w:lastRenderedPageBreak/>
        <w:t>5</w:t>
      </w:r>
      <w:r w:rsidR="007F043B" w:rsidRPr="0032384E">
        <w:rPr>
          <w:rFonts w:ascii="Arial" w:hAnsi="Arial" w:cs="Arial"/>
          <w:b/>
          <w:bCs/>
          <w:color w:val="auto"/>
          <w:sz w:val="24"/>
          <w:szCs w:val="24"/>
          <w:lang w:val="en-GB"/>
        </w:rPr>
        <w:t xml:space="preserve"> Data</w:t>
      </w:r>
      <w:bookmarkEnd w:id="5"/>
    </w:p>
    <w:p w14:paraId="5710CDBD" w14:textId="77777777" w:rsidR="007F043B" w:rsidRDefault="007F043B" w:rsidP="007F043B">
      <w:pPr>
        <w:pStyle w:val="Geenafstand"/>
        <w:spacing w:line="360" w:lineRule="auto"/>
        <w:jc w:val="both"/>
        <w:rPr>
          <w:rFonts w:ascii="Arial" w:hAnsi="Arial" w:cs="Arial"/>
          <w:b/>
          <w:bCs/>
          <w:lang w:val="en-GB"/>
        </w:rPr>
      </w:pPr>
    </w:p>
    <w:p w14:paraId="3AB1C160" w14:textId="18D0EBB5"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The data that are needed to statistically estimate the effect of the policy reform are not available yet, because the reform will only be fully implemented in 2023. Therefore, the effect that the policy reform will have on the housing market cannot be estimated. However, it is possible to provide some descriptive statistics in order to evaluate the current housing market situation in the Netherlands. This will be compared to the housing market in Denmark. Furthermore, the Netherlands and Denmark will be compared in terms of economic circumstances, population and housing market policy. If it turns out that these countries are similar in many aspects, a prediction of the effect of the Dutch policy reform can be done based on the effect that a similar policy reform had in Denmark. Data from </w:t>
      </w:r>
      <w:r w:rsidR="00014A29">
        <w:rPr>
          <w:rFonts w:ascii="Arial" w:hAnsi="Arial" w:cs="Arial"/>
          <w:lang w:val="en-GB"/>
        </w:rPr>
        <w:t>six</w:t>
      </w:r>
      <w:r w:rsidRPr="00AB467B">
        <w:rPr>
          <w:rFonts w:ascii="Arial" w:hAnsi="Arial" w:cs="Arial"/>
          <w:lang w:val="en-GB"/>
        </w:rPr>
        <w:t xml:space="preserve"> different data sources will be used for this research, which will be discussed next. </w:t>
      </w:r>
    </w:p>
    <w:p w14:paraId="50544110" w14:textId="77777777" w:rsidR="009F2148" w:rsidRDefault="009F2148" w:rsidP="007F043B">
      <w:pPr>
        <w:pStyle w:val="Geenafstand"/>
        <w:spacing w:line="360" w:lineRule="auto"/>
        <w:jc w:val="both"/>
        <w:rPr>
          <w:rFonts w:ascii="Arial" w:hAnsi="Arial" w:cs="Arial"/>
          <w:lang w:val="en-GB"/>
        </w:rPr>
      </w:pPr>
    </w:p>
    <w:p w14:paraId="4B50DDB3"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Data on the average housing prices in the Netherlands can be retrieved from Statistics Netherlands. This database provides data on the average sales prices of owner-occupied dwellings per year for all provinces and for the Netherlands as a whole for the period 1995-2018. Statistics Netherlands uses different sources in order to collect their data, including information from the tax authority, personal interviews, surveys and phone interviews. Data is collected at the household level and then the average sales prices are calculated per province per year. The average prices are calculated by dividing the sum of transaction prices by the number of housing transactions for the same period. The information available on housing transactions and housing prices for all provinces are used in order to calculate this, which makes it likely that this data is representative for the entire Dutch housing market. </w:t>
      </w:r>
    </w:p>
    <w:p w14:paraId="78560287" w14:textId="77777777" w:rsidR="007F043B" w:rsidRPr="00AB467B" w:rsidRDefault="007F043B" w:rsidP="007F043B">
      <w:pPr>
        <w:pStyle w:val="Geenafstand"/>
        <w:spacing w:line="360" w:lineRule="auto"/>
        <w:jc w:val="both"/>
        <w:rPr>
          <w:rFonts w:ascii="Arial" w:hAnsi="Arial" w:cs="Arial"/>
          <w:lang w:val="en-GB"/>
        </w:rPr>
      </w:pPr>
    </w:p>
    <w:p w14:paraId="16ABE178"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Furthermore, data on the population number for the Netherlands in the period 2013-2018 is retrieved from Statistics Netherlands. The population number only consist of individuals that are included in the civil register of a Dutch municipality. Individuals that live in the Netherlands indefinitely are included in this register. </w:t>
      </w:r>
    </w:p>
    <w:p w14:paraId="5AF565C6" w14:textId="77777777" w:rsidR="007F043B" w:rsidRPr="00AB467B" w:rsidRDefault="007F043B" w:rsidP="007F043B">
      <w:pPr>
        <w:pStyle w:val="Geenafstand"/>
        <w:spacing w:line="360" w:lineRule="auto"/>
        <w:jc w:val="both"/>
        <w:rPr>
          <w:rFonts w:ascii="Arial" w:hAnsi="Arial" w:cs="Arial"/>
          <w:lang w:val="en-GB"/>
        </w:rPr>
      </w:pPr>
    </w:p>
    <w:p w14:paraId="134E4B14"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In order to compare the populations of the Netherlands and Denmark, data on the Danish population is retrieved from the United Nations World Population Prospects 2017. The Population Division of the United Nations focusses on population and development and they provide demographic estimates and projections for all countries. For this research, data on the Danish population is retrieved for the period 1982-1990, where population is defined as the number of individuals of both sexes in the country as of 1 July of the year indicated. The numbers are estimated to be consistent with official population estimates. </w:t>
      </w:r>
    </w:p>
    <w:p w14:paraId="3DA2F231" w14:textId="77777777" w:rsidR="007F043B" w:rsidRPr="00AB467B" w:rsidRDefault="007F043B" w:rsidP="007F043B">
      <w:pPr>
        <w:pStyle w:val="Geenafstand"/>
        <w:spacing w:line="360" w:lineRule="auto"/>
        <w:jc w:val="both"/>
        <w:rPr>
          <w:rFonts w:ascii="Arial" w:hAnsi="Arial" w:cs="Arial"/>
          <w:lang w:val="en-GB"/>
        </w:rPr>
      </w:pPr>
    </w:p>
    <w:p w14:paraId="2F3216EC"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lastRenderedPageBreak/>
        <w:t xml:space="preserve">Additionally, data from the Bank for International Settlements (BIS) Statistics is used in this research. This database provides information on quarterly nominal residential property prices for different countries, including the Netherlands and Denmark. Data is available from the second quarter of 1970 until the third quarter of 2018. These time series data have been constructed using data provided by different sources like central banks and national statistical offices. Statistics Netherlands and </w:t>
      </w:r>
      <w:proofErr w:type="spellStart"/>
      <w:r w:rsidRPr="00AB467B">
        <w:rPr>
          <w:rFonts w:ascii="Arial" w:hAnsi="Arial" w:cs="Arial"/>
          <w:lang w:val="en-GB"/>
        </w:rPr>
        <w:t>Nederlandse</w:t>
      </w:r>
      <w:proofErr w:type="spellEnd"/>
      <w:r w:rsidRPr="00AB467B">
        <w:rPr>
          <w:rFonts w:ascii="Arial" w:hAnsi="Arial" w:cs="Arial"/>
          <w:lang w:val="en-GB"/>
        </w:rPr>
        <w:t xml:space="preserve"> </w:t>
      </w:r>
      <w:proofErr w:type="spellStart"/>
      <w:r w:rsidRPr="00AB467B">
        <w:rPr>
          <w:rFonts w:ascii="Arial" w:hAnsi="Arial" w:cs="Arial"/>
          <w:lang w:val="en-GB"/>
        </w:rPr>
        <w:t>Vereniging</w:t>
      </w:r>
      <w:proofErr w:type="spellEnd"/>
      <w:r w:rsidRPr="00AB467B">
        <w:rPr>
          <w:rFonts w:ascii="Arial" w:hAnsi="Arial" w:cs="Arial"/>
          <w:lang w:val="en-GB"/>
        </w:rPr>
        <w:t xml:space="preserve"> van </w:t>
      </w:r>
      <w:proofErr w:type="spellStart"/>
      <w:r w:rsidRPr="00AB467B">
        <w:rPr>
          <w:rFonts w:ascii="Arial" w:hAnsi="Arial" w:cs="Arial"/>
          <w:lang w:val="en-GB"/>
        </w:rPr>
        <w:t>Makelaars</w:t>
      </w:r>
      <w:proofErr w:type="spellEnd"/>
      <w:r w:rsidRPr="00AB467B">
        <w:rPr>
          <w:rFonts w:ascii="Arial" w:hAnsi="Arial" w:cs="Arial"/>
          <w:lang w:val="en-GB"/>
        </w:rPr>
        <w:t xml:space="preserve"> are the sources used to determine the nominal house price index for the Netherlands. For Denmark, Statistics Denmark is used. Trends in the nominal residential property price index for both countries are needed in order to determine whether or not it is likely that the reduction in mortgage interest deduction will have a similar effect in the Netherlands as it had in Denmark. If the trends in housing prices prior to the policy reform are comparable, it is likely that the policy reform will affect the Dutch housing market similarly. </w:t>
      </w:r>
    </w:p>
    <w:p w14:paraId="2FA61C66" w14:textId="77777777" w:rsidR="007F043B" w:rsidRPr="00AB467B" w:rsidRDefault="007F043B" w:rsidP="007F043B">
      <w:pPr>
        <w:pStyle w:val="Geenafstand"/>
        <w:spacing w:line="360" w:lineRule="auto"/>
        <w:jc w:val="both"/>
        <w:rPr>
          <w:rFonts w:ascii="Arial" w:hAnsi="Arial" w:cs="Arial"/>
          <w:lang w:val="en-GB"/>
        </w:rPr>
      </w:pPr>
    </w:p>
    <w:p w14:paraId="129C4588" w14:textId="21EF3634"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For a comparison of economic circumstances between the Netherlands and Denmark, data on gross domestic product (GDP) is retrieved from Organisation for Economic Co-operation and Development (OECD) Statistics. This database includes data for OECD countries and other selected non-member countries and collects data using different sources, depending on the country and the subject. GDP is measured as annual growth rates in percentages relative to the previous year. For Denmark, data are selected for the period 1982-1990 where the data are compiled by Statistics Denmark. Data on GDP for the period 2013-2018 is selected for the Netherlands and these data are compiled by Statistics Netherlands. </w:t>
      </w:r>
    </w:p>
    <w:p w14:paraId="70FF2C40" w14:textId="08517868" w:rsidR="00014A29" w:rsidRDefault="00014A29" w:rsidP="007F043B">
      <w:pPr>
        <w:pStyle w:val="Geenafstand"/>
        <w:spacing w:line="360" w:lineRule="auto"/>
        <w:jc w:val="both"/>
        <w:rPr>
          <w:rFonts w:ascii="Arial" w:hAnsi="Arial" w:cs="Arial"/>
          <w:lang w:val="en-GB"/>
        </w:rPr>
      </w:pPr>
    </w:p>
    <w:p w14:paraId="3884E9A6" w14:textId="118A6DAB" w:rsidR="00014A29" w:rsidRPr="00AB467B" w:rsidRDefault="00014A29" w:rsidP="007F043B">
      <w:pPr>
        <w:pStyle w:val="Geenafstand"/>
        <w:spacing w:line="360" w:lineRule="auto"/>
        <w:jc w:val="both"/>
        <w:rPr>
          <w:rFonts w:ascii="Arial" w:hAnsi="Arial" w:cs="Arial"/>
          <w:lang w:val="en-GB"/>
        </w:rPr>
      </w:pPr>
      <w:r>
        <w:rPr>
          <w:rFonts w:ascii="Arial" w:hAnsi="Arial" w:cs="Arial"/>
          <w:lang w:val="en-GB"/>
        </w:rPr>
        <w:t xml:space="preserve">Additionally, data on GDP per capita is retrieved from the World Inequality Database (WID). </w:t>
      </w:r>
      <w:r w:rsidR="0030180B">
        <w:rPr>
          <w:rFonts w:ascii="Arial" w:hAnsi="Arial" w:cs="Arial"/>
          <w:lang w:val="en-GB"/>
        </w:rPr>
        <w:t>This data source collects information on wealth and income for several countries over a long period of time in order to gain insight in the historical evolution of wealth inequality, both within countries and between countries</w:t>
      </w:r>
      <w:r w:rsidR="00583C20">
        <w:rPr>
          <w:rFonts w:ascii="Arial" w:hAnsi="Arial" w:cs="Arial"/>
          <w:lang w:val="en-GB"/>
        </w:rPr>
        <w:t>.</w:t>
      </w:r>
      <w:r w:rsidR="00583C20" w:rsidRPr="00583C20">
        <w:rPr>
          <w:rFonts w:ascii="Arial" w:hAnsi="Arial" w:cs="Arial"/>
          <w:lang w:val="en-GB"/>
        </w:rPr>
        <w:t xml:space="preserve"> </w:t>
      </w:r>
      <w:r w:rsidR="00583C20">
        <w:rPr>
          <w:rFonts w:ascii="Arial" w:hAnsi="Arial" w:cs="Arial"/>
          <w:lang w:val="en-GB"/>
        </w:rPr>
        <w:t>Data is collected using national accounts, survey data, fiscal data and wealth rankings</w:t>
      </w:r>
      <w:r w:rsidR="0030180B">
        <w:rPr>
          <w:rFonts w:ascii="Arial" w:hAnsi="Arial" w:cs="Arial"/>
          <w:lang w:val="en-GB"/>
        </w:rPr>
        <w:t xml:space="preserve">. GDP per capita is measured in terms of US dollars </w:t>
      </w:r>
      <w:r w:rsidR="00C00E0A">
        <w:rPr>
          <w:rFonts w:ascii="Arial" w:hAnsi="Arial" w:cs="Arial"/>
          <w:lang w:val="en-GB"/>
        </w:rPr>
        <w:t>where there</w:t>
      </w:r>
      <w:r w:rsidR="0030180B">
        <w:rPr>
          <w:rFonts w:ascii="Arial" w:hAnsi="Arial" w:cs="Arial"/>
          <w:lang w:val="en-GB"/>
        </w:rPr>
        <w:t xml:space="preserve"> is controlled for purchasing power parity</w:t>
      </w:r>
      <w:r w:rsidR="00C00E0A">
        <w:rPr>
          <w:rFonts w:ascii="Arial" w:hAnsi="Arial" w:cs="Arial"/>
          <w:lang w:val="en-GB"/>
        </w:rPr>
        <w:t xml:space="preserve"> and the entire population is used to compute per capita</w:t>
      </w:r>
      <w:r w:rsidR="0030180B">
        <w:rPr>
          <w:rFonts w:ascii="Arial" w:hAnsi="Arial" w:cs="Arial"/>
          <w:lang w:val="en-GB"/>
        </w:rPr>
        <w:t xml:space="preserve">. </w:t>
      </w:r>
      <w:r w:rsidR="007D46C7">
        <w:rPr>
          <w:rFonts w:ascii="Arial" w:hAnsi="Arial" w:cs="Arial"/>
          <w:lang w:val="en-GB"/>
        </w:rPr>
        <w:t xml:space="preserve">For the Netherlands, data on GDP per capita is selected for the period 2013-2017, because data for 2018 is not available yet. </w:t>
      </w:r>
      <w:r w:rsidR="007875FA">
        <w:rPr>
          <w:rFonts w:ascii="Arial" w:hAnsi="Arial" w:cs="Arial"/>
          <w:lang w:val="en-GB"/>
        </w:rPr>
        <w:t xml:space="preserve">Between 2013 and 2015, </w:t>
      </w:r>
      <w:r w:rsidR="00CA145A">
        <w:rPr>
          <w:rFonts w:ascii="Arial" w:hAnsi="Arial" w:cs="Arial"/>
          <w:lang w:val="en-GB"/>
        </w:rPr>
        <w:t xml:space="preserve">WID compiled </w:t>
      </w:r>
      <w:r w:rsidR="00C25893">
        <w:rPr>
          <w:rFonts w:ascii="Arial" w:hAnsi="Arial" w:cs="Arial"/>
          <w:lang w:val="en-GB"/>
        </w:rPr>
        <w:t xml:space="preserve">the data using the United Nations </w:t>
      </w:r>
      <w:r w:rsidR="001B40EC">
        <w:rPr>
          <w:rFonts w:ascii="Arial" w:hAnsi="Arial" w:cs="Arial"/>
          <w:lang w:val="en-GB"/>
        </w:rPr>
        <w:t>System of National Accounts (UN SNA) main tables. In the years 2016 and 2017</w:t>
      </w:r>
      <w:r w:rsidR="00506E8B">
        <w:rPr>
          <w:rFonts w:ascii="Arial" w:hAnsi="Arial" w:cs="Arial"/>
          <w:lang w:val="en-GB"/>
        </w:rPr>
        <w:t>,</w:t>
      </w:r>
      <w:r w:rsidR="001B40EC">
        <w:rPr>
          <w:rFonts w:ascii="Arial" w:hAnsi="Arial" w:cs="Arial"/>
          <w:lang w:val="en-GB"/>
        </w:rPr>
        <w:t xml:space="preserve"> the</w:t>
      </w:r>
      <w:r w:rsidR="003846F2">
        <w:rPr>
          <w:rFonts w:ascii="Arial" w:hAnsi="Arial" w:cs="Arial"/>
          <w:lang w:val="en-GB"/>
        </w:rPr>
        <w:t xml:space="preserve"> GDP growth rates from the</w:t>
      </w:r>
      <w:r w:rsidR="001B40EC">
        <w:rPr>
          <w:rFonts w:ascii="Arial" w:hAnsi="Arial" w:cs="Arial"/>
          <w:lang w:val="en-GB"/>
        </w:rPr>
        <w:t xml:space="preserve"> </w:t>
      </w:r>
      <w:r w:rsidR="00936406">
        <w:rPr>
          <w:rFonts w:ascii="Arial" w:hAnsi="Arial" w:cs="Arial"/>
          <w:lang w:val="en-GB"/>
        </w:rPr>
        <w:t xml:space="preserve">International Monetary Fund (IMF) World Economic Outlook </w:t>
      </w:r>
      <w:r w:rsidR="003846F2">
        <w:rPr>
          <w:rFonts w:ascii="Arial" w:hAnsi="Arial" w:cs="Arial"/>
          <w:lang w:val="en-GB"/>
        </w:rPr>
        <w:t>are</w:t>
      </w:r>
      <w:r w:rsidR="00936406">
        <w:rPr>
          <w:rFonts w:ascii="Arial" w:hAnsi="Arial" w:cs="Arial"/>
          <w:lang w:val="en-GB"/>
        </w:rPr>
        <w:t xml:space="preserve"> used </w:t>
      </w:r>
      <w:r w:rsidR="003846F2">
        <w:rPr>
          <w:rFonts w:ascii="Arial" w:hAnsi="Arial" w:cs="Arial"/>
          <w:lang w:val="en-GB"/>
        </w:rPr>
        <w:t xml:space="preserve">to compile the data. </w:t>
      </w:r>
      <w:r w:rsidR="00E12F7E">
        <w:rPr>
          <w:rFonts w:ascii="Arial" w:hAnsi="Arial" w:cs="Arial"/>
          <w:lang w:val="en-GB"/>
        </w:rPr>
        <w:t xml:space="preserve">GDP per capita in the period 1982-1990 </w:t>
      </w:r>
      <w:r w:rsidR="00D850DC">
        <w:rPr>
          <w:rFonts w:ascii="Arial" w:hAnsi="Arial" w:cs="Arial"/>
          <w:lang w:val="en-GB"/>
        </w:rPr>
        <w:t xml:space="preserve">is selected for Denmark. These data are based on the GDP growth rates from the UN SNA main tables. </w:t>
      </w:r>
    </w:p>
    <w:p w14:paraId="10242908" w14:textId="77777777" w:rsidR="007F043B" w:rsidRPr="00AB467B" w:rsidRDefault="007F043B" w:rsidP="007F043B">
      <w:pPr>
        <w:pStyle w:val="Geenafstand"/>
        <w:spacing w:line="360" w:lineRule="auto"/>
        <w:jc w:val="both"/>
        <w:rPr>
          <w:rFonts w:ascii="Arial" w:hAnsi="Arial" w:cs="Arial"/>
          <w:lang w:val="en-GB"/>
        </w:rPr>
      </w:pPr>
    </w:p>
    <w:p w14:paraId="5646DB57" w14:textId="77777777"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Finally, the DNB Household Survey (DHS) from </w:t>
      </w:r>
      <w:proofErr w:type="spellStart"/>
      <w:r w:rsidRPr="00AB467B">
        <w:rPr>
          <w:rFonts w:ascii="Arial" w:hAnsi="Arial" w:cs="Arial"/>
          <w:lang w:val="en-GB"/>
        </w:rPr>
        <w:t>CentERdata</w:t>
      </w:r>
      <w:proofErr w:type="spellEnd"/>
      <w:r w:rsidRPr="00AB467B">
        <w:rPr>
          <w:rFonts w:ascii="Arial" w:hAnsi="Arial" w:cs="Arial"/>
          <w:lang w:val="en-GB"/>
        </w:rPr>
        <w:t xml:space="preserve"> is used in order to obtain data at the individual level for the Netherlands. This panel study collects data among 2000 households </w:t>
      </w:r>
      <w:r w:rsidRPr="00AB467B">
        <w:rPr>
          <w:rFonts w:ascii="Arial" w:hAnsi="Arial" w:cs="Arial"/>
          <w:lang w:val="en-GB"/>
        </w:rPr>
        <w:lastRenderedPageBreak/>
        <w:t xml:space="preserve">and has panel data available for the period 1993-2018. Data is collected using </w:t>
      </w:r>
      <w:proofErr w:type="spellStart"/>
      <w:r w:rsidRPr="00AB467B">
        <w:rPr>
          <w:rFonts w:ascii="Arial" w:hAnsi="Arial" w:cs="Arial"/>
          <w:lang w:val="en-GB"/>
        </w:rPr>
        <w:t>CentERpanel</w:t>
      </w:r>
      <w:proofErr w:type="spellEnd"/>
      <w:r w:rsidRPr="00AB467B">
        <w:rPr>
          <w:rFonts w:ascii="Arial" w:hAnsi="Arial" w:cs="Arial"/>
          <w:lang w:val="en-GB"/>
        </w:rPr>
        <w:t xml:space="preserve">, which is the internet panel of </w:t>
      </w:r>
      <w:proofErr w:type="spellStart"/>
      <w:r w:rsidRPr="00AB467B">
        <w:rPr>
          <w:rFonts w:ascii="Arial" w:hAnsi="Arial" w:cs="Arial"/>
          <w:lang w:val="en-GB"/>
        </w:rPr>
        <w:t>CentERdata</w:t>
      </w:r>
      <w:proofErr w:type="spellEnd"/>
      <w:r w:rsidRPr="00AB467B">
        <w:rPr>
          <w:rFonts w:ascii="Arial" w:hAnsi="Arial" w:cs="Arial"/>
          <w:lang w:val="en-GB"/>
        </w:rPr>
        <w:t>. Households are selected to complete the survey by randomly drawing addresses from a pool of national postal addresses. The composition of the panel is controlled for in terms of characteristics in order to make sure that the sample is an accurate reflection of the Dutch population. This method is used in order to avoid self-selection into filling out the survey and to form a representative cross-section of the population. Hence, it is likely that de data retrieved from this survey is representative for the Netherlands. There are different subjects covered in the questionnaire and panel data is available at the individual and at the household level. Household data on income, possession, debts and mortgages and individual data on living conditions and mortgages will be used in this research. Observations are dropped from the data set if respondents answered that they did not know if they had a mortgage or if they did not know their mortgage interest rate. They are dropped because these are the variables of interest and these observations could create bias in the calculations that follow.</w:t>
      </w:r>
    </w:p>
    <w:p w14:paraId="775984B9" w14:textId="77777777" w:rsidR="009F2148" w:rsidRPr="000A5A4E" w:rsidRDefault="009F2148" w:rsidP="00991E7C">
      <w:pPr>
        <w:pStyle w:val="Geenafstand"/>
        <w:rPr>
          <w:lang w:val="en-GB"/>
        </w:rPr>
      </w:pPr>
    </w:p>
    <w:p w14:paraId="4045B188" w14:textId="77777777" w:rsidR="007F043B" w:rsidRPr="009F2148" w:rsidRDefault="009F2148" w:rsidP="009F2148">
      <w:pPr>
        <w:pStyle w:val="Kop1"/>
        <w:ind w:firstLine="0"/>
        <w:rPr>
          <w:rFonts w:ascii="Arial" w:eastAsiaTheme="minorHAnsi" w:hAnsi="Arial" w:cs="Arial"/>
          <w:b/>
          <w:bCs/>
          <w:color w:val="auto"/>
          <w:sz w:val="24"/>
          <w:szCs w:val="24"/>
          <w:lang w:val="en-GB"/>
        </w:rPr>
      </w:pPr>
      <w:bookmarkStart w:id="6" w:name="_Toc14016527"/>
      <w:r w:rsidRPr="009F2148">
        <w:rPr>
          <w:rFonts w:ascii="Arial" w:hAnsi="Arial" w:cs="Arial"/>
          <w:b/>
          <w:bCs/>
          <w:color w:val="auto"/>
          <w:sz w:val="24"/>
          <w:szCs w:val="24"/>
          <w:lang w:val="en-GB"/>
        </w:rPr>
        <w:t>6</w:t>
      </w:r>
      <w:r w:rsidR="007F043B" w:rsidRPr="009F2148">
        <w:rPr>
          <w:rFonts w:ascii="Arial" w:hAnsi="Arial" w:cs="Arial"/>
          <w:b/>
          <w:bCs/>
          <w:color w:val="auto"/>
          <w:sz w:val="24"/>
          <w:szCs w:val="24"/>
          <w:lang w:val="en-GB"/>
        </w:rPr>
        <w:t xml:space="preserve"> Descriptive Statistics and a comparison of the Netherlands and Denmark</w:t>
      </w:r>
      <w:bookmarkEnd w:id="6"/>
    </w:p>
    <w:p w14:paraId="4CB87FDA" w14:textId="77777777" w:rsidR="007F043B" w:rsidRDefault="007F043B" w:rsidP="007F043B">
      <w:pPr>
        <w:pStyle w:val="Geenafstand"/>
        <w:spacing w:line="360" w:lineRule="auto"/>
        <w:jc w:val="both"/>
        <w:rPr>
          <w:rFonts w:ascii="Arial" w:hAnsi="Arial" w:cs="Arial"/>
          <w:lang w:val="en-GB"/>
        </w:rPr>
      </w:pPr>
    </w:p>
    <w:p w14:paraId="5D0DB90B" w14:textId="77777777" w:rsidR="007F043B" w:rsidRPr="0032384E" w:rsidRDefault="0032384E" w:rsidP="0032384E">
      <w:pPr>
        <w:pStyle w:val="Kop2"/>
        <w:ind w:firstLine="0"/>
        <w:rPr>
          <w:rFonts w:ascii="Arial" w:hAnsi="Arial" w:cs="Arial"/>
          <w:color w:val="auto"/>
          <w:sz w:val="22"/>
          <w:szCs w:val="22"/>
          <w:u w:val="single"/>
          <w:lang w:val="en-GB"/>
        </w:rPr>
      </w:pPr>
      <w:bookmarkStart w:id="7" w:name="_Toc14016528"/>
      <w:r w:rsidRPr="0032384E">
        <w:rPr>
          <w:rFonts w:ascii="Arial" w:hAnsi="Arial" w:cs="Arial"/>
          <w:color w:val="auto"/>
          <w:sz w:val="22"/>
          <w:szCs w:val="22"/>
          <w:u w:val="single"/>
          <w:lang w:val="en-GB"/>
        </w:rPr>
        <w:t xml:space="preserve">6.1 </w:t>
      </w:r>
      <w:r w:rsidR="007F043B" w:rsidRPr="0032384E">
        <w:rPr>
          <w:rFonts w:ascii="Arial" w:hAnsi="Arial" w:cs="Arial"/>
          <w:color w:val="auto"/>
          <w:sz w:val="22"/>
          <w:szCs w:val="22"/>
          <w:u w:val="single"/>
          <w:lang w:val="en-GB"/>
        </w:rPr>
        <w:t>Housing prices development Netherlands</w:t>
      </w:r>
      <w:bookmarkEnd w:id="7"/>
    </w:p>
    <w:p w14:paraId="7280B595" w14:textId="513EB826"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Figure 1 in Appendix B shows the average housing sales prices per province and for the Netherlands as a whole for the period 2007 until 2018 using data from Statistics Netherlands. It is useful to describe the housing prices development per region, because it is possible that the policy reform affects the housing prices differently per region, if substantial deviations in housing prices per province are observed. Utrecht and Noord-Holland are the provinces with the highest housing prices throughout this period, whereas Groningen and Friesland have the lowest housing prices. The provinces show a similar trend in housing prices over time.  What stands out from this figure is that the housing prices drop between 2008 and 2009, which can be explained by the substantial effect that the financial crisis had on the Dutch housing market. After the decrease in housing prices in 2009, the prices remain considerable stable until 2013. From 2013 onwards, housing prices increase and grow steadily in all provinces with the fastest growth in Noord-Holland. All provinces reach average housing prices equal to or even higher than the prices of 2007 between 2015 and 2017, depending on the province. By 2018, the housing prices are higher than the housing prices of 2007, which is prior to the financial crisis. Hence, the housing market seems to be recovered from the financial crisis. </w:t>
      </w:r>
    </w:p>
    <w:p w14:paraId="6E2B6C8F" w14:textId="77777777" w:rsidR="00BC3C6D" w:rsidRPr="00AB467B" w:rsidRDefault="00BC3C6D" w:rsidP="007F043B">
      <w:pPr>
        <w:pStyle w:val="Geenafstand"/>
        <w:spacing w:line="360" w:lineRule="auto"/>
        <w:jc w:val="both"/>
        <w:rPr>
          <w:rFonts w:ascii="Arial" w:hAnsi="Arial" w:cs="Arial"/>
          <w:lang w:val="en-GB"/>
        </w:rPr>
      </w:pPr>
    </w:p>
    <w:p w14:paraId="4EC3061F" w14:textId="7435503B"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It follows from </w:t>
      </w:r>
      <w:r w:rsidR="000A5A4E">
        <w:rPr>
          <w:rFonts w:ascii="Arial" w:hAnsi="Arial" w:cs="Arial"/>
          <w:lang w:val="en-GB"/>
        </w:rPr>
        <w:t>F</w:t>
      </w:r>
      <w:r w:rsidRPr="00AB467B">
        <w:rPr>
          <w:rFonts w:ascii="Arial" w:hAnsi="Arial" w:cs="Arial"/>
          <w:lang w:val="en-GB"/>
        </w:rPr>
        <w:t xml:space="preserve">igure 1 in Appendix B that the financial crisis had disrupting effects on the housing prices. For the purposes of this research, it is important to determine the market </w:t>
      </w:r>
      <w:r w:rsidRPr="00AB467B">
        <w:rPr>
          <w:rFonts w:ascii="Arial" w:hAnsi="Arial" w:cs="Arial"/>
          <w:lang w:val="en-GB"/>
        </w:rPr>
        <w:lastRenderedPageBreak/>
        <w:t xml:space="preserve">situation prior to the implementation of the policy reform without any other time-varying factors affecting the housing market, because these factors could result in biased predictions of the effect of the policy reform. Ideally, the trends in housing prices prior to 2018 would be examined for a period as long as possible. However, it is important to keep in mind that the financial crisis had a substantial impact on the Dutch housing market, since the house prices of existing dwellings dropped with -7.1 percent between 2008 and mid-2009 </w:t>
      </w:r>
      <w:sdt>
        <w:sdtPr>
          <w:rPr>
            <w:rFonts w:ascii="Arial" w:hAnsi="Arial" w:cs="Arial"/>
            <w:lang w:val="en-GB"/>
          </w:rPr>
          <w:id w:val="488369466"/>
          <w:citation/>
        </w:sdtPr>
        <w:sdtContent>
          <w:r w:rsidRPr="00AB467B">
            <w:rPr>
              <w:rFonts w:ascii="Arial" w:hAnsi="Arial" w:cs="Arial"/>
              <w:lang w:val="en-GB"/>
            </w:rPr>
            <w:fldChar w:fldCharType="begin"/>
          </w:r>
          <w:r w:rsidRPr="00AB467B">
            <w:rPr>
              <w:rFonts w:ascii="Arial" w:hAnsi="Arial" w:cs="Arial"/>
              <w:lang w:val="en-GB"/>
            </w:rPr>
            <w:instrText xml:space="preserve"> CITATION van11 \l 1043 </w:instrText>
          </w:r>
          <w:r w:rsidRPr="00AB467B">
            <w:rPr>
              <w:rFonts w:ascii="Arial" w:hAnsi="Arial" w:cs="Arial"/>
              <w:lang w:val="en-GB"/>
            </w:rPr>
            <w:fldChar w:fldCharType="separate"/>
          </w:r>
          <w:r w:rsidRPr="00AB467B">
            <w:rPr>
              <w:rFonts w:ascii="Arial" w:hAnsi="Arial" w:cs="Arial"/>
              <w:noProof/>
              <w:lang w:val="en-GB"/>
            </w:rPr>
            <w:t>(van der Heijden, Dol</w:t>
          </w:r>
          <w:r w:rsidRPr="00AB467B">
            <w:rPr>
              <w:rFonts w:ascii="Arial" w:hAnsi="Arial" w:cs="Arial"/>
              <w:noProof/>
              <w:color w:val="FFFFFF" w:themeColor="background1"/>
              <w:lang w:val="en-GB"/>
            </w:rPr>
            <w:t>,</w:t>
          </w:r>
          <w:r w:rsidRPr="00AB467B">
            <w:rPr>
              <w:rFonts w:ascii="Arial" w:hAnsi="Arial" w:cs="Arial"/>
              <w:noProof/>
              <w:lang w:val="en-GB"/>
            </w:rPr>
            <w:t xml:space="preserve"> &amp; Oxley, 2011)</w:t>
          </w:r>
          <w:r w:rsidRPr="00AB467B">
            <w:rPr>
              <w:rFonts w:ascii="Arial" w:hAnsi="Arial" w:cs="Arial"/>
              <w:lang w:val="en-GB"/>
            </w:rPr>
            <w:fldChar w:fldCharType="end"/>
          </w:r>
        </w:sdtContent>
      </w:sdt>
      <w:r w:rsidRPr="00AB467B">
        <w:rPr>
          <w:rFonts w:ascii="Arial" w:hAnsi="Arial" w:cs="Arial"/>
          <w:lang w:val="en-GB"/>
        </w:rPr>
        <w:t xml:space="preserve">.Therefore, when determining the overall housing market situation prior to the policy reform, the main focus will be on the market situation after 2013. Figure 2 in Appendix B shows the average housing prices per province and the Netherlands as a whole from 2013 until 2018. This figure shows a more stable housing market situation, where prices are increasing steadily for all provinces. The housing prices show the same trend over time for all provinces, which implies that the same market mechanisms affecting the housing prices are present throughout the country.     </w:t>
      </w:r>
    </w:p>
    <w:p w14:paraId="2ACEA9CE" w14:textId="77777777" w:rsidR="007F043B" w:rsidRPr="00AB467B" w:rsidRDefault="007F043B" w:rsidP="007F043B">
      <w:pPr>
        <w:pStyle w:val="Geenafstand"/>
        <w:spacing w:line="360" w:lineRule="auto"/>
        <w:jc w:val="both"/>
        <w:rPr>
          <w:rFonts w:ascii="Arial" w:hAnsi="Arial" w:cs="Arial"/>
          <w:lang w:val="en-GB"/>
        </w:rPr>
      </w:pPr>
    </w:p>
    <w:p w14:paraId="555515CE" w14:textId="77777777" w:rsidR="007F043B" w:rsidRPr="0032384E" w:rsidRDefault="0032384E" w:rsidP="0032384E">
      <w:pPr>
        <w:pStyle w:val="Kop2"/>
        <w:ind w:firstLine="0"/>
        <w:rPr>
          <w:rFonts w:ascii="Arial" w:hAnsi="Arial" w:cs="Arial"/>
          <w:color w:val="auto"/>
          <w:sz w:val="22"/>
          <w:szCs w:val="22"/>
          <w:u w:val="single"/>
          <w:lang w:val="en-GB"/>
        </w:rPr>
      </w:pPr>
      <w:bookmarkStart w:id="8" w:name="_Toc14016529"/>
      <w:r>
        <w:rPr>
          <w:rFonts w:ascii="Arial" w:hAnsi="Arial" w:cs="Arial"/>
          <w:color w:val="auto"/>
          <w:sz w:val="22"/>
          <w:szCs w:val="22"/>
          <w:u w:val="single"/>
          <w:lang w:val="en-GB"/>
        </w:rPr>
        <w:t xml:space="preserve">6.2 </w:t>
      </w:r>
      <w:r w:rsidR="007F043B" w:rsidRPr="0032384E">
        <w:rPr>
          <w:rFonts w:ascii="Arial" w:hAnsi="Arial" w:cs="Arial"/>
          <w:color w:val="auto"/>
          <w:sz w:val="22"/>
          <w:szCs w:val="22"/>
          <w:u w:val="single"/>
          <w:lang w:val="en-GB"/>
        </w:rPr>
        <w:t>Nominal house price index comparison between the Netherlands and Denmark</w:t>
      </w:r>
      <w:bookmarkEnd w:id="8"/>
    </w:p>
    <w:p w14:paraId="3C327519" w14:textId="77777777"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Furthermore, a comparison of the overall housing prices development between the Netherlands and Denmark needs to be made in order to determine whether or not it is likely that the policy reform will affect the Dutch housing market in a similar way as it did in Denmark. Figures 3, 4 and 5 of Appendix B show the nominal house price index for the Netherlands and Denmark with 1995 as the base year, using data from BIS Statistics. It is important to keep in mind that prices are index numbers, which means that the countries can only be compared in terms of overall price development over time and not in absolute terms. First, a broad time spectrum from 1980 until 2018 is chosen to evaluate the overall housing price development generally. Then, a smaller time period is described in order to evaluate the effect of the policy reform in Denmark. Finally, the housing price development in the Netherlands and Denmark prior to the policy reform is described. </w:t>
      </w:r>
    </w:p>
    <w:p w14:paraId="76C3242F" w14:textId="77777777" w:rsidR="007F043B" w:rsidRPr="00AB467B" w:rsidRDefault="007F043B" w:rsidP="007F043B">
      <w:pPr>
        <w:pStyle w:val="Geenafstand"/>
        <w:spacing w:line="360" w:lineRule="auto"/>
        <w:jc w:val="both"/>
        <w:rPr>
          <w:rFonts w:ascii="Arial" w:hAnsi="Arial" w:cs="Arial"/>
          <w:lang w:val="en-GB"/>
        </w:rPr>
      </w:pPr>
    </w:p>
    <w:p w14:paraId="375012B0" w14:textId="75E51842"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Figure 3 of Appendix B shows the nominal house price index for the Netherlands and Denmark from the first quarter of 1980 until the final quarter of 2018. In the Netherlands, the housing prices decreased between 1980-1986 and then increased slightly between 1986-1991. In 1991, the prices reached the same level again as they had in 1980 and from 1991 onwards the prices increase substantially until 2008, which is the peak period. Between 2008 and 2013 a sharp drop in housing prices is visible, which is the period in which the financial crisis hit the housing market in the Netherlands. From 2013 onwards, the housing prices start to increase again and by 2018 the prices are higher than they were in the peak period of 2008, before the financial crisis hit. Hence, these patterns in housing prices are similar to the ones observed in </w:t>
      </w:r>
      <w:r w:rsidR="000A5A4E">
        <w:rPr>
          <w:rFonts w:ascii="Arial" w:hAnsi="Arial" w:cs="Arial"/>
          <w:lang w:val="en-GB"/>
        </w:rPr>
        <w:t>F</w:t>
      </w:r>
      <w:r w:rsidRPr="00AB467B">
        <w:rPr>
          <w:rFonts w:ascii="Arial" w:hAnsi="Arial" w:cs="Arial"/>
          <w:lang w:val="en-GB"/>
        </w:rPr>
        <w:t xml:space="preserve">igures 1 and 2 of Appendix B. In Denmark, housing prices increase between 1982-1986 in </w:t>
      </w:r>
      <w:r w:rsidRPr="00AB467B">
        <w:rPr>
          <w:rFonts w:ascii="Arial" w:hAnsi="Arial" w:cs="Arial"/>
          <w:lang w:val="en-GB"/>
        </w:rPr>
        <w:lastRenderedPageBreak/>
        <w:t>contrast to the decreasing housing prices in the Netherlands in this period. In 1987 the policy reform was implemented in Denmark, which lead to a decrease in housing prices between 1987-1992, whereas the housing prices in the Netherlands increased in these years. From 1992-1998 the prices in Denmark and the Netherlands increased with more or less the same trend, when from 1998 onwards the prices start to increase faster in the Netherlands, creating a growth gap. A substantial growth in housing prices is visible between 2003 and 2007 in Denmark, until the financial crisis hits the Danish housing market at the same time as the Dutch housing market in 2008 and prices start to drop substantially. In Denmark, the prices fluctuate between 2009-2011 and from 2012 onwards the prices show an increasing trend. A difference between the Dutch and the Danish housing market is that the housing prices in Denmark seem a bit more volatile during the increase after the financial crisis than in the Netherlands.</w:t>
      </w:r>
    </w:p>
    <w:p w14:paraId="15E9CE45" w14:textId="77777777" w:rsidR="007F043B" w:rsidRPr="00AB467B" w:rsidRDefault="007F043B" w:rsidP="007F043B">
      <w:pPr>
        <w:pStyle w:val="Geenafstand"/>
        <w:spacing w:line="360" w:lineRule="auto"/>
        <w:jc w:val="both"/>
        <w:rPr>
          <w:rFonts w:ascii="Arial" w:hAnsi="Arial" w:cs="Arial"/>
          <w:lang w:val="en-GB"/>
        </w:rPr>
      </w:pPr>
    </w:p>
    <w:p w14:paraId="459AE8DC" w14:textId="71AF5B15"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In order to have a closer look at the effect of the 1987 policy reform in Denmark, </w:t>
      </w:r>
      <w:r w:rsidR="000A5A4E">
        <w:rPr>
          <w:rFonts w:ascii="Arial" w:hAnsi="Arial" w:cs="Arial"/>
          <w:lang w:val="en-GB"/>
        </w:rPr>
        <w:t>F</w:t>
      </w:r>
      <w:r w:rsidRPr="00AB467B">
        <w:rPr>
          <w:rFonts w:ascii="Arial" w:hAnsi="Arial" w:cs="Arial"/>
          <w:lang w:val="en-GB"/>
        </w:rPr>
        <w:t xml:space="preserve">igure 4 of Appendix B shows the nominal house price index for the Netherlands and Denmark over the period 1980-1997. The Netherlands shows a more or less stable housing prices growth trend in this period, with some small fluctuations over time. In contrast, there is a sharp increase in housing prices in Denmark between 1983-1987 until the policy reform is implemented in 1987. After the implementation, the prices in Denmark show a downward trend with some small upward fluctuations over time. From 1993 onwards, the Danish housing prices show a positive trend and from 1994 onwards the Dutch and Danish housing prices follow the same growth path. </w:t>
      </w:r>
    </w:p>
    <w:p w14:paraId="62E417D0" w14:textId="77777777" w:rsidR="007F043B" w:rsidRPr="00AB467B" w:rsidRDefault="007F043B" w:rsidP="007F043B">
      <w:pPr>
        <w:pStyle w:val="Geenafstand"/>
        <w:spacing w:line="360" w:lineRule="auto"/>
        <w:jc w:val="both"/>
        <w:rPr>
          <w:rFonts w:ascii="Arial" w:hAnsi="Arial" w:cs="Arial"/>
          <w:lang w:val="en-GB"/>
        </w:rPr>
      </w:pPr>
    </w:p>
    <w:p w14:paraId="3647FCD3" w14:textId="12F0933A"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Figure 5 of Appendix B shows the nominal housing price index for the Netherlands in the period 2013-2018 and Denmark in the period 1982-1990. These time series are plotted against each other in order to make a comparison of the housing market situation between the countries prior to the policy reform. The upper part of the </w:t>
      </w:r>
      <w:r w:rsidR="000A5A4E">
        <w:rPr>
          <w:rFonts w:ascii="Arial" w:hAnsi="Arial" w:cs="Arial"/>
          <w:lang w:val="en-GB"/>
        </w:rPr>
        <w:t>f</w:t>
      </w:r>
      <w:r w:rsidRPr="00AB467B">
        <w:rPr>
          <w:rFonts w:ascii="Arial" w:hAnsi="Arial" w:cs="Arial"/>
          <w:lang w:val="en-GB"/>
        </w:rPr>
        <w:t xml:space="preserve">igure shows the housing price trend </w:t>
      </w:r>
      <w:r w:rsidR="0032384E">
        <w:rPr>
          <w:rFonts w:ascii="Arial" w:hAnsi="Arial" w:cs="Arial"/>
          <w:lang w:val="en-GB"/>
        </w:rPr>
        <w:t>f</w:t>
      </w:r>
      <w:r w:rsidRPr="00AB467B">
        <w:rPr>
          <w:rFonts w:ascii="Arial" w:hAnsi="Arial" w:cs="Arial"/>
          <w:lang w:val="en-GB"/>
        </w:rPr>
        <w:t>or the Netherlands, where the period 2013-2018 is the most recent data available prior to the policy reform and after the housing market recovered from the financial crisis. The figure shows an upward trend in the Dutch housing prices in this period. The prices are increasing with a relatively stable positive trend. The lower part of the figure shows the housing price trend for Denmark in the period 1982-1990, which is around the implementation of the policy reform. In the years 1982-1987, before the introduction of the policy reform, the housing prices are increasing. It shows a positive trend that i</w:t>
      </w:r>
      <w:r w:rsidR="0032384E">
        <w:rPr>
          <w:rFonts w:ascii="Arial" w:hAnsi="Arial" w:cs="Arial"/>
          <w:lang w:val="en-GB"/>
        </w:rPr>
        <w:t>s</w:t>
      </w:r>
      <w:r w:rsidRPr="00AB467B">
        <w:rPr>
          <w:rFonts w:ascii="Arial" w:hAnsi="Arial" w:cs="Arial"/>
          <w:lang w:val="en-GB"/>
        </w:rPr>
        <w:t xml:space="preserve"> similar to the housing price development in the Netherlands. In 1987, the Danish housing prices drop at the same time the policy reform is implemented. After this decrease, the prices seem stable with a small downward trend around 1989. Based on this figure, it can be stated that the housing price development prior to the policy reform in the Netherlands is very similar to the situation in Denmark.</w:t>
      </w:r>
    </w:p>
    <w:p w14:paraId="02BAEF24" w14:textId="77777777" w:rsidR="007F043B" w:rsidRPr="0032384E" w:rsidRDefault="0032384E" w:rsidP="0032384E">
      <w:pPr>
        <w:pStyle w:val="Kop2"/>
        <w:ind w:firstLine="0"/>
        <w:rPr>
          <w:rFonts w:ascii="Arial" w:hAnsi="Arial" w:cs="Arial"/>
          <w:color w:val="auto"/>
          <w:sz w:val="22"/>
          <w:szCs w:val="22"/>
          <w:u w:val="single"/>
          <w:lang w:val="en-GB"/>
        </w:rPr>
      </w:pPr>
      <w:bookmarkStart w:id="9" w:name="_Toc14016530"/>
      <w:r w:rsidRPr="0032384E">
        <w:rPr>
          <w:rFonts w:ascii="Arial" w:hAnsi="Arial" w:cs="Arial"/>
          <w:color w:val="auto"/>
          <w:sz w:val="22"/>
          <w:szCs w:val="22"/>
          <w:u w:val="single"/>
          <w:lang w:val="en-GB"/>
        </w:rPr>
        <w:lastRenderedPageBreak/>
        <w:t xml:space="preserve">6.3 </w:t>
      </w:r>
      <w:r w:rsidR="007F043B" w:rsidRPr="0032384E">
        <w:rPr>
          <w:rFonts w:ascii="Arial" w:hAnsi="Arial" w:cs="Arial"/>
          <w:color w:val="auto"/>
          <w:sz w:val="22"/>
          <w:szCs w:val="22"/>
          <w:u w:val="single"/>
          <w:lang w:val="en-GB"/>
        </w:rPr>
        <w:t>Income taxation and policy reform in the Netherlands and Denmark</w:t>
      </w:r>
      <w:bookmarkEnd w:id="9"/>
    </w:p>
    <w:p w14:paraId="5874EC4D" w14:textId="5D40FBF7"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Furthermore, it is important to have a closer look at income taxation and the policy reforms regarding mortgage interest deduction in both the Netherlands and Denmark. In the Netherlands, labour income is taxed progressively through four income brackets. </w:t>
      </w:r>
      <w:r w:rsidR="00F12DEA">
        <w:rPr>
          <w:rFonts w:ascii="Arial" w:hAnsi="Arial" w:cs="Arial"/>
          <w:lang w:val="en-GB"/>
        </w:rPr>
        <w:t xml:space="preserve">The lowest income bracket has a marginal tax rate of </w:t>
      </w:r>
      <w:r w:rsidR="007B3527">
        <w:rPr>
          <w:rFonts w:ascii="Arial" w:hAnsi="Arial" w:cs="Arial"/>
          <w:lang w:val="en-GB"/>
        </w:rPr>
        <w:t>36.65 percent</w:t>
      </w:r>
      <w:r w:rsidR="00653FD2">
        <w:rPr>
          <w:rFonts w:ascii="Arial" w:hAnsi="Arial" w:cs="Arial"/>
          <w:lang w:val="en-GB"/>
        </w:rPr>
        <w:t>, t</w:t>
      </w:r>
      <w:r w:rsidR="007B3527">
        <w:rPr>
          <w:rFonts w:ascii="Arial" w:hAnsi="Arial" w:cs="Arial"/>
          <w:lang w:val="en-GB"/>
        </w:rPr>
        <w:t xml:space="preserve">he second and third income brackets have </w:t>
      </w:r>
      <w:r w:rsidR="00653FD2">
        <w:rPr>
          <w:rFonts w:ascii="Arial" w:hAnsi="Arial" w:cs="Arial"/>
          <w:lang w:val="en-GB"/>
        </w:rPr>
        <w:t>a marginal tax rate of 38.10 percent and the highest income bracket has a marginal tax rate of 51.75 percent.</w:t>
      </w:r>
      <w:r w:rsidR="007B3527">
        <w:rPr>
          <w:rFonts w:ascii="Arial" w:hAnsi="Arial" w:cs="Arial"/>
          <w:lang w:val="en-GB"/>
        </w:rPr>
        <w:t xml:space="preserve"> </w:t>
      </w:r>
      <w:r w:rsidRPr="00AB467B">
        <w:rPr>
          <w:rFonts w:ascii="Arial" w:hAnsi="Arial" w:cs="Arial"/>
          <w:lang w:val="en-GB"/>
        </w:rPr>
        <w:t>Prior to the policy reform, homeowners were able to deduct all their interest on home mortgage from their income, where taxable income is labour income minus deductibles (</w:t>
      </w:r>
      <w:proofErr w:type="spellStart"/>
      <w:r w:rsidRPr="00AB467B">
        <w:rPr>
          <w:rFonts w:ascii="Arial" w:hAnsi="Arial" w:cs="Arial"/>
          <w:lang w:val="en-GB"/>
        </w:rPr>
        <w:t>Rijksoverheid</w:t>
      </w:r>
      <w:proofErr w:type="spellEnd"/>
      <w:r w:rsidRPr="00AB467B">
        <w:rPr>
          <w:rFonts w:ascii="Arial" w:hAnsi="Arial" w:cs="Arial"/>
          <w:lang w:val="en-GB"/>
        </w:rPr>
        <w:t>, 2019). The government decided to gradually reduce mortgage interest deduction for individuals in the highest income bracket from 2017 onwards. The deduction was reduced with 0.5 percentage points per year initially, but from 2019 onwards the reduction will be accelerated with three percentage points per year until the target rate of 37.05</w:t>
      </w:r>
      <w:r w:rsidR="00115521">
        <w:rPr>
          <w:rFonts w:ascii="Arial" w:hAnsi="Arial" w:cs="Arial"/>
          <w:lang w:val="en-GB"/>
        </w:rPr>
        <w:t xml:space="preserve"> percent</w:t>
      </w:r>
      <w:r w:rsidRPr="00AB467B">
        <w:rPr>
          <w:rFonts w:ascii="Arial" w:hAnsi="Arial" w:cs="Arial"/>
          <w:lang w:val="en-GB"/>
        </w:rPr>
        <w:t xml:space="preserve"> is reached. Then, </w:t>
      </w:r>
      <w:r w:rsidR="002363D9">
        <w:rPr>
          <w:rFonts w:ascii="Arial" w:hAnsi="Arial" w:cs="Arial"/>
          <w:lang w:val="en-GB"/>
        </w:rPr>
        <w:t xml:space="preserve">it is not possible anymore to deduct </w:t>
      </w:r>
      <w:r w:rsidR="00C13ADB">
        <w:rPr>
          <w:rFonts w:ascii="Arial" w:hAnsi="Arial" w:cs="Arial"/>
          <w:lang w:val="en-GB"/>
        </w:rPr>
        <w:t xml:space="preserve">the total amount of </w:t>
      </w:r>
      <w:r w:rsidRPr="00AB467B">
        <w:rPr>
          <w:rFonts w:ascii="Arial" w:hAnsi="Arial" w:cs="Arial"/>
          <w:lang w:val="en-GB"/>
        </w:rPr>
        <w:t xml:space="preserve">home mortgage interest </w:t>
      </w:r>
      <w:r w:rsidR="00C13ADB">
        <w:rPr>
          <w:rFonts w:ascii="Arial" w:hAnsi="Arial" w:cs="Arial"/>
          <w:lang w:val="en-GB"/>
        </w:rPr>
        <w:t xml:space="preserve">from </w:t>
      </w:r>
      <w:r w:rsidRPr="00AB467B">
        <w:rPr>
          <w:rFonts w:ascii="Arial" w:hAnsi="Arial" w:cs="Arial"/>
          <w:lang w:val="en-GB"/>
        </w:rPr>
        <w:t>the highest</w:t>
      </w:r>
      <w:r w:rsidR="00C13ADB">
        <w:rPr>
          <w:rFonts w:ascii="Arial" w:hAnsi="Arial" w:cs="Arial"/>
          <w:lang w:val="en-GB"/>
        </w:rPr>
        <w:t xml:space="preserve"> income</w:t>
      </w:r>
      <w:r w:rsidRPr="00AB467B">
        <w:rPr>
          <w:rFonts w:ascii="Arial" w:hAnsi="Arial" w:cs="Arial"/>
          <w:lang w:val="en-GB"/>
        </w:rPr>
        <w:t xml:space="preserve"> bracket (</w:t>
      </w:r>
      <w:proofErr w:type="spellStart"/>
      <w:r w:rsidRPr="00AB467B">
        <w:rPr>
          <w:rFonts w:ascii="Arial" w:hAnsi="Arial" w:cs="Arial"/>
          <w:lang w:val="en-GB"/>
        </w:rPr>
        <w:t>Rijksoverheid</w:t>
      </w:r>
      <w:proofErr w:type="spellEnd"/>
      <w:r w:rsidRPr="00AB467B">
        <w:rPr>
          <w:rFonts w:ascii="Arial" w:hAnsi="Arial" w:cs="Arial"/>
          <w:lang w:val="en-GB"/>
        </w:rPr>
        <w:t>, 2018).</w:t>
      </w:r>
      <w:r w:rsidR="00115521">
        <w:rPr>
          <w:rFonts w:ascii="Arial" w:hAnsi="Arial" w:cs="Arial"/>
          <w:lang w:val="en-GB"/>
        </w:rPr>
        <w:t xml:space="preserve"> </w:t>
      </w:r>
      <w:r w:rsidR="003F2327">
        <w:rPr>
          <w:rFonts w:ascii="Arial" w:hAnsi="Arial" w:cs="Arial"/>
          <w:lang w:val="en-GB"/>
        </w:rPr>
        <w:t xml:space="preserve">The </w:t>
      </w:r>
      <w:r w:rsidR="005C6F0A">
        <w:rPr>
          <w:rFonts w:ascii="Arial" w:hAnsi="Arial" w:cs="Arial"/>
          <w:lang w:val="en-GB"/>
        </w:rPr>
        <w:t>housing subsidy decreases with 14.7 percentage points for individuals in the highest income bracket</w:t>
      </w:r>
      <w:r w:rsidR="002A3B21">
        <w:rPr>
          <w:rFonts w:ascii="Arial" w:hAnsi="Arial" w:cs="Arial"/>
          <w:lang w:val="en-GB"/>
        </w:rPr>
        <w:t xml:space="preserve">, </w:t>
      </w:r>
      <w:r w:rsidRPr="00AB467B">
        <w:rPr>
          <w:rFonts w:ascii="Arial" w:hAnsi="Arial" w:cs="Arial"/>
          <w:lang w:val="en-GB"/>
        </w:rPr>
        <w:t>whereas individuals in the lower three income brackets remain unaffected.</w:t>
      </w:r>
    </w:p>
    <w:p w14:paraId="189A36F8" w14:textId="77777777" w:rsidR="007F043B" w:rsidRPr="00AB467B" w:rsidRDefault="007F043B" w:rsidP="007F043B">
      <w:pPr>
        <w:pStyle w:val="Geenafstand"/>
        <w:spacing w:line="360" w:lineRule="auto"/>
        <w:jc w:val="both"/>
        <w:rPr>
          <w:rFonts w:ascii="Arial" w:hAnsi="Arial" w:cs="Arial"/>
          <w:lang w:val="en-GB"/>
        </w:rPr>
      </w:pPr>
    </w:p>
    <w:p w14:paraId="6F3B8F46" w14:textId="2DA91F72"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In Denmark, income taxation is subject to three income brackets with progressive tax percentages.</w:t>
      </w:r>
      <w:r w:rsidR="002A3B21">
        <w:rPr>
          <w:rFonts w:ascii="Arial" w:hAnsi="Arial" w:cs="Arial"/>
          <w:lang w:val="en-GB"/>
        </w:rPr>
        <w:t xml:space="preserve"> Individuals in the top income bracket pay a marginal tax rate of </w:t>
      </w:r>
      <w:r w:rsidR="000000A9">
        <w:rPr>
          <w:rFonts w:ascii="Arial" w:hAnsi="Arial" w:cs="Arial"/>
          <w:lang w:val="en-GB"/>
        </w:rPr>
        <w:t>73 percent, individuals in the middle bracket pay 62 percent and individuals in the bottom bracket</w:t>
      </w:r>
      <w:r w:rsidR="00B15106">
        <w:rPr>
          <w:rFonts w:ascii="Arial" w:hAnsi="Arial" w:cs="Arial"/>
          <w:lang w:val="en-GB"/>
        </w:rPr>
        <w:t xml:space="preserve"> have a marginal tax rate of 48 percent</w:t>
      </w:r>
      <w:r w:rsidR="009B2E5D">
        <w:rPr>
          <w:rFonts w:ascii="Arial" w:hAnsi="Arial" w:cs="Arial"/>
          <w:lang w:val="en-GB"/>
        </w:rPr>
        <w:t xml:space="preserve"> (OECD, 2018)</w:t>
      </w:r>
      <w:r w:rsidR="00B15106">
        <w:rPr>
          <w:rFonts w:ascii="Arial" w:hAnsi="Arial" w:cs="Arial"/>
          <w:lang w:val="en-GB"/>
        </w:rPr>
        <w:t>.</w:t>
      </w:r>
      <w:r w:rsidRPr="00AB467B">
        <w:rPr>
          <w:rFonts w:ascii="Arial" w:hAnsi="Arial" w:cs="Arial"/>
          <w:lang w:val="en-GB"/>
        </w:rPr>
        <w:t xml:space="preserve"> The policy reform of 1987 mainly affected the top income group, since it substantially reduced the subsidy on mortgages for the top group. The subsidies for the middle income bracket were also reduced, but by much less. The homeowners in the bottom bracket received slightly more subsidy on mortgages. Hence, both Denmark and the Netherlands employ a progressive tax system on labour income and decided to reduce the subsidy on homeownership for the highest income bracket (Gruber et al., 2018, p. 1). This means that both countries have similar taxation policies. However, it is important to keep in mind that the Danish policy reform also affect</w:t>
      </w:r>
      <w:r w:rsidR="00F512AE">
        <w:rPr>
          <w:rFonts w:ascii="Arial" w:hAnsi="Arial" w:cs="Arial"/>
          <w:lang w:val="en-GB"/>
        </w:rPr>
        <w:t>s</w:t>
      </w:r>
      <w:r w:rsidRPr="00AB467B">
        <w:rPr>
          <w:rFonts w:ascii="Arial" w:hAnsi="Arial" w:cs="Arial"/>
          <w:lang w:val="en-GB"/>
        </w:rPr>
        <w:t xml:space="preserve"> the middle and bottom income groups, whereas these groups remain unaffected in the Dutch case.</w:t>
      </w:r>
      <w:r w:rsidR="00B15106">
        <w:rPr>
          <w:rFonts w:ascii="Arial" w:hAnsi="Arial" w:cs="Arial"/>
          <w:lang w:val="en-GB"/>
        </w:rPr>
        <w:t xml:space="preserve"> Also, </w:t>
      </w:r>
      <w:r w:rsidR="00873897">
        <w:rPr>
          <w:rFonts w:ascii="Arial" w:hAnsi="Arial" w:cs="Arial"/>
          <w:lang w:val="en-GB"/>
        </w:rPr>
        <w:t xml:space="preserve">the </w:t>
      </w:r>
      <w:r w:rsidR="00BF0B96">
        <w:rPr>
          <w:rFonts w:ascii="Arial" w:hAnsi="Arial" w:cs="Arial"/>
          <w:lang w:val="en-GB"/>
        </w:rPr>
        <w:t>overall tax rates</w:t>
      </w:r>
      <w:r w:rsidR="00873897">
        <w:rPr>
          <w:rFonts w:ascii="Arial" w:hAnsi="Arial" w:cs="Arial"/>
          <w:lang w:val="en-GB"/>
        </w:rPr>
        <w:t xml:space="preserve"> are higher in Denmark than </w:t>
      </w:r>
      <w:r w:rsidR="00BF0B96">
        <w:rPr>
          <w:rFonts w:ascii="Arial" w:hAnsi="Arial" w:cs="Arial"/>
          <w:lang w:val="en-GB"/>
        </w:rPr>
        <w:t xml:space="preserve">in the Netherlands. </w:t>
      </w:r>
    </w:p>
    <w:p w14:paraId="5AF45FB2" w14:textId="77777777" w:rsidR="007F043B" w:rsidRDefault="007F043B" w:rsidP="007F043B">
      <w:pPr>
        <w:pStyle w:val="Geenafstand"/>
        <w:spacing w:line="360" w:lineRule="auto"/>
        <w:jc w:val="both"/>
        <w:rPr>
          <w:rFonts w:ascii="Arial" w:hAnsi="Arial" w:cs="Arial"/>
          <w:lang w:val="en-GB"/>
        </w:rPr>
      </w:pPr>
    </w:p>
    <w:p w14:paraId="6C0825D3" w14:textId="77777777" w:rsidR="007F043B" w:rsidRPr="0032384E" w:rsidRDefault="0032384E" w:rsidP="0032384E">
      <w:pPr>
        <w:pStyle w:val="Kop2"/>
        <w:ind w:firstLine="0"/>
        <w:rPr>
          <w:rFonts w:ascii="Arial" w:hAnsi="Arial" w:cs="Arial"/>
          <w:color w:val="auto"/>
          <w:sz w:val="22"/>
          <w:szCs w:val="22"/>
          <w:u w:val="single"/>
          <w:lang w:val="en-GB"/>
        </w:rPr>
      </w:pPr>
      <w:bookmarkStart w:id="10" w:name="_Toc14016531"/>
      <w:r w:rsidRPr="0032384E">
        <w:rPr>
          <w:rFonts w:ascii="Arial" w:hAnsi="Arial" w:cs="Arial"/>
          <w:color w:val="auto"/>
          <w:sz w:val="22"/>
          <w:szCs w:val="22"/>
          <w:u w:val="single"/>
          <w:lang w:val="en-GB"/>
        </w:rPr>
        <w:t xml:space="preserve">6.4 </w:t>
      </w:r>
      <w:r w:rsidR="007F043B" w:rsidRPr="0032384E">
        <w:rPr>
          <w:rFonts w:ascii="Arial" w:hAnsi="Arial" w:cs="Arial"/>
          <w:color w:val="auto"/>
          <w:sz w:val="22"/>
          <w:szCs w:val="22"/>
          <w:u w:val="single"/>
          <w:lang w:val="en-GB"/>
        </w:rPr>
        <w:t>Economic circumstances and demography in the Netherlands and Denmark</w:t>
      </w:r>
      <w:bookmarkEnd w:id="10"/>
    </w:p>
    <w:p w14:paraId="0F9FFAA7" w14:textId="77777777"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To evaluate whether the Netherlands and Denmark are similar in terms of overall economic circumstances, data on GDP growth per year are compared. Figure 6 in Appendix B shows the percentage growth of GDP for Denmark in the years 1982-1990. In this period, the GDP growth lies between -0.01% and 4.9% per year. In the years 1983-1986 this growth increases, hence in this period GDP grows more each year than it did in the previous year. In 1986, the </w:t>
      </w:r>
      <w:r w:rsidRPr="00AB467B">
        <w:rPr>
          <w:rFonts w:ascii="Arial" w:hAnsi="Arial" w:cs="Arial"/>
          <w:lang w:val="en-GB"/>
        </w:rPr>
        <w:lastRenderedPageBreak/>
        <w:t xml:space="preserve">year prior to the policy reform, GDP grows with 4.9%. When the policy reform is implemented in 1987, GDP grows only with 0.25%. There is a negative GDP growth of -0.01% in 1988 after the policy reform is implemented. </w:t>
      </w:r>
    </w:p>
    <w:p w14:paraId="075F9AD5" w14:textId="77777777" w:rsidR="007F043B" w:rsidRPr="00AB467B" w:rsidRDefault="007F043B" w:rsidP="007F043B">
      <w:pPr>
        <w:pStyle w:val="Geenafstand"/>
        <w:spacing w:line="360" w:lineRule="auto"/>
        <w:jc w:val="both"/>
        <w:rPr>
          <w:rFonts w:ascii="Arial" w:hAnsi="Arial" w:cs="Arial"/>
          <w:lang w:val="en-GB"/>
        </w:rPr>
      </w:pPr>
    </w:p>
    <w:p w14:paraId="79C39FC3" w14:textId="2176FF3D"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The Dutch GDP growth in percentages for the period 2013-2018 is presented in </w:t>
      </w:r>
      <w:r w:rsidR="000A5A4E">
        <w:rPr>
          <w:rFonts w:ascii="Arial" w:hAnsi="Arial" w:cs="Arial"/>
          <w:lang w:val="en-GB"/>
        </w:rPr>
        <w:t>F</w:t>
      </w:r>
      <w:r w:rsidRPr="00AB467B">
        <w:rPr>
          <w:rFonts w:ascii="Arial" w:hAnsi="Arial" w:cs="Arial"/>
          <w:lang w:val="en-GB"/>
        </w:rPr>
        <w:t xml:space="preserve">igure 7 of Appendix B. Overall, the GDP growth lies between -0.1% and 2.9% per year. In the years 2013-2017 GDP grows increasingly, which means that the economy is expanding. In 2018 there is a small decrease in the percentage growth of GDP. The growth percentage is still positive, hence the economy is still growing. A similarity between Denmark and the Netherlands is that there is a decrease in GDP growth in the years around the implementation of the policy reform. Furthermore, both countries show mostly positive GDP growth around the same percentage range in the years prior to the policy reform. </w:t>
      </w:r>
    </w:p>
    <w:p w14:paraId="1584C965" w14:textId="222ED447" w:rsidR="001653FD" w:rsidRDefault="001653FD" w:rsidP="007F043B">
      <w:pPr>
        <w:pStyle w:val="Geenafstand"/>
        <w:spacing w:line="360" w:lineRule="auto"/>
        <w:jc w:val="both"/>
        <w:rPr>
          <w:rFonts w:ascii="Arial" w:hAnsi="Arial" w:cs="Arial"/>
          <w:lang w:val="en-GB"/>
        </w:rPr>
      </w:pPr>
    </w:p>
    <w:p w14:paraId="356FAB52" w14:textId="77777777" w:rsidR="0015276F" w:rsidRDefault="001653FD" w:rsidP="007F043B">
      <w:pPr>
        <w:pStyle w:val="Geenafstand"/>
        <w:spacing w:line="360" w:lineRule="auto"/>
        <w:jc w:val="both"/>
        <w:rPr>
          <w:rFonts w:ascii="Arial" w:hAnsi="Arial" w:cs="Arial"/>
          <w:lang w:val="en-GB"/>
        </w:rPr>
      </w:pPr>
      <w:r>
        <w:rPr>
          <w:rFonts w:ascii="Arial" w:hAnsi="Arial" w:cs="Arial"/>
          <w:lang w:val="en-GB"/>
        </w:rPr>
        <w:t xml:space="preserve">Additionally, </w:t>
      </w:r>
      <w:r w:rsidR="00E22BE4">
        <w:rPr>
          <w:rFonts w:ascii="Arial" w:hAnsi="Arial" w:cs="Arial"/>
          <w:lang w:val="en-GB"/>
        </w:rPr>
        <w:t xml:space="preserve">the Netherlands and Denmark can be compared in </w:t>
      </w:r>
      <w:r w:rsidR="0011287F">
        <w:rPr>
          <w:rFonts w:ascii="Arial" w:hAnsi="Arial" w:cs="Arial"/>
          <w:lang w:val="en-GB"/>
        </w:rPr>
        <w:t>terms of GDP per capita per year. Figure 8 of Appendix B shows GDP per capita for Denmark in the period 1982-1990</w:t>
      </w:r>
      <w:r w:rsidR="0085501E">
        <w:rPr>
          <w:rFonts w:ascii="Arial" w:hAnsi="Arial" w:cs="Arial"/>
          <w:lang w:val="en-GB"/>
        </w:rPr>
        <w:t xml:space="preserve"> where the minimum value is $28,824 in 1982 and the maximum value is $</w:t>
      </w:r>
      <w:r w:rsidR="001B388C">
        <w:rPr>
          <w:rFonts w:ascii="Arial" w:hAnsi="Arial" w:cs="Arial"/>
          <w:lang w:val="en-GB"/>
        </w:rPr>
        <w:t xml:space="preserve">35,301 in 1990. </w:t>
      </w:r>
      <w:r w:rsidR="00C90856">
        <w:rPr>
          <w:rFonts w:ascii="Arial" w:hAnsi="Arial" w:cs="Arial"/>
          <w:lang w:val="en-GB"/>
        </w:rPr>
        <w:t>Between 1982 and 1986</w:t>
      </w:r>
      <w:r w:rsidR="004C132F">
        <w:rPr>
          <w:rFonts w:ascii="Arial" w:hAnsi="Arial" w:cs="Arial"/>
          <w:lang w:val="en-GB"/>
        </w:rPr>
        <w:t>,</w:t>
      </w:r>
      <w:r w:rsidR="00C90856">
        <w:rPr>
          <w:rFonts w:ascii="Arial" w:hAnsi="Arial" w:cs="Arial"/>
          <w:lang w:val="en-GB"/>
        </w:rPr>
        <w:t xml:space="preserve"> GDP per capita increases</w:t>
      </w:r>
      <w:r w:rsidR="004C132F">
        <w:rPr>
          <w:rFonts w:ascii="Arial" w:hAnsi="Arial" w:cs="Arial"/>
          <w:lang w:val="en-GB"/>
        </w:rPr>
        <w:t xml:space="preserve"> steadily</w:t>
      </w:r>
      <w:r w:rsidR="00C90856">
        <w:rPr>
          <w:rFonts w:ascii="Arial" w:hAnsi="Arial" w:cs="Arial"/>
          <w:lang w:val="en-GB"/>
        </w:rPr>
        <w:t xml:space="preserve"> </w:t>
      </w:r>
      <w:r w:rsidR="004C132F">
        <w:rPr>
          <w:rFonts w:ascii="Arial" w:hAnsi="Arial" w:cs="Arial"/>
          <w:lang w:val="en-GB"/>
        </w:rPr>
        <w:t xml:space="preserve">every year. In the period 1986-1988, which are the years around the policy reform, GDP per capita decreases slightly and then increases again between 1988-1990. </w:t>
      </w:r>
    </w:p>
    <w:p w14:paraId="2AB53D08" w14:textId="77777777" w:rsidR="0015276F" w:rsidRDefault="0015276F" w:rsidP="007F043B">
      <w:pPr>
        <w:pStyle w:val="Geenafstand"/>
        <w:spacing w:line="360" w:lineRule="auto"/>
        <w:jc w:val="both"/>
        <w:rPr>
          <w:rFonts w:ascii="Arial" w:hAnsi="Arial" w:cs="Arial"/>
          <w:lang w:val="en-GB"/>
        </w:rPr>
      </w:pPr>
    </w:p>
    <w:p w14:paraId="79925E30" w14:textId="4EA69DE0" w:rsidR="001653FD" w:rsidRDefault="0015276F" w:rsidP="007F043B">
      <w:pPr>
        <w:pStyle w:val="Geenafstand"/>
        <w:spacing w:line="360" w:lineRule="auto"/>
        <w:jc w:val="both"/>
        <w:rPr>
          <w:rFonts w:ascii="Arial" w:hAnsi="Arial" w:cs="Arial"/>
          <w:lang w:val="en-GB"/>
        </w:rPr>
      </w:pPr>
      <w:r>
        <w:rPr>
          <w:rFonts w:ascii="Arial" w:hAnsi="Arial" w:cs="Arial"/>
          <w:lang w:val="en-GB"/>
        </w:rPr>
        <w:t xml:space="preserve">Figure 9 of Appendix B shows GDP per capita for the Netherlands in the period </w:t>
      </w:r>
      <w:r w:rsidR="00520437">
        <w:rPr>
          <w:rFonts w:ascii="Arial" w:hAnsi="Arial" w:cs="Arial"/>
          <w:lang w:val="en-GB"/>
        </w:rPr>
        <w:t>2013-2017</w:t>
      </w:r>
      <w:r>
        <w:rPr>
          <w:rFonts w:ascii="Arial" w:hAnsi="Arial" w:cs="Arial"/>
          <w:lang w:val="en-GB"/>
        </w:rPr>
        <w:t>.</w:t>
      </w:r>
      <w:r w:rsidR="00520437">
        <w:rPr>
          <w:rFonts w:ascii="Arial" w:hAnsi="Arial" w:cs="Arial"/>
          <w:lang w:val="en-GB"/>
        </w:rPr>
        <w:t xml:space="preserve"> </w:t>
      </w:r>
      <w:r w:rsidR="00D762D0">
        <w:rPr>
          <w:rFonts w:ascii="Arial" w:hAnsi="Arial" w:cs="Arial"/>
          <w:lang w:val="en-GB"/>
        </w:rPr>
        <w:t>The m</w:t>
      </w:r>
      <w:r w:rsidR="003C771D">
        <w:rPr>
          <w:rFonts w:ascii="Arial" w:hAnsi="Arial" w:cs="Arial"/>
          <w:lang w:val="en-GB"/>
        </w:rPr>
        <w:t>inimum value of GDP per capita is $49,900 in 2013 and the maximum value is $</w:t>
      </w:r>
      <w:r w:rsidR="001D5FB8">
        <w:rPr>
          <w:rFonts w:ascii="Arial" w:hAnsi="Arial" w:cs="Arial"/>
          <w:lang w:val="en-GB"/>
        </w:rPr>
        <w:t xml:space="preserve">53,576 in 2017. Overall, GDP </w:t>
      </w:r>
      <w:r w:rsidR="006D0B3D">
        <w:rPr>
          <w:rFonts w:ascii="Arial" w:hAnsi="Arial" w:cs="Arial"/>
          <w:lang w:val="en-GB"/>
        </w:rPr>
        <w:t xml:space="preserve">per capita </w:t>
      </w:r>
      <w:r w:rsidR="0023401F">
        <w:rPr>
          <w:rFonts w:ascii="Arial" w:hAnsi="Arial" w:cs="Arial"/>
          <w:lang w:val="en-GB"/>
        </w:rPr>
        <w:t>grows increasingly every year</w:t>
      </w:r>
      <w:r w:rsidR="004D060E">
        <w:rPr>
          <w:rFonts w:ascii="Arial" w:hAnsi="Arial" w:cs="Arial"/>
          <w:lang w:val="en-GB"/>
        </w:rPr>
        <w:t xml:space="preserve">, which corresponds to the </w:t>
      </w:r>
      <w:r w:rsidR="00F97B05">
        <w:rPr>
          <w:rFonts w:ascii="Arial" w:hAnsi="Arial" w:cs="Arial"/>
          <w:lang w:val="en-GB"/>
        </w:rPr>
        <w:t xml:space="preserve">values for GDP growth in percentages as </w:t>
      </w:r>
      <w:r w:rsidR="0004164A">
        <w:rPr>
          <w:rFonts w:ascii="Arial" w:hAnsi="Arial" w:cs="Arial"/>
          <w:lang w:val="en-GB"/>
        </w:rPr>
        <w:t>shown</w:t>
      </w:r>
      <w:r w:rsidR="00F97B05">
        <w:rPr>
          <w:rFonts w:ascii="Arial" w:hAnsi="Arial" w:cs="Arial"/>
          <w:lang w:val="en-GB"/>
        </w:rPr>
        <w:t xml:space="preserve"> in Figure B</w:t>
      </w:r>
      <w:r w:rsidR="000C7C12">
        <w:rPr>
          <w:rFonts w:ascii="Arial" w:hAnsi="Arial" w:cs="Arial"/>
          <w:lang w:val="en-GB"/>
        </w:rPr>
        <w:t>-</w:t>
      </w:r>
      <w:r w:rsidR="00F97B05">
        <w:rPr>
          <w:rFonts w:ascii="Arial" w:hAnsi="Arial" w:cs="Arial"/>
          <w:lang w:val="en-GB"/>
        </w:rPr>
        <w:t>7.</w:t>
      </w:r>
      <w:r w:rsidR="0004164A">
        <w:rPr>
          <w:rFonts w:ascii="Arial" w:hAnsi="Arial" w:cs="Arial"/>
          <w:lang w:val="en-GB"/>
        </w:rPr>
        <w:t xml:space="preserve"> All in all, both countries show a relatively stable growth of GDP per capita. </w:t>
      </w:r>
    </w:p>
    <w:p w14:paraId="60D4F97E" w14:textId="77777777" w:rsidR="007F043B" w:rsidRPr="00AB467B" w:rsidRDefault="007F043B" w:rsidP="007F043B">
      <w:pPr>
        <w:pStyle w:val="Geenafstand"/>
        <w:spacing w:line="360" w:lineRule="auto"/>
        <w:jc w:val="both"/>
        <w:rPr>
          <w:rFonts w:ascii="Arial" w:hAnsi="Arial" w:cs="Arial"/>
          <w:lang w:val="en-GB"/>
        </w:rPr>
      </w:pPr>
    </w:p>
    <w:p w14:paraId="65744823" w14:textId="132DDFB0"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In order to compare Denmark and the Netherlands with respect to demographic conditions, the population size in thousands for both countries are presented in </w:t>
      </w:r>
      <w:r w:rsidR="000A5A4E">
        <w:rPr>
          <w:rFonts w:ascii="Arial" w:hAnsi="Arial" w:cs="Arial"/>
          <w:lang w:val="en-GB"/>
        </w:rPr>
        <w:t>F</w:t>
      </w:r>
      <w:r w:rsidRPr="00AB467B">
        <w:rPr>
          <w:rFonts w:ascii="Arial" w:hAnsi="Arial" w:cs="Arial"/>
          <w:lang w:val="en-GB"/>
        </w:rPr>
        <w:t xml:space="preserve">igures </w:t>
      </w:r>
      <w:r w:rsidR="004348A9">
        <w:rPr>
          <w:rFonts w:ascii="Arial" w:hAnsi="Arial" w:cs="Arial"/>
          <w:lang w:val="en-GB"/>
        </w:rPr>
        <w:t>10</w:t>
      </w:r>
      <w:r w:rsidRPr="00AB467B">
        <w:rPr>
          <w:rFonts w:ascii="Arial" w:hAnsi="Arial" w:cs="Arial"/>
          <w:lang w:val="en-GB"/>
        </w:rPr>
        <w:t xml:space="preserve"> and </w:t>
      </w:r>
      <w:r w:rsidR="004348A9">
        <w:rPr>
          <w:rFonts w:ascii="Arial" w:hAnsi="Arial" w:cs="Arial"/>
          <w:lang w:val="en-GB"/>
        </w:rPr>
        <w:t>11</w:t>
      </w:r>
      <w:r w:rsidRPr="00AB467B">
        <w:rPr>
          <w:rFonts w:ascii="Arial" w:hAnsi="Arial" w:cs="Arial"/>
          <w:lang w:val="en-GB"/>
        </w:rPr>
        <w:t xml:space="preserve"> of Appendix B, based on data from United Nations World Population Prospects 2017. Figure </w:t>
      </w:r>
      <w:r w:rsidR="004348A9">
        <w:rPr>
          <w:rFonts w:ascii="Arial" w:hAnsi="Arial" w:cs="Arial"/>
          <w:lang w:val="en-GB"/>
        </w:rPr>
        <w:t>10</w:t>
      </w:r>
      <w:r w:rsidRPr="00AB467B">
        <w:rPr>
          <w:rFonts w:ascii="Arial" w:hAnsi="Arial" w:cs="Arial"/>
          <w:lang w:val="en-GB"/>
        </w:rPr>
        <w:t xml:space="preserve"> shows that the population size in Denmark lies somewhere between 5,114,657 and 5,141,115 individuals. Denmark had a small decrease in population size between 1982-1986, but in the years 1986-1990 there is consistent population growth. Hence, there is stable population growth before and after the policy reform. </w:t>
      </w:r>
    </w:p>
    <w:p w14:paraId="39006019" w14:textId="77777777" w:rsidR="007F043B" w:rsidRPr="00AB467B" w:rsidRDefault="007F043B" w:rsidP="007F043B">
      <w:pPr>
        <w:pStyle w:val="Geenafstand"/>
        <w:spacing w:line="360" w:lineRule="auto"/>
        <w:jc w:val="both"/>
        <w:rPr>
          <w:rFonts w:ascii="Arial" w:hAnsi="Arial" w:cs="Arial"/>
          <w:lang w:val="en-GB"/>
        </w:rPr>
      </w:pPr>
    </w:p>
    <w:p w14:paraId="5E7382CF" w14:textId="16D283A0" w:rsidR="007F043B" w:rsidRPr="00AB467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The population size in the Netherlands for the period 2013-2018 is presented in </w:t>
      </w:r>
      <w:r w:rsidR="000A5A4E">
        <w:rPr>
          <w:rFonts w:ascii="Arial" w:hAnsi="Arial" w:cs="Arial"/>
          <w:lang w:val="en-GB"/>
        </w:rPr>
        <w:t>F</w:t>
      </w:r>
      <w:r w:rsidRPr="00AB467B">
        <w:rPr>
          <w:rFonts w:ascii="Arial" w:hAnsi="Arial" w:cs="Arial"/>
          <w:lang w:val="en-GB"/>
        </w:rPr>
        <w:t xml:space="preserve">igure </w:t>
      </w:r>
      <w:r w:rsidR="004348A9">
        <w:rPr>
          <w:rFonts w:ascii="Arial" w:hAnsi="Arial" w:cs="Arial"/>
          <w:lang w:val="en-GB"/>
        </w:rPr>
        <w:t>11</w:t>
      </w:r>
      <w:r w:rsidRPr="00AB467B">
        <w:rPr>
          <w:rFonts w:ascii="Arial" w:hAnsi="Arial" w:cs="Arial"/>
          <w:lang w:val="en-GB"/>
        </w:rPr>
        <w:t xml:space="preserve"> of Appendix B. There is a stable and consistent population growth during this period, with a minimum of 16,779,575 individuals in 2013 and a maximum of 17,181,084 individuals in 2018. </w:t>
      </w:r>
      <w:r w:rsidRPr="00AB467B">
        <w:rPr>
          <w:rFonts w:ascii="Arial" w:hAnsi="Arial" w:cs="Arial"/>
          <w:lang w:val="en-GB"/>
        </w:rPr>
        <w:lastRenderedPageBreak/>
        <w:t xml:space="preserve">Similar to Denmark, population size shows a stable increasing trend in the years around the implementation of the policy reform. </w:t>
      </w:r>
    </w:p>
    <w:p w14:paraId="106E3657" w14:textId="77777777" w:rsidR="007F043B" w:rsidRDefault="007F043B" w:rsidP="007F043B">
      <w:pPr>
        <w:pStyle w:val="Geenafstand"/>
        <w:spacing w:line="360" w:lineRule="auto"/>
        <w:jc w:val="both"/>
        <w:rPr>
          <w:rFonts w:ascii="Arial" w:hAnsi="Arial" w:cs="Arial"/>
          <w:lang w:val="en-GB"/>
        </w:rPr>
      </w:pPr>
    </w:p>
    <w:p w14:paraId="6F2753BC" w14:textId="77777777" w:rsidR="007F043B" w:rsidRPr="0032384E" w:rsidRDefault="0032384E" w:rsidP="0032384E">
      <w:pPr>
        <w:pStyle w:val="Kop2"/>
        <w:ind w:firstLine="0"/>
        <w:rPr>
          <w:rFonts w:ascii="Arial" w:hAnsi="Arial" w:cs="Arial"/>
          <w:color w:val="auto"/>
          <w:sz w:val="22"/>
          <w:szCs w:val="22"/>
          <w:u w:val="single"/>
          <w:lang w:val="en-GB"/>
        </w:rPr>
      </w:pPr>
      <w:bookmarkStart w:id="11" w:name="_Toc14016532"/>
      <w:r w:rsidRPr="0032384E">
        <w:rPr>
          <w:rFonts w:ascii="Arial" w:hAnsi="Arial" w:cs="Arial"/>
          <w:color w:val="auto"/>
          <w:sz w:val="22"/>
          <w:szCs w:val="22"/>
          <w:u w:val="single"/>
          <w:lang w:val="en-GB"/>
        </w:rPr>
        <w:t xml:space="preserve">6.5 </w:t>
      </w:r>
      <w:r w:rsidR="007F043B" w:rsidRPr="0032384E">
        <w:rPr>
          <w:rFonts w:ascii="Arial" w:hAnsi="Arial" w:cs="Arial"/>
          <w:color w:val="auto"/>
          <w:sz w:val="22"/>
          <w:szCs w:val="22"/>
          <w:u w:val="single"/>
          <w:lang w:val="en-GB"/>
        </w:rPr>
        <w:t>Current housing market circumstances in the Netherlands</w:t>
      </w:r>
      <w:bookmarkEnd w:id="11"/>
      <w:r w:rsidR="007F043B" w:rsidRPr="0032384E">
        <w:rPr>
          <w:rFonts w:ascii="Arial" w:hAnsi="Arial" w:cs="Arial"/>
          <w:color w:val="auto"/>
          <w:sz w:val="22"/>
          <w:szCs w:val="22"/>
          <w:u w:val="single"/>
          <w:lang w:val="en-GB"/>
        </w:rPr>
        <w:t xml:space="preserve"> </w:t>
      </w:r>
    </w:p>
    <w:p w14:paraId="52C452F9" w14:textId="77777777"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Furthermore, data from the DNB household survey 2018 is used to describe the current situation on the housing market and to gain a better understanding of the importance of mortgages in the Netherlands. Table 1 in Appendix B shows the homeownership rate, the home value, the number of mortgages an individual has, total mortgage value and the annual interest on mortgage. Here, the mortgage value and the mortgage interest rate are aggregated over all mortgages per individual, where the individuals have a maximum amount of five mortgages. Overall, 66.2% of the respondents is homeowner with an average home value of €184,135. The average number of mortgages is 0.664, which means that most individuals have 1 mortgage loan on their house. Mortgage value has an average of €72,015.95 and a maximum value of €1,400,000 which means that this variable has a broad range of values. The average interest on mortgage per year is €1,564.66 with a standard deviation of €3,543.88, hence this variable can also take a broad range of values.  </w:t>
      </w:r>
    </w:p>
    <w:p w14:paraId="50B00814" w14:textId="77777777" w:rsidR="007F043B" w:rsidRPr="00AB467B" w:rsidRDefault="007F043B" w:rsidP="007F043B">
      <w:pPr>
        <w:pStyle w:val="Geenafstand"/>
        <w:spacing w:line="360" w:lineRule="auto"/>
        <w:jc w:val="both"/>
        <w:rPr>
          <w:rFonts w:ascii="Arial" w:hAnsi="Arial" w:cs="Arial"/>
          <w:lang w:val="en-GB"/>
        </w:rPr>
      </w:pPr>
    </w:p>
    <w:p w14:paraId="0C32B725" w14:textId="77777777"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Gruber et al. (2018) provide descriptive statistics on the aggregate homeowner rate in Denmark between 1980-2011. Around 58% of the population is homeowner in the period just before the 1987 policy reform and this percentage remains remarkably constant over time (Gruber et al., 2018, p. 8). The Danish homeownership rate is relatively close to the Dutch homeownership rate of 66.2%.  </w:t>
      </w:r>
    </w:p>
    <w:p w14:paraId="10A8ABAF" w14:textId="77777777" w:rsidR="007F043B" w:rsidRPr="00AB467B" w:rsidRDefault="007F043B" w:rsidP="007F043B">
      <w:pPr>
        <w:pStyle w:val="Geenafstand"/>
        <w:spacing w:line="360" w:lineRule="auto"/>
        <w:jc w:val="both"/>
        <w:rPr>
          <w:rFonts w:ascii="Arial" w:hAnsi="Arial" w:cs="Arial"/>
          <w:lang w:val="en-GB"/>
        </w:rPr>
      </w:pPr>
    </w:p>
    <w:p w14:paraId="31CF169E" w14:textId="77777777" w:rsidR="007F043B" w:rsidRDefault="007F043B" w:rsidP="007F043B">
      <w:pPr>
        <w:pStyle w:val="Geenafstand"/>
        <w:spacing w:line="360" w:lineRule="auto"/>
        <w:jc w:val="both"/>
        <w:rPr>
          <w:rFonts w:ascii="Arial" w:hAnsi="Arial" w:cs="Arial"/>
          <w:lang w:val="en-GB"/>
        </w:rPr>
      </w:pPr>
      <w:r w:rsidRPr="00AB467B">
        <w:rPr>
          <w:rFonts w:ascii="Arial" w:hAnsi="Arial" w:cs="Arial"/>
          <w:lang w:val="en-GB"/>
        </w:rPr>
        <w:t xml:space="preserve">Table 2 in Appendix B shows specific information on the housing situation and mortgages at the household level for 2018. The first row of the table presents information on whether or not households took a mortgage at the time they purchased their house. Respondents answered 1 if they took a mortgage and 2 otherwise. The mean is 1.088, which means that 8.8% of the respondents did not take a mortgage and 91.2% did take a mortgage at the time of purchase. Of the respondents that took a mortgage, the average mortgage loan amount is €236,910 and the maximum amount is €9,000,000, which means that mortgages are taken among a broad range. Here the number of observations is lower, because not all respondents have a mortgage loan. Mortgage on home currently presents the share of individuals that still has a mortgage on their homes, with individuals answering 1 if they still have mortgages and 2 otherwise. The mean is 1.266, which means that 26.6% of the respondents does not have a mortgage on their homes currently whereas 73.4% does. The fourth row of the table provides information on the share of households that would have bought a more expensive home if they could have gotten a higher mortgage. Respondents answered 1 if they preferred a more expensive home and 2 </w:t>
      </w:r>
      <w:r w:rsidRPr="00AB467B">
        <w:rPr>
          <w:rFonts w:ascii="Arial" w:hAnsi="Arial" w:cs="Arial"/>
          <w:lang w:val="en-GB"/>
        </w:rPr>
        <w:lastRenderedPageBreak/>
        <w:t xml:space="preserve">otherwise. Only 9.1% answered yes to this question. The final row shows the average home mortgage interest rate for the first mortgage that households took. Homeowners could take up to five mortgages, but the first mortgage is considered here because most households have one mortgage. The average mortgage interest rate is 3.4% with a maximum of 7.8%. </w:t>
      </w:r>
    </w:p>
    <w:p w14:paraId="354E984A" w14:textId="77777777" w:rsidR="00F96665" w:rsidRPr="000A5A4E" w:rsidRDefault="00F96665" w:rsidP="00991E7C">
      <w:pPr>
        <w:pStyle w:val="Geenafstand"/>
        <w:rPr>
          <w:lang w:val="en-GB"/>
        </w:rPr>
      </w:pPr>
    </w:p>
    <w:p w14:paraId="48C5EEAA" w14:textId="7262045F" w:rsidR="007F043B" w:rsidRPr="00F96665" w:rsidRDefault="009F2148" w:rsidP="00F96665">
      <w:pPr>
        <w:pStyle w:val="Kop1"/>
        <w:ind w:firstLine="0"/>
        <w:rPr>
          <w:rFonts w:ascii="Arial" w:eastAsiaTheme="minorHAnsi" w:hAnsi="Arial" w:cs="Arial"/>
          <w:b/>
          <w:bCs/>
          <w:color w:val="auto"/>
          <w:sz w:val="24"/>
          <w:szCs w:val="24"/>
          <w:lang w:val="en-GB"/>
        </w:rPr>
      </w:pPr>
      <w:bookmarkStart w:id="12" w:name="_Toc14016533"/>
      <w:r w:rsidRPr="00F96665">
        <w:rPr>
          <w:rFonts w:ascii="Arial" w:hAnsi="Arial" w:cs="Arial"/>
          <w:b/>
          <w:bCs/>
          <w:color w:val="auto"/>
          <w:sz w:val="24"/>
          <w:szCs w:val="24"/>
          <w:lang w:val="en-GB"/>
        </w:rPr>
        <w:t>7</w:t>
      </w:r>
      <w:r w:rsidR="007F043B" w:rsidRPr="00F96665">
        <w:rPr>
          <w:rFonts w:ascii="Arial" w:hAnsi="Arial" w:cs="Arial"/>
          <w:b/>
          <w:bCs/>
          <w:color w:val="auto"/>
          <w:sz w:val="24"/>
          <w:szCs w:val="24"/>
          <w:lang w:val="en-GB"/>
        </w:rPr>
        <w:t xml:space="preserve"> </w:t>
      </w:r>
      <w:r w:rsidR="00A7333A" w:rsidRPr="00F96665">
        <w:rPr>
          <w:rFonts w:ascii="Arial" w:hAnsi="Arial" w:cs="Arial"/>
          <w:b/>
          <w:bCs/>
          <w:color w:val="auto"/>
          <w:sz w:val="24"/>
          <w:szCs w:val="24"/>
          <w:lang w:val="en-GB"/>
        </w:rPr>
        <w:t>Predictions and Discussion</w:t>
      </w:r>
      <w:bookmarkEnd w:id="12"/>
      <w:r w:rsidR="00A7333A" w:rsidRPr="00F96665">
        <w:rPr>
          <w:rFonts w:ascii="Arial" w:hAnsi="Arial" w:cs="Arial"/>
          <w:b/>
          <w:bCs/>
          <w:color w:val="auto"/>
          <w:sz w:val="24"/>
          <w:szCs w:val="24"/>
          <w:lang w:val="en-GB"/>
        </w:rPr>
        <w:t xml:space="preserve"> </w:t>
      </w:r>
    </w:p>
    <w:p w14:paraId="6C61CC97" w14:textId="77777777" w:rsidR="007F043B" w:rsidRDefault="007F043B" w:rsidP="007F043B">
      <w:pPr>
        <w:pStyle w:val="Geenafstand"/>
        <w:spacing w:line="360" w:lineRule="auto"/>
        <w:jc w:val="both"/>
        <w:rPr>
          <w:rFonts w:ascii="Arial" w:hAnsi="Arial" w:cs="Arial"/>
          <w:b/>
          <w:bCs/>
          <w:lang w:val="en-GB"/>
        </w:rPr>
      </w:pPr>
    </w:p>
    <w:p w14:paraId="7EF2BF14" w14:textId="4214EC66" w:rsidR="007F043B" w:rsidRDefault="007F043B" w:rsidP="007F043B">
      <w:pPr>
        <w:pStyle w:val="Geenafstand"/>
        <w:spacing w:line="360" w:lineRule="auto"/>
        <w:jc w:val="both"/>
        <w:rPr>
          <w:rFonts w:ascii="Arial" w:hAnsi="Arial" w:cs="Arial"/>
          <w:lang w:val="en-GB"/>
        </w:rPr>
      </w:pPr>
      <w:r>
        <w:rPr>
          <w:rFonts w:ascii="Arial" w:hAnsi="Arial" w:cs="Arial"/>
          <w:lang w:val="en-GB"/>
        </w:rPr>
        <w:t>In this chapter,</w:t>
      </w:r>
      <w:r w:rsidR="005B0892">
        <w:rPr>
          <w:rFonts w:ascii="Arial" w:hAnsi="Arial" w:cs="Arial"/>
          <w:lang w:val="en-GB"/>
        </w:rPr>
        <w:t xml:space="preserve"> predictions for the</w:t>
      </w:r>
      <w:r w:rsidR="00547D09">
        <w:rPr>
          <w:rFonts w:ascii="Arial" w:hAnsi="Arial" w:cs="Arial"/>
          <w:lang w:val="en-GB"/>
        </w:rPr>
        <w:t xml:space="preserve"> situation on the</w:t>
      </w:r>
      <w:r w:rsidR="005B0892">
        <w:rPr>
          <w:rFonts w:ascii="Arial" w:hAnsi="Arial" w:cs="Arial"/>
          <w:lang w:val="en-GB"/>
        </w:rPr>
        <w:t xml:space="preserve"> Dutch housing market after</w:t>
      </w:r>
      <w:r w:rsidR="00547D09">
        <w:rPr>
          <w:rFonts w:ascii="Arial" w:hAnsi="Arial" w:cs="Arial"/>
          <w:lang w:val="en-GB"/>
        </w:rPr>
        <w:t xml:space="preserve"> </w:t>
      </w:r>
      <w:r>
        <w:rPr>
          <w:rFonts w:ascii="Arial" w:hAnsi="Arial" w:cs="Arial"/>
          <w:lang w:val="en-GB"/>
        </w:rPr>
        <w:t>the</w:t>
      </w:r>
      <w:r w:rsidR="005B0892">
        <w:rPr>
          <w:rFonts w:ascii="Arial" w:hAnsi="Arial" w:cs="Arial"/>
          <w:lang w:val="en-GB"/>
        </w:rPr>
        <w:t xml:space="preserve"> </w:t>
      </w:r>
      <w:r w:rsidR="00547D09">
        <w:rPr>
          <w:rFonts w:ascii="Arial" w:hAnsi="Arial" w:cs="Arial"/>
          <w:lang w:val="en-GB"/>
        </w:rPr>
        <w:t xml:space="preserve">policy reform will be </w:t>
      </w:r>
      <w:r w:rsidR="005F1213">
        <w:rPr>
          <w:rFonts w:ascii="Arial" w:hAnsi="Arial" w:cs="Arial"/>
          <w:lang w:val="en-GB"/>
        </w:rPr>
        <w:t xml:space="preserve">done followed by the discussion. </w:t>
      </w:r>
      <w:r>
        <w:rPr>
          <w:rFonts w:ascii="Arial" w:hAnsi="Arial" w:cs="Arial"/>
          <w:lang w:val="en-GB"/>
        </w:rPr>
        <w:t xml:space="preserve">The hypotheses formulated to answer the research question will be repeated shortly, followed by the </w:t>
      </w:r>
      <w:r w:rsidR="00464663">
        <w:rPr>
          <w:rFonts w:ascii="Arial" w:hAnsi="Arial" w:cs="Arial"/>
          <w:lang w:val="en-GB"/>
        </w:rPr>
        <w:t>prediction</w:t>
      </w:r>
      <w:r w:rsidR="00C74A03">
        <w:rPr>
          <w:rFonts w:ascii="Arial" w:hAnsi="Arial" w:cs="Arial"/>
          <w:lang w:val="en-GB"/>
        </w:rPr>
        <w:t>.</w:t>
      </w:r>
      <w:r w:rsidR="00523332">
        <w:rPr>
          <w:rFonts w:ascii="Arial" w:hAnsi="Arial" w:cs="Arial"/>
          <w:lang w:val="en-GB"/>
        </w:rPr>
        <w:t xml:space="preserve"> </w:t>
      </w:r>
      <w:r w:rsidR="007A44E9">
        <w:rPr>
          <w:rFonts w:ascii="Arial" w:hAnsi="Arial" w:cs="Arial"/>
          <w:lang w:val="en-GB"/>
        </w:rPr>
        <w:t xml:space="preserve">Since the data </w:t>
      </w:r>
      <w:r w:rsidR="00E20C17">
        <w:rPr>
          <w:rFonts w:ascii="Arial" w:hAnsi="Arial" w:cs="Arial"/>
          <w:lang w:val="en-GB"/>
        </w:rPr>
        <w:t>needed to test the hypotheses are not available yet,</w:t>
      </w:r>
      <w:r w:rsidR="001053EA">
        <w:rPr>
          <w:rFonts w:ascii="Arial" w:hAnsi="Arial" w:cs="Arial"/>
          <w:lang w:val="en-GB"/>
        </w:rPr>
        <w:t xml:space="preserve"> it </w:t>
      </w:r>
      <w:r w:rsidR="00C33D45">
        <w:rPr>
          <w:rFonts w:ascii="Arial" w:hAnsi="Arial" w:cs="Arial"/>
          <w:lang w:val="en-GB"/>
        </w:rPr>
        <w:t xml:space="preserve">is </w:t>
      </w:r>
      <w:r w:rsidR="00A3189F">
        <w:rPr>
          <w:rFonts w:ascii="Arial" w:hAnsi="Arial" w:cs="Arial"/>
          <w:lang w:val="en-GB"/>
        </w:rPr>
        <w:t>only</w:t>
      </w:r>
      <w:r w:rsidR="00C33D45">
        <w:rPr>
          <w:rFonts w:ascii="Arial" w:hAnsi="Arial" w:cs="Arial"/>
          <w:lang w:val="en-GB"/>
        </w:rPr>
        <w:t xml:space="preserve"> possible</w:t>
      </w:r>
      <w:r w:rsidR="00A3189F">
        <w:rPr>
          <w:rFonts w:ascii="Arial" w:hAnsi="Arial" w:cs="Arial"/>
          <w:lang w:val="en-GB"/>
        </w:rPr>
        <w:t xml:space="preserve"> to make predictions</w:t>
      </w:r>
      <w:r w:rsidR="002B29A1">
        <w:rPr>
          <w:rFonts w:ascii="Arial" w:hAnsi="Arial" w:cs="Arial"/>
          <w:lang w:val="en-GB"/>
        </w:rPr>
        <w:t xml:space="preserve"> and not to accept or reject hypotheses</w:t>
      </w:r>
      <w:r w:rsidR="00C33D45">
        <w:rPr>
          <w:rFonts w:ascii="Arial" w:hAnsi="Arial" w:cs="Arial"/>
          <w:lang w:val="en-GB"/>
        </w:rPr>
        <w:t>.</w:t>
      </w:r>
      <w:r w:rsidR="00161905">
        <w:rPr>
          <w:rFonts w:ascii="Arial" w:hAnsi="Arial" w:cs="Arial"/>
          <w:lang w:val="en-GB"/>
        </w:rPr>
        <w:t xml:space="preserve"> The predictions are based on</w:t>
      </w:r>
      <w:r w:rsidR="003265B3">
        <w:rPr>
          <w:rFonts w:ascii="Arial" w:hAnsi="Arial" w:cs="Arial"/>
          <w:lang w:val="en-GB"/>
        </w:rPr>
        <w:t xml:space="preserve"> economic theory,</w:t>
      </w:r>
      <w:r w:rsidR="00161905">
        <w:rPr>
          <w:rFonts w:ascii="Arial" w:hAnsi="Arial" w:cs="Arial"/>
          <w:lang w:val="en-GB"/>
        </w:rPr>
        <w:t xml:space="preserve"> </w:t>
      </w:r>
      <w:r w:rsidR="006F0061">
        <w:rPr>
          <w:rFonts w:ascii="Arial" w:hAnsi="Arial" w:cs="Arial"/>
          <w:lang w:val="en-GB"/>
        </w:rPr>
        <w:t>the results found for Denmark by Gruber et al.</w:t>
      </w:r>
      <w:r w:rsidR="00CC178F">
        <w:rPr>
          <w:rFonts w:ascii="Arial" w:hAnsi="Arial" w:cs="Arial"/>
          <w:lang w:val="en-GB"/>
        </w:rPr>
        <w:t xml:space="preserve"> (2018)</w:t>
      </w:r>
      <w:r w:rsidR="006F0061">
        <w:rPr>
          <w:rFonts w:ascii="Arial" w:hAnsi="Arial" w:cs="Arial"/>
          <w:lang w:val="en-GB"/>
        </w:rPr>
        <w:t xml:space="preserve"> and descriptive statistics </w:t>
      </w:r>
      <w:r w:rsidR="00B05B02">
        <w:rPr>
          <w:rFonts w:ascii="Arial" w:hAnsi="Arial" w:cs="Arial"/>
          <w:lang w:val="en-GB"/>
        </w:rPr>
        <w:t>for the Netherlands.</w:t>
      </w:r>
      <w:r w:rsidR="00D83F94">
        <w:rPr>
          <w:rFonts w:ascii="Arial" w:hAnsi="Arial" w:cs="Arial"/>
          <w:lang w:val="en-GB"/>
        </w:rPr>
        <w:t xml:space="preserve"> Finally,</w:t>
      </w:r>
      <w:r w:rsidR="00C33D45">
        <w:rPr>
          <w:rFonts w:ascii="Arial" w:hAnsi="Arial" w:cs="Arial"/>
          <w:lang w:val="en-GB"/>
        </w:rPr>
        <w:t xml:space="preserve"> </w:t>
      </w:r>
      <w:r w:rsidR="00D83F94">
        <w:rPr>
          <w:rFonts w:ascii="Arial" w:hAnsi="Arial" w:cs="Arial"/>
          <w:lang w:val="en-GB"/>
        </w:rPr>
        <w:t>t</w:t>
      </w:r>
      <w:r w:rsidR="00AD623F">
        <w:rPr>
          <w:rFonts w:ascii="Arial" w:hAnsi="Arial" w:cs="Arial"/>
          <w:lang w:val="en-GB"/>
        </w:rPr>
        <w:t>he discussion provides a short overview and interpretation of the results, the contribution of this paper to the existing literature and limitations to this research</w:t>
      </w:r>
      <w:r w:rsidR="00FC1949">
        <w:rPr>
          <w:rFonts w:ascii="Arial" w:hAnsi="Arial" w:cs="Arial"/>
          <w:lang w:val="en-GB"/>
        </w:rPr>
        <w:t>.</w:t>
      </w:r>
    </w:p>
    <w:p w14:paraId="419956C8" w14:textId="77777777" w:rsidR="007F043B" w:rsidRDefault="007F043B" w:rsidP="007F043B">
      <w:pPr>
        <w:pStyle w:val="Geenafstand"/>
        <w:spacing w:line="360" w:lineRule="auto"/>
        <w:jc w:val="both"/>
        <w:rPr>
          <w:rFonts w:ascii="Arial" w:hAnsi="Arial" w:cs="Arial"/>
          <w:lang w:val="en-GB"/>
        </w:rPr>
      </w:pPr>
    </w:p>
    <w:p w14:paraId="32A2FB84" w14:textId="2FD13BCF" w:rsidR="007F043B" w:rsidRPr="00F96665" w:rsidRDefault="00F96665" w:rsidP="00F96665">
      <w:pPr>
        <w:pStyle w:val="Kop2"/>
        <w:ind w:firstLine="0"/>
        <w:rPr>
          <w:rFonts w:ascii="Arial" w:hAnsi="Arial" w:cs="Arial"/>
          <w:color w:val="auto"/>
          <w:sz w:val="22"/>
          <w:szCs w:val="22"/>
          <w:u w:val="single"/>
          <w:lang w:val="en-GB"/>
        </w:rPr>
      </w:pPr>
      <w:bookmarkStart w:id="13" w:name="_Toc14016534"/>
      <w:r>
        <w:rPr>
          <w:rFonts w:ascii="Arial" w:hAnsi="Arial" w:cs="Arial"/>
          <w:color w:val="auto"/>
          <w:sz w:val="22"/>
          <w:szCs w:val="22"/>
          <w:u w:val="single"/>
          <w:lang w:val="en-GB"/>
        </w:rPr>
        <w:t xml:space="preserve">7.1 </w:t>
      </w:r>
      <w:r w:rsidR="007F043B" w:rsidRPr="00F96665">
        <w:rPr>
          <w:rFonts w:ascii="Arial" w:hAnsi="Arial" w:cs="Arial"/>
          <w:color w:val="auto"/>
          <w:sz w:val="22"/>
          <w:szCs w:val="22"/>
          <w:u w:val="single"/>
          <w:lang w:val="en-GB"/>
        </w:rPr>
        <w:t>The effect on homeownership</w:t>
      </w:r>
      <w:bookmarkEnd w:id="13"/>
    </w:p>
    <w:p w14:paraId="3197CE05" w14:textId="64B25C6D" w:rsidR="007F043B" w:rsidRDefault="003A285C" w:rsidP="007F043B">
      <w:pPr>
        <w:pStyle w:val="Geenafstand"/>
        <w:spacing w:line="360" w:lineRule="auto"/>
        <w:jc w:val="both"/>
        <w:rPr>
          <w:rFonts w:ascii="Arial" w:hAnsi="Arial" w:cs="Arial"/>
          <w:lang w:val="en-GB"/>
        </w:rPr>
      </w:pPr>
      <w:r>
        <w:rPr>
          <w:rFonts w:ascii="Arial" w:hAnsi="Arial" w:cs="Arial"/>
          <w:lang w:val="en-GB"/>
        </w:rPr>
        <w:t xml:space="preserve">Firstly, a prediction </w:t>
      </w:r>
      <w:r w:rsidR="00FC1949">
        <w:rPr>
          <w:rFonts w:ascii="Arial" w:hAnsi="Arial" w:cs="Arial"/>
          <w:lang w:val="en-GB"/>
        </w:rPr>
        <w:t xml:space="preserve">is presented </w:t>
      </w:r>
      <w:r>
        <w:rPr>
          <w:rFonts w:ascii="Arial" w:hAnsi="Arial" w:cs="Arial"/>
          <w:lang w:val="en-GB"/>
        </w:rPr>
        <w:t>for Hypothesis 1</w:t>
      </w:r>
      <w:r w:rsidR="007F043B">
        <w:rPr>
          <w:rFonts w:ascii="Arial" w:hAnsi="Arial" w:cs="Arial"/>
          <w:lang w:val="en-GB"/>
        </w:rPr>
        <w:t xml:space="preserve">, stating that the policy reform regarding mortgage interest deduction will not affect the homeownership rate in the Netherlands. It is only possible to make a prediction </w:t>
      </w:r>
      <w:r w:rsidR="00E35632">
        <w:rPr>
          <w:rFonts w:ascii="Arial" w:hAnsi="Arial" w:cs="Arial"/>
          <w:lang w:val="en-GB"/>
        </w:rPr>
        <w:t>on the</w:t>
      </w:r>
      <w:r w:rsidR="007F043B">
        <w:rPr>
          <w:rFonts w:ascii="Arial" w:hAnsi="Arial" w:cs="Arial"/>
          <w:lang w:val="en-GB"/>
        </w:rPr>
        <w:t xml:space="preserve"> effect </w:t>
      </w:r>
      <w:r w:rsidR="00571822">
        <w:rPr>
          <w:rFonts w:ascii="Arial" w:hAnsi="Arial" w:cs="Arial"/>
          <w:lang w:val="en-GB"/>
        </w:rPr>
        <w:t>of the policy reform</w:t>
      </w:r>
      <w:r w:rsidR="00967219">
        <w:rPr>
          <w:rFonts w:ascii="Arial" w:hAnsi="Arial" w:cs="Arial"/>
          <w:lang w:val="en-GB"/>
        </w:rPr>
        <w:t>, because the data are not available yet</w:t>
      </w:r>
      <w:r w:rsidR="00571822">
        <w:rPr>
          <w:rFonts w:ascii="Arial" w:hAnsi="Arial" w:cs="Arial"/>
          <w:lang w:val="en-GB"/>
        </w:rPr>
        <w:t xml:space="preserve">. </w:t>
      </w:r>
      <w:r w:rsidR="007F043B">
        <w:rPr>
          <w:rFonts w:ascii="Arial" w:hAnsi="Arial" w:cs="Arial"/>
          <w:lang w:val="en-GB"/>
        </w:rPr>
        <w:t xml:space="preserve">This prediction is based on housing market theory, information on the current housing market situation in the Netherlands and the results found for Denmark </w:t>
      </w:r>
      <w:r w:rsidR="003265B3">
        <w:rPr>
          <w:rFonts w:ascii="Arial" w:hAnsi="Arial" w:cs="Arial"/>
          <w:lang w:val="en-GB"/>
        </w:rPr>
        <w:t>by</w:t>
      </w:r>
      <w:r w:rsidR="007F043B">
        <w:rPr>
          <w:rFonts w:ascii="Arial" w:hAnsi="Arial" w:cs="Arial"/>
          <w:lang w:val="en-GB"/>
        </w:rPr>
        <w:t xml:space="preserve"> Gruber et al. (2018). </w:t>
      </w:r>
    </w:p>
    <w:p w14:paraId="27C77234" w14:textId="77777777" w:rsidR="007F043B" w:rsidRDefault="007F043B" w:rsidP="007F043B">
      <w:pPr>
        <w:pStyle w:val="Geenafstand"/>
        <w:spacing w:line="360" w:lineRule="auto"/>
        <w:jc w:val="both"/>
        <w:rPr>
          <w:rFonts w:ascii="Arial" w:hAnsi="Arial" w:cs="Arial"/>
          <w:lang w:val="en-GB"/>
        </w:rPr>
      </w:pPr>
    </w:p>
    <w:p w14:paraId="29750D4F" w14:textId="24C43D74"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As mentioned in </w:t>
      </w:r>
      <w:r w:rsidR="00840DD4">
        <w:rPr>
          <w:rFonts w:ascii="Arial" w:hAnsi="Arial" w:cs="Arial"/>
          <w:lang w:val="en-GB"/>
        </w:rPr>
        <w:t>S</w:t>
      </w:r>
      <w:r w:rsidR="00BF711A">
        <w:rPr>
          <w:rFonts w:ascii="Arial" w:hAnsi="Arial" w:cs="Arial"/>
          <w:lang w:val="en-GB"/>
        </w:rPr>
        <w:t>ection</w:t>
      </w:r>
      <w:r>
        <w:rPr>
          <w:rFonts w:ascii="Arial" w:hAnsi="Arial" w:cs="Arial"/>
          <w:lang w:val="en-GB"/>
        </w:rPr>
        <w:t xml:space="preserve"> 2, basic economic theory states that the demand for housing is downward sloping, while supply is fixed at the total amount of houses available. It is likely that the demand for housing will decrease after the housing subsidy is reduced, leading to a lower producer price on the housing market. At the same time, the policy reform will not affect the total quantity of housing sold since this is fixed in the long run.  </w:t>
      </w:r>
    </w:p>
    <w:p w14:paraId="0A8C5011" w14:textId="77777777" w:rsidR="007F043B" w:rsidRDefault="007F043B" w:rsidP="007F043B">
      <w:pPr>
        <w:pStyle w:val="Geenafstand"/>
        <w:spacing w:line="360" w:lineRule="auto"/>
        <w:jc w:val="both"/>
        <w:rPr>
          <w:rFonts w:ascii="Arial" w:hAnsi="Arial" w:cs="Arial"/>
          <w:lang w:val="en-GB"/>
        </w:rPr>
      </w:pPr>
    </w:p>
    <w:p w14:paraId="4EB8D11A" w14:textId="2E9C9FD5" w:rsidR="00524460" w:rsidRDefault="003265B3" w:rsidP="007F043B">
      <w:pPr>
        <w:pStyle w:val="Geenafstand"/>
        <w:spacing w:line="360" w:lineRule="auto"/>
        <w:jc w:val="both"/>
        <w:rPr>
          <w:rFonts w:ascii="Arial" w:hAnsi="Arial" w:cs="Arial"/>
          <w:lang w:val="en-GB"/>
        </w:rPr>
      </w:pPr>
      <w:r>
        <w:rPr>
          <w:rFonts w:ascii="Arial" w:hAnsi="Arial" w:cs="Arial"/>
          <w:lang w:val="en-GB"/>
        </w:rPr>
        <w:t>If the data were available, this hypothesis could have been tested empirically. Ideally, the effect on the homeownership rate would be estimated using the difference-in-difference</w:t>
      </w:r>
      <w:r w:rsidR="005B581A">
        <w:rPr>
          <w:rFonts w:ascii="Arial" w:hAnsi="Arial" w:cs="Arial"/>
          <w:lang w:val="en-GB"/>
        </w:rPr>
        <w:t>s</w:t>
      </w:r>
      <w:r>
        <w:rPr>
          <w:rFonts w:ascii="Arial" w:hAnsi="Arial" w:cs="Arial"/>
          <w:lang w:val="en-GB"/>
        </w:rPr>
        <w:t xml:space="preserve"> method </w:t>
      </w:r>
      <w:r w:rsidR="006B261A">
        <w:rPr>
          <w:rFonts w:ascii="Arial" w:hAnsi="Arial" w:cs="Arial"/>
          <w:lang w:val="en-GB"/>
        </w:rPr>
        <w:t>with the highest income bracket as treatment group and the other three income brackets</w:t>
      </w:r>
      <w:r w:rsidR="006205E8">
        <w:rPr>
          <w:rFonts w:ascii="Arial" w:hAnsi="Arial" w:cs="Arial"/>
          <w:lang w:val="en-GB"/>
        </w:rPr>
        <w:t xml:space="preserve"> </w:t>
      </w:r>
      <w:r w:rsidR="006B261A">
        <w:rPr>
          <w:rFonts w:ascii="Arial" w:hAnsi="Arial" w:cs="Arial"/>
          <w:lang w:val="en-GB"/>
        </w:rPr>
        <w:t>as control group</w:t>
      </w:r>
      <w:r w:rsidR="00982B45">
        <w:rPr>
          <w:rFonts w:ascii="Arial" w:hAnsi="Arial" w:cs="Arial"/>
          <w:lang w:val="en-GB"/>
        </w:rPr>
        <w:t>s</w:t>
      </w:r>
      <w:r w:rsidR="006B261A">
        <w:rPr>
          <w:rFonts w:ascii="Arial" w:hAnsi="Arial" w:cs="Arial"/>
          <w:lang w:val="en-GB"/>
        </w:rPr>
        <w:t xml:space="preserve">. Data on the homeownership rate for all four income brackets would be necessary for a sufficient number years prior to the policy reform and after the policy reform in order to make an accurate estimation. </w:t>
      </w:r>
      <w:r w:rsidR="006205E8">
        <w:rPr>
          <w:rFonts w:ascii="Arial" w:hAnsi="Arial" w:cs="Arial"/>
          <w:lang w:val="en-GB"/>
        </w:rPr>
        <w:t xml:space="preserve">The policy reform is gradually implemented from 2017 </w:t>
      </w:r>
      <w:r w:rsidR="006205E8">
        <w:rPr>
          <w:rFonts w:ascii="Arial" w:hAnsi="Arial" w:cs="Arial"/>
          <w:lang w:val="en-GB"/>
        </w:rPr>
        <w:lastRenderedPageBreak/>
        <w:t>until 2023, hence data from 201</w:t>
      </w:r>
      <w:r w:rsidR="009A02BB">
        <w:rPr>
          <w:rFonts w:ascii="Arial" w:hAnsi="Arial" w:cs="Arial"/>
          <w:lang w:val="en-GB"/>
        </w:rPr>
        <w:t>3</w:t>
      </w:r>
      <w:r w:rsidR="006205E8">
        <w:rPr>
          <w:rFonts w:ascii="Arial" w:hAnsi="Arial" w:cs="Arial"/>
          <w:lang w:val="en-GB"/>
        </w:rPr>
        <w:t xml:space="preserve">-2028 would probably be sufficient to estimate the effect. The regression equation </w:t>
      </w:r>
      <w:r w:rsidR="009A02BB">
        <w:rPr>
          <w:rFonts w:ascii="Arial" w:hAnsi="Arial" w:cs="Arial"/>
          <w:lang w:val="en-GB"/>
        </w:rPr>
        <w:t xml:space="preserve">used by Gruber et al. (2018) to estimate the effect on homeownership in Denmark could be used to estimate the effect in the Netherlands. This is Equation (7) as </w:t>
      </w:r>
      <w:r w:rsidR="009A02BB">
        <w:rPr>
          <w:noProof/>
        </w:rPr>
        <w:drawing>
          <wp:anchor distT="0" distB="0" distL="114300" distR="114300" simplePos="0" relativeHeight="251686912" behindDoc="0" locked="0" layoutInCell="1" allowOverlap="1" wp14:anchorId="020501FE" wp14:editId="560D7527">
            <wp:simplePos x="0" y="0"/>
            <wp:positionH relativeFrom="margin">
              <wp:align>center</wp:align>
            </wp:positionH>
            <wp:positionV relativeFrom="paragraph">
              <wp:posOffset>1083945</wp:posOffset>
            </wp:positionV>
            <wp:extent cx="4140200" cy="812800"/>
            <wp:effectExtent l="0" t="0" r="0" b="6350"/>
            <wp:wrapTopAndBottom/>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7747" t="34686" r="10383" b="40231"/>
                    <a:stretch/>
                  </pic:blipFill>
                  <pic:spPr bwMode="auto">
                    <a:xfrm>
                      <a:off x="0" y="0"/>
                      <a:ext cx="4140200" cy="812800"/>
                    </a:xfrm>
                    <a:prstGeom prst="rect">
                      <a:avLst/>
                    </a:prstGeom>
                    <a:ln>
                      <a:noFill/>
                    </a:ln>
                    <a:extLst>
                      <a:ext uri="{53640926-AAD7-44D8-BBD7-CCE9431645EC}">
                        <a14:shadowObscured xmlns:a14="http://schemas.microsoft.com/office/drawing/2010/main"/>
                      </a:ext>
                    </a:extLst>
                  </pic:spPr>
                </pic:pic>
              </a:graphicData>
            </a:graphic>
          </wp:anchor>
        </w:drawing>
      </w:r>
      <w:r w:rsidR="009A02BB">
        <w:rPr>
          <w:rFonts w:ascii="Arial" w:hAnsi="Arial" w:cs="Arial"/>
          <w:lang w:val="en-GB"/>
        </w:rPr>
        <w:t xml:space="preserve">presented in Section </w:t>
      </w:r>
      <w:r w:rsidR="00524460">
        <w:rPr>
          <w:rFonts w:ascii="Arial" w:hAnsi="Arial" w:cs="Arial"/>
          <w:lang w:val="en-GB"/>
        </w:rPr>
        <w:t>3</w:t>
      </w:r>
      <w:r w:rsidR="009A02BB">
        <w:rPr>
          <w:rFonts w:ascii="Arial" w:hAnsi="Arial" w:cs="Arial"/>
          <w:lang w:val="en-GB"/>
        </w:rPr>
        <w:t xml:space="preserve"> and repeated here for convenience:</w:t>
      </w:r>
    </w:p>
    <w:p w14:paraId="3EB2A091" w14:textId="5AC83C29" w:rsidR="006C1296" w:rsidRDefault="009A02BB" w:rsidP="007F043B">
      <w:pPr>
        <w:pStyle w:val="Geenafstand"/>
        <w:spacing w:line="360" w:lineRule="auto"/>
        <w:jc w:val="both"/>
        <w:rPr>
          <w:rFonts w:ascii="Arial" w:hAnsi="Arial" w:cs="Arial"/>
          <w:lang w:val="en-GB"/>
        </w:rPr>
      </w:pPr>
      <w:r>
        <w:rPr>
          <w:rFonts w:ascii="Arial" w:hAnsi="Arial" w:cs="Arial"/>
          <w:lang w:val="en-GB"/>
        </w:rPr>
        <w:t xml:space="preserve"> </w:t>
      </w:r>
      <w:r w:rsidR="006B261A">
        <w:rPr>
          <w:rFonts w:ascii="Arial" w:hAnsi="Arial" w:cs="Arial"/>
          <w:lang w:val="en-GB"/>
        </w:rPr>
        <w:t xml:space="preserve"> </w:t>
      </w:r>
    </w:p>
    <w:p w14:paraId="21697B8E" w14:textId="77777777" w:rsidR="00C1458B" w:rsidRDefault="00FE0CBB" w:rsidP="007F043B">
      <w:pPr>
        <w:pStyle w:val="Geenafstand"/>
        <w:spacing w:line="360" w:lineRule="auto"/>
        <w:jc w:val="both"/>
        <w:rPr>
          <w:rFonts w:ascii="Arial" w:hAnsi="Arial" w:cs="Arial"/>
          <w:lang w:val="en-GB"/>
        </w:rPr>
      </w:pPr>
      <w:r>
        <w:rPr>
          <w:rFonts w:ascii="Arial" w:hAnsi="Arial" w:cs="Arial"/>
          <w:lang w:val="en-GB"/>
        </w:rPr>
        <w:t>In this equation</w:t>
      </w:r>
      <w:r w:rsidR="00524460">
        <w:rPr>
          <w:rFonts w:ascii="Arial" w:hAnsi="Arial" w:cs="Arial"/>
          <w:lang w:val="en-GB"/>
        </w:rPr>
        <w:t>, coefficient α</w:t>
      </w:r>
      <w:r w:rsidR="00524460">
        <w:rPr>
          <w:rFonts w:ascii="Arial" w:hAnsi="Arial" w:cs="Arial"/>
          <w:vertAlign w:val="subscript"/>
          <w:lang w:val="en-GB"/>
        </w:rPr>
        <w:t>3</w:t>
      </w:r>
      <w:r w:rsidR="00524460">
        <w:rPr>
          <w:rFonts w:ascii="Arial" w:hAnsi="Arial" w:cs="Arial"/>
          <w:lang w:val="en-GB"/>
        </w:rPr>
        <w:t xml:space="preserve"> </w:t>
      </w:r>
      <w:r>
        <w:rPr>
          <w:rFonts w:ascii="Arial" w:hAnsi="Arial" w:cs="Arial"/>
          <w:lang w:val="en-GB"/>
        </w:rPr>
        <w:t>estimates the treatment effect, hence the effect of the subsidy reduction on the homeownership rate</w:t>
      </w:r>
      <w:r w:rsidR="00982B45">
        <w:rPr>
          <w:rFonts w:ascii="Arial" w:hAnsi="Arial" w:cs="Arial"/>
          <w:lang w:val="en-GB"/>
        </w:rPr>
        <w:t xml:space="preserve">. The results found for Denmark by Gruber et al. (2018) can be used to predict the effect for the Netherlands. </w:t>
      </w:r>
    </w:p>
    <w:p w14:paraId="629D55BB" w14:textId="77777777" w:rsidR="00C1458B" w:rsidRDefault="00C1458B" w:rsidP="007F043B">
      <w:pPr>
        <w:pStyle w:val="Geenafstand"/>
        <w:spacing w:line="360" w:lineRule="auto"/>
        <w:jc w:val="both"/>
        <w:rPr>
          <w:rFonts w:ascii="Arial" w:hAnsi="Arial" w:cs="Arial"/>
          <w:lang w:val="en-GB"/>
        </w:rPr>
      </w:pPr>
    </w:p>
    <w:p w14:paraId="2263F2E2" w14:textId="7B889AB9" w:rsidR="009A02BB" w:rsidRDefault="00982B45" w:rsidP="007F043B">
      <w:pPr>
        <w:pStyle w:val="Geenafstand"/>
        <w:spacing w:line="360" w:lineRule="auto"/>
        <w:jc w:val="both"/>
        <w:rPr>
          <w:rFonts w:ascii="Arial" w:hAnsi="Arial" w:cs="Arial"/>
          <w:lang w:val="en-GB"/>
        </w:rPr>
      </w:pPr>
      <w:r>
        <w:rPr>
          <w:rFonts w:ascii="Arial" w:hAnsi="Arial" w:cs="Arial"/>
          <w:lang w:val="en-GB"/>
        </w:rPr>
        <w:t xml:space="preserve">In Denmark, the effect on the homeownership rate </w:t>
      </w:r>
      <w:r w:rsidR="00520D53">
        <w:rPr>
          <w:rFonts w:ascii="Arial" w:hAnsi="Arial" w:cs="Arial"/>
          <w:lang w:val="en-GB"/>
        </w:rPr>
        <w:t>lies between 0.006 percentage points and -0.002 percentage points, depending on which control group is used. Hence, these results are inconclusive because the policy reform could have a relatively small positive or negative effect on the housing demand</w:t>
      </w:r>
      <w:r w:rsidR="00C1458B">
        <w:rPr>
          <w:rFonts w:ascii="Arial" w:hAnsi="Arial" w:cs="Arial"/>
          <w:lang w:val="en-GB"/>
        </w:rPr>
        <w:t xml:space="preserve"> of the highest income bracket</w:t>
      </w:r>
      <w:r w:rsidR="00520D53">
        <w:rPr>
          <w:rFonts w:ascii="Arial" w:hAnsi="Arial" w:cs="Arial"/>
          <w:lang w:val="en-GB"/>
        </w:rPr>
        <w:t>. Furthermore, housing demand trends between the treatment and control group remain parallel before and after the policy change. A</w:t>
      </w:r>
      <w:r w:rsidR="00162995">
        <w:rPr>
          <w:rFonts w:ascii="Arial" w:hAnsi="Arial" w:cs="Arial"/>
          <w:lang w:val="en-GB"/>
        </w:rPr>
        <w:t>dditionally</w:t>
      </w:r>
      <w:r w:rsidR="00520D53">
        <w:rPr>
          <w:rFonts w:ascii="Arial" w:hAnsi="Arial" w:cs="Arial"/>
          <w:lang w:val="en-GB"/>
        </w:rPr>
        <w:t xml:space="preserve">, the price elasticity of </w:t>
      </w:r>
      <w:r w:rsidR="00983806">
        <w:rPr>
          <w:rFonts w:ascii="Arial" w:hAnsi="Arial" w:cs="Arial"/>
          <w:lang w:val="en-GB"/>
        </w:rPr>
        <w:t xml:space="preserve">housing </w:t>
      </w:r>
      <w:r w:rsidR="00520D53">
        <w:rPr>
          <w:rFonts w:ascii="Arial" w:hAnsi="Arial" w:cs="Arial"/>
          <w:lang w:val="en-GB"/>
        </w:rPr>
        <w:t xml:space="preserve">demand is considerably low in Denmark. </w:t>
      </w:r>
      <w:r w:rsidR="00983806">
        <w:rPr>
          <w:rFonts w:ascii="Arial" w:hAnsi="Arial" w:cs="Arial"/>
          <w:lang w:val="en-GB"/>
        </w:rPr>
        <w:t>As a result, higher income groups did not change their homeownership decisions after the housing subsidy reform</w:t>
      </w:r>
      <w:r w:rsidR="00162995">
        <w:rPr>
          <w:rFonts w:ascii="Arial" w:hAnsi="Arial" w:cs="Arial"/>
          <w:lang w:val="en-GB"/>
        </w:rPr>
        <w:t>, such that</w:t>
      </w:r>
      <w:r w:rsidR="00162995" w:rsidRPr="00162995">
        <w:rPr>
          <w:rFonts w:ascii="Arial" w:hAnsi="Arial" w:cs="Arial"/>
          <w:lang w:val="en-GB"/>
        </w:rPr>
        <w:t xml:space="preserve"> </w:t>
      </w:r>
      <w:r w:rsidR="00162995">
        <w:rPr>
          <w:rFonts w:ascii="Arial" w:hAnsi="Arial" w:cs="Arial"/>
          <w:lang w:val="en-GB"/>
        </w:rPr>
        <w:t>the policy reform had no economically relevant impact on the homeownership rate in Denmark</w:t>
      </w:r>
      <w:r w:rsidR="00983806">
        <w:rPr>
          <w:rFonts w:ascii="Arial" w:hAnsi="Arial" w:cs="Arial"/>
          <w:lang w:val="en-GB"/>
        </w:rPr>
        <w:t xml:space="preserve">. </w:t>
      </w:r>
    </w:p>
    <w:p w14:paraId="0F6B23CC" w14:textId="1C48FB77" w:rsidR="00C1458B" w:rsidRDefault="00C1458B" w:rsidP="007F043B">
      <w:pPr>
        <w:pStyle w:val="Geenafstand"/>
        <w:spacing w:line="360" w:lineRule="auto"/>
        <w:jc w:val="both"/>
        <w:rPr>
          <w:rFonts w:ascii="Arial" w:hAnsi="Arial" w:cs="Arial"/>
          <w:lang w:val="en-GB"/>
        </w:rPr>
      </w:pPr>
    </w:p>
    <w:p w14:paraId="36E3BA1B" w14:textId="3471BAAC" w:rsidR="00C1458B" w:rsidRDefault="00C1458B" w:rsidP="007F043B">
      <w:pPr>
        <w:pStyle w:val="Geenafstand"/>
        <w:spacing w:line="360" w:lineRule="auto"/>
        <w:jc w:val="both"/>
        <w:rPr>
          <w:rFonts w:ascii="Arial" w:hAnsi="Arial" w:cs="Arial"/>
          <w:lang w:val="en-GB"/>
        </w:rPr>
      </w:pPr>
      <w:r>
        <w:rPr>
          <w:rFonts w:ascii="Arial" w:hAnsi="Arial" w:cs="Arial"/>
          <w:lang w:val="en-GB"/>
        </w:rPr>
        <w:t xml:space="preserve">The results found for Denmark are inconclusive and economically irrelevant, since the housing subsidy was cut substantially while there was no real change in the homeownership rate. It is likely that the price elasticity of demand is low in the Netherlands as well, such that there will be no effect of the policy reform on the housing demand for the highest income bracket. Hence, it should not be expected that there is an effect of the policy reform on housing demand in the Netherlands. </w:t>
      </w:r>
    </w:p>
    <w:p w14:paraId="11A992D8" w14:textId="77777777" w:rsidR="006C1296" w:rsidRDefault="006C1296" w:rsidP="007F043B">
      <w:pPr>
        <w:pStyle w:val="Geenafstand"/>
        <w:spacing w:line="360" w:lineRule="auto"/>
        <w:jc w:val="both"/>
        <w:rPr>
          <w:rFonts w:ascii="Arial" w:hAnsi="Arial" w:cs="Arial"/>
          <w:lang w:val="en-GB"/>
        </w:rPr>
      </w:pPr>
    </w:p>
    <w:p w14:paraId="43E850C7" w14:textId="2E04ABFD" w:rsidR="007F043B" w:rsidRDefault="00BD69C4" w:rsidP="007F043B">
      <w:pPr>
        <w:pStyle w:val="Geenafstand"/>
        <w:spacing w:line="360" w:lineRule="auto"/>
        <w:jc w:val="both"/>
        <w:rPr>
          <w:rFonts w:ascii="Arial" w:hAnsi="Arial" w:cs="Arial"/>
          <w:lang w:val="en-GB"/>
        </w:rPr>
      </w:pPr>
      <w:r>
        <w:rPr>
          <w:rFonts w:ascii="Arial" w:hAnsi="Arial" w:cs="Arial"/>
          <w:lang w:val="en-GB"/>
        </w:rPr>
        <w:t xml:space="preserve">Based on the Danish example, the prediction for the Netherlands is that the reduction in mortgage interest deduction will not have a statistically significant effect on the homeownership rate of households in the highest income bracket. </w:t>
      </w:r>
      <w:r w:rsidR="007F043B">
        <w:rPr>
          <w:rFonts w:ascii="Arial" w:hAnsi="Arial" w:cs="Arial"/>
          <w:lang w:val="en-GB"/>
        </w:rPr>
        <w:t xml:space="preserve">As presented in </w:t>
      </w:r>
      <w:r w:rsidR="00162995">
        <w:rPr>
          <w:rFonts w:ascii="Arial" w:hAnsi="Arial" w:cs="Arial"/>
          <w:lang w:val="en-GB"/>
        </w:rPr>
        <w:t>T</w:t>
      </w:r>
      <w:r w:rsidR="007F043B">
        <w:rPr>
          <w:rFonts w:ascii="Arial" w:hAnsi="Arial" w:cs="Arial"/>
          <w:lang w:val="en-GB"/>
        </w:rPr>
        <w:t xml:space="preserve">able 1 of Appendix B, the homeownership rate is 66.2 percent in 2018 and it can be expected that this rate will not be </w:t>
      </w:r>
      <w:r>
        <w:rPr>
          <w:rFonts w:ascii="Arial" w:hAnsi="Arial" w:cs="Arial"/>
          <w:lang w:val="en-GB"/>
        </w:rPr>
        <w:t xml:space="preserve">significantly </w:t>
      </w:r>
      <w:r w:rsidR="007F043B">
        <w:rPr>
          <w:rFonts w:ascii="Arial" w:hAnsi="Arial" w:cs="Arial"/>
          <w:lang w:val="en-GB"/>
        </w:rPr>
        <w:t xml:space="preserve">affected by the policy reform. </w:t>
      </w:r>
    </w:p>
    <w:p w14:paraId="426FA966" w14:textId="77777777" w:rsidR="007F043B" w:rsidRDefault="007F043B" w:rsidP="007F043B">
      <w:pPr>
        <w:pStyle w:val="Geenafstand"/>
        <w:spacing w:line="360" w:lineRule="auto"/>
        <w:jc w:val="both"/>
        <w:rPr>
          <w:rFonts w:ascii="Arial" w:hAnsi="Arial" w:cs="Arial"/>
          <w:lang w:val="en-GB"/>
        </w:rPr>
      </w:pPr>
    </w:p>
    <w:p w14:paraId="50C2965B" w14:textId="64933DB8" w:rsidR="007F043B" w:rsidRPr="00F96665" w:rsidRDefault="00F96665" w:rsidP="00F96665">
      <w:pPr>
        <w:pStyle w:val="Kop2"/>
        <w:ind w:firstLine="0"/>
        <w:rPr>
          <w:rFonts w:ascii="Arial" w:hAnsi="Arial" w:cs="Arial"/>
          <w:color w:val="auto"/>
          <w:sz w:val="22"/>
          <w:szCs w:val="22"/>
          <w:u w:val="single"/>
          <w:lang w:val="en-GB"/>
        </w:rPr>
      </w:pPr>
      <w:bookmarkStart w:id="14" w:name="_Toc14016535"/>
      <w:r>
        <w:rPr>
          <w:rFonts w:ascii="Arial" w:hAnsi="Arial" w:cs="Arial"/>
          <w:color w:val="auto"/>
          <w:sz w:val="22"/>
          <w:szCs w:val="22"/>
          <w:u w:val="single"/>
          <w:lang w:val="en-GB"/>
        </w:rPr>
        <w:lastRenderedPageBreak/>
        <w:t xml:space="preserve">7.2 </w:t>
      </w:r>
      <w:r w:rsidR="007F043B" w:rsidRPr="00F96665">
        <w:rPr>
          <w:rFonts w:ascii="Arial" w:hAnsi="Arial" w:cs="Arial"/>
          <w:color w:val="auto"/>
          <w:sz w:val="22"/>
          <w:szCs w:val="22"/>
          <w:u w:val="single"/>
          <w:lang w:val="en-GB"/>
        </w:rPr>
        <w:t>The effect on housing prices</w:t>
      </w:r>
      <w:bookmarkEnd w:id="14"/>
    </w:p>
    <w:p w14:paraId="0ADC67D6" w14:textId="0EBA0AED" w:rsidR="00BB00BB" w:rsidRDefault="007F043B" w:rsidP="007F043B">
      <w:pPr>
        <w:pStyle w:val="Geenafstand"/>
        <w:spacing w:line="360" w:lineRule="auto"/>
        <w:jc w:val="both"/>
        <w:rPr>
          <w:rFonts w:ascii="Arial" w:hAnsi="Arial" w:cs="Arial"/>
          <w:lang w:val="en-GB"/>
        </w:rPr>
      </w:pPr>
      <w:r>
        <w:rPr>
          <w:rFonts w:ascii="Arial" w:hAnsi="Arial" w:cs="Arial"/>
          <w:lang w:val="en-GB"/>
        </w:rPr>
        <w:t xml:space="preserve">Hypothesis 2 states that the reduction in home mortgage deduction will decrease the housing prices in the Netherlands. </w:t>
      </w:r>
      <w:r w:rsidR="00CD5F45">
        <w:rPr>
          <w:rFonts w:ascii="Arial" w:hAnsi="Arial" w:cs="Arial"/>
          <w:lang w:val="en-GB"/>
        </w:rPr>
        <w:t>Ideally, the effect of the policy reform on the housing price index would be estimated using the difference-in-differences method with the Netherlands as treatment group and a country with similar economic, demographic and housing market characteristics</w:t>
      </w:r>
      <w:r w:rsidR="00BB00BB">
        <w:rPr>
          <w:rFonts w:ascii="Arial" w:hAnsi="Arial" w:cs="Arial"/>
          <w:lang w:val="en-GB"/>
        </w:rPr>
        <w:t xml:space="preserve"> as control group</w:t>
      </w:r>
      <w:r w:rsidR="00CD5F45">
        <w:rPr>
          <w:rFonts w:ascii="Arial" w:hAnsi="Arial" w:cs="Arial"/>
          <w:lang w:val="en-GB"/>
        </w:rPr>
        <w:t xml:space="preserve">, for example Belgium, Germany, the United Kingdom, Norway or the United States. </w:t>
      </w:r>
      <w:r w:rsidR="00BB00BB">
        <w:rPr>
          <w:rFonts w:ascii="Arial" w:hAnsi="Arial" w:cs="Arial"/>
          <w:lang w:val="en-GB"/>
        </w:rPr>
        <w:t xml:space="preserve">Also, it could be possible to compile a synthetic control group using these countries. </w:t>
      </w:r>
      <w:r w:rsidR="0033790D">
        <w:rPr>
          <w:rFonts w:ascii="Arial" w:hAnsi="Arial" w:cs="Arial"/>
          <w:lang w:val="en-GB"/>
        </w:rPr>
        <w:t>Times series d</w:t>
      </w:r>
      <w:r w:rsidR="00BB00BB">
        <w:rPr>
          <w:rFonts w:ascii="Arial" w:hAnsi="Arial" w:cs="Arial"/>
          <w:lang w:val="en-GB"/>
        </w:rPr>
        <w:t>ata on the house price index for these countries would be needed for a sufficient period of time before and after the full implementation of the policy reform in the Netherlands</w:t>
      </w:r>
      <w:r w:rsidR="001C545A">
        <w:rPr>
          <w:rFonts w:ascii="Arial" w:hAnsi="Arial" w:cs="Arial"/>
          <w:lang w:val="en-GB"/>
        </w:rPr>
        <w:t xml:space="preserve"> in order to make an accurate estimation</w:t>
      </w:r>
      <w:r w:rsidR="00BB00BB">
        <w:rPr>
          <w:rFonts w:ascii="Arial" w:hAnsi="Arial" w:cs="Arial"/>
          <w:lang w:val="en-GB"/>
        </w:rPr>
        <w:t>.</w:t>
      </w:r>
      <w:r w:rsidR="001C545A">
        <w:rPr>
          <w:rFonts w:ascii="Arial" w:hAnsi="Arial" w:cs="Arial"/>
          <w:lang w:val="en-GB"/>
        </w:rPr>
        <w:t xml:space="preserve"> The period 2013-2028 would probably suffic</w:t>
      </w:r>
      <w:r w:rsidR="0033790D">
        <w:rPr>
          <w:rFonts w:ascii="Arial" w:hAnsi="Arial" w:cs="Arial"/>
          <w:lang w:val="en-GB"/>
        </w:rPr>
        <w:t xml:space="preserve">e, where it is important to test for the parallel trends assumption between treatment and control group </w:t>
      </w:r>
      <w:r w:rsidR="005B581A">
        <w:rPr>
          <w:rFonts w:ascii="Arial" w:hAnsi="Arial" w:cs="Arial"/>
          <w:lang w:val="en-GB"/>
        </w:rPr>
        <w:t>in</w:t>
      </w:r>
      <w:r w:rsidR="0033790D">
        <w:rPr>
          <w:rFonts w:ascii="Arial" w:hAnsi="Arial" w:cs="Arial"/>
          <w:lang w:val="en-GB"/>
        </w:rPr>
        <w:t xml:space="preserve"> the years prior to the policy reform</w:t>
      </w:r>
      <w:r w:rsidR="001C545A">
        <w:rPr>
          <w:rFonts w:ascii="Arial" w:hAnsi="Arial" w:cs="Arial"/>
          <w:lang w:val="en-GB"/>
        </w:rPr>
        <w:t>.</w:t>
      </w:r>
      <w:r w:rsidR="0033790D">
        <w:rPr>
          <w:rFonts w:ascii="Arial" w:hAnsi="Arial" w:cs="Arial"/>
          <w:lang w:val="en-GB"/>
        </w:rPr>
        <w:t xml:space="preserve"> Then, the difference in price index before and after the implementation of the policy reform would need to be taken within and between the treatment and control group in order to estimate the effect of the reform </w:t>
      </w:r>
      <w:r w:rsidR="005B581A">
        <w:rPr>
          <w:rFonts w:ascii="Arial" w:hAnsi="Arial" w:cs="Arial"/>
          <w:lang w:val="en-GB"/>
        </w:rPr>
        <w:t xml:space="preserve">on the housing prices </w:t>
      </w:r>
      <w:r w:rsidR="0033790D">
        <w:rPr>
          <w:rFonts w:ascii="Arial" w:hAnsi="Arial" w:cs="Arial"/>
          <w:lang w:val="en-GB"/>
        </w:rPr>
        <w:t xml:space="preserve">and test the hypothesis. </w:t>
      </w:r>
      <w:r w:rsidR="001C545A">
        <w:rPr>
          <w:rFonts w:ascii="Arial" w:hAnsi="Arial" w:cs="Arial"/>
          <w:lang w:val="en-GB"/>
        </w:rPr>
        <w:t xml:space="preserve"> </w:t>
      </w:r>
      <w:r w:rsidR="00BB00BB">
        <w:rPr>
          <w:rFonts w:ascii="Arial" w:hAnsi="Arial" w:cs="Arial"/>
          <w:lang w:val="en-GB"/>
        </w:rPr>
        <w:t xml:space="preserve"> </w:t>
      </w:r>
      <w:r w:rsidR="00CD5F45">
        <w:rPr>
          <w:rFonts w:ascii="Arial" w:hAnsi="Arial" w:cs="Arial"/>
          <w:lang w:val="en-GB"/>
        </w:rPr>
        <w:t xml:space="preserve"> </w:t>
      </w:r>
    </w:p>
    <w:p w14:paraId="36613505" w14:textId="77777777" w:rsidR="00BB00BB" w:rsidRDefault="00BB00BB" w:rsidP="007F043B">
      <w:pPr>
        <w:pStyle w:val="Geenafstand"/>
        <w:spacing w:line="360" w:lineRule="auto"/>
        <w:jc w:val="both"/>
        <w:rPr>
          <w:rFonts w:ascii="Arial" w:hAnsi="Arial" w:cs="Arial"/>
          <w:lang w:val="en-GB"/>
        </w:rPr>
      </w:pPr>
    </w:p>
    <w:p w14:paraId="3D5EA0A2" w14:textId="0725FCF0" w:rsidR="00CD7275" w:rsidRDefault="00BB00BB" w:rsidP="007F043B">
      <w:pPr>
        <w:pStyle w:val="Geenafstand"/>
        <w:spacing w:line="360" w:lineRule="auto"/>
        <w:jc w:val="both"/>
        <w:rPr>
          <w:rFonts w:ascii="Arial" w:hAnsi="Arial" w:cs="Arial"/>
          <w:lang w:val="en-GB"/>
        </w:rPr>
      </w:pPr>
      <w:r>
        <w:rPr>
          <w:rFonts w:ascii="Arial" w:hAnsi="Arial" w:cs="Arial"/>
          <w:lang w:val="en-GB"/>
        </w:rPr>
        <w:t>However</w:t>
      </w:r>
      <w:r w:rsidR="00C074B0">
        <w:rPr>
          <w:rFonts w:ascii="Arial" w:hAnsi="Arial" w:cs="Arial"/>
          <w:lang w:val="en-GB"/>
        </w:rPr>
        <w:t xml:space="preserve">, the effect cannot be estimated </w:t>
      </w:r>
      <w:r>
        <w:rPr>
          <w:rFonts w:ascii="Arial" w:hAnsi="Arial" w:cs="Arial"/>
          <w:lang w:val="en-GB"/>
        </w:rPr>
        <w:t xml:space="preserve">using this method </w:t>
      </w:r>
      <w:r w:rsidR="00CD5F45">
        <w:rPr>
          <w:rFonts w:ascii="Arial" w:hAnsi="Arial" w:cs="Arial"/>
          <w:lang w:val="en-GB"/>
        </w:rPr>
        <w:t>because the data</w:t>
      </w:r>
      <w:r>
        <w:rPr>
          <w:rFonts w:ascii="Arial" w:hAnsi="Arial" w:cs="Arial"/>
          <w:lang w:val="en-GB"/>
        </w:rPr>
        <w:t xml:space="preserve"> on housing prices</w:t>
      </w:r>
      <w:r w:rsidR="00CD5F45">
        <w:rPr>
          <w:rFonts w:ascii="Arial" w:hAnsi="Arial" w:cs="Arial"/>
          <w:lang w:val="en-GB"/>
        </w:rPr>
        <w:t xml:space="preserve"> </w:t>
      </w:r>
      <w:r>
        <w:rPr>
          <w:rFonts w:ascii="Arial" w:hAnsi="Arial" w:cs="Arial"/>
          <w:lang w:val="en-GB"/>
        </w:rPr>
        <w:t>are</w:t>
      </w:r>
      <w:r w:rsidR="00CD5F45">
        <w:rPr>
          <w:rFonts w:ascii="Arial" w:hAnsi="Arial" w:cs="Arial"/>
          <w:lang w:val="en-GB"/>
        </w:rPr>
        <w:t xml:space="preserve"> not available</w:t>
      </w:r>
      <w:r w:rsidR="00C074B0">
        <w:rPr>
          <w:rFonts w:ascii="Arial" w:hAnsi="Arial" w:cs="Arial"/>
          <w:lang w:val="en-GB"/>
        </w:rPr>
        <w:t xml:space="preserve"> </w:t>
      </w:r>
      <w:r>
        <w:rPr>
          <w:rFonts w:ascii="Arial" w:hAnsi="Arial" w:cs="Arial"/>
          <w:lang w:val="en-GB"/>
        </w:rPr>
        <w:t>yet. Therefore,</w:t>
      </w:r>
      <w:r w:rsidR="00C074B0">
        <w:rPr>
          <w:rFonts w:ascii="Arial" w:hAnsi="Arial" w:cs="Arial"/>
          <w:lang w:val="en-GB"/>
        </w:rPr>
        <w:t xml:space="preserve"> a prediction </w:t>
      </w:r>
      <w:r>
        <w:rPr>
          <w:rFonts w:ascii="Arial" w:hAnsi="Arial" w:cs="Arial"/>
          <w:lang w:val="en-GB"/>
        </w:rPr>
        <w:t>is</w:t>
      </w:r>
      <w:r w:rsidR="00C074B0">
        <w:rPr>
          <w:rFonts w:ascii="Arial" w:hAnsi="Arial" w:cs="Arial"/>
          <w:lang w:val="en-GB"/>
        </w:rPr>
        <w:t xml:space="preserve"> made</w:t>
      </w:r>
      <w:r>
        <w:rPr>
          <w:rFonts w:ascii="Arial" w:hAnsi="Arial" w:cs="Arial"/>
          <w:lang w:val="en-GB"/>
        </w:rPr>
        <w:t xml:space="preserve"> based on descriptive statistics of the nominal housing price index for the Netherlands and the results found for Denmark by Gruber et al. (2018). </w:t>
      </w:r>
      <w:r w:rsidR="003C5BA3">
        <w:rPr>
          <w:rFonts w:ascii="Arial" w:hAnsi="Arial" w:cs="Arial"/>
          <w:lang w:val="en-GB"/>
        </w:rPr>
        <w:t xml:space="preserve">Here it is assumed that the effect of the reform on the housing prices will take place by the time the policy reform is fully implemented in 2023. Therefore, the development of the housing price index for the period 2019-2022 is predicted using the linear trend prediction based on the nominal house price index </w:t>
      </w:r>
      <w:r w:rsidR="005C04FE">
        <w:rPr>
          <w:rFonts w:ascii="Arial" w:hAnsi="Arial" w:cs="Arial"/>
          <w:lang w:val="en-GB"/>
        </w:rPr>
        <w:t>for the period 2013-2018</w:t>
      </w:r>
      <w:r w:rsidR="003C5BA3">
        <w:rPr>
          <w:rFonts w:ascii="Arial" w:hAnsi="Arial" w:cs="Arial"/>
          <w:lang w:val="en-GB"/>
        </w:rPr>
        <w:t xml:space="preserve">. Then the effect of the reduction in home mortgage interest deduction </w:t>
      </w:r>
      <w:r w:rsidR="005C04FE">
        <w:rPr>
          <w:rFonts w:ascii="Arial" w:hAnsi="Arial" w:cs="Arial"/>
          <w:lang w:val="en-GB"/>
        </w:rPr>
        <w:t>on the house price index is</w:t>
      </w:r>
      <w:r w:rsidR="003C5BA3">
        <w:rPr>
          <w:rFonts w:ascii="Arial" w:hAnsi="Arial" w:cs="Arial"/>
          <w:lang w:val="en-GB"/>
        </w:rPr>
        <w:t xml:space="preserve"> </w:t>
      </w:r>
      <w:r w:rsidR="007C39D4">
        <w:rPr>
          <w:rFonts w:ascii="Arial" w:hAnsi="Arial" w:cs="Arial"/>
          <w:lang w:val="en-GB"/>
        </w:rPr>
        <w:t>predicted using the results found for Denmark</w:t>
      </w:r>
      <w:r w:rsidR="005C04FE">
        <w:rPr>
          <w:rFonts w:ascii="Arial" w:hAnsi="Arial" w:cs="Arial"/>
          <w:lang w:val="en-GB"/>
        </w:rPr>
        <w:t xml:space="preserve"> and the descriptive statistics for the Netherlands</w:t>
      </w:r>
      <w:r w:rsidR="007C39D4">
        <w:rPr>
          <w:rFonts w:ascii="Arial" w:hAnsi="Arial" w:cs="Arial"/>
          <w:lang w:val="en-GB"/>
        </w:rPr>
        <w:t>.</w:t>
      </w:r>
      <w:r w:rsidR="003C5BA3">
        <w:rPr>
          <w:rFonts w:ascii="Arial" w:hAnsi="Arial" w:cs="Arial"/>
          <w:lang w:val="en-GB"/>
        </w:rPr>
        <w:t xml:space="preserve"> </w:t>
      </w:r>
    </w:p>
    <w:p w14:paraId="14BDA471" w14:textId="77777777" w:rsidR="00CD7275" w:rsidRDefault="00CD7275" w:rsidP="007F043B">
      <w:pPr>
        <w:pStyle w:val="Geenafstand"/>
        <w:spacing w:line="360" w:lineRule="auto"/>
        <w:jc w:val="both"/>
        <w:rPr>
          <w:rFonts w:ascii="Arial" w:hAnsi="Arial" w:cs="Arial"/>
          <w:lang w:val="en-GB"/>
        </w:rPr>
      </w:pPr>
    </w:p>
    <w:p w14:paraId="540EF4E7" w14:textId="0506BFE4" w:rsidR="007F043B" w:rsidRDefault="007F043B" w:rsidP="007F043B">
      <w:pPr>
        <w:pStyle w:val="Geenafstand"/>
        <w:spacing w:line="360" w:lineRule="auto"/>
        <w:jc w:val="both"/>
        <w:rPr>
          <w:rFonts w:ascii="Arial" w:hAnsi="Arial" w:cs="Arial"/>
          <w:lang w:val="en-GB"/>
        </w:rPr>
      </w:pPr>
      <w:r>
        <w:rPr>
          <w:rFonts w:ascii="Arial" w:hAnsi="Arial" w:cs="Arial"/>
          <w:lang w:val="en-GB"/>
        </w:rPr>
        <w:t>The</w:t>
      </w:r>
      <w:r w:rsidR="003C5BA3">
        <w:rPr>
          <w:rFonts w:ascii="Arial" w:hAnsi="Arial" w:cs="Arial"/>
          <w:lang w:val="en-GB"/>
        </w:rPr>
        <w:t xml:space="preserve"> predictions</w:t>
      </w:r>
      <w:r>
        <w:rPr>
          <w:rFonts w:ascii="Arial" w:hAnsi="Arial" w:cs="Arial"/>
          <w:lang w:val="en-GB"/>
        </w:rPr>
        <w:t xml:space="preserve"> for this hypothesis are presented in </w:t>
      </w:r>
      <w:r w:rsidR="00BB00BB">
        <w:rPr>
          <w:rFonts w:ascii="Arial" w:hAnsi="Arial" w:cs="Arial"/>
          <w:lang w:val="en-GB"/>
        </w:rPr>
        <w:t>T</w:t>
      </w:r>
      <w:r>
        <w:rPr>
          <w:rFonts w:ascii="Arial" w:hAnsi="Arial" w:cs="Arial"/>
          <w:lang w:val="en-GB"/>
        </w:rPr>
        <w:t xml:space="preserve">ables 1 and 2 and </w:t>
      </w:r>
      <w:r w:rsidR="00BB00BB">
        <w:rPr>
          <w:rFonts w:ascii="Arial" w:hAnsi="Arial" w:cs="Arial"/>
          <w:lang w:val="en-GB"/>
        </w:rPr>
        <w:t>F</w:t>
      </w:r>
      <w:r>
        <w:rPr>
          <w:rFonts w:ascii="Arial" w:hAnsi="Arial" w:cs="Arial"/>
          <w:lang w:val="en-GB"/>
        </w:rPr>
        <w:t xml:space="preserve">igures 1 and 2 of Appendix C. Table 1 shows the predicted values of the housing price index for the first quarter of 2013 until the last quarter of 2022, based on the linear trend prediction. The coefficients of the linear trend function are presented in </w:t>
      </w:r>
      <w:r w:rsidR="00BB00BB">
        <w:rPr>
          <w:rFonts w:ascii="Arial" w:hAnsi="Arial" w:cs="Arial"/>
          <w:lang w:val="en-GB"/>
        </w:rPr>
        <w:t>T</w:t>
      </w:r>
      <w:r>
        <w:rPr>
          <w:rFonts w:ascii="Arial" w:hAnsi="Arial" w:cs="Arial"/>
          <w:lang w:val="en-GB"/>
        </w:rPr>
        <w:t>able 2. The constant is 210.17 and the slope of the linear trend is 3.103. This means that each quarter, the predicted value of the house price index increases with 3.103 percentage points. The R</w:t>
      </w:r>
      <w:r>
        <w:rPr>
          <w:rFonts w:ascii="Arial" w:hAnsi="Arial" w:cs="Arial"/>
          <w:vertAlign w:val="superscript"/>
          <w:lang w:val="en-GB"/>
        </w:rPr>
        <w:t xml:space="preserve">2 </w:t>
      </w:r>
      <w:r>
        <w:rPr>
          <w:rFonts w:ascii="Arial" w:hAnsi="Arial" w:cs="Arial"/>
          <w:lang w:val="en-GB"/>
        </w:rPr>
        <w:t xml:space="preserve">of the linear trend prediction is relatively high with a value of 0.891, which means that it is likely that the house price index will follow a linear trend over time. The actual housing price index for the period 2013-2018 and the linear trend prediction are presented in </w:t>
      </w:r>
      <w:r w:rsidR="00BB00BB">
        <w:rPr>
          <w:rFonts w:ascii="Arial" w:hAnsi="Arial" w:cs="Arial"/>
          <w:lang w:val="en-GB"/>
        </w:rPr>
        <w:t>F</w:t>
      </w:r>
      <w:r>
        <w:rPr>
          <w:rFonts w:ascii="Arial" w:hAnsi="Arial" w:cs="Arial"/>
          <w:lang w:val="en-GB"/>
        </w:rPr>
        <w:t xml:space="preserve">igure 1. </w:t>
      </w:r>
    </w:p>
    <w:p w14:paraId="5CD62592" w14:textId="77777777" w:rsidR="007F043B" w:rsidRDefault="007F043B" w:rsidP="007F043B">
      <w:pPr>
        <w:pStyle w:val="Geenafstand"/>
        <w:spacing w:line="360" w:lineRule="auto"/>
        <w:jc w:val="both"/>
        <w:rPr>
          <w:rFonts w:ascii="Arial" w:hAnsi="Arial" w:cs="Arial"/>
          <w:lang w:val="en-GB"/>
        </w:rPr>
      </w:pPr>
    </w:p>
    <w:p w14:paraId="2ABE0700" w14:textId="7DF644AA" w:rsidR="00F96665" w:rsidRDefault="007F043B" w:rsidP="007F043B">
      <w:pPr>
        <w:pStyle w:val="Geenafstand"/>
        <w:spacing w:line="360" w:lineRule="auto"/>
        <w:jc w:val="both"/>
        <w:rPr>
          <w:rFonts w:ascii="Arial" w:hAnsi="Arial" w:cs="Arial"/>
          <w:lang w:val="en-GB"/>
        </w:rPr>
      </w:pPr>
      <w:r>
        <w:rPr>
          <w:rFonts w:ascii="Arial" w:hAnsi="Arial" w:cs="Arial"/>
          <w:lang w:val="en-GB"/>
        </w:rPr>
        <w:lastRenderedPageBreak/>
        <w:t xml:space="preserve">Figure 2 shows the actual house price index for the period 2013-2018 and the predicted house price index from 2013 until the first quarter of 2023. Hence, this includes the prediction for the period after the implementation of the policy reform. This predicted index number is based on the 10 percent decrease in house price index as found by Gruber et al. (2018) and the predicted house price index for the final quarter of 2022, which is 334.292. This results in a house price index of 300.863 in the first quarter of 2023, as presented in </w:t>
      </w:r>
      <w:r w:rsidR="000A5A4E">
        <w:rPr>
          <w:rFonts w:ascii="Arial" w:hAnsi="Arial" w:cs="Arial"/>
          <w:lang w:val="en-GB"/>
        </w:rPr>
        <w:t>T</w:t>
      </w:r>
      <w:r>
        <w:rPr>
          <w:rFonts w:ascii="Arial" w:hAnsi="Arial" w:cs="Arial"/>
          <w:lang w:val="en-GB"/>
        </w:rPr>
        <w:t xml:space="preserve">able 1. </w:t>
      </w:r>
    </w:p>
    <w:p w14:paraId="612B46B6" w14:textId="5866003C" w:rsidR="005C04FE" w:rsidRDefault="005C04FE" w:rsidP="007F043B">
      <w:pPr>
        <w:pStyle w:val="Geenafstand"/>
        <w:spacing w:line="360" w:lineRule="auto"/>
        <w:jc w:val="both"/>
        <w:rPr>
          <w:rFonts w:ascii="Arial" w:hAnsi="Arial" w:cs="Arial"/>
          <w:lang w:val="en-GB"/>
        </w:rPr>
      </w:pPr>
    </w:p>
    <w:p w14:paraId="5C23E56C" w14:textId="648F01D3" w:rsidR="005C04FE" w:rsidRDefault="005C04FE" w:rsidP="007F043B">
      <w:pPr>
        <w:pStyle w:val="Geenafstand"/>
        <w:spacing w:line="360" w:lineRule="auto"/>
        <w:jc w:val="both"/>
        <w:rPr>
          <w:rFonts w:ascii="Arial" w:hAnsi="Arial" w:cs="Arial"/>
          <w:lang w:val="en-GB"/>
        </w:rPr>
      </w:pPr>
      <w:r>
        <w:rPr>
          <w:rFonts w:ascii="Arial" w:hAnsi="Arial" w:cs="Arial"/>
          <w:lang w:val="en-GB"/>
        </w:rPr>
        <w:t>The results found for Denmark by Gruber et al. (2018) show that the policy reform had a significant</w:t>
      </w:r>
      <w:r w:rsidR="0025759C">
        <w:rPr>
          <w:rFonts w:ascii="Arial" w:hAnsi="Arial" w:cs="Arial"/>
          <w:lang w:val="en-GB"/>
        </w:rPr>
        <w:t xml:space="preserve"> negative</w:t>
      </w:r>
      <w:r>
        <w:rPr>
          <w:rFonts w:ascii="Arial" w:hAnsi="Arial" w:cs="Arial"/>
          <w:lang w:val="en-GB"/>
        </w:rPr>
        <w:t xml:space="preserve"> effect on the nominal house price index, which decreased with 10 percent. A significant effect in Denmark implies that it can be expected that a similar policy reform will also have a significant effect on the housing prices in the Netherlands.</w:t>
      </w:r>
      <w:r w:rsidR="0084209C">
        <w:rPr>
          <w:rFonts w:ascii="Arial" w:hAnsi="Arial" w:cs="Arial"/>
          <w:lang w:val="en-GB"/>
        </w:rPr>
        <w:t xml:space="preserve"> Hence, based on the results for Denmark, one should expect that the policy reform will result in a substantial decrease in the housing prices in the Netherlands. </w:t>
      </w:r>
    </w:p>
    <w:p w14:paraId="693CB12D" w14:textId="77777777" w:rsidR="005C04FE" w:rsidRDefault="005C04FE" w:rsidP="007F043B">
      <w:pPr>
        <w:pStyle w:val="Geenafstand"/>
        <w:spacing w:line="360" w:lineRule="auto"/>
        <w:jc w:val="both"/>
        <w:rPr>
          <w:rFonts w:ascii="Arial" w:hAnsi="Arial" w:cs="Arial"/>
          <w:lang w:val="en-GB"/>
        </w:rPr>
      </w:pPr>
    </w:p>
    <w:p w14:paraId="0A04925E" w14:textId="43E14612" w:rsidR="00F96665" w:rsidRPr="00F96665" w:rsidRDefault="00F96665" w:rsidP="00F96665">
      <w:pPr>
        <w:pStyle w:val="Kop2"/>
        <w:ind w:firstLine="0"/>
        <w:rPr>
          <w:rFonts w:ascii="Arial" w:hAnsi="Arial" w:cs="Arial"/>
          <w:color w:val="auto"/>
          <w:sz w:val="22"/>
          <w:szCs w:val="22"/>
          <w:u w:val="single"/>
          <w:lang w:val="en-GB"/>
        </w:rPr>
      </w:pPr>
      <w:bookmarkStart w:id="15" w:name="_Toc14016536"/>
      <w:r>
        <w:rPr>
          <w:rFonts w:ascii="Arial" w:hAnsi="Arial" w:cs="Arial"/>
          <w:color w:val="auto"/>
          <w:sz w:val="22"/>
          <w:szCs w:val="22"/>
          <w:u w:val="single"/>
          <w:lang w:val="en-GB"/>
        </w:rPr>
        <w:t xml:space="preserve">7.3 </w:t>
      </w:r>
      <w:r w:rsidRPr="00F96665">
        <w:rPr>
          <w:rFonts w:ascii="Arial" w:hAnsi="Arial" w:cs="Arial"/>
          <w:color w:val="auto"/>
          <w:sz w:val="22"/>
          <w:szCs w:val="22"/>
          <w:u w:val="single"/>
          <w:lang w:val="en-GB"/>
        </w:rPr>
        <w:t>Discussion</w:t>
      </w:r>
      <w:bookmarkEnd w:id="15"/>
    </w:p>
    <w:p w14:paraId="6C6FC469" w14:textId="1D857D3C" w:rsidR="00F96665" w:rsidRDefault="00F96665" w:rsidP="00F96665">
      <w:pPr>
        <w:pStyle w:val="Geenafstand"/>
        <w:spacing w:line="360" w:lineRule="auto"/>
        <w:jc w:val="both"/>
        <w:rPr>
          <w:rFonts w:ascii="Arial" w:hAnsi="Arial" w:cs="Arial"/>
          <w:lang w:val="en-GB"/>
        </w:rPr>
      </w:pPr>
      <w:r>
        <w:rPr>
          <w:rFonts w:ascii="Arial" w:hAnsi="Arial" w:cs="Arial"/>
          <w:lang w:val="en-GB"/>
        </w:rPr>
        <w:t xml:space="preserve">The results show that it is likely that the housing prices will decrease substantially, while the homeownership rate will remain constant after the policy reform in the Netherlands. Hence, the price the supply side of the market receives will decrease, while the quantity of houses sold will not change. This implies that the home interest mortgage deduction does not benefit the demand side of the market, because the housing subsidy leads to an increase in the housing prices such that the supply side of the market effectively receives this subsidy. </w:t>
      </w:r>
      <w:r w:rsidR="00B03FB0">
        <w:rPr>
          <w:rFonts w:ascii="Arial" w:hAnsi="Arial" w:cs="Arial"/>
          <w:lang w:val="en-GB"/>
        </w:rPr>
        <w:t>Hence, from the point of view of policy makers it is better to abolish this subsidy because it does not meet the desired goal</w:t>
      </w:r>
      <w:r w:rsidR="004D6FFA">
        <w:rPr>
          <w:rFonts w:ascii="Arial" w:hAnsi="Arial" w:cs="Arial"/>
          <w:lang w:val="en-GB"/>
        </w:rPr>
        <w:t xml:space="preserve"> of making homeownership more affordable</w:t>
      </w:r>
      <w:r w:rsidR="00B03FB0">
        <w:rPr>
          <w:rFonts w:ascii="Arial" w:hAnsi="Arial" w:cs="Arial"/>
          <w:lang w:val="en-GB"/>
        </w:rPr>
        <w:t xml:space="preserve">. </w:t>
      </w:r>
      <w:r>
        <w:rPr>
          <w:rFonts w:ascii="Arial" w:hAnsi="Arial" w:cs="Arial"/>
          <w:lang w:val="en-GB"/>
        </w:rPr>
        <w:t>At the same time, the decrease in overall house prices</w:t>
      </w:r>
      <w:r w:rsidR="004D6FFA">
        <w:rPr>
          <w:rFonts w:ascii="Arial" w:hAnsi="Arial" w:cs="Arial"/>
          <w:lang w:val="en-GB"/>
        </w:rPr>
        <w:t xml:space="preserve"> after the subsidy reduction</w:t>
      </w:r>
      <w:r>
        <w:rPr>
          <w:rFonts w:ascii="Arial" w:hAnsi="Arial" w:cs="Arial"/>
          <w:lang w:val="en-GB"/>
        </w:rPr>
        <w:t xml:space="preserve"> could make it more accessible for individuals in the lower income bracket to buy a house, which could be considered as a positive effect. </w:t>
      </w:r>
    </w:p>
    <w:p w14:paraId="16CEED0E" w14:textId="77777777" w:rsidR="00F96665" w:rsidRPr="00033800" w:rsidRDefault="00F96665" w:rsidP="00F96665">
      <w:pPr>
        <w:pStyle w:val="Geenafstand"/>
        <w:spacing w:line="360" w:lineRule="auto"/>
        <w:jc w:val="both"/>
        <w:rPr>
          <w:rFonts w:ascii="Arial" w:hAnsi="Arial" w:cs="Arial"/>
          <w:lang w:val="en-GB"/>
        </w:rPr>
      </w:pPr>
    </w:p>
    <w:p w14:paraId="1B68DDC6" w14:textId="77777777" w:rsidR="00F96665" w:rsidRPr="00033800" w:rsidRDefault="00F96665" w:rsidP="00F96665">
      <w:pPr>
        <w:pStyle w:val="Geenafstand"/>
        <w:spacing w:line="360" w:lineRule="auto"/>
        <w:jc w:val="both"/>
        <w:rPr>
          <w:rFonts w:ascii="Arial" w:hAnsi="Arial" w:cs="Arial"/>
          <w:lang w:val="en-GB"/>
        </w:rPr>
      </w:pPr>
      <w:r w:rsidRPr="00B377B8">
        <w:rPr>
          <w:rFonts w:ascii="Arial" w:hAnsi="Arial" w:cs="Arial"/>
          <w:lang w:val="en-GB"/>
        </w:rPr>
        <w:t>The findings of this research contribute to the existing literature because generally, the effect of a policy change is researched only after it is fully implemented. This is done for many other countries where a similar policy reform in implemented, such as England, France and Denmark.</w:t>
      </w:r>
      <w:r>
        <w:rPr>
          <w:rFonts w:ascii="Arial" w:hAnsi="Arial" w:cs="Arial"/>
          <w:lang w:val="en-GB"/>
        </w:rPr>
        <w:t xml:space="preserve"> However, it can be useful to predict what the potential effects might be for the different parties involved. </w:t>
      </w:r>
      <w:r w:rsidRPr="00B377B8">
        <w:rPr>
          <w:rFonts w:ascii="Arial" w:hAnsi="Arial" w:cs="Arial"/>
          <w:lang w:val="en-GB"/>
        </w:rPr>
        <w:t>The method used in this paper</w:t>
      </w:r>
      <w:r>
        <w:rPr>
          <w:rFonts w:ascii="Arial" w:hAnsi="Arial" w:cs="Arial"/>
          <w:lang w:val="en-GB"/>
        </w:rPr>
        <w:t xml:space="preserve"> could be used to predict the potential effects of other policy reforms. </w:t>
      </w:r>
    </w:p>
    <w:p w14:paraId="2110A470" w14:textId="77777777" w:rsidR="00F96665" w:rsidRDefault="00F96665" w:rsidP="00F96665">
      <w:pPr>
        <w:pStyle w:val="Geenafstand"/>
        <w:spacing w:line="360" w:lineRule="auto"/>
        <w:jc w:val="both"/>
        <w:rPr>
          <w:rFonts w:ascii="Arial" w:hAnsi="Arial" w:cs="Arial"/>
          <w:lang w:val="en-GB"/>
        </w:rPr>
      </w:pPr>
    </w:p>
    <w:p w14:paraId="30A6895B" w14:textId="21F441FC" w:rsidR="00F0162B" w:rsidRDefault="00F96665" w:rsidP="00F96665">
      <w:pPr>
        <w:pStyle w:val="Geenafstand"/>
        <w:spacing w:line="360" w:lineRule="auto"/>
        <w:jc w:val="both"/>
        <w:rPr>
          <w:rFonts w:ascii="Arial" w:hAnsi="Arial" w:cs="Arial"/>
          <w:lang w:val="en-GB"/>
        </w:rPr>
      </w:pPr>
      <w:r w:rsidRPr="00066067">
        <w:rPr>
          <w:rFonts w:ascii="Arial" w:hAnsi="Arial" w:cs="Arial"/>
          <w:lang w:val="en-GB"/>
        </w:rPr>
        <w:t>The findings for</w:t>
      </w:r>
      <w:r>
        <w:rPr>
          <w:rFonts w:ascii="Arial" w:hAnsi="Arial" w:cs="Arial"/>
          <w:lang w:val="en-GB"/>
        </w:rPr>
        <w:t xml:space="preserve"> this paper are only justified in case the development of the house price index up until the complete implementation of the policy reform in 2023 follows approximately the same linear trend as in the years 2013-2018. However, it could be the case that shocks or unexpected developments occur in the housing market that affect the housing prices.</w:t>
      </w:r>
      <w:r w:rsidR="004D6FFA">
        <w:rPr>
          <w:rFonts w:ascii="Arial" w:hAnsi="Arial" w:cs="Arial"/>
          <w:lang w:val="en-GB"/>
        </w:rPr>
        <w:t xml:space="preserve"> </w:t>
      </w:r>
      <w:r w:rsidR="004D6FFA">
        <w:rPr>
          <w:rFonts w:ascii="Arial" w:hAnsi="Arial" w:cs="Arial"/>
          <w:lang w:val="en-GB"/>
        </w:rPr>
        <w:lastRenderedPageBreak/>
        <w:t>Additionally, the policy reform is implemented gradually over the period 201</w:t>
      </w:r>
      <w:r w:rsidR="00270CD4">
        <w:rPr>
          <w:rFonts w:ascii="Arial" w:hAnsi="Arial" w:cs="Arial"/>
          <w:lang w:val="en-GB"/>
        </w:rPr>
        <w:t>7</w:t>
      </w:r>
      <w:r w:rsidR="004D6FFA">
        <w:rPr>
          <w:rFonts w:ascii="Arial" w:hAnsi="Arial" w:cs="Arial"/>
          <w:lang w:val="en-GB"/>
        </w:rPr>
        <w:t>-2023</w:t>
      </w:r>
      <w:r w:rsidR="00F0162B">
        <w:rPr>
          <w:rFonts w:ascii="Arial" w:hAnsi="Arial" w:cs="Arial"/>
          <w:lang w:val="en-GB"/>
        </w:rPr>
        <w:t xml:space="preserve">. In </w:t>
      </w:r>
      <w:r w:rsidR="004D6FFA">
        <w:rPr>
          <w:rFonts w:ascii="Arial" w:hAnsi="Arial" w:cs="Arial"/>
          <w:lang w:val="en-GB"/>
        </w:rPr>
        <w:t>this paper it is assumed that the reform only affects the housing prices in 2023</w:t>
      </w:r>
      <w:r w:rsidR="00F0162B">
        <w:rPr>
          <w:rFonts w:ascii="Arial" w:hAnsi="Arial" w:cs="Arial"/>
          <w:lang w:val="en-GB"/>
        </w:rPr>
        <w:t>. However, it could also be the case that the reform affects the housing prices gradually over the years 201</w:t>
      </w:r>
      <w:r w:rsidR="00270CD4">
        <w:rPr>
          <w:rFonts w:ascii="Arial" w:hAnsi="Arial" w:cs="Arial"/>
          <w:lang w:val="en-GB"/>
        </w:rPr>
        <w:t>7</w:t>
      </w:r>
      <w:r w:rsidR="00F0162B">
        <w:rPr>
          <w:rFonts w:ascii="Arial" w:hAnsi="Arial" w:cs="Arial"/>
          <w:lang w:val="en-GB"/>
        </w:rPr>
        <w:t xml:space="preserve">-2023. </w:t>
      </w:r>
    </w:p>
    <w:p w14:paraId="3E9E6BEB" w14:textId="77777777" w:rsidR="00F0162B" w:rsidRDefault="00F0162B" w:rsidP="00F96665">
      <w:pPr>
        <w:pStyle w:val="Geenafstand"/>
        <w:spacing w:line="360" w:lineRule="auto"/>
        <w:jc w:val="both"/>
        <w:rPr>
          <w:rFonts w:ascii="Arial" w:hAnsi="Arial" w:cs="Arial"/>
          <w:lang w:val="en-GB"/>
        </w:rPr>
      </w:pPr>
    </w:p>
    <w:p w14:paraId="1681164F" w14:textId="7FF03E99" w:rsidR="00F96665" w:rsidRDefault="00F96665" w:rsidP="00F96665">
      <w:pPr>
        <w:pStyle w:val="Geenafstand"/>
        <w:spacing w:line="360" w:lineRule="auto"/>
        <w:jc w:val="both"/>
        <w:rPr>
          <w:rFonts w:ascii="Arial" w:hAnsi="Arial" w:cs="Arial"/>
          <w:lang w:val="en-GB"/>
        </w:rPr>
      </w:pPr>
      <w:r>
        <w:rPr>
          <w:rFonts w:ascii="Arial" w:hAnsi="Arial" w:cs="Arial"/>
          <w:lang w:val="en-GB"/>
        </w:rPr>
        <w:t>Furthermore, this paper only takes on a partial analysis. This means that only the development within the housing market is considered, without looking into the development of other markets that might affect the housing market indirectly. For example, shocks in the construction or labour market could affect the housing prices substantially. It is hard to predict the developments of these interrelated markets and come to a general analysis of the economy, which is a limitation of this research.</w:t>
      </w:r>
    </w:p>
    <w:p w14:paraId="2C7B7162" w14:textId="77777777" w:rsidR="004D6FFA" w:rsidRDefault="004D6FFA" w:rsidP="00F96665">
      <w:pPr>
        <w:pStyle w:val="Geenafstand"/>
        <w:spacing w:line="360" w:lineRule="auto"/>
        <w:jc w:val="both"/>
        <w:rPr>
          <w:rFonts w:ascii="Arial" w:hAnsi="Arial" w:cs="Arial"/>
          <w:lang w:val="en-GB"/>
        </w:rPr>
      </w:pPr>
    </w:p>
    <w:p w14:paraId="02CA9BBA" w14:textId="77777777" w:rsidR="00F0162B" w:rsidRDefault="00F96665" w:rsidP="00F96665">
      <w:pPr>
        <w:pStyle w:val="Geenafstand"/>
        <w:spacing w:line="360" w:lineRule="auto"/>
        <w:jc w:val="both"/>
        <w:rPr>
          <w:rFonts w:ascii="Arial" w:hAnsi="Arial" w:cs="Arial"/>
          <w:lang w:val="en-GB"/>
        </w:rPr>
      </w:pPr>
      <w:r>
        <w:rPr>
          <w:rFonts w:ascii="Arial" w:hAnsi="Arial" w:cs="Arial"/>
          <w:lang w:val="en-GB"/>
        </w:rPr>
        <w:t xml:space="preserve">Another possible limitation is the fact that Denmark is used as a precedent to come to a prediction. The comparison of Denmark and the Netherlands in terms of economic development, population and housing policy reform shows that these countries are similar in these respects. This makes it plausible that the effect of the policy reform will also be similar, but it is important to keep in mind that the countries can still differ in some respects. A possible difference between the countries might be consumer trust. Denmark reformed the policy regarding home mortgage deductibility in the late 1980s, which is still prior to the financial crisis, whereas the Netherlands is only reforming this policy from 2017 onwards. The financial crisis could have negatively affected people’s perceptions on the housing market, which could make that consumers respond differently to this reform. For example, people could decide to buy less housing as a consequence, which could result in a further decrease in housing prices. </w:t>
      </w:r>
    </w:p>
    <w:p w14:paraId="6A7C8862" w14:textId="77777777" w:rsidR="00F0162B" w:rsidRDefault="00F0162B" w:rsidP="00F96665">
      <w:pPr>
        <w:pStyle w:val="Geenafstand"/>
        <w:spacing w:line="360" w:lineRule="auto"/>
        <w:jc w:val="both"/>
        <w:rPr>
          <w:rFonts w:ascii="Arial" w:hAnsi="Arial" w:cs="Arial"/>
          <w:lang w:val="en-GB"/>
        </w:rPr>
      </w:pPr>
    </w:p>
    <w:p w14:paraId="7141A252" w14:textId="45B9CB24" w:rsidR="00F96665" w:rsidRDefault="00F96665" w:rsidP="00F96665">
      <w:pPr>
        <w:pStyle w:val="Geenafstand"/>
        <w:spacing w:line="360" w:lineRule="auto"/>
        <w:jc w:val="both"/>
        <w:rPr>
          <w:rFonts w:ascii="Arial" w:hAnsi="Arial" w:cs="Arial"/>
          <w:lang w:val="en-GB"/>
        </w:rPr>
      </w:pPr>
      <w:r>
        <w:rPr>
          <w:rFonts w:ascii="Arial" w:hAnsi="Arial" w:cs="Arial"/>
          <w:lang w:val="en-GB"/>
        </w:rPr>
        <w:t xml:space="preserve">Additionally, the policy reform in Denmark was implemented at once while in the Netherlands home mortgage interest deduction is reduced gradually over a number of years. </w:t>
      </w:r>
      <w:r w:rsidR="00F0162B">
        <w:rPr>
          <w:rFonts w:ascii="Arial" w:hAnsi="Arial" w:cs="Arial"/>
          <w:lang w:val="en-GB"/>
        </w:rPr>
        <w:t xml:space="preserve">Furthermore, the policy reform in Denmark had a certain effect on all income brackets whereas in the Netherlands only the highest income bracket is affected by the reform. As a consequence, there might be a difference in the effect of the reform </w:t>
      </w:r>
      <w:r w:rsidR="00270CD4">
        <w:rPr>
          <w:rFonts w:ascii="Arial" w:hAnsi="Arial" w:cs="Arial"/>
          <w:lang w:val="en-GB"/>
        </w:rPr>
        <w:t>between</w:t>
      </w:r>
      <w:r w:rsidR="00F0162B">
        <w:rPr>
          <w:rFonts w:ascii="Arial" w:hAnsi="Arial" w:cs="Arial"/>
          <w:lang w:val="en-GB"/>
        </w:rPr>
        <w:t xml:space="preserve"> the countries. </w:t>
      </w:r>
    </w:p>
    <w:p w14:paraId="03B2F6CE" w14:textId="77777777" w:rsidR="00D31BCA" w:rsidRPr="008C278C" w:rsidRDefault="00D31BCA" w:rsidP="00F96665">
      <w:pPr>
        <w:pStyle w:val="Geenafstand"/>
        <w:spacing w:line="360" w:lineRule="auto"/>
        <w:jc w:val="both"/>
        <w:rPr>
          <w:rFonts w:ascii="Arial" w:hAnsi="Arial" w:cs="Arial"/>
          <w:lang w:val="en-GB"/>
        </w:rPr>
      </w:pPr>
    </w:p>
    <w:p w14:paraId="3A34C1DF" w14:textId="35998DB6" w:rsidR="009F2148" w:rsidRPr="00D31BCA" w:rsidRDefault="00F96665" w:rsidP="00D31BCA">
      <w:pPr>
        <w:pStyle w:val="Geenafstand"/>
        <w:spacing w:line="360" w:lineRule="auto"/>
        <w:jc w:val="both"/>
        <w:rPr>
          <w:rFonts w:ascii="Arial" w:hAnsi="Arial" w:cs="Arial"/>
          <w:lang w:val="en-GB"/>
        </w:rPr>
      </w:pPr>
      <w:r>
        <w:rPr>
          <w:rFonts w:ascii="Arial" w:hAnsi="Arial" w:cs="Arial"/>
          <w:lang w:val="en-GB"/>
        </w:rPr>
        <w:t xml:space="preserve">Furthermore, as mentioned in </w:t>
      </w:r>
      <w:r w:rsidR="00D31BCA">
        <w:rPr>
          <w:rFonts w:ascii="Arial" w:hAnsi="Arial" w:cs="Arial"/>
          <w:lang w:val="en-GB"/>
        </w:rPr>
        <w:t>Section 3</w:t>
      </w:r>
      <w:r>
        <w:rPr>
          <w:rFonts w:ascii="Arial" w:hAnsi="Arial" w:cs="Arial"/>
          <w:lang w:val="en-GB"/>
        </w:rPr>
        <w:t xml:space="preserve">, some economists still believe the supply side of the market is not fixed in the long run. If the supply side is responsive to a price change caused by a reduction in mortgage interest deduction, the total amount of housing sold would decrease and the effect on the equilibrium housing price would be minimal. If this is the case, then the homeownership rate would decrease and the house price index would remain stable, which makes the prediction inaccurate. </w:t>
      </w:r>
      <w:r w:rsidR="001B37AC">
        <w:rPr>
          <w:rFonts w:ascii="Arial" w:hAnsi="Arial" w:cs="Arial"/>
          <w:lang w:val="en-GB"/>
        </w:rPr>
        <w:t xml:space="preserve">However, the results found for Denmark by Gruber et al. (2018) speak against such a scenario, which makes that this concern is not of any great importance. </w:t>
      </w:r>
    </w:p>
    <w:p w14:paraId="14FE60F4" w14:textId="6A0A099E" w:rsidR="007F043B" w:rsidRPr="009F2148" w:rsidRDefault="009F2148" w:rsidP="009F2148">
      <w:pPr>
        <w:pStyle w:val="Kop1"/>
        <w:ind w:firstLine="0"/>
        <w:rPr>
          <w:rFonts w:ascii="Arial" w:eastAsiaTheme="minorHAnsi" w:hAnsi="Arial" w:cs="Arial"/>
          <w:b/>
          <w:bCs/>
          <w:color w:val="auto"/>
          <w:sz w:val="24"/>
          <w:szCs w:val="24"/>
          <w:lang w:val="en-GB"/>
        </w:rPr>
      </w:pPr>
      <w:bookmarkStart w:id="16" w:name="_Toc14016537"/>
      <w:r w:rsidRPr="009F2148">
        <w:rPr>
          <w:rFonts w:ascii="Arial" w:hAnsi="Arial" w:cs="Arial"/>
          <w:b/>
          <w:bCs/>
          <w:color w:val="auto"/>
          <w:sz w:val="24"/>
          <w:szCs w:val="24"/>
          <w:lang w:val="en-GB"/>
        </w:rPr>
        <w:lastRenderedPageBreak/>
        <w:t>8</w:t>
      </w:r>
      <w:r w:rsidR="007F043B" w:rsidRPr="009F2148">
        <w:rPr>
          <w:rFonts w:ascii="Arial" w:hAnsi="Arial" w:cs="Arial"/>
          <w:b/>
          <w:bCs/>
          <w:color w:val="auto"/>
          <w:sz w:val="24"/>
          <w:szCs w:val="24"/>
          <w:lang w:val="en-GB"/>
        </w:rPr>
        <w:t xml:space="preserve"> Conclusion</w:t>
      </w:r>
      <w:bookmarkEnd w:id="16"/>
    </w:p>
    <w:p w14:paraId="7DDA3B6A" w14:textId="77777777" w:rsidR="007F043B" w:rsidRDefault="007F043B" w:rsidP="007F043B">
      <w:pPr>
        <w:pStyle w:val="Geenafstand"/>
        <w:spacing w:line="360" w:lineRule="auto"/>
        <w:jc w:val="both"/>
        <w:rPr>
          <w:rFonts w:ascii="Arial" w:hAnsi="Arial" w:cs="Arial"/>
          <w:lang w:val="en-GB"/>
        </w:rPr>
      </w:pPr>
    </w:p>
    <w:p w14:paraId="38265C5A" w14:textId="7EECC3A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In this chapter, the main findings from this research are discussed and based on this, a conclusion can be drawn. In the conclusion, the main research question is answered and suggestions for future research are provided. </w:t>
      </w:r>
    </w:p>
    <w:p w14:paraId="43BECE7E" w14:textId="77777777" w:rsidR="00F96665" w:rsidRDefault="00F96665" w:rsidP="007F043B">
      <w:pPr>
        <w:pStyle w:val="Geenafstand"/>
        <w:spacing w:line="360" w:lineRule="auto"/>
        <w:jc w:val="both"/>
        <w:rPr>
          <w:rFonts w:ascii="Arial" w:hAnsi="Arial" w:cs="Arial"/>
          <w:u w:val="single"/>
          <w:lang w:val="en-GB"/>
        </w:rPr>
      </w:pPr>
    </w:p>
    <w:p w14:paraId="5BDEA54F" w14:textId="16C94DEA"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The main question to be answered in this paper is: </w:t>
      </w:r>
      <w:r w:rsidRPr="00FC24CA">
        <w:rPr>
          <w:rFonts w:ascii="Arial" w:hAnsi="Arial" w:cs="Arial"/>
          <w:lang w:val="en-GB"/>
        </w:rPr>
        <w:t>‘what is the effect of the decrease in home mortgage interest deduction on the average housing prices and homeownership in the Netherlands?’</w:t>
      </w:r>
      <w:r>
        <w:rPr>
          <w:rFonts w:ascii="Arial" w:hAnsi="Arial" w:cs="Arial"/>
          <w:lang w:val="en-GB"/>
        </w:rPr>
        <w:t xml:space="preserve"> This paper provides</w:t>
      </w:r>
      <w:r w:rsidRPr="00033800">
        <w:rPr>
          <w:rFonts w:ascii="Arial" w:hAnsi="Arial" w:cs="Arial"/>
          <w:lang w:val="en-GB"/>
        </w:rPr>
        <w:t xml:space="preserve"> a</w:t>
      </w:r>
      <w:r>
        <w:rPr>
          <w:rFonts w:ascii="Arial" w:hAnsi="Arial" w:cs="Arial"/>
          <w:lang w:val="en-GB"/>
        </w:rPr>
        <w:t>n answer to this research question by making a prediction</w:t>
      </w:r>
      <w:r w:rsidRPr="00033800">
        <w:rPr>
          <w:rFonts w:ascii="Arial" w:hAnsi="Arial" w:cs="Arial"/>
          <w:lang w:val="en-GB"/>
        </w:rPr>
        <w:t xml:space="preserve"> </w:t>
      </w:r>
      <w:r>
        <w:rPr>
          <w:rFonts w:ascii="Arial" w:hAnsi="Arial" w:cs="Arial"/>
          <w:lang w:val="en-GB"/>
        </w:rPr>
        <w:t xml:space="preserve">of the situation on the housing market after the policy reform. This prediction is based on economic theory and the effects found for a similar policy reform in Denmark. It is likely that the number of houses sold will remain constant on average, since the housing supply is considered to be fixed. This means that the homeownership rate will not be affected by the policy reform. Furthermore, the prediction states that the average housing prices will decrease substantially with approximately 10 percent. In conclusion, the decrease in home mortgage interest deduction will probably not have an effect on homeownership, but it is likely that it will negatively affect the house price index. </w:t>
      </w:r>
    </w:p>
    <w:p w14:paraId="07789CE5" w14:textId="77777777" w:rsidR="007F043B" w:rsidRPr="002D09B9" w:rsidRDefault="007F043B" w:rsidP="007F043B">
      <w:pPr>
        <w:pStyle w:val="Geenafstand"/>
        <w:spacing w:line="360" w:lineRule="auto"/>
        <w:jc w:val="both"/>
        <w:rPr>
          <w:rFonts w:ascii="Arial" w:hAnsi="Arial" w:cs="Arial"/>
          <w:lang w:val="en-GB"/>
        </w:rPr>
      </w:pPr>
    </w:p>
    <w:p w14:paraId="3927C4D3"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Based on this paper, some suggestions for future research can be provided.</w:t>
      </w:r>
      <w:r w:rsidRPr="00E40DE8">
        <w:rPr>
          <w:rFonts w:ascii="Arial" w:hAnsi="Arial" w:cs="Arial"/>
          <w:lang w:val="en-GB"/>
        </w:rPr>
        <w:t xml:space="preserve"> </w:t>
      </w:r>
      <w:r>
        <w:rPr>
          <w:rFonts w:ascii="Arial" w:hAnsi="Arial" w:cs="Arial"/>
          <w:lang w:val="en-GB"/>
        </w:rPr>
        <w:t>First of all, a</w:t>
      </w:r>
      <w:r w:rsidRPr="00E40DE8">
        <w:rPr>
          <w:rFonts w:ascii="Arial" w:hAnsi="Arial" w:cs="Arial"/>
          <w:lang w:val="en-GB"/>
        </w:rPr>
        <w:t xml:space="preserve">fter </w:t>
      </w:r>
      <w:r>
        <w:rPr>
          <w:rFonts w:ascii="Arial" w:hAnsi="Arial" w:cs="Arial"/>
          <w:lang w:val="en-GB"/>
        </w:rPr>
        <w:t xml:space="preserve">the </w:t>
      </w:r>
      <w:r w:rsidRPr="00E40DE8">
        <w:rPr>
          <w:rFonts w:ascii="Arial" w:hAnsi="Arial" w:cs="Arial"/>
          <w:lang w:val="en-GB"/>
        </w:rPr>
        <w:t>policy reform is fully i</w:t>
      </w:r>
      <w:r>
        <w:rPr>
          <w:rFonts w:ascii="Arial" w:hAnsi="Arial" w:cs="Arial"/>
          <w:lang w:val="en-GB"/>
        </w:rPr>
        <w:t xml:space="preserve">mplemented in the Netherlands, the effect of the reform on housing prices and homeownership rate can be estimated. This can be done using the difference-in-differences method as described in the methodology section. This estimated effect can be used to determine whether or not the prediction in this paper is accurate. </w:t>
      </w:r>
    </w:p>
    <w:p w14:paraId="45B69F01" w14:textId="77777777" w:rsidR="007F043B" w:rsidRDefault="007F043B" w:rsidP="007F043B">
      <w:pPr>
        <w:pStyle w:val="Geenafstand"/>
        <w:spacing w:line="360" w:lineRule="auto"/>
        <w:jc w:val="both"/>
        <w:rPr>
          <w:rFonts w:ascii="Arial" w:hAnsi="Arial" w:cs="Arial"/>
          <w:lang w:val="en-GB"/>
        </w:rPr>
      </w:pPr>
    </w:p>
    <w:p w14:paraId="09FEC6BA"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t xml:space="preserve">Additionally, this paper only predicts the effect on the average housing prices, but it could be interesting to research the effect on the housing prices for different housing segments. Since the policy reform only affects the individuals in the top income bracket, it could be that demand for large and luxurious houses decreases because individuals substitute these types of houses for less expensive houses. This would result in lower prices for large houses, which causes the decrease in the average housing prices.   </w:t>
      </w:r>
    </w:p>
    <w:p w14:paraId="0E1A8D7D" w14:textId="77777777" w:rsidR="007F043B" w:rsidRPr="00E40DE8" w:rsidRDefault="007F043B" w:rsidP="007F043B">
      <w:pPr>
        <w:pStyle w:val="Geenafstand"/>
        <w:spacing w:line="360" w:lineRule="auto"/>
        <w:jc w:val="both"/>
        <w:rPr>
          <w:rFonts w:ascii="Arial" w:hAnsi="Arial" w:cs="Arial"/>
          <w:lang w:val="en-GB"/>
        </w:rPr>
      </w:pPr>
      <w:r>
        <w:rPr>
          <w:rFonts w:ascii="Arial" w:hAnsi="Arial" w:cs="Arial"/>
          <w:lang w:val="en-GB"/>
        </w:rPr>
        <w:t xml:space="preserve">  </w:t>
      </w:r>
    </w:p>
    <w:p w14:paraId="2BB2A591" w14:textId="77777777" w:rsidR="007F043B" w:rsidRPr="00EC701B" w:rsidRDefault="007F043B" w:rsidP="007F043B">
      <w:pPr>
        <w:pStyle w:val="Geenafstand"/>
        <w:spacing w:line="360" w:lineRule="auto"/>
        <w:jc w:val="both"/>
        <w:rPr>
          <w:rFonts w:ascii="Arial" w:hAnsi="Arial" w:cs="Arial"/>
          <w:lang w:val="en-GB"/>
        </w:rPr>
      </w:pPr>
      <w:r>
        <w:rPr>
          <w:rFonts w:ascii="Arial" w:hAnsi="Arial" w:cs="Arial"/>
          <w:lang w:val="en-GB"/>
        </w:rPr>
        <w:t xml:space="preserve">Furthermore, the tax incidence for different types of subsidies and taxes should be researched, because there are other cases where taxes and subsidies are shifted from one side of the market to the other without actually benefitting the intended parties. As a consequence, these types of government policy only distort the market without actually achieving their intended goal. For example, subsidies on solar panels could only increase the prices without actually incentivising the usage of these panels and helping the environment. These types of research </w:t>
      </w:r>
      <w:r>
        <w:rPr>
          <w:rFonts w:ascii="Arial" w:hAnsi="Arial" w:cs="Arial"/>
          <w:lang w:val="en-GB"/>
        </w:rPr>
        <w:lastRenderedPageBreak/>
        <w:t xml:space="preserve">on the evaluation of policies could make that politicians and other stakeholders change their opinions on government intervention and this could have some important policy implications.  </w:t>
      </w:r>
    </w:p>
    <w:p w14:paraId="7F866524" w14:textId="77777777" w:rsidR="007F043B" w:rsidRPr="00EC701B" w:rsidRDefault="007F043B" w:rsidP="007F043B">
      <w:pPr>
        <w:pStyle w:val="Geenafstand"/>
        <w:spacing w:line="360" w:lineRule="auto"/>
        <w:jc w:val="both"/>
        <w:rPr>
          <w:rFonts w:ascii="Arial" w:hAnsi="Arial" w:cs="Arial"/>
          <w:b/>
          <w:bCs/>
          <w:lang w:val="en-GB"/>
        </w:rPr>
      </w:pPr>
    </w:p>
    <w:p w14:paraId="61E3227E" w14:textId="77777777" w:rsidR="007F043B" w:rsidRPr="00EC701B" w:rsidRDefault="007F043B" w:rsidP="007F043B">
      <w:pPr>
        <w:pStyle w:val="Geenafstand"/>
        <w:spacing w:line="360" w:lineRule="auto"/>
        <w:jc w:val="both"/>
        <w:rPr>
          <w:rFonts w:ascii="Arial" w:hAnsi="Arial" w:cs="Arial"/>
          <w:lang w:val="en-GB"/>
        </w:rPr>
      </w:pPr>
    </w:p>
    <w:p w14:paraId="61AF24E5" w14:textId="77777777" w:rsidR="007F043B" w:rsidRPr="00EC701B" w:rsidRDefault="007F043B" w:rsidP="007F043B">
      <w:pPr>
        <w:spacing w:after="160" w:line="259" w:lineRule="auto"/>
        <w:ind w:firstLine="0"/>
        <w:jc w:val="left"/>
        <w:rPr>
          <w:rFonts w:ascii="Arial" w:eastAsiaTheme="minorHAnsi" w:hAnsi="Arial" w:cs="Arial"/>
          <w:b/>
          <w:bCs/>
          <w:sz w:val="22"/>
          <w:szCs w:val="22"/>
          <w:lang w:val="en-GB"/>
        </w:rPr>
      </w:pPr>
      <w:r w:rsidRPr="00EC701B">
        <w:rPr>
          <w:rFonts w:ascii="Arial" w:hAnsi="Arial" w:cs="Arial"/>
          <w:b/>
          <w:bCs/>
          <w:lang w:val="en-GB"/>
        </w:rPr>
        <w:br w:type="page"/>
      </w:r>
    </w:p>
    <w:p w14:paraId="17275F54" w14:textId="77777777" w:rsidR="007F043B" w:rsidRPr="00F33413" w:rsidRDefault="007F043B" w:rsidP="007F043B">
      <w:pPr>
        <w:pStyle w:val="Kop1"/>
        <w:ind w:firstLine="0"/>
        <w:rPr>
          <w:rFonts w:ascii="Arial" w:hAnsi="Arial" w:cs="Arial"/>
          <w:b/>
          <w:bCs/>
          <w:color w:val="auto"/>
          <w:sz w:val="24"/>
          <w:szCs w:val="24"/>
          <w:lang w:val="en-GB"/>
        </w:rPr>
      </w:pPr>
      <w:bookmarkStart w:id="17" w:name="_Toc14016538"/>
      <w:r w:rsidRPr="00F33413">
        <w:rPr>
          <w:rFonts w:ascii="Arial" w:hAnsi="Arial" w:cs="Arial"/>
          <w:b/>
          <w:bCs/>
          <w:color w:val="auto"/>
          <w:sz w:val="24"/>
          <w:szCs w:val="24"/>
          <w:lang w:val="en-GB"/>
        </w:rPr>
        <w:lastRenderedPageBreak/>
        <w:t>Bibliography</w:t>
      </w:r>
      <w:bookmarkEnd w:id="17"/>
    </w:p>
    <w:p w14:paraId="5C80CFD6" w14:textId="77777777" w:rsidR="007F043B" w:rsidRPr="00FC24CA" w:rsidRDefault="007F043B" w:rsidP="007F043B">
      <w:pPr>
        <w:pStyle w:val="Geenafstand"/>
        <w:spacing w:line="360" w:lineRule="auto"/>
        <w:jc w:val="both"/>
        <w:rPr>
          <w:rFonts w:ascii="Arial" w:hAnsi="Arial" w:cs="Arial"/>
          <w:b/>
          <w:bCs/>
          <w:lang w:val="en-GB"/>
        </w:rPr>
      </w:pPr>
    </w:p>
    <w:p w14:paraId="54B23908" w14:textId="77777777" w:rsidR="007F043B" w:rsidRPr="00B9740F" w:rsidRDefault="007F043B" w:rsidP="007F043B">
      <w:pPr>
        <w:pStyle w:val="Bibliografie"/>
        <w:spacing w:line="240" w:lineRule="auto"/>
        <w:ind w:left="720" w:hanging="720"/>
        <w:rPr>
          <w:rFonts w:ascii="Arial" w:hAnsi="Arial" w:cs="Arial"/>
          <w:noProof/>
          <w:lang w:val="en-GB"/>
        </w:rPr>
      </w:pPr>
      <w:r w:rsidRPr="00F8562D">
        <w:rPr>
          <w:rFonts w:ascii="Arial" w:hAnsi="Arial" w:cs="Arial"/>
          <w:noProof/>
          <w:lang w:val="en-GB"/>
        </w:rPr>
        <w:t xml:space="preserve">Archarya, V., Richardson, M., Van Nieuwerburgh, S., &amp; White, L. (2011, August 16). White Picket Fence? Not So Fast. </w:t>
      </w:r>
      <w:r w:rsidRPr="00F8562D">
        <w:rPr>
          <w:rFonts w:ascii="Arial" w:hAnsi="Arial" w:cs="Arial"/>
          <w:i/>
          <w:iCs/>
          <w:noProof/>
          <w:lang w:val="en-GB"/>
        </w:rPr>
        <w:t>The New York Times</w:t>
      </w:r>
      <w:r w:rsidRPr="00F8562D">
        <w:rPr>
          <w:rFonts w:ascii="Arial" w:hAnsi="Arial" w:cs="Arial"/>
          <w:noProof/>
          <w:lang w:val="en-GB"/>
        </w:rPr>
        <w:t>, p. 23.</w:t>
      </w:r>
    </w:p>
    <w:p w14:paraId="5442BE26" w14:textId="77777777" w:rsidR="007F043B" w:rsidRPr="00A26290" w:rsidRDefault="007F043B" w:rsidP="007F043B">
      <w:pPr>
        <w:pStyle w:val="Bibliografie"/>
        <w:spacing w:line="360" w:lineRule="auto"/>
        <w:ind w:left="720" w:hanging="720"/>
        <w:rPr>
          <w:rFonts w:ascii="Arial" w:hAnsi="Arial" w:cs="Arial"/>
          <w:noProof/>
          <w:lang w:val="en-GB"/>
        </w:rPr>
      </w:pPr>
      <w:r w:rsidRPr="00FC24CA">
        <w:rPr>
          <w:rFonts w:ascii="Arial" w:hAnsi="Arial" w:cs="Arial"/>
          <w:noProof/>
          <w:lang w:val="en-GB"/>
        </w:rPr>
        <w:t xml:space="preserve">Boelhouwer, P., Haffner, M., Neuteboom, P., &amp; De Vries, P. (2004). </w:t>
      </w:r>
      <w:r w:rsidRPr="00A26290">
        <w:rPr>
          <w:rFonts w:ascii="Arial" w:hAnsi="Arial" w:cs="Arial"/>
          <w:noProof/>
          <w:lang w:val="en-GB"/>
        </w:rPr>
        <w:t xml:space="preserve">House Prices and Income Tax in the Netherlands: An International Perspective. </w:t>
      </w:r>
      <w:r w:rsidRPr="00A26290">
        <w:rPr>
          <w:rFonts w:ascii="Arial" w:hAnsi="Arial" w:cs="Arial"/>
          <w:i/>
          <w:iCs/>
          <w:noProof/>
          <w:lang w:val="en-GB"/>
        </w:rPr>
        <w:t>Housing Studies 19</w:t>
      </w:r>
      <w:r w:rsidRPr="00A26290">
        <w:rPr>
          <w:rFonts w:ascii="Arial" w:hAnsi="Arial" w:cs="Arial"/>
          <w:iCs/>
          <w:noProof/>
          <w:lang w:val="en-GB"/>
        </w:rPr>
        <w:t>(3)</w:t>
      </w:r>
      <w:r w:rsidRPr="00A26290">
        <w:rPr>
          <w:rFonts w:ascii="Arial" w:hAnsi="Arial" w:cs="Arial"/>
          <w:noProof/>
          <w:lang w:val="en-GB"/>
        </w:rPr>
        <w:t>, 415-432.</w:t>
      </w:r>
    </w:p>
    <w:p w14:paraId="1F859445" w14:textId="2BD7DF38" w:rsidR="007F043B" w:rsidRPr="00991E7C" w:rsidRDefault="007F043B" w:rsidP="007F043B">
      <w:pPr>
        <w:pStyle w:val="Bibliografie"/>
        <w:spacing w:line="360" w:lineRule="auto"/>
        <w:ind w:left="720" w:hanging="720"/>
        <w:rPr>
          <w:rFonts w:ascii="Arial" w:hAnsi="Arial" w:cs="Arial"/>
          <w:noProof/>
          <w:lang w:val="en-GB"/>
        </w:rPr>
      </w:pPr>
      <w:r w:rsidRPr="00A26290">
        <w:rPr>
          <w:rFonts w:ascii="Arial" w:hAnsi="Arial" w:cs="Arial"/>
          <w:noProof/>
          <w:lang w:val="en-GB"/>
        </w:rPr>
        <w:t xml:space="preserve">Gruber, J., Jensen, A., &amp; Kleven, H. (2018). </w:t>
      </w:r>
      <w:r w:rsidRPr="00A44539">
        <w:rPr>
          <w:rFonts w:ascii="Arial" w:hAnsi="Arial" w:cs="Arial"/>
          <w:i/>
          <w:iCs/>
          <w:noProof/>
          <w:lang w:val="en-GB"/>
        </w:rPr>
        <w:t xml:space="preserve">Do People Respond to the Mortgage Interest Deduction? </w:t>
      </w:r>
      <w:r w:rsidRPr="00991E7C">
        <w:rPr>
          <w:rFonts w:ascii="Arial" w:hAnsi="Arial" w:cs="Arial"/>
          <w:i/>
          <w:iCs/>
          <w:noProof/>
          <w:lang w:val="en-GB"/>
        </w:rPr>
        <w:t>Quasi-Experimental Evidence from Denmark</w:t>
      </w:r>
      <w:r w:rsidR="00A44539" w:rsidRPr="00991E7C">
        <w:rPr>
          <w:rFonts w:ascii="Arial" w:hAnsi="Arial" w:cs="Arial"/>
          <w:noProof/>
          <w:lang w:val="en-GB"/>
        </w:rPr>
        <w:t xml:space="preserve"> (NBER Working Paper No</w:t>
      </w:r>
      <w:r w:rsidRPr="00991E7C">
        <w:rPr>
          <w:rFonts w:ascii="Arial" w:hAnsi="Arial" w:cs="Arial"/>
          <w:noProof/>
          <w:lang w:val="en-GB"/>
        </w:rPr>
        <w:t>.</w:t>
      </w:r>
      <w:r w:rsidR="00A44539" w:rsidRPr="00991E7C">
        <w:rPr>
          <w:rFonts w:ascii="Arial" w:hAnsi="Arial" w:cs="Arial"/>
          <w:noProof/>
          <w:lang w:val="en-GB"/>
        </w:rPr>
        <w:t xml:space="preserve"> 23600). </w:t>
      </w:r>
    </w:p>
    <w:p w14:paraId="6295D416" w14:textId="77777777" w:rsidR="007F043B" w:rsidRPr="009F2148" w:rsidRDefault="007F043B" w:rsidP="007F043B">
      <w:pPr>
        <w:pStyle w:val="Bibliografie"/>
        <w:spacing w:line="360" w:lineRule="auto"/>
        <w:ind w:left="720" w:hanging="720"/>
        <w:rPr>
          <w:rStyle w:val="Hyperlink"/>
          <w:rFonts w:ascii="Arial" w:hAnsi="Arial" w:cs="Arial"/>
          <w:noProof/>
          <w:color w:val="auto"/>
          <w:lang w:val="en-GB"/>
        </w:rPr>
      </w:pPr>
      <w:r w:rsidRPr="00991E7C">
        <w:rPr>
          <w:rFonts w:ascii="Arial" w:hAnsi="Arial" w:cs="Arial"/>
          <w:noProof/>
          <w:lang w:val="en-GB"/>
        </w:rPr>
        <w:t xml:space="preserve">Jacobs, B. (2011, September 22). </w:t>
      </w:r>
      <w:r w:rsidRPr="00A26290">
        <w:rPr>
          <w:rFonts w:ascii="Arial" w:hAnsi="Arial" w:cs="Arial"/>
          <w:i/>
          <w:iCs/>
          <w:noProof/>
        </w:rPr>
        <w:t xml:space="preserve">Reader Fiscale Economie Afwenteling en Dood Gewicht </w:t>
      </w:r>
      <w:r w:rsidRPr="009F2148">
        <w:rPr>
          <w:rFonts w:ascii="Arial" w:hAnsi="Arial" w:cs="Arial"/>
          <w:i/>
          <w:iCs/>
          <w:noProof/>
        </w:rPr>
        <w:t>van Belastingen.</w:t>
      </w:r>
      <w:r w:rsidRPr="009F2148">
        <w:rPr>
          <w:rFonts w:ascii="Arial" w:hAnsi="Arial" w:cs="Arial"/>
          <w:noProof/>
        </w:rPr>
        <w:t xml:space="preserve"> </w:t>
      </w:r>
      <w:r w:rsidRPr="009F2148">
        <w:rPr>
          <w:rFonts w:ascii="Arial" w:hAnsi="Arial" w:cs="Arial"/>
          <w:noProof/>
          <w:lang w:val="en-GB"/>
        </w:rPr>
        <w:t xml:space="preserve">Retrieved from </w:t>
      </w:r>
      <w:hyperlink r:id="rId10" w:history="1">
        <w:r w:rsidRPr="00212BFC">
          <w:rPr>
            <w:rStyle w:val="Hyperlink"/>
            <w:rFonts w:ascii="Arial" w:hAnsi="Arial" w:cs="Arial"/>
            <w:noProof/>
            <w:color w:val="auto"/>
            <w:u w:val="none"/>
            <w:lang w:val="en-GB"/>
          </w:rPr>
          <w:t>https://personal.eur.nl/bjacobs/fiscale_economie_reader.pdf</w:t>
        </w:r>
      </w:hyperlink>
    </w:p>
    <w:p w14:paraId="28F63299" w14:textId="77777777" w:rsidR="007F043B" w:rsidRPr="009F2148" w:rsidRDefault="007F043B" w:rsidP="007F043B">
      <w:pPr>
        <w:pStyle w:val="Bibliografie"/>
        <w:spacing w:line="240" w:lineRule="auto"/>
        <w:ind w:left="720" w:hanging="720"/>
        <w:rPr>
          <w:rFonts w:ascii="Arial" w:hAnsi="Arial" w:cs="Arial"/>
          <w:noProof/>
        </w:rPr>
      </w:pPr>
      <w:r w:rsidRPr="009F2148">
        <w:rPr>
          <w:rFonts w:ascii="Arial" w:hAnsi="Arial" w:cs="Arial"/>
          <w:noProof/>
          <w:lang w:val="en-GB"/>
        </w:rPr>
        <w:t xml:space="preserve">Kromhout, B., &amp; Oving, R. (2008, July). </w:t>
      </w:r>
      <w:r w:rsidRPr="009F2148">
        <w:rPr>
          <w:rFonts w:ascii="Arial" w:hAnsi="Arial" w:cs="Arial"/>
          <w:noProof/>
        </w:rPr>
        <w:t xml:space="preserve">Geschiedenis van de hypotheekrenteaftrek . </w:t>
      </w:r>
      <w:r w:rsidRPr="009F2148">
        <w:rPr>
          <w:rFonts w:ascii="Arial" w:hAnsi="Arial" w:cs="Arial"/>
          <w:i/>
          <w:iCs/>
          <w:noProof/>
        </w:rPr>
        <w:t>Historisch Nieuwsblad</w:t>
      </w:r>
      <w:r w:rsidRPr="009F2148">
        <w:rPr>
          <w:rFonts w:ascii="Arial" w:hAnsi="Arial" w:cs="Arial"/>
          <w:noProof/>
        </w:rPr>
        <w:t>.</w:t>
      </w:r>
    </w:p>
    <w:p w14:paraId="07FFF2EC" w14:textId="77777777" w:rsidR="007F043B" w:rsidRPr="009F2148" w:rsidRDefault="007F043B" w:rsidP="007F043B">
      <w:pPr>
        <w:ind w:firstLine="0"/>
        <w:rPr>
          <w:rFonts w:ascii="Arial" w:hAnsi="Arial" w:cs="Arial"/>
          <w:i/>
          <w:sz w:val="22"/>
          <w:szCs w:val="22"/>
          <w:lang w:val="en-GB"/>
        </w:rPr>
      </w:pPr>
      <w:proofErr w:type="spellStart"/>
      <w:r w:rsidRPr="009F2148">
        <w:rPr>
          <w:rFonts w:ascii="Arial" w:hAnsi="Arial" w:cs="Arial"/>
          <w:sz w:val="22"/>
          <w:szCs w:val="22"/>
          <w:lang w:val="nl-NL"/>
        </w:rPr>
        <w:t>Lejour</w:t>
      </w:r>
      <w:proofErr w:type="spellEnd"/>
      <w:r w:rsidRPr="009F2148">
        <w:rPr>
          <w:rFonts w:ascii="Arial" w:hAnsi="Arial" w:cs="Arial"/>
          <w:sz w:val="22"/>
          <w:szCs w:val="22"/>
          <w:lang w:val="nl-NL"/>
        </w:rPr>
        <w:t xml:space="preserve">, A. (2016). </w:t>
      </w:r>
      <w:r w:rsidRPr="009F2148">
        <w:rPr>
          <w:rFonts w:ascii="Arial" w:hAnsi="Arial" w:cs="Arial"/>
          <w:i/>
          <w:sz w:val="22"/>
          <w:szCs w:val="22"/>
          <w:lang w:val="nl-NL"/>
        </w:rPr>
        <w:t>CPB Achtergronddocument: Een politiek-economische analyse van de</w:t>
      </w:r>
      <w:r w:rsidRPr="009F2148">
        <w:rPr>
          <w:rFonts w:ascii="Arial" w:hAnsi="Arial" w:cs="Arial"/>
          <w:i/>
          <w:sz w:val="22"/>
          <w:szCs w:val="22"/>
          <w:lang w:val="nl-NL"/>
        </w:rPr>
        <w:tab/>
        <w:t xml:space="preserve">groei en beperking van de hypotheekrenteaftrek. </w:t>
      </w:r>
      <w:r w:rsidRPr="009F2148">
        <w:rPr>
          <w:rFonts w:ascii="Arial" w:hAnsi="Arial" w:cs="Arial"/>
          <w:sz w:val="22"/>
          <w:szCs w:val="22"/>
          <w:lang w:val="en-GB"/>
        </w:rPr>
        <w:t xml:space="preserve">Retrieved from </w:t>
      </w:r>
      <w:r w:rsidRPr="009F2148">
        <w:rPr>
          <w:rFonts w:ascii="Arial" w:hAnsi="Arial" w:cs="Arial"/>
          <w:sz w:val="22"/>
          <w:szCs w:val="22"/>
          <w:lang w:val="en-GB"/>
        </w:rPr>
        <w:tab/>
        <w:t xml:space="preserve"> </w:t>
      </w:r>
      <w:r w:rsidRPr="009F2148">
        <w:rPr>
          <w:rFonts w:ascii="Arial" w:hAnsi="Arial" w:cs="Arial"/>
          <w:sz w:val="22"/>
          <w:szCs w:val="22"/>
          <w:lang w:val="en-GB"/>
        </w:rPr>
        <w:tab/>
      </w:r>
      <w:hyperlink r:id="rId11" w:history="1">
        <w:r w:rsidRPr="00212BFC">
          <w:rPr>
            <w:rStyle w:val="Hyperlink"/>
            <w:rFonts w:ascii="Arial" w:hAnsi="Arial" w:cs="Arial"/>
            <w:color w:val="auto"/>
            <w:sz w:val="22"/>
            <w:szCs w:val="22"/>
            <w:u w:val="none"/>
            <w:lang w:val="en-GB"/>
          </w:rPr>
          <w:t>https://www.cpb.nl/sites/default/files/omnidownload/CPB-Achtergronddocument-</w:t>
        </w:r>
      </w:hyperlink>
      <w:r w:rsidRPr="00212BFC">
        <w:rPr>
          <w:rFonts w:ascii="Arial" w:hAnsi="Arial" w:cs="Arial"/>
          <w:sz w:val="22"/>
          <w:szCs w:val="22"/>
          <w:lang w:val="en-GB"/>
        </w:rPr>
        <w:tab/>
        <w:t>30juni2016-Politiek-economische-analyse-van-groei-en-beperking-</w:t>
      </w:r>
      <w:r w:rsidRPr="00212BFC">
        <w:rPr>
          <w:rFonts w:ascii="Arial" w:hAnsi="Arial" w:cs="Arial"/>
          <w:sz w:val="22"/>
          <w:szCs w:val="22"/>
          <w:lang w:val="en-GB"/>
        </w:rPr>
        <w:tab/>
        <w:t>hypotheekrenteaftrek.pdf</w:t>
      </w:r>
      <w:r w:rsidRPr="009F2148">
        <w:rPr>
          <w:rFonts w:ascii="Arial" w:hAnsi="Arial" w:cs="Arial"/>
          <w:i/>
          <w:sz w:val="22"/>
          <w:szCs w:val="22"/>
          <w:lang w:val="en-GB"/>
        </w:rPr>
        <w:t xml:space="preserve"> </w:t>
      </w:r>
    </w:p>
    <w:p w14:paraId="01170B53" w14:textId="25FE8677" w:rsidR="007F043B" w:rsidRDefault="007F043B" w:rsidP="007F043B">
      <w:pPr>
        <w:pStyle w:val="Bibliografie"/>
        <w:spacing w:line="360" w:lineRule="auto"/>
        <w:ind w:left="720" w:hanging="720"/>
        <w:rPr>
          <w:rFonts w:ascii="Arial" w:hAnsi="Arial" w:cs="Arial"/>
          <w:noProof/>
          <w:lang w:val="en-GB"/>
        </w:rPr>
      </w:pPr>
      <w:r w:rsidRPr="009F2148">
        <w:rPr>
          <w:rFonts w:ascii="Arial" w:hAnsi="Arial" w:cs="Arial"/>
          <w:noProof/>
          <w:lang w:val="en-GB"/>
        </w:rPr>
        <w:t xml:space="preserve">Mann, R. (2000). The (Not So) Little House on the Prairie: The Hidden Costs of the Home Mortgage Interest Deduction. </w:t>
      </w:r>
      <w:r w:rsidRPr="009F2148">
        <w:rPr>
          <w:rFonts w:ascii="Arial" w:hAnsi="Arial" w:cs="Arial"/>
          <w:i/>
          <w:iCs/>
          <w:noProof/>
          <w:lang w:val="en-GB"/>
        </w:rPr>
        <w:t>Arizona State Law Journal</w:t>
      </w:r>
      <w:r w:rsidRPr="009F2148">
        <w:rPr>
          <w:rFonts w:ascii="Arial" w:hAnsi="Arial" w:cs="Arial"/>
          <w:noProof/>
          <w:lang w:val="en-GB"/>
        </w:rPr>
        <w:t>, 1347-1397.</w:t>
      </w:r>
    </w:p>
    <w:p w14:paraId="30794133" w14:textId="2A7CC959" w:rsidR="00E013D9" w:rsidRPr="00907F66" w:rsidRDefault="00E013D9" w:rsidP="00F15B29">
      <w:pPr>
        <w:ind w:firstLine="0"/>
        <w:jc w:val="left"/>
        <w:rPr>
          <w:rFonts w:ascii="Arial" w:hAnsi="Arial" w:cs="Arial"/>
          <w:sz w:val="22"/>
          <w:szCs w:val="22"/>
          <w:u w:val="single"/>
          <w:lang w:val="en-GB"/>
        </w:rPr>
      </w:pPr>
      <w:r>
        <w:rPr>
          <w:rFonts w:ascii="Arial" w:hAnsi="Arial" w:cs="Arial"/>
          <w:sz w:val="22"/>
          <w:szCs w:val="22"/>
          <w:lang w:val="en-GB"/>
        </w:rPr>
        <w:t xml:space="preserve">OECD (2018). </w:t>
      </w:r>
      <w:r w:rsidR="000C2250" w:rsidRPr="00907F66">
        <w:rPr>
          <w:rFonts w:ascii="Arial" w:hAnsi="Arial" w:cs="Arial"/>
          <w:i/>
          <w:iCs/>
          <w:sz w:val="22"/>
          <w:szCs w:val="22"/>
          <w:lang w:val="en-GB"/>
        </w:rPr>
        <w:t>Tax Policy Reforms in Denmark</w:t>
      </w:r>
      <w:r w:rsidR="000C2250">
        <w:rPr>
          <w:rFonts w:ascii="Arial" w:hAnsi="Arial" w:cs="Arial"/>
          <w:sz w:val="22"/>
          <w:szCs w:val="22"/>
          <w:lang w:val="en-GB"/>
        </w:rPr>
        <w:t xml:space="preserve">. </w:t>
      </w:r>
      <w:r w:rsidR="00907F66">
        <w:rPr>
          <w:rFonts w:ascii="Arial" w:hAnsi="Arial" w:cs="Arial"/>
          <w:sz w:val="22"/>
          <w:szCs w:val="22"/>
          <w:lang w:val="en-GB"/>
        </w:rPr>
        <w:t xml:space="preserve">Retrieved from </w:t>
      </w:r>
      <w:r w:rsidR="00907F66">
        <w:rPr>
          <w:rFonts w:ascii="Arial" w:hAnsi="Arial" w:cs="Arial"/>
          <w:sz w:val="22"/>
          <w:szCs w:val="22"/>
          <w:lang w:val="en-GB"/>
        </w:rPr>
        <w:tab/>
      </w:r>
      <w:r w:rsidR="00907F66" w:rsidRPr="00212BFC">
        <w:rPr>
          <w:rFonts w:ascii="Arial" w:hAnsi="Arial" w:cs="Arial"/>
          <w:sz w:val="22"/>
          <w:szCs w:val="22"/>
          <w:lang w:val="en-GB"/>
        </w:rPr>
        <w:t>https://www.oecd.org/tax/tax-policy/37154664.pdf</w:t>
      </w:r>
    </w:p>
    <w:p w14:paraId="6C1A1C7B" w14:textId="77777777" w:rsidR="007F043B" w:rsidRPr="009F2148" w:rsidRDefault="007F043B" w:rsidP="007F043B">
      <w:pPr>
        <w:pStyle w:val="Bibliografie"/>
        <w:spacing w:line="360" w:lineRule="auto"/>
        <w:ind w:left="720" w:hanging="720"/>
        <w:rPr>
          <w:rFonts w:ascii="Arial" w:hAnsi="Arial" w:cs="Arial"/>
          <w:noProof/>
          <w:lang w:val="en-GB"/>
        </w:rPr>
      </w:pPr>
      <w:r w:rsidRPr="009F2148">
        <w:rPr>
          <w:rFonts w:ascii="Arial" w:hAnsi="Arial" w:cs="Arial"/>
          <w:noProof/>
          <w:lang w:val="en-GB"/>
        </w:rPr>
        <w:t xml:space="preserve">Poterba, J. (1992). Taxation and housing: old questions, new answers. </w:t>
      </w:r>
      <w:r w:rsidRPr="009F2148">
        <w:rPr>
          <w:rFonts w:ascii="Arial" w:hAnsi="Arial" w:cs="Arial"/>
          <w:i/>
          <w:iCs/>
          <w:noProof/>
          <w:lang w:val="en-GB"/>
        </w:rPr>
        <w:t>The American Economic Review 82</w:t>
      </w:r>
      <w:r w:rsidRPr="009F2148">
        <w:rPr>
          <w:rFonts w:ascii="Arial" w:hAnsi="Arial" w:cs="Arial"/>
          <w:iCs/>
          <w:noProof/>
          <w:lang w:val="en-GB"/>
        </w:rPr>
        <w:t>(2)</w:t>
      </w:r>
      <w:r w:rsidRPr="009F2148">
        <w:rPr>
          <w:rFonts w:ascii="Arial" w:hAnsi="Arial" w:cs="Arial"/>
          <w:noProof/>
          <w:lang w:val="en-GB"/>
        </w:rPr>
        <w:t>, 237-242.</w:t>
      </w:r>
    </w:p>
    <w:p w14:paraId="40C396C4" w14:textId="77777777" w:rsidR="007F043B" w:rsidRPr="009F2148" w:rsidRDefault="007F043B" w:rsidP="007F043B">
      <w:pPr>
        <w:pStyle w:val="Bibliografie"/>
        <w:spacing w:line="360" w:lineRule="auto"/>
        <w:ind w:left="720" w:hanging="720"/>
        <w:rPr>
          <w:rStyle w:val="Hyperlink"/>
          <w:rFonts w:ascii="Arial" w:hAnsi="Arial" w:cs="Arial"/>
          <w:noProof/>
          <w:color w:val="auto"/>
          <w:lang w:val="en-GB"/>
        </w:rPr>
      </w:pPr>
      <w:r w:rsidRPr="009F2148">
        <w:rPr>
          <w:rFonts w:ascii="Arial" w:hAnsi="Arial" w:cs="Arial"/>
          <w:noProof/>
          <w:lang w:val="en-GB"/>
        </w:rPr>
        <w:t xml:space="preserve">Rijksoverheid (2018, September 18). </w:t>
      </w:r>
      <w:r w:rsidRPr="009F2148">
        <w:rPr>
          <w:rFonts w:ascii="Arial" w:hAnsi="Arial" w:cs="Arial"/>
          <w:i/>
          <w:iCs/>
          <w:noProof/>
          <w:lang w:val="en-GB"/>
        </w:rPr>
        <w:t>Belastingplan 2019</w:t>
      </w:r>
      <w:r w:rsidRPr="009F2148">
        <w:rPr>
          <w:rFonts w:ascii="Arial" w:hAnsi="Arial" w:cs="Arial"/>
          <w:noProof/>
          <w:lang w:val="en-GB"/>
        </w:rPr>
        <w:t xml:space="preserve">. Retrieved from Verlaging tarief aftrekposten voor hogere inkomens: </w:t>
      </w:r>
      <w:hyperlink r:id="rId12" w:history="1">
        <w:r w:rsidRPr="00212BFC">
          <w:rPr>
            <w:rStyle w:val="Hyperlink"/>
            <w:rFonts w:ascii="Arial" w:hAnsi="Arial" w:cs="Arial"/>
            <w:noProof/>
            <w:color w:val="auto"/>
            <w:u w:val="none"/>
            <w:lang w:val="en-GB"/>
          </w:rPr>
          <w:t>https://www.rijksoverheid.nl/onderwerpen/belastingplan/belastingwijzigingen-voor-ons-allemaal/verlaging-tarief-aftrekposten-hogere-inkomens</w:t>
        </w:r>
      </w:hyperlink>
    </w:p>
    <w:p w14:paraId="2A7BBACA" w14:textId="4E430607" w:rsidR="007F043B" w:rsidRDefault="007F043B" w:rsidP="007F043B">
      <w:pPr>
        <w:pStyle w:val="Geenafstand"/>
        <w:spacing w:line="360" w:lineRule="auto"/>
        <w:rPr>
          <w:rFonts w:ascii="Arial" w:hAnsi="Arial" w:cs="Arial"/>
        </w:rPr>
      </w:pPr>
      <w:r w:rsidRPr="009F2148">
        <w:rPr>
          <w:rFonts w:ascii="Arial" w:hAnsi="Arial" w:cs="Arial"/>
        </w:rPr>
        <w:t xml:space="preserve">Rijksoverheid (2019). </w:t>
      </w:r>
      <w:r w:rsidRPr="009F2148">
        <w:rPr>
          <w:rFonts w:ascii="Arial" w:hAnsi="Arial" w:cs="Arial"/>
          <w:i/>
          <w:iCs/>
        </w:rPr>
        <w:t xml:space="preserve">Soorten Inkomstenbelasting. </w:t>
      </w:r>
      <w:proofErr w:type="spellStart"/>
      <w:r w:rsidRPr="009F2148">
        <w:rPr>
          <w:rFonts w:ascii="Arial" w:hAnsi="Arial" w:cs="Arial"/>
        </w:rPr>
        <w:t>Retrieved</w:t>
      </w:r>
      <w:proofErr w:type="spellEnd"/>
      <w:r w:rsidRPr="009F2148">
        <w:rPr>
          <w:rFonts w:ascii="Arial" w:hAnsi="Arial" w:cs="Arial"/>
        </w:rPr>
        <w:t xml:space="preserve"> </w:t>
      </w:r>
      <w:proofErr w:type="spellStart"/>
      <w:r w:rsidRPr="009F2148">
        <w:rPr>
          <w:rFonts w:ascii="Arial" w:hAnsi="Arial" w:cs="Arial"/>
        </w:rPr>
        <w:t>from</w:t>
      </w:r>
      <w:proofErr w:type="spellEnd"/>
      <w:r w:rsidRPr="009F2148">
        <w:rPr>
          <w:rFonts w:ascii="Arial" w:hAnsi="Arial" w:cs="Arial"/>
        </w:rPr>
        <w:t xml:space="preserve"> </w:t>
      </w:r>
      <w:r w:rsidRPr="009F2148">
        <w:rPr>
          <w:rFonts w:ascii="Arial" w:hAnsi="Arial" w:cs="Arial"/>
        </w:rPr>
        <w:tab/>
      </w:r>
      <w:hyperlink r:id="rId13" w:history="1">
        <w:r w:rsidRPr="00212BFC">
          <w:rPr>
            <w:rStyle w:val="Hyperlink"/>
            <w:rFonts w:ascii="Arial" w:hAnsi="Arial" w:cs="Arial"/>
            <w:color w:val="auto"/>
            <w:u w:val="none"/>
          </w:rPr>
          <w:t>https://www.rijksoverheid.nl/onderwerpen/inkomstenbelasting/soorten-</w:t>
        </w:r>
      </w:hyperlink>
      <w:r w:rsidRPr="00212BFC">
        <w:rPr>
          <w:rFonts w:ascii="Arial" w:hAnsi="Arial" w:cs="Arial"/>
        </w:rPr>
        <w:tab/>
        <w:t>inkomstenbelasting</w:t>
      </w:r>
    </w:p>
    <w:p w14:paraId="7C4B0DA3" w14:textId="77777777" w:rsidR="00A44539" w:rsidRDefault="00A44539" w:rsidP="007F043B">
      <w:pPr>
        <w:pStyle w:val="Geenafstand"/>
        <w:spacing w:line="360" w:lineRule="auto"/>
        <w:rPr>
          <w:rFonts w:ascii="Arial" w:hAnsi="Arial" w:cs="Arial"/>
        </w:rPr>
      </w:pPr>
    </w:p>
    <w:p w14:paraId="3530ADA9" w14:textId="395617EA" w:rsidR="00A44539" w:rsidRDefault="007F043B" w:rsidP="00A44539">
      <w:pPr>
        <w:pStyle w:val="Bibliografie"/>
        <w:spacing w:line="240" w:lineRule="auto"/>
        <w:ind w:left="720" w:hanging="720"/>
        <w:rPr>
          <w:rFonts w:ascii="Arial" w:hAnsi="Arial" w:cs="Arial"/>
          <w:noProof/>
          <w:lang w:val="en-GB"/>
        </w:rPr>
      </w:pPr>
      <w:r w:rsidRPr="00F8562D">
        <w:rPr>
          <w:rFonts w:ascii="Arial" w:hAnsi="Arial" w:cs="Arial"/>
          <w:noProof/>
        </w:rPr>
        <w:lastRenderedPageBreak/>
        <w:t xml:space="preserve">van der Heijden, H., Dol, K., &amp; Oxley, M. (2011). </w:t>
      </w:r>
      <w:r w:rsidRPr="00F8562D">
        <w:rPr>
          <w:rFonts w:ascii="Arial" w:hAnsi="Arial" w:cs="Arial"/>
          <w:noProof/>
          <w:lang w:val="en-GB"/>
        </w:rPr>
        <w:t xml:space="preserve">Western European housing systems and the impact of the international financial crisis. </w:t>
      </w:r>
      <w:r w:rsidRPr="00FC24CA">
        <w:rPr>
          <w:rFonts w:ascii="Arial" w:hAnsi="Arial" w:cs="Arial"/>
          <w:i/>
          <w:iCs/>
          <w:noProof/>
          <w:lang w:val="en-GB"/>
        </w:rPr>
        <w:t>Journal of Housing and the Built Environment 26</w:t>
      </w:r>
      <w:r w:rsidRPr="00FC24CA">
        <w:rPr>
          <w:rFonts w:ascii="Arial" w:hAnsi="Arial" w:cs="Arial"/>
          <w:iCs/>
          <w:noProof/>
          <w:lang w:val="en-GB"/>
        </w:rPr>
        <w:t>(3)</w:t>
      </w:r>
      <w:r w:rsidRPr="00FC24CA">
        <w:rPr>
          <w:rFonts w:ascii="Arial" w:hAnsi="Arial" w:cs="Arial"/>
          <w:noProof/>
          <w:lang w:val="en-GB"/>
        </w:rPr>
        <w:t>, 295-313.</w:t>
      </w:r>
    </w:p>
    <w:p w14:paraId="535195BD" w14:textId="77777777" w:rsidR="00A44539" w:rsidRPr="00991E7C" w:rsidRDefault="00A44539" w:rsidP="00A44539">
      <w:pPr>
        <w:pStyle w:val="Geenafstand"/>
        <w:rPr>
          <w:lang w:val="en-GB"/>
        </w:rPr>
      </w:pPr>
    </w:p>
    <w:p w14:paraId="589110F4" w14:textId="77777777" w:rsidR="007F043B" w:rsidRPr="00A26290" w:rsidRDefault="007F043B" w:rsidP="007F043B">
      <w:pPr>
        <w:pStyle w:val="Geenafstand"/>
        <w:spacing w:line="360" w:lineRule="auto"/>
        <w:rPr>
          <w:rFonts w:ascii="Arial" w:hAnsi="Arial" w:cs="Arial"/>
          <w:lang w:val="en-GB"/>
        </w:rPr>
      </w:pPr>
      <w:proofErr w:type="spellStart"/>
      <w:r w:rsidRPr="00A26290">
        <w:rPr>
          <w:rFonts w:ascii="Arial" w:hAnsi="Arial" w:cs="Arial"/>
          <w:lang w:val="en-GB"/>
        </w:rPr>
        <w:t>Voigtländer</w:t>
      </w:r>
      <w:proofErr w:type="spellEnd"/>
      <w:r w:rsidRPr="00A26290">
        <w:rPr>
          <w:rFonts w:ascii="Arial" w:hAnsi="Arial" w:cs="Arial"/>
          <w:lang w:val="en-GB"/>
        </w:rPr>
        <w:t xml:space="preserve">, M. (2009). Why is the German Homeownership Rate so Low? </w:t>
      </w:r>
      <w:r w:rsidRPr="00A26290">
        <w:rPr>
          <w:rFonts w:ascii="Arial" w:hAnsi="Arial" w:cs="Arial"/>
          <w:i/>
          <w:lang w:val="en-GB"/>
        </w:rPr>
        <w:t xml:space="preserve">Housing Studies </w:t>
      </w:r>
      <w:r w:rsidRPr="00A26290">
        <w:rPr>
          <w:rFonts w:ascii="Arial" w:hAnsi="Arial" w:cs="Arial"/>
          <w:i/>
          <w:lang w:val="en-GB"/>
        </w:rPr>
        <w:tab/>
        <w:t>24</w:t>
      </w:r>
      <w:r w:rsidRPr="00A26290">
        <w:rPr>
          <w:rFonts w:ascii="Arial" w:hAnsi="Arial" w:cs="Arial"/>
          <w:lang w:val="en-GB"/>
        </w:rPr>
        <w:t>(3), 355-372.</w:t>
      </w:r>
    </w:p>
    <w:p w14:paraId="50443C21" w14:textId="77777777" w:rsidR="007F043B" w:rsidRDefault="007F043B" w:rsidP="007F043B">
      <w:pPr>
        <w:pStyle w:val="Geenafstand"/>
        <w:spacing w:line="360" w:lineRule="auto"/>
        <w:jc w:val="both"/>
        <w:rPr>
          <w:rFonts w:ascii="Arial" w:hAnsi="Arial" w:cs="Arial"/>
          <w:b/>
          <w:bCs/>
          <w:lang w:val="en-GB"/>
        </w:rPr>
      </w:pPr>
      <w:r>
        <w:rPr>
          <w:rFonts w:ascii="Arial" w:hAnsi="Arial" w:cs="Arial"/>
          <w:b/>
          <w:bCs/>
          <w:lang w:val="en-GB"/>
        </w:rPr>
        <w:t xml:space="preserve"> </w:t>
      </w:r>
    </w:p>
    <w:p w14:paraId="64C38F82" w14:textId="77777777" w:rsidR="007F043B" w:rsidRDefault="007F043B" w:rsidP="007F043B">
      <w:pPr>
        <w:spacing w:after="160" w:line="259" w:lineRule="auto"/>
        <w:ind w:firstLine="0"/>
        <w:jc w:val="left"/>
        <w:rPr>
          <w:rFonts w:ascii="Arial" w:eastAsiaTheme="minorHAnsi" w:hAnsi="Arial" w:cs="Arial"/>
          <w:b/>
          <w:bCs/>
          <w:sz w:val="22"/>
          <w:szCs w:val="22"/>
          <w:lang w:val="en-GB"/>
        </w:rPr>
      </w:pPr>
      <w:r>
        <w:rPr>
          <w:rFonts w:ascii="Arial" w:hAnsi="Arial" w:cs="Arial"/>
          <w:b/>
          <w:bCs/>
          <w:lang w:val="en-GB"/>
        </w:rPr>
        <w:br w:type="page"/>
      </w:r>
    </w:p>
    <w:p w14:paraId="3D65600B" w14:textId="77777777" w:rsidR="007F043B" w:rsidRPr="00F33413" w:rsidRDefault="007F043B" w:rsidP="007F043B">
      <w:pPr>
        <w:pStyle w:val="Kop1"/>
        <w:rPr>
          <w:rFonts w:ascii="Arial" w:eastAsiaTheme="minorHAnsi" w:hAnsi="Arial" w:cs="Arial"/>
          <w:b/>
          <w:bCs/>
          <w:sz w:val="24"/>
          <w:szCs w:val="24"/>
          <w:lang w:val="en-GB"/>
        </w:rPr>
      </w:pPr>
      <w:bookmarkStart w:id="18" w:name="_Toc14016539"/>
      <w:r w:rsidRPr="00F33413">
        <w:rPr>
          <w:rFonts w:ascii="Arial" w:eastAsiaTheme="minorHAnsi" w:hAnsi="Arial" w:cs="Arial"/>
          <w:b/>
          <w:bCs/>
          <w:noProof/>
          <w:color w:val="auto"/>
          <w:sz w:val="24"/>
          <w:szCs w:val="24"/>
          <w:lang w:val="nl-NL"/>
        </w:rPr>
        <w:lastRenderedPageBreak/>
        <mc:AlternateContent>
          <mc:Choice Requires="wps">
            <w:drawing>
              <wp:anchor distT="0" distB="0" distL="114300" distR="114300" simplePos="0" relativeHeight="251673600" behindDoc="0" locked="0" layoutInCell="1" allowOverlap="1" wp14:anchorId="25D0A1CC" wp14:editId="4FDBD52B">
                <wp:simplePos x="0" y="0"/>
                <wp:positionH relativeFrom="margin">
                  <wp:align>center</wp:align>
                </wp:positionH>
                <wp:positionV relativeFrom="paragraph">
                  <wp:posOffset>3838575</wp:posOffset>
                </wp:positionV>
                <wp:extent cx="2508250" cy="635"/>
                <wp:effectExtent l="0" t="0" r="6350" b="0"/>
                <wp:wrapTopAndBottom/>
                <wp:docPr id="10" name="Tekstvak 10"/>
                <wp:cNvGraphicFramePr/>
                <a:graphic xmlns:a="http://schemas.openxmlformats.org/drawingml/2006/main">
                  <a:graphicData uri="http://schemas.microsoft.com/office/word/2010/wordprocessingShape">
                    <wps:wsp>
                      <wps:cNvSpPr txBox="1"/>
                      <wps:spPr>
                        <a:xfrm>
                          <a:off x="0" y="0"/>
                          <a:ext cx="2508250" cy="635"/>
                        </a:xfrm>
                        <a:prstGeom prst="rect">
                          <a:avLst/>
                        </a:prstGeom>
                        <a:solidFill>
                          <a:prstClr val="white"/>
                        </a:solidFill>
                        <a:ln>
                          <a:noFill/>
                        </a:ln>
                      </wps:spPr>
                      <wps:txbx>
                        <w:txbxContent>
                          <w:p w14:paraId="6191012F" w14:textId="77777777" w:rsidR="00BD50E1" w:rsidRPr="00D05410" w:rsidRDefault="00BD50E1" w:rsidP="007F043B">
                            <w:pPr>
                              <w:pStyle w:val="Bijschrift"/>
                              <w:rPr>
                                <w:rFonts w:ascii="Arial" w:hAnsi="Arial" w:cs="Arial"/>
                                <w:noProof/>
                                <w:color w:val="auto"/>
                                <w:sz w:val="20"/>
                              </w:rPr>
                            </w:pPr>
                            <w:r>
                              <w:rPr>
                                <w:rFonts w:ascii="Arial" w:hAnsi="Arial" w:cs="Arial"/>
                                <w:color w:val="auto"/>
                                <w:sz w:val="20"/>
                              </w:rPr>
                              <w:t xml:space="preserve">Source: </w:t>
                            </w:r>
                            <w:proofErr w:type="spellStart"/>
                            <w:r>
                              <w:rPr>
                                <w:rFonts w:ascii="Arial" w:hAnsi="Arial" w:cs="Arial"/>
                                <w:color w:val="auto"/>
                                <w:sz w:val="20"/>
                              </w:rPr>
                              <w:t>Gruber</w:t>
                            </w:r>
                            <w:proofErr w:type="spellEnd"/>
                            <w:r>
                              <w:rPr>
                                <w:rFonts w:ascii="Arial" w:hAnsi="Arial" w:cs="Arial"/>
                                <w:color w:val="auto"/>
                                <w:sz w:val="20"/>
                              </w:rPr>
                              <w:t>, Jensen &amp; Kleven,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D0A1CC" id="Tekstvak 10" o:spid="_x0000_s1030" type="#_x0000_t202" style="position:absolute;left:0;text-align:left;margin-left:0;margin-top:302.25pt;width:197.5pt;height:.05pt;z-index:2516736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" stroked="f">
                <v:textbox style="mso-fit-shape-to-text:t" inset="0,0,0,0">
                  <w:txbxContent>
                    <w:p w14:paraId="6191012F" w14:textId="77777777" w:rsidR="00BD50E1" w:rsidRPr="00D05410" w:rsidRDefault="00BD50E1" w:rsidP="007F043B">
                      <w:pPr>
                        <w:pStyle w:val="Bijschrift"/>
                        <w:rPr>
                          <w:rFonts w:ascii="Arial" w:hAnsi="Arial" w:cs="Arial"/>
                          <w:noProof/>
                          <w:color w:val="auto"/>
                          <w:sz w:val="20"/>
                        </w:rPr>
                      </w:pPr>
                      <w:r>
                        <w:rPr>
                          <w:rFonts w:ascii="Arial" w:hAnsi="Arial" w:cs="Arial"/>
                          <w:color w:val="auto"/>
                          <w:sz w:val="20"/>
                        </w:rPr>
                        <w:t xml:space="preserve">Source: </w:t>
                      </w:r>
                      <w:proofErr w:type="spellStart"/>
                      <w:r>
                        <w:rPr>
                          <w:rFonts w:ascii="Arial" w:hAnsi="Arial" w:cs="Arial"/>
                          <w:color w:val="auto"/>
                          <w:sz w:val="20"/>
                        </w:rPr>
                        <w:t>Gruber</w:t>
                      </w:r>
                      <w:proofErr w:type="spellEnd"/>
                      <w:r>
                        <w:rPr>
                          <w:rFonts w:ascii="Arial" w:hAnsi="Arial" w:cs="Arial"/>
                          <w:color w:val="auto"/>
                          <w:sz w:val="20"/>
                        </w:rPr>
                        <w:t>, Jensen &amp; Kleven, 2018.</w:t>
                      </w:r>
                    </w:p>
                  </w:txbxContent>
                </v:textbox>
                <w10:wrap type="topAndBottom" anchorx="margin"/>
              </v:shape>
            </w:pict>
          </mc:Fallback>
        </mc:AlternateContent>
      </w:r>
      <w:r w:rsidRPr="00F33413">
        <w:rPr>
          <w:rFonts w:ascii="Arial" w:eastAsiaTheme="minorHAnsi" w:hAnsi="Arial" w:cs="Arial"/>
          <w:b/>
          <w:bCs/>
          <w:noProof/>
          <w:color w:val="auto"/>
          <w:sz w:val="24"/>
          <w:szCs w:val="24"/>
          <w:lang w:val="nl-NL"/>
        </w:rPr>
        <mc:AlternateContent>
          <mc:Choice Requires="wps">
            <w:drawing>
              <wp:anchor distT="0" distB="0" distL="114300" distR="114300" simplePos="0" relativeHeight="251674624" behindDoc="0" locked="0" layoutInCell="1" allowOverlap="1" wp14:anchorId="3F8DA617" wp14:editId="3829A788">
                <wp:simplePos x="0" y="0"/>
                <wp:positionH relativeFrom="margin">
                  <wp:align>center</wp:align>
                </wp:positionH>
                <wp:positionV relativeFrom="paragraph">
                  <wp:posOffset>300355</wp:posOffset>
                </wp:positionV>
                <wp:extent cx="2508250" cy="247650"/>
                <wp:effectExtent l="0" t="0" r="6350" b="0"/>
                <wp:wrapTopAndBottom/>
                <wp:docPr id="11" name="Tekstvak 11"/>
                <wp:cNvGraphicFramePr/>
                <a:graphic xmlns:a="http://schemas.openxmlformats.org/drawingml/2006/main">
                  <a:graphicData uri="http://schemas.microsoft.com/office/word/2010/wordprocessingShape">
                    <wps:wsp>
                      <wps:cNvSpPr txBox="1"/>
                      <wps:spPr>
                        <a:xfrm>
                          <a:off x="0" y="0"/>
                          <a:ext cx="2508250" cy="247650"/>
                        </a:xfrm>
                        <a:prstGeom prst="rect">
                          <a:avLst/>
                        </a:prstGeom>
                        <a:solidFill>
                          <a:prstClr val="white"/>
                        </a:solidFill>
                        <a:ln>
                          <a:noFill/>
                        </a:ln>
                      </wps:spPr>
                      <wps:txbx>
                        <w:txbxContent>
                          <w:p w14:paraId="51EBC539" w14:textId="6AD6A25B" w:rsidR="00BD50E1" w:rsidRPr="009F2148" w:rsidRDefault="00BD50E1" w:rsidP="007F043B">
                            <w:pPr>
                              <w:pStyle w:val="Bijschrift"/>
                              <w:rPr>
                                <w:rFonts w:ascii="Arial" w:hAnsi="Arial" w:cs="Arial"/>
                                <w:noProof/>
                                <w:color w:val="auto"/>
                                <w:sz w:val="20"/>
                                <w:lang w:val="en-GB"/>
                              </w:rPr>
                            </w:pPr>
                            <w:r w:rsidRPr="009F2148">
                              <w:rPr>
                                <w:rFonts w:ascii="Arial" w:hAnsi="Arial" w:cs="Arial"/>
                                <w:color w:val="auto"/>
                                <w:sz w:val="20"/>
                                <w:lang w:val="en-GB"/>
                              </w:rPr>
                              <w:t xml:space="preserve">Table </w:t>
                            </w:r>
                            <w:r>
                              <w:rPr>
                                <w:rFonts w:ascii="Arial" w:hAnsi="Arial" w:cs="Arial"/>
                                <w:color w:val="auto"/>
                                <w:sz w:val="20"/>
                                <w:lang w:val="en-GB"/>
                              </w:rPr>
                              <w:t>A-</w:t>
                            </w:r>
                            <w:r w:rsidRPr="009F2148">
                              <w:rPr>
                                <w:rFonts w:ascii="Arial" w:hAnsi="Arial" w:cs="Arial"/>
                                <w:color w:val="auto"/>
                                <w:sz w:val="20"/>
                                <w:lang w:val="en-GB"/>
                              </w:rPr>
                              <w:t xml:space="preserve">1 Effect on Homeowner Rate </w:t>
                            </w:r>
                          </w:p>
                          <w:p w14:paraId="5CFA062E" w14:textId="77777777" w:rsidR="00BD50E1" w:rsidRDefault="00BD50E1" w:rsidP="007F043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8DA617" id="Tekstvak 11" o:spid="_x0000_s1031" type="#_x0000_t202" style="position:absolute;left:0;text-align:left;margin-left:0;margin-top:23.65pt;width:197.5pt;height:19.5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" stroked="f">
                <v:textbox inset="0,0,0,0">
                  <w:txbxContent>
                    <w:p w14:paraId="51EBC539" w14:textId="6AD6A25B" w:rsidR="00BD50E1" w:rsidRPr="009F2148" w:rsidRDefault="00BD50E1" w:rsidP="007F043B">
                      <w:pPr>
                        <w:pStyle w:val="Bijschrift"/>
                        <w:rPr>
                          <w:rFonts w:ascii="Arial" w:hAnsi="Arial" w:cs="Arial"/>
                          <w:noProof/>
                          <w:color w:val="auto"/>
                          <w:sz w:val="20"/>
                          <w:lang w:val="en-GB"/>
                        </w:rPr>
                      </w:pPr>
                      <w:r w:rsidRPr="009F2148">
                        <w:rPr>
                          <w:rFonts w:ascii="Arial" w:hAnsi="Arial" w:cs="Arial"/>
                          <w:color w:val="auto"/>
                          <w:sz w:val="20"/>
                          <w:lang w:val="en-GB"/>
                        </w:rPr>
                        <w:t xml:space="preserve">Table </w:t>
                      </w:r>
                      <w:r>
                        <w:rPr>
                          <w:rFonts w:ascii="Arial" w:hAnsi="Arial" w:cs="Arial"/>
                          <w:color w:val="auto"/>
                          <w:sz w:val="20"/>
                          <w:lang w:val="en-GB"/>
                        </w:rPr>
                        <w:t>A-</w:t>
                      </w:r>
                      <w:r w:rsidRPr="009F2148">
                        <w:rPr>
                          <w:rFonts w:ascii="Arial" w:hAnsi="Arial" w:cs="Arial"/>
                          <w:color w:val="auto"/>
                          <w:sz w:val="20"/>
                          <w:lang w:val="en-GB"/>
                        </w:rPr>
                        <w:t xml:space="preserve">1 Effect on Homeowner Rate </w:t>
                      </w:r>
                    </w:p>
                    <w:p w14:paraId="5CFA062E" w14:textId="77777777" w:rsidR="00BD50E1" w:rsidRDefault="00BD50E1" w:rsidP="007F043B"/>
                  </w:txbxContent>
                </v:textbox>
                <w10:wrap type="topAndBottom" anchorx="margin"/>
              </v:shape>
            </w:pict>
          </mc:Fallback>
        </mc:AlternateContent>
      </w:r>
      <w:r w:rsidRPr="00F33413">
        <w:rPr>
          <w:rFonts w:ascii="Arial" w:eastAsiaTheme="minorHAnsi" w:hAnsi="Arial" w:cs="Arial"/>
          <w:b/>
          <w:bCs/>
          <w:color w:val="auto"/>
          <w:sz w:val="24"/>
          <w:szCs w:val="24"/>
          <w:lang w:val="en-GB"/>
        </w:rPr>
        <w:t>Appendix A</w:t>
      </w:r>
      <w:bookmarkEnd w:id="18"/>
      <w:r w:rsidRPr="00F33413">
        <w:rPr>
          <w:rFonts w:ascii="Arial" w:eastAsiaTheme="minorHAnsi" w:hAnsi="Arial" w:cs="Arial"/>
          <w:b/>
          <w:bCs/>
          <w:sz w:val="24"/>
          <w:szCs w:val="24"/>
          <w:lang w:val="en-GB"/>
        </w:rPr>
        <w:t xml:space="preserve"> </w:t>
      </w:r>
    </w:p>
    <w:p w14:paraId="75225C76" w14:textId="77777777" w:rsidR="007F043B" w:rsidRPr="005B4B35" w:rsidRDefault="007F043B" w:rsidP="007F043B">
      <w:pPr>
        <w:spacing w:after="0" w:line="240" w:lineRule="auto"/>
        <w:ind w:firstLine="0"/>
        <w:jc w:val="left"/>
        <w:rPr>
          <w:rFonts w:ascii="Arial" w:eastAsiaTheme="minorHAnsi" w:hAnsi="Arial" w:cs="Arial"/>
          <w:sz w:val="22"/>
          <w:szCs w:val="22"/>
          <w:lang w:val="en-GB"/>
        </w:rPr>
      </w:pPr>
      <w:r w:rsidRPr="005B4B35">
        <w:rPr>
          <w:rFonts w:asciiTheme="minorHAnsi" w:eastAsiaTheme="minorHAnsi" w:hAnsiTheme="minorHAnsi" w:cstheme="minorBidi"/>
          <w:noProof/>
          <w:sz w:val="22"/>
          <w:szCs w:val="22"/>
          <w:lang w:val="nl-NL"/>
        </w:rPr>
        <mc:AlternateContent>
          <mc:Choice Requires="wps">
            <w:drawing>
              <wp:anchor distT="0" distB="0" distL="114300" distR="114300" simplePos="0" relativeHeight="251677696" behindDoc="0" locked="0" layoutInCell="1" allowOverlap="1" wp14:anchorId="310CEAD1" wp14:editId="579928AB">
                <wp:simplePos x="0" y="0"/>
                <wp:positionH relativeFrom="margin">
                  <wp:align>center</wp:align>
                </wp:positionH>
                <wp:positionV relativeFrom="paragraph">
                  <wp:posOffset>7748905</wp:posOffset>
                </wp:positionV>
                <wp:extent cx="2508250" cy="635"/>
                <wp:effectExtent l="0" t="0" r="6350" b="0"/>
                <wp:wrapTopAndBottom/>
                <wp:docPr id="15" name="Tekstvak 15"/>
                <wp:cNvGraphicFramePr/>
                <a:graphic xmlns:a="http://schemas.openxmlformats.org/drawingml/2006/main">
                  <a:graphicData uri="http://schemas.microsoft.com/office/word/2010/wordprocessingShape">
                    <wps:wsp>
                      <wps:cNvSpPr txBox="1"/>
                      <wps:spPr>
                        <a:xfrm>
                          <a:off x="0" y="0"/>
                          <a:ext cx="2508250" cy="635"/>
                        </a:xfrm>
                        <a:prstGeom prst="rect">
                          <a:avLst/>
                        </a:prstGeom>
                        <a:solidFill>
                          <a:prstClr val="white"/>
                        </a:solidFill>
                        <a:ln>
                          <a:noFill/>
                        </a:ln>
                      </wps:spPr>
                      <wps:txbx>
                        <w:txbxContent>
                          <w:p w14:paraId="70E28785" w14:textId="77777777" w:rsidR="00BD50E1" w:rsidRPr="00D05410" w:rsidRDefault="00BD50E1" w:rsidP="007F043B">
                            <w:pPr>
                              <w:pStyle w:val="Bijschrift"/>
                              <w:rPr>
                                <w:rFonts w:ascii="Arial" w:hAnsi="Arial" w:cs="Arial"/>
                                <w:noProof/>
                                <w:color w:val="auto"/>
                                <w:sz w:val="20"/>
                              </w:rPr>
                            </w:pPr>
                            <w:r>
                              <w:rPr>
                                <w:rFonts w:ascii="Arial" w:hAnsi="Arial" w:cs="Arial"/>
                                <w:color w:val="auto"/>
                                <w:sz w:val="20"/>
                              </w:rPr>
                              <w:t xml:space="preserve">Source: </w:t>
                            </w:r>
                            <w:proofErr w:type="spellStart"/>
                            <w:r>
                              <w:rPr>
                                <w:rFonts w:ascii="Arial" w:hAnsi="Arial" w:cs="Arial"/>
                                <w:color w:val="auto"/>
                                <w:sz w:val="20"/>
                              </w:rPr>
                              <w:t>Gruber</w:t>
                            </w:r>
                            <w:proofErr w:type="spellEnd"/>
                            <w:r>
                              <w:rPr>
                                <w:rFonts w:ascii="Arial" w:hAnsi="Arial" w:cs="Arial"/>
                                <w:color w:val="auto"/>
                                <w:sz w:val="20"/>
                              </w:rPr>
                              <w:t>, Jensen &amp; Kleven,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0CEAD1" id="Tekstvak 15" o:spid="_x0000_s1032" type="#_x0000_t202" style="position:absolute;margin-left:0;margin-top:610.15pt;width:197.5pt;height:.05pt;z-index:251677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" stroked="f">
                <v:textbox style="mso-fit-shape-to-text:t" inset="0,0,0,0">
                  <w:txbxContent>
                    <w:p w14:paraId="70E28785" w14:textId="77777777" w:rsidR="00BD50E1" w:rsidRPr="00D05410" w:rsidRDefault="00BD50E1" w:rsidP="007F043B">
                      <w:pPr>
                        <w:pStyle w:val="Bijschrift"/>
                        <w:rPr>
                          <w:rFonts w:ascii="Arial" w:hAnsi="Arial" w:cs="Arial"/>
                          <w:noProof/>
                          <w:color w:val="auto"/>
                          <w:sz w:val="20"/>
                        </w:rPr>
                      </w:pPr>
                      <w:r>
                        <w:rPr>
                          <w:rFonts w:ascii="Arial" w:hAnsi="Arial" w:cs="Arial"/>
                          <w:color w:val="auto"/>
                          <w:sz w:val="20"/>
                        </w:rPr>
                        <w:t xml:space="preserve">Source: </w:t>
                      </w:r>
                      <w:proofErr w:type="spellStart"/>
                      <w:r>
                        <w:rPr>
                          <w:rFonts w:ascii="Arial" w:hAnsi="Arial" w:cs="Arial"/>
                          <w:color w:val="auto"/>
                          <w:sz w:val="20"/>
                        </w:rPr>
                        <w:t>Gruber</w:t>
                      </w:r>
                      <w:proofErr w:type="spellEnd"/>
                      <w:r>
                        <w:rPr>
                          <w:rFonts w:ascii="Arial" w:hAnsi="Arial" w:cs="Arial"/>
                          <w:color w:val="auto"/>
                          <w:sz w:val="20"/>
                        </w:rPr>
                        <w:t>, Jensen &amp; Kleven, 2018.</w:t>
                      </w:r>
                    </w:p>
                  </w:txbxContent>
                </v:textbox>
                <w10:wrap type="topAndBottom" anchorx="margin"/>
              </v:shape>
            </w:pict>
          </mc:Fallback>
        </mc:AlternateContent>
      </w:r>
      <w:r w:rsidRPr="005B4B35">
        <w:rPr>
          <w:rFonts w:asciiTheme="minorHAnsi" w:eastAsiaTheme="minorHAnsi" w:hAnsiTheme="minorHAnsi" w:cstheme="minorBidi"/>
          <w:noProof/>
          <w:sz w:val="22"/>
          <w:szCs w:val="22"/>
          <w:lang w:val="nl-NL"/>
        </w:rPr>
        <mc:AlternateContent>
          <mc:Choice Requires="wps">
            <w:drawing>
              <wp:anchor distT="0" distB="0" distL="114300" distR="114300" simplePos="0" relativeHeight="251676672" behindDoc="0" locked="0" layoutInCell="1" allowOverlap="1" wp14:anchorId="29BA12AC" wp14:editId="626B0F33">
                <wp:simplePos x="0" y="0"/>
                <wp:positionH relativeFrom="margin">
                  <wp:posOffset>1608455</wp:posOffset>
                </wp:positionH>
                <wp:positionV relativeFrom="paragraph">
                  <wp:posOffset>4178300</wp:posOffset>
                </wp:positionV>
                <wp:extent cx="2705100" cy="260350"/>
                <wp:effectExtent l="0" t="0" r="0" b="6350"/>
                <wp:wrapTopAndBottom/>
                <wp:docPr id="14" name="Tekstvak 14"/>
                <wp:cNvGraphicFramePr/>
                <a:graphic xmlns:a="http://schemas.openxmlformats.org/drawingml/2006/main">
                  <a:graphicData uri="http://schemas.microsoft.com/office/word/2010/wordprocessingShape">
                    <wps:wsp>
                      <wps:cNvSpPr txBox="1"/>
                      <wps:spPr>
                        <a:xfrm>
                          <a:off x="0" y="0"/>
                          <a:ext cx="2705100" cy="260350"/>
                        </a:xfrm>
                        <a:prstGeom prst="rect">
                          <a:avLst/>
                        </a:prstGeom>
                        <a:solidFill>
                          <a:prstClr val="white"/>
                        </a:solidFill>
                        <a:ln>
                          <a:noFill/>
                        </a:ln>
                      </wps:spPr>
                      <wps:txbx>
                        <w:txbxContent>
                          <w:p w14:paraId="712EBDDB" w14:textId="1B5224E7" w:rsidR="00BD50E1" w:rsidRPr="007F47C9" w:rsidRDefault="00BD50E1" w:rsidP="007F043B">
                            <w:pPr>
                              <w:pStyle w:val="Bijschrift"/>
                              <w:rPr>
                                <w:rFonts w:ascii="Arial" w:hAnsi="Arial" w:cs="Arial"/>
                                <w:noProof/>
                                <w:color w:val="auto"/>
                                <w:sz w:val="20"/>
                                <w:lang w:val="en-GB"/>
                              </w:rPr>
                            </w:pPr>
                            <w:r w:rsidRPr="007F47C9">
                              <w:rPr>
                                <w:rFonts w:ascii="Arial" w:hAnsi="Arial" w:cs="Arial"/>
                                <w:color w:val="auto"/>
                                <w:sz w:val="20"/>
                                <w:lang w:val="en-GB"/>
                              </w:rPr>
                              <w:t xml:space="preserve">Table </w:t>
                            </w:r>
                            <w:r>
                              <w:rPr>
                                <w:rFonts w:ascii="Arial" w:hAnsi="Arial" w:cs="Arial"/>
                                <w:color w:val="auto"/>
                                <w:sz w:val="20"/>
                                <w:lang w:val="en-GB"/>
                              </w:rPr>
                              <w:t>A-</w:t>
                            </w:r>
                            <w:r w:rsidRPr="007F47C9">
                              <w:rPr>
                                <w:rFonts w:ascii="Arial" w:hAnsi="Arial" w:cs="Arial"/>
                                <w:color w:val="auto"/>
                                <w:sz w:val="20"/>
                                <w:lang w:val="en-GB"/>
                              </w:rPr>
                              <w:t>2 Effect on Home Size a</w:t>
                            </w:r>
                            <w:r>
                              <w:rPr>
                                <w:rFonts w:ascii="Arial" w:hAnsi="Arial" w:cs="Arial"/>
                                <w:color w:val="auto"/>
                                <w:sz w:val="20"/>
                                <w:lang w:val="en-GB"/>
                              </w:rPr>
                              <w:t>mong Movers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A12AC" id="Tekstvak 14" o:spid="_x0000_s1033" type="#_x0000_t202" style="position:absolute;margin-left:126.65pt;margin-top:329pt;width:213pt;height:20.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" stroked="f">
                <v:textbox inset="0,0,0,0">
                  <w:txbxContent>
                    <w:p w14:paraId="712EBDDB" w14:textId="1B5224E7" w:rsidR="00BD50E1" w:rsidRPr="007F47C9" w:rsidRDefault="00BD50E1" w:rsidP="007F043B">
                      <w:pPr>
                        <w:pStyle w:val="Bijschrift"/>
                        <w:rPr>
                          <w:rFonts w:ascii="Arial" w:hAnsi="Arial" w:cs="Arial"/>
                          <w:noProof/>
                          <w:color w:val="auto"/>
                          <w:sz w:val="20"/>
                          <w:lang w:val="en-GB"/>
                        </w:rPr>
                      </w:pPr>
                      <w:r w:rsidRPr="007F47C9">
                        <w:rPr>
                          <w:rFonts w:ascii="Arial" w:hAnsi="Arial" w:cs="Arial"/>
                          <w:color w:val="auto"/>
                          <w:sz w:val="20"/>
                          <w:lang w:val="en-GB"/>
                        </w:rPr>
                        <w:t xml:space="preserve">Table </w:t>
                      </w:r>
                      <w:r>
                        <w:rPr>
                          <w:rFonts w:ascii="Arial" w:hAnsi="Arial" w:cs="Arial"/>
                          <w:color w:val="auto"/>
                          <w:sz w:val="20"/>
                          <w:lang w:val="en-GB"/>
                        </w:rPr>
                        <w:t>A-</w:t>
                      </w:r>
                      <w:r w:rsidRPr="007F47C9">
                        <w:rPr>
                          <w:rFonts w:ascii="Arial" w:hAnsi="Arial" w:cs="Arial"/>
                          <w:color w:val="auto"/>
                          <w:sz w:val="20"/>
                          <w:lang w:val="en-GB"/>
                        </w:rPr>
                        <w:t>2 Effect on Home Size a</w:t>
                      </w:r>
                      <w:r>
                        <w:rPr>
                          <w:rFonts w:ascii="Arial" w:hAnsi="Arial" w:cs="Arial"/>
                          <w:color w:val="auto"/>
                          <w:sz w:val="20"/>
                          <w:lang w:val="en-GB"/>
                        </w:rPr>
                        <w:t>mong Movers</w:t>
                      </w:r>
                    </w:p>
                  </w:txbxContent>
                </v:textbox>
                <w10:wrap type="topAndBottom" anchorx="margin"/>
              </v:shape>
            </w:pict>
          </mc:Fallback>
        </mc:AlternateContent>
      </w:r>
      <w:r w:rsidRPr="005B4B35">
        <w:rPr>
          <w:rFonts w:asciiTheme="minorHAnsi" w:eastAsiaTheme="minorHAnsi" w:hAnsiTheme="minorHAnsi" w:cstheme="minorBidi"/>
          <w:noProof/>
          <w:sz w:val="22"/>
          <w:szCs w:val="22"/>
          <w:lang w:val="nl-NL"/>
        </w:rPr>
        <w:drawing>
          <wp:anchor distT="0" distB="0" distL="114300" distR="114300" simplePos="0" relativeHeight="251672576" behindDoc="0" locked="0" layoutInCell="1" allowOverlap="1" wp14:anchorId="4032F2A4" wp14:editId="7D93529E">
            <wp:simplePos x="0" y="0"/>
            <wp:positionH relativeFrom="margin">
              <wp:posOffset>1621155</wp:posOffset>
            </wp:positionH>
            <wp:positionV relativeFrom="paragraph">
              <wp:posOffset>393700</wp:posOffset>
            </wp:positionV>
            <wp:extent cx="2508250" cy="3240405"/>
            <wp:effectExtent l="0" t="0" r="6350" b="0"/>
            <wp:wrapTopAndBottom/>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5714" t="16261" r="34083" b="14364"/>
                    <a:stretch/>
                  </pic:blipFill>
                  <pic:spPr bwMode="auto">
                    <a:xfrm>
                      <a:off x="0" y="0"/>
                      <a:ext cx="2508250" cy="3240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420C3C" w14:textId="77777777" w:rsidR="007F043B" w:rsidRPr="005B4B35" w:rsidRDefault="007F043B" w:rsidP="007F043B">
      <w:pPr>
        <w:spacing w:after="0" w:line="240" w:lineRule="auto"/>
        <w:ind w:firstLine="0"/>
        <w:jc w:val="left"/>
        <w:rPr>
          <w:rFonts w:asciiTheme="minorHAnsi" w:eastAsiaTheme="minorHAnsi" w:hAnsiTheme="minorHAnsi" w:cstheme="minorBidi"/>
          <w:sz w:val="22"/>
          <w:szCs w:val="22"/>
          <w:lang w:val="en-GB"/>
        </w:rPr>
      </w:pPr>
      <w:r w:rsidRPr="005B4B35">
        <w:rPr>
          <w:rFonts w:asciiTheme="minorHAnsi" w:eastAsiaTheme="minorHAnsi" w:hAnsiTheme="minorHAnsi" w:cstheme="minorBidi"/>
          <w:noProof/>
          <w:sz w:val="22"/>
          <w:szCs w:val="22"/>
          <w:lang w:val="nl-NL"/>
        </w:rPr>
        <w:drawing>
          <wp:anchor distT="0" distB="0" distL="114300" distR="114300" simplePos="0" relativeHeight="251675648" behindDoc="0" locked="0" layoutInCell="1" allowOverlap="1" wp14:anchorId="17D57DD3" wp14:editId="7448B608">
            <wp:simplePos x="0" y="0"/>
            <wp:positionH relativeFrom="margin">
              <wp:align>center</wp:align>
            </wp:positionH>
            <wp:positionV relativeFrom="paragraph">
              <wp:posOffset>333375</wp:posOffset>
            </wp:positionV>
            <wp:extent cx="2438400" cy="3190240"/>
            <wp:effectExtent l="0" t="0" r="0" b="0"/>
            <wp:wrapTopAndBottom/>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4502" t="15677" r="34413" b="12013"/>
                    <a:stretch/>
                  </pic:blipFill>
                  <pic:spPr bwMode="auto">
                    <a:xfrm>
                      <a:off x="0" y="0"/>
                      <a:ext cx="2438400" cy="3190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B4B35">
        <w:rPr>
          <w:rFonts w:asciiTheme="minorHAnsi" w:eastAsiaTheme="minorHAnsi" w:hAnsiTheme="minorHAnsi" w:cstheme="minorBidi"/>
          <w:sz w:val="22"/>
          <w:szCs w:val="22"/>
          <w:lang w:val="en-GB"/>
        </w:rPr>
        <w:br w:type="page"/>
      </w:r>
    </w:p>
    <w:p w14:paraId="7ADC2CE4" w14:textId="43983337" w:rsidR="007F043B" w:rsidRPr="005B4B35" w:rsidRDefault="004848C6" w:rsidP="007F043B">
      <w:pPr>
        <w:spacing w:after="160" w:line="259" w:lineRule="auto"/>
        <w:ind w:firstLine="0"/>
        <w:jc w:val="left"/>
        <w:rPr>
          <w:rFonts w:ascii="Arial" w:eastAsiaTheme="minorHAnsi" w:hAnsi="Arial" w:cs="Arial"/>
          <w:b/>
          <w:sz w:val="22"/>
          <w:szCs w:val="22"/>
          <w:lang w:val="en-GB"/>
        </w:rPr>
      </w:pPr>
      <w:r w:rsidRPr="005B4B35">
        <w:rPr>
          <w:rFonts w:asciiTheme="minorHAnsi" w:eastAsiaTheme="minorHAnsi" w:hAnsiTheme="minorHAnsi" w:cstheme="minorBidi"/>
          <w:noProof/>
          <w:sz w:val="22"/>
          <w:szCs w:val="22"/>
          <w:lang w:val="nl-NL"/>
        </w:rPr>
        <w:lastRenderedPageBreak/>
        <mc:AlternateContent>
          <mc:Choice Requires="wps">
            <w:drawing>
              <wp:anchor distT="0" distB="0" distL="114300" distR="114300" simplePos="0" relativeHeight="251680768" behindDoc="0" locked="0" layoutInCell="1" allowOverlap="1" wp14:anchorId="4AFA4953" wp14:editId="0D533235">
                <wp:simplePos x="0" y="0"/>
                <wp:positionH relativeFrom="column">
                  <wp:posOffset>1691005</wp:posOffset>
                </wp:positionH>
                <wp:positionV relativeFrom="paragraph">
                  <wp:posOffset>0</wp:posOffset>
                </wp:positionV>
                <wp:extent cx="2870200" cy="158750"/>
                <wp:effectExtent l="0" t="0" r="6350" b="0"/>
                <wp:wrapTopAndBottom/>
                <wp:docPr id="18" name="Tekstvak 18"/>
                <wp:cNvGraphicFramePr/>
                <a:graphic xmlns:a="http://schemas.openxmlformats.org/drawingml/2006/main">
                  <a:graphicData uri="http://schemas.microsoft.com/office/word/2010/wordprocessingShape">
                    <wps:wsp>
                      <wps:cNvSpPr txBox="1"/>
                      <wps:spPr>
                        <a:xfrm>
                          <a:off x="0" y="0"/>
                          <a:ext cx="2870200" cy="158750"/>
                        </a:xfrm>
                        <a:prstGeom prst="rect">
                          <a:avLst/>
                        </a:prstGeom>
                        <a:solidFill>
                          <a:prstClr val="white"/>
                        </a:solidFill>
                        <a:ln>
                          <a:noFill/>
                        </a:ln>
                      </wps:spPr>
                      <wps:txbx>
                        <w:txbxContent>
                          <w:p w14:paraId="6C3B86A5" w14:textId="66F431E8" w:rsidR="00BD50E1" w:rsidRPr="00DD035B" w:rsidRDefault="00BD50E1" w:rsidP="007F043B">
                            <w:pPr>
                              <w:pStyle w:val="Bijschrift"/>
                              <w:rPr>
                                <w:rFonts w:ascii="Arial" w:hAnsi="Arial" w:cs="Arial"/>
                                <w:noProof/>
                                <w:color w:val="auto"/>
                                <w:sz w:val="20"/>
                                <w:lang w:val="en-GB"/>
                              </w:rPr>
                            </w:pPr>
                            <w:r w:rsidRPr="00DD035B">
                              <w:rPr>
                                <w:rFonts w:ascii="Arial" w:hAnsi="Arial" w:cs="Arial"/>
                                <w:color w:val="auto"/>
                                <w:sz w:val="20"/>
                                <w:lang w:val="en-GB"/>
                              </w:rPr>
                              <w:t>Table</w:t>
                            </w:r>
                            <w:r>
                              <w:rPr>
                                <w:rFonts w:ascii="Arial" w:hAnsi="Arial" w:cs="Arial"/>
                                <w:color w:val="auto"/>
                                <w:sz w:val="20"/>
                                <w:lang w:val="en-GB"/>
                              </w:rPr>
                              <w:t xml:space="preserve"> A-</w:t>
                            </w:r>
                            <w:r w:rsidRPr="00DD035B">
                              <w:rPr>
                                <w:rFonts w:ascii="Arial" w:hAnsi="Arial" w:cs="Arial"/>
                                <w:color w:val="auto"/>
                                <w:sz w:val="20"/>
                                <w:lang w:val="en-GB"/>
                              </w:rPr>
                              <w:t>3 Effect on Home Value among Movers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A4953" id="Tekstvak 18" o:spid="_x0000_s1034" type="#_x0000_t202" style="position:absolute;margin-left:133.15pt;margin-top:0;width:226pt;height: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" stroked="f">
                <v:textbox inset="0,0,0,0">
                  <w:txbxContent>
                    <w:p w14:paraId="6C3B86A5" w14:textId="66F431E8" w:rsidR="00BD50E1" w:rsidRPr="00DD035B" w:rsidRDefault="00BD50E1" w:rsidP="007F043B">
                      <w:pPr>
                        <w:pStyle w:val="Bijschrift"/>
                        <w:rPr>
                          <w:rFonts w:ascii="Arial" w:hAnsi="Arial" w:cs="Arial"/>
                          <w:noProof/>
                          <w:color w:val="auto"/>
                          <w:sz w:val="20"/>
                          <w:lang w:val="en-GB"/>
                        </w:rPr>
                      </w:pPr>
                      <w:r w:rsidRPr="00DD035B">
                        <w:rPr>
                          <w:rFonts w:ascii="Arial" w:hAnsi="Arial" w:cs="Arial"/>
                          <w:color w:val="auto"/>
                          <w:sz w:val="20"/>
                          <w:lang w:val="en-GB"/>
                        </w:rPr>
                        <w:t>Table</w:t>
                      </w:r>
                      <w:r>
                        <w:rPr>
                          <w:rFonts w:ascii="Arial" w:hAnsi="Arial" w:cs="Arial"/>
                          <w:color w:val="auto"/>
                          <w:sz w:val="20"/>
                          <w:lang w:val="en-GB"/>
                        </w:rPr>
                        <w:t xml:space="preserve"> A-</w:t>
                      </w:r>
                      <w:r w:rsidRPr="00DD035B">
                        <w:rPr>
                          <w:rFonts w:ascii="Arial" w:hAnsi="Arial" w:cs="Arial"/>
                          <w:color w:val="auto"/>
                          <w:sz w:val="20"/>
                          <w:lang w:val="en-GB"/>
                        </w:rPr>
                        <w:t>3 Effect on Home Value among Movers</w:t>
                      </w:r>
                    </w:p>
                  </w:txbxContent>
                </v:textbox>
                <w10:wrap type="topAndBottom"/>
              </v:shape>
            </w:pict>
          </mc:Fallback>
        </mc:AlternateContent>
      </w:r>
      <w:r w:rsidR="007F043B" w:rsidRPr="005B4B35">
        <w:rPr>
          <w:rFonts w:asciiTheme="minorHAnsi" w:eastAsiaTheme="minorHAnsi" w:hAnsiTheme="minorHAnsi" w:cstheme="minorBidi"/>
          <w:noProof/>
          <w:sz w:val="22"/>
          <w:szCs w:val="22"/>
          <w:lang w:val="nl-NL"/>
        </w:rPr>
        <w:drawing>
          <wp:anchor distT="0" distB="0" distL="114300" distR="114300" simplePos="0" relativeHeight="251678720" behindDoc="0" locked="0" layoutInCell="1" allowOverlap="1" wp14:anchorId="247C3B75" wp14:editId="4D01B65E">
            <wp:simplePos x="0" y="0"/>
            <wp:positionH relativeFrom="margin">
              <wp:posOffset>1687830</wp:posOffset>
            </wp:positionH>
            <wp:positionV relativeFrom="paragraph">
              <wp:posOffset>209550</wp:posOffset>
            </wp:positionV>
            <wp:extent cx="2384425" cy="3181350"/>
            <wp:effectExtent l="0" t="0" r="0" b="0"/>
            <wp:wrapTopAndBottom/>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4392" t="18018" r="34854" b="9074"/>
                    <a:stretch/>
                  </pic:blipFill>
                  <pic:spPr bwMode="auto">
                    <a:xfrm>
                      <a:off x="0" y="0"/>
                      <a:ext cx="2384425" cy="318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043B" w:rsidRPr="005B4B35">
        <w:rPr>
          <w:rFonts w:asciiTheme="minorHAnsi" w:eastAsiaTheme="minorHAnsi" w:hAnsiTheme="minorHAnsi" w:cstheme="minorBidi"/>
          <w:noProof/>
          <w:sz w:val="22"/>
          <w:szCs w:val="22"/>
          <w:lang w:val="nl-NL"/>
        </w:rPr>
        <mc:AlternateContent>
          <mc:Choice Requires="wps">
            <w:drawing>
              <wp:anchor distT="0" distB="0" distL="114300" distR="114300" simplePos="0" relativeHeight="251679744" behindDoc="0" locked="0" layoutInCell="1" allowOverlap="1" wp14:anchorId="55BE1D32" wp14:editId="2C546497">
                <wp:simplePos x="0" y="0"/>
                <wp:positionH relativeFrom="margin">
                  <wp:align>center</wp:align>
                </wp:positionH>
                <wp:positionV relativeFrom="paragraph">
                  <wp:posOffset>3409950</wp:posOffset>
                </wp:positionV>
                <wp:extent cx="2508250" cy="635"/>
                <wp:effectExtent l="0" t="0" r="6350" b="0"/>
                <wp:wrapTopAndBottom/>
                <wp:docPr id="17" name="Tekstvak 17"/>
                <wp:cNvGraphicFramePr/>
                <a:graphic xmlns:a="http://schemas.openxmlformats.org/drawingml/2006/main">
                  <a:graphicData uri="http://schemas.microsoft.com/office/word/2010/wordprocessingShape">
                    <wps:wsp>
                      <wps:cNvSpPr txBox="1"/>
                      <wps:spPr>
                        <a:xfrm>
                          <a:off x="0" y="0"/>
                          <a:ext cx="2508250" cy="635"/>
                        </a:xfrm>
                        <a:prstGeom prst="rect">
                          <a:avLst/>
                        </a:prstGeom>
                        <a:solidFill>
                          <a:prstClr val="white"/>
                        </a:solidFill>
                        <a:ln>
                          <a:noFill/>
                        </a:ln>
                      </wps:spPr>
                      <wps:txbx>
                        <w:txbxContent>
                          <w:p w14:paraId="270B1F74" w14:textId="77777777" w:rsidR="00BD50E1" w:rsidRPr="00D05410" w:rsidRDefault="00BD50E1" w:rsidP="007F043B">
                            <w:pPr>
                              <w:pStyle w:val="Bijschrift"/>
                              <w:rPr>
                                <w:rFonts w:ascii="Arial" w:hAnsi="Arial" w:cs="Arial"/>
                                <w:noProof/>
                                <w:color w:val="auto"/>
                                <w:sz w:val="20"/>
                              </w:rPr>
                            </w:pPr>
                            <w:r>
                              <w:rPr>
                                <w:rFonts w:ascii="Arial" w:hAnsi="Arial" w:cs="Arial"/>
                                <w:color w:val="auto"/>
                                <w:sz w:val="20"/>
                              </w:rPr>
                              <w:t xml:space="preserve">Source: </w:t>
                            </w:r>
                            <w:proofErr w:type="spellStart"/>
                            <w:r>
                              <w:rPr>
                                <w:rFonts w:ascii="Arial" w:hAnsi="Arial" w:cs="Arial"/>
                                <w:color w:val="auto"/>
                                <w:sz w:val="20"/>
                              </w:rPr>
                              <w:t>Gruber</w:t>
                            </w:r>
                            <w:proofErr w:type="spellEnd"/>
                            <w:r>
                              <w:rPr>
                                <w:rFonts w:ascii="Arial" w:hAnsi="Arial" w:cs="Arial"/>
                                <w:color w:val="auto"/>
                                <w:sz w:val="20"/>
                              </w:rPr>
                              <w:t>, Jensen &amp; Kleven,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BE1D32" id="Tekstvak 17" o:spid="_x0000_s1035" type="#_x0000_t202" style="position:absolute;margin-left:0;margin-top:268.5pt;width:197.5pt;height:.05pt;z-index:251679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" stroked="f">
                <v:textbox style="mso-fit-shape-to-text:t" inset="0,0,0,0">
                  <w:txbxContent>
                    <w:p w14:paraId="270B1F74" w14:textId="77777777" w:rsidR="00BD50E1" w:rsidRPr="00D05410" w:rsidRDefault="00BD50E1" w:rsidP="007F043B">
                      <w:pPr>
                        <w:pStyle w:val="Bijschrift"/>
                        <w:rPr>
                          <w:rFonts w:ascii="Arial" w:hAnsi="Arial" w:cs="Arial"/>
                          <w:noProof/>
                          <w:color w:val="auto"/>
                          <w:sz w:val="20"/>
                        </w:rPr>
                      </w:pPr>
                      <w:r>
                        <w:rPr>
                          <w:rFonts w:ascii="Arial" w:hAnsi="Arial" w:cs="Arial"/>
                          <w:color w:val="auto"/>
                          <w:sz w:val="20"/>
                        </w:rPr>
                        <w:t xml:space="preserve">Source: </w:t>
                      </w:r>
                      <w:proofErr w:type="spellStart"/>
                      <w:r>
                        <w:rPr>
                          <w:rFonts w:ascii="Arial" w:hAnsi="Arial" w:cs="Arial"/>
                          <w:color w:val="auto"/>
                          <w:sz w:val="20"/>
                        </w:rPr>
                        <w:t>Gruber</w:t>
                      </w:r>
                      <w:proofErr w:type="spellEnd"/>
                      <w:r>
                        <w:rPr>
                          <w:rFonts w:ascii="Arial" w:hAnsi="Arial" w:cs="Arial"/>
                          <w:color w:val="auto"/>
                          <w:sz w:val="20"/>
                        </w:rPr>
                        <w:t>, Jensen &amp; Kleven, 2018.</w:t>
                      </w:r>
                    </w:p>
                  </w:txbxContent>
                </v:textbox>
                <w10:wrap type="topAndBottom" anchorx="margin"/>
              </v:shape>
            </w:pict>
          </mc:Fallback>
        </mc:AlternateContent>
      </w:r>
      <w:r w:rsidR="007F043B" w:rsidRPr="005B4B35">
        <w:rPr>
          <w:rFonts w:ascii="Arial" w:eastAsiaTheme="minorHAnsi" w:hAnsi="Arial" w:cs="Arial"/>
          <w:b/>
          <w:sz w:val="22"/>
          <w:szCs w:val="22"/>
          <w:lang w:val="en-GB"/>
        </w:rPr>
        <w:br w:type="page"/>
      </w:r>
    </w:p>
    <w:p w14:paraId="6BB31186" w14:textId="614C202C" w:rsidR="007F043B" w:rsidRPr="00F33413" w:rsidRDefault="00F66A50" w:rsidP="007F043B">
      <w:pPr>
        <w:pStyle w:val="Kop1"/>
        <w:ind w:firstLine="0"/>
        <w:rPr>
          <w:rFonts w:ascii="Arial" w:eastAsiaTheme="minorHAnsi" w:hAnsi="Arial" w:cs="Arial"/>
          <w:b/>
          <w:bCs/>
          <w:sz w:val="24"/>
          <w:szCs w:val="24"/>
          <w:lang w:val="en-GB"/>
        </w:rPr>
      </w:pPr>
      <w:bookmarkStart w:id="19" w:name="_Toc14016540"/>
      <w:r w:rsidRPr="00F33413">
        <w:rPr>
          <w:rFonts w:ascii="Arial" w:eastAsiaTheme="minorHAnsi" w:hAnsi="Arial" w:cs="Arial"/>
          <w:b/>
          <w:bCs/>
          <w:noProof/>
          <w:color w:val="auto"/>
          <w:sz w:val="24"/>
          <w:szCs w:val="24"/>
          <w:lang w:val="nl-NL"/>
        </w:rPr>
        <w:lastRenderedPageBreak/>
        <mc:AlternateContent>
          <mc:Choice Requires="wps">
            <w:drawing>
              <wp:anchor distT="0" distB="0" distL="114300" distR="114300" simplePos="0" relativeHeight="251667456" behindDoc="0" locked="0" layoutInCell="1" allowOverlap="1" wp14:anchorId="337C32D5" wp14:editId="3F4B8B5E">
                <wp:simplePos x="0" y="0"/>
                <wp:positionH relativeFrom="column">
                  <wp:posOffset>-264795</wp:posOffset>
                </wp:positionH>
                <wp:positionV relativeFrom="paragraph">
                  <wp:posOffset>8508365</wp:posOffset>
                </wp:positionV>
                <wp:extent cx="5961380" cy="635"/>
                <wp:effectExtent l="0" t="0" r="0" b="0"/>
                <wp:wrapSquare wrapText="bothSides"/>
                <wp:docPr id="33" name="Tekstvak 33"/>
                <wp:cNvGraphicFramePr/>
                <a:graphic xmlns:a="http://schemas.openxmlformats.org/drawingml/2006/main">
                  <a:graphicData uri="http://schemas.microsoft.com/office/word/2010/wordprocessingShape">
                    <wps:wsp>
                      <wps:cNvSpPr txBox="1"/>
                      <wps:spPr>
                        <a:xfrm>
                          <a:off x="0" y="0"/>
                          <a:ext cx="5961380" cy="635"/>
                        </a:xfrm>
                        <a:prstGeom prst="rect">
                          <a:avLst/>
                        </a:prstGeom>
                        <a:solidFill>
                          <a:prstClr val="white"/>
                        </a:solidFill>
                        <a:ln>
                          <a:noFill/>
                        </a:ln>
                      </wps:spPr>
                      <wps:txbx>
                        <w:txbxContent>
                          <w:p w14:paraId="300DF27E" w14:textId="732225B3" w:rsidR="00BD50E1" w:rsidRPr="00C237A2" w:rsidRDefault="00BD50E1" w:rsidP="00C237A2">
                            <w:pPr>
                              <w:pStyle w:val="Geenafstand"/>
                              <w:rPr>
                                <w:rFonts w:ascii="Arial" w:hAnsi="Arial" w:cs="Arial"/>
                                <w:i/>
                                <w:iCs/>
                                <w:sz w:val="20"/>
                                <w:szCs w:val="20"/>
                                <w:lang w:val="en-GB"/>
                              </w:rPr>
                            </w:pPr>
                            <w:r w:rsidRPr="00C237A2">
                              <w:rPr>
                                <w:rFonts w:ascii="Arial" w:hAnsi="Arial" w:cs="Arial"/>
                                <w:i/>
                                <w:iCs/>
                                <w:sz w:val="20"/>
                                <w:szCs w:val="20"/>
                                <w:lang w:val="en-GB"/>
                              </w:rPr>
                              <w:t>Figure B-2 Average housing prices in euros for the Netherlands and per province, 2013-2018</w:t>
                            </w:r>
                          </w:p>
                          <w:p w14:paraId="19E2525B" w14:textId="6B402DFC" w:rsidR="00BD50E1" w:rsidRPr="00C237A2" w:rsidRDefault="00BD50E1" w:rsidP="00C237A2">
                            <w:pPr>
                              <w:pStyle w:val="Geenafstand"/>
                              <w:rPr>
                                <w:rFonts w:ascii="Arial" w:hAnsi="Arial" w:cs="Arial"/>
                                <w:sz w:val="20"/>
                                <w:szCs w:val="18"/>
                              </w:rPr>
                            </w:pPr>
                            <w:r w:rsidRPr="00C237A2">
                              <w:rPr>
                                <w:rFonts w:ascii="Arial" w:hAnsi="Arial" w:cs="Arial"/>
                                <w:sz w:val="20"/>
                                <w:szCs w:val="18"/>
                              </w:rPr>
                              <w:t xml:space="preserve">Source: </w:t>
                            </w:r>
                            <w:proofErr w:type="spellStart"/>
                            <w:r w:rsidRPr="00C237A2">
                              <w:rPr>
                                <w:rFonts w:ascii="Arial" w:hAnsi="Arial" w:cs="Arial"/>
                                <w:sz w:val="20"/>
                                <w:szCs w:val="18"/>
                              </w:rPr>
                              <w:t>Own</w:t>
                            </w:r>
                            <w:proofErr w:type="spellEnd"/>
                            <w:r w:rsidRPr="00C237A2">
                              <w:rPr>
                                <w:rFonts w:ascii="Arial" w:hAnsi="Arial" w:cs="Arial"/>
                                <w:sz w:val="20"/>
                                <w:szCs w:val="18"/>
                              </w:rPr>
                              <w:t xml:space="preserve"> </w:t>
                            </w:r>
                            <w:proofErr w:type="spellStart"/>
                            <w:r w:rsidRPr="00C237A2">
                              <w:rPr>
                                <w:rFonts w:ascii="Arial" w:hAnsi="Arial" w:cs="Arial"/>
                                <w:sz w:val="20"/>
                                <w:szCs w:val="18"/>
                              </w:rPr>
                              <w:t>illustration</w:t>
                            </w:r>
                            <w:proofErr w:type="spellEnd"/>
                            <w:r w:rsidRPr="00C237A2">
                              <w:rPr>
                                <w:rFonts w:ascii="Arial" w:hAnsi="Arial" w:cs="Arial"/>
                                <w:sz w:val="20"/>
                                <w:szCs w:val="1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7C32D5" id="Tekstvak 33" o:spid="_x0000_s1036" type="#_x0000_t202" style="position:absolute;left:0;text-align:left;margin-left:-20.85pt;margin-top:669.95pt;width:469.4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" stroked="f">
                <v:textbox style="mso-fit-shape-to-text:t" inset="0,0,0,0">
                  <w:txbxContent>
                    <w:p w14:paraId="300DF27E" w14:textId="732225B3" w:rsidR="00BD50E1" w:rsidRPr="00C237A2" w:rsidRDefault="00BD50E1" w:rsidP="00C237A2">
                      <w:pPr>
                        <w:pStyle w:val="Geenafstand"/>
                        <w:rPr>
                          <w:rFonts w:ascii="Arial" w:hAnsi="Arial" w:cs="Arial"/>
                          <w:i/>
                          <w:iCs/>
                          <w:sz w:val="20"/>
                          <w:szCs w:val="20"/>
                          <w:lang w:val="en-GB"/>
                        </w:rPr>
                      </w:pPr>
                      <w:r w:rsidRPr="00C237A2">
                        <w:rPr>
                          <w:rFonts w:ascii="Arial" w:hAnsi="Arial" w:cs="Arial"/>
                          <w:i/>
                          <w:iCs/>
                          <w:sz w:val="20"/>
                          <w:szCs w:val="20"/>
                          <w:lang w:val="en-GB"/>
                        </w:rPr>
                        <w:t>Figure B-2 Average housing prices in euros for the Netherlands and per province, 2013-2018</w:t>
                      </w:r>
                    </w:p>
                    <w:p w14:paraId="19E2525B" w14:textId="6B402DFC" w:rsidR="00BD50E1" w:rsidRPr="00C237A2" w:rsidRDefault="00BD50E1" w:rsidP="00C237A2">
                      <w:pPr>
                        <w:pStyle w:val="Geenafstand"/>
                        <w:rPr>
                          <w:rFonts w:ascii="Arial" w:hAnsi="Arial" w:cs="Arial"/>
                          <w:sz w:val="20"/>
                          <w:szCs w:val="18"/>
                        </w:rPr>
                      </w:pPr>
                      <w:r w:rsidRPr="00C237A2">
                        <w:rPr>
                          <w:rFonts w:ascii="Arial" w:hAnsi="Arial" w:cs="Arial"/>
                          <w:sz w:val="20"/>
                          <w:szCs w:val="18"/>
                        </w:rPr>
                        <w:t xml:space="preserve">Source: </w:t>
                      </w:r>
                      <w:proofErr w:type="spellStart"/>
                      <w:r w:rsidRPr="00C237A2">
                        <w:rPr>
                          <w:rFonts w:ascii="Arial" w:hAnsi="Arial" w:cs="Arial"/>
                          <w:sz w:val="20"/>
                          <w:szCs w:val="18"/>
                        </w:rPr>
                        <w:t>Own</w:t>
                      </w:r>
                      <w:proofErr w:type="spellEnd"/>
                      <w:r w:rsidRPr="00C237A2">
                        <w:rPr>
                          <w:rFonts w:ascii="Arial" w:hAnsi="Arial" w:cs="Arial"/>
                          <w:sz w:val="20"/>
                          <w:szCs w:val="18"/>
                        </w:rPr>
                        <w:t xml:space="preserve"> </w:t>
                      </w:r>
                      <w:proofErr w:type="spellStart"/>
                      <w:r w:rsidRPr="00C237A2">
                        <w:rPr>
                          <w:rFonts w:ascii="Arial" w:hAnsi="Arial" w:cs="Arial"/>
                          <w:sz w:val="20"/>
                          <w:szCs w:val="18"/>
                        </w:rPr>
                        <w:t>illustration</w:t>
                      </w:r>
                      <w:proofErr w:type="spellEnd"/>
                      <w:r w:rsidRPr="00C237A2">
                        <w:rPr>
                          <w:rFonts w:ascii="Arial" w:hAnsi="Arial" w:cs="Arial"/>
                          <w:sz w:val="20"/>
                          <w:szCs w:val="18"/>
                        </w:rPr>
                        <w:t xml:space="preserve"> </w:t>
                      </w:r>
                    </w:p>
                  </w:txbxContent>
                </v:textbox>
                <w10:wrap type="square"/>
              </v:shape>
            </w:pict>
          </mc:Fallback>
        </mc:AlternateContent>
      </w:r>
      <w:r w:rsidRPr="00F33413">
        <w:rPr>
          <w:rFonts w:ascii="Arial" w:eastAsiaTheme="minorHAnsi" w:hAnsi="Arial" w:cs="Arial"/>
          <w:b/>
          <w:bCs/>
          <w:noProof/>
          <w:color w:val="auto"/>
          <w:sz w:val="24"/>
          <w:szCs w:val="24"/>
          <w:lang w:val="nl-NL"/>
        </w:rPr>
        <w:drawing>
          <wp:anchor distT="0" distB="0" distL="114300" distR="114300" simplePos="0" relativeHeight="251664384" behindDoc="0" locked="0" layoutInCell="1" allowOverlap="1" wp14:anchorId="4FC94D27" wp14:editId="4EC4D8E9">
            <wp:simplePos x="0" y="0"/>
            <wp:positionH relativeFrom="margin">
              <wp:posOffset>-271145</wp:posOffset>
            </wp:positionH>
            <wp:positionV relativeFrom="paragraph">
              <wp:posOffset>4434205</wp:posOffset>
            </wp:positionV>
            <wp:extent cx="5899150" cy="4028440"/>
            <wp:effectExtent l="0" t="0" r="6350" b="10160"/>
            <wp:wrapSquare wrapText="bothSides"/>
            <wp:docPr id="35" name="Grafiek 35">
              <a:extLst xmlns:a="http://schemas.openxmlformats.org/drawingml/2006/main">
                <a:ext uri="{FF2B5EF4-FFF2-40B4-BE49-F238E27FC236}">
                  <a16:creationId xmlns:a16="http://schemas.microsoft.com/office/drawing/2014/main" id="{02911668-4030-43FD-B81D-0FBA419896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F33413">
        <w:rPr>
          <w:rFonts w:ascii="Arial" w:eastAsiaTheme="minorHAnsi" w:hAnsi="Arial" w:cs="Arial"/>
          <w:b/>
          <w:bCs/>
          <w:noProof/>
          <w:color w:val="auto"/>
          <w:sz w:val="24"/>
          <w:szCs w:val="24"/>
          <w:lang w:val="nl-NL"/>
        </w:rPr>
        <mc:AlternateContent>
          <mc:Choice Requires="wps">
            <w:drawing>
              <wp:anchor distT="0" distB="0" distL="114300" distR="114300" simplePos="0" relativeHeight="251665408" behindDoc="0" locked="0" layoutInCell="1" allowOverlap="1" wp14:anchorId="70AB150C" wp14:editId="78BA19F8">
                <wp:simplePos x="0" y="0"/>
                <wp:positionH relativeFrom="column">
                  <wp:posOffset>-302895</wp:posOffset>
                </wp:positionH>
                <wp:positionV relativeFrom="paragraph">
                  <wp:posOffset>4021455</wp:posOffset>
                </wp:positionV>
                <wp:extent cx="6499225" cy="349250"/>
                <wp:effectExtent l="0" t="0" r="0" b="0"/>
                <wp:wrapSquare wrapText="bothSides"/>
                <wp:docPr id="32" name="Tekstvak 32"/>
                <wp:cNvGraphicFramePr/>
                <a:graphic xmlns:a="http://schemas.openxmlformats.org/drawingml/2006/main">
                  <a:graphicData uri="http://schemas.microsoft.com/office/word/2010/wordprocessingShape">
                    <wps:wsp>
                      <wps:cNvSpPr txBox="1"/>
                      <wps:spPr>
                        <a:xfrm>
                          <a:off x="0" y="0"/>
                          <a:ext cx="6499225" cy="349250"/>
                        </a:xfrm>
                        <a:prstGeom prst="rect">
                          <a:avLst/>
                        </a:prstGeom>
                        <a:solidFill>
                          <a:prstClr val="white"/>
                        </a:solidFill>
                        <a:ln>
                          <a:noFill/>
                        </a:ln>
                      </wps:spPr>
                      <wps:txbx>
                        <w:txbxContent>
                          <w:p w14:paraId="747E2B4A" w14:textId="502E6C4A" w:rsidR="00BD50E1" w:rsidRPr="0049475D" w:rsidRDefault="00BD50E1" w:rsidP="00C237A2">
                            <w:pPr>
                              <w:pStyle w:val="Geenafstand"/>
                              <w:rPr>
                                <w:rFonts w:ascii="Arial" w:hAnsi="Arial" w:cs="Arial"/>
                                <w:i/>
                                <w:iCs/>
                                <w:sz w:val="20"/>
                                <w:szCs w:val="20"/>
                                <w:lang w:val="en-GB"/>
                              </w:rPr>
                            </w:pPr>
                            <w:r w:rsidRPr="0049475D">
                              <w:rPr>
                                <w:rFonts w:ascii="Arial" w:hAnsi="Arial" w:cs="Arial"/>
                                <w:i/>
                                <w:iCs/>
                                <w:sz w:val="20"/>
                                <w:szCs w:val="20"/>
                                <w:lang w:val="en-GB"/>
                              </w:rPr>
                              <w:t xml:space="preserve">Figure B-1 Average housing prices in euros for the Netherlands and per province, 2007-2018 </w:t>
                            </w:r>
                          </w:p>
                          <w:p w14:paraId="744D1061" w14:textId="3A194919" w:rsidR="00BD50E1" w:rsidRPr="00C237A2" w:rsidRDefault="00BD50E1" w:rsidP="00C237A2">
                            <w:pPr>
                              <w:pStyle w:val="Geenafstand"/>
                              <w:rPr>
                                <w:rFonts w:ascii="Arial" w:hAnsi="Arial" w:cs="Arial"/>
                                <w:noProof/>
                                <w:sz w:val="20"/>
                                <w:szCs w:val="20"/>
                              </w:rPr>
                            </w:pPr>
                            <w:r w:rsidRPr="00C237A2">
                              <w:rPr>
                                <w:rFonts w:ascii="Arial" w:hAnsi="Arial" w:cs="Arial"/>
                                <w:sz w:val="20"/>
                                <w:szCs w:val="20"/>
                              </w:rPr>
                              <w:t xml:space="preserve">Source: </w:t>
                            </w:r>
                            <w:proofErr w:type="spellStart"/>
                            <w:r w:rsidRPr="00C237A2">
                              <w:rPr>
                                <w:rFonts w:ascii="Arial" w:hAnsi="Arial" w:cs="Arial"/>
                                <w:sz w:val="20"/>
                                <w:szCs w:val="20"/>
                              </w:rPr>
                              <w:t>Own</w:t>
                            </w:r>
                            <w:proofErr w:type="spellEnd"/>
                            <w:r w:rsidRPr="00C237A2">
                              <w:rPr>
                                <w:rFonts w:ascii="Arial" w:hAnsi="Arial" w:cs="Arial"/>
                                <w:sz w:val="20"/>
                                <w:szCs w:val="20"/>
                              </w:rPr>
                              <w:t xml:space="preserve"> </w:t>
                            </w:r>
                            <w:proofErr w:type="spellStart"/>
                            <w:r w:rsidRPr="00C237A2">
                              <w:rPr>
                                <w:rFonts w:ascii="Arial" w:hAnsi="Arial" w:cs="Arial"/>
                                <w:sz w:val="20"/>
                                <w:szCs w:val="20"/>
                              </w:rPr>
                              <w:t>illustration</w:t>
                            </w:r>
                            <w:proofErr w:type="spellEnd"/>
                            <w:r w:rsidRPr="00C237A2">
                              <w:rPr>
                                <w:rFonts w:ascii="Arial" w:hAnsi="Arial" w:cs="Arial"/>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AB150C" id="Tekstvak 32" o:spid="_x0000_s1037" type="#_x0000_t202" style="position:absolute;left:0;text-align:left;margin-left:-23.85pt;margin-top:316.65pt;width:511.75pt;height:2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" stroked="f">
                <v:textbox inset="0,0,0,0">
                  <w:txbxContent>
                    <w:p w14:paraId="747E2B4A" w14:textId="502E6C4A" w:rsidR="00BD50E1" w:rsidRPr="0049475D" w:rsidRDefault="00BD50E1" w:rsidP="00C237A2">
                      <w:pPr>
                        <w:pStyle w:val="Geenafstand"/>
                        <w:rPr>
                          <w:rFonts w:ascii="Arial" w:hAnsi="Arial" w:cs="Arial"/>
                          <w:i/>
                          <w:iCs/>
                          <w:sz w:val="20"/>
                          <w:szCs w:val="20"/>
                          <w:lang w:val="en-GB"/>
                        </w:rPr>
                      </w:pPr>
                      <w:r w:rsidRPr="0049475D">
                        <w:rPr>
                          <w:rFonts w:ascii="Arial" w:hAnsi="Arial" w:cs="Arial"/>
                          <w:i/>
                          <w:iCs/>
                          <w:sz w:val="20"/>
                          <w:szCs w:val="20"/>
                          <w:lang w:val="en-GB"/>
                        </w:rPr>
                        <w:t xml:space="preserve">Figure B-1 Average housing prices in euros for the Netherlands and per province, 2007-2018 </w:t>
                      </w:r>
                    </w:p>
                    <w:p w14:paraId="744D1061" w14:textId="3A194919" w:rsidR="00BD50E1" w:rsidRPr="00C237A2" w:rsidRDefault="00BD50E1" w:rsidP="00C237A2">
                      <w:pPr>
                        <w:pStyle w:val="Geenafstand"/>
                        <w:rPr>
                          <w:rFonts w:ascii="Arial" w:hAnsi="Arial" w:cs="Arial"/>
                          <w:noProof/>
                          <w:sz w:val="20"/>
                          <w:szCs w:val="20"/>
                        </w:rPr>
                      </w:pPr>
                      <w:r w:rsidRPr="00C237A2">
                        <w:rPr>
                          <w:rFonts w:ascii="Arial" w:hAnsi="Arial" w:cs="Arial"/>
                          <w:sz w:val="20"/>
                          <w:szCs w:val="20"/>
                        </w:rPr>
                        <w:t xml:space="preserve">Source: </w:t>
                      </w:r>
                      <w:proofErr w:type="spellStart"/>
                      <w:r w:rsidRPr="00C237A2">
                        <w:rPr>
                          <w:rFonts w:ascii="Arial" w:hAnsi="Arial" w:cs="Arial"/>
                          <w:sz w:val="20"/>
                          <w:szCs w:val="20"/>
                        </w:rPr>
                        <w:t>Own</w:t>
                      </w:r>
                      <w:proofErr w:type="spellEnd"/>
                      <w:r w:rsidRPr="00C237A2">
                        <w:rPr>
                          <w:rFonts w:ascii="Arial" w:hAnsi="Arial" w:cs="Arial"/>
                          <w:sz w:val="20"/>
                          <w:szCs w:val="20"/>
                        </w:rPr>
                        <w:t xml:space="preserve"> </w:t>
                      </w:r>
                      <w:proofErr w:type="spellStart"/>
                      <w:r w:rsidRPr="00C237A2">
                        <w:rPr>
                          <w:rFonts w:ascii="Arial" w:hAnsi="Arial" w:cs="Arial"/>
                          <w:sz w:val="20"/>
                          <w:szCs w:val="20"/>
                        </w:rPr>
                        <w:t>illustration</w:t>
                      </w:r>
                      <w:proofErr w:type="spellEnd"/>
                      <w:r w:rsidRPr="00C237A2">
                        <w:rPr>
                          <w:rFonts w:ascii="Arial" w:hAnsi="Arial" w:cs="Arial"/>
                          <w:sz w:val="20"/>
                          <w:szCs w:val="20"/>
                        </w:rPr>
                        <w:t xml:space="preserve"> </w:t>
                      </w:r>
                    </w:p>
                  </w:txbxContent>
                </v:textbox>
                <w10:wrap type="square"/>
              </v:shape>
            </w:pict>
          </mc:Fallback>
        </mc:AlternateContent>
      </w:r>
      <w:r w:rsidR="00C237A2" w:rsidRPr="00F33413">
        <w:rPr>
          <w:rFonts w:ascii="Arial" w:eastAsiaTheme="minorHAnsi" w:hAnsi="Arial" w:cs="Arial"/>
          <w:b/>
          <w:bCs/>
          <w:noProof/>
          <w:color w:val="auto"/>
          <w:sz w:val="24"/>
          <w:szCs w:val="24"/>
          <w:lang w:val="nl-NL"/>
        </w:rPr>
        <w:drawing>
          <wp:anchor distT="0" distB="0" distL="114300" distR="114300" simplePos="0" relativeHeight="251666432" behindDoc="0" locked="0" layoutInCell="1" allowOverlap="1" wp14:anchorId="0E9CA1B9" wp14:editId="475E33E1">
            <wp:simplePos x="0" y="0"/>
            <wp:positionH relativeFrom="margin">
              <wp:posOffset>-296545</wp:posOffset>
            </wp:positionH>
            <wp:positionV relativeFrom="paragraph">
              <wp:posOffset>230505</wp:posOffset>
            </wp:positionV>
            <wp:extent cx="5924550" cy="3765550"/>
            <wp:effectExtent l="0" t="0" r="0" b="6350"/>
            <wp:wrapSquare wrapText="bothSides"/>
            <wp:docPr id="36" name="Grafiek 36">
              <a:extLst xmlns:a="http://schemas.openxmlformats.org/drawingml/2006/main">
                <a:ext uri="{FF2B5EF4-FFF2-40B4-BE49-F238E27FC236}">
                  <a16:creationId xmlns:a16="http://schemas.microsoft.com/office/drawing/2014/main" id="{200BFC51-6E6B-4130-9B02-550A3F7966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7F043B" w:rsidRPr="00F33413">
        <w:rPr>
          <w:rFonts w:ascii="Arial" w:eastAsiaTheme="minorHAnsi" w:hAnsi="Arial" w:cs="Arial"/>
          <w:b/>
          <w:bCs/>
          <w:color w:val="auto"/>
          <w:sz w:val="24"/>
          <w:szCs w:val="24"/>
          <w:lang w:val="en-GB"/>
        </w:rPr>
        <w:t>Appendix B</w:t>
      </w:r>
      <w:bookmarkEnd w:id="19"/>
      <w:r w:rsidR="007F043B" w:rsidRPr="00F33413">
        <w:rPr>
          <w:rFonts w:ascii="Arial" w:eastAsiaTheme="minorHAnsi" w:hAnsi="Arial" w:cs="Arial"/>
          <w:b/>
          <w:bCs/>
          <w:sz w:val="24"/>
          <w:szCs w:val="24"/>
          <w:lang w:val="en-GB"/>
        </w:rPr>
        <w:t xml:space="preserve"> </w:t>
      </w:r>
    </w:p>
    <w:p w14:paraId="4FB434B2" w14:textId="1A2BDB9F" w:rsidR="007F043B" w:rsidRPr="005B4B35" w:rsidRDefault="0049475D" w:rsidP="007F043B">
      <w:pPr>
        <w:spacing w:after="160" w:line="259" w:lineRule="auto"/>
        <w:ind w:firstLine="0"/>
        <w:jc w:val="left"/>
        <w:rPr>
          <w:rFonts w:asciiTheme="minorHAnsi" w:eastAsiaTheme="minorHAnsi" w:hAnsiTheme="minorHAnsi" w:cstheme="minorBidi"/>
          <w:sz w:val="22"/>
          <w:szCs w:val="22"/>
          <w:lang w:val="en-GB"/>
        </w:rPr>
      </w:pPr>
      <w:r w:rsidRPr="005B4B35">
        <w:rPr>
          <w:rFonts w:asciiTheme="minorHAnsi" w:eastAsiaTheme="minorHAnsi" w:hAnsiTheme="minorHAnsi" w:cstheme="minorBidi"/>
          <w:noProof/>
          <w:sz w:val="22"/>
          <w:szCs w:val="22"/>
          <w:lang w:val="nl-NL"/>
        </w:rPr>
        <w:lastRenderedPageBreak/>
        <mc:AlternateContent>
          <mc:Choice Requires="wps">
            <w:drawing>
              <wp:anchor distT="0" distB="0" distL="114300" distR="114300" simplePos="0" relativeHeight="251670528" behindDoc="0" locked="0" layoutInCell="1" allowOverlap="1" wp14:anchorId="0D0D6916" wp14:editId="0A00F13A">
                <wp:simplePos x="0" y="0"/>
                <wp:positionH relativeFrom="column">
                  <wp:posOffset>-296545</wp:posOffset>
                </wp:positionH>
                <wp:positionV relativeFrom="paragraph">
                  <wp:posOffset>3862705</wp:posOffset>
                </wp:positionV>
                <wp:extent cx="6045200" cy="304800"/>
                <wp:effectExtent l="0" t="0" r="0" b="0"/>
                <wp:wrapSquare wrapText="bothSides"/>
                <wp:docPr id="7" name="Tekstvak 7"/>
                <wp:cNvGraphicFramePr/>
                <a:graphic xmlns:a="http://schemas.openxmlformats.org/drawingml/2006/main">
                  <a:graphicData uri="http://schemas.microsoft.com/office/word/2010/wordprocessingShape">
                    <wps:wsp>
                      <wps:cNvSpPr txBox="1"/>
                      <wps:spPr>
                        <a:xfrm>
                          <a:off x="0" y="0"/>
                          <a:ext cx="6045200" cy="304800"/>
                        </a:xfrm>
                        <a:prstGeom prst="rect">
                          <a:avLst/>
                        </a:prstGeom>
                        <a:solidFill>
                          <a:prstClr val="white"/>
                        </a:solidFill>
                        <a:ln>
                          <a:noFill/>
                        </a:ln>
                      </wps:spPr>
                      <wps:txbx>
                        <w:txbxContent>
                          <w:p w14:paraId="251A4748" w14:textId="20795A8D" w:rsidR="00BD50E1" w:rsidRPr="006C1296" w:rsidRDefault="00BD50E1" w:rsidP="0049475D">
                            <w:pPr>
                              <w:pStyle w:val="Geenafstand"/>
                              <w:rPr>
                                <w:rFonts w:ascii="Arial" w:hAnsi="Arial" w:cs="Arial"/>
                                <w:i/>
                                <w:iCs/>
                                <w:sz w:val="20"/>
                                <w:szCs w:val="20"/>
                                <w:lang w:val="en-GB"/>
                              </w:rPr>
                            </w:pPr>
                            <w:r w:rsidRPr="006C1296">
                              <w:rPr>
                                <w:rFonts w:ascii="Arial" w:hAnsi="Arial" w:cs="Arial"/>
                                <w:i/>
                                <w:iCs/>
                                <w:sz w:val="20"/>
                                <w:szCs w:val="20"/>
                                <w:lang w:val="en-GB"/>
                              </w:rPr>
                              <w:t>Figure B-3 House price index for the Netherlands and Denmark, 1980-2018</w:t>
                            </w:r>
                          </w:p>
                          <w:p w14:paraId="6A938665" w14:textId="1BFCD529" w:rsidR="00BD50E1" w:rsidRPr="0049475D" w:rsidRDefault="00BD50E1" w:rsidP="0049475D">
                            <w:pPr>
                              <w:pStyle w:val="Geenafstand"/>
                              <w:rPr>
                                <w:rFonts w:ascii="Arial" w:hAnsi="Arial" w:cs="Arial"/>
                                <w:sz w:val="20"/>
                                <w:szCs w:val="20"/>
                              </w:rPr>
                            </w:pPr>
                            <w:r w:rsidRPr="0049475D">
                              <w:rPr>
                                <w:rFonts w:ascii="Arial" w:hAnsi="Arial" w:cs="Arial"/>
                                <w:sz w:val="20"/>
                                <w:szCs w:val="20"/>
                              </w:rPr>
                              <w:t xml:space="preserve">Source: </w:t>
                            </w:r>
                            <w:proofErr w:type="spellStart"/>
                            <w:r w:rsidRPr="0049475D">
                              <w:rPr>
                                <w:rFonts w:ascii="Arial" w:hAnsi="Arial" w:cs="Arial"/>
                                <w:sz w:val="20"/>
                                <w:szCs w:val="20"/>
                              </w:rPr>
                              <w:t>Own</w:t>
                            </w:r>
                            <w:proofErr w:type="spellEnd"/>
                            <w:r w:rsidRPr="0049475D">
                              <w:rPr>
                                <w:rFonts w:ascii="Arial" w:hAnsi="Arial" w:cs="Arial"/>
                                <w:sz w:val="20"/>
                                <w:szCs w:val="20"/>
                              </w:rPr>
                              <w:t xml:space="preserve"> </w:t>
                            </w:r>
                            <w:proofErr w:type="spellStart"/>
                            <w:r w:rsidRPr="0049475D">
                              <w:rPr>
                                <w:rFonts w:ascii="Arial" w:hAnsi="Arial" w:cs="Arial"/>
                                <w:sz w:val="20"/>
                                <w:szCs w:val="20"/>
                              </w:rPr>
                              <w:t>illustration</w:t>
                            </w:r>
                            <w:proofErr w:type="spellEnd"/>
                            <w:r w:rsidRPr="0049475D">
                              <w:rPr>
                                <w:rFonts w:ascii="Arial" w:hAnsi="Arial" w:cs="Arial"/>
                                <w:sz w:val="20"/>
                                <w:szCs w:val="20"/>
                              </w:rPr>
                              <w:t xml:space="preserve"> </w:t>
                            </w:r>
                          </w:p>
                          <w:p w14:paraId="1F5191A2" w14:textId="77777777" w:rsidR="00BD50E1" w:rsidRPr="0049475D" w:rsidRDefault="00BD50E1" w:rsidP="0049475D">
                            <w:pPr>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0D6916" id="Tekstvak 7" o:spid="_x0000_s1038" type="#_x0000_t202" style="position:absolute;margin-left:-23.35pt;margin-top:304.15pt;width:476pt;height:2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" stroked="f">
                <v:textbox inset="0,0,0,0">
                  <w:txbxContent>
                    <w:p w14:paraId="251A4748" w14:textId="20795A8D" w:rsidR="00BD50E1" w:rsidRPr="006C1296" w:rsidRDefault="00BD50E1" w:rsidP="0049475D">
                      <w:pPr>
                        <w:pStyle w:val="Geenafstand"/>
                        <w:rPr>
                          <w:rFonts w:ascii="Arial" w:hAnsi="Arial" w:cs="Arial"/>
                          <w:i/>
                          <w:iCs/>
                          <w:sz w:val="20"/>
                          <w:szCs w:val="20"/>
                          <w:lang w:val="en-GB"/>
                        </w:rPr>
                      </w:pPr>
                      <w:r w:rsidRPr="006C1296">
                        <w:rPr>
                          <w:rFonts w:ascii="Arial" w:hAnsi="Arial" w:cs="Arial"/>
                          <w:i/>
                          <w:iCs/>
                          <w:sz w:val="20"/>
                          <w:szCs w:val="20"/>
                          <w:lang w:val="en-GB"/>
                        </w:rPr>
                        <w:t>Figure B-3 House price index for the Netherlands and Denmark, 1980-2018</w:t>
                      </w:r>
                    </w:p>
                    <w:p w14:paraId="6A938665" w14:textId="1BFCD529" w:rsidR="00BD50E1" w:rsidRPr="0049475D" w:rsidRDefault="00BD50E1" w:rsidP="0049475D">
                      <w:pPr>
                        <w:pStyle w:val="Geenafstand"/>
                        <w:rPr>
                          <w:rFonts w:ascii="Arial" w:hAnsi="Arial" w:cs="Arial"/>
                          <w:sz w:val="20"/>
                          <w:szCs w:val="20"/>
                        </w:rPr>
                      </w:pPr>
                      <w:r w:rsidRPr="0049475D">
                        <w:rPr>
                          <w:rFonts w:ascii="Arial" w:hAnsi="Arial" w:cs="Arial"/>
                          <w:sz w:val="20"/>
                          <w:szCs w:val="20"/>
                        </w:rPr>
                        <w:t xml:space="preserve">Source: </w:t>
                      </w:r>
                      <w:proofErr w:type="spellStart"/>
                      <w:r w:rsidRPr="0049475D">
                        <w:rPr>
                          <w:rFonts w:ascii="Arial" w:hAnsi="Arial" w:cs="Arial"/>
                          <w:sz w:val="20"/>
                          <w:szCs w:val="20"/>
                        </w:rPr>
                        <w:t>Own</w:t>
                      </w:r>
                      <w:proofErr w:type="spellEnd"/>
                      <w:r w:rsidRPr="0049475D">
                        <w:rPr>
                          <w:rFonts w:ascii="Arial" w:hAnsi="Arial" w:cs="Arial"/>
                          <w:sz w:val="20"/>
                          <w:szCs w:val="20"/>
                        </w:rPr>
                        <w:t xml:space="preserve"> </w:t>
                      </w:r>
                      <w:proofErr w:type="spellStart"/>
                      <w:r w:rsidRPr="0049475D">
                        <w:rPr>
                          <w:rFonts w:ascii="Arial" w:hAnsi="Arial" w:cs="Arial"/>
                          <w:sz w:val="20"/>
                          <w:szCs w:val="20"/>
                        </w:rPr>
                        <w:t>illustration</w:t>
                      </w:r>
                      <w:proofErr w:type="spellEnd"/>
                      <w:r w:rsidRPr="0049475D">
                        <w:rPr>
                          <w:rFonts w:ascii="Arial" w:hAnsi="Arial" w:cs="Arial"/>
                          <w:sz w:val="20"/>
                          <w:szCs w:val="20"/>
                        </w:rPr>
                        <w:t xml:space="preserve"> </w:t>
                      </w:r>
                    </w:p>
                    <w:p w14:paraId="1F5191A2" w14:textId="77777777" w:rsidR="00BD50E1" w:rsidRPr="0049475D" w:rsidRDefault="00BD50E1" w:rsidP="0049475D">
                      <w:pPr>
                        <w:rPr>
                          <w:lang w:val="en-GB"/>
                        </w:rPr>
                      </w:pPr>
                    </w:p>
                  </w:txbxContent>
                </v:textbox>
                <w10:wrap type="square"/>
              </v:shape>
            </w:pict>
          </mc:Fallback>
        </mc:AlternateContent>
      </w:r>
      <w:r w:rsidR="007F043B" w:rsidRPr="005B4B35">
        <w:rPr>
          <w:rFonts w:asciiTheme="minorHAnsi" w:eastAsiaTheme="minorHAnsi" w:hAnsiTheme="minorHAnsi" w:cstheme="minorBidi"/>
          <w:noProof/>
          <w:sz w:val="22"/>
          <w:szCs w:val="22"/>
          <w:lang w:val="nl-NL"/>
        </w:rPr>
        <w:drawing>
          <wp:anchor distT="0" distB="0" distL="114300" distR="114300" simplePos="0" relativeHeight="251669504" behindDoc="0" locked="0" layoutInCell="1" allowOverlap="1" wp14:anchorId="0BCD3FF7" wp14:editId="5C1BAC30">
            <wp:simplePos x="0" y="0"/>
            <wp:positionH relativeFrom="margin">
              <wp:posOffset>-296545</wp:posOffset>
            </wp:positionH>
            <wp:positionV relativeFrom="paragraph">
              <wp:posOffset>4180205</wp:posOffset>
            </wp:positionV>
            <wp:extent cx="6572250" cy="4166235"/>
            <wp:effectExtent l="0" t="0" r="0" b="5715"/>
            <wp:wrapSquare wrapText="bothSides"/>
            <wp:docPr id="6" name="Grafiek 6">
              <a:extLst xmlns:a="http://schemas.openxmlformats.org/drawingml/2006/main">
                <a:ext uri="{FF2B5EF4-FFF2-40B4-BE49-F238E27FC236}">
                  <a16:creationId xmlns:a16="http://schemas.microsoft.com/office/drawing/2014/main" id="{E9F38A84-146D-45AD-B5B1-710E83C804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anchor>
        </w:drawing>
      </w:r>
      <w:r w:rsidR="007F043B" w:rsidRPr="005B4B35">
        <w:rPr>
          <w:rFonts w:asciiTheme="minorHAnsi" w:eastAsiaTheme="minorHAnsi" w:hAnsiTheme="minorHAnsi" w:cstheme="minorBidi"/>
          <w:noProof/>
          <w:sz w:val="22"/>
          <w:szCs w:val="22"/>
          <w:lang w:val="nl-NL"/>
        </w:rPr>
        <w:drawing>
          <wp:anchor distT="0" distB="0" distL="114300" distR="114300" simplePos="0" relativeHeight="251668480" behindDoc="0" locked="0" layoutInCell="1" allowOverlap="1" wp14:anchorId="2CA995E4" wp14:editId="00E80740">
            <wp:simplePos x="0" y="0"/>
            <wp:positionH relativeFrom="margin">
              <wp:posOffset>-296545</wp:posOffset>
            </wp:positionH>
            <wp:positionV relativeFrom="paragraph">
              <wp:posOffset>1905</wp:posOffset>
            </wp:positionV>
            <wp:extent cx="6572250" cy="3803650"/>
            <wp:effectExtent l="0" t="0" r="0" b="6350"/>
            <wp:wrapSquare wrapText="bothSides"/>
            <wp:docPr id="5" name="Grafiek 5">
              <a:extLst xmlns:a="http://schemas.openxmlformats.org/drawingml/2006/main">
                <a:ext uri="{FF2B5EF4-FFF2-40B4-BE49-F238E27FC236}">
                  <a16:creationId xmlns:a16="http://schemas.microsoft.com/office/drawing/2014/main" id="{CA3CE065-9499-45E5-ADD4-8EA254CEBD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7F043B" w:rsidRPr="005B4B35">
        <w:rPr>
          <w:rFonts w:asciiTheme="minorHAnsi" w:eastAsiaTheme="minorHAnsi" w:hAnsiTheme="minorHAnsi" w:cstheme="minorBidi"/>
          <w:noProof/>
          <w:sz w:val="22"/>
          <w:szCs w:val="22"/>
          <w:lang w:val="nl-NL"/>
        </w:rPr>
        <mc:AlternateContent>
          <mc:Choice Requires="wps">
            <w:drawing>
              <wp:anchor distT="0" distB="0" distL="114300" distR="114300" simplePos="0" relativeHeight="251671552" behindDoc="0" locked="0" layoutInCell="1" allowOverlap="1" wp14:anchorId="606AD74C" wp14:editId="399F6A68">
                <wp:simplePos x="0" y="0"/>
                <wp:positionH relativeFrom="column">
                  <wp:posOffset>-297180</wp:posOffset>
                </wp:positionH>
                <wp:positionV relativeFrom="paragraph">
                  <wp:posOffset>8403590</wp:posOffset>
                </wp:positionV>
                <wp:extent cx="6045200" cy="635"/>
                <wp:effectExtent l="0" t="0" r="0" b="0"/>
                <wp:wrapSquare wrapText="bothSides"/>
                <wp:docPr id="8" name="Tekstvak 8"/>
                <wp:cNvGraphicFramePr/>
                <a:graphic xmlns:a="http://schemas.openxmlformats.org/drawingml/2006/main">
                  <a:graphicData uri="http://schemas.microsoft.com/office/word/2010/wordprocessingShape">
                    <wps:wsp>
                      <wps:cNvSpPr txBox="1"/>
                      <wps:spPr>
                        <a:xfrm>
                          <a:off x="0" y="0"/>
                          <a:ext cx="6045200" cy="635"/>
                        </a:xfrm>
                        <a:prstGeom prst="rect">
                          <a:avLst/>
                        </a:prstGeom>
                        <a:solidFill>
                          <a:prstClr val="white"/>
                        </a:solidFill>
                        <a:ln>
                          <a:noFill/>
                        </a:ln>
                      </wps:spPr>
                      <wps:txbx>
                        <w:txbxContent>
                          <w:p w14:paraId="3C0817E0" w14:textId="4EE2CB04" w:rsidR="00BD50E1" w:rsidRDefault="00BD50E1" w:rsidP="009A5764">
                            <w:pPr>
                              <w:pStyle w:val="Geenafstand"/>
                              <w:rPr>
                                <w:rFonts w:ascii="Arial" w:hAnsi="Arial" w:cs="Arial"/>
                                <w:i/>
                                <w:iCs/>
                                <w:sz w:val="20"/>
                                <w:szCs w:val="20"/>
                                <w:lang w:val="en-GB"/>
                              </w:rPr>
                            </w:pPr>
                            <w:r w:rsidRPr="009A5764">
                              <w:rPr>
                                <w:rFonts w:ascii="Arial" w:hAnsi="Arial" w:cs="Arial"/>
                                <w:i/>
                                <w:iCs/>
                                <w:sz w:val="20"/>
                                <w:szCs w:val="20"/>
                                <w:lang w:val="en-GB"/>
                              </w:rPr>
                              <w:t>Figure B-4 House price index for the Netherlands and Denmark, 1980-1997</w:t>
                            </w:r>
                          </w:p>
                          <w:p w14:paraId="6D93251A" w14:textId="504053B7" w:rsidR="00BD50E1" w:rsidRPr="009A5764" w:rsidRDefault="00BD50E1" w:rsidP="009A5764">
                            <w:pPr>
                              <w:pStyle w:val="Geenafstand"/>
                              <w:rPr>
                                <w:rFonts w:ascii="Arial" w:hAnsi="Arial" w:cs="Arial"/>
                                <w:sz w:val="20"/>
                                <w:szCs w:val="20"/>
                                <w:lang w:val="en-GB"/>
                              </w:rPr>
                            </w:pPr>
                            <w:r>
                              <w:rPr>
                                <w:rFonts w:ascii="Arial" w:hAnsi="Arial" w:cs="Arial"/>
                                <w:sz w:val="20"/>
                                <w:szCs w:val="20"/>
                                <w:lang w:val="en-GB"/>
                              </w:rPr>
                              <w:t xml:space="preserve">Source: Own illustration </w:t>
                            </w:r>
                          </w:p>
                          <w:p w14:paraId="7CDEE09A" w14:textId="77777777" w:rsidR="00BD50E1" w:rsidRPr="009A5764" w:rsidRDefault="00BD50E1" w:rsidP="009A5764">
                            <w:pPr>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6AD74C" id="Tekstvak 8" o:spid="_x0000_s1039" type="#_x0000_t202" style="position:absolute;margin-left:-23.4pt;margin-top:661.7pt;width:47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" stroked="f">
                <v:textbox style="mso-fit-shape-to-text:t" inset="0,0,0,0">
                  <w:txbxContent>
                    <w:p w14:paraId="3C0817E0" w14:textId="4EE2CB04" w:rsidR="00BD50E1" w:rsidRDefault="00BD50E1" w:rsidP="009A5764">
                      <w:pPr>
                        <w:pStyle w:val="Geenafstand"/>
                        <w:rPr>
                          <w:rFonts w:ascii="Arial" w:hAnsi="Arial" w:cs="Arial"/>
                          <w:i/>
                          <w:iCs/>
                          <w:sz w:val="20"/>
                          <w:szCs w:val="20"/>
                          <w:lang w:val="en-GB"/>
                        </w:rPr>
                      </w:pPr>
                      <w:r w:rsidRPr="009A5764">
                        <w:rPr>
                          <w:rFonts w:ascii="Arial" w:hAnsi="Arial" w:cs="Arial"/>
                          <w:i/>
                          <w:iCs/>
                          <w:sz w:val="20"/>
                          <w:szCs w:val="20"/>
                          <w:lang w:val="en-GB"/>
                        </w:rPr>
                        <w:t>Figure B-4 House price index for the Netherlands and Denmark, 1980-1997</w:t>
                      </w:r>
                    </w:p>
                    <w:p w14:paraId="6D93251A" w14:textId="504053B7" w:rsidR="00BD50E1" w:rsidRPr="009A5764" w:rsidRDefault="00BD50E1" w:rsidP="009A5764">
                      <w:pPr>
                        <w:pStyle w:val="Geenafstand"/>
                        <w:rPr>
                          <w:rFonts w:ascii="Arial" w:hAnsi="Arial" w:cs="Arial"/>
                          <w:sz w:val="20"/>
                          <w:szCs w:val="20"/>
                          <w:lang w:val="en-GB"/>
                        </w:rPr>
                      </w:pPr>
                      <w:r>
                        <w:rPr>
                          <w:rFonts w:ascii="Arial" w:hAnsi="Arial" w:cs="Arial"/>
                          <w:sz w:val="20"/>
                          <w:szCs w:val="20"/>
                          <w:lang w:val="en-GB"/>
                        </w:rPr>
                        <w:t xml:space="preserve">Source: Own illustration </w:t>
                      </w:r>
                    </w:p>
                    <w:p w14:paraId="7CDEE09A" w14:textId="77777777" w:rsidR="00BD50E1" w:rsidRPr="009A5764" w:rsidRDefault="00BD50E1" w:rsidP="009A5764">
                      <w:pPr>
                        <w:rPr>
                          <w:lang w:val="en-GB"/>
                        </w:rPr>
                      </w:pPr>
                    </w:p>
                  </w:txbxContent>
                </v:textbox>
                <w10:wrap type="square"/>
              </v:shape>
            </w:pict>
          </mc:Fallback>
        </mc:AlternateContent>
      </w:r>
    </w:p>
    <w:p w14:paraId="4F56639C" w14:textId="77777777" w:rsidR="007F043B" w:rsidRPr="005B4B35" w:rsidRDefault="007F043B" w:rsidP="007F043B">
      <w:pPr>
        <w:spacing w:after="160" w:line="259" w:lineRule="auto"/>
        <w:ind w:firstLine="0"/>
        <w:jc w:val="left"/>
        <w:rPr>
          <w:rFonts w:ascii="Arial" w:eastAsiaTheme="minorHAnsi" w:hAnsi="Arial" w:cs="Arial"/>
          <w:sz w:val="20"/>
          <w:szCs w:val="22"/>
          <w:lang w:val="en-GB"/>
        </w:rPr>
      </w:pPr>
      <w:r w:rsidRPr="005B4B35">
        <w:rPr>
          <w:rFonts w:ascii="Arial" w:eastAsiaTheme="minorHAnsi" w:hAnsi="Arial" w:cs="Arial"/>
          <w:noProof/>
          <w:sz w:val="20"/>
          <w:szCs w:val="22"/>
          <w:lang w:val="en-GB"/>
        </w:rPr>
        <w:lastRenderedPageBreak/>
        <mc:AlternateContent>
          <mc:Choice Requires="wps">
            <w:drawing>
              <wp:anchor distT="45720" distB="45720" distL="114300" distR="114300" simplePos="0" relativeHeight="251681792" behindDoc="1" locked="0" layoutInCell="1" allowOverlap="1" wp14:anchorId="4B147571" wp14:editId="40BFB838">
                <wp:simplePos x="0" y="0"/>
                <wp:positionH relativeFrom="leftMargin">
                  <wp:posOffset>-838835</wp:posOffset>
                </wp:positionH>
                <wp:positionV relativeFrom="paragraph">
                  <wp:posOffset>2513965</wp:posOffset>
                </wp:positionV>
                <wp:extent cx="2976562" cy="441642"/>
                <wp:effectExtent l="0" t="8890" r="5715" b="5715"/>
                <wp:wrapNone/>
                <wp:docPr id="3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976562" cy="441642"/>
                        </a:xfrm>
                        <a:prstGeom prst="rect">
                          <a:avLst/>
                        </a:prstGeom>
                        <a:solidFill>
                          <a:srgbClr val="FFFFFF"/>
                        </a:solidFill>
                        <a:ln w="9525">
                          <a:noFill/>
                          <a:miter lim="800000"/>
                          <a:headEnd/>
                          <a:tailEnd/>
                        </a:ln>
                      </wps:spPr>
                      <wps:txbx>
                        <w:txbxContent>
                          <w:p w14:paraId="729B45C0" w14:textId="77777777" w:rsidR="00BD50E1" w:rsidRPr="00D04605" w:rsidRDefault="00BD50E1" w:rsidP="007F043B">
                            <w:pPr>
                              <w:rPr>
                                <w:rFonts w:ascii="Arial" w:hAnsi="Arial" w:cs="Arial"/>
                                <w:sz w:val="20"/>
                                <w:szCs w:val="20"/>
                              </w:rPr>
                            </w:pPr>
                            <w:r w:rsidRPr="00D04605">
                              <w:rPr>
                                <w:rFonts w:ascii="Arial" w:hAnsi="Arial" w:cs="Arial"/>
                                <w:sz w:val="20"/>
                                <w:szCs w:val="20"/>
                              </w:rPr>
                              <w:t>Nominal House Price Index (1995 = 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147571" id="_x0000_s1040" type="#_x0000_t202" style="position:absolute;margin-left:-66.05pt;margin-top:197.95pt;width:234.35pt;height:34.75pt;rotation:-90;z-index:-25163468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" stroked="f">
                <v:textbox>
                  <w:txbxContent>
                    <w:p w14:paraId="729B45C0" w14:textId="77777777" w:rsidR="00BD50E1" w:rsidRPr="00D04605" w:rsidRDefault="00BD50E1" w:rsidP="007F043B">
                      <w:pPr>
                        <w:rPr>
                          <w:rFonts w:ascii="Arial" w:hAnsi="Arial" w:cs="Arial"/>
                          <w:sz w:val="20"/>
                          <w:szCs w:val="20"/>
                        </w:rPr>
                      </w:pPr>
                      <w:r w:rsidRPr="00D04605">
                        <w:rPr>
                          <w:rFonts w:ascii="Arial" w:hAnsi="Arial" w:cs="Arial"/>
                          <w:sz w:val="20"/>
                          <w:szCs w:val="20"/>
                        </w:rPr>
                        <w:t>Nominal House Price Index (1995 = 100)</w:t>
                      </w:r>
                    </w:p>
                  </w:txbxContent>
                </v:textbox>
                <w10:wrap anchorx="margin"/>
              </v:shape>
            </w:pict>
          </mc:Fallback>
        </mc:AlternateContent>
      </w:r>
      <w:r w:rsidRPr="005B4B35">
        <w:rPr>
          <w:rFonts w:asciiTheme="minorHAnsi" w:eastAsiaTheme="minorHAnsi" w:hAnsiTheme="minorHAnsi" w:cstheme="minorBidi"/>
          <w:noProof/>
          <w:sz w:val="22"/>
          <w:szCs w:val="22"/>
          <w:lang w:val="nl-NL"/>
        </w:rPr>
        <w:drawing>
          <wp:inline distT="0" distB="0" distL="0" distR="0" wp14:anchorId="37ABD250" wp14:editId="55B01F1A">
            <wp:extent cx="5760720" cy="2839085"/>
            <wp:effectExtent l="0" t="0" r="11430" b="18415"/>
            <wp:docPr id="13" name="Grafiek 13">
              <a:extLst xmlns:a="http://schemas.openxmlformats.org/drawingml/2006/main">
                <a:ext uri="{FF2B5EF4-FFF2-40B4-BE49-F238E27FC236}">
                  <a16:creationId xmlns:a16="http://schemas.microsoft.com/office/drawing/2014/main" id="{5FCC3094-5213-438B-86D4-7E5FA4BF92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038346F" w14:textId="77777777" w:rsidR="007F043B" w:rsidRPr="005B4B35" w:rsidRDefault="007F043B" w:rsidP="007F043B">
      <w:pPr>
        <w:keepNext/>
        <w:spacing w:after="160" w:line="259" w:lineRule="auto"/>
        <w:ind w:firstLine="0"/>
        <w:jc w:val="left"/>
        <w:rPr>
          <w:rFonts w:asciiTheme="minorHAnsi" w:eastAsiaTheme="minorHAnsi" w:hAnsiTheme="minorHAnsi" w:cstheme="minorBidi"/>
          <w:sz w:val="22"/>
          <w:szCs w:val="22"/>
          <w:lang w:val="nl-NL"/>
        </w:rPr>
      </w:pPr>
      <w:r w:rsidRPr="005B4B35">
        <w:rPr>
          <w:rFonts w:asciiTheme="minorHAnsi" w:eastAsiaTheme="minorHAnsi" w:hAnsiTheme="minorHAnsi" w:cstheme="minorBidi"/>
          <w:noProof/>
          <w:sz w:val="22"/>
          <w:szCs w:val="22"/>
          <w:lang w:val="nl-NL"/>
        </w:rPr>
        <w:drawing>
          <wp:anchor distT="0" distB="0" distL="114300" distR="114300" simplePos="0" relativeHeight="251682816" behindDoc="0" locked="0" layoutInCell="1" allowOverlap="1" wp14:anchorId="60A612B1" wp14:editId="5E27FFDE">
            <wp:simplePos x="0" y="0"/>
            <wp:positionH relativeFrom="margin">
              <wp:align>center</wp:align>
            </wp:positionH>
            <wp:positionV relativeFrom="paragraph">
              <wp:posOffset>3030220</wp:posOffset>
            </wp:positionV>
            <wp:extent cx="1784350" cy="282870"/>
            <wp:effectExtent l="0" t="0" r="6350" b="317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9783" t="77337" r="37720" b="16323"/>
                    <a:stretch/>
                  </pic:blipFill>
                  <pic:spPr bwMode="auto">
                    <a:xfrm>
                      <a:off x="0" y="0"/>
                      <a:ext cx="1784350" cy="282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B4B35">
        <w:rPr>
          <w:rFonts w:asciiTheme="minorHAnsi" w:eastAsiaTheme="minorHAnsi" w:hAnsiTheme="minorHAnsi" w:cstheme="minorBidi"/>
          <w:noProof/>
          <w:sz w:val="22"/>
          <w:szCs w:val="22"/>
          <w:lang w:val="nl-NL"/>
        </w:rPr>
        <w:drawing>
          <wp:inline distT="0" distB="0" distL="0" distR="0" wp14:anchorId="3F8FD33F" wp14:editId="0BA7EB6F">
            <wp:extent cx="5760720" cy="3371850"/>
            <wp:effectExtent l="0" t="0" r="11430" b="0"/>
            <wp:docPr id="19" name="Grafiek 19">
              <a:extLst xmlns:a="http://schemas.openxmlformats.org/drawingml/2006/main">
                <a:ext uri="{FF2B5EF4-FFF2-40B4-BE49-F238E27FC236}">
                  <a16:creationId xmlns:a16="http://schemas.microsoft.com/office/drawing/2014/main" id="{F9471B4D-31F4-444A-BD2D-295DF7E850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D2F9B59" w14:textId="5B6617BD" w:rsidR="009A5764" w:rsidRPr="00423C92" w:rsidRDefault="007F043B" w:rsidP="009A5764">
      <w:pPr>
        <w:pStyle w:val="Geenafstand"/>
        <w:rPr>
          <w:rFonts w:ascii="Arial" w:hAnsi="Arial" w:cs="Arial"/>
          <w:i/>
          <w:iCs/>
          <w:sz w:val="20"/>
          <w:szCs w:val="20"/>
          <w:lang w:val="en-GB"/>
        </w:rPr>
      </w:pPr>
      <w:r w:rsidRPr="00423C92">
        <w:rPr>
          <w:rFonts w:ascii="Arial" w:hAnsi="Arial" w:cs="Arial"/>
          <w:i/>
          <w:iCs/>
          <w:sz w:val="20"/>
          <w:szCs w:val="20"/>
          <w:lang w:val="en-GB"/>
        </w:rPr>
        <w:t xml:space="preserve">Figure </w:t>
      </w:r>
      <w:r w:rsidR="009A5764" w:rsidRPr="00423C92">
        <w:rPr>
          <w:rFonts w:ascii="Arial" w:hAnsi="Arial" w:cs="Arial"/>
          <w:i/>
          <w:iCs/>
          <w:sz w:val="20"/>
          <w:szCs w:val="20"/>
          <w:lang w:val="en-GB"/>
        </w:rPr>
        <w:t>B-</w:t>
      </w:r>
      <w:r w:rsidRPr="00423C92">
        <w:rPr>
          <w:rFonts w:ascii="Arial" w:hAnsi="Arial" w:cs="Arial"/>
          <w:i/>
          <w:iCs/>
          <w:sz w:val="20"/>
          <w:szCs w:val="20"/>
          <w:lang w:val="en-GB"/>
        </w:rPr>
        <w:t>5 House Price Index for Denmark 1982-1990 and the Netherlands 2013-2018</w:t>
      </w:r>
    </w:p>
    <w:p w14:paraId="76A983C0" w14:textId="48707077" w:rsidR="009A5764" w:rsidRPr="009A5764" w:rsidRDefault="009A5764" w:rsidP="009A5764">
      <w:pPr>
        <w:pStyle w:val="Geenafstand"/>
        <w:rPr>
          <w:rFonts w:ascii="Arial" w:hAnsi="Arial" w:cs="Arial"/>
          <w:sz w:val="20"/>
          <w:szCs w:val="20"/>
        </w:rPr>
      </w:pPr>
      <w:r>
        <w:rPr>
          <w:rFonts w:ascii="Arial" w:hAnsi="Arial" w:cs="Arial"/>
          <w:sz w:val="20"/>
          <w:szCs w:val="20"/>
        </w:rPr>
        <w:t xml:space="preserve">Source: </w:t>
      </w:r>
      <w:proofErr w:type="spellStart"/>
      <w:r>
        <w:rPr>
          <w:rFonts w:ascii="Arial" w:hAnsi="Arial" w:cs="Arial"/>
          <w:sz w:val="20"/>
          <w:szCs w:val="20"/>
        </w:rPr>
        <w:t>Own</w:t>
      </w:r>
      <w:proofErr w:type="spellEnd"/>
      <w:r>
        <w:rPr>
          <w:rFonts w:ascii="Arial" w:hAnsi="Arial" w:cs="Arial"/>
          <w:sz w:val="20"/>
          <w:szCs w:val="20"/>
        </w:rPr>
        <w:t xml:space="preserve"> </w:t>
      </w:r>
      <w:proofErr w:type="spellStart"/>
      <w:r>
        <w:rPr>
          <w:rFonts w:ascii="Arial" w:hAnsi="Arial" w:cs="Arial"/>
          <w:sz w:val="20"/>
          <w:szCs w:val="20"/>
        </w:rPr>
        <w:t>illustration</w:t>
      </w:r>
      <w:proofErr w:type="spellEnd"/>
      <w:r>
        <w:rPr>
          <w:rFonts w:ascii="Arial" w:hAnsi="Arial" w:cs="Arial"/>
          <w:sz w:val="20"/>
          <w:szCs w:val="20"/>
        </w:rPr>
        <w:t xml:space="preserve"> </w:t>
      </w:r>
    </w:p>
    <w:p w14:paraId="47405B38" w14:textId="70B0796F" w:rsidR="007F043B" w:rsidRPr="009A5764" w:rsidRDefault="007F043B" w:rsidP="009A5764">
      <w:pPr>
        <w:pStyle w:val="Geenafstand"/>
        <w:rPr>
          <w:rFonts w:ascii="Arial" w:hAnsi="Arial" w:cs="Arial"/>
        </w:rPr>
      </w:pPr>
      <w:r w:rsidRPr="009A5764">
        <w:rPr>
          <w:rFonts w:ascii="Arial" w:hAnsi="Arial" w:cs="Arial"/>
        </w:rPr>
        <w:t xml:space="preserve">  </w:t>
      </w:r>
    </w:p>
    <w:p w14:paraId="110E67CA" w14:textId="77777777" w:rsidR="009A5764" w:rsidRPr="005B4B35" w:rsidRDefault="009A5764" w:rsidP="007F043B">
      <w:pPr>
        <w:spacing w:after="200" w:line="240" w:lineRule="auto"/>
        <w:ind w:firstLine="0"/>
        <w:jc w:val="left"/>
        <w:rPr>
          <w:rFonts w:ascii="Arial" w:eastAsiaTheme="minorHAnsi" w:hAnsi="Arial" w:cs="Arial"/>
          <w:sz w:val="20"/>
          <w:szCs w:val="22"/>
          <w:lang w:val="en-GB"/>
        </w:rPr>
      </w:pPr>
    </w:p>
    <w:p w14:paraId="0AF84578" w14:textId="77777777" w:rsidR="007F043B" w:rsidRPr="005B4B35" w:rsidRDefault="007F043B" w:rsidP="007F043B">
      <w:pPr>
        <w:spacing w:after="160" w:line="259" w:lineRule="auto"/>
        <w:ind w:firstLine="0"/>
        <w:jc w:val="left"/>
        <w:rPr>
          <w:rFonts w:ascii="Arial" w:eastAsiaTheme="minorHAnsi" w:hAnsi="Arial" w:cs="Arial"/>
          <w:sz w:val="20"/>
          <w:szCs w:val="22"/>
          <w:lang w:val="en-GB"/>
        </w:rPr>
      </w:pPr>
    </w:p>
    <w:p w14:paraId="718DC310" w14:textId="77777777" w:rsidR="007F043B" w:rsidRPr="005B4B35" w:rsidRDefault="007F043B" w:rsidP="007F043B">
      <w:pPr>
        <w:spacing w:after="160" w:line="259" w:lineRule="auto"/>
        <w:ind w:firstLine="0"/>
        <w:jc w:val="left"/>
        <w:rPr>
          <w:rFonts w:asciiTheme="minorHAnsi" w:eastAsiaTheme="minorHAnsi" w:hAnsiTheme="minorHAnsi" w:cstheme="minorBidi"/>
          <w:noProof/>
          <w:sz w:val="22"/>
          <w:szCs w:val="22"/>
          <w:lang w:val="en-GB"/>
        </w:rPr>
      </w:pPr>
      <w:r w:rsidRPr="005B4B35">
        <w:rPr>
          <w:rFonts w:ascii="Arial" w:eastAsiaTheme="minorHAnsi" w:hAnsi="Arial" w:cs="Arial"/>
          <w:sz w:val="20"/>
          <w:szCs w:val="22"/>
          <w:lang w:val="en-GB"/>
        </w:rPr>
        <w:br w:type="page"/>
      </w:r>
    </w:p>
    <w:p w14:paraId="66813F09" w14:textId="77777777" w:rsidR="007F043B" w:rsidRPr="005B4B35" w:rsidRDefault="007F043B" w:rsidP="007F043B">
      <w:pPr>
        <w:keepNext/>
        <w:spacing w:after="160" w:line="259" w:lineRule="auto"/>
        <w:ind w:firstLine="0"/>
        <w:jc w:val="left"/>
        <w:rPr>
          <w:rFonts w:asciiTheme="minorHAnsi" w:eastAsiaTheme="minorHAnsi" w:hAnsiTheme="minorHAnsi" w:cstheme="minorBidi"/>
          <w:sz w:val="22"/>
          <w:szCs w:val="22"/>
          <w:lang w:val="nl-NL"/>
        </w:rPr>
      </w:pPr>
      <w:r w:rsidRPr="005B4B35">
        <w:rPr>
          <w:rFonts w:asciiTheme="minorHAnsi" w:eastAsiaTheme="minorHAnsi" w:hAnsiTheme="minorHAnsi" w:cstheme="minorBidi"/>
          <w:noProof/>
          <w:sz w:val="22"/>
          <w:szCs w:val="22"/>
          <w:lang w:val="nl-NL"/>
        </w:rPr>
        <w:lastRenderedPageBreak/>
        <w:drawing>
          <wp:inline distT="0" distB="0" distL="0" distR="0" wp14:anchorId="43FFC91B" wp14:editId="46D2EB19">
            <wp:extent cx="5676900" cy="3048000"/>
            <wp:effectExtent l="0" t="0" r="0" b="0"/>
            <wp:docPr id="20" name="Grafiek 20">
              <a:extLst xmlns:a="http://schemas.openxmlformats.org/drawingml/2006/main">
                <a:ext uri="{FF2B5EF4-FFF2-40B4-BE49-F238E27FC236}">
                  <a16:creationId xmlns:a16="http://schemas.microsoft.com/office/drawing/2014/main" id="{F7E7D65F-A5C2-4EDB-8F9F-F5A77E22FC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E4E0A0C" w14:textId="77777777" w:rsidR="00C26280" w:rsidRPr="00423C92" w:rsidRDefault="007F043B" w:rsidP="00146D86">
      <w:pPr>
        <w:pStyle w:val="Geenafstand"/>
        <w:rPr>
          <w:rFonts w:ascii="Arial" w:hAnsi="Arial" w:cs="Arial"/>
          <w:i/>
          <w:iCs/>
          <w:sz w:val="20"/>
          <w:szCs w:val="20"/>
          <w:lang w:val="en-GB"/>
        </w:rPr>
      </w:pPr>
      <w:r w:rsidRPr="00423C92">
        <w:rPr>
          <w:rFonts w:ascii="Arial" w:hAnsi="Arial" w:cs="Arial"/>
          <w:i/>
          <w:iCs/>
          <w:sz w:val="20"/>
          <w:szCs w:val="20"/>
          <w:lang w:val="en-GB"/>
        </w:rPr>
        <w:t xml:space="preserve">Figure </w:t>
      </w:r>
      <w:r w:rsidR="008354AB" w:rsidRPr="00423C92">
        <w:rPr>
          <w:rFonts w:ascii="Arial" w:hAnsi="Arial" w:cs="Arial"/>
          <w:i/>
          <w:iCs/>
          <w:sz w:val="20"/>
          <w:szCs w:val="20"/>
          <w:lang w:val="en-GB"/>
        </w:rPr>
        <w:t>B-</w:t>
      </w:r>
      <w:r w:rsidRPr="00423C92">
        <w:rPr>
          <w:rFonts w:ascii="Arial" w:hAnsi="Arial" w:cs="Arial"/>
          <w:i/>
          <w:iCs/>
          <w:sz w:val="20"/>
          <w:szCs w:val="20"/>
          <w:lang w:val="en-GB"/>
        </w:rPr>
        <w:t>6 GDP growth in percentages for Denmark, 1982-1990</w:t>
      </w:r>
    </w:p>
    <w:p w14:paraId="3DAA2D47" w14:textId="77777777" w:rsidR="00C26280" w:rsidRDefault="00C26280" w:rsidP="00146D86">
      <w:pPr>
        <w:pStyle w:val="Geenafstand"/>
        <w:rPr>
          <w:rFonts w:ascii="Arial" w:hAnsi="Arial" w:cs="Arial"/>
          <w:sz w:val="20"/>
          <w:szCs w:val="20"/>
        </w:rPr>
      </w:pPr>
      <w:r>
        <w:rPr>
          <w:rFonts w:ascii="Arial" w:hAnsi="Arial" w:cs="Arial"/>
          <w:sz w:val="20"/>
          <w:szCs w:val="20"/>
        </w:rPr>
        <w:t xml:space="preserve">Source: </w:t>
      </w:r>
      <w:proofErr w:type="spellStart"/>
      <w:r>
        <w:rPr>
          <w:rFonts w:ascii="Arial" w:hAnsi="Arial" w:cs="Arial"/>
          <w:sz w:val="20"/>
          <w:szCs w:val="20"/>
        </w:rPr>
        <w:t>Own</w:t>
      </w:r>
      <w:proofErr w:type="spellEnd"/>
      <w:r>
        <w:rPr>
          <w:rFonts w:ascii="Arial" w:hAnsi="Arial" w:cs="Arial"/>
          <w:sz w:val="20"/>
          <w:szCs w:val="20"/>
        </w:rPr>
        <w:t xml:space="preserve"> </w:t>
      </w:r>
      <w:proofErr w:type="spellStart"/>
      <w:r>
        <w:rPr>
          <w:rFonts w:ascii="Arial" w:hAnsi="Arial" w:cs="Arial"/>
          <w:sz w:val="20"/>
          <w:szCs w:val="20"/>
        </w:rPr>
        <w:t>illustration</w:t>
      </w:r>
      <w:proofErr w:type="spellEnd"/>
    </w:p>
    <w:p w14:paraId="075C30C9" w14:textId="33256BED" w:rsidR="007F043B" w:rsidRPr="00146D86" w:rsidRDefault="007F043B" w:rsidP="00146D86">
      <w:pPr>
        <w:pStyle w:val="Geenafstand"/>
        <w:rPr>
          <w:rFonts w:ascii="Arial" w:hAnsi="Arial" w:cs="Arial"/>
          <w:i/>
          <w:iCs/>
          <w:sz w:val="20"/>
          <w:szCs w:val="20"/>
        </w:rPr>
      </w:pPr>
      <w:r w:rsidRPr="00146D86">
        <w:rPr>
          <w:rFonts w:ascii="Arial" w:hAnsi="Arial" w:cs="Arial"/>
          <w:i/>
          <w:iCs/>
          <w:sz w:val="20"/>
          <w:szCs w:val="20"/>
        </w:rPr>
        <w:t xml:space="preserve"> </w:t>
      </w:r>
    </w:p>
    <w:p w14:paraId="76C853CD" w14:textId="529E71E9" w:rsidR="007F043B" w:rsidRPr="00C26280" w:rsidRDefault="00C26280" w:rsidP="00C26280">
      <w:pPr>
        <w:spacing w:after="200" w:line="240" w:lineRule="auto"/>
        <w:ind w:firstLine="0"/>
        <w:jc w:val="left"/>
        <w:rPr>
          <w:rFonts w:ascii="Arial" w:eastAsiaTheme="minorHAnsi" w:hAnsi="Arial" w:cs="Arial"/>
          <w:sz w:val="20"/>
          <w:szCs w:val="20"/>
          <w:lang w:val="en-GB"/>
        </w:rPr>
      </w:pPr>
      <w:r w:rsidRPr="005B4B35">
        <w:rPr>
          <w:rFonts w:asciiTheme="minorHAnsi" w:eastAsiaTheme="minorHAnsi" w:hAnsiTheme="minorHAnsi" w:cstheme="minorBidi"/>
          <w:noProof/>
          <w:sz w:val="22"/>
          <w:szCs w:val="22"/>
          <w:lang w:val="nl-NL"/>
        </w:rPr>
        <w:drawing>
          <wp:inline distT="0" distB="0" distL="0" distR="0" wp14:anchorId="470F8590" wp14:editId="3983B989">
            <wp:extent cx="5676900" cy="3346450"/>
            <wp:effectExtent l="0" t="0" r="0" b="6350"/>
            <wp:docPr id="22" name="Grafiek 22">
              <a:extLst xmlns:a="http://schemas.openxmlformats.org/drawingml/2006/main">
                <a:ext uri="{FF2B5EF4-FFF2-40B4-BE49-F238E27FC236}">
                  <a16:creationId xmlns:a16="http://schemas.microsoft.com/office/drawing/2014/main" id="{F98D2340-FE93-4996-B05F-5035FC7B2A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E43D5EE" w14:textId="394EFF5B" w:rsidR="007F043B" w:rsidRDefault="007F043B" w:rsidP="00C26280">
      <w:pPr>
        <w:pStyle w:val="Geenafstand"/>
        <w:rPr>
          <w:rFonts w:ascii="Arial" w:hAnsi="Arial" w:cs="Arial"/>
          <w:i/>
          <w:iCs/>
          <w:sz w:val="20"/>
          <w:szCs w:val="20"/>
          <w:lang w:val="en-GB"/>
        </w:rPr>
      </w:pPr>
      <w:r w:rsidRPr="00C26280">
        <w:rPr>
          <w:rFonts w:ascii="Arial" w:hAnsi="Arial" w:cs="Arial"/>
          <w:i/>
          <w:iCs/>
          <w:sz w:val="20"/>
          <w:szCs w:val="20"/>
          <w:lang w:val="en-GB"/>
        </w:rPr>
        <w:t xml:space="preserve">Figure </w:t>
      </w:r>
      <w:r w:rsidR="00C26280" w:rsidRPr="00C26280">
        <w:rPr>
          <w:rFonts w:ascii="Arial" w:hAnsi="Arial" w:cs="Arial"/>
          <w:i/>
          <w:iCs/>
          <w:sz w:val="20"/>
          <w:szCs w:val="20"/>
          <w:lang w:val="en-GB"/>
        </w:rPr>
        <w:t>B-</w:t>
      </w:r>
      <w:r w:rsidRPr="00C26280">
        <w:rPr>
          <w:rFonts w:ascii="Arial" w:hAnsi="Arial" w:cs="Arial"/>
          <w:i/>
          <w:iCs/>
          <w:sz w:val="20"/>
          <w:szCs w:val="20"/>
          <w:lang w:val="en-GB"/>
        </w:rPr>
        <w:t>7 GDP growth in percentages for the Netherlands, 2013-2018</w:t>
      </w:r>
    </w:p>
    <w:p w14:paraId="26A723B9" w14:textId="1A957F80" w:rsidR="00C26280" w:rsidRPr="00C26280" w:rsidRDefault="00C26280" w:rsidP="00C26280">
      <w:pPr>
        <w:pStyle w:val="Geenafstand"/>
        <w:rPr>
          <w:rFonts w:ascii="Arial" w:hAnsi="Arial" w:cs="Arial"/>
          <w:sz w:val="20"/>
          <w:szCs w:val="20"/>
          <w:lang w:val="en-GB"/>
        </w:rPr>
      </w:pPr>
      <w:r>
        <w:rPr>
          <w:rFonts w:ascii="Arial" w:hAnsi="Arial" w:cs="Arial"/>
          <w:sz w:val="20"/>
          <w:szCs w:val="20"/>
          <w:lang w:val="en-GB"/>
        </w:rPr>
        <w:t>Source: Own illustration</w:t>
      </w:r>
    </w:p>
    <w:p w14:paraId="3859FFBF" w14:textId="77777777" w:rsidR="00C26280" w:rsidRPr="005B4B35" w:rsidRDefault="00C26280" w:rsidP="007F043B">
      <w:pPr>
        <w:spacing w:after="200" w:line="240" w:lineRule="auto"/>
        <w:ind w:firstLine="0"/>
        <w:jc w:val="left"/>
        <w:rPr>
          <w:rFonts w:ascii="Arial" w:eastAsiaTheme="minorHAnsi" w:hAnsi="Arial" w:cs="Arial"/>
          <w:i/>
          <w:iCs/>
          <w:sz w:val="20"/>
          <w:szCs w:val="20"/>
          <w:lang w:val="en-GB"/>
        </w:rPr>
      </w:pPr>
    </w:p>
    <w:p w14:paraId="0B731269"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en-GB"/>
        </w:rPr>
      </w:pPr>
    </w:p>
    <w:p w14:paraId="68BA497E" w14:textId="77777777" w:rsidR="008C6E73" w:rsidRDefault="00630A51" w:rsidP="008C6E73">
      <w:pPr>
        <w:keepNext/>
        <w:spacing w:after="160" w:line="259" w:lineRule="auto"/>
        <w:ind w:firstLine="0"/>
        <w:jc w:val="left"/>
      </w:pPr>
      <w:r>
        <w:rPr>
          <w:rFonts w:asciiTheme="minorHAnsi" w:eastAsiaTheme="minorHAnsi" w:hAnsiTheme="minorHAnsi" w:cstheme="minorBidi"/>
          <w:sz w:val="22"/>
          <w:szCs w:val="22"/>
          <w:lang w:val="en-GB"/>
        </w:rPr>
        <w:br w:type="page"/>
      </w:r>
      <w:r w:rsidR="00D54C4A">
        <w:rPr>
          <w:noProof/>
        </w:rPr>
        <w:lastRenderedPageBreak/>
        <w:drawing>
          <wp:inline distT="0" distB="0" distL="0" distR="0" wp14:anchorId="04870163" wp14:editId="11E30A0B">
            <wp:extent cx="5632450" cy="3549650"/>
            <wp:effectExtent l="0" t="0" r="6350" b="12700"/>
            <wp:docPr id="1" name="Grafiek 1">
              <a:extLst xmlns:a="http://schemas.openxmlformats.org/drawingml/2006/main">
                <a:ext uri="{FF2B5EF4-FFF2-40B4-BE49-F238E27FC236}">
                  <a16:creationId xmlns:a16="http://schemas.microsoft.com/office/drawing/2014/main" id="{1A58323A-B7EF-4FAC-98EF-C4A3919045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4027D51" w14:textId="279AE44A" w:rsidR="008C6E73" w:rsidRPr="00543E76" w:rsidRDefault="008C6E73" w:rsidP="00C26280">
      <w:pPr>
        <w:pStyle w:val="Geenafstand"/>
        <w:rPr>
          <w:rFonts w:ascii="Arial" w:hAnsi="Arial" w:cs="Arial"/>
          <w:i/>
          <w:iCs/>
          <w:sz w:val="20"/>
          <w:szCs w:val="20"/>
          <w:lang w:val="en-GB"/>
        </w:rPr>
      </w:pPr>
      <w:r w:rsidRPr="00543E76">
        <w:rPr>
          <w:rFonts w:ascii="Arial" w:hAnsi="Arial" w:cs="Arial"/>
          <w:i/>
          <w:iCs/>
          <w:sz w:val="20"/>
          <w:szCs w:val="20"/>
          <w:lang w:val="en-GB"/>
        </w:rPr>
        <w:t xml:space="preserve">Figure </w:t>
      </w:r>
      <w:r w:rsidR="00543E76" w:rsidRPr="00543E76">
        <w:rPr>
          <w:rFonts w:ascii="Arial" w:hAnsi="Arial" w:cs="Arial"/>
          <w:i/>
          <w:iCs/>
          <w:sz w:val="20"/>
          <w:szCs w:val="20"/>
          <w:lang w:val="en-GB"/>
        </w:rPr>
        <w:t>B-</w:t>
      </w:r>
      <w:r w:rsidR="003E23FC" w:rsidRPr="00543E76">
        <w:rPr>
          <w:rFonts w:ascii="Arial" w:hAnsi="Arial" w:cs="Arial"/>
          <w:i/>
          <w:iCs/>
          <w:sz w:val="20"/>
          <w:szCs w:val="20"/>
          <w:lang w:val="en-GB"/>
        </w:rPr>
        <w:t>8</w:t>
      </w:r>
      <w:r w:rsidRPr="00543E76">
        <w:rPr>
          <w:rFonts w:ascii="Arial" w:hAnsi="Arial" w:cs="Arial"/>
          <w:i/>
          <w:iCs/>
          <w:sz w:val="20"/>
          <w:szCs w:val="20"/>
          <w:lang w:val="en-GB"/>
        </w:rPr>
        <w:t xml:space="preserve"> GDP per capita in Dollars</w:t>
      </w:r>
      <w:r w:rsidR="003E23FC" w:rsidRPr="00543E76">
        <w:rPr>
          <w:rFonts w:ascii="Arial" w:hAnsi="Arial" w:cs="Arial"/>
          <w:i/>
          <w:iCs/>
          <w:sz w:val="20"/>
          <w:szCs w:val="20"/>
          <w:lang w:val="en-GB"/>
        </w:rPr>
        <w:t xml:space="preserve"> </w:t>
      </w:r>
      <w:r w:rsidRPr="00543E76">
        <w:rPr>
          <w:rFonts w:ascii="Arial" w:hAnsi="Arial" w:cs="Arial"/>
          <w:i/>
          <w:iCs/>
          <w:sz w:val="20"/>
          <w:szCs w:val="20"/>
          <w:lang w:val="en-GB"/>
        </w:rPr>
        <w:t xml:space="preserve">for Denmark, 1982-1990 </w:t>
      </w:r>
    </w:p>
    <w:p w14:paraId="325EC4D4" w14:textId="77B99BAC" w:rsidR="00C26280" w:rsidRDefault="00543E76" w:rsidP="00543E76">
      <w:pPr>
        <w:pStyle w:val="Geenafstand"/>
        <w:rPr>
          <w:rFonts w:ascii="Arial" w:hAnsi="Arial" w:cs="Arial"/>
          <w:sz w:val="20"/>
          <w:szCs w:val="20"/>
          <w:lang w:val="en-GB"/>
        </w:rPr>
      </w:pPr>
      <w:r>
        <w:rPr>
          <w:rFonts w:ascii="Arial" w:hAnsi="Arial" w:cs="Arial"/>
          <w:sz w:val="20"/>
          <w:szCs w:val="20"/>
          <w:lang w:val="en-GB"/>
        </w:rPr>
        <w:t xml:space="preserve">Source: Own illustration </w:t>
      </w:r>
    </w:p>
    <w:p w14:paraId="269615FD" w14:textId="77777777" w:rsidR="00017619" w:rsidRPr="00543E76" w:rsidRDefault="00017619" w:rsidP="00543E76">
      <w:pPr>
        <w:pStyle w:val="Geenafstand"/>
        <w:rPr>
          <w:rFonts w:ascii="Arial" w:hAnsi="Arial" w:cs="Arial"/>
          <w:sz w:val="20"/>
          <w:szCs w:val="20"/>
          <w:lang w:val="en-GB"/>
        </w:rPr>
      </w:pPr>
    </w:p>
    <w:p w14:paraId="7EE1AFFE" w14:textId="5EABBE67" w:rsidR="003E23FC" w:rsidRPr="00F6234D" w:rsidRDefault="00157897" w:rsidP="00017619">
      <w:pPr>
        <w:pStyle w:val="Geenafstand"/>
        <w:rPr>
          <w:lang w:val="en-GB"/>
        </w:rPr>
      </w:pPr>
      <w:r>
        <w:rPr>
          <w:noProof/>
        </w:rPr>
        <w:drawing>
          <wp:inline distT="0" distB="0" distL="0" distR="0" wp14:anchorId="7DB46129" wp14:editId="5E2EAD69">
            <wp:extent cx="5619750" cy="3522980"/>
            <wp:effectExtent l="0" t="0" r="0" b="1270"/>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7581" t="37806" r="17392" b="12013"/>
                    <a:stretch/>
                  </pic:blipFill>
                  <pic:spPr bwMode="auto">
                    <a:xfrm>
                      <a:off x="0" y="0"/>
                      <a:ext cx="5642660" cy="3537342"/>
                    </a:xfrm>
                    <a:prstGeom prst="rect">
                      <a:avLst/>
                    </a:prstGeom>
                    <a:ln>
                      <a:noFill/>
                    </a:ln>
                    <a:extLst>
                      <a:ext uri="{53640926-AAD7-44D8-BBD7-CCE9431645EC}">
                        <a14:shadowObscured xmlns:a14="http://schemas.microsoft.com/office/drawing/2010/main"/>
                      </a:ext>
                    </a:extLst>
                  </pic:spPr>
                </pic:pic>
              </a:graphicData>
            </a:graphic>
          </wp:inline>
        </w:drawing>
      </w:r>
    </w:p>
    <w:p w14:paraId="5AE0DDF2" w14:textId="393BF4A3" w:rsidR="007C675E" w:rsidRDefault="007C675E" w:rsidP="00017619">
      <w:pPr>
        <w:pStyle w:val="Geenafstand"/>
        <w:rPr>
          <w:rFonts w:ascii="Arial" w:hAnsi="Arial" w:cs="Arial"/>
          <w:i/>
          <w:iCs/>
          <w:sz w:val="20"/>
          <w:szCs w:val="20"/>
          <w:lang w:val="en-GB"/>
        </w:rPr>
      </w:pPr>
      <w:r w:rsidRPr="005B4B35">
        <w:rPr>
          <w:rFonts w:ascii="Arial" w:hAnsi="Arial" w:cs="Arial"/>
          <w:i/>
          <w:iCs/>
          <w:sz w:val="20"/>
          <w:szCs w:val="20"/>
          <w:lang w:val="en-GB"/>
        </w:rPr>
        <w:t xml:space="preserve">Figure </w:t>
      </w:r>
      <w:r w:rsidR="00AF6FF0">
        <w:rPr>
          <w:rFonts w:ascii="Arial" w:hAnsi="Arial" w:cs="Arial"/>
          <w:i/>
          <w:iCs/>
          <w:sz w:val="20"/>
          <w:szCs w:val="20"/>
          <w:lang w:val="en-GB"/>
        </w:rPr>
        <w:t>B-</w:t>
      </w:r>
      <w:r>
        <w:rPr>
          <w:rFonts w:ascii="Arial" w:hAnsi="Arial" w:cs="Arial"/>
          <w:i/>
          <w:iCs/>
          <w:sz w:val="20"/>
          <w:szCs w:val="20"/>
          <w:lang w:val="en-GB"/>
        </w:rPr>
        <w:t>9</w:t>
      </w:r>
      <w:r w:rsidRPr="005B4B35">
        <w:rPr>
          <w:rFonts w:ascii="Arial" w:hAnsi="Arial" w:cs="Arial"/>
          <w:i/>
          <w:iCs/>
          <w:sz w:val="20"/>
          <w:szCs w:val="20"/>
          <w:lang w:val="en-GB"/>
        </w:rPr>
        <w:t xml:space="preserve"> GDP </w:t>
      </w:r>
      <w:r>
        <w:rPr>
          <w:rFonts w:ascii="Arial" w:hAnsi="Arial" w:cs="Arial"/>
          <w:i/>
          <w:iCs/>
          <w:sz w:val="20"/>
          <w:szCs w:val="20"/>
          <w:lang w:val="en-GB"/>
        </w:rPr>
        <w:t>per capita in Dollars</w:t>
      </w:r>
      <w:r w:rsidRPr="005B4B35">
        <w:rPr>
          <w:rFonts w:ascii="Arial" w:hAnsi="Arial" w:cs="Arial"/>
          <w:i/>
          <w:iCs/>
          <w:sz w:val="20"/>
          <w:szCs w:val="20"/>
          <w:lang w:val="en-GB"/>
        </w:rPr>
        <w:t xml:space="preserve"> for the Netherlands, 2013-2018</w:t>
      </w:r>
    </w:p>
    <w:p w14:paraId="1B4369F6" w14:textId="13632F9F" w:rsidR="00017619" w:rsidRPr="00017619" w:rsidRDefault="00017619" w:rsidP="00017619">
      <w:pPr>
        <w:pStyle w:val="Geenafstand"/>
        <w:rPr>
          <w:rFonts w:ascii="Arial" w:hAnsi="Arial" w:cs="Arial"/>
          <w:sz w:val="20"/>
          <w:szCs w:val="20"/>
          <w:lang w:val="en-GB"/>
        </w:rPr>
      </w:pPr>
      <w:r>
        <w:rPr>
          <w:rFonts w:ascii="Arial" w:hAnsi="Arial" w:cs="Arial"/>
          <w:sz w:val="20"/>
          <w:szCs w:val="20"/>
          <w:lang w:val="en-GB"/>
        </w:rPr>
        <w:t xml:space="preserve">Source: Own illustration </w:t>
      </w:r>
    </w:p>
    <w:p w14:paraId="471B0B7F" w14:textId="77777777" w:rsidR="00017619" w:rsidRPr="005B4B35" w:rsidRDefault="00017619" w:rsidP="007C675E">
      <w:pPr>
        <w:spacing w:after="200" w:line="240" w:lineRule="auto"/>
        <w:ind w:firstLine="0"/>
        <w:jc w:val="left"/>
        <w:rPr>
          <w:rFonts w:ascii="Arial" w:eastAsiaTheme="minorHAnsi" w:hAnsi="Arial" w:cs="Arial"/>
          <w:i/>
          <w:iCs/>
          <w:sz w:val="20"/>
          <w:szCs w:val="20"/>
          <w:lang w:val="en-GB"/>
        </w:rPr>
      </w:pPr>
    </w:p>
    <w:p w14:paraId="0D5F5162"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en-GB"/>
        </w:rPr>
      </w:pPr>
    </w:p>
    <w:p w14:paraId="058EF657" w14:textId="4DFA51FB" w:rsidR="007F043B" w:rsidRPr="005B4B35" w:rsidRDefault="00630A51" w:rsidP="007F043B">
      <w:pPr>
        <w:spacing w:after="160" w:line="259" w:lineRule="auto"/>
        <w:ind w:firstLine="0"/>
        <w:jc w:val="left"/>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br w:type="page"/>
      </w:r>
    </w:p>
    <w:p w14:paraId="588D1CA7" w14:textId="77777777" w:rsidR="007F043B" w:rsidRPr="005B4B35" w:rsidRDefault="007F043B" w:rsidP="007F043B">
      <w:pPr>
        <w:keepNext/>
        <w:spacing w:after="160" w:line="259" w:lineRule="auto"/>
        <w:ind w:firstLine="0"/>
        <w:jc w:val="left"/>
        <w:rPr>
          <w:rFonts w:asciiTheme="minorHAnsi" w:eastAsiaTheme="minorHAnsi" w:hAnsiTheme="minorHAnsi" w:cstheme="minorBidi"/>
          <w:sz w:val="22"/>
          <w:szCs w:val="22"/>
          <w:lang w:val="nl-NL"/>
        </w:rPr>
      </w:pPr>
      <w:r w:rsidRPr="005B4B35">
        <w:rPr>
          <w:rFonts w:asciiTheme="minorHAnsi" w:eastAsiaTheme="minorHAnsi" w:hAnsiTheme="minorHAnsi" w:cstheme="minorBidi"/>
          <w:noProof/>
          <w:sz w:val="22"/>
          <w:szCs w:val="22"/>
          <w:lang w:val="nl-NL"/>
        </w:rPr>
        <w:lastRenderedPageBreak/>
        <w:drawing>
          <wp:inline distT="0" distB="0" distL="0" distR="0" wp14:anchorId="4239620F" wp14:editId="2E73B670">
            <wp:extent cx="5509895" cy="3387090"/>
            <wp:effectExtent l="0" t="0" r="14605" b="3810"/>
            <wp:docPr id="23" name="Grafiek 23">
              <a:extLst xmlns:a="http://schemas.openxmlformats.org/drawingml/2006/main">
                <a:ext uri="{FF2B5EF4-FFF2-40B4-BE49-F238E27FC236}">
                  <a16:creationId xmlns:a16="http://schemas.microsoft.com/office/drawing/2014/main" id="{D78AD91B-D637-438F-BB04-7419D5659F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8912396" w14:textId="7B2D2BD8" w:rsidR="007F043B" w:rsidRPr="009F7879" w:rsidRDefault="007F043B" w:rsidP="00017619">
      <w:pPr>
        <w:pStyle w:val="Geenafstand"/>
        <w:rPr>
          <w:rFonts w:ascii="Arial" w:hAnsi="Arial" w:cs="Arial"/>
          <w:i/>
          <w:iCs/>
          <w:sz w:val="20"/>
          <w:szCs w:val="20"/>
          <w:lang w:val="en-GB"/>
        </w:rPr>
      </w:pPr>
      <w:r w:rsidRPr="009F7879">
        <w:rPr>
          <w:rFonts w:ascii="Arial" w:hAnsi="Arial" w:cs="Arial"/>
          <w:i/>
          <w:iCs/>
          <w:sz w:val="20"/>
          <w:szCs w:val="20"/>
          <w:lang w:val="en-GB"/>
        </w:rPr>
        <w:t xml:space="preserve">Figure </w:t>
      </w:r>
      <w:r w:rsidR="009F7879" w:rsidRPr="009F7879">
        <w:rPr>
          <w:rFonts w:ascii="Arial" w:hAnsi="Arial" w:cs="Arial"/>
          <w:i/>
          <w:iCs/>
          <w:sz w:val="20"/>
          <w:szCs w:val="20"/>
          <w:lang w:val="en-GB"/>
        </w:rPr>
        <w:t>B-</w:t>
      </w:r>
      <w:r w:rsidR="0002215B" w:rsidRPr="009F7879">
        <w:rPr>
          <w:rFonts w:ascii="Arial" w:hAnsi="Arial" w:cs="Arial"/>
          <w:i/>
          <w:iCs/>
          <w:sz w:val="20"/>
          <w:szCs w:val="20"/>
          <w:lang w:val="en-GB"/>
        </w:rPr>
        <w:t>10</w:t>
      </w:r>
      <w:r w:rsidRPr="009F7879">
        <w:rPr>
          <w:rFonts w:ascii="Arial" w:hAnsi="Arial" w:cs="Arial"/>
          <w:i/>
          <w:iCs/>
          <w:sz w:val="20"/>
          <w:szCs w:val="20"/>
          <w:lang w:val="en-GB"/>
        </w:rPr>
        <w:t xml:space="preserve"> Population given in thousands for Denmark, 1982-1990</w:t>
      </w:r>
    </w:p>
    <w:p w14:paraId="71E63231" w14:textId="43BB01CF" w:rsidR="009F7879" w:rsidRPr="009F7879" w:rsidRDefault="009F7879" w:rsidP="00017619">
      <w:pPr>
        <w:pStyle w:val="Geenafstand"/>
        <w:rPr>
          <w:rFonts w:ascii="Arial" w:hAnsi="Arial" w:cs="Arial"/>
          <w:sz w:val="20"/>
          <w:szCs w:val="20"/>
        </w:rPr>
      </w:pPr>
      <w:r>
        <w:rPr>
          <w:rFonts w:ascii="Arial" w:hAnsi="Arial" w:cs="Arial"/>
          <w:sz w:val="20"/>
          <w:szCs w:val="20"/>
        </w:rPr>
        <w:t xml:space="preserve">Source: </w:t>
      </w:r>
      <w:proofErr w:type="spellStart"/>
      <w:r>
        <w:rPr>
          <w:rFonts w:ascii="Arial" w:hAnsi="Arial" w:cs="Arial"/>
          <w:sz w:val="20"/>
          <w:szCs w:val="20"/>
        </w:rPr>
        <w:t>Own</w:t>
      </w:r>
      <w:proofErr w:type="spellEnd"/>
      <w:r>
        <w:rPr>
          <w:rFonts w:ascii="Arial" w:hAnsi="Arial" w:cs="Arial"/>
          <w:sz w:val="20"/>
          <w:szCs w:val="20"/>
        </w:rPr>
        <w:t xml:space="preserve"> </w:t>
      </w:r>
      <w:proofErr w:type="spellStart"/>
      <w:r>
        <w:rPr>
          <w:rFonts w:ascii="Arial" w:hAnsi="Arial" w:cs="Arial"/>
          <w:sz w:val="20"/>
          <w:szCs w:val="20"/>
        </w:rPr>
        <w:t>illustration</w:t>
      </w:r>
      <w:proofErr w:type="spellEnd"/>
      <w:r>
        <w:rPr>
          <w:rFonts w:ascii="Arial" w:hAnsi="Arial" w:cs="Arial"/>
          <w:sz w:val="20"/>
          <w:szCs w:val="20"/>
        </w:rPr>
        <w:t xml:space="preserve"> </w:t>
      </w:r>
    </w:p>
    <w:p w14:paraId="330F0111"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en-GB"/>
        </w:rPr>
      </w:pPr>
    </w:p>
    <w:p w14:paraId="61A8BF44" w14:textId="77777777" w:rsidR="007F043B" w:rsidRPr="005B4B35" w:rsidRDefault="007F043B" w:rsidP="007F043B">
      <w:pPr>
        <w:keepNext/>
        <w:spacing w:after="160" w:line="259" w:lineRule="auto"/>
        <w:ind w:firstLine="0"/>
        <w:jc w:val="left"/>
        <w:rPr>
          <w:rFonts w:asciiTheme="minorHAnsi" w:eastAsiaTheme="minorHAnsi" w:hAnsiTheme="minorHAnsi" w:cstheme="minorBidi"/>
          <w:sz w:val="22"/>
          <w:szCs w:val="22"/>
          <w:lang w:val="nl-NL"/>
        </w:rPr>
      </w:pPr>
      <w:r w:rsidRPr="005B4B35">
        <w:rPr>
          <w:rFonts w:asciiTheme="minorHAnsi" w:eastAsiaTheme="minorHAnsi" w:hAnsiTheme="minorHAnsi" w:cstheme="minorBidi"/>
          <w:noProof/>
          <w:sz w:val="22"/>
          <w:szCs w:val="22"/>
          <w:lang w:val="nl-NL"/>
        </w:rPr>
        <w:drawing>
          <wp:inline distT="0" distB="0" distL="0" distR="0" wp14:anchorId="282AAA20" wp14:editId="7E50FB4B">
            <wp:extent cx="5537200" cy="3394710"/>
            <wp:effectExtent l="0" t="0" r="6350" b="15240"/>
            <wp:docPr id="24" name="Grafiek 24">
              <a:extLst xmlns:a="http://schemas.openxmlformats.org/drawingml/2006/main">
                <a:ext uri="{FF2B5EF4-FFF2-40B4-BE49-F238E27FC236}">
                  <a16:creationId xmlns:a16="http://schemas.microsoft.com/office/drawing/2014/main" id="{458584AC-71FB-42DB-BA53-482ACE9708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1BE8898" w14:textId="2A778D1A" w:rsidR="007F043B" w:rsidRPr="009F7879" w:rsidRDefault="007F043B" w:rsidP="009F7879">
      <w:pPr>
        <w:pStyle w:val="Geenafstand"/>
        <w:rPr>
          <w:rFonts w:ascii="Arial" w:hAnsi="Arial" w:cs="Arial"/>
          <w:i/>
          <w:iCs/>
          <w:sz w:val="20"/>
          <w:szCs w:val="20"/>
          <w:lang w:val="en-GB"/>
        </w:rPr>
      </w:pPr>
      <w:r w:rsidRPr="009F7879">
        <w:rPr>
          <w:rFonts w:ascii="Arial" w:hAnsi="Arial" w:cs="Arial"/>
          <w:i/>
          <w:iCs/>
          <w:sz w:val="20"/>
          <w:szCs w:val="20"/>
          <w:lang w:val="en-GB"/>
        </w:rPr>
        <w:t xml:space="preserve">Figure </w:t>
      </w:r>
      <w:r w:rsidR="009F7879" w:rsidRPr="009F7879">
        <w:rPr>
          <w:rFonts w:ascii="Arial" w:hAnsi="Arial" w:cs="Arial"/>
          <w:i/>
          <w:iCs/>
          <w:sz w:val="20"/>
          <w:szCs w:val="20"/>
          <w:lang w:val="en-GB"/>
        </w:rPr>
        <w:t>B-</w:t>
      </w:r>
      <w:r w:rsidR="0002215B" w:rsidRPr="009F7879">
        <w:rPr>
          <w:rFonts w:ascii="Arial" w:hAnsi="Arial" w:cs="Arial"/>
          <w:i/>
          <w:iCs/>
          <w:sz w:val="20"/>
          <w:szCs w:val="20"/>
          <w:lang w:val="en-GB"/>
        </w:rPr>
        <w:t>11</w:t>
      </w:r>
      <w:r w:rsidRPr="009F7879">
        <w:rPr>
          <w:rFonts w:ascii="Arial" w:hAnsi="Arial" w:cs="Arial"/>
          <w:i/>
          <w:iCs/>
          <w:sz w:val="20"/>
          <w:szCs w:val="20"/>
          <w:lang w:val="en-GB"/>
        </w:rPr>
        <w:t xml:space="preserve"> Population given in thousands for the Netherlands, 2013-2018 </w:t>
      </w:r>
    </w:p>
    <w:p w14:paraId="62698DC1" w14:textId="7197439A" w:rsidR="009F7879" w:rsidRPr="00AF6FF0" w:rsidRDefault="009F7879" w:rsidP="009F7879">
      <w:pPr>
        <w:pStyle w:val="Geenafstand"/>
        <w:rPr>
          <w:rFonts w:ascii="Arial" w:hAnsi="Arial" w:cs="Arial"/>
          <w:sz w:val="20"/>
          <w:szCs w:val="20"/>
          <w:lang w:val="en-GB"/>
        </w:rPr>
      </w:pPr>
      <w:r w:rsidRPr="00AF6FF0">
        <w:rPr>
          <w:rFonts w:ascii="Arial" w:hAnsi="Arial" w:cs="Arial"/>
          <w:sz w:val="20"/>
          <w:szCs w:val="20"/>
          <w:lang w:val="en-GB"/>
        </w:rPr>
        <w:t>Source: Own illustration</w:t>
      </w:r>
    </w:p>
    <w:p w14:paraId="1223E4BA" w14:textId="77777777" w:rsidR="009F7879" w:rsidRPr="005B4B35" w:rsidRDefault="009F7879" w:rsidP="007F043B">
      <w:pPr>
        <w:spacing w:after="200" w:line="240" w:lineRule="auto"/>
        <w:ind w:firstLine="0"/>
        <w:jc w:val="left"/>
        <w:rPr>
          <w:rFonts w:ascii="Arial" w:eastAsiaTheme="minorHAnsi" w:hAnsi="Arial" w:cs="Arial"/>
          <w:i/>
          <w:iCs/>
          <w:sz w:val="22"/>
          <w:szCs w:val="20"/>
          <w:lang w:val="en-GB"/>
        </w:rPr>
      </w:pPr>
    </w:p>
    <w:p w14:paraId="258AF07C" w14:textId="77777777" w:rsidR="007F043B" w:rsidRPr="005B4B35" w:rsidRDefault="007F043B" w:rsidP="007F043B">
      <w:pPr>
        <w:spacing w:after="160" w:line="259" w:lineRule="auto"/>
        <w:ind w:firstLine="0"/>
        <w:jc w:val="left"/>
        <w:rPr>
          <w:rFonts w:ascii="Arial" w:eastAsiaTheme="minorHAnsi" w:hAnsi="Arial" w:cs="Arial"/>
          <w:sz w:val="20"/>
          <w:szCs w:val="22"/>
          <w:lang w:val="en-GB"/>
        </w:rPr>
      </w:pPr>
    </w:p>
    <w:p w14:paraId="5E38808A" w14:textId="77777777" w:rsidR="007F043B" w:rsidRPr="005B4B35" w:rsidRDefault="007F043B" w:rsidP="007F043B">
      <w:pPr>
        <w:spacing w:after="160" w:line="259" w:lineRule="auto"/>
        <w:ind w:firstLine="0"/>
        <w:jc w:val="left"/>
        <w:rPr>
          <w:rFonts w:ascii="Arial" w:eastAsiaTheme="minorHAnsi" w:hAnsi="Arial" w:cs="Arial"/>
          <w:sz w:val="20"/>
          <w:szCs w:val="22"/>
          <w:lang w:val="en-GB"/>
        </w:rPr>
      </w:pPr>
    </w:p>
    <w:p w14:paraId="38A81084" w14:textId="77777777" w:rsidR="007F043B" w:rsidRPr="005B4B35" w:rsidRDefault="007F043B" w:rsidP="007F043B">
      <w:pPr>
        <w:spacing w:after="160" w:line="259" w:lineRule="auto"/>
        <w:ind w:firstLine="0"/>
        <w:jc w:val="left"/>
        <w:rPr>
          <w:rFonts w:ascii="Arial" w:eastAsiaTheme="minorHAnsi" w:hAnsi="Arial" w:cs="Arial"/>
          <w:sz w:val="20"/>
          <w:szCs w:val="22"/>
          <w:lang w:val="en-GB"/>
        </w:rPr>
      </w:pPr>
    </w:p>
    <w:p w14:paraId="4AC7CBEA" w14:textId="73120F3C" w:rsidR="007F043B" w:rsidRPr="005B4B35" w:rsidRDefault="007F043B" w:rsidP="007F043B">
      <w:pPr>
        <w:spacing w:after="160" w:line="259" w:lineRule="auto"/>
        <w:ind w:firstLine="0"/>
        <w:jc w:val="left"/>
        <w:rPr>
          <w:rFonts w:ascii="Arial" w:eastAsiaTheme="minorHAnsi" w:hAnsi="Arial" w:cs="Arial"/>
          <w:i/>
          <w:iCs/>
          <w:sz w:val="20"/>
          <w:szCs w:val="18"/>
          <w:lang w:val="en-GB"/>
        </w:rPr>
      </w:pPr>
      <w:r w:rsidRPr="005B4B35">
        <w:rPr>
          <w:rFonts w:ascii="Arial" w:eastAsiaTheme="minorHAnsi" w:hAnsi="Arial" w:cs="Arial"/>
          <w:i/>
          <w:iCs/>
          <w:sz w:val="20"/>
          <w:szCs w:val="22"/>
          <w:lang w:val="en-GB"/>
        </w:rPr>
        <w:lastRenderedPageBreak/>
        <w:t xml:space="preserve">Table </w:t>
      </w:r>
      <w:r w:rsidR="00AF6FF0">
        <w:rPr>
          <w:rFonts w:ascii="Arial" w:eastAsiaTheme="minorHAnsi" w:hAnsi="Arial" w:cs="Arial"/>
          <w:i/>
          <w:iCs/>
          <w:sz w:val="20"/>
          <w:szCs w:val="22"/>
          <w:lang w:val="en-GB"/>
        </w:rPr>
        <w:t>B-</w:t>
      </w:r>
      <w:r w:rsidRPr="005B4B35">
        <w:rPr>
          <w:rFonts w:ascii="Arial" w:eastAsiaTheme="minorHAnsi" w:hAnsi="Arial" w:cs="Arial"/>
          <w:i/>
          <w:iCs/>
          <w:sz w:val="20"/>
          <w:szCs w:val="22"/>
          <w:lang w:val="en-GB"/>
        </w:rPr>
        <w:t>1 Aggregated home values and mortgages at the individual level</w:t>
      </w:r>
      <w:r w:rsidR="00837FA0">
        <w:rPr>
          <w:rFonts w:ascii="Arial" w:eastAsiaTheme="minorHAnsi" w:hAnsi="Arial" w:cs="Arial"/>
          <w:i/>
          <w:iCs/>
          <w:sz w:val="20"/>
          <w:szCs w:val="22"/>
          <w:lang w:val="en-GB"/>
        </w:rPr>
        <w:t xml:space="preserve"> in the Netherlands</w:t>
      </w:r>
      <w:r w:rsidRPr="005B4B35">
        <w:rPr>
          <w:rFonts w:ascii="Arial" w:eastAsiaTheme="minorHAnsi" w:hAnsi="Arial" w:cs="Arial"/>
          <w:i/>
          <w:iCs/>
          <w:sz w:val="20"/>
          <w:szCs w:val="22"/>
          <w:lang w:val="en-GB"/>
        </w:rPr>
        <w:t>, 2018</w:t>
      </w:r>
    </w:p>
    <w:tbl>
      <w:tblPr>
        <w:tblStyle w:val="Onopgemaaktetabel2"/>
        <w:tblW w:w="9472" w:type="dxa"/>
        <w:tblLook w:val="04A0" w:firstRow="1" w:lastRow="0" w:firstColumn="1" w:lastColumn="0" w:noHBand="0" w:noVBand="1"/>
      </w:tblPr>
      <w:tblGrid>
        <w:gridCol w:w="2042"/>
        <w:gridCol w:w="1739"/>
        <w:gridCol w:w="1315"/>
        <w:gridCol w:w="2184"/>
        <w:gridCol w:w="1018"/>
        <w:gridCol w:w="1174"/>
      </w:tblGrid>
      <w:tr w:rsidR="007F043B" w:rsidRPr="005B4B35" w14:paraId="5EDAF6D2" w14:textId="77777777" w:rsidTr="007F043B">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042" w:type="dxa"/>
            <w:noWrap/>
            <w:hideMark/>
          </w:tcPr>
          <w:p w14:paraId="6DE6A294"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Variable</w:t>
            </w:r>
            <w:proofErr w:type="spellEnd"/>
          </w:p>
        </w:tc>
        <w:tc>
          <w:tcPr>
            <w:tcW w:w="1739" w:type="dxa"/>
            <w:noWrap/>
            <w:hideMark/>
          </w:tcPr>
          <w:p w14:paraId="43F7E80C"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Observations</w:t>
            </w:r>
            <w:proofErr w:type="spellEnd"/>
          </w:p>
        </w:tc>
        <w:tc>
          <w:tcPr>
            <w:tcW w:w="1315" w:type="dxa"/>
            <w:noWrap/>
            <w:hideMark/>
          </w:tcPr>
          <w:p w14:paraId="188DFDF0"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Mean</w:t>
            </w:r>
            <w:proofErr w:type="spellEnd"/>
          </w:p>
        </w:tc>
        <w:tc>
          <w:tcPr>
            <w:tcW w:w="2184" w:type="dxa"/>
            <w:noWrap/>
            <w:hideMark/>
          </w:tcPr>
          <w:p w14:paraId="1A53910B"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 xml:space="preserve">Standard </w:t>
            </w:r>
            <w:proofErr w:type="spellStart"/>
            <w:r w:rsidRPr="005B4B35">
              <w:rPr>
                <w:rFonts w:ascii="Calibri" w:hAnsi="Calibri" w:cs="Calibri"/>
                <w:color w:val="000000"/>
                <w:sz w:val="22"/>
                <w:szCs w:val="22"/>
                <w:lang w:val="nl-NL" w:eastAsia="nl-NL"/>
              </w:rPr>
              <w:t>deviation</w:t>
            </w:r>
            <w:proofErr w:type="spellEnd"/>
          </w:p>
        </w:tc>
        <w:tc>
          <w:tcPr>
            <w:tcW w:w="1018" w:type="dxa"/>
            <w:noWrap/>
            <w:hideMark/>
          </w:tcPr>
          <w:p w14:paraId="12F016F6"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Min</w:t>
            </w:r>
          </w:p>
        </w:tc>
        <w:tc>
          <w:tcPr>
            <w:tcW w:w="1174" w:type="dxa"/>
            <w:noWrap/>
            <w:hideMark/>
          </w:tcPr>
          <w:p w14:paraId="1FAD852E"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Max</w:t>
            </w:r>
          </w:p>
        </w:tc>
      </w:tr>
      <w:tr w:rsidR="007F043B" w:rsidRPr="005B4B35" w14:paraId="56B94A7F" w14:textId="77777777" w:rsidTr="007F043B">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042" w:type="dxa"/>
            <w:noWrap/>
            <w:hideMark/>
          </w:tcPr>
          <w:p w14:paraId="113BD093"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Homeownership</w:t>
            </w:r>
            <w:proofErr w:type="spellEnd"/>
          </w:p>
        </w:tc>
        <w:tc>
          <w:tcPr>
            <w:tcW w:w="1739" w:type="dxa"/>
            <w:noWrap/>
            <w:hideMark/>
          </w:tcPr>
          <w:p w14:paraId="3EBD5BAA"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1,766</w:t>
            </w:r>
          </w:p>
        </w:tc>
        <w:tc>
          <w:tcPr>
            <w:tcW w:w="1315" w:type="dxa"/>
            <w:noWrap/>
            <w:hideMark/>
          </w:tcPr>
          <w:p w14:paraId="01724E72"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0.662</w:t>
            </w:r>
          </w:p>
        </w:tc>
        <w:tc>
          <w:tcPr>
            <w:tcW w:w="2184" w:type="dxa"/>
            <w:noWrap/>
            <w:hideMark/>
          </w:tcPr>
          <w:p w14:paraId="19381C0C"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0.473</w:t>
            </w:r>
          </w:p>
        </w:tc>
        <w:tc>
          <w:tcPr>
            <w:tcW w:w="1018" w:type="dxa"/>
            <w:noWrap/>
            <w:hideMark/>
          </w:tcPr>
          <w:p w14:paraId="1898A76B"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w:t>
            </w:r>
          </w:p>
        </w:tc>
        <w:tc>
          <w:tcPr>
            <w:tcW w:w="1174" w:type="dxa"/>
            <w:noWrap/>
            <w:hideMark/>
          </w:tcPr>
          <w:p w14:paraId="335B758C"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w:t>
            </w:r>
          </w:p>
        </w:tc>
      </w:tr>
      <w:tr w:rsidR="007F043B" w:rsidRPr="005B4B35" w14:paraId="3BA2178A" w14:textId="77777777" w:rsidTr="007F043B">
        <w:trPr>
          <w:trHeight w:val="295"/>
        </w:trPr>
        <w:tc>
          <w:tcPr>
            <w:cnfStyle w:val="001000000000" w:firstRow="0" w:lastRow="0" w:firstColumn="1" w:lastColumn="0" w:oddVBand="0" w:evenVBand="0" w:oddHBand="0" w:evenHBand="0" w:firstRowFirstColumn="0" w:firstRowLastColumn="0" w:lastRowFirstColumn="0" w:lastRowLastColumn="0"/>
            <w:tcW w:w="2042" w:type="dxa"/>
            <w:noWrap/>
            <w:hideMark/>
          </w:tcPr>
          <w:p w14:paraId="1D6BC909"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 xml:space="preserve">Home </w:t>
            </w:r>
            <w:proofErr w:type="spellStart"/>
            <w:r w:rsidRPr="005B4B35">
              <w:rPr>
                <w:rFonts w:ascii="Calibri" w:hAnsi="Calibri" w:cs="Calibri"/>
                <w:color w:val="000000"/>
                <w:sz w:val="22"/>
                <w:szCs w:val="22"/>
                <w:lang w:val="nl-NL" w:eastAsia="nl-NL"/>
              </w:rPr>
              <w:t>value</w:t>
            </w:r>
            <w:proofErr w:type="spellEnd"/>
          </w:p>
        </w:tc>
        <w:tc>
          <w:tcPr>
            <w:tcW w:w="1739" w:type="dxa"/>
            <w:noWrap/>
            <w:hideMark/>
          </w:tcPr>
          <w:p w14:paraId="4B0C26CD"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1,766</w:t>
            </w:r>
          </w:p>
        </w:tc>
        <w:tc>
          <w:tcPr>
            <w:tcW w:w="1315" w:type="dxa"/>
            <w:noWrap/>
            <w:hideMark/>
          </w:tcPr>
          <w:p w14:paraId="2C3959B8"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184,135</w:t>
            </w:r>
          </w:p>
        </w:tc>
        <w:tc>
          <w:tcPr>
            <w:tcW w:w="2184" w:type="dxa"/>
            <w:noWrap/>
            <w:hideMark/>
          </w:tcPr>
          <w:p w14:paraId="2F33BA1E"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172,086.8</w:t>
            </w:r>
          </w:p>
        </w:tc>
        <w:tc>
          <w:tcPr>
            <w:tcW w:w="1018" w:type="dxa"/>
            <w:noWrap/>
            <w:hideMark/>
          </w:tcPr>
          <w:p w14:paraId="6E77D54E"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w:t>
            </w:r>
          </w:p>
        </w:tc>
        <w:tc>
          <w:tcPr>
            <w:tcW w:w="1174" w:type="dxa"/>
            <w:noWrap/>
            <w:hideMark/>
          </w:tcPr>
          <w:p w14:paraId="063F0B53"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1,200,000</w:t>
            </w:r>
          </w:p>
        </w:tc>
      </w:tr>
      <w:tr w:rsidR="007F043B" w:rsidRPr="005B4B35" w14:paraId="7B627ABB" w14:textId="77777777" w:rsidTr="007F043B">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042" w:type="dxa"/>
            <w:noWrap/>
            <w:hideMark/>
          </w:tcPr>
          <w:p w14:paraId="546DDF4D"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Number</w:t>
            </w:r>
            <w:proofErr w:type="spellEnd"/>
            <w:r w:rsidRPr="005B4B35">
              <w:rPr>
                <w:rFonts w:ascii="Calibri" w:hAnsi="Calibri" w:cs="Calibri"/>
                <w:color w:val="000000"/>
                <w:sz w:val="22"/>
                <w:szCs w:val="22"/>
                <w:lang w:val="nl-NL" w:eastAsia="nl-NL"/>
              </w:rPr>
              <w:t xml:space="preserve"> of </w:t>
            </w:r>
            <w:proofErr w:type="spellStart"/>
            <w:r w:rsidRPr="005B4B35">
              <w:rPr>
                <w:rFonts w:ascii="Calibri" w:hAnsi="Calibri" w:cs="Calibri"/>
                <w:color w:val="000000"/>
                <w:sz w:val="22"/>
                <w:szCs w:val="22"/>
                <w:lang w:val="nl-NL" w:eastAsia="nl-NL"/>
              </w:rPr>
              <w:t>mortgages</w:t>
            </w:r>
            <w:proofErr w:type="spellEnd"/>
          </w:p>
        </w:tc>
        <w:tc>
          <w:tcPr>
            <w:tcW w:w="1739" w:type="dxa"/>
            <w:noWrap/>
            <w:hideMark/>
          </w:tcPr>
          <w:p w14:paraId="161C6278"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1,766</w:t>
            </w:r>
          </w:p>
        </w:tc>
        <w:tc>
          <w:tcPr>
            <w:tcW w:w="1315" w:type="dxa"/>
            <w:noWrap/>
            <w:hideMark/>
          </w:tcPr>
          <w:p w14:paraId="59FA52BC"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0.664</w:t>
            </w:r>
          </w:p>
        </w:tc>
        <w:tc>
          <w:tcPr>
            <w:tcW w:w="2184" w:type="dxa"/>
            <w:noWrap/>
            <w:hideMark/>
          </w:tcPr>
          <w:p w14:paraId="7344D886"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0.852</w:t>
            </w:r>
          </w:p>
        </w:tc>
        <w:tc>
          <w:tcPr>
            <w:tcW w:w="1018" w:type="dxa"/>
            <w:noWrap/>
            <w:hideMark/>
          </w:tcPr>
          <w:p w14:paraId="333391E7"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w:t>
            </w:r>
          </w:p>
        </w:tc>
        <w:tc>
          <w:tcPr>
            <w:tcW w:w="1174" w:type="dxa"/>
            <w:noWrap/>
            <w:hideMark/>
          </w:tcPr>
          <w:p w14:paraId="5C712342"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5</w:t>
            </w:r>
          </w:p>
        </w:tc>
      </w:tr>
      <w:tr w:rsidR="007F043B" w:rsidRPr="005B4B35" w14:paraId="2ECCE162" w14:textId="77777777" w:rsidTr="007F043B">
        <w:trPr>
          <w:trHeight w:val="295"/>
        </w:trPr>
        <w:tc>
          <w:tcPr>
            <w:cnfStyle w:val="001000000000" w:firstRow="0" w:lastRow="0" w:firstColumn="1" w:lastColumn="0" w:oddVBand="0" w:evenVBand="0" w:oddHBand="0" w:evenHBand="0" w:firstRowFirstColumn="0" w:firstRowLastColumn="0" w:lastRowFirstColumn="0" w:lastRowLastColumn="0"/>
            <w:tcW w:w="2042" w:type="dxa"/>
            <w:noWrap/>
            <w:hideMark/>
          </w:tcPr>
          <w:p w14:paraId="0C0B5D62"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Mortgage</w:t>
            </w:r>
            <w:proofErr w:type="spellEnd"/>
            <w:r w:rsidRPr="005B4B35">
              <w:rPr>
                <w:rFonts w:ascii="Calibri" w:hAnsi="Calibri" w:cs="Calibri"/>
                <w:color w:val="000000"/>
                <w:sz w:val="22"/>
                <w:szCs w:val="22"/>
                <w:lang w:val="nl-NL" w:eastAsia="nl-NL"/>
              </w:rPr>
              <w:t xml:space="preserve"> </w:t>
            </w:r>
            <w:proofErr w:type="spellStart"/>
            <w:r w:rsidRPr="005B4B35">
              <w:rPr>
                <w:rFonts w:ascii="Calibri" w:hAnsi="Calibri" w:cs="Calibri"/>
                <w:color w:val="000000"/>
                <w:sz w:val="22"/>
                <w:szCs w:val="22"/>
                <w:lang w:val="nl-NL" w:eastAsia="nl-NL"/>
              </w:rPr>
              <w:t>value</w:t>
            </w:r>
            <w:proofErr w:type="spellEnd"/>
          </w:p>
        </w:tc>
        <w:tc>
          <w:tcPr>
            <w:tcW w:w="1739" w:type="dxa"/>
            <w:noWrap/>
            <w:hideMark/>
          </w:tcPr>
          <w:p w14:paraId="2B0A3F69"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1,766</w:t>
            </w:r>
          </w:p>
        </w:tc>
        <w:tc>
          <w:tcPr>
            <w:tcW w:w="1315" w:type="dxa"/>
            <w:noWrap/>
            <w:hideMark/>
          </w:tcPr>
          <w:p w14:paraId="432F6B92"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72,015.95</w:t>
            </w:r>
          </w:p>
        </w:tc>
        <w:tc>
          <w:tcPr>
            <w:tcW w:w="2184" w:type="dxa"/>
            <w:noWrap/>
            <w:hideMark/>
          </w:tcPr>
          <w:p w14:paraId="0D3EA45F"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11,198.6</w:t>
            </w:r>
          </w:p>
        </w:tc>
        <w:tc>
          <w:tcPr>
            <w:tcW w:w="1018" w:type="dxa"/>
            <w:noWrap/>
            <w:hideMark/>
          </w:tcPr>
          <w:p w14:paraId="37348C4E"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w:t>
            </w:r>
          </w:p>
        </w:tc>
        <w:tc>
          <w:tcPr>
            <w:tcW w:w="1174" w:type="dxa"/>
            <w:noWrap/>
            <w:hideMark/>
          </w:tcPr>
          <w:p w14:paraId="75F76439"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1,400,000</w:t>
            </w:r>
          </w:p>
        </w:tc>
      </w:tr>
      <w:tr w:rsidR="007F043B" w:rsidRPr="005B4B35" w14:paraId="5C0DA7FB" w14:textId="77777777" w:rsidTr="007F043B">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042" w:type="dxa"/>
            <w:noWrap/>
            <w:hideMark/>
          </w:tcPr>
          <w:p w14:paraId="04EF3E0D"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 xml:space="preserve">Interest on </w:t>
            </w:r>
            <w:proofErr w:type="spellStart"/>
            <w:r w:rsidRPr="005B4B35">
              <w:rPr>
                <w:rFonts w:ascii="Calibri" w:hAnsi="Calibri" w:cs="Calibri"/>
                <w:color w:val="000000"/>
                <w:sz w:val="22"/>
                <w:szCs w:val="22"/>
                <w:lang w:val="nl-NL" w:eastAsia="nl-NL"/>
              </w:rPr>
              <w:t>mortgage</w:t>
            </w:r>
            <w:proofErr w:type="spellEnd"/>
          </w:p>
        </w:tc>
        <w:tc>
          <w:tcPr>
            <w:tcW w:w="1739" w:type="dxa"/>
            <w:noWrap/>
            <w:hideMark/>
          </w:tcPr>
          <w:p w14:paraId="692C3D34"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2,083</w:t>
            </w:r>
          </w:p>
        </w:tc>
        <w:tc>
          <w:tcPr>
            <w:tcW w:w="1315" w:type="dxa"/>
            <w:noWrap/>
            <w:hideMark/>
          </w:tcPr>
          <w:p w14:paraId="6134F4D7"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1,564.659</w:t>
            </w:r>
          </w:p>
        </w:tc>
        <w:tc>
          <w:tcPr>
            <w:tcW w:w="2184" w:type="dxa"/>
            <w:noWrap/>
            <w:hideMark/>
          </w:tcPr>
          <w:p w14:paraId="47A1CD19"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3,543.878</w:t>
            </w:r>
          </w:p>
        </w:tc>
        <w:tc>
          <w:tcPr>
            <w:tcW w:w="1018" w:type="dxa"/>
            <w:noWrap/>
            <w:hideMark/>
          </w:tcPr>
          <w:p w14:paraId="25460EA0"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w:t>
            </w:r>
          </w:p>
        </w:tc>
        <w:tc>
          <w:tcPr>
            <w:tcW w:w="1174" w:type="dxa"/>
            <w:noWrap/>
            <w:hideMark/>
          </w:tcPr>
          <w:p w14:paraId="0BABE21A"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52,896</w:t>
            </w:r>
          </w:p>
        </w:tc>
      </w:tr>
    </w:tbl>
    <w:p w14:paraId="12F22C4A"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en-GB"/>
        </w:rPr>
      </w:pPr>
    </w:p>
    <w:p w14:paraId="6F99E022" w14:textId="1455464E" w:rsidR="007F043B" w:rsidRPr="005B4B35" w:rsidRDefault="007F043B" w:rsidP="007F043B">
      <w:pPr>
        <w:keepNext/>
        <w:spacing w:after="200" w:line="240" w:lineRule="auto"/>
        <w:ind w:firstLine="0"/>
        <w:jc w:val="left"/>
        <w:rPr>
          <w:rFonts w:ascii="Arial" w:eastAsiaTheme="minorHAnsi" w:hAnsi="Arial" w:cs="Arial"/>
          <w:i/>
          <w:iCs/>
          <w:sz w:val="20"/>
          <w:szCs w:val="18"/>
          <w:lang w:val="en-GB"/>
        </w:rPr>
      </w:pPr>
      <w:r w:rsidRPr="005B4B35">
        <w:rPr>
          <w:rFonts w:ascii="Arial" w:eastAsiaTheme="minorHAnsi" w:hAnsi="Arial" w:cs="Arial"/>
          <w:i/>
          <w:iCs/>
          <w:sz w:val="20"/>
          <w:szCs w:val="18"/>
          <w:lang w:val="en-GB"/>
        </w:rPr>
        <w:t xml:space="preserve">Table </w:t>
      </w:r>
      <w:r w:rsidR="00AF6FF0">
        <w:rPr>
          <w:rFonts w:ascii="Arial" w:eastAsiaTheme="minorHAnsi" w:hAnsi="Arial" w:cs="Arial"/>
          <w:i/>
          <w:iCs/>
          <w:sz w:val="20"/>
          <w:szCs w:val="18"/>
          <w:lang w:val="en-GB"/>
        </w:rPr>
        <w:t>B-</w:t>
      </w:r>
      <w:r w:rsidRPr="005B4B35">
        <w:rPr>
          <w:rFonts w:ascii="Arial" w:eastAsiaTheme="minorHAnsi" w:hAnsi="Arial" w:cs="Arial"/>
          <w:i/>
          <w:iCs/>
          <w:sz w:val="20"/>
          <w:szCs w:val="18"/>
          <w:lang w:val="en-GB"/>
        </w:rPr>
        <w:t>2 Housing situation and mortgages at the household level, 2018</w:t>
      </w:r>
    </w:p>
    <w:tbl>
      <w:tblPr>
        <w:tblStyle w:val="Onopgemaaktetabel2"/>
        <w:tblW w:w="9470" w:type="dxa"/>
        <w:tblLook w:val="04A0" w:firstRow="1" w:lastRow="0" w:firstColumn="1" w:lastColumn="0" w:noHBand="0" w:noVBand="1"/>
      </w:tblPr>
      <w:tblGrid>
        <w:gridCol w:w="2914"/>
        <w:gridCol w:w="1674"/>
        <w:gridCol w:w="1184"/>
        <w:gridCol w:w="1872"/>
        <w:gridCol w:w="913"/>
        <w:gridCol w:w="913"/>
      </w:tblGrid>
      <w:tr w:rsidR="007F043B" w:rsidRPr="005B4B35" w14:paraId="5793A1A0" w14:textId="77777777" w:rsidTr="007F043B">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914" w:type="dxa"/>
            <w:noWrap/>
            <w:hideMark/>
          </w:tcPr>
          <w:p w14:paraId="7D385C9A"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Variable</w:t>
            </w:r>
            <w:proofErr w:type="spellEnd"/>
          </w:p>
        </w:tc>
        <w:tc>
          <w:tcPr>
            <w:tcW w:w="1674" w:type="dxa"/>
            <w:noWrap/>
            <w:hideMark/>
          </w:tcPr>
          <w:p w14:paraId="764581A5"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Observations</w:t>
            </w:r>
            <w:proofErr w:type="spellEnd"/>
          </w:p>
        </w:tc>
        <w:tc>
          <w:tcPr>
            <w:tcW w:w="1184" w:type="dxa"/>
            <w:noWrap/>
            <w:hideMark/>
          </w:tcPr>
          <w:p w14:paraId="638B80F7"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Mean</w:t>
            </w:r>
            <w:proofErr w:type="spellEnd"/>
          </w:p>
        </w:tc>
        <w:tc>
          <w:tcPr>
            <w:tcW w:w="1872" w:type="dxa"/>
            <w:noWrap/>
            <w:hideMark/>
          </w:tcPr>
          <w:p w14:paraId="79DF5E77"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 xml:space="preserve">Standard </w:t>
            </w:r>
            <w:proofErr w:type="spellStart"/>
            <w:r w:rsidRPr="005B4B35">
              <w:rPr>
                <w:rFonts w:ascii="Calibri" w:hAnsi="Calibri" w:cs="Calibri"/>
                <w:color w:val="000000"/>
                <w:sz w:val="22"/>
                <w:szCs w:val="22"/>
                <w:lang w:val="nl-NL" w:eastAsia="nl-NL"/>
              </w:rPr>
              <w:t>deviation</w:t>
            </w:r>
            <w:proofErr w:type="spellEnd"/>
          </w:p>
        </w:tc>
        <w:tc>
          <w:tcPr>
            <w:tcW w:w="913" w:type="dxa"/>
            <w:noWrap/>
            <w:hideMark/>
          </w:tcPr>
          <w:p w14:paraId="0937FA2A"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Min</w:t>
            </w:r>
          </w:p>
        </w:tc>
        <w:tc>
          <w:tcPr>
            <w:tcW w:w="913" w:type="dxa"/>
            <w:noWrap/>
            <w:hideMark/>
          </w:tcPr>
          <w:p w14:paraId="4384C558" w14:textId="77777777" w:rsidR="007F043B" w:rsidRPr="005B4B35" w:rsidRDefault="007F043B" w:rsidP="007F043B">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Max</w:t>
            </w:r>
          </w:p>
        </w:tc>
      </w:tr>
      <w:tr w:rsidR="007F043B" w:rsidRPr="005B4B35" w14:paraId="52E43963" w14:textId="77777777" w:rsidTr="007F043B">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914" w:type="dxa"/>
            <w:noWrap/>
            <w:hideMark/>
          </w:tcPr>
          <w:p w14:paraId="55AC5D1A" w14:textId="77777777" w:rsidR="007F043B" w:rsidRPr="005B4B35" w:rsidRDefault="007F043B" w:rsidP="007F043B">
            <w:pPr>
              <w:spacing w:after="0" w:line="240" w:lineRule="auto"/>
              <w:ind w:firstLine="0"/>
              <w:jc w:val="left"/>
              <w:rPr>
                <w:rFonts w:ascii="Calibri" w:hAnsi="Calibri" w:cs="Calibri"/>
                <w:color w:val="000000"/>
                <w:sz w:val="22"/>
                <w:szCs w:val="22"/>
                <w:lang w:val="en-GB" w:eastAsia="nl-NL"/>
              </w:rPr>
            </w:pPr>
            <w:r w:rsidRPr="005B4B35">
              <w:rPr>
                <w:rFonts w:ascii="Calibri" w:hAnsi="Calibri" w:cs="Calibri"/>
                <w:color w:val="000000"/>
                <w:sz w:val="22"/>
                <w:szCs w:val="22"/>
                <w:lang w:val="en-GB" w:eastAsia="nl-NL"/>
              </w:rPr>
              <w:t xml:space="preserve">Mortgage at time of purchase </w:t>
            </w:r>
          </w:p>
        </w:tc>
        <w:tc>
          <w:tcPr>
            <w:tcW w:w="1674" w:type="dxa"/>
            <w:noWrap/>
            <w:hideMark/>
          </w:tcPr>
          <w:p w14:paraId="507C9073"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1,160</w:t>
            </w:r>
          </w:p>
        </w:tc>
        <w:tc>
          <w:tcPr>
            <w:tcW w:w="1184" w:type="dxa"/>
            <w:noWrap/>
            <w:hideMark/>
          </w:tcPr>
          <w:p w14:paraId="55BE7C18"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1.088</w:t>
            </w:r>
          </w:p>
        </w:tc>
        <w:tc>
          <w:tcPr>
            <w:tcW w:w="1872" w:type="dxa"/>
            <w:noWrap/>
            <w:hideMark/>
          </w:tcPr>
          <w:p w14:paraId="07AB8947"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0.283</w:t>
            </w:r>
          </w:p>
        </w:tc>
        <w:tc>
          <w:tcPr>
            <w:tcW w:w="913" w:type="dxa"/>
            <w:noWrap/>
            <w:hideMark/>
          </w:tcPr>
          <w:p w14:paraId="5ABE1320"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w:t>
            </w:r>
          </w:p>
        </w:tc>
        <w:tc>
          <w:tcPr>
            <w:tcW w:w="913" w:type="dxa"/>
            <w:noWrap/>
            <w:hideMark/>
          </w:tcPr>
          <w:p w14:paraId="48F0A484"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w:t>
            </w:r>
          </w:p>
        </w:tc>
      </w:tr>
      <w:tr w:rsidR="007F043B" w:rsidRPr="005B4B35" w14:paraId="0EB2BF60" w14:textId="77777777" w:rsidTr="007F043B">
        <w:trPr>
          <w:trHeight w:val="289"/>
        </w:trPr>
        <w:tc>
          <w:tcPr>
            <w:cnfStyle w:val="001000000000" w:firstRow="0" w:lastRow="0" w:firstColumn="1" w:lastColumn="0" w:oddVBand="0" w:evenVBand="0" w:oddHBand="0" w:evenHBand="0" w:firstRowFirstColumn="0" w:firstRowLastColumn="0" w:lastRowFirstColumn="0" w:lastRowLastColumn="0"/>
            <w:tcW w:w="2914" w:type="dxa"/>
            <w:noWrap/>
            <w:hideMark/>
          </w:tcPr>
          <w:p w14:paraId="187A7837"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Mortgage</w:t>
            </w:r>
            <w:proofErr w:type="spellEnd"/>
            <w:r w:rsidRPr="005B4B35">
              <w:rPr>
                <w:rFonts w:ascii="Calibri" w:hAnsi="Calibri" w:cs="Calibri"/>
                <w:color w:val="000000"/>
                <w:sz w:val="22"/>
                <w:szCs w:val="22"/>
                <w:lang w:val="nl-NL" w:eastAsia="nl-NL"/>
              </w:rPr>
              <w:t xml:space="preserve"> </w:t>
            </w:r>
            <w:proofErr w:type="spellStart"/>
            <w:r w:rsidRPr="005B4B35">
              <w:rPr>
                <w:rFonts w:ascii="Calibri" w:hAnsi="Calibri" w:cs="Calibri"/>
                <w:color w:val="000000"/>
                <w:sz w:val="22"/>
                <w:szCs w:val="22"/>
                <w:lang w:val="nl-NL" w:eastAsia="nl-NL"/>
              </w:rPr>
              <w:t>loan</w:t>
            </w:r>
            <w:proofErr w:type="spellEnd"/>
            <w:r w:rsidRPr="005B4B35">
              <w:rPr>
                <w:rFonts w:ascii="Calibri" w:hAnsi="Calibri" w:cs="Calibri"/>
                <w:color w:val="000000"/>
                <w:sz w:val="22"/>
                <w:szCs w:val="22"/>
                <w:lang w:val="nl-NL" w:eastAsia="nl-NL"/>
              </w:rPr>
              <w:t xml:space="preserve"> </w:t>
            </w:r>
            <w:proofErr w:type="spellStart"/>
            <w:r w:rsidRPr="005B4B35">
              <w:rPr>
                <w:rFonts w:ascii="Calibri" w:hAnsi="Calibri" w:cs="Calibri"/>
                <w:color w:val="000000"/>
                <w:sz w:val="22"/>
                <w:szCs w:val="22"/>
                <w:lang w:val="nl-NL" w:eastAsia="nl-NL"/>
              </w:rPr>
              <w:t>amount</w:t>
            </w:r>
            <w:proofErr w:type="spellEnd"/>
            <w:r w:rsidRPr="005B4B35">
              <w:rPr>
                <w:rFonts w:ascii="Calibri" w:hAnsi="Calibri" w:cs="Calibri"/>
                <w:color w:val="000000"/>
                <w:sz w:val="22"/>
                <w:szCs w:val="22"/>
                <w:lang w:val="nl-NL" w:eastAsia="nl-NL"/>
              </w:rPr>
              <w:t xml:space="preserve"> (x1000)</w:t>
            </w:r>
          </w:p>
        </w:tc>
        <w:tc>
          <w:tcPr>
            <w:tcW w:w="1674" w:type="dxa"/>
            <w:noWrap/>
            <w:hideMark/>
          </w:tcPr>
          <w:p w14:paraId="2D628304"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1,058</w:t>
            </w:r>
          </w:p>
        </w:tc>
        <w:tc>
          <w:tcPr>
            <w:tcW w:w="1184" w:type="dxa"/>
            <w:noWrap/>
            <w:hideMark/>
          </w:tcPr>
          <w:p w14:paraId="3748EA4C"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236.910</w:t>
            </w:r>
          </w:p>
        </w:tc>
        <w:tc>
          <w:tcPr>
            <w:tcW w:w="1872" w:type="dxa"/>
            <w:noWrap/>
            <w:hideMark/>
          </w:tcPr>
          <w:p w14:paraId="03514825"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718.006</w:t>
            </w:r>
          </w:p>
        </w:tc>
        <w:tc>
          <w:tcPr>
            <w:tcW w:w="913" w:type="dxa"/>
            <w:noWrap/>
            <w:hideMark/>
          </w:tcPr>
          <w:p w14:paraId="60496172"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w:t>
            </w:r>
          </w:p>
        </w:tc>
        <w:tc>
          <w:tcPr>
            <w:tcW w:w="913" w:type="dxa"/>
            <w:noWrap/>
            <w:hideMark/>
          </w:tcPr>
          <w:p w14:paraId="7A2C407C"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9,000</w:t>
            </w:r>
          </w:p>
        </w:tc>
      </w:tr>
      <w:tr w:rsidR="007F043B" w:rsidRPr="005B4B35" w14:paraId="0C2BED35" w14:textId="77777777" w:rsidTr="007F043B">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914" w:type="dxa"/>
            <w:noWrap/>
            <w:hideMark/>
          </w:tcPr>
          <w:p w14:paraId="7A646FC2"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Mortgage</w:t>
            </w:r>
            <w:proofErr w:type="spellEnd"/>
            <w:r w:rsidRPr="005B4B35">
              <w:rPr>
                <w:rFonts w:ascii="Calibri" w:hAnsi="Calibri" w:cs="Calibri"/>
                <w:color w:val="000000"/>
                <w:sz w:val="22"/>
                <w:szCs w:val="22"/>
                <w:lang w:val="nl-NL" w:eastAsia="nl-NL"/>
              </w:rPr>
              <w:t xml:space="preserve"> on home </w:t>
            </w:r>
            <w:proofErr w:type="spellStart"/>
            <w:r w:rsidRPr="005B4B35">
              <w:rPr>
                <w:rFonts w:ascii="Calibri" w:hAnsi="Calibri" w:cs="Calibri"/>
                <w:color w:val="000000"/>
                <w:sz w:val="22"/>
                <w:szCs w:val="22"/>
                <w:lang w:val="nl-NL" w:eastAsia="nl-NL"/>
              </w:rPr>
              <w:t>currently</w:t>
            </w:r>
            <w:proofErr w:type="spellEnd"/>
          </w:p>
        </w:tc>
        <w:tc>
          <w:tcPr>
            <w:tcW w:w="1674" w:type="dxa"/>
            <w:noWrap/>
            <w:hideMark/>
          </w:tcPr>
          <w:p w14:paraId="7A2053EB"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1,160</w:t>
            </w:r>
          </w:p>
        </w:tc>
        <w:tc>
          <w:tcPr>
            <w:tcW w:w="1184" w:type="dxa"/>
            <w:noWrap/>
            <w:hideMark/>
          </w:tcPr>
          <w:p w14:paraId="454054AF"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1.266</w:t>
            </w:r>
          </w:p>
        </w:tc>
        <w:tc>
          <w:tcPr>
            <w:tcW w:w="1872" w:type="dxa"/>
            <w:noWrap/>
            <w:hideMark/>
          </w:tcPr>
          <w:p w14:paraId="4FFD9038"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0.442</w:t>
            </w:r>
          </w:p>
        </w:tc>
        <w:tc>
          <w:tcPr>
            <w:tcW w:w="913" w:type="dxa"/>
            <w:noWrap/>
            <w:hideMark/>
          </w:tcPr>
          <w:p w14:paraId="4D929B98"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w:t>
            </w:r>
          </w:p>
        </w:tc>
        <w:tc>
          <w:tcPr>
            <w:tcW w:w="913" w:type="dxa"/>
            <w:noWrap/>
            <w:hideMark/>
          </w:tcPr>
          <w:p w14:paraId="0C67FB9A"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w:t>
            </w:r>
          </w:p>
        </w:tc>
      </w:tr>
      <w:tr w:rsidR="007F043B" w:rsidRPr="005B4B35" w14:paraId="5DC7DEDF" w14:textId="77777777" w:rsidTr="007F043B">
        <w:trPr>
          <w:trHeight w:val="289"/>
        </w:trPr>
        <w:tc>
          <w:tcPr>
            <w:cnfStyle w:val="001000000000" w:firstRow="0" w:lastRow="0" w:firstColumn="1" w:lastColumn="0" w:oddVBand="0" w:evenVBand="0" w:oddHBand="0" w:evenHBand="0" w:firstRowFirstColumn="0" w:firstRowLastColumn="0" w:lastRowFirstColumn="0" w:lastRowLastColumn="0"/>
            <w:tcW w:w="2914" w:type="dxa"/>
            <w:noWrap/>
            <w:hideMark/>
          </w:tcPr>
          <w:p w14:paraId="0C37CED1"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Prefer</w:t>
            </w:r>
            <w:proofErr w:type="spellEnd"/>
            <w:r w:rsidRPr="005B4B35">
              <w:rPr>
                <w:rFonts w:ascii="Calibri" w:hAnsi="Calibri" w:cs="Calibri"/>
                <w:color w:val="000000"/>
                <w:sz w:val="22"/>
                <w:szCs w:val="22"/>
                <w:lang w:val="nl-NL" w:eastAsia="nl-NL"/>
              </w:rPr>
              <w:t xml:space="preserve"> more </w:t>
            </w:r>
            <w:proofErr w:type="spellStart"/>
            <w:r w:rsidRPr="005B4B35">
              <w:rPr>
                <w:rFonts w:ascii="Calibri" w:hAnsi="Calibri" w:cs="Calibri"/>
                <w:color w:val="000000"/>
                <w:sz w:val="22"/>
                <w:szCs w:val="22"/>
                <w:lang w:val="nl-NL" w:eastAsia="nl-NL"/>
              </w:rPr>
              <w:t>expensive</w:t>
            </w:r>
            <w:proofErr w:type="spellEnd"/>
            <w:r w:rsidRPr="005B4B35">
              <w:rPr>
                <w:rFonts w:ascii="Calibri" w:hAnsi="Calibri" w:cs="Calibri"/>
                <w:color w:val="000000"/>
                <w:sz w:val="22"/>
                <w:szCs w:val="22"/>
                <w:lang w:val="nl-NL" w:eastAsia="nl-NL"/>
              </w:rPr>
              <w:t xml:space="preserve"> house</w:t>
            </w:r>
          </w:p>
        </w:tc>
        <w:tc>
          <w:tcPr>
            <w:tcW w:w="1674" w:type="dxa"/>
            <w:noWrap/>
            <w:hideMark/>
          </w:tcPr>
          <w:p w14:paraId="5405E31E"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1,160</w:t>
            </w:r>
          </w:p>
        </w:tc>
        <w:tc>
          <w:tcPr>
            <w:tcW w:w="1184" w:type="dxa"/>
            <w:noWrap/>
            <w:hideMark/>
          </w:tcPr>
          <w:p w14:paraId="00E6E2C6"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1.909</w:t>
            </w:r>
          </w:p>
        </w:tc>
        <w:tc>
          <w:tcPr>
            <w:tcW w:w="1872" w:type="dxa"/>
            <w:noWrap/>
            <w:hideMark/>
          </w:tcPr>
          <w:p w14:paraId="3496767C"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0.287</w:t>
            </w:r>
          </w:p>
        </w:tc>
        <w:tc>
          <w:tcPr>
            <w:tcW w:w="913" w:type="dxa"/>
            <w:noWrap/>
            <w:hideMark/>
          </w:tcPr>
          <w:p w14:paraId="0B4C4180"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w:t>
            </w:r>
          </w:p>
        </w:tc>
        <w:tc>
          <w:tcPr>
            <w:tcW w:w="913" w:type="dxa"/>
            <w:noWrap/>
            <w:hideMark/>
          </w:tcPr>
          <w:p w14:paraId="0779914D" w14:textId="77777777" w:rsidR="007F043B" w:rsidRPr="005B4B35" w:rsidRDefault="007F043B" w:rsidP="007F043B">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w:t>
            </w:r>
          </w:p>
        </w:tc>
      </w:tr>
      <w:tr w:rsidR="007F043B" w:rsidRPr="005B4B35" w14:paraId="3006E7C5" w14:textId="77777777" w:rsidTr="007F043B">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914" w:type="dxa"/>
            <w:noWrap/>
            <w:hideMark/>
          </w:tcPr>
          <w:p w14:paraId="57BDF36E" w14:textId="77777777" w:rsidR="007F043B" w:rsidRPr="005B4B35" w:rsidRDefault="007F043B" w:rsidP="007F043B">
            <w:pPr>
              <w:spacing w:after="0" w:line="240" w:lineRule="auto"/>
              <w:ind w:firstLine="0"/>
              <w:jc w:val="left"/>
              <w:rPr>
                <w:rFonts w:ascii="Calibri" w:hAnsi="Calibri" w:cs="Calibri"/>
                <w:color w:val="000000"/>
                <w:sz w:val="22"/>
                <w:szCs w:val="22"/>
                <w:lang w:val="nl-NL" w:eastAsia="nl-NL"/>
              </w:rPr>
            </w:pPr>
            <w:proofErr w:type="spellStart"/>
            <w:r w:rsidRPr="005B4B35">
              <w:rPr>
                <w:rFonts w:ascii="Calibri" w:hAnsi="Calibri" w:cs="Calibri"/>
                <w:color w:val="000000"/>
                <w:sz w:val="22"/>
                <w:szCs w:val="22"/>
                <w:lang w:val="nl-NL" w:eastAsia="nl-NL"/>
              </w:rPr>
              <w:t>Mortgage</w:t>
            </w:r>
            <w:proofErr w:type="spellEnd"/>
            <w:r w:rsidRPr="005B4B35">
              <w:rPr>
                <w:rFonts w:ascii="Calibri" w:hAnsi="Calibri" w:cs="Calibri"/>
                <w:color w:val="000000"/>
                <w:sz w:val="22"/>
                <w:szCs w:val="22"/>
                <w:lang w:val="nl-NL" w:eastAsia="nl-NL"/>
              </w:rPr>
              <w:t xml:space="preserve"> interest </w:t>
            </w:r>
            <w:proofErr w:type="spellStart"/>
            <w:r w:rsidRPr="005B4B35">
              <w:rPr>
                <w:rFonts w:ascii="Calibri" w:hAnsi="Calibri" w:cs="Calibri"/>
                <w:color w:val="000000"/>
                <w:sz w:val="22"/>
                <w:szCs w:val="22"/>
                <w:lang w:val="nl-NL" w:eastAsia="nl-NL"/>
              </w:rPr>
              <w:t>rate</w:t>
            </w:r>
            <w:proofErr w:type="spellEnd"/>
            <w:r w:rsidRPr="005B4B35">
              <w:rPr>
                <w:rFonts w:ascii="Calibri" w:hAnsi="Calibri" w:cs="Calibri"/>
                <w:color w:val="000000"/>
                <w:sz w:val="22"/>
                <w:szCs w:val="22"/>
                <w:lang w:val="nl-NL" w:eastAsia="nl-NL"/>
              </w:rPr>
              <w:t xml:space="preserve"> </w:t>
            </w:r>
          </w:p>
        </w:tc>
        <w:tc>
          <w:tcPr>
            <w:tcW w:w="1674" w:type="dxa"/>
            <w:noWrap/>
            <w:hideMark/>
          </w:tcPr>
          <w:p w14:paraId="2D30A006"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716</w:t>
            </w:r>
          </w:p>
        </w:tc>
        <w:tc>
          <w:tcPr>
            <w:tcW w:w="1184" w:type="dxa"/>
            <w:noWrap/>
            <w:hideMark/>
          </w:tcPr>
          <w:p w14:paraId="3D77D095"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3.353</w:t>
            </w:r>
          </w:p>
        </w:tc>
        <w:tc>
          <w:tcPr>
            <w:tcW w:w="1872" w:type="dxa"/>
            <w:noWrap/>
            <w:hideMark/>
          </w:tcPr>
          <w:p w14:paraId="3889CC21"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1.319</w:t>
            </w:r>
          </w:p>
        </w:tc>
        <w:tc>
          <w:tcPr>
            <w:tcW w:w="913" w:type="dxa"/>
            <w:noWrap/>
            <w:hideMark/>
          </w:tcPr>
          <w:p w14:paraId="1968EC53"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0</w:t>
            </w:r>
          </w:p>
        </w:tc>
        <w:tc>
          <w:tcPr>
            <w:tcW w:w="913" w:type="dxa"/>
            <w:noWrap/>
            <w:hideMark/>
          </w:tcPr>
          <w:p w14:paraId="693EF9ED" w14:textId="77777777" w:rsidR="007F043B" w:rsidRPr="005B4B35" w:rsidRDefault="007F043B" w:rsidP="007F043B">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7.8</w:t>
            </w:r>
          </w:p>
        </w:tc>
      </w:tr>
    </w:tbl>
    <w:p w14:paraId="13F62EE9"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nl-NL"/>
        </w:rPr>
      </w:pPr>
    </w:p>
    <w:p w14:paraId="667258EA"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nl-NL"/>
        </w:rPr>
      </w:pPr>
    </w:p>
    <w:p w14:paraId="4BC9F2A8"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nl-NL"/>
        </w:rPr>
      </w:pPr>
    </w:p>
    <w:p w14:paraId="1D6EF538"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nl-NL"/>
        </w:rPr>
      </w:pPr>
      <w:r w:rsidRPr="005B4B35">
        <w:rPr>
          <w:rFonts w:asciiTheme="minorHAnsi" w:eastAsiaTheme="minorHAnsi" w:hAnsiTheme="minorHAnsi" w:cstheme="minorBidi"/>
          <w:sz w:val="22"/>
          <w:szCs w:val="22"/>
          <w:lang w:val="nl-NL"/>
        </w:rPr>
        <w:br w:type="page"/>
      </w:r>
    </w:p>
    <w:p w14:paraId="44C2252F" w14:textId="77777777" w:rsidR="007F043B" w:rsidRPr="00F33413" w:rsidRDefault="007F043B" w:rsidP="007F043B">
      <w:pPr>
        <w:pStyle w:val="Kop1"/>
        <w:ind w:firstLine="0"/>
        <w:rPr>
          <w:rFonts w:ascii="Arial" w:eastAsiaTheme="minorHAnsi" w:hAnsi="Arial" w:cs="Arial"/>
          <w:b/>
          <w:bCs/>
          <w:color w:val="auto"/>
          <w:sz w:val="24"/>
          <w:szCs w:val="24"/>
          <w:lang w:val="nl-NL"/>
        </w:rPr>
      </w:pPr>
      <w:bookmarkStart w:id="20" w:name="_Toc14016541"/>
      <w:r w:rsidRPr="00F33413">
        <w:rPr>
          <w:rFonts w:ascii="Arial" w:eastAsiaTheme="minorHAnsi" w:hAnsi="Arial" w:cs="Arial"/>
          <w:b/>
          <w:bCs/>
          <w:color w:val="auto"/>
          <w:sz w:val="24"/>
          <w:szCs w:val="24"/>
          <w:lang w:val="nl-NL"/>
        </w:rPr>
        <w:lastRenderedPageBreak/>
        <w:t>Appendix C</w:t>
      </w:r>
      <w:bookmarkEnd w:id="20"/>
      <w:r w:rsidRPr="00F33413">
        <w:rPr>
          <w:rFonts w:ascii="Arial" w:eastAsiaTheme="minorHAnsi" w:hAnsi="Arial" w:cs="Arial"/>
          <w:b/>
          <w:bCs/>
          <w:color w:val="auto"/>
          <w:sz w:val="24"/>
          <w:szCs w:val="24"/>
          <w:lang w:val="nl-NL"/>
        </w:rPr>
        <w:t xml:space="preserve"> </w:t>
      </w:r>
    </w:p>
    <w:p w14:paraId="67194C9F" w14:textId="2FF789AA" w:rsidR="007F043B" w:rsidRPr="005B4B35" w:rsidRDefault="007F043B" w:rsidP="007F043B">
      <w:pPr>
        <w:keepNext/>
        <w:spacing w:after="200" w:line="240" w:lineRule="auto"/>
        <w:ind w:firstLine="0"/>
        <w:jc w:val="left"/>
        <w:rPr>
          <w:rFonts w:ascii="Arial" w:eastAsiaTheme="minorHAnsi" w:hAnsi="Arial" w:cs="Arial"/>
          <w:i/>
          <w:iCs/>
          <w:sz w:val="20"/>
          <w:szCs w:val="20"/>
          <w:lang w:val="en-GB"/>
        </w:rPr>
      </w:pPr>
      <w:r w:rsidRPr="005B4B35">
        <w:rPr>
          <w:rFonts w:ascii="Arial" w:eastAsiaTheme="minorHAnsi" w:hAnsi="Arial" w:cs="Arial"/>
          <w:i/>
          <w:iCs/>
          <w:sz w:val="20"/>
          <w:szCs w:val="20"/>
          <w:lang w:val="en-GB"/>
        </w:rPr>
        <w:t xml:space="preserve">Table </w:t>
      </w:r>
      <w:r w:rsidR="00FD3F5E">
        <w:rPr>
          <w:rFonts w:ascii="Arial" w:eastAsiaTheme="minorHAnsi" w:hAnsi="Arial" w:cs="Arial"/>
          <w:i/>
          <w:iCs/>
          <w:sz w:val="20"/>
          <w:szCs w:val="20"/>
          <w:lang w:val="en-GB"/>
        </w:rPr>
        <w:t>C-</w:t>
      </w:r>
      <w:r w:rsidRPr="005B4B35">
        <w:rPr>
          <w:rFonts w:ascii="Arial" w:eastAsiaTheme="minorHAnsi" w:hAnsi="Arial" w:cs="Arial"/>
          <w:i/>
          <w:iCs/>
          <w:sz w:val="20"/>
          <w:szCs w:val="20"/>
          <w:lang w:val="en-GB"/>
        </w:rPr>
        <w:t>1 House price index for the Netherlands based on linear trend prediction, 31.03.2013 –31.03.2023</w:t>
      </w:r>
    </w:p>
    <w:tbl>
      <w:tblPr>
        <w:tblStyle w:val="Onopgemaaktetabel2"/>
        <w:tblW w:w="3320" w:type="dxa"/>
        <w:tblLook w:val="04A0" w:firstRow="1" w:lastRow="0" w:firstColumn="1" w:lastColumn="0" w:noHBand="0" w:noVBand="1"/>
      </w:tblPr>
      <w:tblGrid>
        <w:gridCol w:w="1360"/>
        <w:gridCol w:w="1960"/>
      </w:tblGrid>
      <w:tr w:rsidR="007F043B" w:rsidRPr="005B4B35" w14:paraId="53B1E007" w14:textId="77777777" w:rsidTr="007F043B">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09D53B7" w14:textId="77777777" w:rsidR="007F043B" w:rsidRPr="005B4B35" w:rsidRDefault="007F043B" w:rsidP="007F043B">
            <w:pPr>
              <w:spacing w:after="0" w:line="240" w:lineRule="auto"/>
              <w:ind w:firstLine="0"/>
              <w:jc w:val="left"/>
              <w:rPr>
                <w:rFonts w:ascii="Calibri" w:hAnsi="Calibri" w:cs="Calibri"/>
                <w:color w:val="FF0000"/>
                <w:sz w:val="22"/>
                <w:szCs w:val="22"/>
                <w:lang w:val="nl-NL" w:eastAsia="nl-NL"/>
              </w:rPr>
            </w:pPr>
            <w:proofErr w:type="spellStart"/>
            <w:r w:rsidRPr="005B4B35">
              <w:rPr>
                <w:rFonts w:ascii="Calibri" w:hAnsi="Calibri" w:cs="Calibri"/>
                <w:sz w:val="22"/>
                <w:szCs w:val="22"/>
                <w:lang w:val="nl-NL" w:eastAsia="nl-NL"/>
              </w:rPr>
              <w:t>Period</w:t>
            </w:r>
            <w:proofErr w:type="spellEnd"/>
          </w:p>
        </w:tc>
        <w:tc>
          <w:tcPr>
            <w:tcW w:w="1960" w:type="dxa"/>
            <w:noWrap/>
            <w:hideMark/>
          </w:tcPr>
          <w:p w14:paraId="3EA17929" w14:textId="77777777" w:rsidR="007F043B" w:rsidRPr="005B4B35" w:rsidRDefault="007F043B" w:rsidP="007F043B">
            <w:pPr>
              <w:spacing w:after="0"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hAnsi="Calibri" w:cs="Calibri"/>
                <w:color w:val="FFFFFF"/>
                <w:sz w:val="22"/>
                <w:szCs w:val="22"/>
                <w:lang w:val="nl-NL" w:eastAsia="nl-NL"/>
              </w:rPr>
            </w:pPr>
            <w:r w:rsidRPr="005B4B35">
              <w:rPr>
                <w:rFonts w:ascii="Calibri" w:hAnsi="Calibri" w:cs="Calibri"/>
                <w:sz w:val="22"/>
                <w:szCs w:val="22"/>
                <w:lang w:val="nl-NL" w:eastAsia="nl-NL"/>
              </w:rPr>
              <w:t>House Price Index</w:t>
            </w:r>
          </w:p>
        </w:tc>
      </w:tr>
      <w:tr w:rsidR="007F043B" w:rsidRPr="005B4B35" w14:paraId="4F9F78F2"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69EC46FB"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31.03.2013</w:t>
            </w:r>
          </w:p>
        </w:tc>
        <w:tc>
          <w:tcPr>
            <w:tcW w:w="1960" w:type="dxa"/>
            <w:noWrap/>
            <w:hideMark/>
          </w:tcPr>
          <w:p w14:paraId="286BEE3E"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229.244</w:t>
            </w:r>
          </w:p>
        </w:tc>
      </w:tr>
      <w:tr w:rsidR="007F043B" w:rsidRPr="005B4B35" w14:paraId="6C972CFB"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33EFAD23"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30.06.2013</w:t>
            </w:r>
          </w:p>
        </w:tc>
        <w:tc>
          <w:tcPr>
            <w:tcW w:w="1960" w:type="dxa"/>
            <w:noWrap/>
            <w:hideMark/>
          </w:tcPr>
          <w:p w14:paraId="0CD1EDA9"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224.518</w:t>
            </w:r>
          </w:p>
        </w:tc>
      </w:tr>
      <w:tr w:rsidR="007F043B" w:rsidRPr="005B4B35" w14:paraId="0001C664"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EA5890C"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30.09.2013</w:t>
            </w:r>
          </w:p>
        </w:tc>
        <w:tc>
          <w:tcPr>
            <w:tcW w:w="1960" w:type="dxa"/>
            <w:noWrap/>
            <w:hideMark/>
          </w:tcPr>
          <w:p w14:paraId="2F8798E8"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225.959</w:t>
            </w:r>
          </w:p>
        </w:tc>
      </w:tr>
      <w:tr w:rsidR="007F043B" w:rsidRPr="005B4B35" w14:paraId="0071E57E"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F249017"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31.12.2013</w:t>
            </w:r>
          </w:p>
        </w:tc>
        <w:tc>
          <w:tcPr>
            <w:tcW w:w="1960" w:type="dxa"/>
            <w:noWrap/>
            <w:hideMark/>
          </w:tcPr>
          <w:p w14:paraId="18B8B12E"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225.227</w:t>
            </w:r>
          </w:p>
        </w:tc>
      </w:tr>
      <w:tr w:rsidR="007F043B" w:rsidRPr="005B4B35" w14:paraId="073581DB"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2C7DB398"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31.03.2014</w:t>
            </w:r>
          </w:p>
        </w:tc>
        <w:tc>
          <w:tcPr>
            <w:tcW w:w="1960" w:type="dxa"/>
            <w:noWrap/>
            <w:hideMark/>
          </w:tcPr>
          <w:p w14:paraId="6D5F971F"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226.361</w:t>
            </w:r>
          </w:p>
        </w:tc>
      </w:tr>
      <w:tr w:rsidR="007F043B" w:rsidRPr="005B4B35" w14:paraId="70D1B69E"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2AC3548D"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30.06.2014</w:t>
            </w:r>
          </w:p>
        </w:tc>
        <w:tc>
          <w:tcPr>
            <w:tcW w:w="1960" w:type="dxa"/>
            <w:noWrap/>
            <w:hideMark/>
          </w:tcPr>
          <w:p w14:paraId="228F5C39"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227.377</w:t>
            </w:r>
          </w:p>
        </w:tc>
      </w:tr>
      <w:tr w:rsidR="007F043B" w:rsidRPr="005B4B35" w14:paraId="7373482D"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3857C947"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30.09.2014</w:t>
            </w:r>
          </w:p>
        </w:tc>
        <w:tc>
          <w:tcPr>
            <w:tcW w:w="1960" w:type="dxa"/>
            <w:noWrap/>
            <w:hideMark/>
          </w:tcPr>
          <w:p w14:paraId="1AD188A1"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228.842</w:t>
            </w:r>
          </w:p>
        </w:tc>
      </w:tr>
      <w:tr w:rsidR="007F043B" w:rsidRPr="005B4B35" w14:paraId="38755059"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28A4CF53"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31.12.2014</w:t>
            </w:r>
          </w:p>
        </w:tc>
        <w:tc>
          <w:tcPr>
            <w:tcW w:w="1960" w:type="dxa"/>
            <w:noWrap/>
            <w:hideMark/>
          </w:tcPr>
          <w:p w14:paraId="55B2690F"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229.787</w:t>
            </w:r>
          </w:p>
        </w:tc>
      </w:tr>
      <w:tr w:rsidR="007F043B" w:rsidRPr="005B4B35" w14:paraId="72F6C3E9"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7982F64"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31.03.2015</w:t>
            </w:r>
          </w:p>
        </w:tc>
        <w:tc>
          <w:tcPr>
            <w:tcW w:w="1960" w:type="dxa"/>
            <w:noWrap/>
            <w:hideMark/>
          </w:tcPr>
          <w:p w14:paraId="745EC69F"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232.197</w:t>
            </w:r>
          </w:p>
        </w:tc>
      </w:tr>
      <w:tr w:rsidR="007F043B" w:rsidRPr="005B4B35" w14:paraId="13266C89"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FC6AF1C"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30.06.2015</w:t>
            </w:r>
          </w:p>
        </w:tc>
        <w:tc>
          <w:tcPr>
            <w:tcW w:w="1960" w:type="dxa"/>
            <w:noWrap/>
            <w:hideMark/>
          </w:tcPr>
          <w:p w14:paraId="0438D3EA"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234.253</w:t>
            </w:r>
          </w:p>
        </w:tc>
      </w:tr>
      <w:tr w:rsidR="007F043B" w:rsidRPr="005B4B35" w14:paraId="4F4697DC"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41E83E9"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30.09.2015</w:t>
            </w:r>
          </w:p>
        </w:tc>
        <w:tc>
          <w:tcPr>
            <w:tcW w:w="1960" w:type="dxa"/>
            <w:noWrap/>
            <w:hideMark/>
          </w:tcPr>
          <w:p w14:paraId="61B747B3"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238.979</w:t>
            </w:r>
          </w:p>
        </w:tc>
      </w:tr>
      <w:tr w:rsidR="007F043B" w:rsidRPr="005B4B35" w14:paraId="2476C985"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623CBA19"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31.12.2015</w:t>
            </w:r>
          </w:p>
        </w:tc>
        <w:tc>
          <w:tcPr>
            <w:tcW w:w="1960" w:type="dxa"/>
            <w:noWrap/>
            <w:hideMark/>
          </w:tcPr>
          <w:p w14:paraId="4EBC2F7E"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239.711</w:t>
            </w:r>
          </w:p>
        </w:tc>
      </w:tr>
      <w:tr w:rsidR="007F043B" w:rsidRPr="005B4B35" w14:paraId="250B9EF5"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C1DB77F"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31.03.2016</w:t>
            </w:r>
          </w:p>
        </w:tc>
        <w:tc>
          <w:tcPr>
            <w:tcW w:w="1960" w:type="dxa"/>
            <w:noWrap/>
            <w:hideMark/>
          </w:tcPr>
          <w:p w14:paraId="1B158E95"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242.925</w:t>
            </w:r>
          </w:p>
        </w:tc>
      </w:tr>
      <w:tr w:rsidR="007F043B" w:rsidRPr="005B4B35" w14:paraId="08A70B48"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9DDD2A7"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30.06.2016</w:t>
            </w:r>
          </w:p>
        </w:tc>
        <w:tc>
          <w:tcPr>
            <w:tcW w:w="1960" w:type="dxa"/>
            <w:noWrap/>
            <w:hideMark/>
          </w:tcPr>
          <w:p w14:paraId="5DE72C9A"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244.744</w:t>
            </w:r>
          </w:p>
        </w:tc>
      </w:tr>
      <w:tr w:rsidR="007F043B" w:rsidRPr="005B4B35" w14:paraId="46FFDF2A"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B687BE3"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30.09.2016</w:t>
            </w:r>
          </w:p>
        </w:tc>
        <w:tc>
          <w:tcPr>
            <w:tcW w:w="1960" w:type="dxa"/>
            <w:noWrap/>
            <w:hideMark/>
          </w:tcPr>
          <w:p w14:paraId="426565D1"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250.840</w:t>
            </w:r>
          </w:p>
        </w:tc>
      </w:tr>
      <w:tr w:rsidR="007F043B" w:rsidRPr="005B4B35" w14:paraId="2CBBB1EB"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612118BC"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31.12.2016</w:t>
            </w:r>
          </w:p>
        </w:tc>
        <w:tc>
          <w:tcPr>
            <w:tcW w:w="1960" w:type="dxa"/>
            <w:noWrap/>
            <w:hideMark/>
          </w:tcPr>
          <w:p w14:paraId="4DBED344"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254.054</w:t>
            </w:r>
          </w:p>
        </w:tc>
      </w:tr>
      <w:tr w:rsidR="007F043B" w:rsidRPr="005B4B35" w14:paraId="429ADC54"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37A55286"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31.03.2017</w:t>
            </w:r>
          </w:p>
        </w:tc>
        <w:tc>
          <w:tcPr>
            <w:tcW w:w="1960" w:type="dxa"/>
            <w:noWrap/>
            <w:hideMark/>
          </w:tcPr>
          <w:p w14:paraId="5C5BA376"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259.133</w:t>
            </w:r>
          </w:p>
        </w:tc>
      </w:tr>
      <w:tr w:rsidR="007F043B" w:rsidRPr="005B4B35" w14:paraId="73070F97"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A036306"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30.06.2017</w:t>
            </w:r>
          </w:p>
        </w:tc>
        <w:tc>
          <w:tcPr>
            <w:tcW w:w="1960" w:type="dxa"/>
            <w:noWrap/>
            <w:hideMark/>
          </w:tcPr>
          <w:p w14:paraId="7EFAB538"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263.198</w:t>
            </w:r>
          </w:p>
        </w:tc>
      </w:tr>
      <w:tr w:rsidR="007F043B" w:rsidRPr="005B4B35" w14:paraId="43423FA7"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0EE0392"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30.09.2017</w:t>
            </w:r>
          </w:p>
        </w:tc>
        <w:tc>
          <w:tcPr>
            <w:tcW w:w="1960" w:type="dxa"/>
            <w:noWrap/>
            <w:hideMark/>
          </w:tcPr>
          <w:p w14:paraId="760BF1A5"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269.412</w:t>
            </w:r>
          </w:p>
        </w:tc>
      </w:tr>
      <w:tr w:rsidR="007F043B" w:rsidRPr="005B4B35" w14:paraId="72039CEF"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F90B51F"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31.12.2017</w:t>
            </w:r>
          </w:p>
        </w:tc>
        <w:tc>
          <w:tcPr>
            <w:tcW w:w="1960" w:type="dxa"/>
            <w:noWrap/>
            <w:hideMark/>
          </w:tcPr>
          <w:p w14:paraId="4D813CBA"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275.627</w:t>
            </w:r>
          </w:p>
        </w:tc>
      </w:tr>
      <w:tr w:rsidR="007F043B" w:rsidRPr="005B4B35" w14:paraId="3D9E3E52"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FA87636"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31.03.2018</w:t>
            </w:r>
          </w:p>
        </w:tc>
        <w:tc>
          <w:tcPr>
            <w:tcW w:w="1960" w:type="dxa"/>
            <w:noWrap/>
            <w:hideMark/>
          </w:tcPr>
          <w:p w14:paraId="4CCBB2FC"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283.212</w:t>
            </w:r>
          </w:p>
        </w:tc>
      </w:tr>
      <w:tr w:rsidR="007F043B" w:rsidRPr="005B4B35" w14:paraId="1D911000"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AC9A248"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30.06.2018</w:t>
            </w:r>
          </w:p>
        </w:tc>
        <w:tc>
          <w:tcPr>
            <w:tcW w:w="1960" w:type="dxa"/>
            <w:noWrap/>
            <w:hideMark/>
          </w:tcPr>
          <w:p w14:paraId="2463A3D6"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288.430</w:t>
            </w:r>
          </w:p>
        </w:tc>
      </w:tr>
      <w:tr w:rsidR="007F043B" w:rsidRPr="005B4B35" w14:paraId="17E89E3A"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611F9FDF"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30.09.2018</w:t>
            </w:r>
          </w:p>
        </w:tc>
        <w:tc>
          <w:tcPr>
            <w:tcW w:w="1960" w:type="dxa"/>
            <w:noWrap/>
            <w:hideMark/>
          </w:tcPr>
          <w:p w14:paraId="15451FFB"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lang w:val="nl-NL" w:eastAsia="nl-NL"/>
              </w:rPr>
            </w:pPr>
            <w:r w:rsidRPr="005B4B35">
              <w:rPr>
                <w:rFonts w:ascii="Calibri" w:hAnsi="Calibri" w:cs="Calibri"/>
                <w:sz w:val="22"/>
                <w:szCs w:val="22"/>
                <w:lang w:val="nl-NL" w:eastAsia="nl-NL"/>
              </w:rPr>
              <w:t>296.257</w:t>
            </w:r>
          </w:p>
        </w:tc>
      </w:tr>
      <w:tr w:rsidR="007F043B" w:rsidRPr="005B4B35" w14:paraId="7267527D"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20AD9D5"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31.12.2018</w:t>
            </w:r>
          </w:p>
        </w:tc>
        <w:tc>
          <w:tcPr>
            <w:tcW w:w="1960" w:type="dxa"/>
            <w:noWrap/>
            <w:hideMark/>
          </w:tcPr>
          <w:p w14:paraId="05539427"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284.642</w:t>
            </w:r>
          </w:p>
        </w:tc>
      </w:tr>
      <w:tr w:rsidR="007F043B" w:rsidRPr="005B4B35" w14:paraId="26BD9988"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0D479B4"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31.03.2019</w:t>
            </w:r>
          </w:p>
        </w:tc>
        <w:tc>
          <w:tcPr>
            <w:tcW w:w="1960" w:type="dxa"/>
            <w:noWrap/>
            <w:hideMark/>
          </w:tcPr>
          <w:p w14:paraId="724D9E44"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287.745</w:t>
            </w:r>
          </w:p>
        </w:tc>
      </w:tr>
      <w:tr w:rsidR="007F043B" w:rsidRPr="005B4B35" w14:paraId="40C91864"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2B7BAF7"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30.06.2019</w:t>
            </w:r>
          </w:p>
        </w:tc>
        <w:tc>
          <w:tcPr>
            <w:tcW w:w="1960" w:type="dxa"/>
            <w:noWrap/>
            <w:hideMark/>
          </w:tcPr>
          <w:p w14:paraId="6D8C7749"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290.848</w:t>
            </w:r>
          </w:p>
        </w:tc>
      </w:tr>
      <w:tr w:rsidR="007F043B" w:rsidRPr="005B4B35" w14:paraId="151C33CB"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DB98B51"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30.09.2019</w:t>
            </w:r>
          </w:p>
        </w:tc>
        <w:tc>
          <w:tcPr>
            <w:tcW w:w="1960" w:type="dxa"/>
            <w:noWrap/>
            <w:hideMark/>
          </w:tcPr>
          <w:p w14:paraId="52229E35"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293.951</w:t>
            </w:r>
          </w:p>
        </w:tc>
      </w:tr>
      <w:tr w:rsidR="007F043B" w:rsidRPr="005B4B35" w14:paraId="53983871"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5FBB2BB"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31.12.2019</w:t>
            </w:r>
          </w:p>
        </w:tc>
        <w:tc>
          <w:tcPr>
            <w:tcW w:w="1960" w:type="dxa"/>
            <w:noWrap/>
            <w:hideMark/>
          </w:tcPr>
          <w:p w14:paraId="5404B4C8"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297.054</w:t>
            </w:r>
          </w:p>
        </w:tc>
      </w:tr>
      <w:tr w:rsidR="007F043B" w:rsidRPr="005B4B35" w14:paraId="1726A95B"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11BA3473"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31.03.2020</w:t>
            </w:r>
          </w:p>
        </w:tc>
        <w:tc>
          <w:tcPr>
            <w:tcW w:w="1960" w:type="dxa"/>
            <w:noWrap/>
            <w:hideMark/>
          </w:tcPr>
          <w:p w14:paraId="2F7ADABF"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300.158</w:t>
            </w:r>
          </w:p>
        </w:tc>
      </w:tr>
      <w:tr w:rsidR="007F043B" w:rsidRPr="005B4B35" w14:paraId="060E0EAB"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13BC4FA"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30.06.2020</w:t>
            </w:r>
          </w:p>
        </w:tc>
        <w:tc>
          <w:tcPr>
            <w:tcW w:w="1960" w:type="dxa"/>
            <w:noWrap/>
            <w:hideMark/>
          </w:tcPr>
          <w:p w14:paraId="2D007826"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303.261</w:t>
            </w:r>
          </w:p>
        </w:tc>
      </w:tr>
      <w:tr w:rsidR="007F043B" w:rsidRPr="005B4B35" w14:paraId="01D41D0D"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645566D3"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30.09.2020</w:t>
            </w:r>
          </w:p>
        </w:tc>
        <w:tc>
          <w:tcPr>
            <w:tcW w:w="1960" w:type="dxa"/>
            <w:noWrap/>
            <w:hideMark/>
          </w:tcPr>
          <w:p w14:paraId="3B56890A"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306.364</w:t>
            </w:r>
          </w:p>
        </w:tc>
      </w:tr>
      <w:tr w:rsidR="007F043B" w:rsidRPr="005B4B35" w14:paraId="22317F1E"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16B3C16"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31.12.2020</w:t>
            </w:r>
          </w:p>
        </w:tc>
        <w:tc>
          <w:tcPr>
            <w:tcW w:w="1960" w:type="dxa"/>
            <w:noWrap/>
            <w:hideMark/>
          </w:tcPr>
          <w:p w14:paraId="49ECF2F5"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309.467</w:t>
            </w:r>
          </w:p>
        </w:tc>
      </w:tr>
      <w:tr w:rsidR="007F043B" w:rsidRPr="005B4B35" w14:paraId="45233D60"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FE65AC4"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31.03.2021</w:t>
            </w:r>
          </w:p>
        </w:tc>
        <w:tc>
          <w:tcPr>
            <w:tcW w:w="1960" w:type="dxa"/>
            <w:noWrap/>
            <w:hideMark/>
          </w:tcPr>
          <w:p w14:paraId="23350C3D"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312.570</w:t>
            </w:r>
          </w:p>
        </w:tc>
      </w:tr>
      <w:tr w:rsidR="007F043B" w:rsidRPr="005B4B35" w14:paraId="104E5039"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3F67512"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30.06.2021</w:t>
            </w:r>
          </w:p>
        </w:tc>
        <w:tc>
          <w:tcPr>
            <w:tcW w:w="1960" w:type="dxa"/>
            <w:noWrap/>
            <w:hideMark/>
          </w:tcPr>
          <w:p w14:paraId="50F634A4"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315.673</w:t>
            </w:r>
          </w:p>
        </w:tc>
      </w:tr>
      <w:tr w:rsidR="007F043B" w:rsidRPr="005B4B35" w14:paraId="41BC6772"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2768499D"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30.09.2021</w:t>
            </w:r>
          </w:p>
        </w:tc>
        <w:tc>
          <w:tcPr>
            <w:tcW w:w="1960" w:type="dxa"/>
            <w:noWrap/>
            <w:hideMark/>
          </w:tcPr>
          <w:p w14:paraId="66DCDAA2"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318.777</w:t>
            </w:r>
          </w:p>
        </w:tc>
      </w:tr>
      <w:tr w:rsidR="007F043B" w:rsidRPr="005B4B35" w14:paraId="44EAE960"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73D95E26"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31.12.2021</w:t>
            </w:r>
          </w:p>
        </w:tc>
        <w:tc>
          <w:tcPr>
            <w:tcW w:w="1960" w:type="dxa"/>
            <w:noWrap/>
            <w:hideMark/>
          </w:tcPr>
          <w:p w14:paraId="74FDBA8F"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321.880</w:t>
            </w:r>
          </w:p>
        </w:tc>
      </w:tr>
      <w:tr w:rsidR="007F043B" w:rsidRPr="005B4B35" w14:paraId="3EAEE09D"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307D13C"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31.03.2022</w:t>
            </w:r>
          </w:p>
        </w:tc>
        <w:tc>
          <w:tcPr>
            <w:tcW w:w="1960" w:type="dxa"/>
            <w:noWrap/>
            <w:hideMark/>
          </w:tcPr>
          <w:p w14:paraId="5DF2979A"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324.983</w:t>
            </w:r>
          </w:p>
        </w:tc>
      </w:tr>
      <w:tr w:rsidR="007F043B" w:rsidRPr="005B4B35" w14:paraId="5D5BCC70"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5EBC691"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30.06.2022</w:t>
            </w:r>
          </w:p>
        </w:tc>
        <w:tc>
          <w:tcPr>
            <w:tcW w:w="1960" w:type="dxa"/>
            <w:noWrap/>
            <w:hideMark/>
          </w:tcPr>
          <w:p w14:paraId="512D9938"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328.086</w:t>
            </w:r>
          </w:p>
        </w:tc>
      </w:tr>
      <w:tr w:rsidR="007F043B" w:rsidRPr="005B4B35" w14:paraId="00DDE146"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25BECF63"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30.09.2022</w:t>
            </w:r>
          </w:p>
        </w:tc>
        <w:tc>
          <w:tcPr>
            <w:tcW w:w="1960" w:type="dxa"/>
            <w:noWrap/>
            <w:hideMark/>
          </w:tcPr>
          <w:p w14:paraId="2426D59E"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331.189</w:t>
            </w:r>
          </w:p>
        </w:tc>
      </w:tr>
      <w:tr w:rsidR="007F043B" w:rsidRPr="005B4B35" w14:paraId="4B805566" w14:textId="77777777" w:rsidTr="007F043B">
        <w:trPr>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5B17E9DC"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31.12.2022</w:t>
            </w:r>
          </w:p>
        </w:tc>
        <w:tc>
          <w:tcPr>
            <w:tcW w:w="1960" w:type="dxa"/>
            <w:noWrap/>
            <w:hideMark/>
          </w:tcPr>
          <w:p w14:paraId="3F7375F0" w14:textId="77777777" w:rsidR="007F043B" w:rsidRPr="005B4B35" w:rsidRDefault="007F043B" w:rsidP="007F043B">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334.292</w:t>
            </w:r>
          </w:p>
        </w:tc>
      </w:tr>
      <w:tr w:rsidR="007F043B" w:rsidRPr="005B4B35" w14:paraId="13F366DD" w14:textId="77777777" w:rsidTr="007F043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60" w:type="dxa"/>
            <w:noWrap/>
            <w:hideMark/>
          </w:tcPr>
          <w:p w14:paraId="15590266" w14:textId="77777777" w:rsidR="007F043B" w:rsidRPr="005B4B35" w:rsidRDefault="007F043B" w:rsidP="007F043B">
            <w:pPr>
              <w:spacing w:after="0" w:line="240" w:lineRule="auto"/>
              <w:ind w:firstLine="0"/>
              <w:jc w:val="left"/>
              <w:rPr>
                <w:rFonts w:ascii="Calibri" w:hAnsi="Calibri" w:cs="Calibri"/>
                <w:sz w:val="22"/>
                <w:szCs w:val="22"/>
                <w:lang w:val="nl-NL" w:eastAsia="nl-NL"/>
              </w:rPr>
            </w:pPr>
            <w:r w:rsidRPr="005B4B35">
              <w:rPr>
                <w:rFonts w:ascii="Calibri" w:hAnsi="Calibri" w:cs="Calibri"/>
                <w:sz w:val="22"/>
                <w:szCs w:val="22"/>
                <w:lang w:val="nl-NL" w:eastAsia="nl-NL"/>
              </w:rPr>
              <w:t>31.03.2023</w:t>
            </w:r>
          </w:p>
        </w:tc>
        <w:tc>
          <w:tcPr>
            <w:tcW w:w="1960" w:type="dxa"/>
            <w:noWrap/>
            <w:hideMark/>
          </w:tcPr>
          <w:p w14:paraId="12BDBC74" w14:textId="77777777" w:rsidR="007F043B" w:rsidRPr="005B4B35" w:rsidRDefault="007F043B" w:rsidP="007F043B">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nl-NL" w:eastAsia="nl-NL"/>
              </w:rPr>
            </w:pPr>
            <w:r w:rsidRPr="005B4B35">
              <w:rPr>
                <w:rFonts w:ascii="Calibri" w:hAnsi="Calibri" w:cs="Calibri"/>
                <w:color w:val="000000"/>
                <w:sz w:val="22"/>
                <w:szCs w:val="22"/>
                <w:lang w:val="nl-NL" w:eastAsia="nl-NL"/>
              </w:rPr>
              <w:t>300.863</w:t>
            </w:r>
          </w:p>
        </w:tc>
      </w:tr>
    </w:tbl>
    <w:p w14:paraId="7BBDF304" w14:textId="77777777" w:rsidR="007F043B" w:rsidRPr="005B4B35" w:rsidRDefault="007F043B" w:rsidP="007F043B">
      <w:pPr>
        <w:spacing w:after="0" w:line="240" w:lineRule="auto"/>
        <w:ind w:firstLine="0"/>
        <w:jc w:val="left"/>
        <w:rPr>
          <w:rFonts w:ascii="Arial" w:eastAsiaTheme="minorHAnsi" w:hAnsi="Arial" w:cs="Arial"/>
          <w:sz w:val="22"/>
          <w:szCs w:val="22"/>
          <w:lang w:val="nl-NL"/>
        </w:rPr>
      </w:pPr>
    </w:p>
    <w:p w14:paraId="4120CC46" w14:textId="77777777" w:rsidR="007F043B" w:rsidRPr="005B4B35" w:rsidRDefault="007F043B" w:rsidP="007F043B">
      <w:pPr>
        <w:keepNext/>
        <w:spacing w:after="160" w:line="259" w:lineRule="auto"/>
        <w:ind w:firstLine="0"/>
        <w:jc w:val="left"/>
        <w:rPr>
          <w:rFonts w:asciiTheme="minorHAnsi" w:eastAsiaTheme="minorHAnsi" w:hAnsiTheme="minorHAnsi" w:cstheme="minorBidi"/>
          <w:sz w:val="22"/>
          <w:szCs w:val="22"/>
          <w:lang w:val="nl-NL"/>
        </w:rPr>
      </w:pPr>
      <w:r w:rsidRPr="005B4B35">
        <w:rPr>
          <w:rFonts w:asciiTheme="minorHAnsi" w:eastAsiaTheme="minorHAnsi" w:hAnsiTheme="minorHAnsi" w:cstheme="minorBidi"/>
          <w:noProof/>
          <w:sz w:val="22"/>
          <w:szCs w:val="22"/>
          <w:lang w:val="nl-NL"/>
        </w:rPr>
        <w:lastRenderedPageBreak/>
        <w:drawing>
          <wp:inline distT="0" distB="0" distL="0" distR="0" wp14:anchorId="67331D5B" wp14:editId="2EFA10B0">
            <wp:extent cx="6210300" cy="3558540"/>
            <wp:effectExtent l="0" t="0" r="0" b="3810"/>
            <wp:docPr id="25" name="Grafiek 25">
              <a:extLst xmlns:a="http://schemas.openxmlformats.org/drawingml/2006/main">
                <a:ext uri="{FF2B5EF4-FFF2-40B4-BE49-F238E27FC236}">
                  <a16:creationId xmlns:a16="http://schemas.microsoft.com/office/drawing/2014/main" id="{90AB2C02-A6EF-4169-9058-9A1148BE96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0B87FCD" w14:textId="725B7557" w:rsidR="00FD3F5E" w:rsidRDefault="007F043B" w:rsidP="00FD3F5E">
      <w:pPr>
        <w:pStyle w:val="Geenafstand"/>
        <w:rPr>
          <w:rFonts w:ascii="Arial" w:hAnsi="Arial" w:cs="Arial"/>
          <w:i/>
          <w:iCs/>
          <w:sz w:val="20"/>
          <w:szCs w:val="20"/>
          <w:lang w:val="en-GB"/>
        </w:rPr>
      </w:pPr>
      <w:r w:rsidRPr="00896FE2">
        <w:rPr>
          <w:rFonts w:ascii="Arial" w:hAnsi="Arial" w:cs="Arial"/>
          <w:i/>
          <w:iCs/>
          <w:sz w:val="20"/>
          <w:szCs w:val="20"/>
          <w:lang w:val="en-GB"/>
        </w:rPr>
        <w:t xml:space="preserve">Figure </w:t>
      </w:r>
      <w:r w:rsidR="00FD3F5E" w:rsidRPr="00896FE2">
        <w:rPr>
          <w:rFonts w:ascii="Arial" w:hAnsi="Arial" w:cs="Arial"/>
          <w:i/>
          <w:iCs/>
          <w:sz w:val="20"/>
          <w:szCs w:val="20"/>
          <w:lang w:val="en-GB"/>
        </w:rPr>
        <w:t>C-</w:t>
      </w:r>
      <w:r w:rsidRPr="00896FE2">
        <w:rPr>
          <w:rFonts w:ascii="Arial" w:hAnsi="Arial" w:cs="Arial"/>
          <w:i/>
          <w:iCs/>
          <w:sz w:val="20"/>
          <w:szCs w:val="20"/>
          <w:lang w:val="en-GB"/>
        </w:rPr>
        <w:t>1 House price index for the Netherlands 2013-2022, actual and linear prediction</w:t>
      </w:r>
    </w:p>
    <w:p w14:paraId="1AB90C58" w14:textId="7C25B537" w:rsidR="00FD3F5E" w:rsidRPr="005B4B35" w:rsidRDefault="00FD3F5E" w:rsidP="00FD3F5E">
      <w:pPr>
        <w:pStyle w:val="Geenafstand"/>
        <w:rPr>
          <w:rFonts w:ascii="Arial" w:hAnsi="Arial" w:cs="Arial"/>
          <w:i/>
          <w:iCs/>
          <w:sz w:val="20"/>
          <w:szCs w:val="20"/>
          <w:lang w:val="en-GB"/>
        </w:rPr>
      </w:pPr>
      <w:r>
        <w:rPr>
          <w:rFonts w:ascii="Arial" w:hAnsi="Arial" w:cs="Arial"/>
          <w:sz w:val="20"/>
          <w:szCs w:val="20"/>
          <w:lang w:val="en-GB"/>
        </w:rPr>
        <w:t xml:space="preserve">Source: Own illustration </w:t>
      </w:r>
      <w:r w:rsidR="007F043B" w:rsidRPr="00FD3F5E">
        <w:rPr>
          <w:rFonts w:ascii="Arial" w:hAnsi="Arial" w:cs="Arial"/>
          <w:i/>
          <w:iCs/>
          <w:sz w:val="20"/>
          <w:szCs w:val="20"/>
          <w:lang w:val="en-GB"/>
        </w:rPr>
        <w:t xml:space="preserve">  </w:t>
      </w:r>
    </w:p>
    <w:p w14:paraId="790B5663" w14:textId="77777777" w:rsidR="007F043B" w:rsidRPr="005B4B35" w:rsidRDefault="007F043B" w:rsidP="007F043B">
      <w:pPr>
        <w:spacing w:after="160" w:line="259" w:lineRule="auto"/>
        <w:ind w:firstLine="0"/>
        <w:jc w:val="left"/>
        <w:rPr>
          <w:rFonts w:asciiTheme="minorHAnsi" w:eastAsiaTheme="minorHAnsi" w:hAnsiTheme="minorHAnsi" w:cstheme="minorBidi"/>
          <w:sz w:val="22"/>
          <w:szCs w:val="22"/>
          <w:lang w:val="en-GB"/>
        </w:rPr>
      </w:pPr>
    </w:p>
    <w:p w14:paraId="42FE119F" w14:textId="77777777" w:rsidR="007F043B" w:rsidRPr="005B4B35" w:rsidRDefault="007F043B" w:rsidP="007F043B">
      <w:pPr>
        <w:keepNext/>
        <w:spacing w:after="160" w:line="259" w:lineRule="auto"/>
        <w:ind w:firstLine="0"/>
        <w:jc w:val="left"/>
        <w:rPr>
          <w:rFonts w:asciiTheme="minorHAnsi" w:eastAsiaTheme="minorHAnsi" w:hAnsiTheme="minorHAnsi" w:cstheme="minorBidi"/>
          <w:sz w:val="22"/>
          <w:szCs w:val="22"/>
          <w:lang w:val="nl-NL"/>
        </w:rPr>
      </w:pPr>
      <w:r w:rsidRPr="005B4B35">
        <w:rPr>
          <w:rFonts w:asciiTheme="minorHAnsi" w:eastAsiaTheme="minorHAnsi" w:hAnsiTheme="minorHAnsi" w:cstheme="minorBidi"/>
          <w:noProof/>
          <w:sz w:val="22"/>
          <w:szCs w:val="22"/>
          <w:lang w:val="nl-NL"/>
        </w:rPr>
        <w:drawing>
          <wp:inline distT="0" distB="0" distL="0" distR="0" wp14:anchorId="4A5F079A" wp14:editId="3AB38CB7">
            <wp:extent cx="6225872" cy="3784600"/>
            <wp:effectExtent l="0" t="0" r="3810" b="6350"/>
            <wp:docPr id="26" name="Grafiek 26">
              <a:extLst xmlns:a="http://schemas.openxmlformats.org/drawingml/2006/main">
                <a:ext uri="{FF2B5EF4-FFF2-40B4-BE49-F238E27FC236}">
                  <a16:creationId xmlns:a16="http://schemas.microsoft.com/office/drawing/2014/main" id="{3F560DC5-544C-4822-970C-F68C7530EB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7F6CBC4" w14:textId="5789C147" w:rsidR="007F043B" w:rsidRPr="00423C92" w:rsidRDefault="007F043B" w:rsidP="00896FE2">
      <w:pPr>
        <w:pStyle w:val="Geenafstand"/>
        <w:rPr>
          <w:rFonts w:ascii="Arial" w:hAnsi="Arial" w:cs="Arial"/>
          <w:i/>
          <w:iCs/>
          <w:sz w:val="20"/>
          <w:szCs w:val="20"/>
          <w:lang w:val="en-GB"/>
        </w:rPr>
      </w:pPr>
      <w:r w:rsidRPr="00423C92">
        <w:rPr>
          <w:rFonts w:ascii="Arial" w:hAnsi="Arial" w:cs="Arial"/>
          <w:i/>
          <w:iCs/>
          <w:sz w:val="20"/>
          <w:szCs w:val="20"/>
          <w:lang w:val="en-GB"/>
        </w:rPr>
        <w:t xml:space="preserve">Figure </w:t>
      </w:r>
      <w:r w:rsidR="00896FE2" w:rsidRPr="00423C92">
        <w:rPr>
          <w:rFonts w:ascii="Arial" w:hAnsi="Arial" w:cs="Arial"/>
          <w:i/>
          <w:iCs/>
          <w:sz w:val="20"/>
          <w:szCs w:val="20"/>
          <w:lang w:val="en-GB"/>
        </w:rPr>
        <w:t>C-</w:t>
      </w:r>
      <w:r w:rsidRPr="00423C92">
        <w:rPr>
          <w:rFonts w:ascii="Arial" w:hAnsi="Arial" w:cs="Arial"/>
          <w:i/>
          <w:iCs/>
          <w:sz w:val="20"/>
          <w:szCs w:val="20"/>
          <w:lang w:val="en-GB"/>
        </w:rPr>
        <w:t>2 House price index for the Netherlands 2013-2023, actual and prediction</w:t>
      </w:r>
    </w:p>
    <w:p w14:paraId="5AC8B501" w14:textId="217EBF75" w:rsidR="00896FE2" w:rsidRPr="00896FE2" w:rsidRDefault="00896FE2" w:rsidP="00896FE2">
      <w:pPr>
        <w:pStyle w:val="Geenafstand"/>
        <w:rPr>
          <w:rFonts w:ascii="Arial" w:hAnsi="Arial" w:cs="Arial"/>
          <w:sz w:val="20"/>
          <w:szCs w:val="20"/>
        </w:rPr>
      </w:pPr>
      <w:r>
        <w:rPr>
          <w:rFonts w:ascii="Arial" w:hAnsi="Arial" w:cs="Arial"/>
          <w:sz w:val="20"/>
          <w:szCs w:val="20"/>
        </w:rPr>
        <w:t xml:space="preserve">Source: </w:t>
      </w:r>
      <w:proofErr w:type="spellStart"/>
      <w:r>
        <w:rPr>
          <w:rFonts w:ascii="Arial" w:hAnsi="Arial" w:cs="Arial"/>
          <w:sz w:val="20"/>
          <w:szCs w:val="20"/>
        </w:rPr>
        <w:t>Own</w:t>
      </w:r>
      <w:proofErr w:type="spellEnd"/>
      <w:r>
        <w:rPr>
          <w:rFonts w:ascii="Arial" w:hAnsi="Arial" w:cs="Arial"/>
          <w:sz w:val="20"/>
          <w:szCs w:val="20"/>
        </w:rPr>
        <w:t xml:space="preserve"> </w:t>
      </w:r>
      <w:proofErr w:type="spellStart"/>
      <w:r>
        <w:rPr>
          <w:rFonts w:ascii="Arial" w:hAnsi="Arial" w:cs="Arial"/>
          <w:sz w:val="20"/>
          <w:szCs w:val="20"/>
        </w:rPr>
        <w:t>illustration</w:t>
      </w:r>
      <w:proofErr w:type="spellEnd"/>
    </w:p>
    <w:p w14:paraId="7D364A20" w14:textId="77777777" w:rsidR="00896FE2" w:rsidRPr="00896FE2" w:rsidRDefault="00896FE2" w:rsidP="007F043B">
      <w:pPr>
        <w:spacing w:after="200" w:line="240" w:lineRule="auto"/>
        <w:ind w:firstLine="0"/>
        <w:jc w:val="left"/>
        <w:rPr>
          <w:rFonts w:ascii="Arial" w:eastAsiaTheme="minorHAnsi" w:hAnsi="Arial" w:cs="Arial"/>
          <w:sz w:val="20"/>
          <w:szCs w:val="20"/>
          <w:lang w:val="en-GB"/>
        </w:rPr>
      </w:pPr>
    </w:p>
    <w:p w14:paraId="41F3F139" w14:textId="77777777" w:rsidR="007F043B" w:rsidRPr="00FF309D" w:rsidRDefault="007F043B" w:rsidP="007F043B">
      <w:pPr>
        <w:pStyle w:val="Geenafstand"/>
        <w:spacing w:line="360" w:lineRule="auto"/>
        <w:jc w:val="both"/>
        <w:rPr>
          <w:rFonts w:ascii="Arial" w:hAnsi="Arial" w:cs="Arial"/>
          <w:b/>
          <w:bCs/>
          <w:lang w:val="en-GB"/>
        </w:rPr>
      </w:pPr>
    </w:p>
    <w:p w14:paraId="4679FB70" w14:textId="77777777" w:rsidR="007F043B" w:rsidRDefault="007F043B" w:rsidP="007F043B">
      <w:pPr>
        <w:pStyle w:val="Geenafstand"/>
        <w:spacing w:line="360" w:lineRule="auto"/>
        <w:jc w:val="both"/>
        <w:rPr>
          <w:rFonts w:ascii="Arial" w:hAnsi="Arial" w:cs="Arial"/>
          <w:lang w:val="en-GB"/>
        </w:rPr>
      </w:pPr>
      <w:r>
        <w:rPr>
          <w:rFonts w:ascii="Arial" w:hAnsi="Arial" w:cs="Arial"/>
          <w:lang w:val="en-GB"/>
        </w:rPr>
        <w:lastRenderedPageBreak/>
        <w:t xml:space="preserve"> </w:t>
      </w:r>
    </w:p>
    <w:tbl>
      <w:tblPr>
        <w:tblStyle w:val="Onopgemaaktetabel2"/>
        <w:tblpPr w:leftFromText="141" w:rightFromText="141" w:vertAnchor="text" w:horzAnchor="margin" w:tblpY="424"/>
        <w:tblW w:w="3171" w:type="dxa"/>
        <w:tblLook w:val="04A0" w:firstRow="1" w:lastRow="0" w:firstColumn="1" w:lastColumn="0" w:noHBand="0" w:noVBand="1"/>
      </w:tblPr>
      <w:tblGrid>
        <w:gridCol w:w="1611"/>
        <w:gridCol w:w="1560"/>
      </w:tblGrid>
      <w:tr w:rsidR="007F043B" w:rsidRPr="00C22649" w14:paraId="5501AE19" w14:textId="77777777" w:rsidTr="007F043B">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1" w:type="dxa"/>
            <w:noWrap/>
            <w:hideMark/>
          </w:tcPr>
          <w:p w14:paraId="50AFC876" w14:textId="77777777" w:rsidR="007F043B" w:rsidRPr="00C22649" w:rsidRDefault="007F043B" w:rsidP="007F043B">
            <w:pPr>
              <w:spacing w:after="0" w:line="240" w:lineRule="auto"/>
              <w:ind w:firstLine="0"/>
              <w:jc w:val="left"/>
              <w:rPr>
                <w:rFonts w:asciiTheme="minorHAnsi" w:hAnsiTheme="minorHAnsi" w:cstheme="minorHAnsi"/>
                <w:b w:val="0"/>
                <w:bCs w:val="0"/>
                <w:i/>
                <w:color w:val="000000"/>
                <w:sz w:val="22"/>
                <w:szCs w:val="22"/>
                <w:lang w:eastAsia="nl-NL"/>
              </w:rPr>
            </w:pPr>
            <w:r w:rsidRPr="00C22649">
              <w:rPr>
                <w:rFonts w:asciiTheme="minorHAnsi" w:hAnsiTheme="minorHAnsi" w:cstheme="minorHAnsi"/>
                <w:color w:val="000000"/>
                <w:sz w:val="22"/>
                <w:szCs w:val="22"/>
                <w:lang w:eastAsia="nl-NL"/>
              </w:rPr>
              <w:t>Variable</w:t>
            </w:r>
          </w:p>
        </w:tc>
        <w:tc>
          <w:tcPr>
            <w:tcW w:w="1560" w:type="dxa"/>
            <w:noWrap/>
            <w:hideMark/>
          </w:tcPr>
          <w:p w14:paraId="02AA295E" w14:textId="77777777" w:rsidR="007F043B" w:rsidRPr="00C22649" w:rsidRDefault="007F043B" w:rsidP="007F043B">
            <w:pPr>
              <w:spacing w:after="0" w:line="240" w:lineRule="auto"/>
              <w:ind w:firstLine="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i/>
                <w:color w:val="000000"/>
                <w:sz w:val="22"/>
                <w:szCs w:val="22"/>
                <w:lang w:eastAsia="nl-NL"/>
              </w:rPr>
            </w:pPr>
            <w:r w:rsidRPr="00C22649">
              <w:rPr>
                <w:rFonts w:asciiTheme="minorHAnsi" w:hAnsiTheme="minorHAnsi" w:cstheme="minorHAnsi"/>
                <w:color w:val="000000"/>
                <w:sz w:val="22"/>
                <w:szCs w:val="22"/>
                <w:lang w:eastAsia="nl-NL"/>
              </w:rPr>
              <w:t>Coefficient</w:t>
            </w:r>
          </w:p>
        </w:tc>
      </w:tr>
      <w:tr w:rsidR="007F043B" w:rsidRPr="00C22649" w14:paraId="29DEEB9B" w14:textId="77777777" w:rsidTr="007F043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1" w:type="dxa"/>
            <w:noWrap/>
            <w:hideMark/>
          </w:tcPr>
          <w:p w14:paraId="3C80E2B4" w14:textId="77777777" w:rsidR="007F043B" w:rsidRPr="00C22649" w:rsidRDefault="007F043B" w:rsidP="007F043B">
            <w:pPr>
              <w:spacing w:after="0" w:line="240" w:lineRule="auto"/>
              <w:ind w:firstLine="0"/>
              <w:jc w:val="left"/>
              <w:rPr>
                <w:rFonts w:asciiTheme="minorHAnsi" w:hAnsiTheme="minorHAnsi" w:cstheme="minorHAnsi"/>
                <w:i/>
                <w:color w:val="000000"/>
                <w:sz w:val="22"/>
                <w:szCs w:val="22"/>
                <w:lang w:eastAsia="nl-NL"/>
              </w:rPr>
            </w:pPr>
            <w:r w:rsidRPr="00C22649">
              <w:rPr>
                <w:rFonts w:asciiTheme="minorHAnsi" w:hAnsiTheme="minorHAnsi" w:cstheme="minorHAnsi"/>
                <w:color w:val="000000"/>
                <w:sz w:val="22"/>
                <w:szCs w:val="22"/>
                <w:lang w:eastAsia="nl-NL"/>
              </w:rPr>
              <w:t>Period</w:t>
            </w:r>
          </w:p>
        </w:tc>
        <w:tc>
          <w:tcPr>
            <w:tcW w:w="1560" w:type="dxa"/>
            <w:noWrap/>
            <w:hideMark/>
          </w:tcPr>
          <w:p w14:paraId="3785FA45" w14:textId="77777777" w:rsidR="007F043B" w:rsidRPr="00C22649" w:rsidRDefault="007F043B" w:rsidP="007F043B">
            <w:pPr>
              <w:spacing w:after="0" w:line="240" w:lineRule="auto"/>
              <w:ind w:firstLine="0"/>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nl-NL"/>
              </w:rPr>
            </w:pPr>
            <w:r w:rsidRPr="00C22649">
              <w:rPr>
                <w:rFonts w:asciiTheme="minorHAnsi" w:hAnsiTheme="minorHAnsi" w:cstheme="minorHAnsi"/>
                <w:color w:val="000000"/>
                <w:sz w:val="22"/>
                <w:szCs w:val="22"/>
                <w:lang w:eastAsia="nl-NL"/>
              </w:rPr>
              <w:t>3.103</w:t>
            </w:r>
          </w:p>
        </w:tc>
      </w:tr>
      <w:tr w:rsidR="007F043B" w:rsidRPr="00C22649" w14:paraId="25501B13" w14:textId="77777777" w:rsidTr="007F043B">
        <w:trPr>
          <w:trHeight w:val="320"/>
        </w:trPr>
        <w:tc>
          <w:tcPr>
            <w:cnfStyle w:val="001000000000" w:firstRow="0" w:lastRow="0" w:firstColumn="1" w:lastColumn="0" w:oddVBand="0" w:evenVBand="0" w:oddHBand="0" w:evenHBand="0" w:firstRowFirstColumn="0" w:firstRowLastColumn="0" w:lastRowFirstColumn="0" w:lastRowLastColumn="0"/>
            <w:tcW w:w="1611" w:type="dxa"/>
            <w:noWrap/>
            <w:hideMark/>
          </w:tcPr>
          <w:p w14:paraId="6801582C" w14:textId="77777777" w:rsidR="007F043B" w:rsidRPr="00C22649" w:rsidRDefault="007F043B" w:rsidP="007F043B">
            <w:pPr>
              <w:spacing w:after="0" w:line="240" w:lineRule="auto"/>
              <w:ind w:firstLine="0"/>
              <w:jc w:val="left"/>
              <w:rPr>
                <w:rFonts w:asciiTheme="minorHAnsi" w:hAnsiTheme="minorHAnsi" w:cstheme="minorHAnsi"/>
                <w:i/>
                <w:color w:val="000000"/>
                <w:sz w:val="22"/>
                <w:szCs w:val="22"/>
                <w:lang w:eastAsia="nl-NL"/>
              </w:rPr>
            </w:pPr>
            <w:r w:rsidRPr="00C22649">
              <w:rPr>
                <w:rFonts w:asciiTheme="minorHAnsi" w:hAnsiTheme="minorHAnsi" w:cstheme="minorHAnsi"/>
                <w:color w:val="000000"/>
                <w:sz w:val="22"/>
                <w:szCs w:val="22"/>
                <w:lang w:eastAsia="nl-NL"/>
              </w:rPr>
              <w:t>Constant</w:t>
            </w:r>
          </w:p>
        </w:tc>
        <w:tc>
          <w:tcPr>
            <w:tcW w:w="1560" w:type="dxa"/>
            <w:noWrap/>
            <w:hideMark/>
          </w:tcPr>
          <w:p w14:paraId="16A07909" w14:textId="77777777" w:rsidR="007F043B" w:rsidRPr="00C22649" w:rsidRDefault="007F043B" w:rsidP="007F043B">
            <w:pPr>
              <w:spacing w:after="0" w:line="240" w:lineRule="auto"/>
              <w:ind w:firstLine="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lang w:eastAsia="nl-NL"/>
              </w:rPr>
            </w:pPr>
            <w:r w:rsidRPr="00C22649">
              <w:rPr>
                <w:rFonts w:asciiTheme="minorHAnsi" w:hAnsiTheme="minorHAnsi" w:cstheme="minorHAnsi"/>
                <w:color w:val="000000"/>
                <w:sz w:val="22"/>
                <w:szCs w:val="22"/>
                <w:lang w:eastAsia="nl-NL"/>
              </w:rPr>
              <w:t>210.17</w:t>
            </w:r>
          </w:p>
        </w:tc>
      </w:tr>
      <w:tr w:rsidR="007F043B" w:rsidRPr="00C22649" w14:paraId="514960DD" w14:textId="77777777" w:rsidTr="007F043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1" w:type="dxa"/>
            <w:noWrap/>
          </w:tcPr>
          <w:p w14:paraId="0D2B625A" w14:textId="77777777" w:rsidR="007F043B" w:rsidRPr="00C22649" w:rsidRDefault="007F043B" w:rsidP="007F043B">
            <w:pPr>
              <w:spacing w:after="0" w:line="240" w:lineRule="auto"/>
              <w:ind w:firstLine="0"/>
              <w:jc w:val="left"/>
              <w:rPr>
                <w:rFonts w:asciiTheme="minorHAnsi" w:hAnsiTheme="minorHAnsi" w:cstheme="minorHAnsi"/>
                <w:color w:val="000000"/>
                <w:sz w:val="22"/>
                <w:szCs w:val="22"/>
                <w:vertAlign w:val="superscript"/>
                <w:lang w:eastAsia="nl-NL"/>
              </w:rPr>
            </w:pPr>
            <w:r w:rsidRPr="00C22649">
              <w:rPr>
                <w:rFonts w:asciiTheme="minorHAnsi" w:hAnsiTheme="minorHAnsi" w:cstheme="minorHAnsi"/>
                <w:color w:val="000000"/>
                <w:sz w:val="22"/>
                <w:szCs w:val="22"/>
                <w:lang w:eastAsia="nl-NL"/>
              </w:rPr>
              <w:t>R</w:t>
            </w:r>
            <w:r w:rsidRPr="00C22649">
              <w:rPr>
                <w:rFonts w:asciiTheme="minorHAnsi" w:hAnsiTheme="minorHAnsi" w:cstheme="minorHAnsi"/>
                <w:color w:val="000000"/>
                <w:sz w:val="22"/>
                <w:szCs w:val="22"/>
                <w:vertAlign w:val="superscript"/>
                <w:lang w:eastAsia="nl-NL"/>
              </w:rPr>
              <w:t>2</w:t>
            </w:r>
          </w:p>
        </w:tc>
        <w:tc>
          <w:tcPr>
            <w:tcW w:w="1560" w:type="dxa"/>
            <w:noWrap/>
          </w:tcPr>
          <w:p w14:paraId="5468BDE2" w14:textId="77777777" w:rsidR="007F043B" w:rsidRPr="00C22649" w:rsidRDefault="007F043B" w:rsidP="007F043B">
            <w:pPr>
              <w:spacing w:after="0" w:line="240" w:lineRule="auto"/>
              <w:ind w:firstLine="0"/>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nl-NL"/>
              </w:rPr>
            </w:pPr>
            <w:r>
              <w:rPr>
                <w:rFonts w:asciiTheme="minorHAnsi" w:hAnsiTheme="minorHAnsi" w:cstheme="minorHAnsi"/>
                <w:color w:val="000000"/>
                <w:sz w:val="22"/>
                <w:szCs w:val="22"/>
                <w:lang w:eastAsia="nl-NL"/>
              </w:rPr>
              <w:t>0.891</w:t>
            </w:r>
          </w:p>
        </w:tc>
      </w:tr>
    </w:tbl>
    <w:p w14:paraId="0715EF5B" w14:textId="526E353E" w:rsidR="007F043B" w:rsidRPr="00B6156A" w:rsidRDefault="007F043B" w:rsidP="007F043B">
      <w:pPr>
        <w:pStyle w:val="Bijschrift"/>
        <w:rPr>
          <w:rFonts w:ascii="Arial" w:hAnsi="Arial" w:cs="Arial"/>
          <w:color w:val="auto"/>
          <w:sz w:val="20"/>
          <w:szCs w:val="20"/>
          <w:lang w:val="en-GB"/>
        </w:rPr>
      </w:pPr>
      <w:r w:rsidRPr="00B6156A">
        <w:rPr>
          <w:rFonts w:ascii="Arial" w:hAnsi="Arial" w:cs="Arial"/>
          <w:color w:val="auto"/>
          <w:sz w:val="20"/>
          <w:szCs w:val="20"/>
          <w:lang w:val="en-GB"/>
        </w:rPr>
        <w:t xml:space="preserve">Table </w:t>
      </w:r>
      <w:r w:rsidR="00896FE2">
        <w:rPr>
          <w:rFonts w:ascii="Arial" w:hAnsi="Arial" w:cs="Arial"/>
          <w:color w:val="auto"/>
          <w:sz w:val="20"/>
          <w:szCs w:val="20"/>
          <w:lang w:val="en-GB"/>
        </w:rPr>
        <w:t>C-</w:t>
      </w:r>
      <w:r w:rsidRPr="00B6156A">
        <w:rPr>
          <w:rFonts w:ascii="Arial" w:hAnsi="Arial" w:cs="Arial"/>
          <w:color w:val="auto"/>
          <w:sz w:val="20"/>
          <w:szCs w:val="20"/>
          <w:lang w:val="en-GB"/>
        </w:rPr>
        <w:t>2 Linear trend prediction house p</w:t>
      </w:r>
      <w:r>
        <w:rPr>
          <w:rFonts w:ascii="Arial" w:hAnsi="Arial" w:cs="Arial"/>
          <w:color w:val="auto"/>
          <w:sz w:val="20"/>
          <w:szCs w:val="20"/>
          <w:lang w:val="en-GB"/>
        </w:rPr>
        <w:t xml:space="preserve">rice index for the Netherlands </w:t>
      </w:r>
    </w:p>
    <w:p w14:paraId="6F8C2D34" w14:textId="77777777" w:rsidR="005832D3" w:rsidRPr="007F043B" w:rsidRDefault="005832D3">
      <w:pPr>
        <w:rPr>
          <w:lang w:val="en-GB"/>
        </w:rPr>
      </w:pPr>
    </w:p>
    <w:sectPr w:rsidR="005832D3" w:rsidRPr="007F043B" w:rsidSect="007F043B">
      <w:footerReference w:type="default" r:id="rId3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38174" w14:textId="77777777" w:rsidR="00A37C1F" w:rsidRDefault="00A37C1F">
      <w:pPr>
        <w:spacing w:after="0" w:line="240" w:lineRule="auto"/>
      </w:pPr>
      <w:r>
        <w:separator/>
      </w:r>
    </w:p>
  </w:endnote>
  <w:endnote w:type="continuationSeparator" w:id="0">
    <w:p w14:paraId="0250FF7D" w14:textId="77777777" w:rsidR="00A37C1F" w:rsidRDefault="00A37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1139763"/>
      <w:docPartObj>
        <w:docPartGallery w:val="Page Numbers (Bottom of Page)"/>
        <w:docPartUnique/>
      </w:docPartObj>
    </w:sdtPr>
    <w:sdtContent>
      <w:p w14:paraId="72C6AE94" w14:textId="77777777" w:rsidR="00BD50E1" w:rsidRDefault="00BD50E1">
        <w:pPr>
          <w:pStyle w:val="Voettekst"/>
          <w:jc w:val="center"/>
        </w:pPr>
        <w:r>
          <w:fldChar w:fldCharType="begin"/>
        </w:r>
        <w:r>
          <w:instrText>PAGE   \* MERGEFORMAT</w:instrText>
        </w:r>
        <w:r>
          <w:fldChar w:fldCharType="separate"/>
        </w:r>
        <w:r>
          <w:rPr>
            <w:lang w:val="nl-NL"/>
          </w:rPr>
          <w:t>2</w:t>
        </w:r>
        <w:r>
          <w:fldChar w:fldCharType="end"/>
        </w:r>
      </w:p>
    </w:sdtContent>
  </w:sdt>
  <w:p w14:paraId="4B24549B" w14:textId="77777777" w:rsidR="00BD50E1" w:rsidRDefault="00BD50E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B6861" w14:textId="77777777" w:rsidR="00A37C1F" w:rsidRDefault="00A37C1F">
      <w:pPr>
        <w:spacing w:after="0" w:line="240" w:lineRule="auto"/>
      </w:pPr>
      <w:r>
        <w:separator/>
      </w:r>
    </w:p>
  </w:footnote>
  <w:footnote w:type="continuationSeparator" w:id="0">
    <w:p w14:paraId="3AE32FDE" w14:textId="77777777" w:rsidR="00A37C1F" w:rsidRDefault="00A37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1069"/>
    <w:multiLevelType w:val="hybridMultilevel"/>
    <w:tmpl w:val="C76AD2E8"/>
    <w:lvl w:ilvl="0" w:tplc="F6F82708">
      <w:start w:val="2"/>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34D0405"/>
    <w:multiLevelType w:val="hybridMultilevel"/>
    <w:tmpl w:val="32EA8108"/>
    <w:lvl w:ilvl="0" w:tplc="F5FAFB52">
      <w:start w:val="2"/>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3B"/>
    <w:rsid w:val="000000A9"/>
    <w:rsid w:val="00014A29"/>
    <w:rsid w:val="00017619"/>
    <w:rsid w:val="0002215B"/>
    <w:rsid w:val="00036478"/>
    <w:rsid w:val="0004164A"/>
    <w:rsid w:val="000A5A4E"/>
    <w:rsid w:val="000C2250"/>
    <w:rsid w:val="000C7C12"/>
    <w:rsid w:val="000D0F5D"/>
    <w:rsid w:val="000D66A9"/>
    <w:rsid w:val="001053EA"/>
    <w:rsid w:val="0011287F"/>
    <w:rsid w:val="00115521"/>
    <w:rsid w:val="001451F0"/>
    <w:rsid w:val="00146D86"/>
    <w:rsid w:val="0015276F"/>
    <w:rsid w:val="00157897"/>
    <w:rsid w:val="00161905"/>
    <w:rsid w:val="00162995"/>
    <w:rsid w:val="001653FD"/>
    <w:rsid w:val="001B37AC"/>
    <w:rsid w:val="001B388C"/>
    <w:rsid w:val="001B40EC"/>
    <w:rsid w:val="001C545A"/>
    <w:rsid w:val="001D5FB8"/>
    <w:rsid w:val="00207CD2"/>
    <w:rsid w:val="00212BFC"/>
    <w:rsid w:val="00215CC2"/>
    <w:rsid w:val="002248B4"/>
    <w:rsid w:val="0023401F"/>
    <w:rsid w:val="002363D9"/>
    <w:rsid w:val="0025759C"/>
    <w:rsid w:val="00270462"/>
    <w:rsid w:val="00270CD4"/>
    <w:rsid w:val="00271F83"/>
    <w:rsid w:val="00286044"/>
    <w:rsid w:val="002A3B21"/>
    <w:rsid w:val="002B29A1"/>
    <w:rsid w:val="002B549D"/>
    <w:rsid w:val="002E5D73"/>
    <w:rsid w:val="0030180B"/>
    <w:rsid w:val="0030321A"/>
    <w:rsid w:val="0032384E"/>
    <w:rsid w:val="003265B3"/>
    <w:rsid w:val="0033790D"/>
    <w:rsid w:val="00343A59"/>
    <w:rsid w:val="0036367F"/>
    <w:rsid w:val="003846F2"/>
    <w:rsid w:val="0039183F"/>
    <w:rsid w:val="003A285C"/>
    <w:rsid w:val="003C5BA3"/>
    <w:rsid w:val="003C771D"/>
    <w:rsid w:val="003E23FC"/>
    <w:rsid w:val="003F2327"/>
    <w:rsid w:val="003F2BD6"/>
    <w:rsid w:val="00407789"/>
    <w:rsid w:val="00423C92"/>
    <w:rsid w:val="004348A9"/>
    <w:rsid w:val="00464663"/>
    <w:rsid w:val="0048259A"/>
    <w:rsid w:val="004848C6"/>
    <w:rsid w:val="0049475D"/>
    <w:rsid w:val="004C132F"/>
    <w:rsid w:val="004D060E"/>
    <w:rsid w:val="004D6FFA"/>
    <w:rsid w:val="004F373C"/>
    <w:rsid w:val="00503433"/>
    <w:rsid w:val="00505A45"/>
    <w:rsid w:val="00506E8B"/>
    <w:rsid w:val="005131FC"/>
    <w:rsid w:val="00520437"/>
    <w:rsid w:val="00520D53"/>
    <w:rsid w:val="00523332"/>
    <w:rsid w:val="00524460"/>
    <w:rsid w:val="00543E76"/>
    <w:rsid w:val="00547D09"/>
    <w:rsid w:val="00567953"/>
    <w:rsid w:val="00571822"/>
    <w:rsid w:val="005832D3"/>
    <w:rsid w:val="005833E5"/>
    <w:rsid w:val="00583C20"/>
    <w:rsid w:val="00590B30"/>
    <w:rsid w:val="00591C95"/>
    <w:rsid w:val="005B0892"/>
    <w:rsid w:val="005B433B"/>
    <w:rsid w:val="005B581A"/>
    <w:rsid w:val="005C04FE"/>
    <w:rsid w:val="005C6F0A"/>
    <w:rsid w:val="005F07C8"/>
    <w:rsid w:val="005F1213"/>
    <w:rsid w:val="006069A4"/>
    <w:rsid w:val="00612AF9"/>
    <w:rsid w:val="006205E8"/>
    <w:rsid w:val="006271EE"/>
    <w:rsid w:val="00630A51"/>
    <w:rsid w:val="00636D8E"/>
    <w:rsid w:val="00653FD2"/>
    <w:rsid w:val="0069272B"/>
    <w:rsid w:val="006B261A"/>
    <w:rsid w:val="006C1296"/>
    <w:rsid w:val="006D0B3D"/>
    <w:rsid w:val="006E5242"/>
    <w:rsid w:val="006F0061"/>
    <w:rsid w:val="007009B0"/>
    <w:rsid w:val="00704C77"/>
    <w:rsid w:val="0071177D"/>
    <w:rsid w:val="00771702"/>
    <w:rsid w:val="007875FA"/>
    <w:rsid w:val="007A44E9"/>
    <w:rsid w:val="007B3527"/>
    <w:rsid w:val="007C39D4"/>
    <w:rsid w:val="007C675E"/>
    <w:rsid w:val="007D46C7"/>
    <w:rsid w:val="007D74CE"/>
    <w:rsid w:val="007F043B"/>
    <w:rsid w:val="00824C5C"/>
    <w:rsid w:val="00834DB8"/>
    <w:rsid w:val="008354AB"/>
    <w:rsid w:val="00837FA0"/>
    <w:rsid w:val="00840DD4"/>
    <w:rsid w:val="0084209C"/>
    <w:rsid w:val="00847AC2"/>
    <w:rsid w:val="0085501E"/>
    <w:rsid w:val="00873897"/>
    <w:rsid w:val="00896FE2"/>
    <w:rsid w:val="008A4F5E"/>
    <w:rsid w:val="008B0F37"/>
    <w:rsid w:val="008C6E73"/>
    <w:rsid w:val="00907F66"/>
    <w:rsid w:val="009261E4"/>
    <w:rsid w:val="00936406"/>
    <w:rsid w:val="00966F59"/>
    <w:rsid w:val="00967219"/>
    <w:rsid w:val="0096748E"/>
    <w:rsid w:val="00974D18"/>
    <w:rsid w:val="00982B45"/>
    <w:rsid w:val="00983806"/>
    <w:rsid w:val="00991E7C"/>
    <w:rsid w:val="009A02BB"/>
    <w:rsid w:val="009A5764"/>
    <w:rsid w:val="009B2E5D"/>
    <w:rsid w:val="009F2148"/>
    <w:rsid w:val="009F7879"/>
    <w:rsid w:val="00A05149"/>
    <w:rsid w:val="00A2067D"/>
    <w:rsid w:val="00A3189F"/>
    <w:rsid w:val="00A37C1F"/>
    <w:rsid w:val="00A44539"/>
    <w:rsid w:val="00A7333A"/>
    <w:rsid w:val="00AB6122"/>
    <w:rsid w:val="00AC7CE9"/>
    <w:rsid w:val="00AD1027"/>
    <w:rsid w:val="00AD623F"/>
    <w:rsid w:val="00AE7710"/>
    <w:rsid w:val="00AF6FF0"/>
    <w:rsid w:val="00B03FB0"/>
    <w:rsid w:val="00B05B02"/>
    <w:rsid w:val="00B15106"/>
    <w:rsid w:val="00B85B4C"/>
    <w:rsid w:val="00BA1C6F"/>
    <w:rsid w:val="00BA706A"/>
    <w:rsid w:val="00BB00BB"/>
    <w:rsid w:val="00BB185F"/>
    <w:rsid w:val="00BB552C"/>
    <w:rsid w:val="00BC3C6D"/>
    <w:rsid w:val="00BD33E4"/>
    <w:rsid w:val="00BD50E1"/>
    <w:rsid w:val="00BD69C4"/>
    <w:rsid w:val="00BF0B96"/>
    <w:rsid w:val="00BF3289"/>
    <w:rsid w:val="00BF711A"/>
    <w:rsid w:val="00C00E0A"/>
    <w:rsid w:val="00C074B0"/>
    <w:rsid w:val="00C13ADB"/>
    <w:rsid w:val="00C1458B"/>
    <w:rsid w:val="00C1705A"/>
    <w:rsid w:val="00C17EE2"/>
    <w:rsid w:val="00C237A2"/>
    <w:rsid w:val="00C25893"/>
    <w:rsid w:val="00C26280"/>
    <w:rsid w:val="00C32F50"/>
    <w:rsid w:val="00C33D45"/>
    <w:rsid w:val="00C45AB4"/>
    <w:rsid w:val="00C74A03"/>
    <w:rsid w:val="00C90856"/>
    <w:rsid w:val="00CA145A"/>
    <w:rsid w:val="00CC178F"/>
    <w:rsid w:val="00CD5015"/>
    <w:rsid w:val="00CD5F45"/>
    <w:rsid w:val="00CD7275"/>
    <w:rsid w:val="00D04605"/>
    <w:rsid w:val="00D31BCA"/>
    <w:rsid w:val="00D47343"/>
    <w:rsid w:val="00D54C4A"/>
    <w:rsid w:val="00D762D0"/>
    <w:rsid w:val="00D83F94"/>
    <w:rsid w:val="00D850DC"/>
    <w:rsid w:val="00DB45E9"/>
    <w:rsid w:val="00E013D9"/>
    <w:rsid w:val="00E1008A"/>
    <w:rsid w:val="00E12F7E"/>
    <w:rsid w:val="00E20C17"/>
    <w:rsid w:val="00E22BE4"/>
    <w:rsid w:val="00E23713"/>
    <w:rsid w:val="00E35632"/>
    <w:rsid w:val="00E77F68"/>
    <w:rsid w:val="00E83EDD"/>
    <w:rsid w:val="00EB029D"/>
    <w:rsid w:val="00EC16C8"/>
    <w:rsid w:val="00F0162B"/>
    <w:rsid w:val="00F03F00"/>
    <w:rsid w:val="00F1100B"/>
    <w:rsid w:val="00F1182F"/>
    <w:rsid w:val="00F12DEA"/>
    <w:rsid w:val="00F15B29"/>
    <w:rsid w:val="00F36189"/>
    <w:rsid w:val="00F36D76"/>
    <w:rsid w:val="00F512AE"/>
    <w:rsid w:val="00F62112"/>
    <w:rsid w:val="00F6234D"/>
    <w:rsid w:val="00F6261A"/>
    <w:rsid w:val="00F66A50"/>
    <w:rsid w:val="00F96665"/>
    <w:rsid w:val="00F97B05"/>
    <w:rsid w:val="00FC1949"/>
    <w:rsid w:val="00FD3F5E"/>
    <w:rsid w:val="00FE0CB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440C"/>
  <w15:chartTrackingRefBased/>
  <w15:docId w15:val="{9FFB847F-4B4B-48C3-987D-07AD7FFB1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F043B"/>
    <w:pPr>
      <w:spacing w:after="120" w:line="360" w:lineRule="auto"/>
      <w:ind w:firstLine="720"/>
      <w:jc w:val="both"/>
    </w:pPr>
    <w:rPr>
      <w:rFonts w:ascii="Times New Roman" w:eastAsia="Times New Roman" w:hAnsi="Times New Roman" w:cs="Times New Roman"/>
      <w:sz w:val="24"/>
      <w:szCs w:val="24"/>
      <w:lang w:val="en-US"/>
    </w:rPr>
  </w:style>
  <w:style w:type="paragraph" w:styleId="Kop1">
    <w:name w:val="heading 1"/>
    <w:basedOn w:val="Standaard"/>
    <w:next w:val="Standaard"/>
    <w:link w:val="Kop1Char"/>
    <w:uiPriority w:val="9"/>
    <w:qFormat/>
    <w:rsid w:val="007F04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3238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F043B"/>
    <w:rPr>
      <w:rFonts w:asciiTheme="majorHAnsi" w:eastAsiaTheme="majorEastAsia" w:hAnsiTheme="majorHAnsi" w:cstheme="majorBidi"/>
      <w:color w:val="2F5496" w:themeColor="accent1" w:themeShade="BF"/>
      <w:sz w:val="32"/>
      <w:szCs w:val="32"/>
      <w:lang w:val="en-US"/>
    </w:rPr>
  </w:style>
  <w:style w:type="paragraph" w:styleId="Geenafstand">
    <w:name w:val="No Spacing"/>
    <w:uiPriority w:val="1"/>
    <w:qFormat/>
    <w:rsid w:val="007F043B"/>
    <w:pPr>
      <w:spacing w:after="0" w:line="240" w:lineRule="auto"/>
    </w:pPr>
  </w:style>
  <w:style w:type="paragraph" w:customStyle="1" w:styleId="MainTitle">
    <w:name w:val="Main Title"/>
    <w:basedOn w:val="Standaard"/>
    <w:rsid w:val="007F043B"/>
    <w:pPr>
      <w:ind w:firstLine="0"/>
      <w:jc w:val="center"/>
    </w:pPr>
    <w:rPr>
      <w:sz w:val="40"/>
      <w:szCs w:val="20"/>
    </w:rPr>
  </w:style>
  <w:style w:type="paragraph" w:styleId="Bijschrift">
    <w:name w:val="caption"/>
    <w:basedOn w:val="Standaard"/>
    <w:next w:val="Standaard"/>
    <w:uiPriority w:val="35"/>
    <w:unhideWhenUsed/>
    <w:qFormat/>
    <w:rsid w:val="007F043B"/>
    <w:pPr>
      <w:spacing w:after="200" w:line="240" w:lineRule="auto"/>
      <w:ind w:firstLine="0"/>
      <w:jc w:val="left"/>
    </w:pPr>
    <w:rPr>
      <w:rFonts w:asciiTheme="minorHAnsi" w:eastAsiaTheme="minorHAnsi" w:hAnsiTheme="minorHAnsi" w:cstheme="minorBidi"/>
      <w:i/>
      <w:iCs/>
      <w:color w:val="44546A" w:themeColor="text2"/>
      <w:sz w:val="18"/>
      <w:szCs w:val="18"/>
      <w:lang w:val="nl-NL"/>
    </w:rPr>
  </w:style>
  <w:style w:type="paragraph" w:styleId="Bibliografie">
    <w:name w:val="Bibliography"/>
    <w:basedOn w:val="Standaard"/>
    <w:next w:val="Standaard"/>
    <w:uiPriority w:val="37"/>
    <w:unhideWhenUsed/>
    <w:rsid w:val="007F043B"/>
    <w:pPr>
      <w:spacing w:after="160" w:line="259" w:lineRule="auto"/>
      <w:ind w:firstLine="0"/>
      <w:jc w:val="left"/>
    </w:pPr>
    <w:rPr>
      <w:rFonts w:asciiTheme="minorHAnsi" w:eastAsiaTheme="minorHAnsi" w:hAnsiTheme="minorHAnsi" w:cstheme="minorBidi"/>
      <w:sz w:val="22"/>
      <w:szCs w:val="22"/>
      <w:lang w:val="nl-NL"/>
    </w:rPr>
  </w:style>
  <w:style w:type="character" w:styleId="Hyperlink">
    <w:name w:val="Hyperlink"/>
    <w:basedOn w:val="Standaardalinea-lettertype"/>
    <w:uiPriority w:val="99"/>
    <w:unhideWhenUsed/>
    <w:rsid w:val="007F043B"/>
    <w:rPr>
      <w:color w:val="0563C1" w:themeColor="hyperlink"/>
      <w:u w:val="single"/>
    </w:rPr>
  </w:style>
  <w:style w:type="table" w:styleId="Onopgemaaktetabel2">
    <w:name w:val="Plain Table 2"/>
    <w:basedOn w:val="Standaardtabel"/>
    <w:uiPriority w:val="42"/>
    <w:rsid w:val="007F043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Koptekst">
    <w:name w:val="header"/>
    <w:basedOn w:val="Standaard"/>
    <w:link w:val="KoptekstChar"/>
    <w:uiPriority w:val="99"/>
    <w:unhideWhenUsed/>
    <w:rsid w:val="007F043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F043B"/>
    <w:rPr>
      <w:rFonts w:ascii="Times New Roman" w:eastAsia="Times New Roman" w:hAnsi="Times New Roman" w:cs="Times New Roman"/>
      <w:sz w:val="24"/>
      <w:szCs w:val="24"/>
      <w:lang w:val="en-US"/>
    </w:rPr>
  </w:style>
  <w:style w:type="paragraph" w:styleId="Voettekst">
    <w:name w:val="footer"/>
    <w:basedOn w:val="Standaard"/>
    <w:link w:val="VoettekstChar"/>
    <w:uiPriority w:val="99"/>
    <w:unhideWhenUsed/>
    <w:rsid w:val="007F043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F043B"/>
    <w:rPr>
      <w:rFonts w:ascii="Times New Roman" w:eastAsia="Times New Roman" w:hAnsi="Times New Roman" w:cs="Times New Roman"/>
      <w:sz w:val="24"/>
      <w:szCs w:val="24"/>
      <w:lang w:val="en-US"/>
    </w:rPr>
  </w:style>
  <w:style w:type="paragraph" w:styleId="Kopvaninhoudsopgave">
    <w:name w:val="TOC Heading"/>
    <w:basedOn w:val="Kop1"/>
    <w:next w:val="Standaard"/>
    <w:uiPriority w:val="39"/>
    <w:unhideWhenUsed/>
    <w:qFormat/>
    <w:rsid w:val="007F043B"/>
    <w:pPr>
      <w:spacing w:line="259" w:lineRule="auto"/>
      <w:ind w:firstLine="0"/>
      <w:jc w:val="left"/>
      <w:outlineLvl w:val="9"/>
    </w:pPr>
    <w:rPr>
      <w:lang w:val="nl-NL" w:eastAsia="nl-NL"/>
    </w:rPr>
  </w:style>
  <w:style w:type="paragraph" w:styleId="Inhopg1">
    <w:name w:val="toc 1"/>
    <w:basedOn w:val="Standaard"/>
    <w:next w:val="Standaard"/>
    <w:autoRedefine/>
    <w:uiPriority w:val="39"/>
    <w:unhideWhenUsed/>
    <w:rsid w:val="007F043B"/>
    <w:pPr>
      <w:spacing w:after="100"/>
    </w:pPr>
  </w:style>
  <w:style w:type="character" w:customStyle="1" w:styleId="Kop2Char">
    <w:name w:val="Kop 2 Char"/>
    <w:basedOn w:val="Standaardalinea-lettertype"/>
    <w:link w:val="Kop2"/>
    <w:uiPriority w:val="9"/>
    <w:rsid w:val="0032384E"/>
    <w:rPr>
      <w:rFonts w:asciiTheme="majorHAnsi" w:eastAsiaTheme="majorEastAsia" w:hAnsiTheme="majorHAnsi" w:cstheme="majorBidi"/>
      <w:color w:val="2F5496" w:themeColor="accent1" w:themeShade="BF"/>
      <w:sz w:val="26"/>
      <w:szCs w:val="26"/>
      <w:lang w:val="en-US"/>
    </w:rPr>
  </w:style>
  <w:style w:type="paragraph" w:styleId="Ballontekst">
    <w:name w:val="Balloon Text"/>
    <w:basedOn w:val="Standaard"/>
    <w:link w:val="BallontekstChar"/>
    <w:uiPriority w:val="99"/>
    <w:semiHidden/>
    <w:unhideWhenUsed/>
    <w:rsid w:val="0032384E"/>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2384E"/>
    <w:rPr>
      <w:rFonts w:ascii="Segoe UI" w:eastAsia="Times New Roman" w:hAnsi="Segoe UI" w:cs="Segoe UI"/>
      <w:sz w:val="18"/>
      <w:szCs w:val="18"/>
      <w:lang w:val="en-US"/>
    </w:rPr>
  </w:style>
  <w:style w:type="paragraph" w:styleId="Inhopg2">
    <w:name w:val="toc 2"/>
    <w:basedOn w:val="Standaard"/>
    <w:next w:val="Standaard"/>
    <w:autoRedefine/>
    <w:uiPriority w:val="39"/>
    <w:unhideWhenUsed/>
    <w:rsid w:val="00271F8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ijksoverheid.nl/onderwerpen/inkomstenbelasting/soorten-" TargetMode="External"/><Relationship Id="rId18" Type="http://schemas.openxmlformats.org/officeDocument/2006/relationships/chart" Target="charts/chart2.xml"/><Relationship Id="rId26"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5.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ijksoverheid.nl/onderwerpen/belastingplan/belastingwijzigingen-voor-ons-allemaal/verlaging-tarief-aftrekposten-hogere-inkomens" TargetMode="External"/><Relationship Id="rId17" Type="http://schemas.openxmlformats.org/officeDocument/2006/relationships/chart" Target="charts/chart1.xml"/><Relationship Id="rId25" Type="http://schemas.openxmlformats.org/officeDocument/2006/relationships/chart" Target="charts/chart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hart" Target="charts/chart4.xm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b.nl/sites/default/files/omnidownload/CPB-Achtergronddocument-" TargetMode="External"/><Relationship Id="rId24" Type="http://schemas.openxmlformats.org/officeDocument/2006/relationships/chart" Target="charts/chart7.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hart" Target="charts/chart6.xml"/><Relationship Id="rId28" Type="http://schemas.openxmlformats.org/officeDocument/2006/relationships/chart" Target="charts/chart10.xml"/><Relationship Id="rId10" Type="http://schemas.openxmlformats.org/officeDocument/2006/relationships/hyperlink" Target="https://personal.eur.nl/bjacobs/fiscale_economie_reader.pdf" TargetMode="External"/><Relationship Id="rId19" Type="http://schemas.openxmlformats.org/officeDocument/2006/relationships/chart" Target="charts/chart3.xml"/><Relationship Id="rId31" Type="http://schemas.openxmlformats.org/officeDocument/2006/relationships/chart" Target="charts/chart1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6.png"/><Relationship Id="rId27" Type="http://schemas.openxmlformats.org/officeDocument/2006/relationships/image" Target="media/image7.png"/><Relationship Id="rId30" Type="http://schemas.openxmlformats.org/officeDocument/2006/relationships/chart" Target="charts/chart12.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kimee\OneDrive\Documenten\Universiteit\Jaar%203-DESKTOP-NUGAFV1\Bachelor%20Thesis\Data\Bestaande%20koopwoningen%20gemiddelde%20verkoopprijzen%20CBS.csv"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kimee\OneDrive\Documenten\Universiteit\Jaar%203-DESKTOP-NUGAFV1\Bachelor%20Thesis\Data\Bestaande%20koopwoningen%20verkoopprijzen%20incl%20crisis.csv"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d.docs.live.net/d2a13cdddfc2c163/Documenten/Universiteit/Jaar%203-DESKTOP-NUGAFV1/Bachelor%20Thesis/Data/pp_long%20(1).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d.docs.live.net/d2a13cdddfc2c163/Documenten/Universiteit/Jaar%203-DESKTOP-NUGAFV1/Bachelor%20Thesis/Data/pp_long%20(1).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d.docs.live.net/d2a13cdddfc2c163/Documenten/Universiteit/Jaar%203-DESKTOP-NUGAFV1/Bachelor%20Thesis/Data/pp_long%20(1).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d.docs.live.net/d2a13cdddfc2c163/Documenten/Universiteit/Jaar%203-DESKTOP-NUGAFV1/Bachelor%20Thesis/Data/pp_long%20(1).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kimee\OneDrive\Documenten\Universiteit\Jaar%203-DESKTOP-NUGAFV1\Bachelor%20Thesis\Data\OECD%20GDP%20growth.xml"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kimee\OneDrive\Documenten\Universiteit\Jaar%203-DESKTOP-NUGAFV1\Bachelor%20Thesis\Data\OECD%20GDP%20growth.xml"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d2a13cdddfc2c163/Documenten/Universiteit/Jaar%203-DESKTOP-NUGAFV1/Bachelor%20Thesis/Data/OECD%20GDP%20growth.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Map1"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Map1"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Users\kimee\OneDrive\Documenten\Universiteit\Jaar%203-DESKTOP-NUGAFV1\Bachelor%20Thesis\Data\pp_long%20(1).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C:\Users\kimee\OneDrive\Documenten\Universiteit\Jaar%203-DESKTOP-NUGAFV1\Bachelor%20Thesis\Data\pp_long%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Netherlands</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gemiddel'!$C$5:$K$5</c:f>
              <c:numCache>
                <c:formatCode>General</c:formatCode>
                <c:ptCount val="6"/>
                <c:pt idx="0">
                  <c:v>213353</c:v>
                </c:pt>
                <c:pt idx="1">
                  <c:v>222218</c:v>
                </c:pt>
                <c:pt idx="2">
                  <c:v>230194</c:v>
                </c:pt>
                <c:pt idx="3">
                  <c:v>243837</c:v>
                </c:pt>
                <c:pt idx="4">
                  <c:v>263295</c:v>
                </c:pt>
                <c:pt idx="5">
                  <c:v>287267</c:v>
                </c:pt>
              </c:numCache>
            </c:numRef>
          </c:val>
          <c:smooth val="0"/>
          <c:extLst>
            <c:ext xmlns:c16="http://schemas.microsoft.com/office/drawing/2014/chart" uri="{C3380CC4-5D6E-409C-BE32-E72D297353CC}">
              <c16:uniqueId val="{00000000-12D7-4552-B6F5-63221C038358}"/>
            </c:ext>
          </c:extLst>
        </c:ser>
        <c:ser>
          <c:idx val="1"/>
          <c:order val="1"/>
          <c:tx>
            <c:v>Groningen</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gemiddel'!$C$6:$K$6</c:f>
              <c:numCache>
                <c:formatCode>General</c:formatCode>
                <c:ptCount val="6"/>
                <c:pt idx="0">
                  <c:v>163505</c:v>
                </c:pt>
                <c:pt idx="1">
                  <c:v>165832</c:v>
                </c:pt>
                <c:pt idx="2">
                  <c:v>171679</c:v>
                </c:pt>
                <c:pt idx="3">
                  <c:v>180595</c:v>
                </c:pt>
                <c:pt idx="4">
                  <c:v>195057</c:v>
                </c:pt>
                <c:pt idx="5">
                  <c:v>205000</c:v>
                </c:pt>
              </c:numCache>
            </c:numRef>
          </c:val>
          <c:smooth val="0"/>
          <c:extLst>
            <c:ext xmlns:c16="http://schemas.microsoft.com/office/drawing/2014/chart" uri="{C3380CC4-5D6E-409C-BE32-E72D297353CC}">
              <c16:uniqueId val="{00000001-12D7-4552-B6F5-63221C038358}"/>
            </c:ext>
          </c:extLst>
        </c:ser>
        <c:ser>
          <c:idx val="2"/>
          <c:order val="2"/>
          <c:tx>
            <c:v>Friesland</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gemiddel'!$C$7:$K$7</c:f>
              <c:numCache>
                <c:formatCode>General</c:formatCode>
                <c:ptCount val="6"/>
                <c:pt idx="0">
                  <c:v>169899</c:v>
                </c:pt>
                <c:pt idx="1">
                  <c:v>174240</c:v>
                </c:pt>
                <c:pt idx="2">
                  <c:v>180461</c:v>
                </c:pt>
                <c:pt idx="3">
                  <c:v>187950</c:v>
                </c:pt>
                <c:pt idx="4">
                  <c:v>201430</c:v>
                </c:pt>
                <c:pt idx="5">
                  <c:v>216116</c:v>
                </c:pt>
              </c:numCache>
            </c:numRef>
          </c:val>
          <c:smooth val="0"/>
          <c:extLst>
            <c:ext xmlns:c16="http://schemas.microsoft.com/office/drawing/2014/chart" uri="{C3380CC4-5D6E-409C-BE32-E72D297353CC}">
              <c16:uniqueId val="{00000002-12D7-4552-B6F5-63221C038358}"/>
            </c:ext>
          </c:extLst>
        </c:ser>
        <c:ser>
          <c:idx val="3"/>
          <c:order val="3"/>
          <c:tx>
            <c:v>Drenthe</c:v>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gemiddel'!$C$8:$K$8</c:f>
              <c:numCache>
                <c:formatCode>General</c:formatCode>
                <c:ptCount val="6"/>
                <c:pt idx="0">
                  <c:v>181850</c:v>
                </c:pt>
                <c:pt idx="1">
                  <c:v>185239</c:v>
                </c:pt>
                <c:pt idx="2">
                  <c:v>194566</c:v>
                </c:pt>
                <c:pt idx="3">
                  <c:v>205504</c:v>
                </c:pt>
                <c:pt idx="4">
                  <c:v>213562</c:v>
                </c:pt>
                <c:pt idx="5">
                  <c:v>228433</c:v>
                </c:pt>
              </c:numCache>
            </c:numRef>
          </c:val>
          <c:smooth val="0"/>
          <c:extLst>
            <c:ext xmlns:c16="http://schemas.microsoft.com/office/drawing/2014/chart" uri="{C3380CC4-5D6E-409C-BE32-E72D297353CC}">
              <c16:uniqueId val="{00000003-12D7-4552-B6F5-63221C038358}"/>
            </c:ext>
          </c:extLst>
        </c:ser>
        <c:ser>
          <c:idx val="4"/>
          <c:order val="4"/>
          <c:tx>
            <c:v>Overijssel</c:v>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gemiddel'!$C$9:$K$9</c:f>
              <c:numCache>
                <c:formatCode>General</c:formatCode>
                <c:ptCount val="6"/>
                <c:pt idx="0">
                  <c:v>189733</c:v>
                </c:pt>
                <c:pt idx="1">
                  <c:v>197070</c:v>
                </c:pt>
                <c:pt idx="2">
                  <c:v>198713</c:v>
                </c:pt>
                <c:pt idx="3">
                  <c:v>210683</c:v>
                </c:pt>
                <c:pt idx="4">
                  <c:v>227193</c:v>
                </c:pt>
                <c:pt idx="5">
                  <c:v>244270</c:v>
                </c:pt>
              </c:numCache>
            </c:numRef>
          </c:val>
          <c:smooth val="0"/>
          <c:extLst>
            <c:ext xmlns:c16="http://schemas.microsoft.com/office/drawing/2014/chart" uri="{C3380CC4-5D6E-409C-BE32-E72D297353CC}">
              <c16:uniqueId val="{00000004-12D7-4552-B6F5-63221C038358}"/>
            </c:ext>
          </c:extLst>
        </c:ser>
        <c:ser>
          <c:idx val="5"/>
          <c:order val="5"/>
          <c:tx>
            <c:v>Flevoland</c:v>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gemiddel'!$C$10:$K$10</c:f>
              <c:numCache>
                <c:formatCode>General</c:formatCode>
                <c:ptCount val="6"/>
                <c:pt idx="0">
                  <c:v>178294</c:v>
                </c:pt>
                <c:pt idx="1">
                  <c:v>188445</c:v>
                </c:pt>
                <c:pt idx="2">
                  <c:v>194188</c:v>
                </c:pt>
                <c:pt idx="3">
                  <c:v>204317</c:v>
                </c:pt>
                <c:pt idx="4">
                  <c:v>226753</c:v>
                </c:pt>
                <c:pt idx="5">
                  <c:v>253875</c:v>
                </c:pt>
              </c:numCache>
            </c:numRef>
          </c:val>
          <c:smooth val="0"/>
          <c:extLst>
            <c:ext xmlns:c16="http://schemas.microsoft.com/office/drawing/2014/chart" uri="{C3380CC4-5D6E-409C-BE32-E72D297353CC}">
              <c16:uniqueId val="{00000005-12D7-4552-B6F5-63221C038358}"/>
            </c:ext>
          </c:extLst>
        </c:ser>
        <c:ser>
          <c:idx val="6"/>
          <c:order val="6"/>
          <c:tx>
            <c:v>Gelderland</c:v>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gemiddel'!$C$11:$K$11</c:f>
              <c:numCache>
                <c:formatCode>General</c:formatCode>
                <c:ptCount val="6"/>
                <c:pt idx="0">
                  <c:v>215875</c:v>
                </c:pt>
                <c:pt idx="1">
                  <c:v>221921</c:v>
                </c:pt>
                <c:pt idx="2">
                  <c:v>227324</c:v>
                </c:pt>
                <c:pt idx="3">
                  <c:v>237769</c:v>
                </c:pt>
                <c:pt idx="4">
                  <c:v>255392</c:v>
                </c:pt>
                <c:pt idx="5">
                  <c:v>275915</c:v>
                </c:pt>
              </c:numCache>
            </c:numRef>
          </c:val>
          <c:smooth val="0"/>
          <c:extLst>
            <c:ext xmlns:c16="http://schemas.microsoft.com/office/drawing/2014/chart" uri="{C3380CC4-5D6E-409C-BE32-E72D297353CC}">
              <c16:uniqueId val="{00000006-12D7-4552-B6F5-63221C038358}"/>
            </c:ext>
          </c:extLst>
        </c:ser>
        <c:ser>
          <c:idx val="7"/>
          <c:order val="7"/>
          <c:tx>
            <c:v>Utrecht</c:v>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gemiddel'!$C$12:$K$12</c:f>
              <c:numCache>
                <c:formatCode>General</c:formatCode>
                <c:ptCount val="6"/>
                <c:pt idx="0">
                  <c:v>249506</c:v>
                </c:pt>
                <c:pt idx="1">
                  <c:v>256282</c:v>
                </c:pt>
                <c:pt idx="2">
                  <c:v>264382</c:v>
                </c:pt>
                <c:pt idx="3">
                  <c:v>282981</c:v>
                </c:pt>
                <c:pt idx="4">
                  <c:v>316244</c:v>
                </c:pt>
                <c:pt idx="5">
                  <c:v>349404</c:v>
                </c:pt>
              </c:numCache>
            </c:numRef>
          </c:val>
          <c:smooth val="0"/>
          <c:extLst>
            <c:ext xmlns:c16="http://schemas.microsoft.com/office/drawing/2014/chart" uri="{C3380CC4-5D6E-409C-BE32-E72D297353CC}">
              <c16:uniqueId val="{00000007-12D7-4552-B6F5-63221C038358}"/>
            </c:ext>
          </c:extLst>
        </c:ser>
        <c:ser>
          <c:idx val="8"/>
          <c:order val="8"/>
          <c:tx>
            <c:v>Noord-Holland</c:v>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gemiddel'!$C$13:$K$13</c:f>
              <c:numCache>
                <c:formatCode>General</c:formatCode>
                <c:ptCount val="6"/>
                <c:pt idx="0">
                  <c:v>243147</c:v>
                </c:pt>
                <c:pt idx="1">
                  <c:v>257128</c:v>
                </c:pt>
                <c:pt idx="2">
                  <c:v>273911</c:v>
                </c:pt>
                <c:pt idx="3">
                  <c:v>301899</c:v>
                </c:pt>
                <c:pt idx="4">
                  <c:v>333082</c:v>
                </c:pt>
                <c:pt idx="5">
                  <c:v>373688</c:v>
                </c:pt>
              </c:numCache>
            </c:numRef>
          </c:val>
          <c:smooth val="0"/>
          <c:extLst>
            <c:ext xmlns:c16="http://schemas.microsoft.com/office/drawing/2014/chart" uri="{C3380CC4-5D6E-409C-BE32-E72D297353CC}">
              <c16:uniqueId val="{00000008-12D7-4552-B6F5-63221C038358}"/>
            </c:ext>
          </c:extLst>
        </c:ser>
        <c:ser>
          <c:idx val="9"/>
          <c:order val="9"/>
          <c:tx>
            <c:v>Zuid-Holland</c:v>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gemiddel'!$C$14:$K$14</c:f>
              <c:numCache>
                <c:formatCode>General</c:formatCode>
                <c:ptCount val="6"/>
                <c:pt idx="0">
                  <c:v>211626</c:v>
                </c:pt>
                <c:pt idx="1">
                  <c:v>217573</c:v>
                </c:pt>
                <c:pt idx="2">
                  <c:v>221441</c:v>
                </c:pt>
                <c:pt idx="3">
                  <c:v>232144</c:v>
                </c:pt>
                <c:pt idx="4">
                  <c:v>254146</c:v>
                </c:pt>
                <c:pt idx="5">
                  <c:v>280460</c:v>
                </c:pt>
              </c:numCache>
            </c:numRef>
          </c:val>
          <c:smooth val="0"/>
          <c:extLst>
            <c:ext xmlns:c16="http://schemas.microsoft.com/office/drawing/2014/chart" uri="{C3380CC4-5D6E-409C-BE32-E72D297353CC}">
              <c16:uniqueId val="{00000009-12D7-4552-B6F5-63221C038358}"/>
            </c:ext>
          </c:extLst>
        </c:ser>
        <c:ser>
          <c:idx val="10"/>
          <c:order val="10"/>
          <c:tx>
            <c:v>Zeeland</c:v>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gemiddel'!$C$15:$K$15</c:f>
              <c:numCache>
                <c:formatCode>General</c:formatCode>
                <c:ptCount val="6"/>
                <c:pt idx="0">
                  <c:v>183907</c:v>
                </c:pt>
                <c:pt idx="1">
                  <c:v>186748</c:v>
                </c:pt>
                <c:pt idx="2">
                  <c:v>193489</c:v>
                </c:pt>
                <c:pt idx="3">
                  <c:v>202262</c:v>
                </c:pt>
                <c:pt idx="4">
                  <c:v>213611</c:v>
                </c:pt>
                <c:pt idx="5">
                  <c:v>220889</c:v>
                </c:pt>
              </c:numCache>
            </c:numRef>
          </c:val>
          <c:smooth val="0"/>
          <c:extLst>
            <c:ext xmlns:c16="http://schemas.microsoft.com/office/drawing/2014/chart" uri="{C3380CC4-5D6E-409C-BE32-E72D297353CC}">
              <c16:uniqueId val="{0000000A-12D7-4552-B6F5-63221C038358}"/>
            </c:ext>
          </c:extLst>
        </c:ser>
        <c:ser>
          <c:idx val="11"/>
          <c:order val="11"/>
          <c:tx>
            <c:v>Noord-Brabant</c:v>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gemiddel'!$C$16:$K$16</c:f>
              <c:numCache>
                <c:formatCode>General</c:formatCode>
                <c:ptCount val="6"/>
                <c:pt idx="0">
                  <c:v>221039</c:v>
                </c:pt>
                <c:pt idx="1">
                  <c:v>228412</c:v>
                </c:pt>
                <c:pt idx="2">
                  <c:v>235669</c:v>
                </c:pt>
                <c:pt idx="3">
                  <c:v>248763</c:v>
                </c:pt>
                <c:pt idx="4">
                  <c:v>268514</c:v>
                </c:pt>
                <c:pt idx="5">
                  <c:v>290569</c:v>
                </c:pt>
              </c:numCache>
            </c:numRef>
          </c:val>
          <c:smooth val="0"/>
          <c:extLst>
            <c:ext xmlns:c16="http://schemas.microsoft.com/office/drawing/2014/chart" uri="{C3380CC4-5D6E-409C-BE32-E72D297353CC}">
              <c16:uniqueId val="{0000000B-12D7-4552-B6F5-63221C038358}"/>
            </c:ext>
          </c:extLst>
        </c:ser>
        <c:ser>
          <c:idx val="12"/>
          <c:order val="12"/>
          <c:tx>
            <c:v>Limburg</c:v>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'Bestaande koopwoningen gemiddel'!$C$4:$K$4</c:f>
              <c:numCache>
                <c:formatCode>General</c:formatCode>
                <c:ptCount val="6"/>
                <c:pt idx="0">
                  <c:v>2013</c:v>
                </c:pt>
                <c:pt idx="1">
                  <c:v>2014</c:v>
                </c:pt>
                <c:pt idx="2">
                  <c:v>2015</c:v>
                </c:pt>
                <c:pt idx="3">
                  <c:v>2016</c:v>
                </c:pt>
                <c:pt idx="4">
                  <c:v>2017</c:v>
                </c:pt>
                <c:pt idx="5">
                  <c:v>2018</c:v>
                </c:pt>
              </c:numCache>
            </c:numRef>
          </c:cat>
          <c:val>
            <c:numRef>
              <c:f>'Bestaande koopwoningen gemiddel'!$C$17:$K$17</c:f>
              <c:numCache>
                <c:formatCode>General</c:formatCode>
                <c:ptCount val="6"/>
                <c:pt idx="0">
                  <c:v>179427</c:v>
                </c:pt>
                <c:pt idx="1">
                  <c:v>186408</c:v>
                </c:pt>
                <c:pt idx="2">
                  <c:v>191829</c:v>
                </c:pt>
                <c:pt idx="3">
                  <c:v>199165</c:v>
                </c:pt>
                <c:pt idx="4">
                  <c:v>212920</c:v>
                </c:pt>
                <c:pt idx="5">
                  <c:v>229286</c:v>
                </c:pt>
              </c:numCache>
            </c:numRef>
          </c:val>
          <c:smooth val="0"/>
          <c:extLst>
            <c:ext xmlns:c16="http://schemas.microsoft.com/office/drawing/2014/chart" uri="{C3380CC4-5D6E-409C-BE32-E72D297353CC}">
              <c16:uniqueId val="{0000000C-12D7-4552-B6F5-63221C038358}"/>
            </c:ext>
          </c:extLst>
        </c:ser>
        <c:dLbls>
          <c:showLegendKey val="0"/>
          <c:showVal val="0"/>
          <c:showCatName val="0"/>
          <c:showSerName val="0"/>
          <c:showPercent val="0"/>
          <c:showBubbleSize val="0"/>
        </c:dLbls>
        <c:marker val="1"/>
        <c:smooth val="0"/>
        <c:axId val="1507257776"/>
        <c:axId val="1504285024"/>
      </c:lineChart>
      <c:catAx>
        <c:axId val="15072577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latin typeface="+mn-lt"/>
                    <a:cs typeface="Arial" panose="020B0604020202020204" pitchFamily="34" charset="0"/>
                  </a:rPr>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504285024"/>
        <c:crosses val="autoZero"/>
        <c:auto val="1"/>
        <c:lblAlgn val="ctr"/>
        <c:lblOffset val="100"/>
        <c:noMultiLvlLbl val="0"/>
      </c:catAx>
      <c:valAx>
        <c:axId val="1504285024"/>
        <c:scaling>
          <c:orientation val="minMax"/>
          <c:min val="1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latin typeface="+mn-lt"/>
                    <a:cs typeface="Arial" panose="020B0604020202020204" pitchFamily="34" charset="0"/>
                  </a:rPr>
                  <a:t>Average sales price in euros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507257776"/>
        <c:crosses val="autoZero"/>
        <c:crossBetween val="between"/>
      </c:valAx>
      <c:spPr>
        <a:noFill/>
        <a:ln>
          <a:noFill/>
        </a:ln>
        <a:effectLst/>
      </c:spPr>
    </c:plotArea>
    <c:legend>
      <c:legendPos val="b"/>
      <c:layout>
        <c:manualLayout>
          <c:xMode val="edge"/>
          <c:yMode val="edge"/>
          <c:x val="0.11379972227457889"/>
          <c:y val="0.82059131038372268"/>
          <c:w val="0.77240055545084219"/>
          <c:h val="0.1353315546300514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Netherlands</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verkoopp'!$C$5:$N$5</c:f>
              <c:numCache>
                <c:formatCode>General</c:formatCode>
                <c:ptCount val="12"/>
                <c:pt idx="0">
                  <c:v>248325</c:v>
                </c:pt>
                <c:pt idx="1">
                  <c:v>254918</c:v>
                </c:pt>
                <c:pt idx="2">
                  <c:v>238259</c:v>
                </c:pt>
                <c:pt idx="3">
                  <c:v>239530</c:v>
                </c:pt>
                <c:pt idx="4">
                  <c:v>240059</c:v>
                </c:pt>
                <c:pt idx="5">
                  <c:v>226661</c:v>
                </c:pt>
                <c:pt idx="6">
                  <c:v>213353</c:v>
                </c:pt>
                <c:pt idx="7">
                  <c:v>222218</c:v>
                </c:pt>
                <c:pt idx="8">
                  <c:v>230194</c:v>
                </c:pt>
                <c:pt idx="9">
                  <c:v>243837</c:v>
                </c:pt>
                <c:pt idx="10">
                  <c:v>263295</c:v>
                </c:pt>
                <c:pt idx="11">
                  <c:v>287267</c:v>
                </c:pt>
              </c:numCache>
            </c:numRef>
          </c:val>
          <c:smooth val="0"/>
          <c:extLst>
            <c:ext xmlns:c16="http://schemas.microsoft.com/office/drawing/2014/chart" uri="{C3380CC4-5D6E-409C-BE32-E72D297353CC}">
              <c16:uniqueId val="{00000000-CBCE-406F-BE49-26B3B10529F2}"/>
            </c:ext>
          </c:extLst>
        </c:ser>
        <c:ser>
          <c:idx val="1"/>
          <c:order val="1"/>
          <c:tx>
            <c:v>Groningen</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verkoopp'!$C$6:$N$6</c:f>
              <c:numCache>
                <c:formatCode>General</c:formatCode>
                <c:ptCount val="12"/>
                <c:pt idx="0">
                  <c:v>186935</c:v>
                </c:pt>
                <c:pt idx="1">
                  <c:v>188062</c:v>
                </c:pt>
                <c:pt idx="2">
                  <c:v>181358</c:v>
                </c:pt>
                <c:pt idx="3">
                  <c:v>177940</c:v>
                </c:pt>
                <c:pt idx="4">
                  <c:v>180603</c:v>
                </c:pt>
                <c:pt idx="5">
                  <c:v>172575</c:v>
                </c:pt>
                <c:pt idx="6">
                  <c:v>163505</c:v>
                </c:pt>
                <c:pt idx="7">
                  <c:v>165832</c:v>
                </c:pt>
                <c:pt idx="8">
                  <c:v>171679</c:v>
                </c:pt>
                <c:pt idx="9">
                  <c:v>180595</c:v>
                </c:pt>
                <c:pt idx="10">
                  <c:v>195057</c:v>
                </c:pt>
                <c:pt idx="11">
                  <c:v>205000</c:v>
                </c:pt>
              </c:numCache>
            </c:numRef>
          </c:val>
          <c:smooth val="0"/>
          <c:extLst>
            <c:ext xmlns:c16="http://schemas.microsoft.com/office/drawing/2014/chart" uri="{C3380CC4-5D6E-409C-BE32-E72D297353CC}">
              <c16:uniqueId val="{00000001-CBCE-406F-BE49-26B3B10529F2}"/>
            </c:ext>
          </c:extLst>
        </c:ser>
        <c:ser>
          <c:idx val="2"/>
          <c:order val="2"/>
          <c:tx>
            <c:v>Friesland</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verkoopp'!$C$7:$N$7</c:f>
              <c:numCache>
                <c:formatCode>General</c:formatCode>
                <c:ptCount val="12"/>
                <c:pt idx="0">
                  <c:v>197251</c:v>
                </c:pt>
                <c:pt idx="1">
                  <c:v>203889</c:v>
                </c:pt>
                <c:pt idx="2">
                  <c:v>193069</c:v>
                </c:pt>
                <c:pt idx="3">
                  <c:v>195349</c:v>
                </c:pt>
                <c:pt idx="4">
                  <c:v>191714</c:v>
                </c:pt>
                <c:pt idx="5">
                  <c:v>180784</c:v>
                </c:pt>
                <c:pt idx="6">
                  <c:v>169899</c:v>
                </c:pt>
                <c:pt idx="7">
                  <c:v>174240</c:v>
                </c:pt>
                <c:pt idx="8">
                  <c:v>180461</c:v>
                </c:pt>
                <c:pt idx="9">
                  <c:v>187950</c:v>
                </c:pt>
                <c:pt idx="10">
                  <c:v>201430</c:v>
                </c:pt>
                <c:pt idx="11">
                  <c:v>216116</c:v>
                </c:pt>
              </c:numCache>
            </c:numRef>
          </c:val>
          <c:smooth val="0"/>
          <c:extLst>
            <c:ext xmlns:c16="http://schemas.microsoft.com/office/drawing/2014/chart" uri="{C3380CC4-5D6E-409C-BE32-E72D297353CC}">
              <c16:uniqueId val="{00000002-CBCE-406F-BE49-26B3B10529F2}"/>
            </c:ext>
          </c:extLst>
        </c:ser>
        <c:ser>
          <c:idx val="3"/>
          <c:order val="3"/>
          <c:tx>
            <c:v>Drenthe</c:v>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verkoopp'!$C$8:$N$8</c:f>
              <c:numCache>
                <c:formatCode>General</c:formatCode>
                <c:ptCount val="12"/>
                <c:pt idx="0">
                  <c:v>215473</c:v>
                </c:pt>
                <c:pt idx="1">
                  <c:v>214763</c:v>
                </c:pt>
                <c:pt idx="2">
                  <c:v>199306</c:v>
                </c:pt>
                <c:pt idx="3">
                  <c:v>205264</c:v>
                </c:pt>
                <c:pt idx="4">
                  <c:v>203389</c:v>
                </c:pt>
                <c:pt idx="5">
                  <c:v>193844</c:v>
                </c:pt>
                <c:pt idx="6">
                  <c:v>181850</c:v>
                </c:pt>
                <c:pt idx="7">
                  <c:v>185239</c:v>
                </c:pt>
                <c:pt idx="8">
                  <c:v>194566</c:v>
                </c:pt>
                <c:pt idx="9">
                  <c:v>205504</c:v>
                </c:pt>
                <c:pt idx="10">
                  <c:v>213562</c:v>
                </c:pt>
                <c:pt idx="11">
                  <c:v>228433</c:v>
                </c:pt>
              </c:numCache>
            </c:numRef>
          </c:val>
          <c:smooth val="0"/>
          <c:extLst>
            <c:ext xmlns:c16="http://schemas.microsoft.com/office/drawing/2014/chart" uri="{C3380CC4-5D6E-409C-BE32-E72D297353CC}">
              <c16:uniqueId val="{00000003-CBCE-406F-BE49-26B3B10529F2}"/>
            </c:ext>
          </c:extLst>
        </c:ser>
        <c:ser>
          <c:idx val="4"/>
          <c:order val="4"/>
          <c:tx>
            <c:v>Overijssel</c:v>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verkoopp'!$C$9:$N$9</c:f>
              <c:numCache>
                <c:formatCode>General</c:formatCode>
                <c:ptCount val="12"/>
                <c:pt idx="0">
                  <c:v>215724</c:v>
                </c:pt>
                <c:pt idx="1">
                  <c:v>219612</c:v>
                </c:pt>
                <c:pt idx="2">
                  <c:v>212375</c:v>
                </c:pt>
                <c:pt idx="3">
                  <c:v>211088</c:v>
                </c:pt>
                <c:pt idx="4">
                  <c:v>208185</c:v>
                </c:pt>
                <c:pt idx="5">
                  <c:v>202549</c:v>
                </c:pt>
                <c:pt idx="6">
                  <c:v>189733</c:v>
                </c:pt>
                <c:pt idx="7">
                  <c:v>197070</c:v>
                </c:pt>
                <c:pt idx="8">
                  <c:v>198713</c:v>
                </c:pt>
                <c:pt idx="9">
                  <c:v>210683</c:v>
                </c:pt>
                <c:pt idx="10">
                  <c:v>227193</c:v>
                </c:pt>
                <c:pt idx="11">
                  <c:v>244270</c:v>
                </c:pt>
              </c:numCache>
            </c:numRef>
          </c:val>
          <c:smooth val="0"/>
          <c:extLst>
            <c:ext xmlns:c16="http://schemas.microsoft.com/office/drawing/2014/chart" uri="{C3380CC4-5D6E-409C-BE32-E72D297353CC}">
              <c16:uniqueId val="{00000004-CBCE-406F-BE49-26B3B10529F2}"/>
            </c:ext>
          </c:extLst>
        </c:ser>
        <c:ser>
          <c:idx val="5"/>
          <c:order val="5"/>
          <c:tx>
            <c:v>Flevoland</c:v>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verkoopp'!$C$10:$N$10</c:f>
              <c:numCache>
                <c:formatCode>General</c:formatCode>
                <c:ptCount val="12"/>
                <c:pt idx="0">
                  <c:v>212973</c:v>
                </c:pt>
                <c:pt idx="1">
                  <c:v>219260</c:v>
                </c:pt>
                <c:pt idx="2">
                  <c:v>205904</c:v>
                </c:pt>
                <c:pt idx="3">
                  <c:v>206530</c:v>
                </c:pt>
                <c:pt idx="4">
                  <c:v>199148</c:v>
                </c:pt>
                <c:pt idx="5">
                  <c:v>189322</c:v>
                </c:pt>
                <c:pt idx="6">
                  <c:v>178294</c:v>
                </c:pt>
                <c:pt idx="7">
                  <c:v>188445</c:v>
                </c:pt>
                <c:pt idx="8">
                  <c:v>194188</c:v>
                </c:pt>
                <c:pt idx="9">
                  <c:v>204317</c:v>
                </c:pt>
                <c:pt idx="10">
                  <c:v>226753</c:v>
                </c:pt>
                <c:pt idx="11">
                  <c:v>253875</c:v>
                </c:pt>
              </c:numCache>
            </c:numRef>
          </c:val>
          <c:smooth val="0"/>
          <c:extLst>
            <c:ext xmlns:c16="http://schemas.microsoft.com/office/drawing/2014/chart" uri="{C3380CC4-5D6E-409C-BE32-E72D297353CC}">
              <c16:uniqueId val="{00000005-CBCE-406F-BE49-26B3B10529F2}"/>
            </c:ext>
          </c:extLst>
        </c:ser>
        <c:ser>
          <c:idx val="6"/>
          <c:order val="6"/>
          <c:tx>
            <c:v>Gelderland</c:v>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verkoopp'!$C$11:$N$11</c:f>
              <c:numCache>
                <c:formatCode>General</c:formatCode>
                <c:ptCount val="12"/>
                <c:pt idx="0">
                  <c:v>261513</c:v>
                </c:pt>
                <c:pt idx="1">
                  <c:v>264983</c:v>
                </c:pt>
                <c:pt idx="2">
                  <c:v>247406</c:v>
                </c:pt>
                <c:pt idx="3">
                  <c:v>245990</c:v>
                </c:pt>
                <c:pt idx="4">
                  <c:v>245088</c:v>
                </c:pt>
                <c:pt idx="5">
                  <c:v>233365</c:v>
                </c:pt>
                <c:pt idx="6">
                  <c:v>215875</c:v>
                </c:pt>
                <c:pt idx="7">
                  <c:v>221921</c:v>
                </c:pt>
                <c:pt idx="8">
                  <c:v>227324</c:v>
                </c:pt>
                <c:pt idx="9">
                  <c:v>237769</c:v>
                </c:pt>
                <c:pt idx="10">
                  <c:v>255392</c:v>
                </c:pt>
                <c:pt idx="11">
                  <c:v>275915</c:v>
                </c:pt>
              </c:numCache>
            </c:numRef>
          </c:val>
          <c:smooth val="0"/>
          <c:extLst>
            <c:ext xmlns:c16="http://schemas.microsoft.com/office/drawing/2014/chart" uri="{C3380CC4-5D6E-409C-BE32-E72D297353CC}">
              <c16:uniqueId val="{00000006-CBCE-406F-BE49-26B3B10529F2}"/>
            </c:ext>
          </c:extLst>
        </c:ser>
        <c:ser>
          <c:idx val="7"/>
          <c:order val="7"/>
          <c:tx>
            <c:v>Utrecht</c:v>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verkoopp'!$C$12:$N$12</c:f>
              <c:numCache>
                <c:formatCode>General</c:formatCode>
                <c:ptCount val="12"/>
                <c:pt idx="0">
                  <c:v>290511</c:v>
                </c:pt>
                <c:pt idx="1">
                  <c:v>301065</c:v>
                </c:pt>
                <c:pt idx="2">
                  <c:v>280228</c:v>
                </c:pt>
                <c:pt idx="3">
                  <c:v>283922</c:v>
                </c:pt>
                <c:pt idx="4">
                  <c:v>282944</c:v>
                </c:pt>
                <c:pt idx="5">
                  <c:v>267112</c:v>
                </c:pt>
                <c:pt idx="6">
                  <c:v>249506</c:v>
                </c:pt>
                <c:pt idx="7">
                  <c:v>256282</c:v>
                </c:pt>
                <c:pt idx="8">
                  <c:v>264382</c:v>
                </c:pt>
                <c:pt idx="9">
                  <c:v>282981</c:v>
                </c:pt>
                <c:pt idx="10">
                  <c:v>316244</c:v>
                </c:pt>
                <c:pt idx="11">
                  <c:v>349404</c:v>
                </c:pt>
              </c:numCache>
            </c:numRef>
          </c:val>
          <c:smooth val="0"/>
          <c:extLst>
            <c:ext xmlns:c16="http://schemas.microsoft.com/office/drawing/2014/chart" uri="{C3380CC4-5D6E-409C-BE32-E72D297353CC}">
              <c16:uniqueId val="{00000007-CBCE-406F-BE49-26B3B10529F2}"/>
            </c:ext>
          </c:extLst>
        </c:ser>
        <c:ser>
          <c:idx val="8"/>
          <c:order val="8"/>
          <c:tx>
            <c:v>Noord-Holland</c:v>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verkoopp'!$C$13:$N$13</c:f>
              <c:numCache>
                <c:formatCode>General</c:formatCode>
                <c:ptCount val="12"/>
                <c:pt idx="0">
                  <c:v>285839</c:v>
                </c:pt>
                <c:pt idx="1">
                  <c:v>295730</c:v>
                </c:pt>
                <c:pt idx="2">
                  <c:v>273913</c:v>
                </c:pt>
                <c:pt idx="3">
                  <c:v>275914</c:v>
                </c:pt>
                <c:pt idx="4">
                  <c:v>279072</c:v>
                </c:pt>
                <c:pt idx="5">
                  <c:v>258872</c:v>
                </c:pt>
                <c:pt idx="6">
                  <c:v>243147</c:v>
                </c:pt>
                <c:pt idx="7">
                  <c:v>257128</c:v>
                </c:pt>
                <c:pt idx="8">
                  <c:v>273911</c:v>
                </c:pt>
                <c:pt idx="9">
                  <c:v>301899</c:v>
                </c:pt>
                <c:pt idx="10">
                  <c:v>333082</c:v>
                </c:pt>
                <c:pt idx="11">
                  <c:v>373688</c:v>
                </c:pt>
              </c:numCache>
            </c:numRef>
          </c:val>
          <c:smooth val="0"/>
          <c:extLst>
            <c:ext xmlns:c16="http://schemas.microsoft.com/office/drawing/2014/chart" uri="{C3380CC4-5D6E-409C-BE32-E72D297353CC}">
              <c16:uniqueId val="{00000008-CBCE-406F-BE49-26B3B10529F2}"/>
            </c:ext>
          </c:extLst>
        </c:ser>
        <c:ser>
          <c:idx val="9"/>
          <c:order val="9"/>
          <c:tx>
            <c:v>Zuid-Holland</c:v>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verkoopp'!$C$14:$N$14</c:f>
              <c:numCache>
                <c:formatCode>General</c:formatCode>
                <c:ptCount val="12"/>
                <c:pt idx="0">
                  <c:v>235504</c:v>
                </c:pt>
                <c:pt idx="1">
                  <c:v>242050</c:v>
                </c:pt>
                <c:pt idx="2">
                  <c:v>227133</c:v>
                </c:pt>
                <c:pt idx="3">
                  <c:v>230543</c:v>
                </c:pt>
                <c:pt idx="4">
                  <c:v>232987</c:v>
                </c:pt>
                <c:pt idx="5">
                  <c:v>219399</c:v>
                </c:pt>
                <c:pt idx="6">
                  <c:v>211626</c:v>
                </c:pt>
                <c:pt idx="7">
                  <c:v>217573</c:v>
                </c:pt>
                <c:pt idx="8">
                  <c:v>221441</c:v>
                </c:pt>
                <c:pt idx="9">
                  <c:v>232144</c:v>
                </c:pt>
                <c:pt idx="10">
                  <c:v>254146</c:v>
                </c:pt>
                <c:pt idx="11">
                  <c:v>280460</c:v>
                </c:pt>
              </c:numCache>
            </c:numRef>
          </c:val>
          <c:smooth val="0"/>
          <c:extLst>
            <c:ext xmlns:c16="http://schemas.microsoft.com/office/drawing/2014/chart" uri="{C3380CC4-5D6E-409C-BE32-E72D297353CC}">
              <c16:uniqueId val="{00000009-CBCE-406F-BE49-26B3B10529F2}"/>
            </c:ext>
          </c:extLst>
        </c:ser>
        <c:ser>
          <c:idx val="10"/>
          <c:order val="10"/>
          <c:tx>
            <c:v>Zeeland</c:v>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verkoopp'!$C$15:$N$15</c:f>
              <c:numCache>
                <c:formatCode>General</c:formatCode>
                <c:ptCount val="12"/>
                <c:pt idx="0">
                  <c:v>203238</c:v>
                </c:pt>
                <c:pt idx="1">
                  <c:v>206965</c:v>
                </c:pt>
                <c:pt idx="2">
                  <c:v>196518</c:v>
                </c:pt>
                <c:pt idx="3">
                  <c:v>197788</c:v>
                </c:pt>
                <c:pt idx="4">
                  <c:v>197952</c:v>
                </c:pt>
                <c:pt idx="5">
                  <c:v>188728</c:v>
                </c:pt>
                <c:pt idx="6">
                  <c:v>183907</c:v>
                </c:pt>
                <c:pt idx="7">
                  <c:v>186748</c:v>
                </c:pt>
                <c:pt idx="8">
                  <c:v>193489</c:v>
                </c:pt>
                <c:pt idx="9">
                  <c:v>202262</c:v>
                </c:pt>
                <c:pt idx="10">
                  <c:v>213611</c:v>
                </c:pt>
                <c:pt idx="11">
                  <c:v>220889</c:v>
                </c:pt>
              </c:numCache>
            </c:numRef>
          </c:val>
          <c:smooth val="0"/>
          <c:extLst>
            <c:ext xmlns:c16="http://schemas.microsoft.com/office/drawing/2014/chart" uri="{C3380CC4-5D6E-409C-BE32-E72D297353CC}">
              <c16:uniqueId val="{0000000A-CBCE-406F-BE49-26B3B10529F2}"/>
            </c:ext>
          </c:extLst>
        </c:ser>
        <c:ser>
          <c:idx val="11"/>
          <c:order val="11"/>
          <c:tx>
            <c:v>Noord-Brabant</c:v>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verkoopp'!$C$16:$N$16</c:f>
              <c:numCache>
                <c:formatCode>General</c:formatCode>
                <c:ptCount val="12"/>
                <c:pt idx="0">
                  <c:v>271394</c:v>
                </c:pt>
                <c:pt idx="1">
                  <c:v>277906</c:v>
                </c:pt>
                <c:pt idx="2">
                  <c:v>258962</c:v>
                </c:pt>
                <c:pt idx="3">
                  <c:v>254941</c:v>
                </c:pt>
                <c:pt idx="4">
                  <c:v>252551</c:v>
                </c:pt>
                <c:pt idx="5">
                  <c:v>240127</c:v>
                </c:pt>
                <c:pt idx="6">
                  <c:v>221039</c:v>
                </c:pt>
                <c:pt idx="7">
                  <c:v>228412</c:v>
                </c:pt>
                <c:pt idx="8">
                  <c:v>235669</c:v>
                </c:pt>
                <c:pt idx="9">
                  <c:v>248763</c:v>
                </c:pt>
                <c:pt idx="10">
                  <c:v>268514</c:v>
                </c:pt>
                <c:pt idx="11">
                  <c:v>290569</c:v>
                </c:pt>
              </c:numCache>
            </c:numRef>
          </c:val>
          <c:smooth val="0"/>
          <c:extLst>
            <c:ext xmlns:c16="http://schemas.microsoft.com/office/drawing/2014/chart" uri="{C3380CC4-5D6E-409C-BE32-E72D297353CC}">
              <c16:uniqueId val="{0000000B-CBCE-406F-BE49-26B3B10529F2}"/>
            </c:ext>
          </c:extLst>
        </c:ser>
        <c:ser>
          <c:idx val="12"/>
          <c:order val="12"/>
          <c:tx>
            <c:v>Limburg</c:v>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'Bestaande koopwoningen verkoopp'!$C$4:$N$4</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'Bestaande koopwoningen verkoopp'!$C$17:$N$17</c:f>
              <c:numCache>
                <c:formatCode>General</c:formatCode>
                <c:ptCount val="12"/>
                <c:pt idx="0">
                  <c:v>206883</c:v>
                </c:pt>
                <c:pt idx="1">
                  <c:v>208894</c:v>
                </c:pt>
                <c:pt idx="2">
                  <c:v>197055</c:v>
                </c:pt>
                <c:pt idx="3">
                  <c:v>195206</c:v>
                </c:pt>
                <c:pt idx="4">
                  <c:v>198167</c:v>
                </c:pt>
                <c:pt idx="5">
                  <c:v>189845</c:v>
                </c:pt>
                <c:pt idx="6">
                  <c:v>179427</c:v>
                </c:pt>
                <c:pt idx="7">
                  <c:v>186408</c:v>
                </c:pt>
                <c:pt idx="8">
                  <c:v>191829</c:v>
                </c:pt>
                <c:pt idx="9">
                  <c:v>199165</c:v>
                </c:pt>
                <c:pt idx="10">
                  <c:v>212920</c:v>
                </c:pt>
                <c:pt idx="11">
                  <c:v>229286</c:v>
                </c:pt>
              </c:numCache>
            </c:numRef>
          </c:val>
          <c:smooth val="0"/>
          <c:extLst>
            <c:ext xmlns:c16="http://schemas.microsoft.com/office/drawing/2014/chart" uri="{C3380CC4-5D6E-409C-BE32-E72D297353CC}">
              <c16:uniqueId val="{0000000C-CBCE-406F-BE49-26B3B10529F2}"/>
            </c:ext>
          </c:extLst>
        </c:ser>
        <c:dLbls>
          <c:showLegendKey val="0"/>
          <c:showVal val="0"/>
          <c:showCatName val="0"/>
          <c:showSerName val="0"/>
          <c:showPercent val="0"/>
          <c:showBubbleSize val="0"/>
        </c:dLbls>
        <c:marker val="1"/>
        <c:smooth val="0"/>
        <c:axId val="1413290048"/>
        <c:axId val="1415435808"/>
      </c:lineChart>
      <c:catAx>
        <c:axId val="1413290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415435808"/>
        <c:crosses val="autoZero"/>
        <c:auto val="1"/>
        <c:lblAlgn val="ctr"/>
        <c:lblOffset val="100"/>
        <c:noMultiLvlLbl val="0"/>
      </c:catAx>
      <c:valAx>
        <c:axId val="1415435808"/>
        <c:scaling>
          <c:orientation val="minMax"/>
          <c:min val="1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sz="1000" b="0" i="0" baseline="0">
                    <a:effectLst/>
                  </a:rPr>
                  <a:t>Average sales price in euros</a:t>
                </a:r>
                <a:endParaRPr lang="nl-NL" sz="4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413290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'[pp_long (1).xlsx]NL &amp; DK'!$C$2</c:f>
              <c:strCache>
                <c:ptCount val="1"/>
                <c:pt idx="0">
                  <c:v>Denmark</c:v>
                </c:pt>
              </c:strCache>
            </c:strRef>
          </c:tx>
          <c:spPr>
            <a:ln w="28575" cap="rnd">
              <a:solidFill>
                <a:schemeClr val="accent1"/>
              </a:solidFill>
              <a:round/>
            </a:ln>
            <a:effectLst/>
          </c:spPr>
          <c:marker>
            <c:symbol val="none"/>
          </c:marker>
          <c:cat>
            <c:numRef>
              <c:f>'[pp_long (1).xlsx]NL &amp; DK'!$B$3:$B$74</c:f>
              <c:numCache>
                <c:formatCode>dd\.mm\.yyyy</c:formatCode>
                <c:ptCount val="72"/>
                <c:pt idx="0">
                  <c:v>29311</c:v>
                </c:pt>
                <c:pt idx="1">
                  <c:v>29402</c:v>
                </c:pt>
                <c:pt idx="2">
                  <c:v>29494</c:v>
                </c:pt>
                <c:pt idx="3">
                  <c:v>29586</c:v>
                </c:pt>
                <c:pt idx="4">
                  <c:v>29676</c:v>
                </c:pt>
                <c:pt idx="5">
                  <c:v>29767</c:v>
                </c:pt>
                <c:pt idx="6">
                  <c:v>29859</c:v>
                </c:pt>
                <c:pt idx="7">
                  <c:v>29951</c:v>
                </c:pt>
                <c:pt idx="8">
                  <c:v>30041</c:v>
                </c:pt>
                <c:pt idx="9">
                  <c:v>30132</c:v>
                </c:pt>
                <c:pt idx="10">
                  <c:v>30224</c:v>
                </c:pt>
                <c:pt idx="11">
                  <c:v>30316</c:v>
                </c:pt>
                <c:pt idx="12">
                  <c:v>30406</c:v>
                </c:pt>
                <c:pt idx="13">
                  <c:v>30497</c:v>
                </c:pt>
                <c:pt idx="14">
                  <c:v>30589</c:v>
                </c:pt>
                <c:pt idx="15">
                  <c:v>30681</c:v>
                </c:pt>
                <c:pt idx="16">
                  <c:v>30772</c:v>
                </c:pt>
                <c:pt idx="17">
                  <c:v>30863</c:v>
                </c:pt>
                <c:pt idx="18">
                  <c:v>30955</c:v>
                </c:pt>
                <c:pt idx="19">
                  <c:v>31047</c:v>
                </c:pt>
                <c:pt idx="20">
                  <c:v>31137</c:v>
                </c:pt>
                <c:pt idx="21">
                  <c:v>31228</c:v>
                </c:pt>
                <c:pt idx="22">
                  <c:v>31320</c:v>
                </c:pt>
                <c:pt idx="23">
                  <c:v>31412</c:v>
                </c:pt>
                <c:pt idx="24">
                  <c:v>31502</c:v>
                </c:pt>
                <c:pt idx="25">
                  <c:v>31593</c:v>
                </c:pt>
                <c:pt idx="26">
                  <c:v>31685</c:v>
                </c:pt>
                <c:pt idx="27">
                  <c:v>31777</c:v>
                </c:pt>
                <c:pt idx="28">
                  <c:v>31867</c:v>
                </c:pt>
                <c:pt idx="29">
                  <c:v>31958</c:v>
                </c:pt>
                <c:pt idx="30">
                  <c:v>32050</c:v>
                </c:pt>
                <c:pt idx="31">
                  <c:v>32142</c:v>
                </c:pt>
                <c:pt idx="32">
                  <c:v>32233</c:v>
                </c:pt>
                <c:pt idx="33">
                  <c:v>32324</c:v>
                </c:pt>
                <c:pt idx="34">
                  <c:v>32416</c:v>
                </c:pt>
                <c:pt idx="35">
                  <c:v>32508</c:v>
                </c:pt>
                <c:pt idx="36">
                  <c:v>32598</c:v>
                </c:pt>
                <c:pt idx="37">
                  <c:v>32689</c:v>
                </c:pt>
                <c:pt idx="38">
                  <c:v>32781</c:v>
                </c:pt>
                <c:pt idx="39">
                  <c:v>32873</c:v>
                </c:pt>
                <c:pt idx="40">
                  <c:v>32963</c:v>
                </c:pt>
                <c:pt idx="41">
                  <c:v>33054</c:v>
                </c:pt>
                <c:pt idx="42">
                  <c:v>33146</c:v>
                </c:pt>
                <c:pt idx="43">
                  <c:v>33238</c:v>
                </c:pt>
                <c:pt idx="44">
                  <c:v>33328</c:v>
                </c:pt>
                <c:pt idx="45">
                  <c:v>33419</c:v>
                </c:pt>
                <c:pt idx="46">
                  <c:v>33511</c:v>
                </c:pt>
                <c:pt idx="47">
                  <c:v>33603</c:v>
                </c:pt>
                <c:pt idx="48">
                  <c:v>33694</c:v>
                </c:pt>
                <c:pt idx="49">
                  <c:v>33785</c:v>
                </c:pt>
                <c:pt idx="50">
                  <c:v>33877</c:v>
                </c:pt>
                <c:pt idx="51">
                  <c:v>33969</c:v>
                </c:pt>
                <c:pt idx="52">
                  <c:v>34059</c:v>
                </c:pt>
                <c:pt idx="53">
                  <c:v>34150</c:v>
                </c:pt>
                <c:pt idx="54">
                  <c:v>34242</c:v>
                </c:pt>
                <c:pt idx="55">
                  <c:v>34334</c:v>
                </c:pt>
                <c:pt idx="56">
                  <c:v>34424</c:v>
                </c:pt>
                <c:pt idx="57">
                  <c:v>34515</c:v>
                </c:pt>
                <c:pt idx="58">
                  <c:v>34607</c:v>
                </c:pt>
                <c:pt idx="59">
                  <c:v>34699</c:v>
                </c:pt>
                <c:pt idx="60">
                  <c:v>34789</c:v>
                </c:pt>
                <c:pt idx="61">
                  <c:v>34880</c:v>
                </c:pt>
                <c:pt idx="62">
                  <c:v>34972</c:v>
                </c:pt>
                <c:pt idx="63">
                  <c:v>35064</c:v>
                </c:pt>
                <c:pt idx="64">
                  <c:v>35155</c:v>
                </c:pt>
                <c:pt idx="65">
                  <c:v>35246</c:v>
                </c:pt>
                <c:pt idx="66">
                  <c:v>35338</c:v>
                </c:pt>
                <c:pt idx="67">
                  <c:v>35430</c:v>
                </c:pt>
                <c:pt idx="68">
                  <c:v>35520</c:v>
                </c:pt>
                <c:pt idx="69">
                  <c:v>35611</c:v>
                </c:pt>
                <c:pt idx="70">
                  <c:v>35703</c:v>
                </c:pt>
                <c:pt idx="71">
                  <c:v>35795</c:v>
                </c:pt>
              </c:numCache>
            </c:numRef>
          </c:cat>
          <c:val>
            <c:numRef>
              <c:f>'[pp_long (1).xlsx]NL &amp; DK'!$C$3:$C$74</c:f>
              <c:numCache>
                <c:formatCode>General</c:formatCode>
                <c:ptCount val="72"/>
                <c:pt idx="0">
                  <c:v>57.991399999999999</c:v>
                </c:pt>
                <c:pt idx="1">
                  <c:v>56.221400000000003</c:v>
                </c:pt>
                <c:pt idx="2">
                  <c:v>57.191400000000002</c:v>
                </c:pt>
                <c:pt idx="3">
                  <c:v>57.281399999999998</c:v>
                </c:pt>
                <c:pt idx="4">
                  <c:v>56.931399999999996</c:v>
                </c:pt>
                <c:pt idx="5">
                  <c:v>54.631399999999999</c:v>
                </c:pt>
                <c:pt idx="6">
                  <c:v>52.691299999999998</c:v>
                </c:pt>
                <c:pt idx="7">
                  <c:v>53.661299999999997</c:v>
                </c:pt>
                <c:pt idx="8">
                  <c:v>53.221299999999999</c:v>
                </c:pt>
                <c:pt idx="9">
                  <c:v>53.661299999999997</c:v>
                </c:pt>
                <c:pt idx="10">
                  <c:v>52.4313</c:v>
                </c:pt>
                <c:pt idx="11">
                  <c:v>53.661299999999997</c:v>
                </c:pt>
                <c:pt idx="12">
                  <c:v>58.2515</c:v>
                </c:pt>
                <c:pt idx="13">
                  <c:v>65.581599999999995</c:v>
                </c:pt>
                <c:pt idx="14">
                  <c:v>66.461699999999993</c:v>
                </c:pt>
                <c:pt idx="15">
                  <c:v>68.401700000000005</c:v>
                </c:pt>
                <c:pt idx="16">
                  <c:v>72.291799999999995</c:v>
                </c:pt>
                <c:pt idx="17">
                  <c:v>73.791799999999995</c:v>
                </c:pt>
                <c:pt idx="18">
                  <c:v>74.581900000000005</c:v>
                </c:pt>
                <c:pt idx="19">
                  <c:v>77.931899999999999</c:v>
                </c:pt>
                <c:pt idx="20">
                  <c:v>81.022000000000006</c:v>
                </c:pt>
                <c:pt idx="21">
                  <c:v>84.732100000000003</c:v>
                </c:pt>
                <c:pt idx="22">
                  <c:v>90.732299999999995</c:v>
                </c:pt>
                <c:pt idx="23">
                  <c:v>92.942300000000003</c:v>
                </c:pt>
                <c:pt idx="24">
                  <c:v>98.242500000000007</c:v>
                </c:pt>
                <c:pt idx="25">
                  <c:v>98.592500000000001</c:v>
                </c:pt>
                <c:pt idx="26">
                  <c:v>96.032399999999996</c:v>
                </c:pt>
                <c:pt idx="27">
                  <c:v>97.442400000000006</c:v>
                </c:pt>
                <c:pt idx="28">
                  <c:v>91.002300000000005</c:v>
                </c:pt>
                <c:pt idx="29">
                  <c:v>90.822299999999998</c:v>
                </c:pt>
                <c:pt idx="30">
                  <c:v>90.202299999999994</c:v>
                </c:pt>
                <c:pt idx="31">
                  <c:v>89.322199999999995</c:v>
                </c:pt>
                <c:pt idx="32">
                  <c:v>90.562299999999993</c:v>
                </c:pt>
                <c:pt idx="33">
                  <c:v>90.292299999999997</c:v>
                </c:pt>
                <c:pt idx="34">
                  <c:v>91.972300000000004</c:v>
                </c:pt>
                <c:pt idx="35">
                  <c:v>92.672300000000007</c:v>
                </c:pt>
                <c:pt idx="36">
                  <c:v>91.792299999999997</c:v>
                </c:pt>
                <c:pt idx="37">
                  <c:v>91.972300000000004</c:v>
                </c:pt>
                <c:pt idx="38">
                  <c:v>90.202299999999994</c:v>
                </c:pt>
                <c:pt idx="39">
                  <c:v>88.882199999999997</c:v>
                </c:pt>
                <c:pt idx="40">
                  <c:v>84.822100000000006</c:v>
                </c:pt>
                <c:pt idx="41">
                  <c:v>85.1721</c:v>
                </c:pt>
                <c:pt idx="42">
                  <c:v>83.052099999999996</c:v>
                </c:pt>
                <c:pt idx="43">
                  <c:v>82.522099999999995</c:v>
                </c:pt>
                <c:pt idx="44">
                  <c:v>84.202100000000002</c:v>
                </c:pt>
                <c:pt idx="45">
                  <c:v>85.262100000000004</c:v>
                </c:pt>
                <c:pt idx="46">
                  <c:v>84.912099999999995</c:v>
                </c:pt>
                <c:pt idx="47">
                  <c:v>85.5321</c:v>
                </c:pt>
                <c:pt idx="48">
                  <c:v>84.952100000000002</c:v>
                </c:pt>
                <c:pt idx="49">
                  <c:v>84.952100000000002</c:v>
                </c:pt>
                <c:pt idx="50">
                  <c:v>83.332099999999997</c:v>
                </c:pt>
                <c:pt idx="51">
                  <c:v>81.182000000000002</c:v>
                </c:pt>
                <c:pt idx="52">
                  <c:v>80.111999999999995</c:v>
                </c:pt>
                <c:pt idx="53">
                  <c:v>79.572000000000003</c:v>
                </c:pt>
                <c:pt idx="54">
                  <c:v>83.332099999999997</c:v>
                </c:pt>
                <c:pt idx="55">
                  <c:v>88.172200000000004</c:v>
                </c:pt>
                <c:pt idx="56">
                  <c:v>93.282300000000006</c:v>
                </c:pt>
                <c:pt idx="57">
                  <c:v>93.282300000000006</c:v>
                </c:pt>
                <c:pt idx="58">
                  <c:v>91.942300000000003</c:v>
                </c:pt>
                <c:pt idx="59">
                  <c:v>93.282300000000006</c:v>
                </c:pt>
                <c:pt idx="60">
                  <c:v>95.432400000000001</c:v>
                </c:pt>
                <c:pt idx="61">
                  <c:v>98.922499999999999</c:v>
                </c:pt>
                <c:pt idx="62">
                  <c:v>101.3425</c:v>
                </c:pt>
                <c:pt idx="63">
                  <c:v>104.3026</c:v>
                </c:pt>
                <c:pt idx="64">
                  <c:v>105.9126</c:v>
                </c:pt>
                <c:pt idx="65">
                  <c:v>108.6027</c:v>
                </c:pt>
                <c:pt idx="66">
                  <c:v>111.83280000000001</c:v>
                </c:pt>
                <c:pt idx="67">
                  <c:v>116.4029</c:v>
                </c:pt>
                <c:pt idx="68">
                  <c:v>119.35299999999999</c:v>
                </c:pt>
                <c:pt idx="69">
                  <c:v>122.5831</c:v>
                </c:pt>
                <c:pt idx="70">
                  <c:v>125.2731</c:v>
                </c:pt>
                <c:pt idx="71">
                  <c:v>126.61320000000001</c:v>
                </c:pt>
              </c:numCache>
            </c:numRef>
          </c:val>
          <c:smooth val="0"/>
          <c:extLst>
            <c:ext xmlns:c16="http://schemas.microsoft.com/office/drawing/2014/chart" uri="{C3380CC4-5D6E-409C-BE32-E72D297353CC}">
              <c16:uniqueId val="{00000000-2312-47D7-9C29-525C0422B214}"/>
            </c:ext>
          </c:extLst>
        </c:ser>
        <c:ser>
          <c:idx val="1"/>
          <c:order val="1"/>
          <c:tx>
            <c:strRef>
              <c:f>'[pp_long (1).xlsx]NL &amp; DK'!$D$2</c:f>
              <c:strCache>
                <c:ptCount val="1"/>
                <c:pt idx="0">
                  <c:v>Netherlands</c:v>
                </c:pt>
              </c:strCache>
            </c:strRef>
          </c:tx>
          <c:spPr>
            <a:ln w="28575" cap="rnd">
              <a:solidFill>
                <a:schemeClr val="accent2"/>
              </a:solidFill>
              <a:round/>
            </a:ln>
            <a:effectLst/>
          </c:spPr>
          <c:marker>
            <c:symbol val="none"/>
          </c:marker>
          <c:cat>
            <c:numRef>
              <c:f>'[pp_long (1).xlsx]NL &amp; DK'!$B$3:$B$74</c:f>
              <c:numCache>
                <c:formatCode>dd\.mm\.yyyy</c:formatCode>
                <c:ptCount val="72"/>
                <c:pt idx="0">
                  <c:v>29311</c:v>
                </c:pt>
                <c:pt idx="1">
                  <c:v>29402</c:v>
                </c:pt>
                <c:pt idx="2">
                  <c:v>29494</c:v>
                </c:pt>
                <c:pt idx="3">
                  <c:v>29586</c:v>
                </c:pt>
                <c:pt idx="4">
                  <c:v>29676</c:v>
                </c:pt>
                <c:pt idx="5">
                  <c:v>29767</c:v>
                </c:pt>
                <c:pt idx="6">
                  <c:v>29859</c:v>
                </c:pt>
                <c:pt idx="7">
                  <c:v>29951</c:v>
                </c:pt>
                <c:pt idx="8">
                  <c:v>30041</c:v>
                </c:pt>
                <c:pt idx="9">
                  <c:v>30132</c:v>
                </c:pt>
                <c:pt idx="10">
                  <c:v>30224</c:v>
                </c:pt>
                <c:pt idx="11">
                  <c:v>30316</c:v>
                </c:pt>
                <c:pt idx="12">
                  <c:v>30406</c:v>
                </c:pt>
                <c:pt idx="13">
                  <c:v>30497</c:v>
                </c:pt>
                <c:pt idx="14">
                  <c:v>30589</c:v>
                </c:pt>
                <c:pt idx="15">
                  <c:v>30681</c:v>
                </c:pt>
                <c:pt idx="16">
                  <c:v>30772</c:v>
                </c:pt>
                <c:pt idx="17">
                  <c:v>30863</c:v>
                </c:pt>
                <c:pt idx="18">
                  <c:v>30955</c:v>
                </c:pt>
                <c:pt idx="19">
                  <c:v>31047</c:v>
                </c:pt>
                <c:pt idx="20">
                  <c:v>31137</c:v>
                </c:pt>
                <c:pt idx="21">
                  <c:v>31228</c:v>
                </c:pt>
                <c:pt idx="22">
                  <c:v>31320</c:v>
                </c:pt>
                <c:pt idx="23">
                  <c:v>31412</c:v>
                </c:pt>
                <c:pt idx="24">
                  <c:v>31502</c:v>
                </c:pt>
                <c:pt idx="25">
                  <c:v>31593</c:v>
                </c:pt>
                <c:pt idx="26">
                  <c:v>31685</c:v>
                </c:pt>
                <c:pt idx="27">
                  <c:v>31777</c:v>
                </c:pt>
                <c:pt idx="28">
                  <c:v>31867</c:v>
                </c:pt>
                <c:pt idx="29">
                  <c:v>31958</c:v>
                </c:pt>
                <c:pt idx="30">
                  <c:v>32050</c:v>
                </c:pt>
                <c:pt idx="31">
                  <c:v>32142</c:v>
                </c:pt>
                <c:pt idx="32">
                  <c:v>32233</c:v>
                </c:pt>
                <c:pt idx="33">
                  <c:v>32324</c:v>
                </c:pt>
                <c:pt idx="34">
                  <c:v>32416</c:v>
                </c:pt>
                <c:pt idx="35">
                  <c:v>32508</c:v>
                </c:pt>
                <c:pt idx="36">
                  <c:v>32598</c:v>
                </c:pt>
                <c:pt idx="37">
                  <c:v>32689</c:v>
                </c:pt>
                <c:pt idx="38">
                  <c:v>32781</c:v>
                </c:pt>
                <c:pt idx="39">
                  <c:v>32873</c:v>
                </c:pt>
                <c:pt idx="40">
                  <c:v>32963</c:v>
                </c:pt>
                <c:pt idx="41">
                  <c:v>33054</c:v>
                </c:pt>
                <c:pt idx="42">
                  <c:v>33146</c:v>
                </c:pt>
                <c:pt idx="43">
                  <c:v>33238</c:v>
                </c:pt>
                <c:pt idx="44">
                  <c:v>33328</c:v>
                </c:pt>
                <c:pt idx="45">
                  <c:v>33419</c:v>
                </c:pt>
                <c:pt idx="46">
                  <c:v>33511</c:v>
                </c:pt>
                <c:pt idx="47">
                  <c:v>33603</c:v>
                </c:pt>
                <c:pt idx="48">
                  <c:v>33694</c:v>
                </c:pt>
                <c:pt idx="49">
                  <c:v>33785</c:v>
                </c:pt>
                <c:pt idx="50">
                  <c:v>33877</c:v>
                </c:pt>
                <c:pt idx="51">
                  <c:v>33969</c:v>
                </c:pt>
                <c:pt idx="52">
                  <c:v>34059</c:v>
                </c:pt>
                <c:pt idx="53">
                  <c:v>34150</c:v>
                </c:pt>
                <c:pt idx="54">
                  <c:v>34242</c:v>
                </c:pt>
                <c:pt idx="55">
                  <c:v>34334</c:v>
                </c:pt>
                <c:pt idx="56">
                  <c:v>34424</c:v>
                </c:pt>
                <c:pt idx="57">
                  <c:v>34515</c:v>
                </c:pt>
                <c:pt idx="58">
                  <c:v>34607</c:v>
                </c:pt>
                <c:pt idx="59">
                  <c:v>34699</c:v>
                </c:pt>
                <c:pt idx="60">
                  <c:v>34789</c:v>
                </c:pt>
                <c:pt idx="61">
                  <c:v>34880</c:v>
                </c:pt>
                <c:pt idx="62">
                  <c:v>34972</c:v>
                </c:pt>
                <c:pt idx="63">
                  <c:v>35064</c:v>
                </c:pt>
                <c:pt idx="64">
                  <c:v>35155</c:v>
                </c:pt>
                <c:pt idx="65">
                  <c:v>35246</c:v>
                </c:pt>
                <c:pt idx="66">
                  <c:v>35338</c:v>
                </c:pt>
                <c:pt idx="67">
                  <c:v>35430</c:v>
                </c:pt>
                <c:pt idx="68">
                  <c:v>35520</c:v>
                </c:pt>
                <c:pt idx="69">
                  <c:v>35611</c:v>
                </c:pt>
                <c:pt idx="70">
                  <c:v>35703</c:v>
                </c:pt>
                <c:pt idx="71">
                  <c:v>35795</c:v>
                </c:pt>
              </c:numCache>
            </c:numRef>
          </c:cat>
          <c:val>
            <c:numRef>
              <c:f>'[pp_long (1).xlsx]NL &amp; DK'!$D$3:$D$74</c:f>
              <c:numCache>
                <c:formatCode>General</c:formatCode>
                <c:ptCount val="72"/>
                <c:pt idx="0">
                  <c:v>73.984499999999997</c:v>
                </c:pt>
                <c:pt idx="1">
                  <c:v>73.323999999999998</c:v>
                </c:pt>
                <c:pt idx="2">
                  <c:v>68.330299999999994</c:v>
                </c:pt>
                <c:pt idx="3">
                  <c:v>68.090199999999996</c:v>
                </c:pt>
                <c:pt idx="4">
                  <c:v>68.370400000000004</c:v>
                </c:pt>
                <c:pt idx="5">
                  <c:v>65.588300000000004</c:v>
                </c:pt>
                <c:pt idx="6">
                  <c:v>62.506</c:v>
                </c:pt>
                <c:pt idx="7">
                  <c:v>58.763300000000001</c:v>
                </c:pt>
                <c:pt idx="8">
                  <c:v>57.112099999999998</c:v>
                </c:pt>
                <c:pt idx="9">
                  <c:v>56.771799999999999</c:v>
                </c:pt>
                <c:pt idx="10">
                  <c:v>57.322200000000002</c:v>
                </c:pt>
                <c:pt idx="11">
                  <c:v>55.861199999999997</c:v>
                </c:pt>
                <c:pt idx="12">
                  <c:v>56.5717</c:v>
                </c:pt>
                <c:pt idx="13">
                  <c:v>58.703200000000002</c:v>
                </c:pt>
                <c:pt idx="14">
                  <c:v>58.8033</c:v>
                </c:pt>
                <c:pt idx="15">
                  <c:v>57.042000000000002</c:v>
                </c:pt>
                <c:pt idx="16">
                  <c:v>57.402299999999997</c:v>
                </c:pt>
                <c:pt idx="17">
                  <c:v>57.4223</c:v>
                </c:pt>
                <c:pt idx="18">
                  <c:v>57.7425</c:v>
                </c:pt>
                <c:pt idx="19">
                  <c:v>56.931899999999999</c:v>
                </c:pt>
                <c:pt idx="20">
                  <c:v>56.972000000000001</c:v>
                </c:pt>
                <c:pt idx="21">
                  <c:v>58.102800000000002</c:v>
                </c:pt>
                <c:pt idx="22">
                  <c:v>57.322200000000002</c:v>
                </c:pt>
                <c:pt idx="23">
                  <c:v>57.502400000000002</c:v>
                </c:pt>
                <c:pt idx="24">
                  <c:v>58.9634</c:v>
                </c:pt>
                <c:pt idx="25">
                  <c:v>59.994199999999999</c:v>
                </c:pt>
                <c:pt idx="26">
                  <c:v>61.064999999999998</c:v>
                </c:pt>
                <c:pt idx="27">
                  <c:v>60.794800000000002</c:v>
                </c:pt>
                <c:pt idx="28">
                  <c:v>62.105800000000002</c:v>
                </c:pt>
                <c:pt idx="29">
                  <c:v>63.506799999999998</c:v>
                </c:pt>
                <c:pt idx="30">
                  <c:v>63.246600000000001</c:v>
                </c:pt>
                <c:pt idx="31">
                  <c:v>63.3367</c:v>
                </c:pt>
                <c:pt idx="32">
                  <c:v>63.777000000000001</c:v>
                </c:pt>
                <c:pt idx="33">
                  <c:v>66.248800000000003</c:v>
                </c:pt>
                <c:pt idx="34">
                  <c:v>66.879300000000001</c:v>
                </c:pt>
                <c:pt idx="35">
                  <c:v>66.879300000000001</c:v>
                </c:pt>
                <c:pt idx="36">
                  <c:v>68.0501</c:v>
                </c:pt>
                <c:pt idx="37">
                  <c:v>70.441900000000004</c:v>
                </c:pt>
                <c:pt idx="38">
                  <c:v>71.432599999999994</c:v>
                </c:pt>
                <c:pt idx="39">
                  <c:v>71.422600000000003</c:v>
                </c:pt>
                <c:pt idx="40">
                  <c:v>71.272499999999994</c:v>
                </c:pt>
                <c:pt idx="41">
                  <c:v>73.594200000000001</c:v>
                </c:pt>
                <c:pt idx="42">
                  <c:v>71.432599999999994</c:v>
                </c:pt>
                <c:pt idx="43">
                  <c:v>70.6721</c:v>
                </c:pt>
                <c:pt idx="44">
                  <c:v>71.552700000000002</c:v>
                </c:pt>
                <c:pt idx="45">
                  <c:v>73.554199999999994</c:v>
                </c:pt>
                <c:pt idx="46">
                  <c:v>73.804400000000001</c:v>
                </c:pt>
                <c:pt idx="47">
                  <c:v>75.415599999999998</c:v>
                </c:pt>
                <c:pt idx="48">
                  <c:v>78.527900000000002</c:v>
                </c:pt>
                <c:pt idx="49">
                  <c:v>76.996700000000004</c:v>
                </c:pt>
                <c:pt idx="50">
                  <c:v>81.730199999999996</c:v>
                </c:pt>
                <c:pt idx="51">
                  <c:v>81.720200000000006</c:v>
                </c:pt>
                <c:pt idx="52">
                  <c:v>83.161299999999997</c:v>
                </c:pt>
                <c:pt idx="53">
                  <c:v>85.252799999999993</c:v>
                </c:pt>
                <c:pt idx="54">
                  <c:v>87.584500000000006</c:v>
                </c:pt>
                <c:pt idx="55">
                  <c:v>89.255799999999994</c:v>
                </c:pt>
                <c:pt idx="56">
                  <c:v>92.608199999999997</c:v>
                </c:pt>
                <c:pt idx="57">
                  <c:v>93.829099999999997</c:v>
                </c:pt>
                <c:pt idx="58">
                  <c:v>97.3917</c:v>
                </c:pt>
                <c:pt idx="59">
                  <c:v>96.130799999999994</c:v>
                </c:pt>
                <c:pt idx="60">
                  <c:v>97.411799999999999</c:v>
                </c:pt>
                <c:pt idx="61">
                  <c:v>98.588200000000001</c:v>
                </c:pt>
                <c:pt idx="62">
                  <c:v>101.4118</c:v>
                </c:pt>
                <c:pt idx="63">
                  <c:v>102.5882</c:v>
                </c:pt>
                <c:pt idx="64">
                  <c:v>105.4118</c:v>
                </c:pt>
                <c:pt idx="65">
                  <c:v>109.1765</c:v>
                </c:pt>
                <c:pt idx="66">
                  <c:v>112.94119999999999</c:v>
                </c:pt>
                <c:pt idx="67">
                  <c:v>115.2941</c:v>
                </c:pt>
                <c:pt idx="68">
                  <c:v>119.05880000000001</c:v>
                </c:pt>
                <c:pt idx="69">
                  <c:v>122.35290000000001</c:v>
                </c:pt>
                <c:pt idx="70">
                  <c:v>125.8824</c:v>
                </c:pt>
                <c:pt idx="71">
                  <c:v>128.47059999999999</c:v>
                </c:pt>
              </c:numCache>
            </c:numRef>
          </c:val>
          <c:smooth val="0"/>
          <c:extLst>
            <c:ext xmlns:c16="http://schemas.microsoft.com/office/drawing/2014/chart" uri="{C3380CC4-5D6E-409C-BE32-E72D297353CC}">
              <c16:uniqueId val="{00000001-2312-47D7-9C29-525C0422B214}"/>
            </c:ext>
          </c:extLst>
        </c:ser>
        <c:dLbls>
          <c:showLegendKey val="0"/>
          <c:showVal val="0"/>
          <c:showCatName val="0"/>
          <c:showSerName val="0"/>
          <c:showPercent val="0"/>
          <c:showBubbleSize val="0"/>
        </c:dLbls>
        <c:smooth val="0"/>
        <c:axId val="163873183"/>
        <c:axId val="163833183"/>
      </c:lineChart>
      <c:dateAx>
        <c:axId val="1638731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Year-Quarter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dd\.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63833183"/>
        <c:crosses val="autoZero"/>
        <c:auto val="1"/>
        <c:lblOffset val="100"/>
        <c:baseTimeUnit val="months"/>
      </c:dateAx>
      <c:valAx>
        <c:axId val="163833183"/>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Nominal</a:t>
                </a:r>
                <a:r>
                  <a:rPr lang="en-US" baseline="0"/>
                  <a:t> </a:t>
                </a:r>
                <a:r>
                  <a:rPr lang="en-US" baseline="0">
                    <a:solidFill>
                      <a:sysClr val="windowText" lastClr="000000"/>
                    </a:solidFill>
                  </a:rPr>
                  <a:t>House</a:t>
                </a:r>
                <a:r>
                  <a:rPr lang="en-US" baseline="0"/>
                  <a:t> Price Index (1995 = 100)</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638731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'[pp_long (1).xlsx]NL &amp; DK'!$C$2</c:f>
              <c:strCache>
                <c:ptCount val="1"/>
                <c:pt idx="0">
                  <c:v>Denmark</c:v>
                </c:pt>
              </c:strCache>
            </c:strRef>
          </c:tx>
          <c:spPr>
            <a:ln w="28575" cap="rnd">
              <a:solidFill>
                <a:schemeClr val="accent1"/>
              </a:solidFill>
              <a:round/>
            </a:ln>
            <a:effectLst/>
          </c:spPr>
          <c:marker>
            <c:symbol val="none"/>
          </c:marker>
          <c:cat>
            <c:numRef>
              <c:f>'[pp_long (1).xlsx]NL &amp; DK'!$B$3:$B$157</c:f>
              <c:numCache>
                <c:formatCode>dd\.mm\.yyyy</c:formatCode>
                <c:ptCount val="155"/>
                <c:pt idx="0">
                  <c:v>29311</c:v>
                </c:pt>
                <c:pt idx="1">
                  <c:v>29402</c:v>
                </c:pt>
                <c:pt idx="2">
                  <c:v>29494</c:v>
                </c:pt>
                <c:pt idx="3">
                  <c:v>29586</c:v>
                </c:pt>
                <c:pt idx="4">
                  <c:v>29676</c:v>
                </c:pt>
                <c:pt idx="5">
                  <c:v>29767</c:v>
                </c:pt>
                <c:pt idx="6">
                  <c:v>29859</c:v>
                </c:pt>
                <c:pt idx="7">
                  <c:v>29951</c:v>
                </c:pt>
                <c:pt idx="8">
                  <c:v>30041</c:v>
                </c:pt>
                <c:pt idx="9">
                  <c:v>30132</c:v>
                </c:pt>
                <c:pt idx="10">
                  <c:v>30224</c:v>
                </c:pt>
                <c:pt idx="11">
                  <c:v>30316</c:v>
                </c:pt>
                <c:pt idx="12">
                  <c:v>30406</c:v>
                </c:pt>
                <c:pt idx="13">
                  <c:v>30497</c:v>
                </c:pt>
                <c:pt idx="14">
                  <c:v>30589</c:v>
                </c:pt>
                <c:pt idx="15">
                  <c:v>30681</c:v>
                </c:pt>
                <c:pt idx="16">
                  <c:v>30772</c:v>
                </c:pt>
                <c:pt idx="17">
                  <c:v>30863</c:v>
                </c:pt>
                <c:pt idx="18">
                  <c:v>30955</c:v>
                </c:pt>
                <c:pt idx="19">
                  <c:v>31047</c:v>
                </c:pt>
                <c:pt idx="20">
                  <c:v>31137</c:v>
                </c:pt>
                <c:pt idx="21">
                  <c:v>31228</c:v>
                </c:pt>
                <c:pt idx="22">
                  <c:v>31320</c:v>
                </c:pt>
                <c:pt idx="23">
                  <c:v>31412</c:v>
                </c:pt>
                <c:pt idx="24">
                  <c:v>31502</c:v>
                </c:pt>
                <c:pt idx="25">
                  <c:v>31593</c:v>
                </c:pt>
                <c:pt idx="26">
                  <c:v>31685</c:v>
                </c:pt>
                <c:pt idx="27">
                  <c:v>31777</c:v>
                </c:pt>
                <c:pt idx="28">
                  <c:v>31867</c:v>
                </c:pt>
                <c:pt idx="29">
                  <c:v>31958</c:v>
                </c:pt>
                <c:pt idx="30">
                  <c:v>32050</c:v>
                </c:pt>
                <c:pt idx="31">
                  <c:v>32142</c:v>
                </c:pt>
                <c:pt idx="32">
                  <c:v>32233</c:v>
                </c:pt>
                <c:pt idx="33">
                  <c:v>32324</c:v>
                </c:pt>
                <c:pt idx="34">
                  <c:v>32416</c:v>
                </c:pt>
                <c:pt idx="35">
                  <c:v>32508</c:v>
                </c:pt>
                <c:pt idx="36">
                  <c:v>32598</c:v>
                </c:pt>
                <c:pt idx="37">
                  <c:v>32689</c:v>
                </c:pt>
                <c:pt idx="38">
                  <c:v>32781</c:v>
                </c:pt>
                <c:pt idx="39">
                  <c:v>32873</c:v>
                </c:pt>
                <c:pt idx="40">
                  <c:v>32963</c:v>
                </c:pt>
                <c:pt idx="41">
                  <c:v>33054</c:v>
                </c:pt>
                <c:pt idx="42">
                  <c:v>33146</c:v>
                </c:pt>
                <c:pt idx="43">
                  <c:v>33238</c:v>
                </c:pt>
                <c:pt idx="44">
                  <c:v>33328</c:v>
                </c:pt>
                <c:pt idx="45">
                  <c:v>33419</c:v>
                </c:pt>
                <c:pt idx="46">
                  <c:v>33511</c:v>
                </c:pt>
                <c:pt idx="47">
                  <c:v>33603</c:v>
                </c:pt>
                <c:pt idx="48">
                  <c:v>33694</c:v>
                </c:pt>
                <c:pt idx="49">
                  <c:v>33785</c:v>
                </c:pt>
                <c:pt idx="50">
                  <c:v>33877</c:v>
                </c:pt>
                <c:pt idx="51">
                  <c:v>33969</c:v>
                </c:pt>
                <c:pt idx="52">
                  <c:v>34059</c:v>
                </c:pt>
                <c:pt idx="53">
                  <c:v>34150</c:v>
                </c:pt>
                <c:pt idx="54">
                  <c:v>34242</c:v>
                </c:pt>
                <c:pt idx="55">
                  <c:v>34334</c:v>
                </c:pt>
                <c:pt idx="56">
                  <c:v>34424</c:v>
                </c:pt>
                <c:pt idx="57">
                  <c:v>34515</c:v>
                </c:pt>
                <c:pt idx="58">
                  <c:v>34607</c:v>
                </c:pt>
                <c:pt idx="59">
                  <c:v>34699</c:v>
                </c:pt>
                <c:pt idx="60">
                  <c:v>34789</c:v>
                </c:pt>
                <c:pt idx="61">
                  <c:v>34880</c:v>
                </c:pt>
                <c:pt idx="62">
                  <c:v>34972</c:v>
                </c:pt>
                <c:pt idx="63">
                  <c:v>35064</c:v>
                </c:pt>
                <c:pt idx="64">
                  <c:v>35155</c:v>
                </c:pt>
                <c:pt idx="65">
                  <c:v>35246</c:v>
                </c:pt>
                <c:pt idx="66">
                  <c:v>35338</c:v>
                </c:pt>
                <c:pt idx="67">
                  <c:v>35430</c:v>
                </c:pt>
                <c:pt idx="68">
                  <c:v>35520</c:v>
                </c:pt>
                <c:pt idx="69">
                  <c:v>35611</c:v>
                </c:pt>
                <c:pt idx="70">
                  <c:v>35703</c:v>
                </c:pt>
                <c:pt idx="71">
                  <c:v>35795</c:v>
                </c:pt>
                <c:pt idx="72">
                  <c:v>35885</c:v>
                </c:pt>
                <c:pt idx="73">
                  <c:v>35976</c:v>
                </c:pt>
                <c:pt idx="74">
                  <c:v>36068</c:v>
                </c:pt>
                <c:pt idx="75">
                  <c:v>36160</c:v>
                </c:pt>
                <c:pt idx="76">
                  <c:v>36250</c:v>
                </c:pt>
                <c:pt idx="77">
                  <c:v>36341</c:v>
                </c:pt>
                <c:pt idx="78">
                  <c:v>36433</c:v>
                </c:pt>
                <c:pt idx="79">
                  <c:v>36525</c:v>
                </c:pt>
                <c:pt idx="80">
                  <c:v>36616</c:v>
                </c:pt>
                <c:pt idx="81">
                  <c:v>36707</c:v>
                </c:pt>
                <c:pt idx="82">
                  <c:v>36799</c:v>
                </c:pt>
                <c:pt idx="83">
                  <c:v>36891</c:v>
                </c:pt>
                <c:pt idx="84">
                  <c:v>36981</c:v>
                </c:pt>
                <c:pt idx="85">
                  <c:v>37072</c:v>
                </c:pt>
                <c:pt idx="86">
                  <c:v>37164</c:v>
                </c:pt>
                <c:pt idx="87">
                  <c:v>37256</c:v>
                </c:pt>
                <c:pt idx="88">
                  <c:v>37346</c:v>
                </c:pt>
                <c:pt idx="89">
                  <c:v>37437</c:v>
                </c:pt>
                <c:pt idx="90">
                  <c:v>37529</c:v>
                </c:pt>
                <c:pt idx="91">
                  <c:v>37621</c:v>
                </c:pt>
                <c:pt idx="92">
                  <c:v>37711</c:v>
                </c:pt>
                <c:pt idx="93">
                  <c:v>37802</c:v>
                </c:pt>
                <c:pt idx="94">
                  <c:v>37894</c:v>
                </c:pt>
                <c:pt idx="95">
                  <c:v>37986</c:v>
                </c:pt>
                <c:pt idx="96">
                  <c:v>38077</c:v>
                </c:pt>
                <c:pt idx="97">
                  <c:v>38168</c:v>
                </c:pt>
                <c:pt idx="98">
                  <c:v>38260</c:v>
                </c:pt>
                <c:pt idx="99">
                  <c:v>38352</c:v>
                </c:pt>
                <c:pt idx="100">
                  <c:v>38442</c:v>
                </c:pt>
                <c:pt idx="101">
                  <c:v>38533</c:v>
                </c:pt>
                <c:pt idx="102">
                  <c:v>38625</c:v>
                </c:pt>
                <c:pt idx="103">
                  <c:v>38717</c:v>
                </c:pt>
                <c:pt idx="104">
                  <c:v>38807</c:v>
                </c:pt>
                <c:pt idx="105">
                  <c:v>38898</c:v>
                </c:pt>
                <c:pt idx="106">
                  <c:v>38990</c:v>
                </c:pt>
                <c:pt idx="107">
                  <c:v>39082</c:v>
                </c:pt>
                <c:pt idx="108">
                  <c:v>39172</c:v>
                </c:pt>
                <c:pt idx="109">
                  <c:v>39263</c:v>
                </c:pt>
                <c:pt idx="110">
                  <c:v>39355</c:v>
                </c:pt>
                <c:pt idx="111">
                  <c:v>39447</c:v>
                </c:pt>
                <c:pt idx="112">
                  <c:v>39538</c:v>
                </c:pt>
                <c:pt idx="113">
                  <c:v>39629</c:v>
                </c:pt>
                <c:pt idx="114">
                  <c:v>39721</c:v>
                </c:pt>
                <c:pt idx="115">
                  <c:v>39813</c:v>
                </c:pt>
                <c:pt idx="116">
                  <c:v>39903</c:v>
                </c:pt>
                <c:pt idx="117">
                  <c:v>39994</c:v>
                </c:pt>
                <c:pt idx="118">
                  <c:v>40086</c:v>
                </c:pt>
                <c:pt idx="119">
                  <c:v>40178</c:v>
                </c:pt>
                <c:pt idx="120">
                  <c:v>40268</c:v>
                </c:pt>
                <c:pt idx="121">
                  <c:v>40359</c:v>
                </c:pt>
                <c:pt idx="122">
                  <c:v>40451</c:v>
                </c:pt>
                <c:pt idx="123">
                  <c:v>40543</c:v>
                </c:pt>
                <c:pt idx="124">
                  <c:v>40633</c:v>
                </c:pt>
                <c:pt idx="125">
                  <c:v>40724</c:v>
                </c:pt>
                <c:pt idx="126">
                  <c:v>40816</c:v>
                </c:pt>
                <c:pt idx="127">
                  <c:v>40908</c:v>
                </c:pt>
                <c:pt idx="128">
                  <c:v>40999</c:v>
                </c:pt>
                <c:pt idx="129">
                  <c:v>41090</c:v>
                </c:pt>
                <c:pt idx="130">
                  <c:v>41182</c:v>
                </c:pt>
                <c:pt idx="131">
                  <c:v>41274</c:v>
                </c:pt>
                <c:pt idx="132">
                  <c:v>41364</c:v>
                </c:pt>
                <c:pt idx="133">
                  <c:v>41455</c:v>
                </c:pt>
                <c:pt idx="134">
                  <c:v>41547</c:v>
                </c:pt>
                <c:pt idx="135">
                  <c:v>41639</c:v>
                </c:pt>
                <c:pt idx="136">
                  <c:v>41729</c:v>
                </c:pt>
                <c:pt idx="137">
                  <c:v>41820</c:v>
                </c:pt>
                <c:pt idx="138">
                  <c:v>41912</c:v>
                </c:pt>
                <c:pt idx="139">
                  <c:v>42004</c:v>
                </c:pt>
                <c:pt idx="140">
                  <c:v>42094</c:v>
                </c:pt>
                <c:pt idx="141">
                  <c:v>42185</c:v>
                </c:pt>
                <c:pt idx="142">
                  <c:v>42277</c:v>
                </c:pt>
                <c:pt idx="143">
                  <c:v>42369</c:v>
                </c:pt>
                <c:pt idx="144">
                  <c:v>42460</c:v>
                </c:pt>
                <c:pt idx="145">
                  <c:v>42551</c:v>
                </c:pt>
                <c:pt idx="146">
                  <c:v>42643</c:v>
                </c:pt>
                <c:pt idx="147">
                  <c:v>42735</c:v>
                </c:pt>
                <c:pt idx="148">
                  <c:v>42825</c:v>
                </c:pt>
                <c:pt idx="149">
                  <c:v>42916</c:v>
                </c:pt>
                <c:pt idx="150">
                  <c:v>43008</c:v>
                </c:pt>
                <c:pt idx="151">
                  <c:v>43100</c:v>
                </c:pt>
                <c:pt idx="152">
                  <c:v>43190</c:v>
                </c:pt>
                <c:pt idx="153">
                  <c:v>43281</c:v>
                </c:pt>
                <c:pt idx="154">
                  <c:v>43373</c:v>
                </c:pt>
              </c:numCache>
            </c:numRef>
          </c:cat>
          <c:val>
            <c:numRef>
              <c:f>'[pp_long (1).xlsx]NL &amp; DK'!$C$3:$C$157</c:f>
              <c:numCache>
                <c:formatCode>General</c:formatCode>
                <c:ptCount val="155"/>
                <c:pt idx="0">
                  <c:v>57.991399999999999</c:v>
                </c:pt>
                <c:pt idx="1">
                  <c:v>56.221400000000003</c:v>
                </c:pt>
                <c:pt idx="2">
                  <c:v>57.191400000000002</c:v>
                </c:pt>
                <c:pt idx="3">
                  <c:v>57.281399999999998</c:v>
                </c:pt>
                <c:pt idx="4">
                  <c:v>56.931399999999996</c:v>
                </c:pt>
                <c:pt idx="5">
                  <c:v>54.631399999999999</c:v>
                </c:pt>
                <c:pt idx="6">
                  <c:v>52.691299999999998</c:v>
                </c:pt>
                <c:pt idx="7">
                  <c:v>53.661299999999997</c:v>
                </c:pt>
                <c:pt idx="8">
                  <c:v>53.221299999999999</c:v>
                </c:pt>
                <c:pt idx="9">
                  <c:v>53.661299999999997</c:v>
                </c:pt>
                <c:pt idx="10">
                  <c:v>52.4313</c:v>
                </c:pt>
                <c:pt idx="11">
                  <c:v>53.661299999999997</c:v>
                </c:pt>
                <c:pt idx="12">
                  <c:v>58.2515</c:v>
                </c:pt>
                <c:pt idx="13">
                  <c:v>65.581599999999995</c:v>
                </c:pt>
                <c:pt idx="14">
                  <c:v>66.461699999999993</c:v>
                </c:pt>
                <c:pt idx="15">
                  <c:v>68.401700000000005</c:v>
                </c:pt>
                <c:pt idx="16">
                  <c:v>72.291799999999995</c:v>
                </c:pt>
                <c:pt idx="17">
                  <c:v>73.791799999999995</c:v>
                </c:pt>
                <c:pt idx="18">
                  <c:v>74.581900000000005</c:v>
                </c:pt>
                <c:pt idx="19">
                  <c:v>77.931899999999999</c:v>
                </c:pt>
                <c:pt idx="20">
                  <c:v>81.022000000000006</c:v>
                </c:pt>
                <c:pt idx="21">
                  <c:v>84.732100000000003</c:v>
                </c:pt>
                <c:pt idx="22">
                  <c:v>90.732299999999995</c:v>
                </c:pt>
                <c:pt idx="23">
                  <c:v>92.942300000000003</c:v>
                </c:pt>
                <c:pt idx="24">
                  <c:v>98.242500000000007</c:v>
                </c:pt>
                <c:pt idx="25">
                  <c:v>98.592500000000001</c:v>
                </c:pt>
                <c:pt idx="26">
                  <c:v>96.032399999999996</c:v>
                </c:pt>
                <c:pt idx="27">
                  <c:v>97.442400000000006</c:v>
                </c:pt>
                <c:pt idx="28">
                  <c:v>91.002300000000005</c:v>
                </c:pt>
                <c:pt idx="29">
                  <c:v>90.822299999999998</c:v>
                </c:pt>
                <c:pt idx="30">
                  <c:v>90.202299999999994</c:v>
                </c:pt>
                <c:pt idx="31">
                  <c:v>89.322199999999995</c:v>
                </c:pt>
                <c:pt idx="32">
                  <c:v>90.562299999999993</c:v>
                </c:pt>
                <c:pt idx="33">
                  <c:v>90.292299999999997</c:v>
                </c:pt>
                <c:pt idx="34">
                  <c:v>91.972300000000004</c:v>
                </c:pt>
                <c:pt idx="35">
                  <c:v>92.672300000000007</c:v>
                </c:pt>
                <c:pt idx="36">
                  <c:v>91.792299999999997</c:v>
                </c:pt>
                <c:pt idx="37">
                  <c:v>91.972300000000004</c:v>
                </c:pt>
                <c:pt idx="38">
                  <c:v>90.202299999999994</c:v>
                </c:pt>
                <c:pt idx="39">
                  <c:v>88.882199999999997</c:v>
                </c:pt>
                <c:pt idx="40">
                  <c:v>84.822100000000006</c:v>
                </c:pt>
                <c:pt idx="41">
                  <c:v>85.1721</c:v>
                </c:pt>
                <c:pt idx="42">
                  <c:v>83.052099999999996</c:v>
                </c:pt>
                <c:pt idx="43">
                  <c:v>82.522099999999995</c:v>
                </c:pt>
                <c:pt idx="44">
                  <c:v>84.202100000000002</c:v>
                </c:pt>
                <c:pt idx="45">
                  <c:v>85.262100000000004</c:v>
                </c:pt>
                <c:pt idx="46">
                  <c:v>84.912099999999995</c:v>
                </c:pt>
                <c:pt idx="47">
                  <c:v>85.5321</c:v>
                </c:pt>
                <c:pt idx="48">
                  <c:v>84.952100000000002</c:v>
                </c:pt>
                <c:pt idx="49">
                  <c:v>84.952100000000002</c:v>
                </c:pt>
                <c:pt idx="50">
                  <c:v>83.332099999999997</c:v>
                </c:pt>
                <c:pt idx="51">
                  <c:v>81.182000000000002</c:v>
                </c:pt>
                <c:pt idx="52">
                  <c:v>80.111999999999995</c:v>
                </c:pt>
                <c:pt idx="53">
                  <c:v>79.572000000000003</c:v>
                </c:pt>
                <c:pt idx="54">
                  <c:v>83.332099999999997</c:v>
                </c:pt>
                <c:pt idx="55">
                  <c:v>88.172200000000004</c:v>
                </c:pt>
                <c:pt idx="56">
                  <c:v>93.282300000000006</c:v>
                </c:pt>
                <c:pt idx="57">
                  <c:v>93.282300000000006</c:v>
                </c:pt>
                <c:pt idx="58">
                  <c:v>91.942300000000003</c:v>
                </c:pt>
                <c:pt idx="59">
                  <c:v>93.282300000000006</c:v>
                </c:pt>
                <c:pt idx="60">
                  <c:v>95.432400000000001</c:v>
                </c:pt>
                <c:pt idx="61">
                  <c:v>98.922499999999999</c:v>
                </c:pt>
                <c:pt idx="62">
                  <c:v>101.3425</c:v>
                </c:pt>
                <c:pt idx="63">
                  <c:v>104.3026</c:v>
                </c:pt>
                <c:pt idx="64">
                  <c:v>105.9126</c:v>
                </c:pt>
                <c:pt idx="65">
                  <c:v>108.6027</c:v>
                </c:pt>
                <c:pt idx="66">
                  <c:v>111.83280000000001</c:v>
                </c:pt>
                <c:pt idx="67">
                  <c:v>116.4029</c:v>
                </c:pt>
                <c:pt idx="68">
                  <c:v>119.35299999999999</c:v>
                </c:pt>
                <c:pt idx="69">
                  <c:v>122.5831</c:v>
                </c:pt>
                <c:pt idx="70">
                  <c:v>125.2731</c:v>
                </c:pt>
                <c:pt idx="71">
                  <c:v>126.61320000000001</c:v>
                </c:pt>
                <c:pt idx="72">
                  <c:v>129.03319999999999</c:v>
                </c:pt>
                <c:pt idx="73">
                  <c:v>134.4134</c:v>
                </c:pt>
                <c:pt idx="74">
                  <c:v>136.29339999999999</c:v>
                </c:pt>
                <c:pt idx="75">
                  <c:v>138.4435</c:v>
                </c:pt>
                <c:pt idx="76">
                  <c:v>140.59350000000001</c:v>
                </c:pt>
                <c:pt idx="77">
                  <c:v>142.74359999999999</c:v>
                </c:pt>
                <c:pt idx="78">
                  <c:v>145.43360000000001</c:v>
                </c:pt>
                <c:pt idx="79">
                  <c:v>145.70359999999999</c:v>
                </c:pt>
                <c:pt idx="80">
                  <c:v>147.8537</c:v>
                </c:pt>
                <c:pt idx="81">
                  <c:v>151.88380000000001</c:v>
                </c:pt>
                <c:pt idx="82">
                  <c:v>155.38390000000001</c:v>
                </c:pt>
                <c:pt idx="83">
                  <c:v>156.72389999999999</c:v>
                </c:pt>
                <c:pt idx="84">
                  <c:v>159.684</c:v>
                </c:pt>
                <c:pt idx="85">
                  <c:v>161.834</c:v>
                </c:pt>
                <c:pt idx="86">
                  <c:v>163.7141</c:v>
                </c:pt>
                <c:pt idx="87">
                  <c:v>162.3741</c:v>
                </c:pt>
                <c:pt idx="88">
                  <c:v>164.7841</c:v>
                </c:pt>
                <c:pt idx="89">
                  <c:v>168.01419999999999</c:v>
                </c:pt>
                <c:pt idx="90">
                  <c:v>169.0942</c:v>
                </c:pt>
                <c:pt idx="91">
                  <c:v>169.0942</c:v>
                </c:pt>
                <c:pt idx="92">
                  <c:v>168.6728</c:v>
                </c:pt>
                <c:pt idx="93">
                  <c:v>172.28530000000001</c:v>
                </c:pt>
                <c:pt idx="94">
                  <c:v>175.34190000000001</c:v>
                </c:pt>
                <c:pt idx="95">
                  <c:v>175.89769999999999</c:v>
                </c:pt>
                <c:pt idx="96">
                  <c:v>181.73320000000001</c:v>
                </c:pt>
                <c:pt idx="97">
                  <c:v>189.79169999999999</c:v>
                </c:pt>
                <c:pt idx="98">
                  <c:v>195.905</c:v>
                </c:pt>
                <c:pt idx="99">
                  <c:v>200.62899999999999</c:v>
                </c:pt>
                <c:pt idx="100">
                  <c:v>209.79900000000001</c:v>
                </c:pt>
                <c:pt idx="101">
                  <c:v>220.91419999999999</c:v>
                </c:pt>
                <c:pt idx="102">
                  <c:v>237.8648</c:v>
                </c:pt>
                <c:pt idx="103">
                  <c:v>253.42609999999999</c:v>
                </c:pt>
                <c:pt idx="104">
                  <c:v>271.48820000000001</c:v>
                </c:pt>
                <c:pt idx="105">
                  <c:v>287.88310000000001</c:v>
                </c:pt>
                <c:pt idx="106">
                  <c:v>293.71859999999998</c:v>
                </c:pt>
                <c:pt idx="107">
                  <c:v>290.6619</c:v>
                </c:pt>
                <c:pt idx="108">
                  <c:v>291.77339999999998</c:v>
                </c:pt>
                <c:pt idx="109">
                  <c:v>295.66370000000001</c:v>
                </c:pt>
                <c:pt idx="110">
                  <c:v>296.21949999999998</c:v>
                </c:pt>
                <c:pt idx="111">
                  <c:v>290.6619</c:v>
                </c:pt>
                <c:pt idx="112">
                  <c:v>286.77159999999998</c:v>
                </c:pt>
                <c:pt idx="113">
                  <c:v>287.88310000000001</c:v>
                </c:pt>
                <c:pt idx="114">
                  <c:v>280.38040000000001</c:v>
                </c:pt>
                <c:pt idx="115">
                  <c:v>258.42790000000002</c:v>
                </c:pt>
                <c:pt idx="116">
                  <c:v>242.03299999999999</c:v>
                </c:pt>
                <c:pt idx="117">
                  <c:v>245.08969999999999</c:v>
                </c:pt>
                <c:pt idx="118">
                  <c:v>247.03479999999999</c:v>
                </c:pt>
                <c:pt idx="119">
                  <c:v>245.92330000000001</c:v>
                </c:pt>
                <c:pt idx="120">
                  <c:v>247.59059999999999</c:v>
                </c:pt>
                <c:pt idx="121">
                  <c:v>252.87029999999999</c:v>
                </c:pt>
                <c:pt idx="122">
                  <c:v>254.81549999999999</c:v>
                </c:pt>
                <c:pt idx="123">
                  <c:v>252.31450000000001</c:v>
                </c:pt>
                <c:pt idx="124">
                  <c:v>249.81360000000001</c:v>
                </c:pt>
                <c:pt idx="125">
                  <c:v>255.37119999999999</c:v>
                </c:pt>
                <c:pt idx="126">
                  <c:v>247.03479999999999</c:v>
                </c:pt>
                <c:pt idx="127">
                  <c:v>238.14269999999999</c:v>
                </c:pt>
                <c:pt idx="128">
                  <c:v>238.14269999999999</c:v>
                </c:pt>
                <c:pt idx="129">
                  <c:v>241.7551</c:v>
                </c:pt>
                <c:pt idx="130">
                  <c:v>242.58879999999999</c:v>
                </c:pt>
                <c:pt idx="131">
                  <c:v>241.47720000000001</c:v>
                </c:pt>
                <c:pt idx="132">
                  <c:v>244.53389999999999</c:v>
                </c:pt>
                <c:pt idx="133">
                  <c:v>253.42609999999999</c:v>
                </c:pt>
                <c:pt idx="134">
                  <c:v>253.42609999999999</c:v>
                </c:pt>
                <c:pt idx="135">
                  <c:v>249.81360000000001</c:v>
                </c:pt>
                <c:pt idx="136">
                  <c:v>253.42609999999999</c:v>
                </c:pt>
                <c:pt idx="137">
                  <c:v>263.15179999999998</c:v>
                </c:pt>
                <c:pt idx="138">
                  <c:v>261.76249999999999</c:v>
                </c:pt>
                <c:pt idx="139">
                  <c:v>260.65089999999998</c:v>
                </c:pt>
                <c:pt idx="140">
                  <c:v>270.37670000000003</c:v>
                </c:pt>
                <c:pt idx="141">
                  <c:v>279.54669999999999</c:v>
                </c:pt>
                <c:pt idx="142">
                  <c:v>280.6583</c:v>
                </c:pt>
                <c:pt idx="143">
                  <c:v>280.6583</c:v>
                </c:pt>
                <c:pt idx="144">
                  <c:v>286.2158</c:v>
                </c:pt>
                <c:pt idx="145">
                  <c:v>293.44069999999999</c:v>
                </c:pt>
                <c:pt idx="146">
                  <c:v>297.33100000000002</c:v>
                </c:pt>
                <c:pt idx="147">
                  <c:v>292.6071</c:v>
                </c:pt>
                <c:pt idx="148">
                  <c:v>298.99829999999997</c:v>
                </c:pt>
                <c:pt idx="149">
                  <c:v>307.05680000000001</c:v>
                </c:pt>
                <c:pt idx="150">
                  <c:v>311.22500000000002</c:v>
                </c:pt>
                <c:pt idx="151">
                  <c:v>305.3895</c:v>
                </c:pt>
                <c:pt idx="152">
                  <c:v>316.7826</c:v>
                </c:pt>
                <c:pt idx="153">
                  <c:v>321.2287</c:v>
                </c:pt>
                <c:pt idx="154">
                  <c:v>322.34019999999998</c:v>
                </c:pt>
              </c:numCache>
            </c:numRef>
          </c:val>
          <c:smooth val="0"/>
          <c:extLst>
            <c:ext xmlns:c16="http://schemas.microsoft.com/office/drawing/2014/chart" uri="{C3380CC4-5D6E-409C-BE32-E72D297353CC}">
              <c16:uniqueId val="{00000000-BBC0-4E15-8BEF-6B337BA55F56}"/>
            </c:ext>
          </c:extLst>
        </c:ser>
        <c:ser>
          <c:idx val="1"/>
          <c:order val="1"/>
          <c:tx>
            <c:strRef>
              <c:f>'[pp_long (1).xlsx]NL &amp; DK'!$D$2</c:f>
              <c:strCache>
                <c:ptCount val="1"/>
                <c:pt idx="0">
                  <c:v>Netherlands</c:v>
                </c:pt>
              </c:strCache>
            </c:strRef>
          </c:tx>
          <c:spPr>
            <a:ln w="28575" cap="rnd">
              <a:solidFill>
                <a:schemeClr val="accent2"/>
              </a:solidFill>
              <a:round/>
            </a:ln>
            <a:effectLst/>
          </c:spPr>
          <c:marker>
            <c:symbol val="none"/>
          </c:marker>
          <c:cat>
            <c:numRef>
              <c:f>'[pp_long (1).xlsx]NL &amp; DK'!$B$3:$B$157</c:f>
              <c:numCache>
                <c:formatCode>dd\.mm\.yyyy</c:formatCode>
                <c:ptCount val="155"/>
                <c:pt idx="0">
                  <c:v>29311</c:v>
                </c:pt>
                <c:pt idx="1">
                  <c:v>29402</c:v>
                </c:pt>
                <c:pt idx="2">
                  <c:v>29494</c:v>
                </c:pt>
                <c:pt idx="3">
                  <c:v>29586</c:v>
                </c:pt>
                <c:pt idx="4">
                  <c:v>29676</c:v>
                </c:pt>
                <c:pt idx="5">
                  <c:v>29767</c:v>
                </c:pt>
                <c:pt idx="6">
                  <c:v>29859</c:v>
                </c:pt>
                <c:pt idx="7">
                  <c:v>29951</c:v>
                </c:pt>
                <c:pt idx="8">
                  <c:v>30041</c:v>
                </c:pt>
                <c:pt idx="9">
                  <c:v>30132</c:v>
                </c:pt>
                <c:pt idx="10">
                  <c:v>30224</c:v>
                </c:pt>
                <c:pt idx="11">
                  <c:v>30316</c:v>
                </c:pt>
                <c:pt idx="12">
                  <c:v>30406</c:v>
                </c:pt>
                <c:pt idx="13">
                  <c:v>30497</c:v>
                </c:pt>
                <c:pt idx="14">
                  <c:v>30589</c:v>
                </c:pt>
                <c:pt idx="15">
                  <c:v>30681</c:v>
                </c:pt>
                <c:pt idx="16">
                  <c:v>30772</c:v>
                </c:pt>
                <c:pt idx="17">
                  <c:v>30863</c:v>
                </c:pt>
                <c:pt idx="18">
                  <c:v>30955</c:v>
                </c:pt>
                <c:pt idx="19">
                  <c:v>31047</c:v>
                </c:pt>
                <c:pt idx="20">
                  <c:v>31137</c:v>
                </c:pt>
                <c:pt idx="21">
                  <c:v>31228</c:v>
                </c:pt>
                <c:pt idx="22">
                  <c:v>31320</c:v>
                </c:pt>
                <c:pt idx="23">
                  <c:v>31412</c:v>
                </c:pt>
                <c:pt idx="24">
                  <c:v>31502</c:v>
                </c:pt>
                <c:pt idx="25">
                  <c:v>31593</c:v>
                </c:pt>
                <c:pt idx="26">
                  <c:v>31685</c:v>
                </c:pt>
                <c:pt idx="27">
                  <c:v>31777</c:v>
                </c:pt>
                <c:pt idx="28">
                  <c:v>31867</c:v>
                </c:pt>
                <c:pt idx="29">
                  <c:v>31958</c:v>
                </c:pt>
                <c:pt idx="30">
                  <c:v>32050</c:v>
                </c:pt>
                <c:pt idx="31">
                  <c:v>32142</c:v>
                </c:pt>
                <c:pt idx="32">
                  <c:v>32233</c:v>
                </c:pt>
                <c:pt idx="33">
                  <c:v>32324</c:v>
                </c:pt>
                <c:pt idx="34">
                  <c:v>32416</c:v>
                </c:pt>
                <c:pt idx="35">
                  <c:v>32508</c:v>
                </c:pt>
                <c:pt idx="36">
                  <c:v>32598</c:v>
                </c:pt>
                <c:pt idx="37">
                  <c:v>32689</c:v>
                </c:pt>
                <c:pt idx="38">
                  <c:v>32781</c:v>
                </c:pt>
                <c:pt idx="39">
                  <c:v>32873</c:v>
                </c:pt>
                <c:pt idx="40">
                  <c:v>32963</c:v>
                </c:pt>
                <c:pt idx="41">
                  <c:v>33054</c:v>
                </c:pt>
                <c:pt idx="42">
                  <c:v>33146</c:v>
                </c:pt>
                <c:pt idx="43">
                  <c:v>33238</c:v>
                </c:pt>
                <c:pt idx="44">
                  <c:v>33328</c:v>
                </c:pt>
                <c:pt idx="45">
                  <c:v>33419</c:v>
                </c:pt>
                <c:pt idx="46">
                  <c:v>33511</c:v>
                </c:pt>
                <c:pt idx="47">
                  <c:v>33603</c:v>
                </c:pt>
                <c:pt idx="48">
                  <c:v>33694</c:v>
                </c:pt>
                <c:pt idx="49">
                  <c:v>33785</c:v>
                </c:pt>
                <c:pt idx="50">
                  <c:v>33877</c:v>
                </c:pt>
                <c:pt idx="51">
                  <c:v>33969</c:v>
                </c:pt>
                <c:pt idx="52">
                  <c:v>34059</c:v>
                </c:pt>
                <c:pt idx="53">
                  <c:v>34150</c:v>
                </c:pt>
                <c:pt idx="54">
                  <c:v>34242</c:v>
                </c:pt>
                <c:pt idx="55">
                  <c:v>34334</c:v>
                </c:pt>
                <c:pt idx="56">
                  <c:v>34424</c:v>
                </c:pt>
                <c:pt idx="57">
                  <c:v>34515</c:v>
                </c:pt>
                <c:pt idx="58">
                  <c:v>34607</c:v>
                </c:pt>
                <c:pt idx="59">
                  <c:v>34699</c:v>
                </c:pt>
                <c:pt idx="60">
                  <c:v>34789</c:v>
                </c:pt>
                <c:pt idx="61">
                  <c:v>34880</c:v>
                </c:pt>
                <c:pt idx="62">
                  <c:v>34972</c:v>
                </c:pt>
                <c:pt idx="63">
                  <c:v>35064</c:v>
                </c:pt>
                <c:pt idx="64">
                  <c:v>35155</c:v>
                </c:pt>
                <c:pt idx="65">
                  <c:v>35246</c:v>
                </c:pt>
                <c:pt idx="66">
                  <c:v>35338</c:v>
                </c:pt>
                <c:pt idx="67">
                  <c:v>35430</c:v>
                </c:pt>
                <c:pt idx="68">
                  <c:v>35520</c:v>
                </c:pt>
                <c:pt idx="69">
                  <c:v>35611</c:v>
                </c:pt>
                <c:pt idx="70">
                  <c:v>35703</c:v>
                </c:pt>
                <c:pt idx="71">
                  <c:v>35795</c:v>
                </c:pt>
                <c:pt idx="72">
                  <c:v>35885</c:v>
                </c:pt>
                <c:pt idx="73">
                  <c:v>35976</c:v>
                </c:pt>
                <c:pt idx="74">
                  <c:v>36068</c:v>
                </c:pt>
                <c:pt idx="75">
                  <c:v>36160</c:v>
                </c:pt>
                <c:pt idx="76">
                  <c:v>36250</c:v>
                </c:pt>
                <c:pt idx="77">
                  <c:v>36341</c:v>
                </c:pt>
                <c:pt idx="78">
                  <c:v>36433</c:v>
                </c:pt>
                <c:pt idx="79">
                  <c:v>36525</c:v>
                </c:pt>
                <c:pt idx="80">
                  <c:v>36616</c:v>
                </c:pt>
                <c:pt idx="81">
                  <c:v>36707</c:v>
                </c:pt>
                <c:pt idx="82">
                  <c:v>36799</c:v>
                </c:pt>
                <c:pt idx="83">
                  <c:v>36891</c:v>
                </c:pt>
                <c:pt idx="84">
                  <c:v>36981</c:v>
                </c:pt>
                <c:pt idx="85">
                  <c:v>37072</c:v>
                </c:pt>
                <c:pt idx="86">
                  <c:v>37164</c:v>
                </c:pt>
                <c:pt idx="87">
                  <c:v>37256</c:v>
                </c:pt>
                <c:pt idx="88">
                  <c:v>37346</c:v>
                </c:pt>
                <c:pt idx="89">
                  <c:v>37437</c:v>
                </c:pt>
                <c:pt idx="90">
                  <c:v>37529</c:v>
                </c:pt>
                <c:pt idx="91">
                  <c:v>37621</c:v>
                </c:pt>
                <c:pt idx="92">
                  <c:v>37711</c:v>
                </c:pt>
                <c:pt idx="93">
                  <c:v>37802</c:v>
                </c:pt>
                <c:pt idx="94">
                  <c:v>37894</c:v>
                </c:pt>
                <c:pt idx="95">
                  <c:v>37986</c:v>
                </c:pt>
                <c:pt idx="96">
                  <c:v>38077</c:v>
                </c:pt>
                <c:pt idx="97">
                  <c:v>38168</c:v>
                </c:pt>
                <c:pt idx="98">
                  <c:v>38260</c:v>
                </c:pt>
                <c:pt idx="99">
                  <c:v>38352</c:v>
                </c:pt>
                <c:pt idx="100">
                  <c:v>38442</c:v>
                </c:pt>
                <c:pt idx="101">
                  <c:v>38533</c:v>
                </c:pt>
                <c:pt idx="102">
                  <c:v>38625</c:v>
                </c:pt>
                <c:pt idx="103">
                  <c:v>38717</c:v>
                </c:pt>
                <c:pt idx="104">
                  <c:v>38807</c:v>
                </c:pt>
                <c:pt idx="105">
                  <c:v>38898</c:v>
                </c:pt>
                <c:pt idx="106">
                  <c:v>38990</c:v>
                </c:pt>
                <c:pt idx="107">
                  <c:v>39082</c:v>
                </c:pt>
                <c:pt idx="108">
                  <c:v>39172</c:v>
                </c:pt>
                <c:pt idx="109">
                  <c:v>39263</c:v>
                </c:pt>
                <c:pt idx="110">
                  <c:v>39355</c:v>
                </c:pt>
                <c:pt idx="111">
                  <c:v>39447</c:v>
                </c:pt>
                <c:pt idx="112">
                  <c:v>39538</c:v>
                </c:pt>
                <c:pt idx="113">
                  <c:v>39629</c:v>
                </c:pt>
                <c:pt idx="114">
                  <c:v>39721</c:v>
                </c:pt>
                <c:pt idx="115">
                  <c:v>39813</c:v>
                </c:pt>
                <c:pt idx="116">
                  <c:v>39903</c:v>
                </c:pt>
                <c:pt idx="117">
                  <c:v>39994</c:v>
                </c:pt>
                <c:pt idx="118">
                  <c:v>40086</c:v>
                </c:pt>
                <c:pt idx="119">
                  <c:v>40178</c:v>
                </c:pt>
                <c:pt idx="120">
                  <c:v>40268</c:v>
                </c:pt>
                <c:pt idx="121">
                  <c:v>40359</c:v>
                </c:pt>
                <c:pt idx="122">
                  <c:v>40451</c:v>
                </c:pt>
                <c:pt idx="123">
                  <c:v>40543</c:v>
                </c:pt>
                <c:pt idx="124">
                  <c:v>40633</c:v>
                </c:pt>
                <c:pt idx="125">
                  <c:v>40724</c:v>
                </c:pt>
                <c:pt idx="126">
                  <c:v>40816</c:v>
                </c:pt>
                <c:pt idx="127">
                  <c:v>40908</c:v>
                </c:pt>
                <c:pt idx="128">
                  <c:v>40999</c:v>
                </c:pt>
                <c:pt idx="129">
                  <c:v>41090</c:v>
                </c:pt>
                <c:pt idx="130">
                  <c:v>41182</c:v>
                </c:pt>
                <c:pt idx="131">
                  <c:v>41274</c:v>
                </c:pt>
                <c:pt idx="132">
                  <c:v>41364</c:v>
                </c:pt>
                <c:pt idx="133">
                  <c:v>41455</c:v>
                </c:pt>
                <c:pt idx="134">
                  <c:v>41547</c:v>
                </c:pt>
                <c:pt idx="135">
                  <c:v>41639</c:v>
                </c:pt>
                <c:pt idx="136">
                  <c:v>41729</c:v>
                </c:pt>
                <c:pt idx="137">
                  <c:v>41820</c:v>
                </c:pt>
                <c:pt idx="138">
                  <c:v>41912</c:v>
                </c:pt>
                <c:pt idx="139">
                  <c:v>42004</c:v>
                </c:pt>
                <c:pt idx="140">
                  <c:v>42094</c:v>
                </c:pt>
                <c:pt idx="141">
                  <c:v>42185</c:v>
                </c:pt>
                <c:pt idx="142">
                  <c:v>42277</c:v>
                </c:pt>
                <c:pt idx="143">
                  <c:v>42369</c:v>
                </c:pt>
                <c:pt idx="144">
                  <c:v>42460</c:v>
                </c:pt>
                <c:pt idx="145">
                  <c:v>42551</c:v>
                </c:pt>
                <c:pt idx="146">
                  <c:v>42643</c:v>
                </c:pt>
                <c:pt idx="147">
                  <c:v>42735</c:v>
                </c:pt>
                <c:pt idx="148">
                  <c:v>42825</c:v>
                </c:pt>
                <c:pt idx="149">
                  <c:v>42916</c:v>
                </c:pt>
                <c:pt idx="150">
                  <c:v>43008</c:v>
                </c:pt>
                <c:pt idx="151">
                  <c:v>43100</c:v>
                </c:pt>
                <c:pt idx="152">
                  <c:v>43190</c:v>
                </c:pt>
                <c:pt idx="153">
                  <c:v>43281</c:v>
                </c:pt>
                <c:pt idx="154">
                  <c:v>43373</c:v>
                </c:pt>
              </c:numCache>
            </c:numRef>
          </c:cat>
          <c:val>
            <c:numRef>
              <c:f>'[pp_long (1).xlsx]NL &amp; DK'!$D$3:$D$157</c:f>
              <c:numCache>
                <c:formatCode>General</c:formatCode>
                <c:ptCount val="155"/>
                <c:pt idx="0">
                  <c:v>73.984499999999997</c:v>
                </c:pt>
                <c:pt idx="1">
                  <c:v>73.323999999999998</c:v>
                </c:pt>
                <c:pt idx="2">
                  <c:v>68.330299999999994</c:v>
                </c:pt>
                <c:pt idx="3">
                  <c:v>68.090199999999996</c:v>
                </c:pt>
                <c:pt idx="4">
                  <c:v>68.370400000000004</c:v>
                </c:pt>
                <c:pt idx="5">
                  <c:v>65.588300000000004</c:v>
                </c:pt>
                <c:pt idx="6">
                  <c:v>62.506</c:v>
                </c:pt>
                <c:pt idx="7">
                  <c:v>58.763300000000001</c:v>
                </c:pt>
                <c:pt idx="8">
                  <c:v>57.112099999999998</c:v>
                </c:pt>
                <c:pt idx="9">
                  <c:v>56.771799999999999</c:v>
                </c:pt>
                <c:pt idx="10">
                  <c:v>57.322200000000002</c:v>
                </c:pt>
                <c:pt idx="11">
                  <c:v>55.861199999999997</c:v>
                </c:pt>
                <c:pt idx="12">
                  <c:v>56.5717</c:v>
                </c:pt>
                <c:pt idx="13">
                  <c:v>58.703200000000002</c:v>
                </c:pt>
                <c:pt idx="14">
                  <c:v>58.8033</c:v>
                </c:pt>
                <c:pt idx="15">
                  <c:v>57.042000000000002</c:v>
                </c:pt>
                <c:pt idx="16">
                  <c:v>57.402299999999997</c:v>
                </c:pt>
                <c:pt idx="17">
                  <c:v>57.4223</c:v>
                </c:pt>
                <c:pt idx="18">
                  <c:v>57.7425</c:v>
                </c:pt>
                <c:pt idx="19">
                  <c:v>56.931899999999999</c:v>
                </c:pt>
                <c:pt idx="20">
                  <c:v>56.972000000000001</c:v>
                </c:pt>
                <c:pt idx="21">
                  <c:v>58.102800000000002</c:v>
                </c:pt>
                <c:pt idx="22">
                  <c:v>57.322200000000002</c:v>
                </c:pt>
                <c:pt idx="23">
                  <c:v>57.502400000000002</c:v>
                </c:pt>
                <c:pt idx="24">
                  <c:v>58.9634</c:v>
                </c:pt>
                <c:pt idx="25">
                  <c:v>59.994199999999999</c:v>
                </c:pt>
                <c:pt idx="26">
                  <c:v>61.064999999999998</c:v>
                </c:pt>
                <c:pt idx="27">
                  <c:v>60.794800000000002</c:v>
                </c:pt>
                <c:pt idx="28">
                  <c:v>62.105800000000002</c:v>
                </c:pt>
                <c:pt idx="29">
                  <c:v>63.506799999999998</c:v>
                </c:pt>
                <c:pt idx="30">
                  <c:v>63.246600000000001</c:v>
                </c:pt>
                <c:pt idx="31">
                  <c:v>63.3367</c:v>
                </c:pt>
                <c:pt idx="32">
                  <c:v>63.777000000000001</c:v>
                </c:pt>
                <c:pt idx="33">
                  <c:v>66.248800000000003</c:v>
                </c:pt>
                <c:pt idx="34">
                  <c:v>66.879300000000001</c:v>
                </c:pt>
                <c:pt idx="35">
                  <c:v>66.879300000000001</c:v>
                </c:pt>
                <c:pt idx="36">
                  <c:v>68.0501</c:v>
                </c:pt>
                <c:pt idx="37">
                  <c:v>70.441900000000004</c:v>
                </c:pt>
                <c:pt idx="38">
                  <c:v>71.432599999999994</c:v>
                </c:pt>
                <c:pt idx="39">
                  <c:v>71.422600000000003</c:v>
                </c:pt>
                <c:pt idx="40">
                  <c:v>71.272499999999994</c:v>
                </c:pt>
                <c:pt idx="41">
                  <c:v>73.594200000000001</c:v>
                </c:pt>
                <c:pt idx="42">
                  <c:v>71.432599999999994</c:v>
                </c:pt>
                <c:pt idx="43">
                  <c:v>70.6721</c:v>
                </c:pt>
                <c:pt idx="44">
                  <c:v>71.552700000000002</c:v>
                </c:pt>
                <c:pt idx="45">
                  <c:v>73.554199999999994</c:v>
                </c:pt>
                <c:pt idx="46">
                  <c:v>73.804400000000001</c:v>
                </c:pt>
                <c:pt idx="47">
                  <c:v>75.415599999999998</c:v>
                </c:pt>
                <c:pt idx="48">
                  <c:v>78.527900000000002</c:v>
                </c:pt>
                <c:pt idx="49">
                  <c:v>76.996700000000004</c:v>
                </c:pt>
                <c:pt idx="50">
                  <c:v>81.730199999999996</c:v>
                </c:pt>
                <c:pt idx="51">
                  <c:v>81.720200000000006</c:v>
                </c:pt>
                <c:pt idx="52">
                  <c:v>83.161299999999997</c:v>
                </c:pt>
                <c:pt idx="53">
                  <c:v>85.252799999999993</c:v>
                </c:pt>
                <c:pt idx="54">
                  <c:v>87.584500000000006</c:v>
                </c:pt>
                <c:pt idx="55">
                  <c:v>89.255799999999994</c:v>
                </c:pt>
                <c:pt idx="56">
                  <c:v>92.608199999999997</c:v>
                </c:pt>
                <c:pt idx="57">
                  <c:v>93.829099999999997</c:v>
                </c:pt>
                <c:pt idx="58">
                  <c:v>97.3917</c:v>
                </c:pt>
                <c:pt idx="59">
                  <c:v>96.130799999999994</c:v>
                </c:pt>
                <c:pt idx="60">
                  <c:v>97.411799999999999</c:v>
                </c:pt>
                <c:pt idx="61">
                  <c:v>98.588200000000001</c:v>
                </c:pt>
                <c:pt idx="62">
                  <c:v>101.4118</c:v>
                </c:pt>
                <c:pt idx="63">
                  <c:v>102.5882</c:v>
                </c:pt>
                <c:pt idx="64">
                  <c:v>105.4118</c:v>
                </c:pt>
                <c:pt idx="65">
                  <c:v>109.1765</c:v>
                </c:pt>
                <c:pt idx="66">
                  <c:v>112.94119999999999</c:v>
                </c:pt>
                <c:pt idx="67">
                  <c:v>115.2941</c:v>
                </c:pt>
                <c:pt idx="68">
                  <c:v>119.05880000000001</c:v>
                </c:pt>
                <c:pt idx="69">
                  <c:v>122.35290000000001</c:v>
                </c:pt>
                <c:pt idx="70">
                  <c:v>125.8824</c:v>
                </c:pt>
                <c:pt idx="71">
                  <c:v>128.47059999999999</c:v>
                </c:pt>
                <c:pt idx="72">
                  <c:v>131.52940000000001</c:v>
                </c:pt>
                <c:pt idx="73">
                  <c:v>135.05879999999999</c:v>
                </c:pt>
                <c:pt idx="74">
                  <c:v>139.52940000000001</c:v>
                </c:pt>
                <c:pt idx="75">
                  <c:v>143.52940000000001</c:v>
                </c:pt>
                <c:pt idx="76">
                  <c:v>149.1765</c:v>
                </c:pt>
                <c:pt idx="77">
                  <c:v>155.52940000000001</c:v>
                </c:pt>
                <c:pt idx="78">
                  <c:v>163.7647</c:v>
                </c:pt>
                <c:pt idx="79">
                  <c:v>170.8235</c:v>
                </c:pt>
                <c:pt idx="80">
                  <c:v>178.5882</c:v>
                </c:pt>
                <c:pt idx="81">
                  <c:v>185.64709999999999</c:v>
                </c:pt>
                <c:pt idx="82">
                  <c:v>193.64709999999999</c:v>
                </c:pt>
                <c:pt idx="83">
                  <c:v>198.11760000000001</c:v>
                </c:pt>
                <c:pt idx="84">
                  <c:v>202.8235</c:v>
                </c:pt>
                <c:pt idx="85">
                  <c:v>208.2353</c:v>
                </c:pt>
                <c:pt idx="86">
                  <c:v>213.64709999999999</c:v>
                </c:pt>
                <c:pt idx="87">
                  <c:v>215.52940000000001</c:v>
                </c:pt>
                <c:pt idx="88">
                  <c:v>219.29409999999999</c:v>
                </c:pt>
                <c:pt idx="89">
                  <c:v>222.35290000000001</c:v>
                </c:pt>
                <c:pt idx="90">
                  <c:v>226.11760000000001</c:v>
                </c:pt>
                <c:pt idx="91">
                  <c:v>225.88239999999999</c:v>
                </c:pt>
                <c:pt idx="92">
                  <c:v>228</c:v>
                </c:pt>
                <c:pt idx="93">
                  <c:v>230.35290000000001</c:v>
                </c:pt>
                <c:pt idx="94">
                  <c:v>232.47059999999999</c:v>
                </c:pt>
                <c:pt idx="95">
                  <c:v>235.05879999999999</c:v>
                </c:pt>
                <c:pt idx="96">
                  <c:v>237.64709999999999</c:v>
                </c:pt>
                <c:pt idx="97">
                  <c:v>240.2353</c:v>
                </c:pt>
                <c:pt idx="98">
                  <c:v>243.7647</c:v>
                </c:pt>
                <c:pt idx="99">
                  <c:v>244.47059999999999</c:v>
                </c:pt>
                <c:pt idx="100">
                  <c:v>246.8235</c:v>
                </c:pt>
                <c:pt idx="101">
                  <c:v>249.65899999999999</c:v>
                </c:pt>
                <c:pt idx="102">
                  <c:v>252.9906</c:v>
                </c:pt>
                <c:pt idx="103">
                  <c:v>254.2193</c:v>
                </c:pt>
                <c:pt idx="104">
                  <c:v>257.03100000000001</c:v>
                </c:pt>
                <c:pt idx="105">
                  <c:v>260.43369999999999</c:v>
                </c:pt>
                <c:pt idx="106">
                  <c:v>263.41070000000002</c:v>
                </c:pt>
                <c:pt idx="107">
                  <c:v>265.70260000000002</c:v>
                </c:pt>
                <c:pt idx="108">
                  <c:v>269.24689999999998</c:v>
                </c:pt>
                <c:pt idx="109">
                  <c:v>271.60980000000001</c:v>
                </c:pt>
                <c:pt idx="110">
                  <c:v>276.90269999999998</c:v>
                </c:pt>
                <c:pt idx="111">
                  <c:v>279.50170000000003</c:v>
                </c:pt>
                <c:pt idx="112">
                  <c:v>279.66730000000001</c:v>
                </c:pt>
                <c:pt idx="113">
                  <c:v>280.0924</c:v>
                </c:pt>
                <c:pt idx="114">
                  <c:v>283.68400000000003</c:v>
                </c:pt>
                <c:pt idx="115">
                  <c:v>277.87130000000002</c:v>
                </c:pt>
                <c:pt idx="116">
                  <c:v>274.98880000000003</c:v>
                </c:pt>
                <c:pt idx="117">
                  <c:v>267.07319999999999</c:v>
                </c:pt>
                <c:pt idx="118">
                  <c:v>264.73390000000001</c:v>
                </c:pt>
                <c:pt idx="119">
                  <c:v>264.52120000000002</c:v>
                </c:pt>
                <c:pt idx="120">
                  <c:v>263.71789999999999</c:v>
                </c:pt>
                <c:pt idx="121">
                  <c:v>263.41070000000002</c:v>
                </c:pt>
                <c:pt idx="122">
                  <c:v>263.64710000000002</c:v>
                </c:pt>
                <c:pt idx="123">
                  <c:v>262.1112</c:v>
                </c:pt>
                <c:pt idx="124">
                  <c:v>262.44209999999998</c:v>
                </c:pt>
                <c:pt idx="125">
                  <c:v>258.85039999999998</c:v>
                </c:pt>
                <c:pt idx="126">
                  <c:v>257.62169999999998</c:v>
                </c:pt>
                <c:pt idx="127">
                  <c:v>253.08500000000001</c:v>
                </c:pt>
                <c:pt idx="128">
                  <c:v>248.26490000000001</c:v>
                </c:pt>
                <c:pt idx="129">
                  <c:v>244.1534</c:v>
                </c:pt>
                <c:pt idx="130">
                  <c:v>234.65479999999999</c:v>
                </c:pt>
                <c:pt idx="131">
                  <c:v>235.64709999999999</c:v>
                </c:pt>
                <c:pt idx="132">
                  <c:v>229.244</c:v>
                </c:pt>
                <c:pt idx="133">
                  <c:v>224.5181</c:v>
                </c:pt>
                <c:pt idx="134">
                  <c:v>225.95949999999999</c:v>
                </c:pt>
                <c:pt idx="135">
                  <c:v>225.227</c:v>
                </c:pt>
                <c:pt idx="136">
                  <c:v>226.3612</c:v>
                </c:pt>
                <c:pt idx="137">
                  <c:v>227.37719999999999</c:v>
                </c:pt>
                <c:pt idx="138">
                  <c:v>228.84229999999999</c:v>
                </c:pt>
                <c:pt idx="139">
                  <c:v>229.78729999999999</c:v>
                </c:pt>
                <c:pt idx="140">
                  <c:v>232.19739999999999</c:v>
                </c:pt>
                <c:pt idx="141">
                  <c:v>234.25309999999999</c:v>
                </c:pt>
                <c:pt idx="142">
                  <c:v>238.9787</c:v>
                </c:pt>
                <c:pt idx="143">
                  <c:v>239.71129999999999</c:v>
                </c:pt>
                <c:pt idx="144">
                  <c:v>242.9247</c:v>
                </c:pt>
                <c:pt idx="145">
                  <c:v>244.74430000000001</c:v>
                </c:pt>
                <c:pt idx="146">
                  <c:v>250.84030000000001</c:v>
                </c:pt>
                <c:pt idx="147">
                  <c:v>254.054</c:v>
                </c:pt>
                <c:pt idx="148">
                  <c:v>259.13389999999998</c:v>
                </c:pt>
                <c:pt idx="149">
                  <c:v>263.19799999999998</c:v>
                </c:pt>
                <c:pt idx="150">
                  <c:v>269.41239999999999</c:v>
                </c:pt>
                <c:pt idx="151">
                  <c:v>275.6266</c:v>
                </c:pt>
                <c:pt idx="152">
                  <c:v>283.21159999999998</c:v>
                </c:pt>
                <c:pt idx="153">
                  <c:v>288.42989999999998</c:v>
                </c:pt>
                <c:pt idx="154">
                  <c:v>296.25729999999999</c:v>
                </c:pt>
              </c:numCache>
            </c:numRef>
          </c:val>
          <c:smooth val="0"/>
          <c:extLst>
            <c:ext xmlns:c16="http://schemas.microsoft.com/office/drawing/2014/chart" uri="{C3380CC4-5D6E-409C-BE32-E72D297353CC}">
              <c16:uniqueId val="{00000001-BBC0-4E15-8BEF-6B337BA55F56}"/>
            </c:ext>
          </c:extLst>
        </c:ser>
        <c:dLbls>
          <c:showLegendKey val="0"/>
          <c:showVal val="0"/>
          <c:showCatName val="0"/>
          <c:showSerName val="0"/>
          <c:showPercent val="0"/>
          <c:showBubbleSize val="0"/>
        </c:dLbls>
        <c:smooth val="0"/>
        <c:axId val="55769487"/>
        <c:axId val="46245183"/>
      </c:lineChart>
      <c:dateAx>
        <c:axId val="557694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Year-Quarter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dd\.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46245183"/>
        <c:crosses val="autoZero"/>
        <c:auto val="1"/>
        <c:lblOffset val="100"/>
        <c:baseTimeUnit val="months"/>
      </c:dateAx>
      <c:valAx>
        <c:axId val="46245183"/>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Nominal</a:t>
                </a:r>
                <a:r>
                  <a:rPr lang="nl-NL" baseline="0"/>
                  <a:t> House Price Index (1995 = 100)</a:t>
                </a:r>
                <a:endParaRPr lang="nl-NL"/>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5769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'[pp_long (1).xlsx]Blad1'!$D$2</c:f>
              <c:strCache>
                <c:ptCount val="1"/>
                <c:pt idx="0">
                  <c:v>Netherlands</c:v>
                </c:pt>
              </c:strCache>
            </c:strRef>
          </c:tx>
          <c:spPr>
            <a:ln w="28575" cap="rnd">
              <a:solidFill>
                <a:schemeClr val="accent2"/>
              </a:solidFill>
              <a:round/>
            </a:ln>
            <a:effectLst/>
          </c:spPr>
          <c:marker>
            <c:symbol val="none"/>
          </c:marker>
          <c:cat>
            <c:numRef>
              <c:f>'[pp_long (1).xlsx]Blad1'!$B$39:$B$61</c:f>
              <c:numCache>
                <c:formatCode>dd\.mm\.yyyy</c:formatCode>
                <c:ptCount val="23"/>
                <c:pt idx="0">
                  <c:v>41364</c:v>
                </c:pt>
                <c:pt idx="1">
                  <c:v>41455</c:v>
                </c:pt>
                <c:pt idx="2">
                  <c:v>41547</c:v>
                </c:pt>
                <c:pt idx="3">
                  <c:v>41639</c:v>
                </c:pt>
                <c:pt idx="4">
                  <c:v>41729</c:v>
                </c:pt>
                <c:pt idx="5">
                  <c:v>41820</c:v>
                </c:pt>
                <c:pt idx="6">
                  <c:v>41912</c:v>
                </c:pt>
                <c:pt idx="7">
                  <c:v>42004</c:v>
                </c:pt>
                <c:pt idx="8">
                  <c:v>42094</c:v>
                </c:pt>
                <c:pt idx="9">
                  <c:v>42185</c:v>
                </c:pt>
                <c:pt idx="10">
                  <c:v>42277</c:v>
                </c:pt>
                <c:pt idx="11">
                  <c:v>42369</c:v>
                </c:pt>
                <c:pt idx="12">
                  <c:v>42460</c:v>
                </c:pt>
                <c:pt idx="13">
                  <c:v>42551</c:v>
                </c:pt>
                <c:pt idx="14">
                  <c:v>42643</c:v>
                </c:pt>
                <c:pt idx="15">
                  <c:v>42735</c:v>
                </c:pt>
                <c:pt idx="16">
                  <c:v>42825</c:v>
                </c:pt>
                <c:pt idx="17">
                  <c:v>42916</c:v>
                </c:pt>
                <c:pt idx="18">
                  <c:v>43008</c:v>
                </c:pt>
                <c:pt idx="19">
                  <c:v>43100</c:v>
                </c:pt>
                <c:pt idx="20">
                  <c:v>43190</c:v>
                </c:pt>
                <c:pt idx="21">
                  <c:v>43281</c:v>
                </c:pt>
                <c:pt idx="22">
                  <c:v>43373</c:v>
                </c:pt>
              </c:numCache>
            </c:numRef>
          </c:cat>
          <c:val>
            <c:numRef>
              <c:f>'[pp_long (1).xlsx]Blad1'!$D$39:$D$61</c:f>
              <c:numCache>
                <c:formatCode>General</c:formatCode>
                <c:ptCount val="23"/>
                <c:pt idx="0">
                  <c:v>229.244</c:v>
                </c:pt>
                <c:pt idx="1">
                  <c:v>224.5181</c:v>
                </c:pt>
                <c:pt idx="2">
                  <c:v>225.95949999999999</c:v>
                </c:pt>
                <c:pt idx="3">
                  <c:v>225.227</c:v>
                </c:pt>
                <c:pt idx="4">
                  <c:v>226.3612</c:v>
                </c:pt>
                <c:pt idx="5">
                  <c:v>227.37719999999999</c:v>
                </c:pt>
                <c:pt idx="6">
                  <c:v>228.84229999999999</c:v>
                </c:pt>
                <c:pt idx="7">
                  <c:v>229.78729999999999</c:v>
                </c:pt>
                <c:pt idx="8">
                  <c:v>232.19739999999999</c:v>
                </c:pt>
                <c:pt idx="9">
                  <c:v>234.25309999999999</c:v>
                </c:pt>
                <c:pt idx="10">
                  <c:v>238.9787</c:v>
                </c:pt>
                <c:pt idx="11">
                  <c:v>239.71129999999999</c:v>
                </c:pt>
                <c:pt idx="12">
                  <c:v>242.9247</c:v>
                </c:pt>
                <c:pt idx="13">
                  <c:v>244.74430000000001</c:v>
                </c:pt>
                <c:pt idx="14">
                  <c:v>250.84030000000001</c:v>
                </c:pt>
                <c:pt idx="15">
                  <c:v>254.054</c:v>
                </c:pt>
                <c:pt idx="16">
                  <c:v>259.13389999999998</c:v>
                </c:pt>
                <c:pt idx="17">
                  <c:v>263.19799999999998</c:v>
                </c:pt>
                <c:pt idx="18">
                  <c:v>269.41239999999999</c:v>
                </c:pt>
                <c:pt idx="19">
                  <c:v>275.6266</c:v>
                </c:pt>
                <c:pt idx="20">
                  <c:v>283.21159999999998</c:v>
                </c:pt>
                <c:pt idx="21">
                  <c:v>288.42989999999998</c:v>
                </c:pt>
                <c:pt idx="22">
                  <c:v>296.25729999999999</c:v>
                </c:pt>
              </c:numCache>
            </c:numRef>
          </c:val>
          <c:smooth val="0"/>
          <c:extLst>
            <c:ext xmlns:c16="http://schemas.microsoft.com/office/drawing/2014/chart" uri="{C3380CC4-5D6E-409C-BE32-E72D297353CC}">
              <c16:uniqueId val="{00000000-C776-4169-862E-1AA20F1E7CB1}"/>
            </c:ext>
          </c:extLst>
        </c:ser>
        <c:dLbls>
          <c:showLegendKey val="0"/>
          <c:showVal val="0"/>
          <c:showCatName val="0"/>
          <c:showSerName val="0"/>
          <c:showPercent val="0"/>
          <c:showBubbleSize val="0"/>
        </c:dLbls>
        <c:smooth val="0"/>
        <c:axId val="403485936"/>
        <c:axId val="215104368"/>
      </c:lineChart>
      <c:dateAx>
        <c:axId val="403485936"/>
        <c:scaling>
          <c:orientation val="minMax"/>
        </c:scaling>
        <c:delete val="0"/>
        <c:axPos val="b"/>
        <c:numFmt formatCode="dd\.mm\.yyyy"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215104368"/>
        <c:crosses val="autoZero"/>
        <c:auto val="1"/>
        <c:lblOffset val="100"/>
        <c:baseTimeUnit val="months"/>
      </c:dateAx>
      <c:valAx>
        <c:axId val="215104368"/>
        <c:scaling>
          <c:orientation val="minMax"/>
          <c:min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403485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'[pp_long (1).xlsx]Blad1'!$C$2</c:f>
              <c:strCache>
                <c:ptCount val="1"/>
                <c:pt idx="0">
                  <c:v>Denmark</c:v>
                </c:pt>
              </c:strCache>
            </c:strRef>
          </c:tx>
          <c:spPr>
            <a:ln w="28575" cap="rnd">
              <a:solidFill>
                <a:schemeClr val="accent1"/>
              </a:solidFill>
              <a:round/>
            </a:ln>
            <a:effectLst/>
          </c:spPr>
          <c:marker>
            <c:symbol val="none"/>
          </c:marker>
          <c:cat>
            <c:numRef>
              <c:f>'[pp_long (1).xlsx]Blad1'!$B$3:$B$38</c:f>
              <c:numCache>
                <c:formatCode>dd\.mm\.yyyy</c:formatCode>
                <c:ptCount val="36"/>
                <c:pt idx="0">
                  <c:v>30041</c:v>
                </c:pt>
                <c:pt idx="1">
                  <c:v>30132</c:v>
                </c:pt>
                <c:pt idx="2">
                  <c:v>30224</c:v>
                </c:pt>
                <c:pt idx="3">
                  <c:v>30316</c:v>
                </c:pt>
                <c:pt idx="4">
                  <c:v>30406</c:v>
                </c:pt>
                <c:pt idx="5">
                  <c:v>30497</c:v>
                </c:pt>
                <c:pt idx="6">
                  <c:v>30589</c:v>
                </c:pt>
                <c:pt idx="7">
                  <c:v>30681</c:v>
                </c:pt>
                <c:pt idx="8">
                  <c:v>30772</c:v>
                </c:pt>
                <c:pt idx="9">
                  <c:v>30863</c:v>
                </c:pt>
                <c:pt idx="10">
                  <c:v>30955</c:v>
                </c:pt>
                <c:pt idx="11">
                  <c:v>31047</c:v>
                </c:pt>
                <c:pt idx="12">
                  <c:v>31137</c:v>
                </c:pt>
                <c:pt idx="13">
                  <c:v>31228</c:v>
                </c:pt>
                <c:pt idx="14">
                  <c:v>31320</c:v>
                </c:pt>
                <c:pt idx="15">
                  <c:v>31412</c:v>
                </c:pt>
                <c:pt idx="16">
                  <c:v>31502</c:v>
                </c:pt>
                <c:pt idx="17">
                  <c:v>31593</c:v>
                </c:pt>
                <c:pt idx="18">
                  <c:v>31685</c:v>
                </c:pt>
                <c:pt idx="19">
                  <c:v>31777</c:v>
                </c:pt>
                <c:pt idx="20">
                  <c:v>31867</c:v>
                </c:pt>
                <c:pt idx="21">
                  <c:v>31958</c:v>
                </c:pt>
                <c:pt idx="22">
                  <c:v>32050</c:v>
                </c:pt>
                <c:pt idx="23">
                  <c:v>32142</c:v>
                </c:pt>
                <c:pt idx="24">
                  <c:v>32233</c:v>
                </c:pt>
                <c:pt idx="25">
                  <c:v>32324</c:v>
                </c:pt>
                <c:pt idx="26">
                  <c:v>32416</c:v>
                </c:pt>
                <c:pt idx="27">
                  <c:v>32508</c:v>
                </c:pt>
                <c:pt idx="28">
                  <c:v>32598</c:v>
                </c:pt>
                <c:pt idx="29">
                  <c:v>32689</c:v>
                </c:pt>
                <c:pt idx="30">
                  <c:v>32781</c:v>
                </c:pt>
                <c:pt idx="31">
                  <c:v>32873</c:v>
                </c:pt>
                <c:pt idx="32">
                  <c:v>32963</c:v>
                </c:pt>
                <c:pt idx="33">
                  <c:v>33054</c:v>
                </c:pt>
                <c:pt idx="34">
                  <c:v>33146</c:v>
                </c:pt>
                <c:pt idx="35">
                  <c:v>33238</c:v>
                </c:pt>
              </c:numCache>
            </c:numRef>
          </c:cat>
          <c:val>
            <c:numRef>
              <c:f>'[pp_long (1).xlsx]Blad1'!$C$3:$C$38</c:f>
              <c:numCache>
                <c:formatCode>General</c:formatCode>
                <c:ptCount val="36"/>
                <c:pt idx="0">
                  <c:v>53.221299999999999</c:v>
                </c:pt>
                <c:pt idx="1">
                  <c:v>53.661299999999997</c:v>
                </c:pt>
                <c:pt idx="2">
                  <c:v>52.4313</c:v>
                </c:pt>
                <c:pt idx="3">
                  <c:v>53.661299999999997</c:v>
                </c:pt>
                <c:pt idx="4">
                  <c:v>58.2515</c:v>
                </c:pt>
                <c:pt idx="5">
                  <c:v>65.581599999999995</c:v>
                </c:pt>
                <c:pt idx="6">
                  <c:v>66.461699999999993</c:v>
                </c:pt>
                <c:pt idx="7">
                  <c:v>68.401700000000005</c:v>
                </c:pt>
                <c:pt idx="8">
                  <c:v>72.291799999999995</c:v>
                </c:pt>
                <c:pt idx="9">
                  <c:v>73.791799999999995</c:v>
                </c:pt>
                <c:pt idx="10">
                  <c:v>74.581900000000005</c:v>
                </c:pt>
                <c:pt idx="11">
                  <c:v>77.931899999999999</c:v>
                </c:pt>
                <c:pt idx="12">
                  <c:v>81.022000000000006</c:v>
                </c:pt>
                <c:pt idx="13">
                  <c:v>84.732100000000003</c:v>
                </c:pt>
                <c:pt idx="14">
                  <c:v>90.732299999999995</c:v>
                </c:pt>
                <c:pt idx="15">
                  <c:v>92.942300000000003</c:v>
                </c:pt>
                <c:pt idx="16">
                  <c:v>98.242500000000007</c:v>
                </c:pt>
                <c:pt idx="17">
                  <c:v>98.592500000000001</c:v>
                </c:pt>
                <c:pt idx="18">
                  <c:v>96.032399999999996</c:v>
                </c:pt>
                <c:pt idx="19">
                  <c:v>97.442400000000006</c:v>
                </c:pt>
                <c:pt idx="20">
                  <c:v>91.002300000000005</c:v>
                </c:pt>
                <c:pt idx="21">
                  <c:v>90.822299999999998</c:v>
                </c:pt>
                <c:pt idx="22">
                  <c:v>90.202299999999994</c:v>
                </c:pt>
                <c:pt idx="23">
                  <c:v>89.322199999999995</c:v>
                </c:pt>
                <c:pt idx="24">
                  <c:v>90.562299999999993</c:v>
                </c:pt>
                <c:pt idx="25">
                  <c:v>90.292299999999997</c:v>
                </c:pt>
                <c:pt idx="26">
                  <c:v>91.972300000000004</c:v>
                </c:pt>
                <c:pt idx="27">
                  <c:v>92.672300000000007</c:v>
                </c:pt>
                <c:pt idx="28">
                  <c:v>91.792299999999997</c:v>
                </c:pt>
                <c:pt idx="29">
                  <c:v>91.972300000000004</c:v>
                </c:pt>
                <c:pt idx="30">
                  <c:v>90.202299999999994</c:v>
                </c:pt>
                <c:pt idx="31">
                  <c:v>88.882199999999997</c:v>
                </c:pt>
                <c:pt idx="32">
                  <c:v>84.822100000000006</c:v>
                </c:pt>
                <c:pt idx="33">
                  <c:v>85.1721</c:v>
                </c:pt>
                <c:pt idx="34">
                  <c:v>83.052099999999996</c:v>
                </c:pt>
                <c:pt idx="35">
                  <c:v>82.522099999999995</c:v>
                </c:pt>
              </c:numCache>
            </c:numRef>
          </c:val>
          <c:smooth val="0"/>
          <c:extLst>
            <c:ext xmlns:c16="http://schemas.microsoft.com/office/drawing/2014/chart" uri="{C3380CC4-5D6E-409C-BE32-E72D297353CC}">
              <c16:uniqueId val="{00000000-E543-4791-BC44-7C629A4900CD}"/>
            </c:ext>
          </c:extLst>
        </c:ser>
        <c:dLbls>
          <c:showLegendKey val="0"/>
          <c:showVal val="0"/>
          <c:showCatName val="0"/>
          <c:showSerName val="0"/>
          <c:showPercent val="0"/>
          <c:showBubbleSize val="0"/>
        </c:dLbls>
        <c:smooth val="0"/>
        <c:axId val="2065618096"/>
        <c:axId val="215105200"/>
      </c:lineChart>
      <c:dateAx>
        <c:axId val="20656180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Year-Quarter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dd\.mm\.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215105200"/>
        <c:crosses val="autoZero"/>
        <c:auto val="1"/>
        <c:lblOffset val="100"/>
        <c:baseTimeUnit val="months"/>
      </c:dateAx>
      <c:valAx>
        <c:axId val="215105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2065618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Blad3!$B$5</c:f>
              <c:strCache>
                <c:ptCount val="1"/>
                <c:pt idx="0">
                  <c:v>Denmark</c:v>
                </c:pt>
              </c:strCache>
            </c:strRef>
          </c:tx>
          <c:spPr>
            <a:ln w="28575" cap="rnd">
              <a:solidFill>
                <a:schemeClr val="accent1"/>
              </a:solidFill>
              <a:round/>
            </a:ln>
            <a:effectLst/>
          </c:spPr>
          <c:marker>
            <c:symbol val="none"/>
          </c:marker>
          <c:cat>
            <c:strRef>
              <c:f>Blad3!$C$3:$K$3</c:f>
              <c:strCache>
                <c:ptCount val="9"/>
                <c:pt idx="0">
                  <c:v>1982</c:v>
                </c:pt>
                <c:pt idx="1">
                  <c:v>1983</c:v>
                </c:pt>
                <c:pt idx="2">
                  <c:v>1984</c:v>
                </c:pt>
                <c:pt idx="3">
                  <c:v>1985</c:v>
                </c:pt>
                <c:pt idx="4">
                  <c:v>1986</c:v>
                </c:pt>
                <c:pt idx="5">
                  <c:v>1987</c:v>
                </c:pt>
                <c:pt idx="6">
                  <c:v>1988</c:v>
                </c:pt>
                <c:pt idx="7">
                  <c:v>1989</c:v>
                </c:pt>
                <c:pt idx="8">
                  <c:v>1990</c:v>
                </c:pt>
              </c:strCache>
            </c:strRef>
          </c:cat>
          <c:val>
            <c:numRef>
              <c:f>Blad3!$C$5:$K$5</c:f>
              <c:numCache>
                <c:formatCode>#,##0.0_ ;\-#,##0.0\ </c:formatCode>
                <c:ptCount val="9"/>
                <c:pt idx="0">
                  <c:v>3.6846510000000001</c:v>
                </c:pt>
                <c:pt idx="1">
                  <c:v>2.5960610000000002</c:v>
                </c:pt>
                <c:pt idx="2">
                  <c:v>4.1661510000000002</c:v>
                </c:pt>
                <c:pt idx="3">
                  <c:v>4.0036860000000001</c:v>
                </c:pt>
                <c:pt idx="4">
                  <c:v>4.9042529999999998</c:v>
                </c:pt>
                <c:pt idx="5">
                  <c:v>0.25422600000000001</c:v>
                </c:pt>
                <c:pt idx="6">
                  <c:v>-1.363E-2</c:v>
                </c:pt>
                <c:pt idx="7">
                  <c:v>0.64521499999999998</c:v>
                </c:pt>
                <c:pt idx="8">
                  <c:v>1.4752449999999999</c:v>
                </c:pt>
              </c:numCache>
            </c:numRef>
          </c:val>
          <c:smooth val="0"/>
          <c:extLst>
            <c:ext xmlns:c16="http://schemas.microsoft.com/office/drawing/2014/chart" uri="{C3380CC4-5D6E-409C-BE32-E72D297353CC}">
              <c16:uniqueId val="{00000000-415E-4B68-BFF4-B708B5802717}"/>
            </c:ext>
          </c:extLst>
        </c:ser>
        <c:dLbls>
          <c:showLegendKey val="0"/>
          <c:showVal val="0"/>
          <c:showCatName val="0"/>
          <c:showSerName val="0"/>
          <c:showPercent val="0"/>
          <c:showBubbleSize val="0"/>
        </c:dLbls>
        <c:smooth val="0"/>
        <c:axId val="1788678848"/>
        <c:axId val="1548504720"/>
      </c:lineChart>
      <c:catAx>
        <c:axId val="1788678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548504720"/>
        <c:crosses val="autoZero"/>
        <c:auto val="1"/>
        <c:lblAlgn val="ctr"/>
        <c:lblOffset val="100"/>
        <c:noMultiLvlLbl val="0"/>
      </c:catAx>
      <c:valAx>
        <c:axId val="1548504720"/>
        <c:scaling>
          <c:orientation val="minMax"/>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Percentage growth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788678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Blad3!$B$6</c:f>
              <c:strCache>
                <c:ptCount val="1"/>
                <c:pt idx="0">
                  <c:v>Netherlands</c:v>
                </c:pt>
              </c:strCache>
            </c:strRef>
          </c:tx>
          <c:spPr>
            <a:ln w="28575" cap="rnd">
              <a:solidFill>
                <a:schemeClr val="accent2"/>
              </a:solidFill>
              <a:round/>
            </a:ln>
            <a:effectLst/>
          </c:spPr>
          <c:marker>
            <c:symbol val="none"/>
          </c:marker>
          <c:cat>
            <c:strRef>
              <c:f>Blad3!$L$3:$Q$3</c:f>
              <c:strCache>
                <c:ptCount val="6"/>
                <c:pt idx="0">
                  <c:v>2013</c:v>
                </c:pt>
                <c:pt idx="1">
                  <c:v>2014</c:v>
                </c:pt>
                <c:pt idx="2">
                  <c:v>2015</c:v>
                </c:pt>
                <c:pt idx="3">
                  <c:v>2016</c:v>
                </c:pt>
                <c:pt idx="4">
                  <c:v>2017</c:v>
                </c:pt>
                <c:pt idx="5">
                  <c:v>2018</c:v>
                </c:pt>
              </c:strCache>
            </c:strRef>
          </c:cat>
          <c:val>
            <c:numRef>
              <c:f>Blad3!$L$6:$Q$6</c:f>
              <c:numCache>
                <c:formatCode>#,##0.0_ ;\-#,##0.0\ </c:formatCode>
                <c:ptCount val="6"/>
                <c:pt idx="0">
                  <c:v>-0.13017500000000001</c:v>
                </c:pt>
                <c:pt idx="1">
                  <c:v>1.423395</c:v>
                </c:pt>
                <c:pt idx="2">
                  <c:v>1.9591700000000001</c:v>
                </c:pt>
                <c:pt idx="3">
                  <c:v>2.1917140000000002</c:v>
                </c:pt>
                <c:pt idx="4">
                  <c:v>2.8688319999999998</c:v>
                </c:pt>
                <c:pt idx="5">
                  <c:v>2.6733669999999998</c:v>
                </c:pt>
              </c:numCache>
            </c:numRef>
          </c:val>
          <c:smooth val="0"/>
          <c:extLst>
            <c:ext xmlns:c16="http://schemas.microsoft.com/office/drawing/2014/chart" uri="{C3380CC4-5D6E-409C-BE32-E72D297353CC}">
              <c16:uniqueId val="{00000000-5D37-4B2A-ABDB-D9FE7A68A62A}"/>
            </c:ext>
          </c:extLst>
        </c:ser>
        <c:dLbls>
          <c:showLegendKey val="0"/>
          <c:showVal val="0"/>
          <c:showCatName val="0"/>
          <c:showSerName val="0"/>
          <c:showPercent val="0"/>
          <c:showBubbleSize val="0"/>
        </c:dLbls>
        <c:smooth val="0"/>
        <c:axId val="802636416"/>
        <c:axId val="1785103024"/>
      </c:lineChart>
      <c:dateAx>
        <c:axId val="802636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nl-NL"/>
          </a:p>
        </c:txPr>
        <c:crossAx val="1785103024"/>
        <c:crosses val="autoZero"/>
        <c:auto val="0"/>
        <c:lblOffset val="100"/>
        <c:baseTimeUnit val="days"/>
      </c:dateAx>
      <c:valAx>
        <c:axId val="1785103024"/>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Percentage growth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802636416"/>
        <c:crossesAt val="0"/>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'[OECD GDP growth.xlsx]GDP per capita'!$B$23:$B$31</c:f>
              <c:numCache>
                <c:formatCode>General</c:formatCode>
                <c:ptCount val="9"/>
                <c:pt idx="0">
                  <c:v>1982</c:v>
                </c:pt>
                <c:pt idx="1">
                  <c:v>1983</c:v>
                </c:pt>
                <c:pt idx="2">
                  <c:v>1984</c:v>
                </c:pt>
                <c:pt idx="3">
                  <c:v>1985</c:v>
                </c:pt>
                <c:pt idx="4">
                  <c:v>1986</c:v>
                </c:pt>
                <c:pt idx="5">
                  <c:v>1987</c:v>
                </c:pt>
                <c:pt idx="6">
                  <c:v>1988</c:v>
                </c:pt>
                <c:pt idx="7">
                  <c:v>1989</c:v>
                </c:pt>
                <c:pt idx="8">
                  <c:v>1990</c:v>
                </c:pt>
              </c:numCache>
            </c:numRef>
          </c:cat>
          <c:val>
            <c:numRef>
              <c:f>'[OECD GDP growth.xlsx]GDP per capita'!$C$23:$C$31</c:f>
              <c:numCache>
                <c:formatCode>General</c:formatCode>
                <c:ptCount val="9"/>
                <c:pt idx="0">
                  <c:v>28824.1253</c:v>
                </c:pt>
                <c:pt idx="1">
                  <c:v>29732.371999999999</c:v>
                </c:pt>
                <c:pt idx="2">
                  <c:v>31051.5877</c:v>
                </c:pt>
                <c:pt idx="3">
                  <c:v>32416.4097</c:v>
                </c:pt>
                <c:pt idx="4">
                  <c:v>34391.090300000003</c:v>
                </c:pt>
                <c:pt idx="5">
                  <c:v>34431.886700000003</c:v>
                </c:pt>
                <c:pt idx="6">
                  <c:v>34309.335700000003</c:v>
                </c:pt>
                <c:pt idx="7">
                  <c:v>34680.114600000001</c:v>
                </c:pt>
                <c:pt idx="8">
                  <c:v>35301.115299999998</c:v>
                </c:pt>
              </c:numCache>
            </c:numRef>
          </c:val>
          <c:smooth val="0"/>
          <c:extLst>
            <c:ext xmlns:c16="http://schemas.microsoft.com/office/drawing/2014/chart" uri="{C3380CC4-5D6E-409C-BE32-E72D297353CC}">
              <c16:uniqueId val="{00000000-8B5F-4E47-8753-E6731E004FDD}"/>
            </c:ext>
          </c:extLst>
        </c:ser>
        <c:dLbls>
          <c:showLegendKey val="0"/>
          <c:showVal val="0"/>
          <c:showCatName val="0"/>
          <c:showSerName val="0"/>
          <c:showPercent val="0"/>
          <c:showBubbleSize val="0"/>
        </c:dLbls>
        <c:smooth val="0"/>
        <c:axId val="1149927279"/>
        <c:axId val="1151929551"/>
      </c:lineChart>
      <c:catAx>
        <c:axId val="1149927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151929551"/>
        <c:crosses val="autoZero"/>
        <c:auto val="1"/>
        <c:lblAlgn val="ctr"/>
        <c:lblOffset val="100"/>
        <c:noMultiLvlLbl val="0"/>
      </c:catAx>
      <c:valAx>
        <c:axId val="1151929551"/>
        <c:scaling>
          <c:orientation val="minMax"/>
          <c:min val="2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GDP</a:t>
                </a:r>
                <a:r>
                  <a:rPr lang="nl-NL" baseline="0"/>
                  <a:t> per capita</a:t>
                </a:r>
                <a:endParaRPr lang="nl-NL"/>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1499272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DK!$B$3</c:f>
              <c:strCache>
                <c:ptCount val="1"/>
                <c:pt idx="0">
                  <c:v>Denmark</c:v>
                </c:pt>
              </c:strCache>
            </c:strRef>
          </c:tx>
          <c:spPr>
            <a:ln w="28575" cap="rnd">
              <a:solidFill>
                <a:schemeClr val="accent1"/>
              </a:solidFill>
              <a:round/>
            </a:ln>
            <a:effectLst/>
          </c:spPr>
          <c:marker>
            <c:symbol val="none"/>
          </c:marker>
          <c:cat>
            <c:strRef>
              <c:f>DK!$C$2:$K$2</c:f>
              <c:strCache>
                <c:ptCount val="9"/>
                <c:pt idx="0">
                  <c:v>1982</c:v>
                </c:pt>
                <c:pt idx="1">
                  <c:v>1983</c:v>
                </c:pt>
                <c:pt idx="2">
                  <c:v>1984</c:v>
                </c:pt>
                <c:pt idx="3">
                  <c:v>1985</c:v>
                </c:pt>
                <c:pt idx="4">
                  <c:v>1986</c:v>
                </c:pt>
                <c:pt idx="5">
                  <c:v>1987</c:v>
                </c:pt>
                <c:pt idx="6">
                  <c:v>1988</c:v>
                </c:pt>
                <c:pt idx="7">
                  <c:v>1989</c:v>
                </c:pt>
                <c:pt idx="8">
                  <c:v>1990</c:v>
                </c:pt>
              </c:strCache>
            </c:strRef>
          </c:cat>
          <c:val>
            <c:numRef>
              <c:f>DK!$C$3:$K$3</c:f>
              <c:numCache>
                <c:formatCode>#\ ###\ ###\ ##0;\-#\ ###\ ###\ ##0;0</c:formatCode>
                <c:ptCount val="9"/>
                <c:pt idx="0">
                  <c:v>5123.3490000000002</c:v>
                </c:pt>
                <c:pt idx="1">
                  <c:v>5119.607</c:v>
                </c:pt>
                <c:pt idx="2">
                  <c:v>5116.058</c:v>
                </c:pt>
                <c:pt idx="3">
                  <c:v>5114.2430000000004</c:v>
                </c:pt>
                <c:pt idx="4">
                  <c:v>5114.6570000000002</c:v>
                </c:pt>
                <c:pt idx="5">
                  <c:v>5117.277</c:v>
                </c:pt>
                <c:pt idx="6">
                  <c:v>5122.4409999999998</c:v>
                </c:pt>
                <c:pt idx="7">
                  <c:v>5130.3609999999999</c:v>
                </c:pt>
                <c:pt idx="8">
                  <c:v>5141.1149999999998</c:v>
                </c:pt>
              </c:numCache>
            </c:numRef>
          </c:val>
          <c:smooth val="0"/>
          <c:extLst>
            <c:ext xmlns:c16="http://schemas.microsoft.com/office/drawing/2014/chart" uri="{C3380CC4-5D6E-409C-BE32-E72D297353CC}">
              <c16:uniqueId val="{00000000-E828-4902-98AE-1180B32D1D79}"/>
            </c:ext>
          </c:extLst>
        </c:ser>
        <c:dLbls>
          <c:showLegendKey val="0"/>
          <c:showVal val="0"/>
          <c:showCatName val="0"/>
          <c:showSerName val="0"/>
          <c:showPercent val="0"/>
          <c:showBubbleSize val="0"/>
        </c:dLbls>
        <c:smooth val="0"/>
        <c:axId val="1067285312"/>
        <c:axId val="1897128576"/>
      </c:lineChart>
      <c:catAx>
        <c:axId val="10672853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897128576"/>
        <c:crosses val="autoZero"/>
        <c:auto val="1"/>
        <c:lblAlgn val="ctr"/>
        <c:lblOffset val="100"/>
        <c:noMultiLvlLbl val="0"/>
      </c:catAx>
      <c:valAx>
        <c:axId val="1897128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Population in thousands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 ###\ ###\ ##0;\-#\ ###\ ###\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067285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NL!$A$3</c:f>
              <c:strCache>
                <c:ptCount val="1"/>
                <c:pt idx="0">
                  <c:v>Netherlands</c:v>
                </c:pt>
              </c:strCache>
            </c:strRef>
          </c:tx>
          <c:spPr>
            <a:ln w="28575" cap="rnd">
              <a:solidFill>
                <a:schemeClr val="accent2"/>
              </a:solidFill>
              <a:round/>
            </a:ln>
            <a:effectLst/>
          </c:spPr>
          <c:marker>
            <c:symbol val="none"/>
          </c:marker>
          <c:cat>
            <c:numRef>
              <c:f>NL!$B$2:$G$2</c:f>
              <c:numCache>
                <c:formatCode>General</c:formatCode>
                <c:ptCount val="6"/>
                <c:pt idx="0">
                  <c:v>2013</c:v>
                </c:pt>
                <c:pt idx="1">
                  <c:v>2014</c:v>
                </c:pt>
                <c:pt idx="2">
                  <c:v>2015</c:v>
                </c:pt>
                <c:pt idx="3">
                  <c:v>2016</c:v>
                </c:pt>
                <c:pt idx="4">
                  <c:v>2017</c:v>
                </c:pt>
                <c:pt idx="5">
                  <c:v>2018</c:v>
                </c:pt>
              </c:numCache>
            </c:numRef>
          </c:cat>
          <c:val>
            <c:numRef>
              <c:f>NL!$B$3:$G$3</c:f>
              <c:numCache>
                <c:formatCode>#\ ###\ ###\ ##0;\-#\ ###\ ###\ ##0;0</c:formatCode>
                <c:ptCount val="6"/>
                <c:pt idx="0">
                  <c:v>16779.575000000001</c:v>
                </c:pt>
                <c:pt idx="1">
                  <c:v>16829.289000000001</c:v>
                </c:pt>
                <c:pt idx="2">
                  <c:v>16900.725999999999</c:v>
                </c:pt>
                <c:pt idx="3">
                  <c:v>16979.12</c:v>
                </c:pt>
                <c:pt idx="4">
                  <c:v>17081.507000000001</c:v>
                </c:pt>
                <c:pt idx="5">
                  <c:v>17181.083999999999</c:v>
                </c:pt>
              </c:numCache>
            </c:numRef>
          </c:val>
          <c:smooth val="0"/>
          <c:extLst>
            <c:ext xmlns:c16="http://schemas.microsoft.com/office/drawing/2014/chart" uri="{C3380CC4-5D6E-409C-BE32-E72D297353CC}">
              <c16:uniqueId val="{00000000-4277-4F47-80ED-203564C6BD75}"/>
            </c:ext>
          </c:extLst>
        </c:ser>
        <c:dLbls>
          <c:showLegendKey val="0"/>
          <c:showVal val="0"/>
          <c:showCatName val="0"/>
          <c:showSerName val="0"/>
          <c:showPercent val="0"/>
          <c:showBubbleSize val="0"/>
        </c:dLbls>
        <c:smooth val="0"/>
        <c:axId val="1794629440"/>
        <c:axId val="1896297024"/>
      </c:lineChart>
      <c:catAx>
        <c:axId val="1794629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896297024"/>
        <c:crosses val="autoZero"/>
        <c:auto val="1"/>
        <c:lblAlgn val="ctr"/>
        <c:lblOffset val="100"/>
        <c:noMultiLvlLbl val="0"/>
      </c:catAx>
      <c:valAx>
        <c:axId val="1896297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nl-NL"/>
                  <a:t>Population</a:t>
                </a:r>
                <a:r>
                  <a:rPr lang="nl-NL" baseline="0"/>
                  <a:t> in thousands</a:t>
                </a:r>
                <a:endParaRPr lang="nl-NL"/>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nl-N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794629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NL!$C$2</c:f>
              <c:strCache>
                <c:ptCount val="1"/>
                <c:pt idx="0">
                  <c:v>Netherlands </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0"/>
          </c:trendline>
          <c:cat>
            <c:strRef>
              <c:f>NL!$B$3:$B$42</c:f>
              <c:strCache>
                <c:ptCount val="40"/>
                <c:pt idx="0">
                  <c:v>31.03.2013</c:v>
                </c:pt>
                <c:pt idx="1">
                  <c:v>30.06.2013</c:v>
                </c:pt>
                <c:pt idx="2">
                  <c:v>30.09.2013</c:v>
                </c:pt>
                <c:pt idx="3">
                  <c:v>31.12.2013</c:v>
                </c:pt>
                <c:pt idx="4">
                  <c:v>31.03.2014</c:v>
                </c:pt>
                <c:pt idx="5">
                  <c:v>30.06.2014</c:v>
                </c:pt>
                <c:pt idx="6">
                  <c:v>30.09.2014</c:v>
                </c:pt>
                <c:pt idx="7">
                  <c:v>31.12.2014</c:v>
                </c:pt>
                <c:pt idx="8">
                  <c:v>31.03.2015</c:v>
                </c:pt>
                <c:pt idx="9">
                  <c:v>30.06.2015</c:v>
                </c:pt>
                <c:pt idx="10">
                  <c:v>30.09.2015</c:v>
                </c:pt>
                <c:pt idx="11">
                  <c:v>31.12.2015</c:v>
                </c:pt>
                <c:pt idx="12">
                  <c:v>31.03.2016</c:v>
                </c:pt>
                <c:pt idx="13">
                  <c:v>30.06.2016</c:v>
                </c:pt>
                <c:pt idx="14">
                  <c:v>30.09.2016</c:v>
                </c:pt>
                <c:pt idx="15">
                  <c:v>31.12.2016</c:v>
                </c:pt>
                <c:pt idx="16">
                  <c:v>31.03.2017</c:v>
                </c:pt>
                <c:pt idx="17">
                  <c:v>30.06.2017</c:v>
                </c:pt>
                <c:pt idx="18">
                  <c:v>30.09.2017</c:v>
                </c:pt>
                <c:pt idx="19">
                  <c:v>31.12.2017</c:v>
                </c:pt>
                <c:pt idx="20">
                  <c:v>31.03.2018</c:v>
                </c:pt>
                <c:pt idx="21">
                  <c:v>30.06.2018</c:v>
                </c:pt>
                <c:pt idx="22">
                  <c:v>30.09.2018</c:v>
                </c:pt>
                <c:pt idx="23">
                  <c:v>31.12.2018</c:v>
                </c:pt>
                <c:pt idx="24">
                  <c:v>31.03.2019</c:v>
                </c:pt>
                <c:pt idx="25">
                  <c:v>30.06.2019</c:v>
                </c:pt>
                <c:pt idx="26">
                  <c:v>30.09.2019</c:v>
                </c:pt>
                <c:pt idx="27">
                  <c:v>31.12.2019</c:v>
                </c:pt>
                <c:pt idx="28">
                  <c:v>31.03.2020</c:v>
                </c:pt>
                <c:pt idx="29">
                  <c:v>30.06.2020</c:v>
                </c:pt>
                <c:pt idx="30">
                  <c:v>30.09.2020</c:v>
                </c:pt>
                <c:pt idx="31">
                  <c:v>31.12.2020</c:v>
                </c:pt>
                <c:pt idx="32">
                  <c:v>31.03.2021</c:v>
                </c:pt>
                <c:pt idx="33">
                  <c:v>30.06.2021</c:v>
                </c:pt>
                <c:pt idx="34">
                  <c:v>30.09.2021</c:v>
                </c:pt>
                <c:pt idx="35">
                  <c:v>31.12.2021</c:v>
                </c:pt>
                <c:pt idx="36">
                  <c:v>31.03.2022</c:v>
                </c:pt>
                <c:pt idx="37">
                  <c:v>30.06.2022</c:v>
                </c:pt>
                <c:pt idx="38">
                  <c:v>30.09.2022</c:v>
                </c:pt>
                <c:pt idx="39">
                  <c:v>31.12.2022</c:v>
                </c:pt>
              </c:strCache>
            </c:strRef>
          </c:cat>
          <c:val>
            <c:numRef>
              <c:f>NL!$C$3:$C$42</c:f>
              <c:numCache>
                <c:formatCode>General</c:formatCode>
                <c:ptCount val="40"/>
                <c:pt idx="0">
                  <c:v>229.244</c:v>
                </c:pt>
                <c:pt idx="1">
                  <c:v>224.5181</c:v>
                </c:pt>
                <c:pt idx="2">
                  <c:v>225.95949999999999</c:v>
                </c:pt>
                <c:pt idx="3">
                  <c:v>225.227</c:v>
                </c:pt>
                <c:pt idx="4">
                  <c:v>226.3612</c:v>
                </c:pt>
                <c:pt idx="5">
                  <c:v>227.37719999999999</c:v>
                </c:pt>
                <c:pt idx="6">
                  <c:v>228.84229999999999</c:v>
                </c:pt>
                <c:pt idx="7">
                  <c:v>229.78729999999999</c:v>
                </c:pt>
                <c:pt idx="8">
                  <c:v>232.19739999999999</c:v>
                </c:pt>
                <c:pt idx="9">
                  <c:v>234.25309999999999</c:v>
                </c:pt>
                <c:pt idx="10">
                  <c:v>238.9787</c:v>
                </c:pt>
                <c:pt idx="11">
                  <c:v>239.71129999999999</c:v>
                </c:pt>
                <c:pt idx="12">
                  <c:v>242.9247</c:v>
                </c:pt>
                <c:pt idx="13">
                  <c:v>244.74430000000001</c:v>
                </c:pt>
                <c:pt idx="14">
                  <c:v>250.84030000000001</c:v>
                </c:pt>
                <c:pt idx="15">
                  <c:v>254.054</c:v>
                </c:pt>
                <c:pt idx="16">
                  <c:v>259.13389999999998</c:v>
                </c:pt>
                <c:pt idx="17">
                  <c:v>263.19799999999998</c:v>
                </c:pt>
                <c:pt idx="18">
                  <c:v>269.41239999999999</c:v>
                </c:pt>
                <c:pt idx="19">
                  <c:v>275.6266</c:v>
                </c:pt>
                <c:pt idx="20">
                  <c:v>283.21159999999998</c:v>
                </c:pt>
                <c:pt idx="21">
                  <c:v>288.42989999999998</c:v>
                </c:pt>
                <c:pt idx="22">
                  <c:v>296.25729999999999</c:v>
                </c:pt>
              </c:numCache>
            </c:numRef>
          </c:val>
          <c:smooth val="0"/>
          <c:extLst>
            <c:ext xmlns:c16="http://schemas.microsoft.com/office/drawing/2014/chart" uri="{C3380CC4-5D6E-409C-BE32-E72D297353CC}">
              <c16:uniqueId val="{00000001-9C14-43F6-B06F-A1DD37C7BBAE}"/>
            </c:ext>
          </c:extLst>
        </c:ser>
        <c:dLbls>
          <c:showLegendKey val="0"/>
          <c:showVal val="0"/>
          <c:showCatName val="0"/>
          <c:showSerName val="0"/>
          <c:showPercent val="0"/>
          <c:showBubbleSize val="0"/>
        </c:dLbls>
        <c:smooth val="0"/>
        <c:axId val="532724496"/>
        <c:axId val="529592928"/>
      </c:lineChart>
      <c:catAx>
        <c:axId val="5327244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29592928"/>
        <c:crosses val="autoZero"/>
        <c:auto val="1"/>
        <c:lblAlgn val="ctr"/>
        <c:lblOffset val="100"/>
        <c:noMultiLvlLbl val="0"/>
      </c:catAx>
      <c:valAx>
        <c:axId val="529592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32724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Blad2!$C$2</c:f>
              <c:strCache>
                <c:ptCount val="1"/>
                <c:pt idx="0">
                  <c:v>Netherlands</c:v>
                </c:pt>
              </c:strCache>
            </c:strRef>
          </c:tx>
          <c:spPr>
            <a:ln w="28575" cap="rnd">
              <a:solidFill>
                <a:schemeClr val="accent2">
                  <a:shade val="76000"/>
                </a:schemeClr>
              </a:solidFill>
              <a:round/>
            </a:ln>
            <a:effectLst/>
          </c:spPr>
          <c:marker>
            <c:symbol val="none"/>
          </c:marker>
          <c:cat>
            <c:strRef>
              <c:f>Blad2!$J$3:$J$43</c:f>
              <c:strCache>
                <c:ptCount val="41"/>
                <c:pt idx="0">
                  <c:v>31.03.2013</c:v>
                </c:pt>
                <c:pt idx="1">
                  <c:v>30.06.2013</c:v>
                </c:pt>
                <c:pt idx="2">
                  <c:v>30.09.2013</c:v>
                </c:pt>
                <c:pt idx="3">
                  <c:v>31.12.2013</c:v>
                </c:pt>
                <c:pt idx="4">
                  <c:v>31.03.2014</c:v>
                </c:pt>
                <c:pt idx="5">
                  <c:v>30.06.2014</c:v>
                </c:pt>
                <c:pt idx="6">
                  <c:v>30.09.2014</c:v>
                </c:pt>
                <c:pt idx="7">
                  <c:v>31.12.2014</c:v>
                </c:pt>
                <c:pt idx="8">
                  <c:v>31.03.2015</c:v>
                </c:pt>
                <c:pt idx="9">
                  <c:v>30.06.2015</c:v>
                </c:pt>
                <c:pt idx="10">
                  <c:v>30.09.2015</c:v>
                </c:pt>
                <c:pt idx="11">
                  <c:v>31.12.2015</c:v>
                </c:pt>
                <c:pt idx="12">
                  <c:v>31.03.2016</c:v>
                </c:pt>
                <c:pt idx="13">
                  <c:v>30.06.2016</c:v>
                </c:pt>
                <c:pt idx="14">
                  <c:v>30.09.2016</c:v>
                </c:pt>
                <c:pt idx="15">
                  <c:v>31.12.2016</c:v>
                </c:pt>
                <c:pt idx="16">
                  <c:v>31.03.2017</c:v>
                </c:pt>
                <c:pt idx="17">
                  <c:v>30.06.2017</c:v>
                </c:pt>
                <c:pt idx="18">
                  <c:v>30.09.2017</c:v>
                </c:pt>
                <c:pt idx="19">
                  <c:v>31.12.2017</c:v>
                </c:pt>
                <c:pt idx="20">
                  <c:v>31.03.2018</c:v>
                </c:pt>
                <c:pt idx="21">
                  <c:v>30.06.2018</c:v>
                </c:pt>
                <c:pt idx="22">
                  <c:v>30.09.2018</c:v>
                </c:pt>
                <c:pt idx="23">
                  <c:v>31.12.2018</c:v>
                </c:pt>
                <c:pt idx="24">
                  <c:v>31.03.2019</c:v>
                </c:pt>
                <c:pt idx="25">
                  <c:v>30.06.2019</c:v>
                </c:pt>
                <c:pt idx="26">
                  <c:v>30.09.2019</c:v>
                </c:pt>
                <c:pt idx="27">
                  <c:v>31.12.2019</c:v>
                </c:pt>
                <c:pt idx="28">
                  <c:v>31.03.2020</c:v>
                </c:pt>
                <c:pt idx="29">
                  <c:v>30.06.2020</c:v>
                </c:pt>
                <c:pt idx="30">
                  <c:v>30.09.2020</c:v>
                </c:pt>
                <c:pt idx="31">
                  <c:v>31.12.2020</c:v>
                </c:pt>
                <c:pt idx="32">
                  <c:v>31.03.2021</c:v>
                </c:pt>
                <c:pt idx="33">
                  <c:v>30.06.2021</c:v>
                </c:pt>
                <c:pt idx="34">
                  <c:v>30.09.2021</c:v>
                </c:pt>
                <c:pt idx="35">
                  <c:v>31.12.2021</c:v>
                </c:pt>
                <c:pt idx="36">
                  <c:v>31.03.2022</c:v>
                </c:pt>
                <c:pt idx="37">
                  <c:v>30.06.2022</c:v>
                </c:pt>
                <c:pt idx="38">
                  <c:v>30.09.2022</c:v>
                </c:pt>
                <c:pt idx="39">
                  <c:v>31.12.2022</c:v>
                </c:pt>
                <c:pt idx="40">
                  <c:v>31.03.2023</c:v>
                </c:pt>
              </c:strCache>
            </c:strRef>
          </c:cat>
          <c:val>
            <c:numRef>
              <c:f>Blad2!$C$3:$C$25</c:f>
              <c:numCache>
                <c:formatCode>General</c:formatCode>
                <c:ptCount val="23"/>
                <c:pt idx="0">
                  <c:v>229.244</c:v>
                </c:pt>
                <c:pt idx="1">
                  <c:v>224.5181</c:v>
                </c:pt>
                <c:pt idx="2">
                  <c:v>225.95949999999999</c:v>
                </c:pt>
                <c:pt idx="3">
                  <c:v>225.227</c:v>
                </c:pt>
                <c:pt idx="4">
                  <c:v>226.3612</c:v>
                </c:pt>
                <c:pt idx="5">
                  <c:v>227.37719999999999</c:v>
                </c:pt>
                <c:pt idx="6">
                  <c:v>228.84229999999999</c:v>
                </c:pt>
                <c:pt idx="7">
                  <c:v>229.78729999999999</c:v>
                </c:pt>
                <c:pt idx="8">
                  <c:v>232.19739999999999</c:v>
                </c:pt>
                <c:pt idx="9">
                  <c:v>234.25309999999999</c:v>
                </c:pt>
                <c:pt idx="10">
                  <c:v>238.9787</c:v>
                </c:pt>
                <c:pt idx="11">
                  <c:v>239.71129999999999</c:v>
                </c:pt>
                <c:pt idx="12">
                  <c:v>242.9247</c:v>
                </c:pt>
                <c:pt idx="13">
                  <c:v>244.74430000000001</c:v>
                </c:pt>
                <c:pt idx="14">
                  <c:v>250.84030000000001</c:v>
                </c:pt>
                <c:pt idx="15">
                  <c:v>254.054</c:v>
                </c:pt>
                <c:pt idx="16">
                  <c:v>259.13389999999998</c:v>
                </c:pt>
                <c:pt idx="17">
                  <c:v>263.19799999999998</c:v>
                </c:pt>
                <c:pt idx="18">
                  <c:v>269.41239999999999</c:v>
                </c:pt>
                <c:pt idx="19">
                  <c:v>275.6266</c:v>
                </c:pt>
                <c:pt idx="20">
                  <c:v>283.21159999999998</c:v>
                </c:pt>
                <c:pt idx="21">
                  <c:v>288.42989999999998</c:v>
                </c:pt>
                <c:pt idx="22">
                  <c:v>296.25729999999999</c:v>
                </c:pt>
              </c:numCache>
            </c:numRef>
          </c:val>
          <c:smooth val="0"/>
          <c:extLst>
            <c:ext xmlns:c16="http://schemas.microsoft.com/office/drawing/2014/chart" uri="{C3380CC4-5D6E-409C-BE32-E72D297353CC}">
              <c16:uniqueId val="{00000000-1958-4447-ACC2-04EAC5F35870}"/>
            </c:ext>
          </c:extLst>
        </c:ser>
        <c:ser>
          <c:idx val="1"/>
          <c:order val="1"/>
          <c:tx>
            <c:strRef>
              <c:f>Blad2!$F$2</c:f>
              <c:strCache>
                <c:ptCount val="1"/>
                <c:pt idx="0">
                  <c:v>Prediction</c:v>
                </c:pt>
              </c:strCache>
            </c:strRef>
          </c:tx>
          <c:spPr>
            <a:ln w="28575" cap="rnd">
              <a:solidFill>
                <a:schemeClr val="accent2">
                  <a:tint val="77000"/>
                </a:schemeClr>
              </a:solidFill>
              <a:prstDash val="sysDot"/>
              <a:round/>
            </a:ln>
            <a:effectLst/>
          </c:spPr>
          <c:marker>
            <c:symbol val="none"/>
          </c:marker>
          <c:val>
            <c:numRef>
              <c:f>Blad2!$F$3:$F$43</c:f>
              <c:numCache>
                <c:formatCode>General</c:formatCode>
                <c:ptCount val="41"/>
                <c:pt idx="0">
                  <c:v>213.27319999999997</c:v>
                </c:pt>
                <c:pt idx="1">
                  <c:v>216.37639999999999</c:v>
                </c:pt>
                <c:pt idx="2">
                  <c:v>219.47959999999998</c:v>
                </c:pt>
                <c:pt idx="3">
                  <c:v>222.58279999999999</c:v>
                </c:pt>
                <c:pt idx="4">
                  <c:v>225.68599999999998</c:v>
                </c:pt>
                <c:pt idx="5">
                  <c:v>228.78919999999999</c:v>
                </c:pt>
                <c:pt idx="6">
                  <c:v>231.89239999999998</c:v>
                </c:pt>
                <c:pt idx="7">
                  <c:v>234.9956</c:v>
                </c:pt>
                <c:pt idx="8">
                  <c:v>238.09879999999998</c:v>
                </c:pt>
                <c:pt idx="9">
                  <c:v>241.202</c:v>
                </c:pt>
                <c:pt idx="10">
                  <c:v>244.30519999999999</c:v>
                </c:pt>
                <c:pt idx="11">
                  <c:v>247.40839999999997</c:v>
                </c:pt>
                <c:pt idx="12">
                  <c:v>250.51159999999999</c:v>
                </c:pt>
                <c:pt idx="13">
                  <c:v>253.6148</c:v>
                </c:pt>
                <c:pt idx="14">
                  <c:v>256.71799999999996</c:v>
                </c:pt>
                <c:pt idx="15">
                  <c:v>259.82119999999998</c:v>
                </c:pt>
                <c:pt idx="16">
                  <c:v>262.92439999999999</c:v>
                </c:pt>
                <c:pt idx="17">
                  <c:v>266.02760000000001</c:v>
                </c:pt>
                <c:pt idx="18">
                  <c:v>269.13080000000002</c:v>
                </c:pt>
                <c:pt idx="19">
                  <c:v>272.23399999999998</c:v>
                </c:pt>
                <c:pt idx="20">
                  <c:v>275.3372</c:v>
                </c:pt>
                <c:pt idx="21">
                  <c:v>278.44040000000001</c:v>
                </c:pt>
                <c:pt idx="22">
                  <c:v>281.54359999999997</c:v>
                </c:pt>
                <c:pt idx="23">
                  <c:v>284.64679999999998</c:v>
                </c:pt>
                <c:pt idx="24">
                  <c:v>287.75</c:v>
                </c:pt>
                <c:pt idx="25">
                  <c:v>290.85320000000002</c:v>
                </c:pt>
                <c:pt idx="26">
                  <c:v>293.95639999999997</c:v>
                </c:pt>
                <c:pt idx="27">
                  <c:v>297.05959999999999</c:v>
                </c:pt>
                <c:pt idx="28">
                  <c:v>300.1628</c:v>
                </c:pt>
                <c:pt idx="29">
                  <c:v>303.26599999999996</c:v>
                </c:pt>
                <c:pt idx="30">
                  <c:v>306.36919999999998</c:v>
                </c:pt>
                <c:pt idx="31">
                  <c:v>309.47239999999999</c:v>
                </c:pt>
                <c:pt idx="32">
                  <c:v>312.57560000000001</c:v>
                </c:pt>
                <c:pt idx="33">
                  <c:v>315.67880000000002</c:v>
                </c:pt>
                <c:pt idx="34">
                  <c:v>318.78199999999998</c:v>
                </c:pt>
                <c:pt idx="35">
                  <c:v>321.8852</c:v>
                </c:pt>
                <c:pt idx="36">
                  <c:v>324.98840000000001</c:v>
                </c:pt>
                <c:pt idx="37">
                  <c:v>328.09159999999997</c:v>
                </c:pt>
                <c:pt idx="38">
                  <c:v>331.19479999999999</c:v>
                </c:pt>
                <c:pt idx="39">
                  <c:v>334.298</c:v>
                </c:pt>
                <c:pt idx="40">
                  <c:v>300.86309999999997</c:v>
                </c:pt>
              </c:numCache>
            </c:numRef>
          </c:val>
          <c:smooth val="0"/>
          <c:extLst>
            <c:ext xmlns:c16="http://schemas.microsoft.com/office/drawing/2014/chart" uri="{C3380CC4-5D6E-409C-BE32-E72D297353CC}">
              <c16:uniqueId val="{00000001-1958-4447-ACC2-04EAC5F35870}"/>
            </c:ext>
          </c:extLst>
        </c:ser>
        <c:dLbls>
          <c:showLegendKey val="0"/>
          <c:showVal val="0"/>
          <c:showCatName val="0"/>
          <c:showSerName val="0"/>
          <c:showPercent val="0"/>
          <c:showBubbleSize val="0"/>
        </c:dLbls>
        <c:smooth val="0"/>
        <c:axId val="1370093071"/>
        <c:axId val="1381585183"/>
      </c:lineChart>
      <c:catAx>
        <c:axId val="1370093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381585183"/>
        <c:crosses val="autoZero"/>
        <c:auto val="1"/>
        <c:lblAlgn val="ctr"/>
        <c:lblOffset val="100"/>
        <c:noMultiLvlLbl val="0"/>
      </c:catAx>
      <c:valAx>
        <c:axId val="13815851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13700930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5">
  <a:schemeClr val="accent2"/>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5">
  <a:schemeClr val="accent2"/>
</cs:colorStyle>
</file>

<file path=word/charts/colors12.xml><?xml version="1.0" encoding="utf-8"?>
<cs:colorStyle xmlns:cs="http://schemas.microsoft.com/office/drawing/2012/chartStyle" xmlns:a="http://schemas.openxmlformats.org/drawingml/2006/main" meth="withinLinear" id="15">
  <a:schemeClr val="accent2"/>
</cs:colorStyle>
</file>

<file path=word/charts/colors13.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Kro08</b:Tag>
    <b:SourceType>ArticleInAPeriodical</b:SourceType>
    <b:Guid>{18CCC9DD-05CC-4399-84A6-4E883DA185BE}</b:Guid>
    <b:Author>
      <b:Author>
        <b:NameList>
          <b:Person>
            <b:Last>Kromhout</b:Last>
            <b:First>Bas</b:First>
          </b:Person>
          <b:Person>
            <b:Last>Oving</b:Last>
            <b:First>Rens</b:First>
          </b:Person>
        </b:NameList>
      </b:Author>
    </b:Author>
    <b:Title>Geschiedenis van de hypotheekrenteaftrek </b:Title>
    <b:PeriodicalTitle>Historisch Nieuwsblad</b:PeriodicalTitle>
    <b:Year>2008</b:Year>
    <b:Month>July</b:Month>
    <b:RefOrder>1</b:RefOrder>
  </b:Source>
  <b:Source>
    <b:Tag>Rij18</b:Tag>
    <b:SourceType>InternetSite</b:SourceType>
    <b:Guid>{1E00D755-991B-4A83-B631-4AA40C03E831}</b:Guid>
    <b:Title>Belastingplan 2019</b:Title>
    <b:Year>2018</b:Year>
    <b:Month>September</b:Month>
    <b:Day>18</b:Day>
    <b:Author>
      <b:Author>
        <b:Corporate>Rijksoverheid</b:Corporate>
      </b:Author>
    </b:Author>
    <b:InternetSiteTitle>Verlaging tarief aftrekposten voor hogere inkomens</b:InternetSiteTitle>
    <b:URL>https://www.rijksoverheid.nl/onderwerpen/belastingplan/belastingwijzigingen-voor-ons-allemaal/verlaging-tarief-aftrekposten-hogere-inkomens</b:URL>
    <b:RefOrder>2</b:RefOrder>
  </b:Source>
</b:Sources>
</file>

<file path=customXml/itemProps1.xml><?xml version="1.0" encoding="utf-8"?>
<ds:datastoreItem xmlns:ds="http://schemas.openxmlformats.org/officeDocument/2006/customXml" ds:itemID="{243B32E8-DD23-4106-AD28-932952BE8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44</Pages>
  <Words>12739</Words>
  <Characters>70068</Characters>
  <Application>Microsoft Office Word</Application>
  <DocSecurity>0</DocSecurity>
  <Lines>583</Lines>
  <Paragraphs>165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Meeuwissen</dc:creator>
  <cp:keywords/>
  <dc:description/>
  <cp:lastModifiedBy>Kim Meeuwissen</cp:lastModifiedBy>
  <cp:revision>185</cp:revision>
  <dcterms:created xsi:type="dcterms:W3CDTF">2019-07-07T15:45:00Z</dcterms:created>
  <dcterms:modified xsi:type="dcterms:W3CDTF">2019-07-14T15:09:00Z</dcterms:modified>
</cp:coreProperties>
</file>