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AF21A" w14:textId="3D8A4CBD" w:rsidR="008D2E01" w:rsidRPr="00950D55" w:rsidRDefault="00212876" w:rsidP="00B15754">
      <w:pPr>
        <w:spacing w:after="0" w:line="360" w:lineRule="auto"/>
        <w:jc w:val="center"/>
        <w:rPr>
          <w:rFonts w:ascii="Calibri" w:hAnsi="Calibri" w:cs="Calibri"/>
          <w:b/>
          <w:sz w:val="28"/>
          <w:szCs w:val="24"/>
          <w:lang w:val="en-US"/>
        </w:rPr>
      </w:pPr>
      <w:r>
        <w:rPr>
          <w:rFonts w:ascii="Calibri" w:hAnsi="Calibri" w:cs="Calibri"/>
          <w:b/>
          <w:sz w:val="28"/>
          <w:szCs w:val="24"/>
          <w:lang w:val="en-US"/>
        </w:rPr>
        <w:t xml:space="preserve"> </w:t>
      </w:r>
      <w:r w:rsidR="001004EB" w:rsidRPr="00950D55">
        <w:rPr>
          <w:rFonts w:ascii="Calibri" w:hAnsi="Calibri" w:cs="Calibri"/>
          <w:b/>
          <w:sz w:val="28"/>
          <w:szCs w:val="24"/>
          <w:lang w:val="en-US"/>
        </w:rPr>
        <w:t>ERASMUS UNIVERSITY ROTTERDAM</w:t>
      </w:r>
      <w:r w:rsidR="001004EB" w:rsidRPr="00950D55">
        <w:rPr>
          <w:rFonts w:ascii="Calibri" w:hAnsi="Calibri" w:cs="Calibri"/>
          <w:b/>
          <w:sz w:val="28"/>
          <w:szCs w:val="24"/>
          <w:lang w:val="en-US"/>
        </w:rPr>
        <w:br/>
        <w:t>Erasmus School of Economics</w:t>
      </w:r>
    </w:p>
    <w:p w14:paraId="6BD6B259" w14:textId="77777777" w:rsidR="001004EB" w:rsidRPr="00950D55" w:rsidRDefault="001004EB" w:rsidP="00B15754">
      <w:pPr>
        <w:spacing w:after="0" w:line="360" w:lineRule="auto"/>
        <w:jc w:val="center"/>
        <w:rPr>
          <w:rFonts w:ascii="Calibri" w:hAnsi="Calibri" w:cs="Calibri"/>
          <w:b/>
          <w:sz w:val="28"/>
          <w:szCs w:val="24"/>
          <w:lang w:val="en-US"/>
        </w:rPr>
      </w:pPr>
    </w:p>
    <w:p w14:paraId="2684F78B" w14:textId="77777777" w:rsidR="001004EB" w:rsidRPr="00950D55" w:rsidRDefault="001004EB" w:rsidP="00B15754">
      <w:pPr>
        <w:spacing w:after="0" w:line="360" w:lineRule="auto"/>
        <w:jc w:val="center"/>
        <w:rPr>
          <w:rFonts w:ascii="Calibri" w:hAnsi="Calibri" w:cs="Calibri"/>
          <w:b/>
          <w:sz w:val="28"/>
          <w:szCs w:val="24"/>
          <w:lang w:val="en-US"/>
        </w:rPr>
      </w:pPr>
      <w:r w:rsidRPr="00950D55">
        <w:rPr>
          <w:rFonts w:ascii="Calibri" w:hAnsi="Calibri" w:cs="Calibri"/>
          <w:b/>
          <w:sz w:val="28"/>
          <w:szCs w:val="24"/>
          <w:lang w:val="en-US"/>
        </w:rPr>
        <w:t>Bachelor Thesis Major Economics of Markets and Organizations</w:t>
      </w:r>
    </w:p>
    <w:p w14:paraId="56196909" w14:textId="77777777" w:rsidR="001004EB" w:rsidRPr="00950D55" w:rsidRDefault="001004EB" w:rsidP="00FD4F93">
      <w:pPr>
        <w:spacing w:after="0" w:line="360" w:lineRule="auto"/>
        <w:rPr>
          <w:rFonts w:ascii="Calibri" w:hAnsi="Calibri" w:cs="Calibri"/>
          <w:sz w:val="24"/>
          <w:szCs w:val="24"/>
          <w:lang w:val="en-US"/>
        </w:rPr>
      </w:pPr>
    </w:p>
    <w:p w14:paraId="3E9D17D6" w14:textId="65F93F1C" w:rsidR="001004EB" w:rsidRPr="00950D55" w:rsidRDefault="001004EB" w:rsidP="00FD4F93">
      <w:pPr>
        <w:spacing w:after="0" w:line="360" w:lineRule="auto"/>
        <w:rPr>
          <w:rFonts w:ascii="Calibri" w:hAnsi="Calibri" w:cs="Calibri"/>
          <w:sz w:val="24"/>
          <w:szCs w:val="24"/>
          <w:lang w:val="en-US"/>
        </w:rPr>
      </w:pPr>
    </w:p>
    <w:p w14:paraId="2BA83978" w14:textId="77777777" w:rsidR="001004EB" w:rsidRPr="00950D55" w:rsidRDefault="001004EB" w:rsidP="00B15754">
      <w:pPr>
        <w:spacing w:after="0" w:line="360" w:lineRule="auto"/>
        <w:jc w:val="center"/>
        <w:rPr>
          <w:rFonts w:ascii="Calibri" w:hAnsi="Calibri" w:cs="Calibri"/>
          <w:sz w:val="24"/>
          <w:szCs w:val="24"/>
          <w:lang w:val="en-US"/>
        </w:rPr>
      </w:pPr>
    </w:p>
    <w:p w14:paraId="6FB18A6E" w14:textId="77777777" w:rsidR="001004EB" w:rsidRPr="00950D55" w:rsidRDefault="00A367A8" w:rsidP="00B15754">
      <w:pPr>
        <w:spacing w:after="0" w:line="360" w:lineRule="auto"/>
        <w:jc w:val="center"/>
        <w:rPr>
          <w:rFonts w:ascii="Calibri" w:hAnsi="Calibri" w:cs="Calibri"/>
          <w:b/>
          <w:sz w:val="40"/>
          <w:szCs w:val="24"/>
          <w:lang w:val="en-US"/>
        </w:rPr>
      </w:pPr>
      <w:r w:rsidRPr="00950D55">
        <w:rPr>
          <w:rFonts w:ascii="Calibri" w:hAnsi="Calibri" w:cs="Calibri"/>
          <w:b/>
          <w:sz w:val="40"/>
          <w:szCs w:val="24"/>
          <w:lang w:val="en-US"/>
        </w:rPr>
        <w:t>High brand drug prices in presence of generic drugs</w:t>
      </w:r>
    </w:p>
    <w:p w14:paraId="09189600" w14:textId="77777777" w:rsidR="001004EB" w:rsidRPr="00950D55" w:rsidRDefault="001004EB" w:rsidP="00FD4F93">
      <w:pPr>
        <w:spacing w:after="0" w:line="360" w:lineRule="auto"/>
        <w:rPr>
          <w:rFonts w:ascii="Calibri" w:hAnsi="Calibri" w:cs="Calibri"/>
          <w:sz w:val="24"/>
          <w:szCs w:val="24"/>
          <w:lang w:val="en-US"/>
        </w:rPr>
      </w:pPr>
    </w:p>
    <w:p w14:paraId="0F3F312E" w14:textId="77777777" w:rsidR="001004EB" w:rsidRPr="00950D55" w:rsidRDefault="001004EB" w:rsidP="00FD4F93">
      <w:pPr>
        <w:spacing w:after="0" w:line="360" w:lineRule="auto"/>
        <w:rPr>
          <w:rFonts w:ascii="Calibri" w:hAnsi="Calibri" w:cs="Calibri"/>
          <w:sz w:val="24"/>
          <w:szCs w:val="24"/>
          <w:lang w:val="en-US"/>
        </w:rPr>
      </w:pPr>
    </w:p>
    <w:p w14:paraId="236B989D" w14:textId="4E84D0F6" w:rsidR="001004EB" w:rsidRPr="00B02979" w:rsidRDefault="00B02979" w:rsidP="00B02979">
      <w:pPr>
        <w:spacing w:after="0" w:line="360" w:lineRule="auto"/>
        <w:jc w:val="center"/>
        <w:rPr>
          <w:rFonts w:ascii="Calibri" w:hAnsi="Calibri" w:cs="Calibri"/>
          <w:b/>
          <w:sz w:val="24"/>
          <w:szCs w:val="24"/>
          <w:lang w:val="en-US"/>
        </w:rPr>
      </w:pPr>
      <w:r w:rsidRPr="00B02979">
        <w:rPr>
          <w:rFonts w:ascii="Calibri" w:hAnsi="Calibri" w:cs="Calibri"/>
          <w:b/>
          <w:sz w:val="24"/>
          <w:szCs w:val="24"/>
          <w:lang w:val="en-US"/>
        </w:rPr>
        <w:t>Daniëlle van Buuren - 455460</w:t>
      </w:r>
    </w:p>
    <w:p w14:paraId="5D477F04" w14:textId="48C3BA8F" w:rsidR="001004EB" w:rsidRPr="00B02979" w:rsidRDefault="00B02979" w:rsidP="00B02979">
      <w:pPr>
        <w:spacing w:after="0" w:line="360" w:lineRule="auto"/>
        <w:jc w:val="center"/>
        <w:rPr>
          <w:rFonts w:ascii="Calibri" w:hAnsi="Calibri" w:cs="Calibri"/>
          <w:b/>
          <w:sz w:val="24"/>
          <w:szCs w:val="24"/>
          <w:lang w:val="en-US"/>
        </w:rPr>
      </w:pPr>
      <w:r w:rsidRPr="00B02979">
        <w:rPr>
          <w:rFonts w:ascii="Calibri" w:hAnsi="Calibri" w:cs="Calibri"/>
          <w:b/>
          <w:sz w:val="24"/>
          <w:szCs w:val="24"/>
          <w:lang w:val="en-US"/>
        </w:rPr>
        <w:t>Supervisor:</w:t>
      </w:r>
      <w:r w:rsidR="00DB22A1">
        <w:rPr>
          <w:rFonts w:ascii="Calibri" w:hAnsi="Calibri" w:cs="Calibri"/>
          <w:b/>
          <w:sz w:val="24"/>
          <w:szCs w:val="24"/>
          <w:lang w:val="en-US"/>
        </w:rPr>
        <w:t xml:space="preserve"> Dr.</w:t>
      </w:r>
      <w:r w:rsidRPr="00B02979">
        <w:rPr>
          <w:rFonts w:ascii="Calibri" w:hAnsi="Calibri" w:cs="Calibri"/>
          <w:b/>
          <w:sz w:val="24"/>
          <w:szCs w:val="24"/>
          <w:lang w:val="en-US"/>
        </w:rPr>
        <w:t xml:space="preserve"> J.J.A. </w:t>
      </w:r>
      <w:r w:rsidR="001004EB" w:rsidRPr="00B02979">
        <w:rPr>
          <w:rFonts w:ascii="Calibri" w:hAnsi="Calibri" w:cs="Calibri"/>
          <w:b/>
          <w:sz w:val="24"/>
          <w:szCs w:val="24"/>
          <w:lang w:val="en-US"/>
        </w:rPr>
        <w:t>Kamph</w:t>
      </w:r>
      <w:r w:rsidRPr="00B02979">
        <w:rPr>
          <w:rFonts w:ascii="Calibri" w:hAnsi="Calibri" w:cs="Calibri"/>
          <w:b/>
          <w:sz w:val="24"/>
          <w:szCs w:val="24"/>
          <w:lang w:val="en-US"/>
        </w:rPr>
        <w:t>orst</w:t>
      </w:r>
    </w:p>
    <w:p w14:paraId="1AE0B0E6" w14:textId="59742F56" w:rsidR="001004EB" w:rsidRPr="00B02979" w:rsidRDefault="001004EB" w:rsidP="00B02979">
      <w:pPr>
        <w:spacing w:after="0" w:line="360" w:lineRule="auto"/>
        <w:jc w:val="center"/>
        <w:rPr>
          <w:rFonts w:ascii="Calibri" w:hAnsi="Calibri" w:cs="Calibri"/>
          <w:b/>
          <w:sz w:val="24"/>
          <w:szCs w:val="24"/>
          <w:lang w:val="en-US"/>
        </w:rPr>
      </w:pPr>
      <w:r w:rsidRPr="00B02979">
        <w:rPr>
          <w:rFonts w:ascii="Calibri" w:hAnsi="Calibri" w:cs="Calibri"/>
          <w:b/>
          <w:sz w:val="24"/>
          <w:szCs w:val="24"/>
          <w:lang w:val="en-US"/>
        </w:rPr>
        <w:t>Date final version:</w:t>
      </w:r>
      <w:r w:rsidR="00727A54">
        <w:rPr>
          <w:rFonts w:ascii="Calibri" w:hAnsi="Calibri" w:cs="Calibri"/>
          <w:b/>
          <w:sz w:val="24"/>
          <w:szCs w:val="24"/>
          <w:lang w:val="en-US"/>
        </w:rPr>
        <w:t xml:space="preserve"> 23-7-2019</w:t>
      </w:r>
    </w:p>
    <w:p w14:paraId="38EF1603" w14:textId="77777777" w:rsidR="001004EB" w:rsidRPr="00950D55" w:rsidRDefault="001004EB" w:rsidP="00FD4F93">
      <w:pPr>
        <w:spacing w:after="0" w:line="360" w:lineRule="auto"/>
        <w:rPr>
          <w:rFonts w:ascii="Calibri" w:hAnsi="Calibri" w:cs="Calibri"/>
          <w:sz w:val="24"/>
          <w:szCs w:val="24"/>
          <w:lang w:val="en-US"/>
        </w:rPr>
      </w:pPr>
    </w:p>
    <w:p w14:paraId="21BEC802" w14:textId="332648CD" w:rsidR="00B02979" w:rsidRPr="00950D55" w:rsidRDefault="00B02979" w:rsidP="00FD4F93">
      <w:pPr>
        <w:spacing w:after="0" w:line="360" w:lineRule="auto"/>
        <w:rPr>
          <w:rFonts w:ascii="Calibri" w:hAnsi="Calibri" w:cs="Calibri"/>
          <w:sz w:val="24"/>
          <w:szCs w:val="24"/>
          <w:lang w:val="en-US"/>
        </w:rPr>
      </w:pPr>
    </w:p>
    <w:p w14:paraId="6A63AC93" w14:textId="45ED979C" w:rsidR="00B02979" w:rsidRPr="00B02979" w:rsidRDefault="00B02979" w:rsidP="00B02979">
      <w:pPr>
        <w:spacing w:after="0" w:line="360" w:lineRule="auto"/>
        <w:jc w:val="center"/>
        <w:rPr>
          <w:b/>
          <w:sz w:val="32"/>
          <w:szCs w:val="32"/>
          <w:lang w:val="en-US"/>
        </w:rPr>
      </w:pPr>
      <w:r w:rsidRPr="00950D55">
        <w:rPr>
          <w:b/>
          <w:sz w:val="32"/>
          <w:szCs w:val="32"/>
          <w:lang w:val="en-US"/>
        </w:rPr>
        <w:t>Abstract</w:t>
      </w:r>
    </w:p>
    <w:p w14:paraId="34BBC5ED" w14:textId="77777777" w:rsidR="00B02979" w:rsidRDefault="00B02979" w:rsidP="00B02979">
      <w:pPr>
        <w:spacing w:after="0" w:line="360" w:lineRule="auto"/>
        <w:jc w:val="both"/>
        <w:rPr>
          <w:sz w:val="24"/>
          <w:szCs w:val="32"/>
          <w:lang w:val="en-US"/>
        </w:rPr>
      </w:pPr>
    </w:p>
    <w:p w14:paraId="1F3E58AF" w14:textId="6124DAD2" w:rsidR="001004EB" w:rsidRPr="00950D55" w:rsidRDefault="00B02979" w:rsidP="005C35F0">
      <w:pPr>
        <w:spacing w:after="0" w:line="360" w:lineRule="auto"/>
        <w:jc w:val="both"/>
        <w:rPr>
          <w:rFonts w:ascii="Calibri" w:hAnsi="Calibri" w:cs="Calibri"/>
          <w:sz w:val="24"/>
          <w:szCs w:val="24"/>
          <w:lang w:val="en-US"/>
        </w:rPr>
      </w:pPr>
      <w:r>
        <w:rPr>
          <w:sz w:val="24"/>
          <w:szCs w:val="32"/>
          <w:lang w:val="en-US"/>
        </w:rPr>
        <w:t xml:space="preserve">This thesis examined why brand drug firms charge high prices compared to their generic competitors. This thesis also looked at the possibility to deter generic entry. </w:t>
      </w:r>
      <w:r w:rsidR="005670AA">
        <w:rPr>
          <w:sz w:val="24"/>
          <w:szCs w:val="32"/>
          <w:lang w:val="en-US"/>
        </w:rPr>
        <w:t>Using</w:t>
      </w:r>
      <w:r w:rsidR="00151A9D">
        <w:rPr>
          <w:sz w:val="24"/>
          <w:szCs w:val="32"/>
          <w:lang w:val="en-US"/>
        </w:rPr>
        <w:t xml:space="preserve"> Stackelberg-Bertrand competition model with vertical differentiation,</w:t>
      </w:r>
      <w:r>
        <w:rPr>
          <w:sz w:val="24"/>
          <w:szCs w:val="32"/>
          <w:lang w:val="en-US"/>
        </w:rPr>
        <w:t xml:space="preserve"> it becomes clear that it is not profitable for the brand firm to det</w:t>
      </w:r>
      <w:r w:rsidR="00151A9D">
        <w:rPr>
          <w:sz w:val="24"/>
          <w:szCs w:val="32"/>
          <w:lang w:val="en-US"/>
        </w:rPr>
        <w:t>er entry. This thesis shows that i</w:t>
      </w:r>
      <w:r>
        <w:rPr>
          <w:sz w:val="24"/>
          <w:szCs w:val="32"/>
          <w:lang w:val="en-US"/>
        </w:rPr>
        <w:t xml:space="preserve">t is optimal for the brand firm to compete with generic firms in the pharmaceutical market. </w:t>
      </w:r>
      <w:r w:rsidR="00CA5030">
        <w:rPr>
          <w:sz w:val="24"/>
          <w:szCs w:val="32"/>
          <w:lang w:val="en-US"/>
        </w:rPr>
        <w:t>However, they compete for different types of consumers. Some consumers are more risk-averse than others</w:t>
      </w:r>
      <w:r>
        <w:rPr>
          <w:sz w:val="24"/>
          <w:szCs w:val="32"/>
          <w:lang w:val="en-US"/>
        </w:rPr>
        <w:t>. This gives the brand firm market power since he is the only supplier for</w:t>
      </w:r>
      <w:r w:rsidR="00CA5030">
        <w:rPr>
          <w:sz w:val="24"/>
          <w:szCs w:val="32"/>
          <w:lang w:val="en-US"/>
        </w:rPr>
        <w:t xml:space="preserve"> the </w:t>
      </w:r>
      <w:r w:rsidR="00373366">
        <w:rPr>
          <w:sz w:val="24"/>
          <w:szCs w:val="32"/>
          <w:lang w:val="en-US"/>
        </w:rPr>
        <w:t>more</w:t>
      </w:r>
      <w:bookmarkStart w:id="0" w:name="_GoBack"/>
      <w:bookmarkEnd w:id="0"/>
      <w:r w:rsidR="00CA5030">
        <w:rPr>
          <w:sz w:val="24"/>
          <w:szCs w:val="32"/>
          <w:lang w:val="en-US"/>
        </w:rPr>
        <w:t xml:space="preserve"> risk-averse consumers. The generic firms</w:t>
      </w:r>
      <w:r>
        <w:rPr>
          <w:sz w:val="24"/>
          <w:szCs w:val="32"/>
          <w:lang w:val="en-US"/>
        </w:rPr>
        <w:t xml:space="preserve"> compete with each other for the </w:t>
      </w:r>
      <w:r w:rsidR="00CA5030">
        <w:rPr>
          <w:sz w:val="24"/>
          <w:szCs w:val="32"/>
          <w:lang w:val="en-US"/>
        </w:rPr>
        <w:t>less risk-averse consumers</w:t>
      </w:r>
      <w:r>
        <w:rPr>
          <w:sz w:val="24"/>
          <w:szCs w:val="32"/>
          <w:lang w:val="en-US"/>
        </w:rPr>
        <w:t xml:space="preserve">. The brand drug firm act as a Stackelberg leader and uses the reaction function of the generic firm to determine his optimal, and higher, drug price.  </w:t>
      </w:r>
    </w:p>
    <w:p w14:paraId="148A8F5A" w14:textId="2BDCA8B0" w:rsidR="00151A9D" w:rsidRDefault="00151A9D" w:rsidP="00755BA9">
      <w:pPr>
        <w:spacing w:after="0" w:line="360" w:lineRule="auto"/>
        <w:jc w:val="both"/>
        <w:rPr>
          <w:rFonts w:ascii="Calibri" w:hAnsi="Calibri" w:cs="Calibri"/>
          <w:sz w:val="20"/>
          <w:szCs w:val="24"/>
          <w:lang w:val="en-US"/>
        </w:rPr>
      </w:pPr>
    </w:p>
    <w:p w14:paraId="4B40412D" w14:textId="77777777" w:rsidR="00C203B7" w:rsidRDefault="00C203B7" w:rsidP="00755BA9">
      <w:pPr>
        <w:spacing w:after="0" w:line="360" w:lineRule="auto"/>
        <w:jc w:val="both"/>
        <w:rPr>
          <w:rFonts w:ascii="Calibri" w:hAnsi="Calibri" w:cs="Calibri"/>
          <w:sz w:val="20"/>
          <w:szCs w:val="24"/>
          <w:lang w:val="en-US"/>
        </w:rPr>
      </w:pPr>
    </w:p>
    <w:p w14:paraId="75CA9B36" w14:textId="5EC3B1D8" w:rsidR="001004EB" w:rsidRPr="00950D55" w:rsidRDefault="001004EB" w:rsidP="00755BA9">
      <w:pPr>
        <w:spacing w:after="0" w:line="360" w:lineRule="auto"/>
        <w:jc w:val="both"/>
        <w:rPr>
          <w:b/>
          <w:sz w:val="32"/>
          <w:szCs w:val="32"/>
          <w:lang w:val="en-US"/>
        </w:rPr>
      </w:pPr>
      <w:r w:rsidRPr="00950D55">
        <w:rPr>
          <w:rFonts w:ascii="Calibri" w:hAnsi="Calibri" w:cs="Calibri"/>
          <w:sz w:val="20"/>
          <w:szCs w:val="24"/>
          <w:lang w:val="en-US"/>
        </w:rPr>
        <w:t xml:space="preserve">The views stated in this thesis are those of the author and not necessarily those of Erasmus School of Economics or Erasmus University Rotterdam. </w:t>
      </w:r>
      <w:r w:rsidR="00755BA9">
        <w:rPr>
          <w:sz w:val="24"/>
          <w:szCs w:val="32"/>
          <w:lang w:val="en-US"/>
        </w:rPr>
        <w:t xml:space="preserve"> </w:t>
      </w:r>
      <w:r w:rsidRPr="00950D55">
        <w:rPr>
          <w:b/>
          <w:sz w:val="32"/>
          <w:szCs w:val="32"/>
          <w:lang w:val="en-US"/>
        </w:rPr>
        <w:br w:type="page"/>
      </w:r>
    </w:p>
    <w:sdt>
      <w:sdtPr>
        <w:rPr>
          <w:rFonts w:asciiTheme="minorHAnsi" w:eastAsiaTheme="minorHAnsi" w:hAnsiTheme="minorHAnsi" w:cstheme="minorBidi"/>
          <w:color w:val="auto"/>
          <w:sz w:val="22"/>
          <w:szCs w:val="22"/>
          <w:lang w:val="en-US" w:eastAsia="en-US"/>
        </w:rPr>
        <w:id w:val="1113329615"/>
        <w:docPartObj>
          <w:docPartGallery w:val="Table of Contents"/>
          <w:docPartUnique/>
        </w:docPartObj>
      </w:sdtPr>
      <w:sdtEndPr>
        <w:rPr>
          <w:b/>
          <w:bCs/>
        </w:rPr>
      </w:sdtEndPr>
      <w:sdtContent>
        <w:p w14:paraId="78B15FFF" w14:textId="77777777" w:rsidR="001004EB" w:rsidRPr="00950D55" w:rsidRDefault="001004EB" w:rsidP="0012385D">
          <w:pPr>
            <w:pStyle w:val="Kopvaninhoudsopgave"/>
            <w:spacing w:before="0" w:line="360" w:lineRule="auto"/>
            <w:jc w:val="center"/>
            <w:rPr>
              <w:b/>
              <w:color w:val="auto"/>
              <w:lang w:val="en-US"/>
            </w:rPr>
          </w:pPr>
          <w:r w:rsidRPr="00950D55">
            <w:rPr>
              <w:b/>
              <w:color w:val="auto"/>
              <w:lang w:val="en-US"/>
            </w:rPr>
            <w:t>Table of contents</w:t>
          </w:r>
        </w:p>
        <w:p w14:paraId="47BCC3BB" w14:textId="77777777" w:rsidR="001004EB" w:rsidRPr="0061584F" w:rsidRDefault="001004EB" w:rsidP="00990160">
          <w:pPr>
            <w:spacing w:after="0" w:line="360" w:lineRule="auto"/>
            <w:rPr>
              <w:sz w:val="24"/>
              <w:szCs w:val="24"/>
              <w:lang w:val="en-US" w:eastAsia="nl-NL"/>
            </w:rPr>
          </w:pPr>
        </w:p>
        <w:p w14:paraId="44CF0EFB" w14:textId="451E5AAD" w:rsidR="00727A54" w:rsidRDefault="001004EB">
          <w:pPr>
            <w:pStyle w:val="Inhopg1"/>
            <w:tabs>
              <w:tab w:val="right" w:leader="dot" w:pos="9062"/>
            </w:tabs>
            <w:rPr>
              <w:rFonts w:eastAsiaTheme="minorEastAsia"/>
              <w:noProof/>
              <w:lang w:val="en-US"/>
            </w:rPr>
          </w:pPr>
          <w:r w:rsidRPr="0061584F">
            <w:rPr>
              <w:sz w:val="24"/>
              <w:szCs w:val="24"/>
              <w:lang w:val="en-US"/>
            </w:rPr>
            <w:fldChar w:fldCharType="begin"/>
          </w:r>
          <w:r w:rsidRPr="0061584F">
            <w:rPr>
              <w:sz w:val="24"/>
              <w:szCs w:val="24"/>
              <w:lang w:val="en-US"/>
            </w:rPr>
            <w:instrText xml:space="preserve"> TOC \o "1-3" \h \z \u </w:instrText>
          </w:r>
          <w:r w:rsidRPr="0061584F">
            <w:rPr>
              <w:sz w:val="24"/>
              <w:szCs w:val="24"/>
              <w:lang w:val="en-US"/>
            </w:rPr>
            <w:fldChar w:fldCharType="separate"/>
          </w:r>
          <w:hyperlink w:anchor="_Toc14787836" w:history="1">
            <w:r w:rsidR="00727A54" w:rsidRPr="004C45A7">
              <w:rPr>
                <w:rStyle w:val="Hyperlink"/>
                <w:b/>
                <w:noProof/>
                <w:lang w:val="en-US"/>
              </w:rPr>
              <w:t>Introduction</w:t>
            </w:r>
            <w:r w:rsidR="00727A54">
              <w:rPr>
                <w:noProof/>
                <w:webHidden/>
              </w:rPr>
              <w:tab/>
            </w:r>
            <w:r w:rsidR="00727A54">
              <w:rPr>
                <w:noProof/>
                <w:webHidden/>
              </w:rPr>
              <w:fldChar w:fldCharType="begin"/>
            </w:r>
            <w:r w:rsidR="00727A54">
              <w:rPr>
                <w:noProof/>
                <w:webHidden/>
              </w:rPr>
              <w:instrText xml:space="preserve"> PAGEREF _Toc14787836 \h </w:instrText>
            </w:r>
            <w:r w:rsidR="00727A54">
              <w:rPr>
                <w:noProof/>
                <w:webHidden/>
              </w:rPr>
            </w:r>
            <w:r w:rsidR="00727A54">
              <w:rPr>
                <w:noProof/>
                <w:webHidden/>
              </w:rPr>
              <w:fldChar w:fldCharType="separate"/>
            </w:r>
            <w:r w:rsidR="00727A54">
              <w:rPr>
                <w:noProof/>
                <w:webHidden/>
              </w:rPr>
              <w:t>3</w:t>
            </w:r>
            <w:r w:rsidR="00727A54">
              <w:rPr>
                <w:noProof/>
                <w:webHidden/>
              </w:rPr>
              <w:fldChar w:fldCharType="end"/>
            </w:r>
          </w:hyperlink>
        </w:p>
        <w:p w14:paraId="567E9484" w14:textId="2DE3B29A" w:rsidR="00727A54" w:rsidRDefault="00EE5DF1">
          <w:pPr>
            <w:pStyle w:val="Inhopg1"/>
            <w:tabs>
              <w:tab w:val="right" w:leader="dot" w:pos="9062"/>
            </w:tabs>
            <w:rPr>
              <w:rFonts w:eastAsiaTheme="minorEastAsia"/>
              <w:noProof/>
              <w:lang w:val="en-US"/>
            </w:rPr>
          </w:pPr>
          <w:hyperlink w:anchor="_Toc14787837" w:history="1">
            <w:r w:rsidR="00727A54" w:rsidRPr="004C45A7">
              <w:rPr>
                <w:rStyle w:val="Hyperlink"/>
                <w:b/>
                <w:noProof/>
                <w:lang w:val="en-US"/>
              </w:rPr>
              <w:t>1. Literature overview of the US pharmaceutical market</w:t>
            </w:r>
            <w:r w:rsidR="00727A54">
              <w:rPr>
                <w:noProof/>
                <w:webHidden/>
              </w:rPr>
              <w:tab/>
            </w:r>
            <w:r w:rsidR="00727A54">
              <w:rPr>
                <w:noProof/>
                <w:webHidden/>
              </w:rPr>
              <w:fldChar w:fldCharType="begin"/>
            </w:r>
            <w:r w:rsidR="00727A54">
              <w:rPr>
                <w:noProof/>
                <w:webHidden/>
              </w:rPr>
              <w:instrText xml:space="preserve"> PAGEREF _Toc14787837 \h </w:instrText>
            </w:r>
            <w:r w:rsidR="00727A54">
              <w:rPr>
                <w:noProof/>
                <w:webHidden/>
              </w:rPr>
            </w:r>
            <w:r w:rsidR="00727A54">
              <w:rPr>
                <w:noProof/>
                <w:webHidden/>
              </w:rPr>
              <w:fldChar w:fldCharType="separate"/>
            </w:r>
            <w:r w:rsidR="00727A54">
              <w:rPr>
                <w:noProof/>
                <w:webHidden/>
              </w:rPr>
              <w:t>6</w:t>
            </w:r>
            <w:r w:rsidR="00727A54">
              <w:rPr>
                <w:noProof/>
                <w:webHidden/>
              </w:rPr>
              <w:fldChar w:fldCharType="end"/>
            </w:r>
          </w:hyperlink>
        </w:p>
        <w:p w14:paraId="511463EB" w14:textId="239D8D78" w:rsidR="00727A54" w:rsidRDefault="00EE5DF1">
          <w:pPr>
            <w:pStyle w:val="Inhopg2"/>
            <w:tabs>
              <w:tab w:val="right" w:leader="dot" w:pos="9062"/>
            </w:tabs>
            <w:rPr>
              <w:rFonts w:eastAsiaTheme="minorEastAsia"/>
              <w:noProof/>
              <w:lang w:val="en-US"/>
            </w:rPr>
          </w:pPr>
          <w:hyperlink w:anchor="_Toc14787838" w:history="1">
            <w:r w:rsidR="00727A54" w:rsidRPr="004C45A7">
              <w:rPr>
                <w:rStyle w:val="Hyperlink"/>
                <w:b/>
                <w:noProof/>
                <w:lang w:val="en-US"/>
              </w:rPr>
              <w:t>1.1 Trends in the use of brand and generic drugs</w:t>
            </w:r>
            <w:r w:rsidR="00727A54">
              <w:rPr>
                <w:noProof/>
                <w:webHidden/>
              </w:rPr>
              <w:tab/>
            </w:r>
            <w:r w:rsidR="00727A54">
              <w:rPr>
                <w:noProof/>
                <w:webHidden/>
              </w:rPr>
              <w:fldChar w:fldCharType="begin"/>
            </w:r>
            <w:r w:rsidR="00727A54">
              <w:rPr>
                <w:noProof/>
                <w:webHidden/>
              </w:rPr>
              <w:instrText xml:space="preserve"> PAGEREF _Toc14787838 \h </w:instrText>
            </w:r>
            <w:r w:rsidR="00727A54">
              <w:rPr>
                <w:noProof/>
                <w:webHidden/>
              </w:rPr>
            </w:r>
            <w:r w:rsidR="00727A54">
              <w:rPr>
                <w:noProof/>
                <w:webHidden/>
              </w:rPr>
              <w:fldChar w:fldCharType="separate"/>
            </w:r>
            <w:r w:rsidR="00727A54">
              <w:rPr>
                <w:noProof/>
                <w:webHidden/>
              </w:rPr>
              <w:t>6</w:t>
            </w:r>
            <w:r w:rsidR="00727A54">
              <w:rPr>
                <w:noProof/>
                <w:webHidden/>
              </w:rPr>
              <w:fldChar w:fldCharType="end"/>
            </w:r>
          </w:hyperlink>
        </w:p>
        <w:p w14:paraId="164A11A7" w14:textId="326DAB67" w:rsidR="00727A54" w:rsidRDefault="00EE5DF1">
          <w:pPr>
            <w:pStyle w:val="Inhopg2"/>
            <w:tabs>
              <w:tab w:val="right" w:leader="dot" w:pos="9062"/>
            </w:tabs>
            <w:rPr>
              <w:rFonts w:eastAsiaTheme="minorEastAsia"/>
              <w:noProof/>
              <w:lang w:val="en-US"/>
            </w:rPr>
          </w:pPr>
          <w:hyperlink w:anchor="_Toc14787839" w:history="1">
            <w:r w:rsidR="00727A54" w:rsidRPr="004C45A7">
              <w:rPr>
                <w:rStyle w:val="Hyperlink"/>
                <w:b/>
                <w:noProof/>
                <w:lang w:val="en-US"/>
              </w:rPr>
              <w:t>1.2 Brand loyalty</w:t>
            </w:r>
            <w:r w:rsidR="00727A54">
              <w:rPr>
                <w:noProof/>
                <w:webHidden/>
              </w:rPr>
              <w:tab/>
            </w:r>
            <w:r w:rsidR="00727A54">
              <w:rPr>
                <w:noProof/>
                <w:webHidden/>
              </w:rPr>
              <w:fldChar w:fldCharType="begin"/>
            </w:r>
            <w:r w:rsidR="00727A54">
              <w:rPr>
                <w:noProof/>
                <w:webHidden/>
              </w:rPr>
              <w:instrText xml:space="preserve"> PAGEREF _Toc14787839 \h </w:instrText>
            </w:r>
            <w:r w:rsidR="00727A54">
              <w:rPr>
                <w:noProof/>
                <w:webHidden/>
              </w:rPr>
            </w:r>
            <w:r w:rsidR="00727A54">
              <w:rPr>
                <w:noProof/>
                <w:webHidden/>
              </w:rPr>
              <w:fldChar w:fldCharType="separate"/>
            </w:r>
            <w:r w:rsidR="00727A54">
              <w:rPr>
                <w:noProof/>
                <w:webHidden/>
              </w:rPr>
              <w:t>8</w:t>
            </w:r>
            <w:r w:rsidR="00727A54">
              <w:rPr>
                <w:noProof/>
                <w:webHidden/>
              </w:rPr>
              <w:fldChar w:fldCharType="end"/>
            </w:r>
          </w:hyperlink>
        </w:p>
        <w:p w14:paraId="329400FF" w14:textId="026A8B6D" w:rsidR="00727A54" w:rsidRDefault="00EE5DF1">
          <w:pPr>
            <w:pStyle w:val="Inhopg2"/>
            <w:tabs>
              <w:tab w:val="right" w:leader="dot" w:pos="9062"/>
            </w:tabs>
            <w:rPr>
              <w:rFonts w:eastAsiaTheme="minorEastAsia"/>
              <w:noProof/>
              <w:lang w:val="en-US"/>
            </w:rPr>
          </w:pPr>
          <w:hyperlink w:anchor="_Toc14787840" w:history="1">
            <w:r w:rsidR="00727A54" w:rsidRPr="004C45A7">
              <w:rPr>
                <w:rStyle w:val="Hyperlink"/>
                <w:b/>
                <w:noProof/>
                <w:lang w:val="en-US"/>
              </w:rPr>
              <w:t>1.3 Product-line extensions</w:t>
            </w:r>
            <w:r w:rsidR="00727A54">
              <w:rPr>
                <w:noProof/>
                <w:webHidden/>
              </w:rPr>
              <w:tab/>
            </w:r>
            <w:r w:rsidR="00727A54">
              <w:rPr>
                <w:noProof/>
                <w:webHidden/>
              </w:rPr>
              <w:fldChar w:fldCharType="begin"/>
            </w:r>
            <w:r w:rsidR="00727A54">
              <w:rPr>
                <w:noProof/>
                <w:webHidden/>
              </w:rPr>
              <w:instrText xml:space="preserve"> PAGEREF _Toc14787840 \h </w:instrText>
            </w:r>
            <w:r w:rsidR="00727A54">
              <w:rPr>
                <w:noProof/>
                <w:webHidden/>
              </w:rPr>
            </w:r>
            <w:r w:rsidR="00727A54">
              <w:rPr>
                <w:noProof/>
                <w:webHidden/>
              </w:rPr>
              <w:fldChar w:fldCharType="separate"/>
            </w:r>
            <w:r w:rsidR="00727A54">
              <w:rPr>
                <w:noProof/>
                <w:webHidden/>
              </w:rPr>
              <w:t>9</w:t>
            </w:r>
            <w:r w:rsidR="00727A54">
              <w:rPr>
                <w:noProof/>
                <w:webHidden/>
              </w:rPr>
              <w:fldChar w:fldCharType="end"/>
            </w:r>
          </w:hyperlink>
        </w:p>
        <w:p w14:paraId="72F6FB7E" w14:textId="5EAEADE9" w:rsidR="00727A54" w:rsidRDefault="00EE5DF1">
          <w:pPr>
            <w:pStyle w:val="Inhopg1"/>
            <w:tabs>
              <w:tab w:val="right" w:leader="dot" w:pos="9062"/>
            </w:tabs>
            <w:rPr>
              <w:rFonts w:eastAsiaTheme="minorEastAsia"/>
              <w:noProof/>
              <w:lang w:val="en-US"/>
            </w:rPr>
          </w:pPr>
          <w:hyperlink w:anchor="_Toc14787841" w:history="1">
            <w:r w:rsidR="00727A54" w:rsidRPr="004C45A7">
              <w:rPr>
                <w:rStyle w:val="Hyperlink"/>
                <w:b/>
                <w:noProof/>
                <w:lang w:val="en-US"/>
              </w:rPr>
              <w:t>2. The model</w:t>
            </w:r>
            <w:r w:rsidR="00727A54">
              <w:rPr>
                <w:noProof/>
                <w:webHidden/>
              </w:rPr>
              <w:tab/>
            </w:r>
            <w:r w:rsidR="00727A54">
              <w:rPr>
                <w:noProof/>
                <w:webHidden/>
              </w:rPr>
              <w:fldChar w:fldCharType="begin"/>
            </w:r>
            <w:r w:rsidR="00727A54">
              <w:rPr>
                <w:noProof/>
                <w:webHidden/>
              </w:rPr>
              <w:instrText xml:space="preserve"> PAGEREF _Toc14787841 \h </w:instrText>
            </w:r>
            <w:r w:rsidR="00727A54">
              <w:rPr>
                <w:noProof/>
                <w:webHidden/>
              </w:rPr>
            </w:r>
            <w:r w:rsidR="00727A54">
              <w:rPr>
                <w:noProof/>
                <w:webHidden/>
              </w:rPr>
              <w:fldChar w:fldCharType="separate"/>
            </w:r>
            <w:r w:rsidR="00727A54">
              <w:rPr>
                <w:noProof/>
                <w:webHidden/>
              </w:rPr>
              <w:t>11</w:t>
            </w:r>
            <w:r w:rsidR="00727A54">
              <w:rPr>
                <w:noProof/>
                <w:webHidden/>
              </w:rPr>
              <w:fldChar w:fldCharType="end"/>
            </w:r>
          </w:hyperlink>
        </w:p>
        <w:p w14:paraId="081B0E35" w14:textId="4D00BB5B" w:rsidR="00727A54" w:rsidRDefault="00EE5DF1">
          <w:pPr>
            <w:pStyle w:val="Inhopg1"/>
            <w:tabs>
              <w:tab w:val="right" w:leader="dot" w:pos="9062"/>
            </w:tabs>
            <w:rPr>
              <w:rFonts w:eastAsiaTheme="minorEastAsia"/>
              <w:noProof/>
              <w:lang w:val="en-US"/>
            </w:rPr>
          </w:pPr>
          <w:hyperlink w:anchor="_Toc14787842" w:history="1">
            <w:r w:rsidR="00727A54" w:rsidRPr="004C45A7">
              <w:rPr>
                <w:rStyle w:val="Hyperlink"/>
                <w:b/>
                <w:noProof/>
                <w:lang w:val="en-US"/>
              </w:rPr>
              <w:t>3. Analysis</w:t>
            </w:r>
            <w:r w:rsidR="00727A54">
              <w:rPr>
                <w:noProof/>
                <w:webHidden/>
              </w:rPr>
              <w:tab/>
            </w:r>
            <w:r w:rsidR="00727A54">
              <w:rPr>
                <w:noProof/>
                <w:webHidden/>
              </w:rPr>
              <w:fldChar w:fldCharType="begin"/>
            </w:r>
            <w:r w:rsidR="00727A54">
              <w:rPr>
                <w:noProof/>
                <w:webHidden/>
              </w:rPr>
              <w:instrText xml:space="preserve"> PAGEREF _Toc14787842 \h </w:instrText>
            </w:r>
            <w:r w:rsidR="00727A54">
              <w:rPr>
                <w:noProof/>
                <w:webHidden/>
              </w:rPr>
            </w:r>
            <w:r w:rsidR="00727A54">
              <w:rPr>
                <w:noProof/>
                <w:webHidden/>
              </w:rPr>
              <w:fldChar w:fldCharType="separate"/>
            </w:r>
            <w:r w:rsidR="00727A54">
              <w:rPr>
                <w:noProof/>
                <w:webHidden/>
              </w:rPr>
              <w:t>14</w:t>
            </w:r>
            <w:r w:rsidR="00727A54">
              <w:rPr>
                <w:noProof/>
                <w:webHidden/>
              </w:rPr>
              <w:fldChar w:fldCharType="end"/>
            </w:r>
          </w:hyperlink>
        </w:p>
        <w:p w14:paraId="10FCBD6E" w14:textId="2EABE700" w:rsidR="00727A54" w:rsidRDefault="00EE5DF1">
          <w:pPr>
            <w:pStyle w:val="Inhopg2"/>
            <w:tabs>
              <w:tab w:val="right" w:leader="dot" w:pos="9062"/>
            </w:tabs>
            <w:rPr>
              <w:rFonts w:eastAsiaTheme="minorEastAsia"/>
              <w:noProof/>
              <w:lang w:val="en-US"/>
            </w:rPr>
          </w:pPr>
          <w:hyperlink w:anchor="_Toc14787843" w:history="1">
            <w:r w:rsidR="00727A54" w:rsidRPr="004C45A7">
              <w:rPr>
                <w:rStyle w:val="Hyperlink"/>
                <w:b/>
                <w:noProof/>
                <w:lang w:val="en-US"/>
              </w:rPr>
              <w:t>3.1 The brand firm as a monopolist</w:t>
            </w:r>
            <w:r w:rsidR="00727A54">
              <w:rPr>
                <w:noProof/>
                <w:webHidden/>
              </w:rPr>
              <w:tab/>
            </w:r>
            <w:r w:rsidR="00727A54">
              <w:rPr>
                <w:noProof/>
                <w:webHidden/>
              </w:rPr>
              <w:fldChar w:fldCharType="begin"/>
            </w:r>
            <w:r w:rsidR="00727A54">
              <w:rPr>
                <w:noProof/>
                <w:webHidden/>
              </w:rPr>
              <w:instrText xml:space="preserve"> PAGEREF _Toc14787843 \h </w:instrText>
            </w:r>
            <w:r w:rsidR="00727A54">
              <w:rPr>
                <w:noProof/>
                <w:webHidden/>
              </w:rPr>
            </w:r>
            <w:r w:rsidR="00727A54">
              <w:rPr>
                <w:noProof/>
                <w:webHidden/>
              </w:rPr>
              <w:fldChar w:fldCharType="separate"/>
            </w:r>
            <w:r w:rsidR="00727A54">
              <w:rPr>
                <w:noProof/>
                <w:webHidden/>
              </w:rPr>
              <w:t>14</w:t>
            </w:r>
            <w:r w:rsidR="00727A54">
              <w:rPr>
                <w:noProof/>
                <w:webHidden/>
              </w:rPr>
              <w:fldChar w:fldCharType="end"/>
            </w:r>
          </w:hyperlink>
        </w:p>
        <w:p w14:paraId="4AFBE4F3" w14:textId="5FD74A25" w:rsidR="00727A54" w:rsidRDefault="00EE5DF1">
          <w:pPr>
            <w:pStyle w:val="Inhopg2"/>
            <w:tabs>
              <w:tab w:val="right" w:leader="dot" w:pos="9062"/>
            </w:tabs>
            <w:rPr>
              <w:rFonts w:eastAsiaTheme="minorEastAsia"/>
              <w:noProof/>
              <w:lang w:val="en-US"/>
            </w:rPr>
          </w:pPr>
          <w:hyperlink w:anchor="_Toc14787844" w:history="1">
            <w:r w:rsidR="00727A54" w:rsidRPr="004C45A7">
              <w:rPr>
                <w:rStyle w:val="Hyperlink"/>
                <w:b/>
                <w:noProof/>
                <w:lang w:val="en-US"/>
              </w:rPr>
              <w:t>3.2 Generic entry and competition</w:t>
            </w:r>
            <w:r w:rsidR="00727A54">
              <w:rPr>
                <w:noProof/>
                <w:webHidden/>
              </w:rPr>
              <w:tab/>
            </w:r>
            <w:r w:rsidR="00727A54">
              <w:rPr>
                <w:noProof/>
                <w:webHidden/>
              </w:rPr>
              <w:fldChar w:fldCharType="begin"/>
            </w:r>
            <w:r w:rsidR="00727A54">
              <w:rPr>
                <w:noProof/>
                <w:webHidden/>
              </w:rPr>
              <w:instrText xml:space="preserve"> PAGEREF _Toc14787844 \h </w:instrText>
            </w:r>
            <w:r w:rsidR="00727A54">
              <w:rPr>
                <w:noProof/>
                <w:webHidden/>
              </w:rPr>
            </w:r>
            <w:r w:rsidR="00727A54">
              <w:rPr>
                <w:noProof/>
                <w:webHidden/>
              </w:rPr>
              <w:fldChar w:fldCharType="separate"/>
            </w:r>
            <w:r w:rsidR="00727A54">
              <w:rPr>
                <w:noProof/>
                <w:webHidden/>
              </w:rPr>
              <w:t>14</w:t>
            </w:r>
            <w:r w:rsidR="00727A54">
              <w:rPr>
                <w:noProof/>
                <w:webHidden/>
              </w:rPr>
              <w:fldChar w:fldCharType="end"/>
            </w:r>
          </w:hyperlink>
        </w:p>
        <w:p w14:paraId="3C8B1CC3" w14:textId="3CEDF65D" w:rsidR="00727A54" w:rsidRDefault="00EE5DF1">
          <w:pPr>
            <w:pStyle w:val="Inhopg3"/>
            <w:tabs>
              <w:tab w:val="right" w:leader="dot" w:pos="9062"/>
            </w:tabs>
            <w:rPr>
              <w:rFonts w:eastAsiaTheme="minorEastAsia"/>
              <w:noProof/>
              <w:lang w:val="en-US"/>
            </w:rPr>
          </w:pPr>
          <w:hyperlink w:anchor="_Toc14787845" w:history="1">
            <w:r w:rsidR="00727A54" w:rsidRPr="004C45A7">
              <w:rPr>
                <w:rStyle w:val="Hyperlink"/>
                <w:b/>
                <w:noProof/>
                <w:lang w:val="en-US"/>
              </w:rPr>
              <w:t>3.2.1 One brand firm and one generic firm</w:t>
            </w:r>
            <w:r w:rsidR="00727A54">
              <w:rPr>
                <w:noProof/>
                <w:webHidden/>
              </w:rPr>
              <w:tab/>
            </w:r>
            <w:r w:rsidR="00727A54">
              <w:rPr>
                <w:noProof/>
                <w:webHidden/>
              </w:rPr>
              <w:fldChar w:fldCharType="begin"/>
            </w:r>
            <w:r w:rsidR="00727A54">
              <w:rPr>
                <w:noProof/>
                <w:webHidden/>
              </w:rPr>
              <w:instrText xml:space="preserve"> PAGEREF _Toc14787845 \h </w:instrText>
            </w:r>
            <w:r w:rsidR="00727A54">
              <w:rPr>
                <w:noProof/>
                <w:webHidden/>
              </w:rPr>
            </w:r>
            <w:r w:rsidR="00727A54">
              <w:rPr>
                <w:noProof/>
                <w:webHidden/>
              </w:rPr>
              <w:fldChar w:fldCharType="separate"/>
            </w:r>
            <w:r w:rsidR="00727A54">
              <w:rPr>
                <w:noProof/>
                <w:webHidden/>
              </w:rPr>
              <w:t>15</w:t>
            </w:r>
            <w:r w:rsidR="00727A54">
              <w:rPr>
                <w:noProof/>
                <w:webHidden/>
              </w:rPr>
              <w:fldChar w:fldCharType="end"/>
            </w:r>
          </w:hyperlink>
        </w:p>
        <w:p w14:paraId="3FDB408D" w14:textId="36A0079D" w:rsidR="00727A54" w:rsidRDefault="00EE5DF1">
          <w:pPr>
            <w:pStyle w:val="Inhopg3"/>
            <w:tabs>
              <w:tab w:val="right" w:leader="dot" w:pos="9062"/>
            </w:tabs>
            <w:rPr>
              <w:rFonts w:eastAsiaTheme="minorEastAsia"/>
              <w:noProof/>
              <w:lang w:val="en-US"/>
            </w:rPr>
          </w:pPr>
          <w:hyperlink w:anchor="_Toc14787846" w:history="1">
            <w:r w:rsidR="00727A54" w:rsidRPr="004C45A7">
              <w:rPr>
                <w:rStyle w:val="Hyperlink"/>
                <w:b/>
                <w:noProof/>
                <w:lang w:val="en-US"/>
              </w:rPr>
              <w:t>3.2.2 One brand firm and two generic firms</w:t>
            </w:r>
            <w:r w:rsidR="00727A54">
              <w:rPr>
                <w:noProof/>
                <w:webHidden/>
              </w:rPr>
              <w:tab/>
            </w:r>
            <w:r w:rsidR="00727A54">
              <w:rPr>
                <w:noProof/>
                <w:webHidden/>
              </w:rPr>
              <w:fldChar w:fldCharType="begin"/>
            </w:r>
            <w:r w:rsidR="00727A54">
              <w:rPr>
                <w:noProof/>
                <w:webHidden/>
              </w:rPr>
              <w:instrText xml:space="preserve"> PAGEREF _Toc14787846 \h </w:instrText>
            </w:r>
            <w:r w:rsidR="00727A54">
              <w:rPr>
                <w:noProof/>
                <w:webHidden/>
              </w:rPr>
            </w:r>
            <w:r w:rsidR="00727A54">
              <w:rPr>
                <w:noProof/>
                <w:webHidden/>
              </w:rPr>
              <w:fldChar w:fldCharType="separate"/>
            </w:r>
            <w:r w:rsidR="00727A54">
              <w:rPr>
                <w:noProof/>
                <w:webHidden/>
              </w:rPr>
              <w:t>17</w:t>
            </w:r>
            <w:r w:rsidR="00727A54">
              <w:rPr>
                <w:noProof/>
                <w:webHidden/>
              </w:rPr>
              <w:fldChar w:fldCharType="end"/>
            </w:r>
          </w:hyperlink>
        </w:p>
        <w:p w14:paraId="594847A6" w14:textId="4C4A61CA" w:rsidR="00727A54" w:rsidRDefault="00EE5DF1">
          <w:pPr>
            <w:pStyle w:val="Inhopg3"/>
            <w:tabs>
              <w:tab w:val="right" w:leader="dot" w:pos="9062"/>
            </w:tabs>
            <w:rPr>
              <w:rFonts w:eastAsiaTheme="minorEastAsia"/>
              <w:noProof/>
              <w:lang w:val="en-US"/>
            </w:rPr>
          </w:pPr>
          <w:hyperlink w:anchor="_Toc14787847" w:history="1">
            <w:r w:rsidR="00727A54" w:rsidRPr="004C45A7">
              <w:rPr>
                <w:rStyle w:val="Hyperlink"/>
                <w:b/>
                <w:noProof/>
                <w:lang w:val="en-US"/>
              </w:rPr>
              <w:t>2.2.3 One brand firm and n generic firms</w:t>
            </w:r>
            <w:r w:rsidR="00727A54">
              <w:rPr>
                <w:noProof/>
                <w:webHidden/>
              </w:rPr>
              <w:tab/>
            </w:r>
            <w:r w:rsidR="00727A54">
              <w:rPr>
                <w:noProof/>
                <w:webHidden/>
              </w:rPr>
              <w:fldChar w:fldCharType="begin"/>
            </w:r>
            <w:r w:rsidR="00727A54">
              <w:rPr>
                <w:noProof/>
                <w:webHidden/>
              </w:rPr>
              <w:instrText xml:space="preserve"> PAGEREF _Toc14787847 \h </w:instrText>
            </w:r>
            <w:r w:rsidR="00727A54">
              <w:rPr>
                <w:noProof/>
                <w:webHidden/>
              </w:rPr>
            </w:r>
            <w:r w:rsidR="00727A54">
              <w:rPr>
                <w:noProof/>
                <w:webHidden/>
              </w:rPr>
              <w:fldChar w:fldCharType="separate"/>
            </w:r>
            <w:r w:rsidR="00727A54">
              <w:rPr>
                <w:noProof/>
                <w:webHidden/>
              </w:rPr>
              <w:t>19</w:t>
            </w:r>
            <w:r w:rsidR="00727A54">
              <w:rPr>
                <w:noProof/>
                <w:webHidden/>
              </w:rPr>
              <w:fldChar w:fldCharType="end"/>
            </w:r>
          </w:hyperlink>
        </w:p>
        <w:p w14:paraId="44F190C2" w14:textId="49F70B7D" w:rsidR="00727A54" w:rsidRDefault="00EE5DF1">
          <w:pPr>
            <w:pStyle w:val="Inhopg1"/>
            <w:tabs>
              <w:tab w:val="right" w:leader="dot" w:pos="9062"/>
            </w:tabs>
            <w:rPr>
              <w:rFonts w:eastAsiaTheme="minorEastAsia"/>
              <w:noProof/>
              <w:lang w:val="en-US"/>
            </w:rPr>
          </w:pPr>
          <w:hyperlink w:anchor="_Toc14787848" w:history="1">
            <w:r w:rsidR="00727A54" w:rsidRPr="004C45A7">
              <w:rPr>
                <w:rStyle w:val="Hyperlink"/>
                <w:b/>
                <w:noProof/>
                <w:lang w:val="en-US"/>
              </w:rPr>
              <w:t>4. Entry deterring in the pharmaceutical market</w:t>
            </w:r>
            <w:r w:rsidR="00727A54">
              <w:rPr>
                <w:noProof/>
                <w:webHidden/>
              </w:rPr>
              <w:tab/>
            </w:r>
            <w:r w:rsidR="00727A54">
              <w:rPr>
                <w:noProof/>
                <w:webHidden/>
              </w:rPr>
              <w:fldChar w:fldCharType="begin"/>
            </w:r>
            <w:r w:rsidR="00727A54">
              <w:rPr>
                <w:noProof/>
                <w:webHidden/>
              </w:rPr>
              <w:instrText xml:space="preserve"> PAGEREF _Toc14787848 \h </w:instrText>
            </w:r>
            <w:r w:rsidR="00727A54">
              <w:rPr>
                <w:noProof/>
                <w:webHidden/>
              </w:rPr>
            </w:r>
            <w:r w:rsidR="00727A54">
              <w:rPr>
                <w:noProof/>
                <w:webHidden/>
              </w:rPr>
              <w:fldChar w:fldCharType="separate"/>
            </w:r>
            <w:r w:rsidR="00727A54">
              <w:rPr>
                <w:noProof/>
                <w:webHidden/>
              </w:rPr>
              <w:t>20</w:t>
            </w:r>
            <w:r w:rsidR="00727A54">
              <w:rPr>
                <w:noProof/>
                <w:webHidden/>
              </w:rPr>
              <w:fldChar w:fldCharType="end"/>
            </w:r>
          </w:hyperlink>
        </w:p>
        <w:p w14:paraId="024B3A12" w14:textId="6E8B94A8" w:rsidR="00727A54" w:rsidRDefault="00EE5DF1">
          <w:pPr>
            <w:pStyle w:val="Inhopg2"/>
            <w:tabs>
              <w:tab w:val="right" w:leader="dot" w:pos="9062"/>
            </w:tabs>
            <w:rPr>
              <w:rFonts w:eastAsiaTheme="minorEastAsia"/>
              <w:noProof/>
              <w:lang w:val="en-US"/>
            </w:rPr>
          </w:pPr>
          <w:hyperlink w:anchor="_Toc14787849" w:history="1">
            <w:r w:rsidR="00727A54" w:rsidRPr="004C45A7">
              <w:rPr>
                <w:rStyle w:val="Hyperlink"/>
                <w:b/>
                <w:noProof/>
                <w:lang w:val="en-US"/>
              </w:rPr>
              <w:t>4.1 Lock-in consumers</w:t>
            </w:r>
            <w:r w:rsidR="00727A54">
              <w:rPr>
                <w:noProof/>
                <w:webHidden/>
              </w:rPr>
              <w:tab/>
            </w:r>
            <w:r w:rsidR="00727A54">
              <w:rPr>
                <w:noProof/>
                <w:webHidden/>
              </w:rPr>
              <w:fldChar w:fldCharType="begin"/>
            </w:r>
            <w:r w:rsidR="00727A54">
              <w:rPr>
                <w:noProof/>
                <w:webHidden/>
              </w:rPr>
              <w:instrText xml:space="preserve"> PAGEREF _Toc14787849 \h </w:instrText>
            </w:r>
            <w:r w:rsidR="00727A54">
              <w:rPr>
                <w:noProof/>
                <w:webHidden/>
              </w:rPr>
            </w:r>
            <w:r w:rsidR="00727A54">
              <w:rPr>
                <w:noProof/>
                <w:webHidden/>
              </w:rPr>
              <w:fldChar w:fldCharType="separate"/>
            </w:r>
            <w:r w:rsidR="00727A54">
              <w:rPr>
                <w:noProof/>
                <w:webHidden/>
              </w:rPr>
              <w:t>20</w:t>
            </w:r>
            <w:r w:rsidR="00727A54">
              <w:rPr>
                <w:noProof/>
                <w:webHidden/>
              </w:rPr>
              <w:fldChar w:fldCharType="end"/>
            </w:r>
          </w:hyperlink>
        </w:p>
        <w:p w14:paraId="1AFF84FB" w14:textId="79F720B7" w:rsidR="00727A54" w:rsidRDefault="00EE5DF1">
          <w:pPr>
            <w:pStyle w:val="Inhopg2"/>
            <w:tabs>
              <w:tab w:val="right" w:leader="dot" w:pos="9062"/>
            </w:tabs>
            <w:rPr>
              <w:rFonts w:eastAsiaTheme="minorEastAsia"/>
              <w:noProof/>
              <w:lang w:val="en-US"/>
            </w:rPr>
          </w:pPr>
          <w:hyperlink w:anchor="_Toc14787850" w:history="1">
            <w:r w:rsidR="00727A54" w:rsidRPr="004C45A7">
              <w:rPr>
                <w:rStyle w:val="Hyperlink"/>
                <w:b/>
                <w:noProof/>
                <w:lang w:val="en-US"/>
              </w:rPr>
              <w:t>4.2 First-mover advantages</w:t>
            </w:r>
            <w:r w:rsidR="00727A54">
              <w:rPr>
                <w:noProof/>
                <w:webHidden/>
              </w:rPr>
              <w:tab/>
            </w:r>
            <w:r w:rsidR="00727A54">
              <w:rPr>
                <w:noProof/>
                <w:webHidden/>
              </w:rPr>
              <w:fldChar w:fldCharType="begin"/>
            </w:r>
            <w:r w:rsidR="00727A54">
              <w:rPr>
                <w:noProof/>
                <w:webHidden/>
              </w:rPr>
              <w:instrText xml:space="preserve"> PAGEREF _Toc14787850 \h </w:instrText>
            </w:r>
            <w:r w:rsidR="00727A54">
              <w:rPr>
                <w:noProof/>
                <w:webHidden/>
              </w:rPr>
            </w:r>
            <w:r w:rsidR="00727A54">
              <w:rPr>
                <w:noProof/>
                <w:webHidden/>
              </w:rPr>
              <w:fldChar w:fldCharType="separate"/>
            </w:r>
            <w:r w:rsidR="00727A54">
              <w:rPr>
                <w:noProof/>
                <w:webHidden/>
              </w:rPr>
              <w:t>20</w:t>
            </w:r>
            <w:r w:rsidR="00727A54">
              <w:rPr>
                <w:noProof/>
                <w:webHidden/>
              </w:rPr>
              <w:fldChar w:fldCharType="end"/>
            </w:r>
          </w:hyperlink>
        </w:p>
        <w:p w14:paraId="579D4CC1" w14:textId="57C15B9B" w:rsidR="00727A54" w:rsidRDefault="00EE5DF1">
          <w:pPr>
            <w:pStyle w:val="Inhopg2"/>
            <w:tabs>
              <w:tab w:val="right" w:leader="dot" w:pos="9062"/>
            </w:tabs>
            <w:rPr>
              <w:rFonts w:eastAsiaTheme="minorEastAsia"/>
              <w:noProof/>
              <w:lang w:val="en-US"/>
            </w:rPr>
          </w:pPr>
          <w:hyperlink w:anchor="_Toc14787851" w:history="1">
            <w:r w:rsidR="00727A54" w:rsidRPr="004C45A7">
              <w:rPr>
                <w:rStyle w:val="Hyperlink"/>
                <w:b/>
                <w:noProof/>
                <w:lang w:val="en-US"/>
              </w:rPr>
              <w:t>4.3 Deciding on entry deterring behavior</w:t>
            </w:r>
            <w:r w:rsidR="00727A54">
              <w:rPr>
                <w:noProof/>
                <w:webHidden/>
              </w:rPr>
              <w:tab/>
            </w:r>
            <w:r w:rsidR="00727A54">
              <w:rPr>
                <w:noProof/>
                <w:webHidden/>
              </w:rPr>
              <w:fldChar w:fldCharType="begin"/>
            </w:r>
            <w:r w:rsidR="00727A54">
              <w:rPr>
                <w:noProof/>
                <w:webHidden/>
              </w:rPr>
              <w:instrText xml:space="preserve"> PAGEREF _Toc14787851 \h </w:instrText>
            </w:r>
            <w:r w:rsidR="00727A54">
              <w:rPr>
                <w:noProof/>
                <w:webHidden/>
              </w:rPr>
            </w:r>
            <w:r w:rsidR="00727A54">
              <w:rPr>
                <w:noProof/>
                <w:webHidden/>
              </w:rPr>
              <w:fldChar w:fldCharType="separate"/>
            </w:r>
            <w:r w:rsidR="00727A54">
              <w:rPr>
                <w:noProof/>
                <w:webHidden/>
              </w:rPr>
              <w:t>21</w:t>
            </w:r>
            <w:r w:rsidR="00727A54">
              <w:rPr>
                <w:noProof/>
                <w:webHidden/>
              </w:rPr>
              <w:fldChar w:fldCharType="end"/>
            </w:r>
          </w:hyperlink>
        </w:p>
        <w:p w14:paraId="4896621A" w14:textId="68B5DD49" w:rsidR="00727A54" w:rsidRDefault="00EE5DF1">
          <w:pPr>
            <w:pStyle w:val="Inhopg1"/>
            <w:tabs>
              <w:tab w:val="right" w:leader="dot" w:pos="9062"/>
            </w:tabs>
            <w:rPr>
              <w:rFonts w:eastAsiaTheme="minorEastAsia"/>
              <w:noProof/>
              <w:lang w:val="en-US"/>
            </w:rPr>
          </w:pPr>
          <w:hyperlink w:anchor="_Toc14787852" w:history="1">
            <w:r w:rsidR="00727A54" w:rsidRPr="004C45A7">
              <w:rPr>
                <w:rStyle w:val="Hyperlink"/>
                <w:b/>
                <w:noProof/>
                <w:lang w:val="en-US"/>
              </w:rPr>
              <w:t>Conclusion &amp; Discussion</w:t>
            </w:r>
            <w:r w:rsidR="00727A54">
              <w:rPr>
                <w:noProof/>
                <w:webHidden/>
              </w:rPr>
              <w:tab/>
            </w:r>
            <w:r w:rsidR="00727A54">
              <w:rPr>
                <w:noProof/>
                <w:webHidden/>
              </w:rPr>
              <w:fldChar w:fldCharType="begin"/>
            </w:r>
            <w:r w:rsidR="00727A54">
              <w:rPr>
                <w:noProof/>
                <w:webHidden/>
              </w:rPr>
              <w:instrText xml:space="preserve"> PAGEREF _Toc14787852 \h </w:instrText>
            </w:r>
            <w:r w:rsidR="00727A54">
              <w:rPr>
                <w:noProof/>
                <w:webHidden/>
              </w:rPr>
            </w:r>
            <w:r w:rsidR="00727A54">
              <w:rPr>
                <w:noProof/>
                <w:webHidden/>
              </w:rPr>
              <w:fldChar w:fldCharType="separate"/>
            </w:r>
            <w:r w:rsidR="00727A54">
              <w:rPr>
                <w:noProof/>
                <w:webHidden/>
              </w:rPr>
              <w:t>23</w:t>
            </w:r>
            <w:r w:rsidR="00727A54">
              <w:rPr>
                <w:noProof/>
                <w:webHidden/>
              </w:rPr>
              <w:fldChar w:fldCharType="end"/>
            </w:r>
          </w:hyperlink>
        </w:p>
        <w:p w14:paraId="4C3E5F0E" w14:textId="70559088" w:rsidR="00727A54" w:rsidRDefault="00EE5DF1">
          <w:pPr>
            <w:pStyle w:val="Inhopg1"/>
            <w:tabs>
              <w:tab w:val="right" w:leader="dot" w:pos="9062"/>
            </w:tabs>
            <w:rPr>
              <w:rFonts w:eastAsiaTheme="minorEastAsia"/>
              <w:noProof/>
              <w:lang w:val="en-US"/>
            </w:rPr>
          </w:pPr>
          <w:hyperlink w:anchor="_Toc14787853" w:history="1">
            <w:r w:rsidR="00727A54" w:rsidRPr="004C45A7">
              <w:rPr>
                <w:rStyle w:val="Hyperlink"/>
                <w:b/>
                <w:noProof/>
                <w:lang w:val="en-US"/>
              </w:rPr>
              <w:t>References</w:t>
            </w:r>
            <w:r w:rsidR="00727A54">
              <w:rPr>
                <w:noProof/>
                <w:webHidden/>
              </w:rPr>
              <w:tab/>
            </w:r>
            <w:r w:rsidR="00727A54">
              <w:rPr>
                <w:noProof/>
                <w:webHidden/>
              </w:rPr>
              <w:fldChar w:fldCharType="begin"/>
            </w:r>
            <w:r w:rsidR="00727A54">
              <w:rPr>
                <w:noProof/>
                <w:webHidden/>
              </w:rPr>
              <w:instrText xml:space="preserve"> PAGEREF _Toc14787853 \h </w:instrText>
            </w:r>
            <w:r w:rsidR="00727A54">
              <w:rPr>
                <w:noProof/>
                <w:webHidden/>
              </w:rPr>
            </w:r>
            <w:r w:rsidR="00727A54">
              <w:rPr>
                <w:noProof/>
                <w:webHidden/>
              </w:rPr>
              <w:fldChar w:fldCharType="separate"/>
            </w:r>
            <w:r w:rsidR="00727A54">
              <w:rPr>
                <w:noProof/>
                <w:webHidden/>
              </w:rPr>
              <w:t>25</w:t>
            </w:r>
            <w:r w:rsidR="00727A54">
              <w:rPr>
                <w:noProof/>
                <w:webHidden/>
              </w:rPr>
              <w:fldChar w:fldCharType="end"/>
            </w:r>
          </w:hyperlink>
        </w:p>
        <w:p w14:paraId="0FD16D3D" w14:textId="6C34AB3C" w:rsidR="00727A54" w:rsidRDefault="00EE5DF1">
          <w:pPr>
            <w:pStyle w:val="Inhopg1"/>
            <w:tabs>
              <w:tab w:val="right" w:leader="dot" w:pos="9062"/>
            </w:tabs>
            <w:rPr>
              <w:rFonts w:eastAsiaTheme="minorEastAsia"/>
              <w:noProof/>
              <w:lang w:val="en-US"/>
            </w:rPr>
          </w:pPr>
          <w:hyperlink w:anchor="_Toc14787854" w:history="1">
            <w:r w:rsidR="00727A54" w:rsidRPr="004C45A7">
              <w:rPr>
                <w:rStyle w:val="Hyperlink"/>
                <w:b/>
                <w:noProof/>
                <w:lang w:val="en-US"/>
              </w:rPr>
              <w:t>Appendix 1: The model</w:t>
            </w:r>
            <w:r w:rsidR="00727A54">
              <w:rPr>
                <w:noProof/>
                <w:webHidden/>
              </w:rPr>
              <w:tab/>
            </w:r>
            <w:r w:rsidR="00727A54">
              <w:rPr>
                <w:noProof/>
                <w:webHidden/>
              </w:rPr>
              <w:fldChar w:fldCharType="begin"/>
            </w:r>
            <w:r w:rsidR="00727A54">
              <w:rPr>
                <w:noProof/>
                <w:webHidden/>
              </w:rPr>
              <w:instrText xml:space="preserve"> PAGEREF _Toc14787854 \h </w:instrText>
            </w:r>
            <w:r w:rsidR="00727A54">
              <w:rPr>
                <w:noProof/>
                <w:webHidden/>
              </w:rPr>
            </w:r>
            <w:r w:rsidR="00727A54">
              <w:rPr>
                <w:noProof/>
                <w:webHidden/>
              </w:rPr>
              <w:fldChar w:fldCharType="separate"/>
            </w:r>
            <w:r w:rsidR="00727A54">
              <w:rPr>
                <w:noProof/>
                <w:webHidden/>
              </w:rPr>
              <w:t>27</w:t>
            </w:r>
            <w:r w:rsidR="00727A54">
              <w:rPr>
                <w:noProof/>
                <w:webHidden/>
              </w:rPr>
              <w:fldChar w:fldCharType="end"/>
            </w:r>
          </w:hyperlink>
        </w:p>
        <w:p w14:paraId="705865C5" w14:textId="606AD1C2" w:rsidR="00727A54" w:rsidRDefault="00EE5DF1">
          <w:pPr>
            <w:pStyle w:val="Inhopg1"/>
            <w:tabs>
              <w:tab w:val="right" w:leader="dot" w:pos="9062"/>
            </w:tabs>
            <w:rPr>
              <w:rFonts w:eastAsiaTheme="minorEastAsia"/>
              <w:noProof/>
              <w:lang w:val="en-US"/>
            </w:rPr>
          </w:pPr>
          <w:hyperlink w:anchor="_Toc14787855" w:history="1">
            <w:r w:rsidR="00727A54" w:rsidRPr="004C45A7">
              <w:rPr>
                <w:rStyle w:val="Hyperlink"/>
                <w:b/>
                <w:noProof/>
                <w:lang w:val="en-US"/>
              </w:rPr>
              <w:t>Appendix 2: Entry deterring in the pharmaceutical market</w:t>
            </w:r>
            <w:r w:rsidR="00727A54">
              <w:rPr>
                <w:noProof/>
                <w:webHidden/>
              </w:rPr>
              <w:tab/>
            </w:r>
            <w:r w:rsidR="00727A54">
              <w:rPr>
                <w:noProof/>
                <w:webHidden/>
              </w:rPr>
              <w:fldChar w:fldCharType="begin"/>
            </w:r>
            <w:r w:rsidR="00727A54">
              <w:rPr>
                <w:noProof/>
                <w:webHidden/>
              </w:rPr>
              <w:instrText xml:space="preserve"> PAGEREF _Toc14787855 \h </w:instrText>
            </w:r>
            <w:r w:rsidR="00727A54">
              <w:rPr>
                <w:noProof/>
                <w:webHidden/>
              </w:rPr>
            </w:r>
            <w:r w:rsidR="00727A54">
              <w:rPr>
                <w:noProof/>
                <w:webHidden/>
              </w:rPr>
              <w:fldChar w:fldCharType="separate"/>
            </w:r>
            <w:r w:rsidR="00727A54">
              <w:rPr>
                <w:noProof/>
                <w:webHidden/>
              </w:rPr>
              <w:t>29</w:t>
            </w:r>
            <w:r w:rsidR="00727A54">
              <w:rPr>
                <w:noProof/>
                <w:webHidden/>
              </w:rPr>
              <w:fldChar w:fldCharType="end"/>
            </w:r>
          </w:hyperlink>
        </w:p>
        <w:p w14:paraId="48772792" w14:textId="349EA28F" w:rsidR="001004EB" w:rsidRPr="00950D55" w:rsidRDefault="001004EB" w:rsidP="00990160">
          <w:pPr>
            <w:spacing w:after="0" w:line="360" w:lineRule="auto"/>
            <w:rPr>
              <w:lang w:val="en-US"/>
            </w:rPr>
          </w:pPr>
          <w:r w:rsidRPr="0061584F">
            <w:rPr>
              <w:b/>
              <w:bCs/>
              <w:sz w:val="24"/>
              <w:szCs w:val="24"/>
              <w:lang w:val="en-US"/>
            </w:rPr>
            <w:fldChar w:fldCharType="end"/>
          </w:r>
        </w:p>
      </w:sdtContent>
    </w:sdt>
    <w:p w14:paraId="1E35D998" w14:textId="77777777" w:rsidR="001004EB" w:rsidRPr="00950D55" w:rsidRDefault="001004EB" w:rsidP="00FD4F93">
      <w:pPr>
        <w:spacing w:after="0" w:line="360" w:lineRule="auto"/>
        <w:rPr>
          <w:rFonts w:asciiTheme="majorHAnsi" w:eastAsiaTheme="majorEastAsia" w:hAnsiTheme="majorHAnsi" w:cstheme="majorBidi"/>
          <w:sz w:val="32"/>
          <w:szCs w:val="32"/>
          <w:lang w:val="en-US"/>
        </w:rPr>
      </w:pPr>
      <w:r w:rsidRPr="00950D55">
        <w:rPr>
          <w:lang w:val="en-US"/>
        </w:rPr>
        <w:br w:type="page"/>
      </w:r>
    </w:p>
    <w:p w14:paraId="12E94F9F" w14:textId="77777777" w:rsidR="00A367A8" w:rsidRPr="00950D55" w:rsidRDefault="001004EB" w:rsidP="0012385D">
      <w:pPr>
        <w:pStyle w:val="Kop1"/>
        <w:spacing w:before="0" w:line="360" w:lineRule="auto"/>
        <w:jc w:val="center"/>
        <w:rPr>
          <w:b/>
          <w:color w:val="auto"/>
          <w:lang w:val="en-US"/>
        </w:rPr>
      </w:pPr>
      <w:bookmarkStart w:id="1" w:name="_Toc14787836"/>
      <w:r w:rsidRPr="00950D55">
        <w:rPr>
          <w:b/>
          <w:color w:val="auto"/>
          <w:lang w:val="en-US"/>
        </w:rPr>
        <w:lastRenderedPageBreak/>
        <w:t>Introduction</w:t>
      </w:r>
      <w:bookmarkEnd w:id="1"/>
    </w:p>
    <w:p w14:paraId="1BA05178" w14:textId="77777777" w:rsidR="00A367A8" w:rsidRPr="00950D55" w:rsidRDefault="00A367A8" w:rsidP="00FD4F93">
      <w:pPr>
        <w:spacing w:after="0" w:line="360" w:lineRule="auto"/>
        <w:jc w:val="both"/>
        <w:rPr>
          <w:lang w:val="en-US"/>
        </w:rPr>
      </w:pPr>
    </w:p>
    <w:p w14:paraId="2915B33B" w14:textId="33122FB3" w:rsidR="00A8418E" w:rsidRDefault="00686351" w:rsidP="00FD4F93">
      <w:pPr>
        <w:spacing w:after="0" w:line="360" w:lineRule="auto"/>
        <w:jc w:val="both"/>
        <w:rPr>
          <w:sz w:val="24"/>
          <w:lang w:val="en-US"/>
        </w:rPr>
      </w:pPr>
      <w:r w:rsidRPr="00950D55">
        <w:rPr>
          <w:sz w:val="24"/>
          <w:lang w:val="en-US"/>
        </w:rPr>
        <w:t xml:space="preserve">For decades, it is known that drugs are </w:t>
      </w:r>
      <w:r w:rsidR="00B02979">
        <w:rPr>
          <w:sz w:val="24"/>
          <w:lang w:val="en-US"/>
        </w:rPr>
        <w:t>not cheap</w:t>
      </w:r>
      <w:r w:rsidRPr="00950D55">
        <w:rPr>
          <w:sz w:val="24"/>
          <w:lang w:val="en-US"/>
        </w:rPr>
        <w:t xml:space="preserve">. </w:t>
      </w:r>
      <w:r w:rsidR="006F3260" w:rsidRPr="00950D55">
        <w:rPr>
          <w:sz w:val="24"/>
          <w:lang w:val="en-US"/>
        </w:rPr>
        <w:t xml:space="preserve">Research for new drugs is very expensive </w:t>
      </w:r>
      <w:r w:rsidR="00024B32">
        <w:rPr>
          <w:sz w:val="24"/>
          <w:lang w:val="en-US"/>
        </w:rPr>
        <w:t xml:space="preserve">which may lead to limited discovery of new drugs. </w:t>
      </w:r>
      <w:r w:rsidR="00B02979">
        <w:rPr>
          <w:sz w:val="24"/>
          <w:lang w:val="en-US"/>
        </w:rPr>
        <w:t xml:space="preserve">New drugs have a patent for a certain period. In this period the brand firm has the right to be the only one on the market to sell this drug. This makes it possible for the brand firm to ask high prices. These high prices </w:t>
      </w:r>
      <w:r w:rsidR="00EB4E5A">
        <w:rPr>
          <w:sz w:val="24"/>
          <w:lang w:val="en-US"/>
        </w:rPr>
        <w:t>encourage</w:t>
      </w:r>
      <w:r w:rsidR="00B02979">
        <w:rPr>
          <w:sz w:val="24"/>
          <w:lang w:val="en-US"/>
        </w:rPr>
        <w:t xml:space="preserve"> supplier to incur the sunk cost of </w:t>
      </w:r>
      <w:r w:rsidR="005670AA">
        <w:rPr>
          <w:sz w:val="24"/>
          <w:lang w:val="en-US"/>
        </w:rPr>
        <w:t xml:space="preserve">developing a </w:t>
      </w:r>
      <w:r w:rsidR="00B02979">
        <w:rPr>
          <w:sz w:val="24"/>
          <w:lang w:val="en-US"/>
        </w:rPr>
        <w:t>new drug.</w:t>
      </w:r>
      <w:r w:rsidR="00A8418E">
        <w:rPr>
          <w:sz w:val="24"/>
          <w:lang w:val="en-US"/>
        </w:rPr>
        <w:t xml:space="preserve"> When the patent of the brand drug firm expired, few new entrants with cheaper drugs entered the market</w:t>
      </w:r>
      <w:r w:rsidR="005670AA">
        <w:rPr>
          <w:sz w:val="24"/>
          <w:lang w:val="en-US"/>
        </w:rPr>
        <w:t xml:space="preserve"> before 1984</w:t>
      </w:r>
      <w:r w:rsidR="00A8418E">
        <w:rPr>
          <w:sz w:val="24"/>
          <w:lang w:val="en-US"/>
        </w:rPr>
        <w:t>. Only 35% of the top-selling brand drugs faced competition from cheaper drugs</w:t>
      </w:r>
      <w:sdt>
        <w:sdtPr>
          <w:rPr>
            <w:sz w:val="24"/>
            <w:lang w:val="en-US"/>
          </w:rPr>
          <w:id w:val="-501897352"/>
          <w:citation/>
        </w:sdtPr>
        <w:sdtEndPr/>
        <w:sdtContent>
          <w:r w:rsidR="00A8418E">
            <w:rPr>
              <w:sz w:val="24"/>
              <w:lang w:val="en-US"/>
            </w:rPr>
            <w:fldChar w:fldCharType="begin"/>
          </w:r>
          <w:r w:rsidR="00A8418E" w:rsidRPr="00A8418E">
            <w:rPr>
              <w:sz w:val="24"/>
              <w:lang w:val="en-US"/>
            </w:rPr>
            <w:instrText xml:space="preserve"> CITATION Rum09 \l 1043 </w:instrText>
          </w:r>
          <w:r w:rsidR="00A8418E">
            <w:rPr>
              <w:sz w:val="24"/>
              <w:lang w:val="en-US"/>
            </w:rPr>
            <w:fldChar w:fldCharType="separate"/>
          </w:r>
          <w:r w:rsidR="00D86665">
            <w:rPr>
              <w:noProof/>
              <w:sz w:val="24"/>
              <w:lang w:val="en-US"/>
            </w:rPr>
            <w:t xml:space="preserve"> </w:t>
          </w:r>
          <w:r w:rsidR="00D86665" w:rsidRPr="00D86665">
            <w:rPr>
              <w:noProof/>
              <w:sz w:val="24"/>
              <w:lang w:val="en-US"/>
            </w:rPr>
            <w:t>(Rumore, 2009)</w:t>
          </w:r>
          <w:r w:rsidR="00A8418E">
            <w:rPr>
              <w:sz w:val="24"/>
              <w:lang w:val="en-US"/>
            </w:rPr>
            <w:fldChar w:fldCharType="end"/>
          </w:r>
        </w:sdtContent>
      </w:sdt>
      <w:r w:rsidR="00A8418E">
        <w:rPr>
          <w:sz w:val="24"/>
          <w:lang w:val="en-US"/>
        </w:rPr>
        <w:t xml:space="preserve"> So, the price of a certain drug remained high.</w:t>
      </w:r>
      <w:r w:rsidR="00024B32">
        <w:rPr>
          <w:sz w:val="24"/>
          <w:lang w:val="en-US"/>
        </w:rPr>
        <w:t xml:space="preserve"> </w:t>
      </w:r>
      <w:r w:rsidR="00B02979">
        <w:rPr>
          <w:sz w:val="24"/>
          <w:lang w:val="en-US"/>
        </w:rPr>
        <w:t xml:space="preserve">However, it is the interest of consumers to make these drugs accessible. </w:t>
      </w:r>
    </w:p>
    <w:p w14:paraId="682EB22D" w14:textId="1DD30154" w:rsidR="005D5605" w:rsidRDefault="00024B32" w:rsidP="00FD4F93">
      <w:pPr>
        <w:spacing w:after="0" w:line="360" w:lineRule="auto"/>
        <w:jc w:val="both"/>
        <w:rPr>
          <w:sz w:val="24"/>
          <w:lang w:val="en-US"/>
        </w:rPr>
      </w:pPr>
      <w:r>
        <w:rPr>
          <w:sz w:val="24"/>
          <w:lang w:val="en-US"/>
        </w:rPr>
        <w:t>To limit the</w:t>
      </w:r>
      <w:r w:rsidR="006F3260" w:rsidRPr="00950D55">
        <w:rPr>
          <w:sz w:val="24"/>
          <w:lang w:val="en-US"/>
        </w:rPr>
        <w:t xml:space="preserve"> high price and make it more affordable for consumers, but </w:t>
      </w:r>
      <w:r w:rsidR="00911462" w:rsidRPr="00950D55">
        <w:rPr>
          <w:sz w:val="24"/>
          <w:lang w:val="en-US"/>
        </w:rPr>
        <w:t xml:space="preserve">also to encourage the development and search for new drugs, the </w:t>
      </w:r>
      <w:r w:rsidR="005D5605" w:rsidRPr="00950D55">
        <w:rPr>
          <w:sz w:val="24"/>
          <w:lang w:val="en-US"/>
        </w:rPr>
        <w:t>Hatch-Waxman</w:t>
      </w:r>
      <w:r w:rsidR="00911462" w:rsidRPr="00950D55">
        <w:rPr>
          <w:sz w:val="24"/>
          <w:lang w:val="en-US"/>
        </w:rPr>
        <w:t xml:space="preserve"> Act was </w:t>
      </w:r>
      <w:r w:rsidR="006637E7" w:rsidRPr="00950D55">
        <w:rPr>
          <w:sz w:val="24"/>
          <w:lang w:val="en-US"/>
        </w:rPr>
        <w:t>approved</w:t>
      </w:r>
      <w:r w:rsidR="00911462" w:rsidRPr="00950D55">
        <w:rPr>
          <w:sz w:val="24"/>
          <w:lang w:val="en-US"/>
        </w:rPr>
        <w:t xml:space="preserve"> </w:t>
      </w:r>
      <w:r w:rsidR="006637E7" w:rsidRPr="00950D55">
        <w:rPr>
          <w:sz w:val="24"/>
          <w:lang w:val="en-US"/>
        </w:rPr>
        <w:t xml:space="preserve">in 1984 </w:t>
      </w:r>
      <w:r w:rsidR="00911462" w:rsidRPr="00950D55">
        <w:rPr>
          <w:sz w:val="24"/>
          <w:lang w:val="en-US"/>
        </w:rPr>
        <w:t>by the Congress. This act had t</w:t>
      </w:r>
      <w:r w:rsidR="006637E7" w:rsidRPr="00950D55">
        <w:rPr>
          <w:sz w:val="24"/>
          <w:lang w:val="en-US"/>
        </w:rPr>
        <w:t>wo main goals: to encourage new pharmaceutical development and to ens</w:t>
      </w:r>
      <w:r w:rsidR="00595BA3">
        <w:rPr>
          <w:sz w:val="24"/>
          <w:lang w:val="en-US"/>
        </w:rPr>
        <w:t>ure a greater access to cheaper</w:t>
      </w:r>
      <w:r w:rsidR="006637E7" w:rsidRPr="00950D55">
        <w:rPr>
          <w:sz w:val="24"/>
          <w:lang w:val="en-US"/>
        </w:rPr>
        <w:t xml:space="preserve"> drugs.</w:t>
      </w:r>
      <w:r w:rsidR="00ED1C86" w:rsidRPr="00950D55">
        <w:rPr>
          <w:sz w:val="24"/>
          <w:lang w:val="en-US"/>
        </w:rPr>
        <w:t xml:space="preserve"> </w:t>
      </w:r>
      <w:r w:rsidR="00F41119">
        <w:rPr>
          <w:sz w:val="24"/>
          <w:lang w:val="en-US"/>
        </w:rPr>
        <w:t xml:space="preserve">These cheaper drugs are also called generic drugs. These are drugs produced by another firm at a lower price compared to the brand firm. </w:t>
      </w:r>
      <w:r w:rsidR="00EC69B2">
        <w:rPr>
          <w:sz w:val="24"/>
          <w:lang w:val="en-US"/>
        </w:rPr>
        <w:t>A</w:t>
      </w:r>
      <w:r w:rsidR="00E949FD">
        <w:rPr>
          <w:sz w:val="24"/>
          <w:lang w:val="en-US"/>
        </w:rPr>
        <w:t>fter</w:t>
      </w:r>
      <w:r w:rsidR="00AD2D6B">
        <w:rPr>
          <w:sz w:val="24"/>
          <w:lang w:val="en-US"/>
        </w:rPr>
        <w:t xml:space="preserve"> the introduction of the act</w:t>
      </w:r>
      <w:r w:rsidR="005670AA">
        <w:rPr>
          <w:sz w:val="24"/>
          <w:lang w:val="en-US"/>
        </w:rPr>
        <w:t>,</w:t>
      </w:r>
      <w:r w:rsidR="00E949FD">
        <w:rPr>
          <w:sz w:val="24"/>
          <w:lang w:val="en-US"/>
        </w:rPr>
        <w:t xml:space="preserve"> </w:t>
      </w:r>
      <w:r w:rsidR="00AD2D6B">
        <w:rPr>
          <w:sz w:val="24"/>
          <w:lang w:val="en-US"/>
        </w:rPr>
        <w:t>almost all brand drugs had to deal with generic entry</w:t>
      </w:r>
      <w:sdt>
        <w:sdtPr>
          <w:rPr>
            <w:sz w:val="24"/>
            <w:lang w:val="en-US"/>
          </w:rPr>
          <w:id w:val="-706025530"/>
          <w:citation/>
        </w:sdtPr>
        <w:sdtEndPr/>
        <w:sdtContent>
          <w:r w:rsidR="00040D00">
            <w:rPr>
              <w:sz w:val="24"/>
              <w:lang w:val="en-US"/>
            </w:rPr>
            <w:fldChar w:fldCharType="begin"/>
          </w:r>
          <w:r w:rsidR="00040D00" w:rsidRPr="00040D00">
            <w:rPr>
              <w:sz w:val="24"/>
              <w:lang w:val="en-US"/>
            </w:rPr>
            <w:instrText xml:space="preserve"> CITATION Rum09 \l 1043 </w:instrText>
          </w:r>
          <w:r w:rsidR="00040D00">
            <w:rPr>
              <w:sz w:val="24"/>
              <w:lang w:val="en-US"/>
            </w:rPr>
            <w:fldChar w:fldCharType="separate"/>
          </w:r>
          <w:r w:rsidR="00D86665">
            <w:rPr>
              <w:noProof/>
              <w:sz w:val="24"/>
              <w:lang w:val="en-US"/>
            </w:rPr>
            <w:t xml:space="preserve"> </w:t>
          </w:r>
          <w:r w:rsidR="00D86665" w:rsidRPr="00D86665">
            <w:rPr>
              <w:noProof/>
              <w:sz w:val="24"/>
              <w:lang w:val="en-US"/>
            </w:rPr>
            <w:t>(Rumore, 2009)</w:t>
          </w:r>
          <w:r w:rsidR="00040D00">
            <w:rPr>
              <w:sz w:val="24"/>
              <w:lang w:val="en-US"/>
            </w:rPr>
            <w:fldChar w:fldCharType="end"/>
          </w:r>
        </w:sdtContent>
      </w:sdt>
      <w:r w:rsidR="00AD2D6B">
        <w:rPr>
          <w:sz w:val="24"/>
          <w:lang w:val="en-US"/>
        </w:rPr>
        <w:t>.</w:t>
      </w:r>
    </w:p>
    <w:p w14:paraId="6EB82647" w14:textId="77777777" w:rsidR="00EC69B2" w:rsidRPr="00950D55" w:rsidRDefault="00EC69B2" w:rsidP="00FD4F93">
      <w:pPr>
        <w:spacing w:after="0" w:line="360" w:lineRule="auto"/>
        <w:jc w:val="both"/>
        <w:rPr>
          <w:sz w:val="24"/>
          <w:lang w:val="en-US"/>
        </w:rPr>
      </w:pPr>
    </w:p>
    <w:p w14:paraId="2421223A" w14:textId="5ECCB105" w:rsidR="00D046AD" w:rsidRDefault="00ED1C86" w:rsidP="00AD2575">
      <w:pPr>
        <w:spacing w:after="0" w:line="360" w:lineRule="auto"/>
        <w:jc w:val="both"/>
        <w:rPr>
          <w:sz w:val="24"/>
          <w:lang w:val="en-US"/>
        </w:rPr>
      </w:pPr>
      <w:r w:rsidRPr="00950D55">
        <w:rPr>
          <w:sz w:val="24"/>
          <w:lang w:val="en-US"/>
        </w:rPr>
        <w:t xml:space="preserve">There are a few </w:t>
      </w:r>
      <w:r w:rsidR="005D5605" w:rsidRPr="00950D55">
        <w:rPr>
          <w:sz w:val="24"/>
          <w:lang w:val="en-US"/>
        </w:rPr>
        <w:t xml:space="preserve">changes due to the Hatch-Waxman Act. First, the generic </w:t>
      </w:r>
      <w:r w:rsidR="00040D00">
        <w:rPr>
          <w:sz w:val="24"/>
          <w:lang w:val="en-US"/>
        </w:rPr>
        <w:t>firm</w:t>
      </w:r>
      <w:r w:rsidR="005D5605" w:rsidRPr="00950D55">
        <w:rPr>
          <w:sz w:val="24"/>
          <w:lang w:val="en-US"/>
        </w:rPr>
        <w:t xml:space="preserve"> does not need to show the efficacy and safety of their drug, but they only need to submit an Abbreviated New Drug Application (ANDA). In this ANDA they prove that their drug is a bioequivalence to the original drug. An ANDA can only be filed when the original drug’s patent has expired. So generic drugs cannot </w:t>
      </w:r>
      <w:r w:rsidR="00AD2575" w:rsidRPr="00950D55">
        <w:rPr>
          <w:sz w:val="24"/>
          <w:lang w:val="en-US"/>
        </w:rPr>
        <w:t>enter</w:t>
      </w:r>
      <w:r w:rsidR="00536525">
        <w:rPr>
          <w:sz w:val="24"/>
          <w:lang w:val="en-US"/>
        </w:rPr>
        <w:t xml:space="preserve"> the market</w:t>
      </w:r>
      <w:r w:rsidR="00AD2575" w:rsidRPr="00950D55">
        <w:rPr>
          <w:sz w:val="24"/>
          <w:lang w:val="en-US"/>
        </w:rPr>
        <w:t xml:space="preserve"> unless the patent of the brand </w:t>
      </w:r>
      <w:r w:rsidR="00EB4C85" w:rsidRPr="00950D55">
        <w:rPr>
          <w:sz w:val="24"/>
          <w:lang w:val="en-US"/>
        </w:rPr>
        <w:t>supplier</w:t>
      </w:r>
      <w:r w:rsidR="00AD2575" w:rsidRPr="00950D55">
        <w:rPr>
          <w:sz w:val="24"/>
          <w:lang w:val="en-US"/>
        </w:rPr>
        <w:t xml:space="preserve"> </w:t>
      </w:r>
      <w:r w:rsidR="00EB4C85" w:rsidRPr="00950D55">
        <w:rPr>
          <w:sz w:val="24"/>
          <w:lang w:val="en-US"/>
        </w:rPr>
        <w:t xml:space="preserve">is not legit anymore. This change makes it </w:t>
      </w:r>
      <w:r w:rsidR="00AD2575" w:rsidRPr="00950D55">
        <w:rPr>
          <w:sz w:val="24"/>
          <w:lang w:val="en-US"/>
        </w:rPr>
        <w:t>much faster and cheaper</w:t>
      </w:r>
      <w:r w:rsidR="00536525">
        <w:rPr>
          <w:sz w:val="24"/>
          <w:lang w:val="en-US"/>
        </w:rPr>
        <w:t xml:space="preserve">, and thus more attractive </w:t>
      </w:r>
      <w:r w:rsidR="00EB4C85" w:rsidRPr="00950D55">
        <w:rPr>
          <w:sz w:val="24"/>
          <w:lang w:val="en-US"/>
        </w:rPr>
        <w:t>for generic suppliers</w:t>
      </w:r>
      <w:r w:rsidR="00536525">
        <w:rPr>
          <w:sz w:val="24"/>
          <w:lang w:val="en-US"/>
        </w:rPr>
        <w:t>,</w:t>
      </w:r>
      <w:r w:rsidR="00EB4C85" w:rsidRPr="00950D55">
        <w:rPr>
          <w:sz w:val="24"/>
          <w:lang w:val="en-US"/>
        </w:rPr>
        <w:t xml:space="preserve"> to enter the market</w:t>
      </w:r>
      <w:r w:rsidR="00AD2575" w:rsidRPr="00950D55">
        <w:rPr>
          <w:sz w:val="24"/>
          <w:lang w:val="en-US"/>
        </w:rPr>
        <w:t xml:space="preserve">. </w:t>
      </w:r>
      <w:r w:rsidR="00536525">
        <w:rPr>
          <w:sz w:val="24"/>
          <w:lang w:val="en-US"/>
        </w:rPr>
        <w:t>Second</w:t>
      </w:r>
      <w:r w:rsidR="00EB4C85" w:rsidRPr="00950D55">
        <w:rPr>
          <w:sz w:val="24"/>
          <w:lang w:val="en-US"/>
        </w:rPr>
        <w:t>,</w:t>
      </w:r>
      <w:r w:rsidR="00536525">
        <w:rPr>
          <w:sz w:val="24"/>
          <w:lang w:val="en-US"/>
        </w:rPr>
        <w:t xml:space="preserve"> the first generic firm</w:t>
      </w:r>
      <w:r w:rsidR="00D046AD">
        <w:rPr>
          <w:sz w:val="24"/>
          <w:lang w:val="en-US"/>
        </w:rPr>
        <w:t xml:space="preserve"> that enters the market has</w:t>
      </w:r>
      <w:r w:rsidR="005D5605" w:rsidRPr="00950D55">
        <w:rPr>
          <w:sz w:val="24"/>
          <w:lang w:val="en-US"/>
        </w:rPr>
        <w:t xml:space="preserve"> a 180-day period of exclusivity.</w:t>
      </w:r>
      <w:r w:rsidR="00AD2575" w:rsidRPr="00950D55">
        <w:rPr>
          <w:sz w:val="24"/>
          <w:lang w:val="en-US"/>
        </w:rPr>
        <w:t xml:space="preserve"> </w:t>
      </w:r>
      <w:r w:rsidR="00C20FD3" w:rsidRPr="00950D55">
        <w:rPr>
          <w:sz w:val="24"/>
          <w:lang w:val="en-US"/>
        </w:rPr>
        <w:t xml:space="preserve">During that time no other generic drug can be approved by the Food and Drug Administration (FDA). </w:t>
      </w:r>
      <w:r w:rsidR="00D046AD">
        <w:rPr>
          <w:sz w:val="24"/>
          <w:lang w:val="en-US"/>
        </w:rPr>
        <w:t xml:space="preserve">These are </w:t>
      </w:r>
      <w:r w:rsidR="00AD2575" w:rsidRPr="00950D55">
        <w:rPr>
          <w:sz w:val="24"/>
          <w:lang w:val="en-US"/>
        </w:rPr>
        <w:t>advantages for generic firms,</w:t>
      </w:r>
      <w:r w:rsidR="00D046AD">
        <w:rPr>
          <w:sz w:val="24"/>
          <w:lang w:val="en-US"/>
        </w:rPr>
        <w:t xml:space="preserve"> but</w:t>
      </w:r>
      <w:r w:rsidR="00AD2575" w:rsidRPr="00950D55">
        <w:rPr>
          <w:sz w:val="24"/>
          <w:lang w:val="en-US"/>
        </w:rPr>
        <w:t xml:space="preserve"> there are also some advantages for the brand firm. </w:t>
      </w:r>
    </w:p>
    <w:p w14:paraId="70AD3C63" w14:textId="249AEFE8" w:rsidR="00ED1C86" w:rsidRDefault="00AD2575" w:rsidP="00AD2575">
      <w:pPr>
        <w:spacing w:after="0" w:line="360" w:lineRule="auto"/>
        <w:jc w:val="both"/>
        <w:rPr>
          <w:sz w:val="24"/>
          <w:lang w:val="en-US"/>
        </w:rPr>
      </w:pPr>
      <w:r w:rsidRPr="00950D55">
        <w:rPr>
          <w:sz w:val="24"/>
          <w:lang w:val="en-US"/>
        </w:rPr>
        <w:t>The br</w:t>
      </w:r>
      <w:r w:rsidR="00EB4C85" w:rsidRPr="00950D55">
        <w:rPr>
          <w:sz w:val="24"/>
          <w:lang w:val="en-US"/>
        </w:rPr>
        <w:t>and firm has</w:t>
      </w:r>
      <w:r w:rsidR="00040D00">
        <w:rPr>
          <w:sz w:val="24"/>
          <w:lang w:val="en-US"/>
        </w:rPr>
        <w:t xml:space="preserve"> two form</w:t>
      </w:r>
      <w:r w:rsidRPr="00950D55">
        <w:rPr>
          <w:sz w:val="24"/>
          <w:lang w:val="en-US"/>
        </w:rPr>
        <w:t>s of protections. First, a five-yea</w:t>
      </w:r>
      <w:r w:rsidR="00EB4C85" w:rsidRPr="00950D55">
        <w:rPr>
          <w:sz w:val="24"/>
          <w:lang w:val="en-US"/>
        </w:rPr>
        <w:t>r period of data exclusivity is</w:t>
      </w:r>
      <w:r w:rsidRPr="00950D55">
        <w:rPr>
          <w:sz w:val="24"/>
          <w:lang w:val="en-US"/>
        </w:rPr>
        <w:t xml:space="preserve"> awarded when the </w:t>
      </w:r>
      <w:r w:rsidR="00C20FD3" w:rsidRPr="00950D55">
        <w:rPr>
          <w:sz w:val="24"/>
          <w:lang w:val="en-US"/>
        </w:rPr>
        <w:t xml:space="preserve">FDA </w:t>
      </w:r>
      <w:r w:rsidRPr="00950D55">
        <w:rPr>
          <w:sz w:val="24"/>
          <w:lang w:val="en-US"/>
        </w:rPr>
        <w:t xml:space="preserve">recognizes that the drug is a new chemical entity. During this period </w:t>
      </w:r>
      <w:r w:rsidRPr="00950D55">
        <w:rPr>
          <w:sz w:val="24"/>
          <w:lang w:val="en-US"/>
        </w:rPr>
        <w:lastRenderedPageBreak/>
        <w:t>a generic version of the drug cannot enter the market</w:t>
      </w:r>
      <w:r w:rsidR="00333E04">
        <w:rPr>
          <w:sz w:val="24"/>
          <w:lang w:val="en-US"/>
        </w:rPr>
        <w:t>. Of course, other firms can make the generic drug, but they are not allowed to send an application to the FDA for approval</w:t>
      </w:r>
      <w:r w:rsidRPr="00950D55">
        <w:rPr>
          <w:sz w:val="24"/>
          <w:lang w:val="en-US"/>
        </w:rPr>
        <w:t xml:space="preserve">. Second, the Hatch-Waxman Act gives brand drugs the opportunity to extent the patent duration. </w:t>
      </w:r>
      <w:r w:rsidR="00EB4C85" w:rsidRPr="00950D55">
        <w:rPr>
          <w:sz w:val="24"/>
          <w:lang w:val="en-US"/>
        </w:rPr>
        <w:t>This makes it more attractive for brand suppliers to develop and search for new drugs, because they will have a longer period to earn back their investment costs</w:t>
      </w:r>
      <w:sdt>
        <w:sdtPr>
          <w:rPr>
            <w:sz w:val="24"/>
            <w:lang w:val="en-US"/>
          </w:rPr>
          <w:id w:val="1618417677"/>
          <w:citation/>
        </w:sdtPr>
        <w:sdtEndPr/>
        <w:sdtContent>
          <w:r w:rsidR="00901FD0" w:rsidRPr="00950D55">
            <w:rPr>
              <w:sz w:val="24"/>
              <w:lang w:val="en-US"/>
            </w:rPr>
            <w:fldChar w:fldCharType="begin"/>
          </w:r>
          <w:r w:rsidR="00901FD0" w:rsidRPr="00950D55">
            <w:rPr>
              <w:sz w:val="24"/>
              <w:lang w:val="en-US"/>
            </w:rPr>
            <w:instrText xml:space="preserve"> CITATION Mos99 \l 1043 </w:instrText>
          </w:r>
          <w:r w:rsidR="00901FD0" w:rsidRPr="00950D55">
            <w:rPr>
              <w:sz w:val="24"/>
              <w:lang w:val="en-US"/>
            </w:rPr>
            <w:fldChar w:fldCharType="separate"/>
          </w:r>
          <w:r w:rsidR="00D86665">
            <w:rPr>
              <w:noProof/>
              <w:sz w:val="24"/>
              <w:lang w:val="en-US"/>
            </w:rPr>
            <w:t xml:space="preserve"> </w:t>
          </w:r>
          <w:r w:rsidR="00D86665" w:rsidRPr="00D86665">
            <w:rPr>
              <w:noProof/>
              <w:sz w:val="24"/>
              <w:lang w:val="en-US"/>
            </w:rPr>
            <w:t>(Mossinghoff, 1999)</w:t>
          </w:r>
          <w:r w:rsidR="00901FD0" w:rsidRPr="00950D55">
            <w:rPr>
              <w:sz w:val="24"/>
              <w:lang w:val="en-US"/>
            </w:rPr>
            <w:fldChar w:fldCharType="end"/>
          </w:r>
        </w:sdtContent>
      </w:sdt>
      <w:r w:rsidR="00EB4C85" w:rsidRPr="00950D55">
        <w:rPr>
          <w:sz w:val="24"/>
          <w:lang w:val="en-US"/>
        </w:rPr>
        <w:t xml:space="preserve">. </w:t>
      </w:r>
    </w:p>
    <w:p w14:paraId="675B4AFA" w14:textId="05CD975F" w:rsidR="00536525" w:rsidRDefault="00536525" w:rsidP="00AD2575">
      <w:pPr>
        <w:spacing w:after="0" w:line="360" w:lineRule="auto"/>
        <w:jc w:val="both"/>
        <w:rPr>
          <w:sz w:val="24"/>
          <w:lang w:val="en-US"/>
        </w:rPr>
      </w:pPr>
    </w:p>
    <w:p w14:paraId="73AC99F5" w14:textId="64782697" w:rsidR="00536525" w:rsidRPr="00950D55" w:rsidRDefault="00536525" w:rsidP="00536525">
      <w:pPr>
        <w:spacing w:after="0" w:line="360" w:lineRule="auto"/>
        <w:jc w:val="both"/>
        <w:rPr>
          <w:sz w:val="24"/>
          <w:lang w:val="en-US"/>
        </w:rPr>
      </w:pPr>
      <w:r w:rsidRPr="00950D55">
        <w:rPr>
          <w:sz w:val="24"/>
          <w:lang w:val="en-US"/>
        </w:rPr>
        <w:t>This thesis will</w:t>
      </w:r>
      <w:r w:rsidR="00F26BF2">
        <w:rPr>
          <w:sz w:val="24"/>
          <w:lang w:val="en-US"/>
        </w:rPr>
        <w:t xml:space="preserve"> only focus</w:t>
      </w:r>
      <w:r>
        <w:rPr>
          <w:sz w:val="24"/>
          <w:lang w:val="en-US"/>
        </w:rPr>
        <w:t xml:space="preserve"> on</w:t>
      </w:r>
      <w:r w:rsidRPr="00950D55">
        <w:rPr>
          <w:sz w:val="24"/>
          <w:lang w:val="en-US"/>
        </w:rPr>
        <w:t xml:space="preserve"> the drugs</w:t>
      </w:r>
      <w:r>
        <w:rPr>
          <w:sz w:val="24"/>
          <w:lang w:val="en-US"/>
        </w:rPr>
        <w:t xml:space="preserve"> </w:t>
      </w:r>
      <w:r w:rsidR="00F26BF2">
        <w:rPr>
          <w:sz w:val="24"/>
          <w:lang w:val="en-US"/>
        </w:rPr>
        <w:t>supplied</w:t>
      </w:r>
      <w:r w:rsidRPr="00950D55">
        <w:rPr>
          <w:sz w:val="24"/>
          <w:lang w:val="en-US"/>
        </w:rPr>
        <w:t xml:space="preserve"> in the United States because of the determination of market prices with no regulation. In Europe</w:t>
      </w:r>
      <w:r w:rsidR="005670AA">
        <w:rPr>
          <w:sz w:val="24"/>
          <w:lang w:val="en-US"/>
        </w:rPr>
        <w:t>, for example,</w:t>
      </w:r>
      <w:r w:rsidRPr="00950D55">
        <w:rPr>
          <w:sz w:val="24"/>
          <w:lang w:val="en-US"/>
        </w:rPr>
        <w:t xml:space="preserve"> there is a certain regulation on </w:t>
      </w:r>
      <w:r w:rsidR="00F26BF2">
        <w:rPr>
          <w:sz w:val="24"/>
          <w:lang w:val="en-US"/>
        </w:rPr>
        <w:t>drug prices</w:t>
      </w:r>
      <w:r w:rsidRPr="00950D55">
        <w:rPr>
          <w:sz w:val="24"/>
          <w:lang w:val="en-US"/>
        </w:rPr>
        <w:t xml:space="preserve">. In this </w:t>
      </w:r>
      <w:r w:rsidR="00F26BF2">
        <w:rPr>
          <w:sz w:val="24"/>
          <w:lang w:val="en-US"/>
        </w:rPr>
        <w:t>thesis models will be set up</w:t>
      </w:r>
      <w:r w:rsidRPr="00950D55">
        <w:rPr>
          <w:sz w:val="24"/>
          <w:lang w:val="en-US"/>
        </w:rPr>
        <w:t xml:space="preserve"> </w:t>
      </w:r>
      <w:r w:rsidR="00310CFC" w:rsidRPr="00950D55">
        <w:rPr>
          <w:sz w:val="24"/>
          <w:lang w:val="en-US"/>
        </w:rPr>
        <w:t>and, in those models,</w:t>
      </w:r>
      <w:r w:rsidRPr="00950D55">
        <w:rPr>
          <w:sz w:val="24"/>
          <w:lang w:val="en-US"/>
        </w:rPr>
        <w:t xml:space="preserve"> I</w:t>
      </w:r>
      <w:r>
        <w:rPr>
          <w:sz w:val="24"/>
          <w:lang w:val="en-US"/>
        </w:rPr>
        <w:t xml:space="preserve"> do not consider the possibility of price regulations</w:t>
      </w:r>
      <w:r w:rsidRPr="00950D55">
        <w:rPr>
          <w:sz w:val="24"/>
          <w:lang w:val="en-US"/>
        </w:rPr>
        <w:t xml:space="preserve">. </w:t>
      </w:r>
    </w:p>
    <w:p w14:paraId="3B34CD16" w14:textId="7430EE4D" w:rsidR="00536525" w:rsidRPr="00950D55" w:rsidRDefault="00536525" w:rsidP="00AD2575">
      <w:pPr>
        <w:spacing w:after="0" w:line="360" w:lineRule="auto"/>
        <w:jc w:val="both"/>
        <w:rPr>
          <w:sz w:val="24"/>
          <w:lang w:val="en-US"/>
        </w:rPr>
      </w:pPr>
      <w:r w:rsidRPr="00950D55">
        <w:rPr>
          <w:sz w:val="24"/>
          <w:lang w:val="en-US"/>
        </w:rPr>
        <w:t>There is also a clear change in the American pharmaceutical market for generic entry. Before 1984 ju</w:t>
      </w:r>
      <w:r w:rsidR="005670AA">
        <w:rPr>
          <w:sz w:val="24"/>
          <w:lang w:val="en-US"/>
        </w:rPr>
        <w:t>st a few generic firms entered the</w:t>
      </w:r>
      <w:r w:rsidRPr="00950D55">
        <w:rPr>
          <w:sz w:val="24"/>
          <w:lang w:val="en-US"/>
        </w:rPr>
        <w:t xml:space="preserve"> market and after the Hatch-Waxman Act this was much more. Just before the act was passed, generic drugs had about 13% of all the prescriptions </w:t>
      </w:r>
      <w:r w:rsidR="005670AA">
        <w:rPr>
          <w:sz w:val="24"/>
          <w:lang w:val="en-US"/>
        </w:rPr>
        <w:t>and in 2012 this had grown to around 80</w:t>
      </w:r>
      <w:r w:rsidRPr="00950D55">
        <w:rPr>
          <w:sz w:val="24"/>
          <w:lang w:val="en-US"/>
        </w:rPr>
        <w:t xml:space="preserve">% </w:t>
      </w:r>
      <w:sdt>
        <w:sdtPr>
          <w:rPr>
            <w:sz w:val="24"/>
            <w:lang w:val="en-US"/>
          </w:rPr>
          <w:id w:val="-1820656285"/>
          <w:citation/>
        </w:sdtPr>
        <w:sdtEndPr/>
        <w:sdtContent>
          <w:r w:rsidRPr="00950D55">
            <w:rPr>
              <w:sz w:val="24"/>
              <w:lang w:val="en-US"/>
            </w:rPr>
            <w:fldChar w:fldCharType="begin"/>
          </w:r>
          <w:r w:rsidRPr="00950D55">
            <w:rPr>
              <w:sz w:val="24"/>
              <w:lang w:val="en-US"/>
            </w:rPr>
            <w:instrText xml:space="preserve">CITATION Boe13 \l 1043 </w:instrText>
          </w:r>
          <w:r w:rsidRPr="00950D55">
            <w:rPr>
              <w:sz w:val="24"/>
              <w:lang w:val="en-US"/>
            </w:rPr>
            <w:fldChar w:fldCharType="separate"/>
          </w:r>
          <w:r w:rsidR="00D86665" w:rsidRPr="00D86665">
            <w:rPr>
              <w:noProof/>
              <w:sz w:val="24"/>
              <w:lang w:val="en-US"/>
            </w:rPr>
            <w:t>(Boehm, Yao, Han, &amp; Zheng, 2013)</w:t>
          </w:r>
          <w:r w:rsidRPr="00950D55">
            <w:rPr>
              <w:sz w:val="24"/>
              <w:lang w:val="en-US"/>
            </w:rPr>
            <w:fldChar w:fldCharType="end"/>
          </w:r>
        </w:sdtContent>
      </w:sdt>
      <w:r w:rsidRPr="00950D55">
        <w:rPr>
          <w:sz w:val="24"/>
          <w:lang w:val="en-US"/>
        </w:rPr>
        <w:t xml:space="preserve">. </w:t>
      </w:r>
    </w:p>
    <w:p w14:paraId="40F29AE6" w14:textId="77777777" w:rsidR="006637E7" w:rsidRPr="00950D55" w:rsidRDefault="006637E7" w:rsidP="00FD4F93">
      <w:pPr>
        <w:spacing w:after="0" w:line="360" w:lineRule="auto"/>
        <w:jc w:val="both"/>
        <w:rPr>
          <w:sz w:val="24"/>
          <w:lang w:val="en-US"/>
        </w:rPr>
      </w:pPr>
    </w:p>
    <w:p w14:paraId="362D49FD" w14:textId="3D7D08AF" w:rsidR="008F15F8" w:rsidRPr="00950D55" w:rsidRDefault="00EB4C85" w:rsidP="00FD4F93">
      <w:pPr>
        <w:spacing w:after="0" w:line="360" w:lineRule="auto"/>
        <w:jc w:val="both"/>
        <w:rPr>
          <w:sz w:val="24"/>
          <w:lang w:val="en-US"/>
        </w:rPr>
      </w:pPr>
      <w:r w:rsidRPr="00950D55">
        <w:rPr>
          <w:sz w:val="24"/>
          <w:lang w:val="en-US"/>
        </w:rPr>
        <w:t xml:space="preserve">Most scientific papers </w:t>
      </w:r>
      <w:r w:rsidR="00F26BF2">
        <w:rPr>
          <w:sz w:val="24"/>
          <w:lang w:val="en-US"/>
        </w:rPr>
        <w:t>on</w:t>
      </w:r>
      <w:r w:rsidRPr="00950D55">
        <w:rPr>
          <w:sz w:val="24"/>
          <w:lang w:val="en-US"/>
        </w:rPr>
        <w:t xml:space="preserve"> this topic estimate that brand drug prices are indeed higher than the prices of generic drugs. </w:t>
      </w:r>
      <w:r w:rsidR="006637E7" w:rsidRPr="00950D55">
        <w:rPr>
          <w:sz w:val="24"/>
          <w:lang w:val="en-US"/>
        </w:rPr>
        <w:t xml:space="preserve">But </w:t>
      </w:r>
      <w:r w:rsidR="00D046AD">
        <w:rPr>
          <w:sz w:val="24"/>
          <w:lang w:val="en-US"/>
        </w:rPr>
        <w:t>these papers</w:t>
      </w:r>
      <w:r w:rsidR="006637E7" w:rsidRPr="00950D55">
        <w:rPr>
          <w:sz w:val="24"/>
          <w:lang w:val="en-US"/>
        </w:rPr>
        <w:t xml:space="preserve"> did</w:t>
      </w:r>
      <w:r w:rsidR="00D046AD">
        <w:rPr>
          <w:sz w:val="24"/>
          <w:lang w:val="en-US"/>
        </w:rPr>
        <w:t xml:space="preserve"> not</w:t>
      </w:r>
      <w:r w:rsidR="006637E7" w:rsidRPr="00950D55">
        <w:rPr>
          <w:sz w:val="24"/>
          <w:lang w:val="en-US"/>
        </w:rPr>
        <w:t xml:space="preserve"> show </w:t>
      </w:r>
      <w:r w:rsidRPr="00950D55">
        <w:rPr>
          <w:sz w:val="24"/>
          <w:lang w:val="en-US"/>
        </w:rPr>
        <w:t>theoretically</w:t>
      </w:r>
      <w:r w:rsidR="006637E7" w:rsidRPr="00950D55">
        <w:rPr>
          <w:sz w:val="24"/>
          <w:lang w:val="en-US"/>
        </w:rPr>
        <w:t xml:space="preserve"> why it is optimal for brand </w:t>
      </w:r>
      <w:r w:rsidRPr="00950D55">
        <w:rPr>
          <w:sz w:val="24"/>
          <w:lang w:val="en-US"/>
        </w:rPr>
        <w:t>suppliers</w:t>
      </w:r>
      <w:r w:rsidR="006637E7" w:rsidRPr="00950D55">
        <w:rPr>
          <w:sz w:val="24"/>
          <w:lang w:val="en-US"/>
        </w:rPr>
        <w:t xml:space="preserve"> to set higher prices. </w:t>
      </w:r>
      <w:r w:rsidRPr="00950D55">
        <w:rPr>
          <w:sz w:val="24"/>
          <w:lang w:val="en-US"/>
        </w:rPr>
        <w:t>This thesis</w:t>
      </w:r>
      <w:r w:rsidR="00B535FB" w:rsidRPr="00950D55">
        <w:rPr>
          <w:sz w:val="24"/>
          <w:lang w:val="en-US"/>
        </w:rPr>
        <w:t xml:space="preserve"> </w:t>
      </w:r>
      <w:r w:rsidR="005670AA">
        <w:rPr>
          <w:sz w:val="24"/>
          <w:lang w:val="en-US"/>
        </w:rPr>
        <w:t>explains the</w:t>
      </w:r>
      <w:r w:rsidR="00EC69B2">
        <w:rPr>
          <w:sz w:val="24"/>
          <w:lang w:val="en-US"/>
        </w:rPr>
        <w:t xml:space="preserve"> empirical results using a simple model of the pharmaceutical market.</w:t>
      </w:r>
      <w:r w:rsidRPr="00950D55">
        <w:rPr>
          <w:sz w:val="24"/>
          <w:lang w:val="en-US"/>
        </w:rPr>
        <w:t xml:space="preserve"> </w:t>
      </w:r>
    </w:p>
    <w:p w14:paraId="027C3FFD" w14:textId="7316D0ED" w:rsidR="008F15F8" w:rsidRPr="00950D55" w:rsidRDefault="00734CE7" w:rsidP="00FD4F93">
      <w:pPr>
        <w:spacing w:after="0" w:line="360" w:lineRule="auto"/>
        <w:jc w:val="both"/>
        <w:rPr>
          <w:sz w:val="24"/>
          <w:lang w:val="en-US"/>
        </w:rPr>
      </w:pPr>
      <w:r w:rsidRPr="00950D55">
        <w:rPr>
          <w:sz w:val="24"/>
          <w:lang w:val="en-US"/>
        </w:rPr>
        <w:t xml:space="preserve">This thesis is also relevant for </w:t>
      </w:r>
      <w:r w:rsidR="009F2EEA" w:rsidRPr="00950D55">
        <w:rPr>
          <w:sz w:val="24"/>
          <w:lang w:val="en-US"/>
        </w:rPr>
        <w:t>society</w:t>
      </w:r>
      <w:r w:rsidRPr="00950D55">
        <w:rPr>
          <w:sz w:val="24"/>
          <w:lang w:val="en-US"/>
        </w:rPr>
        <w:t xml:space="preserve">. It is common knowledge that high prices are bad for </w:t>
      </w:r>
      <w:r w:rsidR="009F2EEA" w:rsidRPr="00950D55">
        <w:rPr>
          <w:sz w:val="24"/>
          <w:lang w:val="en-US"/>
        </w:rPr>
        <w:t>consumers because</w:t>
      </w:r>
      <w:r w:rsidRPr="00950D55">
        <w:rPr>
          <w:sz w:val="24"/>
          <w:lang w:val="en-US"/>
        </w:rPr>
        <w:t xml:space="preserve"> they need to pay much. This is also the case in the pharmaceutical market. </w:t>
      </w:r>
      <w:r w:rsidR="00F26BF2">
        <w:rPr>
          <w:sz w:val="24"/>
          <w:lang w:val="en-US"/>
        </w:rPr>
        <w:t>Generic e</w:t>
      </w:r>
      <w:r w:rsidR="008F15F8" w:rsidRPr="00950D55">
        <w:rPr>
          <w:sz w:val="24"/>
          <w:lang w:val="en-US"/>
        </w:rPr>
        <w:t xml:space="preserve">ntry solves part of this </w:t>
      </w:r>
      <w:r w:rsidR="009F2EEA" w:rsidRPr="00950D55">
        <w:rPr>
          <w:sz w:val="24"/>
          <w:lang w:val="en-US"/>
        </w:rPr>
        <w:t>problem because</w:t>
      </w:r>
      <w:r w:rsidR="00F26BF2">
        <w:rPr>
          <w:sz w:val="24"/>
          <w:lang w:val="en-US"/>
        </w:rPr>
        <w:t xml:space="preserve"> these firms provide</w:t>
      </w:r>
      <w:r w:rsidR="008F15F8" w:rsidRPr="00950D55">
        <w:rPr>
          <w:sz w:val="24"/>
          <w:lang w:val="en-US"/>
        </w:rPr>
        <w:t xml:space="preserve"> cheaper </w:t>
      </w:r>
      <w:r w:rsidR="00F26BF2">
        <w:rPr>
          <w:sz w:val="24"/>
          <w:lang w:val="en-US"/>
        </w:rPr>
        <w:t>drugs</w:t>
      </w:r>
      <w:r w:rsidR="008F15F8" w:rsidRPr="00950D55">
        <w:rPr>
          <w:sz w:val="24"/>
          <w:lang w:val="en-US"/>
        </w:rPr>
        <w:t xml:space="preserve">. However, why do brand firms not compete </w:t>
      </w:r>
      <w:r w:rsidR="005670AA">
        <w:rPr>
          <w:sz w:val="24"/>
          <w:lang w:val="en-US"/>
        </w:rPr>
        <w:t xml:space="preserve">in price </w:t>
      </w:r>
      <w:r w:rsidR="008F15F8" w:rsidRPr="00950D55">
        <w:rPr>
          <w:sz w:val="24"/>
          <w:lang w:val="en-US"/>
        </w:rPr>
        <w:t>with the generi</w:t>
      </w:r>
      <w:r w:rsidR="00D046AD">
        <w:rPr>
          <w:sz w:val="24"/>
          <w:lang w:val="en-US"/>
        </w:rPr>
        <w:t>c firms? This could lead to fiercer</w:t>
      </w:r>
      <w:r w:rsidR="008F15F8" w:rsidRPr="00950D55">
        <w:rPr>
          <w:sz w:val="24"/>
          <w:lang w:val="en-US"/>
        </w:rPr>
        <w:t xml:space="preserve"> competition which is beneficial to consumers. And why do brand firms not try to deter</w:t>
      </w:r>
      <w:r w:rsidR="005670AA">
        <w:rPr>
          <w:sz w:val="24"/>
          <w:lang w:val="en-US"/>
        </w:rPr>
        <w:t xml:space="preserve"> generic entry? Then t</w:t>
      </w:r>
      <w:r w:rsidR="008F15F8" w:rsidRPr="00950D55">
        <w:rPr>
          <w:sz w:val="24"/>
          <w:lang w:val="en-US"/>
        </w:rPr>
        <w:t xml:space="preserve">he brand firm </w:t>
      </w:r>
      <w:r w:rsidR="005670AA">
        <w:rPr>
          <w:sz w:val="24"/>
          <w:lang w:val="en-US"/>
        </w:rPr>
        <w:t xml:space="preserve">would still be </w:t>
      </w:r>
      <w:r w:rsidR="008F15F8" w:rsidRPr="00950D55">
        <w:rPr>
          <w:sz w:val="24"/>
          <w:lang w:val="en-US"/>
        </w:rPr>
        <w:t xml:space="preserve">a monopolist and it would charge a higher price than is socially optimal. </w:t>
      </w:r>
      <w:r w:rsidR="00333E04">
        <w:rPr>
          <w:sz w:val="24"/>
          <w:lang w:val="en-US"/>
        </w:rPr>
        <w:t>So, this thesis will</w:t>
      </w:r>
      <w:r w:rsidRPr="00950D55">
        <w:rPr>
          <w:sz w:val="24"/>
          <w:lang w:val="en-US"/>
        </w:rPr>
        <w:t xml:space="preserve"> analyze why brand firms behave this way and </w:t>
      </w:r>
      <w:r w:rsidR="009F2EEA" w:rsidRPr="00950D55">
        <w:rPr>
          <w:sz w:val="24"/>
          <w:lang w:val="en-US"/>
        </w:rPr>
        <w:t>whether</w:t>
      </w:r>
      <w:r w:rsidRPr="00950D55">
        <w:rPr>
          <w:sz w:val="24"/>
          <w:lang w:val="en-US"/>
        </w:rPr>
        <w:t xml:space="preserve"> it is optimal to set higher prices than generic firms. </w:t>
      </w:r>
    </w:p>
    <w:p w14:paraId="73AF6E8D" w14:textId="77777777" w:rsidR="00CF3ACE" w:rsidRPr="00950D55" w:rsidRDefault="00CF3ACE" w:rsidP="00FD4F93">
      <w:pPr>
        <w:spacing w:after="0" w:line="360" w:lineRule="auto"/>
        <w:jc w:val="both"/>
        <w:rPr>
          <w:sz w:val="24"/>
          <w:lang w:val="en-US"/>
        </w:rPr>
      </w:pPr>
    </w:p>
    <w:p w14:paraId="2C31066C" w14:textId="33B50552" w:rsidR="00024B32" w:rsidRDefault="00093018" w:rsidP="00D32BFC">
      <w:pPr>
        <w:spacing w:after="0" w:line="360" w:lineRule="auto"/>
        <w:jc w:val="both"/>
        <w:rPr>
          <w:sz w:val="24"/>
          <w:lang w:val="en-US"/>
        </w:rPr>
      </w:pPr>
      <w:r w:rsidRPr="00950D55">
        <w:rPr>
          <w:sz w:val="24"/>
          <w:lang w:val="en-US"/>
        </w:rPr>
        <w:t>The main question of this thesis</w:t>
      </w:r>
      <w:r w:rsidR="00CF3ACE" w:rsidRPr="00950D55">
        <w:rPr>
          <w:sz w:val="24"/>
          <w:lang w:val="en-US"/>
        </w:rPr>
        <w:t xml:space="preserve"> is: </w:t>
      </w:r>
      <w:r w:rsidR="00F174CC">
        <w:rPr>
          <w:i/>
          <w:sz w:val="24"/>
          <w:lang w:val="en-US"/>
        </w:rPr>
        <w:t>Why i</w:t>
      </w:r>
      <w:r w:rsidR="006329F9" w:rsidRPr="00950D55">
        <w:rPr>
          <w:i/>
          <w:sz w:val="24"/>
          <w:lang w:val="en-US"/>
        </w:rPr>
        <w:t xml:space="preserve">s it optimal for brand firms to maintain a higher price than the generic firms? </w:t>
      </w:r>
      <w:r w:rsidR="00EF315D">
        <w:rPr>
          <w:sz w:val="24"/>
          <w:lang w:val="en-US"/>
        </w:rPr>
        <w:t>In order t</w:t>
      </w:r>
      <w:r w:rsidRPr="00950D55">
        <w:rPr>
          <w:sz w:val="24"/>
          <w:lang w:val="en-US"/>
        </w:rPr>
        <w:t xml:space="preserve">o answer this </w:t>
      </w:r>
      <w:r w:rsidR="009F2EEA" w:rsidRPr="00950D55">
        <w:rPr>
          <w:sz w:val="24"/>
          <w:lang w:val="en-US"/>
        </w:rPr>
        <w:t>question,</w:t>
      </w:r>
      <w:r w:rsidRPr="00950D55">
        <w:rPr>
          <w:sz w:val="24"/>
          <w:lang w:val="en-US"/>
        </w:rPr>
        <w:t xml:space="preserve"> the thesis</w:t>
      </w:r>
      <w:r w:rsidR="00CF3ACE" w:rsidRPr="00950D55">
        <w:rPr>
          <w:sz w:val="24"/>
          <w:lang w:val="en-US"/>
        </w:rPr>
        <w:t xml:space="preserve"> will first </w:t>
      </w:r>
      <w:r w:rsidR="006F4D3C" w:rsidRPr="00950D55">
        <w:rPr>
          <w:sz w:val="24"/>
          <w:lang w:val="en-US"/>
        </w:rPr>
        <w:t xml:space="preserve">describe </w:t>
      </w:r>
      <w:r w:rsidR="00F26BF2">
        <w:rPr>
          <w:sz w:val="24"/>
          <w:lang w:val="en-US"/>
        </w:rPr>
        <w:t xml:space="preserve">current </w:t>
      </w:r>
      <w:r w:rsidR="00024B32">
        <w:rPr>
          <w:sz w:val="24"/>
          <w:lang w:val="en-US"/>
        </w:rPr>
        <w:t xml:space="preserve">theories that </w:t>
      </w:r>
      <w:r w:rsidR="00F26BF2">
        <w:rPr>
          <w:sz w:val="24"/>
          <w:lang w:val="en-US"/>
        </w:rPr>
        <w:t>support the higher prices of brand firms</w:t>
      </w:r>
      <w:r w:rsidR="006F4D3C" w:rsidRPr="00950D55">
        <w:rPr>
          <w:sz w:val="24"/>
          <w:lang w:val="en-US"/>
        </w:rPr>
        <w:t>.</w:t>
      </w:r>
      <w:r w:rsidR="005670AA">
        <w:rPr>
          <w:sz w:val="24"/>
          <w:lang w:val="en-US"/>
        </w:rPr>
        <w:t xml:space="preserve"> S</w:t>
      </w:r>
      <w:r w:rsidR="00563DA2">
        <w:rPr>
          <w:sz w:val="24"/>
          <w:lang w:val="en-US"/>
        </w:rPr>
        <w:t xml:space="preserve">ome data from previous papers will </w:t>
      </w:r>
      <w:r w:rsidR="00563DA2">
        <w:rPr>
          <w:sz w:val="24"/>
          <w:lang w:val="en-US"/>
        </w:rPr>
        <w:lastRenderedPageBreak/>
        <w:t xml:space="preserve">be analyzed to show the </w:t>
      </w:r>
      <w:r w:rsidR="00013A1E">
        <w:rPr>
          <w:sz w:val="24"/>
          <w:lang w:val="en-US"/>
        </w:rPr>
        <w:t>developments of the prices</w:t>
      </w:r>
      <w:r w:rsidR="005670AA">
        <w:rPr>
          <w:sz w:val="24"/>
          <w:lang w:val="en-US"/>
        </w:rPr>
        <w:t xml:space="preserve"> and market shares</w:t>
      </w:r>
      <w:r w:rsidR="00013A1E">
        <w:rPr>
          <w:sz w:val="24"/>
          <w:lang w:val="en-US"/>
        </w:rPr>
        <w:t xml:space="preserve"> of the brand and generic drug</w:t>
      </w:r>
      <w:r w:rsidR="00F26BF2">
        <w:rPr>
          <w:sz w:val="24"/>
          <w:lang w:val="en-US"/>
        </w:rPr>
        <w:t>s</w:t>
      </w:r>
      <w:r w:rsidR="00013A1E">
        <w:rPr>
          <w:sz w:val="24"/>
          <w:lang w:val="en-US"/>
        </w:rPr>
        <w:t>. This will be described in Section 1.</w:t>
      </w:r>
    </w:p>
    <w:p w14:paraId="03D6CBC5" w14:textId="23BFB0D6" w:rsidR="00013A1E" w:rsidRDefault="00F26BF2" w:rsidP="00D32BFC">
      <w:pPr>
        <w:spacing w:after="0" w:line="360" w:lineRule="auto"/>
        <w:jc w:val="both"/>
        <w:rPr>
          <w:sz w:val="24"/>
          <w:szCs w:val="24"/>
          <w:lang w:val="en-US"/>
        </w:rPr>
      </w:pPr>
      <w:r>
        <w:rPr>
          <w:sz w:val="24"/>
          <w:lang w:val="en-US"/>
        </w:rPr>
        <w:t xml:space="preserve">Moreover, an </w:t>
      </w:r>
      <w:r w:rsidR="006F4D3C" w:rsidRPr="00950D55">
        <w:rPr>
          <w:sz w:val="24"/>
          <w:lang w:val="en-US"/>
        </w:rPr>
        <w:t xml:space="preserve">analysis of </w:t>
      </w:r>
      <w:r w:rsidR="00D046AD">
        <w:rPr>
          <w:sz w:val="24"/>
          <w:lang w:val="en-US"/>
        </w:rPr>
        <w:t>the pharmaceutical market</w:t>
      </w:r>
      <w:r w:rsidR="006F4D3C" w:rsidRPr="00950D55">
        <w:rPr>
          <w:sz w:val="24"/>
          <w:lang w:val="en-US"/>
        </w:rPr>
        <w:t xml:space="preserve"> will be </w:t>
      </w:r>
      <w:r w:rsidR="00D046AD">
        <w:rPr>
          <w:sz w:val="24"/>
          <w:lang w:val="en-US"/>
        </w:rPr>
        <w:t>set up</w:t>
      </w:r>
      <w:r w:rsidR="00CF3ACE" w:rsidRPr="00950D55">
        <w:rPr>
          <w:sz w:val="24"/>
          <w:lang w:val="en-US"/>
        </w:rPr>
        <w:t xml:space="preserve"> </w:t>
      </w:r>
      <w:r w:rsidR="00D046AD">
        <w:rPr>
          <w:sz w:val="24"/>
          <w:lang w:val="en-US"/>
        </w:rPr>
        <w:t xml:space="preserve">and explained </w:t>
      </w:r>
      <w:r w:rsidR="00CF3ACE" w:rsidRPr="00950D55">
        <w:rPr>
          <w:sz w:val="24"/>
          <w:lang w:val="en-US"/>
        </w:rPr>
        <w:t>and further expand</w:t>
      </w:r>
      <w:r w:rsidR="006F4D3C" w:rsidRPr="00950D55">
        <w:rPr>
          <w:sz w:val="24"/>
          <w:lang w:val="en-US"/>
        </w:rPr>
        <w:t>ed</w:t>
      </w:r>
      <w:r w:rsidR="00CF3ACE" w:rsidRPr="00950D55">
        <w:rPr>
          <w:sz w:val="24"/>
          <w:lang w:val="en-US"/>
        </w:rPr>
        <w:t xml:space="preserve"> with more characteristics of the market. </w:t>
      </w:r>
      <w:r w:rsidR="006F4D3C" w:rsidRPr="00950D55">
        <w:rPr>
          <w:sz w:val="24"/>
          <w:lang w:val="en-US"/>
        </w:rPr>
        <w:t xml:space="preserve">By doing so, it will become clear </w:t>
      </w:r>
      <w:r w:rsidR="009F2EEA" w:rsidRPr="00950D55">
        <w:rPr>
          <w:sz w:val="24"/>
          <w:lang w:val="en-US"/>
        </w:rPr>
        <w:t>whether</w:t>
      </w:r>
      <w:r w:rsidR="006F4D3C" w:rsidRPr="00950D55">
        <w:rPr>
          <w:sz w:val="24"/>
          <w:lang w:val="en-US"/>
        </w:rPr>
        <w:t xml:space="preserve"> it is optimal for brand firms to maintain their high prices in the presence of generic firms. </w:t>
      </w:r>
      <w:r w:rsidR="00013A1E">
        <w:rPr>
          <w:sz w:val="24"/>
          <w:szCs w:val="24"/>
          <w:lang w:val="en-US"/>
        </w:rPr>
        <w:t>T</w:t>
      </w:r>
      <w:r w:rsidR="00D32BFC" w:rsidRPr="00950D55">
        <w:rPr>
          <w:sz w:val="24"/>
          <w:szCs w:val="24"/>
          <w:lang w:val="en-US"/>
        </w:rPr>
        <w:t xml:space="preserve">he optimal </w:t>
      </w:r>
      <w:r>
        <w:rPr>
          <w:sz w:val="24"/>
          <w:szCs w:val="24"/>
          <w:lang w:val="en-US"/>
        </w:rPr>
        <w:t>price strategy</w:t>
      </w:r>
      <w:r w:rsidR="00D046AD">
        <w:rPr>
          <w:sz w:val="24"/>
          <w:szCs w:val="24"/>
          <w:lang w:val="en-US"/>
        </w:rPr>
        <w:t xml:space="preserve"> of the generic firms will be determined</w:t>
      </w:r>
      <w:r>
        <w:rPr>
          <w:sz w:val="24"/>
          <w:szCs w:val="24"/>
          <w:lang w:val="en-US"/>
        </w:rPr>
        <w:t>. This price will be used to determine the optimal price of the brand firm</w:t>
      </w:r>
      <w:r w:rsidR="00D046AD">
        <w:rPr>
          <w:sz w:val="24"/>
          <w:szCs w:val="24"/>
          <w:lang w:val="en-US"/>
        </w:rPr>
        <w:t xml:space="preserve">. </w:t>
      </w:r>
      <w:r w:rsidR="00983E19">
        <w:rPr>
          <w:sz w:val="24"/>
          <w:szCs w:val="24"/>
          <w:lang w:val="en-US"/>
        </w:rPr>
        <w:t xml:space="preserve">This thesis will analyze three different situations: one brand firm that competes with only one generic firm, with two generic firms and with n generic firms. </w:t>
      </w:r>
      <w:r w:rsidR="00013A1E">
        <w:rPr>
          <w:sz w:val="24"/>
          <w:szCs w:val="24"/>
          <w:lang w:val="en-US"/>
        </w:rPr>
        <w:t>This will be described in Section 2</w:t>
      </w:r>
      <w:r w:rsidR="005670AA">
        <w:rPr>
          <w:sz w:val="24"/>
          <w:szCs w:val="24"/>
          <w:lang w:val="en-US"/>
        </w:rPr>
        <w:t xml:space="preserve"> and Section 3</w:t>
      </w:r>
      <w:r w:rsidR="00013A1E">
        <w:rPr>
          <w:sz w:val="24"/>
          <w:szCs w:val="24"/>
          <w:lang w:val="en-US"/>
        </w:rPr>
        <w:t xml:space="preserve">. </w:t>
      </w:r>
    </w:p>
    <w:p w14:paraId="70D96C75" w14:textId="21BE0516" w:rsidR="00013A1E" w:rsidRDefault="00983E19" w:rsidP="00FD4F93">
      <w:pPr>
        <w:spacing w:after="0" w:line="360" w:lineRule="auto"/>
        <w:jc w:val="both"/>
        <w:rPr>
          <w:sz w:val="24"/>
          <w:lang w:val="en-US"/>
        </w:rPr>
      </w:pPr>
      <w:r>
        <w:rPr>
          <w:sz w:val="24"/>
          <w:szCs w:val="24"/>
          <w:lang w:val="en-US"/>
        </w:rPr>
        <w:t>Section 4</w:t>
      </w:r>
      <w:r w:rsidR="00D32BFC" w:rsidRPr="00950D55">
        <w:rPr>
          <w:sz w:val="24"/>
          <w:szCs w:val="24"/>
          <w:lang w:val="en-US"/>
        </w:rPr>
        <w:t xml:space="preserve"> will look at the opportunities to deter entry</w:t>
      </w:r>
      <w:r w:rsidR="00F26BF2">
        <w:rPr>
          <w:sz w:val="24"/>
          <w:szCs w:val="24"/>
          <w:lang w:val="en-US"/>
        </w:rPr>
        <w:t xml:space="preserve"> by charging a limit price</w:t>
      </w:r>
      <w:r w:rsidR="00013A1E">
        <w:rPr>
          <w:sz w:val="24"/>
          <w:szCs w:val="24"/>
          <w:lang w:val="en-US"/>
        </w:rPr>
        <w:t xml:space="preserve"> and </w:t>
      </w:r>
      <w:r w:rsidR="00F26BF2">
        <w:rPr>
          <w:sz w:val="24"/>
          <w:szCs w:val="24"/>
          <w:lang w:val="en-US"/>
        </w:rPr>
        <w:t>whether this would</w:t>
      </w:r>
      <w:r w:rsidR="00013A1E">
        <w:rPr>
          <w:sz w:val="24"/>
          <w:szCs w:val="24"/>
          <w:lang w:val="en-US"/>
        </w:rPr>
        <w:t xml:space="preserve"> be preferred by the brand firm.</w:t>
      </w:r>
      <w:r w:rsidR="00F26BF2">
        <w:rPr>
          <w:sz w:val="24"/>
          <w:szCs w:val="24"/>
          <w:lang w:val="en-US"/>
        </w:rPr>
        <w:t xml:space="preserve"> This section will compare the situation in which the brand firm tries to deter generic entry with the situation in which brand and generic firms compete with each other. </w:t>
      </w:r>
    </w:p>
    <w:p w14:paraId="107B4E97" w14:textId="3014475B" w:rsidR="00A367A8" w:rsidRPr="00950D55" w:rsidRDefault="00741AA3" w:rsidP="00FD4F93">
      <w:pPr>
        <w:spacing w:after="0" w:line="360" w:lineRule="auto"/>
        <w:jc w:val="both"/>
        <w:rPr>
          <w:rFonts w:asciiTheme="majorHAnsi" w:eastAsiaTheme="majorEastAsia" w:hAnsiTheme="majorHAnsi" w:cstheme="majorBidi"/>
          <w:sz w:val="36"/>
          <w:szCs w:val="32"/>
          <w:lang w:val="en-US"/>
        </w:rPr>
      </w:pPr>
      <w:r>
        <w:rPr>
          <w:sz w:val="24"/>
          <w:lang w:val="en-US"/>
        </w:rPr>
        <w:t>In the last section,</w:t>
      </w:r>
      <w:r w:rsidR="006F4D3C" w:rsidRPr="00950D55">
        <w:rPr>
          <w:sz w:val="24"/>
          <w:lang w:val="en-US"/>
        </w:rPr>
        <w:t xml:space="preserve"> the main results will be summed up and an answer on the main question will be fo</w:t>
      </w:r>
      <w:r w:rsidR="00F26BF2">
        <w:rPr>
          <w:sz w:val="24"/>
          <w:lang w:val="en-US"/>
        </w:rPr>
        <w:t>rmulated</w:t>
      </w:r>
      <w:r w:rsidR="006F4D3C" w:rsidRPr="00950D55">
        <w:rPr>
          <w:sz w:val="24"/>
          <w:lang w:val="en-US"/>
        </w:rPr>
        <w:t xml:space="preserve">. </w:t>
      </w:r>
      <w:r w:rsidR="00EB4E5A">
        <w:rPr>
          <w:sz w:val="24"/>
          <w:lang w:val="en-US"/>
        </w:rPr>
        <w:t>Also,</w:t>
      </w:r>
      <w:r w:rsidR="00F26BF2">
        <w:rPr>
          <w:sz w:val="24"/>
          <w:lang w:val="en-US"/>
        </w:rPr>
        <w:t xml:space="preserve"> some suggestions for further research will be briefly discussed in this section. </w:t>
      </w:r>
      <w:r w:rsidR="006F4D3C" w:rsidRPr="00950D55">
        <w:rPr>
          <w:sz w:val="24"/>
          <w:lang w:val="en-US"/>
        </w:rPr>
        <w:t xml:space="preserve"> </w:t>
      </w:r>
      <w:r w:rsidR="008F15F8" w:rsidRPr="00950D55">
        <w:rPr>
          <w:sz w:val="24"/>
          <w:lang w:val="en-US"/>
        </w:rPr>
        <w:t xml:space="preserve"> </w:t>
      </w:r>
      <w:r w:rsidR="00A367A8" w:rsidRPr="00950D55">
        <w:rPr>
          <w:sz w:val="24"/>
          <w:lang w:val="en-US"/>
        </w:rPr>
        <w:br w:type="page"/>
      </w:r>
    </w:p>
    <w:p w14:paraId="65829E6A" w14:textId="77777777" w:rsidR="006329F9" w:rsidRPr="00950D55" w:rsidRDefault="0012385D" w:rsidP="0012385D">
      <w:pPr>
        <w:pStyle w:val="Kop1"/>
        <w:spacing w:before="0" w:line="360" w:lineRule="auto"/>
        <w:jc w:val="center"/>
        <w:rPr>
          <w:b/>
          <w:color w:val="auto"/>
          <w:lang w:val="en-US"/>
        </w:rPr>
      </w:pPr>
      <w:bookmarkStart w:id="2" w:name="_Toc14787837"/>
      <w:r>
        <w:rPr>
          <w:b/>
          <w:color w:val="auto"/>
          <w:lang w:val="en-US"/>
        </w:rPr>
        <w:lastRenderedPageBreak/>
        <w:t>1.</w:t>
      </w:r>
      <w:r w:rsidR="00214A15" w:rsidRPr="00950D55">
        <w:rPr>
          <w:b/>
          <w:color w:val="auto"/>
          <w:lang w:val="en-US"/>
        </w:rPr>
        <w:t xml:space="preserve"> </w:t>
      </w:r>
      <w:r w:rsidR="00950D55">
        <w:rPr>
          <w:b/>
          <w:color w:val="auto"/>
          <w:lang w:val="en-US"/>
        </w:rPr>
        <w:t>Literature overview of</w:t>
      </w:r>
      <w:r w:rsidR="00214A15" w:rsidRPr="00950D55">
        <w:rPr>
          <w:b/>
          <w:color w:val="auto"/>
          <w:lang w:val="en-US"/>
        </w:rPr>
        <w:t xml:space="preserve"> the US pharmaceutical market</w:t>
      </w:r>
      <w:bookmarkEnd w:id="2"/>
    </w:p>
    <w:p w14:paraId="5F04451D" w14:textId="77777777" w:rsidR="006329F9" w:rsidRPr="00950D55" w:rsidRDefault="006329F9" w:rsidP="008E5781">
      <w:pPr>
        <w:spacing w:after="0" w:line="360" w:lineRule="auto"/>
        <w:jc w:val="both"/>
        <w:rPr>
          <w:lang w:val="en-US"/>
        </w:rPr>
      </w:pPr>
    </w:p>
    <w:p w14:paraId="41DC45FF" w14:textId="3E0451C6" w:rsidR="006329F9" w:rsidRPr="00950D55" w:rsidRDefault="00D87A4A" w:rsidP="008E5781">
      <w:pPr>
        <w:spacing w:after="0" w:line="360" w:lineRule="auto"/>
        <w:jc w:val="both"/>
        <w:rPr>
          <w:sz w:val="24"/>
          <w:lang w:val="en-US"/>
        </w:rPr>
      </w:pPr>
      <w:r>
        <w:rPr>
          <w:sz w:val="24"/>
          <w:lang w:val="en-US"/>
        </w:rPr>
        <w:t>Currently,</w:t>
      </w:r>
      <w:r w:rsidR="00237C5A">
        <w:rPr>
          <w:sz w:val="24"/>
          <w:lang w:val="en-US"/>
        </w:rPr>
        <w:t xml:space="preserve"> generic firms enter the market</w:t>
      </w:r>
      <w:r w:rsidR="006329F9" w:rsidRPr="00950D55">
        <w:rPr>
          <w:sz w:val="24"/>
          <w:lang w:val="en-US"/>
        </w:rPr>
        <w:t xml:space="preserve"> </w:t>
      </w:r>
      <w:r>
        <w:rPr>
          <w:sz w:val="24"/>
          <w:lang w:val="en-US"/>
        </w:rPr>
        <w:t xml:space="preserve">with cheaper drugs </w:t>
      </w:r>
      <w:r w:rsidR="006329F9" w:rsidRPr="00950D55">
        <w:rPr>
          <w:sz w:val="24"/>
          <w:lang w:val="en-US"/>
        </w:rPr>
        <w:t xml:space="preserve">after the patent </w:t>
      </w:r>
      <w:r>
        <w:rPr>
          <w:sz w:val="24"/>
          <w:lang w:val="en-US"/>
        </w:rPr>
        <w:t xml:space="preserve">of a brand drug </w:t>
      </w:r>
      <w:r w:rsidR="006329F9" w:rsidRPr="00950D55">
        <w:rPr>
          <w:sz w:val="24"/>
          <w:lang w:val="en-US"/>
        </w:rPr>
        <w:t>expires</w:t>
      </w:r>
      <w:r w:rsidR="00237C5A">
        <w:rPr>
          <w:sz w:val="24"/>
          <w:lang w:val="en-US"/>
        </w:rPr>
        <w:t>. Still, the p</w:t>
      </w:r>
      <w:r w:rsidR="006329F9" w:rsidRPr="00950D55">
        <w:rPr>
          <w:sz w:val="24"/>
          <w:lang w:val="en-US"/>
        </w:rPr>
        <w:t>rices of brand drugs are much higher than generic drug prices</w:t>
      </w:r>
      <w:r w:rsidR="00237C5A">
        <w:rPr>
          <w:sz w:val="24"/>
          <w:lang w:val="en-US"/>
        </w:rPr>
        <w:t xml:space="preserve">, while some would </w:t>
      </w:r>
      <w:r>
        <w:rPr>
          <w:sz w:val="24"/>
          <w:lang w:val="en-US"/>
        </w:rPr>
        <w:t>expect</w:t>
      </w:r>
      <w:r w:rsidR="00237C5A">
        <w:rPr>
          <w:sz w:val="24"/>
          <w:lang w:val="en-US"/>
        </w:rPr>
        <w:t xml:space="preserve"> that both prices should go down due to the fiercer competition</w:t>
      </w:r>
      <w:r w:rsidR="006329F9" w:rsidRPr="00950D55">
        <w:rPr>
          <w:sz w:val="24"/>
          <w:lang w:val="en-US"/>
        </w:rPr>
        <w:t xml:space="preserve">. </w:t>
      </w:r>
      <w:r w:rsidR="00950D55">
        <w:rPr>
          <w:sz w:val="24"/>
          <w:lang w:val="en-US"/>
        </w:rPr>
        <w:t xml:space="preserve">There are a lot of studies that examine the US pharmaceutical market. </w:t>
      </w:r>
      <w:r w:rsidR="009F2EEA">
        <w:rPr>
          <w:sz w:val="24"/>
          <w:lang w:val="en-US"/>
        </w:rPr>
        <w:t>All</w:t>
      </w:r>
      <w:r w:rsidR="00950D55">
        <w:rPr>
          <w:sz w:val="24"/>
          <w:lang w:val="en-US"/>
        </w:rPr>
        <w:t xml:space="preserve"> these studies show that after generic entry take place, the brand drug is still charged at a high price. Two main explanations for this phenomenon are brand loyalty and product-line extensions. These explanations will be explained in the next part. </w:t>
      </w:r>
      <w:r w:rsidR="00151A9D">
        <w:rPr>
          <w:sz w:val="24"/>
          <w:lang w:val="en-US"/>
        </w:rPr>
        <w:t>First, some trends in the market shares and prices of brand and generic drugs are provided. This makes t</w:t>
      </w:r>
      <w:r w:rsidR="00B870B4">
        <w:rPr>
          <w:sz w:val="24"/>
          <w:lang w:val="en-US"/>
        </w:rPr>
        <w:t>he impact of the Hatch-Waxman Act</w:t>
      </w:r>
      <w:r w:rsidR="00151A9D">
        <w:rPr>
          <w:sz w:val="24"/>
          <w:lang w:val="en-US"/>
        </w:rPr>
        <w:t xml:space="preserve"> on the pharmaceutical market</w:t>
      </w:r>
      <w:r w:rsidR="00B870B4">
        <w:rPr>
          <w:sz w:val="24"/>
          <w:lang w:val="en-US"/>
        </w:rPr>
        <w:t xml:space="preserve"> </w:t>
      </w:r>
      <w:r w:rsidR="00D0468F">
        <w:rPr>
          <w:sz w:val="24"/>
          <w:lang w:val="en-US"/>
        </w:rPr>
        <w:t>clearer</w:t>
      </w:r>
      <w:r w:rsidR="00B870B4">
        <w:rPr>
          <w:sz w:val="24"/>
          <w:lang w:val="en-US"/>
        </w:rPr>
        <w:t>.</w:t>
      </w:r>
    </w:p>
    <w:p w14:paraId="3A762705" w14:textId="50C6DCD6" w:rsidR="00093018" w:rsidRDefault="00093018" w:rsidP="008E5781">
      <w:pPr>
        <w:spacing w:after="0" w:line="360" w:lineRule="auto"/>
        <w:jc w:val="both"/>
        <w:rPr>
          <w:sz w:val="24"/>
          <w:lang w:val="en-US"/>
        </w:rPr>
      </w:pPr>
    </w:p>
    <w:p w14:paraId="0A253898" w14:textId="5B91DABF" w:rsidR="00151A9D" w:rsidRPr="007E5B15" w:rsidRDefault="00151A9D" w:rsidP="00151A9D">
      <w:pPr>
        <w:pStyle w:val="Kop2"/>
        <w:spacing w:before="0" w:line="360" w:lineRule="auto"/>
        <w:rPr>
          <w:b/>
          <w:color w:val="auto"/>
          <w:lang w:val="en-US"/>
        </w:rPr>
      </w:pPr>
      <w:bookmarkStart w:id="3" w:name="_Toc14787838"/>
      <w:r>
        <w:rPr>
          <w:b/>
          <w:color w:val="auto"/>
          <w:lang w:val="en-US"/>
        </w:rPr>
        <w:t>1.1</w:t>
      </w:r>
      <w:r w:rsidRPr="007E5B15">
        <w:rPr>
          <w:b/>
          <w:color w:val="auto"/>
          <w:lang w:val="en-US"/>
        </w:rPr>
        <w:t xml:space="preserve"> </w:t>
      </w:r>
      <w:r w:rsidR="000F4BAC">
        <w:rPr>
          <w:b/>
          <w:color w:val="auto"/>
          <w:lang w:val="en-US"/>
        </w:rPr>
        <w:t>Trends in the use of brand and generic drugs</w:t>
      </w:r>
      <w:bookmarkEnd w:id="3"/>
    </w:p>
    <w:p w14:paraId="72A6E021" w14:textId="74671AF6" w:rsidR="00151A9D" w:rsidRDefault="00151A9D" w:rsidP="00151A9D">
      <w:pPr>
        <w:spacing w:after="0" w:line="360" w:lineRule="auto"/>
        <w:jc w:val="both"/>
        <w:rPr>
          <w:sz w:val="24"/>
          <w:szCs w:val="24"/>
          <w:lang w:val="en-US"/>
        </w:rPr>
      </w:pPr>
      <w:r>
        <w:rPr>
          <w:sz w:val="24"/>
          <w:szCs w:val="24"/>
          <w:lang w:val="en-US"/>
        </w:rPr>
        <w:t xml:space="preserve">After the introduction of the Hatch-Waxman Act, more generic drug firms entered the market. The generic share of all the </w:t>
      </w:r>
      <w:r w:rsidR="00D87A4A">
        <w:rPr>
          <w:sz w:val="24"/>
          <w:szCs w:val="24"/>
          <w:lang w:val="en-US"/>
        </w:rPr>
        <w:t xml:space="preserve">drug </w:t>
      </w:r>
      <w:r>
        <w:rPr>
          <w:sz w:val="24"/>
          <w:szCs w:val="24"/>
          <w:lang w:val="en-US"/>
        </w:rPr>
        <w:t>prescriptions increased enormously after the act. Figure 1 presents the development of the average generic and brand share in the total prescrip</w:t>
      </w:r>
      <w:r w:rsidR="00D87A4A">
        <w:rPr>
          <w:sz w:val="24"/>
          <w:szCs w:val="24"/>
          <w:lang w:val="en-US"/>
        </w:rPr>
        <w:t>tions of drugs from 1984 to 2017</w:t>
      </w:r>
      <w:r>
        <w:rPr>
          <w:sz w:val="24"/>
          <w:szCs w:val="24"/>
          <w:lang w:val="en-US"/>
        </w:rPr>
        <w:t xml:space="preserve"> in five-years intervals</w:t>
      </w:r>
      <w:sdt>
        <w:sdtPr>
          <w:rPr>
            <w:sz w:val="24"/>
            <w:szCs w:val="24"/>
            <w:lang w:val="en-US"/>
          </w:rPr>
          <w:id w:val="2140138935"/>
          <w:citation/>
        </w:sdtPr>
        <w:sdtEndPr/>
        <w:sdtContent>
          <w:r>
            <w:rPr>
              <w:sz w:val="24"/>
              <w:szCs w:val="24"/>
              <w:lang w:val="en-US"/>
            </w:rPr>
            <w:fldChar w:fldCharType="begin"/>
          </w:r>
          <w:r w:rsidR="00D87A4A">
            <w:rPr>
              <w:sz w:val="24"/>
              <w:szCs w:val="24"/>
              <w:lang w:val="en-US"/>
            </w:rPr>
            <w:instrText xml:space="preserve">CITATION IQV18 \l 1043 </w:instrText>
          </w:r>
          <w:r>
            <w:rPr>
              <w:sz w:val="24"/>
              <w:szCs w:val="24"/>
              <w:lang w:val="en-US"/>
            </w:rPr>
            <w:fldChar w:fldCharType="separate"/>
          </w:r>
          <w:r w:rsidR="00D86665">
            <w:rPr>
              <w:noProof/>
              <w:sz w:val="24"/>
              <w:szCs w:val="24"/>
              <w:lang w:val="en-US"/>
            </w:rPr>
            <w:t xml:space="preserve"> </w:t>
          </w:r>
          <w:r w:rsidR="00D86665" w:rsidRPr="00D86665">
            <w:rPr>
              <w:noProof/>
              <w:sz w:val="24"/>
              <w:szCs w:val="24"/>
              <w:lang w:val="en-US"/>
            </w:rPr>
            <w:t>(IMS Health, 2017)</w:t>
          </w:r>
          <w:r>
            <w:rPr>
              <w:sz w:val="24"/>
              <w:szCs w:val="24"/>
              <w:lang w:val="en-US"/>
            </w:rPr>
            <w:fldChar w:fldCharType="end"/>
          </w:r>
        </w:sdtContent>
      </w:sdt>
      <w:r>
        <w:rPr>
          <w:sz w:val="24"/>
          <w:szCs w:val="24"/>
          <w:lang w:val="en-US"/>
        </w:rPr>
        <w:t xml:space="preserve">. </w:t>
      </w:r>
    </w:p>
    <w:p w14:paraId="696B755C" w14:textId="77777777" w:rsidR="00151A9D" w:rsidRDefault="00151A9D" w:rsidP="00151A9D">
      <w:pPr>
        <w:spacing w:after="0" w:line="360" w:lineRule="auto"/>
        <w:jc w:val="both"/>
        <w:rPr>
          <w:sz w:val="24"/>
          <w:szCs w:val="24"/>
          <w:lang w:val="en-US"/>
        </w:rPr>
      </w:pPr>
    </w:p>
    <w:p w14:paraId="06F148C1" w14:textId="77777777" w:rsidR="00151A9D" w:rsidRDefault="00151A9D" w:rsidP="00151A9D">
      <w:pPr>
        <w:spacing w:after="0" w:line="360" w:lineRule="auto"/>
        <w:jc w:val="both"/>
        <w:rPr>
          <w:sz w:val="24"/>
          <w:szCs w:val="24"/>
          <w:lang w:val="en-US"/>
        </w:rPr>
      </w:pPr>
      <w:r>
        <w:rPr>
          <w:noProof/>
          <w:sz w:val="24"/>
          <w:szCs w:val="24"/>
          <w:lang w:val="en-US"/>
        </w:rPr>
        <w:drawing>
          <wp:inline distT="0" distB="0" distL="0" distR="0" wp14:anchorId="4F82F51C" wp14:editId="3A5F0C4F">
            <wp:extent cx="5486400" cy="3200400"/>
            <wp:effectExtent l="0" t="0" r="0" b="0"/>
            <wp:docPr id="1" name="Grafie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E603FE" w14:textId="7967F1C5" w:rsidR="00151A9D" w:rsidRPr="00151A9D" w:rsidRDefault="00151A9D" w:rsidP="00151A9D">
      <w:pPr>
        <w:pStyle w:val="Bijschrift"/>
        <w:spacing w:after="0" w:line="360" w:lineRule="auto"/>
        <w:rPr>
          <w:color w:val="auto"/>
          <w:sz w:val="28"/>
          <w:szCs w:val="24"/>
          <w:lang w:val="en-US"/>
        </w:rPr>
      </w:pPr>
      <w:r w:rsidRPr="00D70718">
        <w:rPr>
          <w:color w:val="auto"/>
          <w:sz w:val="20"/>
          <w:lang w:val="en-US"/>
        </w:rPr>
        <w:t xml:space="preserve">Figure </w:t>
      </w:r>
      <w:r w:rsidRPr="00D70718">
        <w:rPr>
          <w:color w:val="auto"/>
          <w:sz w:val="20"/>
        </w:rPr>
        <w:fldChar w:fldCharType="begin"/>
      </w:r>
      <w:r w:rsidRPr="00D70718">
        <w:rPr>
          <w:color w:val="auto"/>
          <w:sz w:val="20"/>
          <w:lang w:val="en-US"/>
        </w:rPr>
        <w:instrText xml:space="preserve"> SEQ Figure \* ARABIC </w:instrText>
      </w:r>
      <w:r w:rsidRPr="00D70718">
        <w:rPr>
          <w:color w:val="auto"/>
          <w:sz w:val="20"/>
        </w:rPr>
        <w:fldChar w:fldCharType="separate"/>
      </w:r>
      <w:r w:rsidR="00895471">
        <w:rPr>
          <w:noProof/>
          <w:color w:val="auto"/>
          <w:sz w:val="20"/>
          <w:lang w:val="en-US"/>
        </w:rPr>
        <w:t>1</w:t>
      </w:r>
      <w:r w:rsidRPr="00D70718">
        <w:rPr>
          <w:color w:val="auto"/>
          <w:sz w:val="20"/>
        </w:rPr>
        <w:fldChar w:fldCharType="end"/>
      </w:r>
      <w:r w:rsidRPr="00D70718">
        <w:rPr>
          <w:color w:val="auto"/>
          <w:sz w:val="20"/>
          <w:lang w:val="en-US"/>
        </w:rPr>
        <w:t>: Generic and brand share in the total drug prescriptions from 1984 to 2018.</w:t>
      </w:r>
    </w:p>
    <w:p w14:paraId="6C720A5F" w14:textId="77C99475" w:rsidR="00F461C9" w:rsidRDefault="00CA5030" w:rsidP="00151A9D">
      <w:pPr>
        <w:spacing w:after="0" w:line="360" w:lineRule="auto"/>
        <w:jc w:val="both"/>
        <w:rPr>
          <w:sz w:val="24"/>
          <w:szCs w:val="24"/>
          <w:lang w:val="en-US"/>
        </w:rPr>
      </w:pPr>
      <w:r>
        <w:rPr>
          <w:sz w:val="24"/>
          <w:szCs w:val="24"/>
          <w:lang w:val="en-US"/>
        </w:rPr>
        <w:lastRenderedPageBreak/>
        <w:t xml:space="preserve">Before 1984 the generic drugs had only </w:t>
      </w:r>
      <w:r w:rsidR="00D87A4A">
        <w:rPr>
          <w:sz w:val="24"/>
          <w:szCs w:val="24"/>
          <w:lang w:val="en-US"/>
        </w:rPr>
        <w:t xml:space="preserve">on average </w:t>
      </w:r>
      <w:r>
        <w:rPr>
          <w:sz w:val="24"/>
          <w:szCs w:val="24"/>
          <w:lang w:val="en-US"/>
        </w:rPr>
        <w:t xml:space="preserve">15% of the total prescriptions. </w:t>
      </w:r>
      <w:r w:rsidR="00151A9D">
        <w:rPr>
          <w:sz w:val="24"/>
          <w:szCs w:val="24"/>
          <w:lang w:val="en-US"/>
        </w:rPr>
        <w:t>Shortly after the introduction of the act the generic drugs had only 18,6% market share on average.</w:t>
      </w:r>
      <w:r>
        <w:rPr>
          <w:sz w:val="24"/>
          <w:szCs w:val="24"/>
          <w:lang w:val="en-US"/>
        </w:rPr>
        <w:t xml:space="preserve"> Here, it becomes clear that consumers are somewhat cautious about the generic drugs. Th</w:t>
      </w:r>
      <w:r w:rsidR="00F461C9">
        <w:rPr>
          <w:sz w:val="24"/>
          <w:szCs w:val="24"/>
          <w:lang w:val="en-US"/>
        </w:rPr>
        <w:t>e reason for this will be explained in the next parts of this section.</w:t>
      </w:r>
      <w:r w:rsidR="00151A9D">
        <w:rPr>
          <w:sz w:val="24"/>
          <w:szCs w:val="24"/>
          <w:lang w:val="en-US"/>
        </w:rPr>
        <w:t xml:space="preserve"> </w:t>
      </w:r>
    </w:p>
    <w:p w14:paraId="5A340EE6" w14:textId="7AE825D0" w:rsidR="00151A9D" w:rsidRDefault="00151A9D" w:rsidP="00151A9D">
      <w:pPr>
        <w:spacing w:after="0" w:line="360" w:lineRule="auto"/>
        <w:jc w:val="both"/>
        <w:rPr>
          <w:sz w:val="24"/>
          <w:szCs w:val="24"/>
          <w:lang w:val="en-US"/>
        </w:rPr>
      </w:pPr>
      <w:r>
        <w:rPr>
          <w:sz w:val="24"/>
          <w:szCs w:val="24"/>
          <w:lang w:val="en-US"/>
        </w:rPr>
        <w:t xml:space="preserve">The </w:t>
      </w:r>
      <w:r w:rsidR="00EB4E5A">
        <w:rPr>
          <w:sz w:val="24"/>
          <w:szCs w:val="24"/>
          <w:lang w:val="en-US"/>
        </w:rPr>
        <w:t>period</w:t>
      </w:r>
      <w:r>
        <w:rPr>
          <w:sz w:val="24"/>
          <w:szCs w:val="24"/>
          <w:lang w:val="en-US"/>
        </w:rPr>
        <w:t xml:space="preserve"> 2009 till 2013 reflects a substantial increase in market share for the generic drugs. Several important brand drugs lost their patent in this period, </w:t>
      </w:r>
      <w:r w:rsidR="00D87A4A">
        <w:rPr>
          <w:sz w:val="24"/>
          <w:szCs w:val="24"/>
          <w:lang w:val="en-US"/>
        </w:rPr>
        <w:t>also known as the ‘Patent Cliff’ phenomenon</w:t>
      </w:r>
      <w:sdt>
        <w:sdtPr>
          <w:rPr>
            <w:sz w:val="24"/>
            <w:szCs w:val="24"/>
            <w:lang w:val="en-US"/>
          </w:rPr>
          <w:id w:val="-528032849"/>
          <w:citation/>
        </w:sdtPr>
        <w:sdtEndPr/>
        <w:sdtContent>
          <w:r w:rsidR="00D87A4A">
            <w:rPr>
              <w:sz w:val="24"/>
              <w:szCs w:val="24"/>
              <w:lang w:val="en-US"/>
            </w:rPr>
            <w:fldChar w:fldCharType="begin"/>
          </w:r>
          <w:r w:rsidR="00D87A4A" w:rsidRPr="00D87A4A">
            <w:rPr>
              <w:sz w:val="24"/>
              <w:szCs w:val="24"/>
              <w:lang w:val="en-US"/>
            </w:rPr>
            <w:instrText xml:space="preserve"> CITATION DeR121 \l 1043 </w:instrText>
          </w:r>
          <w:r w:rsidR="00D87A4A">
            <w:rPr>
              <w:sz w:val="24"/>
              <w:szCs w:val="24"/>
              <w:lang w:val="en-US"/>
            </w:rPr>
            <w:fldChar w:fldCharType="separate"/>
          </w:r>
          <w:r w:rsidR="00D86665">
            <w:rPr>
              <w:noProof/>
              <w:sz w:val="24"/>
              <w:szCs w:val="24"/>
              <w:lang w:val="en-US"/>
            </w:rPr>
            <w:t xml:space="preserve"> </w:t>
          </w:r>
          <w:r w:rsidR="00D86665" w:rsidRPr="00D86665">
            <w:rPr>
              <w:noProof/>
              <w:sz w:val="24"/>
              <w:szCs w:val="24"/>
              <w:lang w:val="en-US"/>
            </w:rPr>
            <w:t>(DeRuiter &amp; Holston, 2012)</w:t>
          </w:r>
          <w:r w:rsidR="00D87A4A">
            <w:rPr>
              <w:sz w:val="24"/>
              <w:szCs w:val="24"/>
              <w:lang w:val="en-US"/>
            </w:rPr>
            <w:fldChar w:fldCharType="end"/>
          </w:r>
        </w:sdtContent>
      </w:sdt>
      <w:r>
        <w:rPr>
          <w:sz w:val="24"/>
          <w:szCs w:val="24"/>
          <w:lang w:val="en-US"/>
        </w:rPr>
        <w:t>. This made it possible for more generic drug firms to enter the pharmaceutical market. Moreover, Medicare Part D was implemented in this period. Due to the low cost-sharing for generic drugs and large differentials in cost-sharing between generic and brand drugs, consumers were motivated to use the generic drugs</w:t>
      </w:r>
      <w:sdt>
        <w:sdtPr>
          <w:rPr>
            <w:sz w:val="24"/>
            <w:szCs w:val="24"/>
            <w:lang w:val="en-US"/>
          </w:rPr>
          <w:id w:val="-1179655958"/>
          <w:citation/>
        </w:sdtPr>
        <w:sdtEndPr/>
        <w:sdtContent>
          <w:r>
            <w:rPr>
              <w:sz w:val="24"/>
              <w:szCs w:val="24"/>
              <w:lang w:val="en-US"/>
            </w:rPr>
            <w:fldChar w:fldCharType="begin"/>
          </w:r>
          <w:r w:rsidRPr="003F1D84">
            <w:rPr>
              <w:sz w:val="24"/>
              <w:szCs w:val="24"/>
              <w:lang w:val="en-US"/>
            </w:rPr>
            <w:instrText xml:space="preserve"> CITATION Zha08 \l 1043 </w:instrText>
          </w:r>
          <w:r>
            <w:rPr>
              <w:sz w:val="24"/>
              <w:szCs w:val="24"/>
              <w:lang w:val="en-US"/>
            </w:rPr>
            <w:fldChar w:fldCharType="separate"/>
          </w:r>
          <w:r w:rsidR="00D86665">
            <w:rPr>
              <w:noProof/>
              <w:sz w:val="24"/>
              <w:szCs w:val="24"/>
              <w:lang w:val="en-US"/>
            </w:rPr>
            <w:t xml:space="preserve"> </w:t>
          </w:r>
          <w:r w:rsidR="00D86665" w:rsidRPr="00D86665">
            <w:rPr>
              <w:noProof/>
              <w:sz w:val="24"/>
              <w:szCs w:val="24"/>
              <w:lang w:val="en-US"/>
            </w:rPr>
            <w:t>(Zhang, Yin, Sun, &amp; Alexander, 2008)</w:t>
          </w:r>
          <w:r>
            <w:rPr>
              <w:sz w:val="24"/>
              <w:szCs w:val="24"/>
              <w:lang w:val="en-US"/>
            </w:rPr>
            <w:fldChar w:fldCharType="end"/>
          </w:r>
        </w:sdtContent>
      </w:sdt>
      <w:r>
        <w:rPr>
          <w:sz w:val="24"/>
          <w:szCs w:val="24"/>
          <w:lang w:val="en-US"/>
        </w:rPr>
        <w:t xml:space="preserve">. Nowadays, generic drugs make up for more than 80% of the total drug prescriptions. This shows that most consumers trust the safety and efficacy of the generic drugs, while some consumers are still willing to pay much more for the brand drugs because of their loyalty to the drug. </w:t>
      </w:r>
    </w:p>
    <w:p w14:paraId="1A2C6F7D" w14:textId="77777777" w:rsidR="00151A9D" w:rsidRDefault="00151A9D" w:rsidP="00151A9D">
      <w:pPr>
        <w:spacing w:after="0" w:line="360" w:lineRule="auto"/>
        <w:jc w:val="both"/>
        <w:rPr>
          <w:sz w:val="24"/>
          <w:szCs w:val="24"/>
          <w:lang w:val="en-US"/>
        </w:rPr>
      </w:pPr>
    </w:p>
    <w:p w14:paraId="35BDD166" w14:textId="4A14B330" w:rsidR="00151A9D" w:rsidRDefault="00151A9D" w:rsidP="00151A9D">
      <w:pPr>
        <w:spacing w:after="0" w:line="360" w:lineRule="auto"/>
        <w:jc w:val="both"/>
        <w:rPr>
          <w:rFonts w:eastAsiaTheme="minorEastAsia"/>
          <w:sz w:val="24"/>
          <w:szCs w:val="24"/>
          <w:lang w:val="en-US"/>
        </w:rPr>
      </w:pPr>
      <w:r w:rsidRPr="00950D55">
        <w:rPr>
          <w:sz w:val="24"/>
          <w:szCs w:val="24"/>
          <w:lang w:val="en-US"/>
        </w:rPr>
        <w:t>From previous papers on this topic, some price changes in the pharmaceutical market in presence of generic drugs</w:t>
      </w:r>
      <w:r>
        <w:rPr>
          <w:sz w:val="24"/>
          <w:szCs w:val="24"/>
          <w:lang w:val="en-US"/>
        </w:rPr>
        <w:t xml:space="preserve"> can be seen</w:t>
      </w:r>
      <w:r w:rsidRPr="00950D55">
        <w:rPr>
          <w:sz w:val="24"/>
          <w:szCs w:val="24"/>
          <w:lang w:val="en-US"/>
        </w:rPr>
        <w:t>. First, the brand drug maintains a high price</w:t>
      </w:r>
      <w:r w:rsidRPr="00950D55">
        <w:rPr>
          <w:rFonts w:eastAsiaTheme="minorEastAsia"/>
          <w:sz w:val="24"/>
          <w:szCs w:val="24"/>
          <w:lang w:val="en-US"/>
        </w:rPr>
        <w:t>. Second, various papers show that when a generic drug enters the market its price is on average 80% of the original brand drug</w:t>
      </w:r>
      <w:r w:rsidR="00664510">
        <w:rPr>
          <w:rFonts w:eastAsiaTheme="minorEastAsia"/>
          <w:sz w:val="24"/>
          <w:szCs w:val="24"/>
          <w:lang w:val="en-US"/>
        </w:rPr>
        <w:t xml:space="preserve"> price</w:t>
      </w:r>
      <w:r w:rsidRPr="00950D55">
        <w:rPr>
          <w:rFonts w:eastAsiaTheme="minorEastAsia"/>
          <w:sz w:val="24"/>
          <w:szCs w:val="24"/>
          <w:lang w:val="en-US"/>
        </w:rPr>
        <w:t>. This price drops the longer the generic drug is in the market and eventually it stays steady on an average of 30% of the original brand drug price</w:t>
      </w:r>
      <w:sdt>
        <w:sdtPr>
          <w:rPr>
            <w:rFonts w:eastAsiaTheme="minorEastAsia"/>
            <w:sz w:val="24"/>
            <w:szCs w:val="24"/>
            <w:lang w:val="en-US"/>
          </w:rPr>
          <w:id w:val="-1849477046"/>
          <w:citation/>
        </w:sdtPr>
        <w:sdtEndPr/>
        <w:sdtContent>
          <w:r w:rsidRPr="00950D55">
            <w:rPr>
              <w:rFonts w:eastAsiaTheme="minorEastAsia"/>
              <w:sz w:val="24"/>
              <w:szCs w:val="24"/>
              <w:lang w:val="en-US"/>
            </w:rPr>
            <w:fldChar w:fldCharType="begin"/>
          </w:r>
          <w:r w:rsidRPr="00950D55">
            <w:rPr>
              <w:rFonts w:eastAsiaTheme="minorEastAsia"/>
              <w:sz w:val="24"/>
              <w:szCs w:val="24"/>
              <w:lang w:val="en-US"/>
            </w:rPr>
            <w:instrText xml:space="preserve"> CITATION Ber07 \l 1043 </w:instrText>
          </w:r>
          <w:r w:rsidRPr="00950D55">
            <w:rPr>
              <w:rFonts w:eastAsiaTheme="minorEastAsia"/>
              <w:sz w:val="24"/>
              <w:szCs w:val="24"/>
              <w:lang w:val="en-US"/>
            </w:rPr>
            <w:fldChar w:fldCharType="separate"/>
          </w:r>
          <w:r w:rsidR="00D86665">
            <w:rPr>
              <w:rFonts w:eastAsiaTheme="minorEastAsia"/>
              <w:noProof/>
              <w:sz w:val="24"/>
              <w:szCs w:val="24"/>
              <w:lang w:val="en-US"/>
            </w:rPr>
            <w:t xml:space="preserve"> </w:t>
          </w:r>
          <w:r w:rsidR="00D86665" w:rsidRPr="00D86665">
            <w:rPr>
              <w:rFonts w:eastAsiaTheme="minorEastAsia"/>
              <w:noProof/>
              <w:sz w:val="24"/>
              <w:szCs w:val="24"/>
              <w:lang w:val="en-US"/>
            </w:rPr>
            <w:t>(Berndt, Mortimer, Bhattacharjya, Parece, &amp; Tuttle, 2007)</w:t>
          </w:r>
          <w:r w:rsidRPr="00950D55">
            <w:rPr>
              <w:rFonts w:eastAsiaTheme="minorEastAsia"/>
              <w:sz w:val="24"/>
              <w:szCs w:val="24"/>
              <w:lang w:val="en-US"/>
            </w:rPr>
            <w:fldChar w:fldCharType="end"/>
          </w:r>
        </w:sdtContent>
      </w:sdt>
      <w:r w:rsidRPr="00950D55">
        <w:rPr>
          <w:rFonts w:eastAsiaTheme="minorEastAsia"/>
          <w:sz w:val="24"/>
          <w:szCs w:val="24"/>
          <w:lang w:val="en-US"/>
        </w:rPr>
        <w:t xml:space="preserve">. </w:t>
      </w:r>
    </w:p>
    <w:p w14:paraId="4E16F85E" w14:textId="7CDA7573" w:rsidR="00151A9D" w:rsidRPr="00950D55" w:rsidRDefault="00151A9D" w:rsidP="00151A9D">
      <w:pPr>
        <w:spacing w:after="0" w:line="360" w:lineRule="auto"/>
        <w:jc w:val="both"/>
        <w:rPr>
          <w:rFonts w:eastAsiaTheme="minorEastAsia"/>
          <w:sz w:val="24"/>
          <w:szCs w:val="24"/>
          <w:lang w:val="en-US"/>
        </w:rPr>
      </w:pPr>
      <w:r w:rsidRPr="00950D55">
        <w:rPr>
          <w:rFonts w:eastAsiaTheme="minorEastAsia"/>
          <w:sz w:val="24"/>
          <w:szCs w:val="24"/>
          <w:lang w:val="en-US"/>
        </w:rPr>
        <w:t xml:space="preserve">The process on how fast the generic drug has a steady price depends on how many other generic suppliers there are in the market. When there are a lot of other generic suppliers, this happens very fast. With, for example, at least 20 </w:t>
      </w:r>
      <w:r>
        <w:rPr>
          <w:rFonts w:eastAsiaTheme="minorEastAsia"/>
          <w:sz w:val="24"/>
          <w:szCs w:val="24"/>
          <w:lang w:val="en-US"/>
        </w:rPr>
        <w:t xml:space="preserve">generic </w:t>
      </w:r>
      <w:r w:rsidRPr="00950D55">
        <w:rPr>
          <w:rFonts w:eastAsiaTheme="minorEastAsia"/>
          <w:sz w:val="24"/>
          <w:szCs w:val="24"/>
          <w:lang w:val="en-US"/>
        </w:rPr>
        <w:t xml:space="preserve">suppliers the price of </w:t>
      </w:r>
      <w:r>
        <w:rPr>
          <w:rFonts w:eastAsiaTheme="minorEastAsia"/>
          <w:sz w:val="24"/>
          <w:szCs w:val="24"/>
          <w:lang w:val="en-US"/>
        </w:rPr>
        <w:t>the generic drug</w:t>
      </w:r>
      <w:r w:rsidRPr="00950D55">
        <w:rPr>
          <w:rFonts w:eastAsiaTheme="minorEastAsia"/>
          <w:sz w:val="24"/>
          <w:szCs w:val="24"/>
          <w:lang w:val="en-US"/>
        </w:rPr>
        <w:t xml:space="preserve"> is a year after the first generic entry already on its steady price of around 20-30%. However, if there are just two or three generic suppliers by the end of the first year the generic price is around 65% of the original brand drug </w:t>
      </w:r>
      <w:sdt>
        <w:sdtPr>
          <w:rPr>
            <w:rFonts w:eastAsiaTheme="minorEastAsia"/>
            <w:sz w:val="24"/>
            <w:szCs w:val="24"/>
            <w:lang w:val="en-US"/>
          </w:rPr>
          <w:id w:val="1889682348"/>
          <w:citation/>
        </w:sdtPr>
        <w:sdtEndPr/>
        <w:sdtContent>
          <w:r w:rsidRPr="00950D55">
            <w:rPr>
              <w:rFonts w:eastAsiaTheme="minorEastAsia"/>
              <w:sz w:val="24"/>
              <w:szCs w:val="24"/>
              <w:lang w:val="en-US"/>
            </w:rPr>
            <w:fldChar w:fldCharType="begin"/>
          </w:r>
          <w:r w:rsidRPr="00950D55">
            <w:rPr>
              <w:rFonts w:eastAsiaTheme="minorEastAsia"/>
              <w:sz w:val="24"/>
              <w:szCs w:val="24"/>
              <w:lang w:val="en-US"/>
            </w:rPr>
            <w:instrText xml:space="preserve"> CITATION Sah06 \l 1043 </w:instrText>
          </w:r>
          <w:r w:rsidRPr="00950D55">
            <w:rPr>
              <w:rFonts w:eastAsiaTheme="minorEastAsia"/>
              <w:sz w:val="24"/>
              <w:szCs w:val="24"/>
              <w:lang w:val="en-US"/>
            </w:rPr>
            <w:fldChar w:fldCharType="separate"/>
          </w:r>
          <w:r w:rsidR="00D86665" w:rsidRPr="00D86665">
            <w:rPr>
              <w:rFonts w:eastAsiaTheme="minorEastAsia"/>
              <w:noProof/>
              <w:sz w:val="24"/>
              <w:szCs w:val="24"/>
              <w:lang w:val="en-US"/>
            </w:rPr>
            <w:t>(Saha, Grabowski, Birnbaum, Greenberg, &amp; Bizan, 2006)</w:t>
          </w:r>
          <w:r w:rsidRPr="00950D55">
            <w:rPr>
              <w:rFonts w:eastAsiaTheme="minorEastAsia"/>
              <w:sz w:val="24"/>
              <w:szCs w:val="24"/>
              <w:lang w:val="en-US"/>
            </w:rPr>
            <w:fldChar w:fldCharType="end"/>
          </w:r>
        </w:sdtContent>
      </w:sdt>
      <w:r w:rsidRPr="00950D55">
        <w:rPr>
          <w:rFonts w:eastAsiaTheme="minorEastAsia"/>
          <w:sz w:val="24"/>
          <w:szCs w:val="24"/>
          <w:lang w:val="en-US"/>
        </w:rPr>
        <w:t xml:space="preserve">. </w:t>
      </w:r>
    </w:p>
    <w:p w14:paraId="6242FE78" w14:textId="77777777" w:rsidR="00151A9D" w:rsidRPr="00950D55" w:rsidRDefault="00151A9D" w:rsidP="00151A9D">
      <w:pPr>
        <w:spacing w:after="0" w:line="360" w:lineRule="auto"/>
        <w:jc w:val="both"/>
        <w:rPr>
          <w:rFonts w:eastAsiaTheme="minorEastAsia"/>
          <w:sz w:val="24"/>
          <w:szCs w:val="24"/>
          <w:lang w:val="en-US"/>
        </w:rPr>
      </w:pPr>
    </w:p>
    <w:p w14:paraId="3F293702" w14:textId="21BD23CF" w:rsidR="00151A9D" w:rsidRPr="00950D55" w:rsidRDefault="00151A9D" w:rsidP="00151A9D">
      <w:pPr>
        <w:spacing w:after="0" w:line="360" w:lineRule="auto"/>
        <w:jc w:val="both"/>
        <w:rPr>
          <w:rFonts w:eastAsiaTheme="minorEastAsia"/>
          <w:sz w:val="24"/>
          <w:szCs w:val="24"/>
          <w:lang w:val="en-US"/>
        </w:rPr>
      </w:pPr>
      <w:r w:rsidRPr="00950D55">
        <w:rPr>
          <w:rFonts w:eastAsiaTheme="minorEastAsia"/>
          <w:sz w:val="24"/>
          <w:szCs w:val="24"/>
          <w:lang w:val="en-US"/>
        </w:rPr>
        <w:t>There are also some changes in the market shares of the diffe</w:t>
      </w:r>
      <w:r>
        <w:rPr>
          <w:rFonts w:eastAsiaTheme="minorEastAsia"/>
          <w:sz w:val="24"/>
          <w:szCs w:val="24"/>
          <w:lang w:val="en-US"/>
        </w:rPr>
        <w:t>rent drugs. Before generic entry</w:t>
      </w:r>
      <w:r w:rsidRPr="00950D55">
        <w:rPr>
          <w:rFonts w:eastAsiaTheme="minorEastAsia"/>
          <w:sz w:val="24"/>
          <w:szCs w:val="24"/>
          <w:lang w:val="en-US"/>
        </w:rPr>
        <w:t>, the brand drug obviously had 100</w:t>
      </w:r>
      <w:r w:rsidR="00491C0A">
        <w:rPr>
          <w:rFonts w:eastAsiaTheme="minorEastAsia"/>
          <w:sz w:val="24"/>
          <w:szCs w:val="24"/>
          <w:lang w:val="en-US"/>
        </w:rPr>
        <w:t xml:space="preserve">% of the market. Frank and Salkever (1995) </w:t>
      </w:r>
      <w:r w:rsidRPr="00950D55">
        <w:rPr>
          <w:rFonts w:eastAsiaTheme="minorEastAsia"/>
          <w:sz w:val="24"/>
          <w:szCs w:val="24"/>
          <w:lang w:val="en-US"/>
        </w:rPr>
        <w:t>show that this market share drops to around 60% in presence of a generic drug</w:t>
      </w:r>
      <w:sdt>
        <w:sdtPr>
          <w:rPr>
            <w:rFonts w:eastAsiaTheme="minorEastAsia"/>
            <w:sz w:val="24"/>
            <w:szCs w:val="24"/>
            <w:lang w:val="en-US"/>
          </w:rPr>
          <w:id w:val="-1175876397"/>
          <w:citation/>
        </w:sdtPr>
        <w:sdtEndPr/>
        <w:sdtContent>
          <w:r w:rsidRPr="00950D55">
            <w:rPr>
              <w:rFonts w:eastAsiaTheme="minorEastAsia"/>
              <w:sz w:val="24"/>
              <w:szCs w:val="24"/>
              <w:lang w:val="en-US"/>
            </w:rPr>
            <w:fldChar w:fldCharType="begin"/>
          </w:r>
          <w:r w:rsidRPr="00950D55">
            <w:rPr>
              <w:rFonts w:eastAsiaTheme="minorEastAsia"/>
              <w:sz w:val="24"/>
              <w:szCs w:val="24"/>
              <w:lang w:val="en-US"/>
            </w:rPr>
            <w:instrText xml:space="preserve"> CITATION Fra95 \l 1043 </w:instrText>
          </w:r>
          <w:r w:rsidRPr="00950D55">
            <w:rPr>
              <w:rFonts w:eastAsiaTheme="minorEastAsia"/>
              <w:sz w:val="24"/>
              <w:szCs w:val="24"/>
              <w:lang w:val="en-US"/>
            </w:rPr>
            <w:fldChar w:fldCharType="separate"/>
          </w:r>
          <w:r w:rsidR="00D86665">
            <w:rPr>
              <w:rFonts w:eastAsiaTheme="minorEastAsia"/>
              <w:noProof/>
              <w:sz w:val="24"/>
              <w:szCs w:val="24"/>
              <w:lang w:val="en-US"/>
            </w:rPr>
            <w:t xml:space="preserve"> </w:t>
          </w:r>
          <w:r w:rsidR="00D86665" w:rsidRPr="00D86665">
            <w:rPr>
              <w:rFonts w:eastAsiaTheme="minorEastAsia"/>
              <w:noProof/>
              <w:sz w:val="24"/>
              <w:szCs w:val="24"/>
              <w:lang w:val="en-US"/>
            </w:rPr>
            <w:t xml:space="preserve">(Frank &amp; Salkever, Generic </w:t>
          </w:r>
          <w:r w:rsidR="00D86665" w:rsidRPr="00D86665">
            <w:rPr>
              <w:rFonts w:eastAsiaTheme="minorEastAsia"/>
              <w:noProof/>
              <w:sz w:val="24"/>
              <w:szCs w:val="24"/>
              <w:lang w:val="en-US"/>
            </w:rPr>
            <w:lastRenderedPageBreak/>
            <w:t>Entry and the Pricing of Pharmaceuticals, 1995)</w:t>
          </w:r>
          <w:r w:rsidRPr="00950D55">
            <w:rPr>
              <w:rFonts w:eastAsiaTheme="minorEastAsia"/>
              <w:sz w:val="24"/>
              <w:szCs w:val="24"/>
              <w:lang w:val="en-US"/>
            </w:rPr>
            <w:fldChar w:fldCharType="end"/>
          </w:r>
        </w:sdtContent>
      </w:sdt>
      <w:r w:rsidRPr="00950D55">
        <w:rPr>
          <w:rFonts w:eastAsiaTheme="minorEastAsia"/>
          <w:sz w:val="24"/>
          <w:szCs w:val="24"/>
          <w:lang w:val="en-US"/>
        </w:rPr>
        <w:t xml:space="preserve">. Berndt et al. also show that this happens in the period that a generic drug enters the market. Eventually the market share of the brand drug drops even more till around </w:t>
      </w:r>
      <w:r>
        <w:rPr>
          <w:rFonts w:eastAsiaTheme="minorEastAsia"/>
          <w:sz w:val="24"/>
          <w:szCs w:val="24"/>
          <w:lang w:val="en-US"/>
        </w:rPr>
        <w:t>15-</w:t>
      </w:r>
      <w:r w:rsidRPr="00950D55">
        <w:rPr>
          <w:rFonts w:eastAsiaTheme="minorEastAsia"/>
          <w:sz w:val="24"/>
          <w:szCs w:val="24"/>
          <w:lang w:val="en-US"/>
        </w:rPr>
        <w:t>20%</w:t>
      </w:r>
      <w:sdt>
        <w:sdtPr>
          <w:rPr>
            <w:rFonts w:eastAsiaTheme="minorEastAsia"/>
            <w:sz w:val="24"/>
            <w:szCs w:val="24"/>
            <w:lang w:val="en-US"/>
          </w:rPr>
          <w:id w:val="1103462397"/>
          <w:citation/>
        </w:sdtPr>
        <w:sdtEndPr/>
        <w:sdtContent>
          <w:r w:rsidRPr="00950D55">
            <w:rPr>
              <w:rFonts w:eastAsiaTheme="minorEastAsia"/>
              <w:sz w:val="24"/>
              <w:szCs w:val="24"/>
              <w:lang w:val="en-US"/>
            </w:rPr>
            <w:fldChar w:fldCharType="begin"/>
          </w:r>
          <w:r w:rsidRPr="00950D55">
            <w:rPr>
              <w:rFonts w:eastAsiaTheme="minorEastAsia"/>
              <w:sz w:val="24"/>
              <w:szCs w:val="24"/>
              <w:lang w:val="en-US"/>
            </w:rPr>
            <w:instrText xml:space="preserve"> CITATION Ber07 \l 1043 </w:instrText>
          </w:r>
          <w:r w:rsidRPr="00950D55">
            <w:rPr>
              <w:rFonts w:eastAsiaTheme="minorEastAsia"/>
              <w:sz w:val="24"/>
              <w:szCs w:val="24"/>
              <w:lang w:val="en-US"/>
            </w:rPr>
            <w:fldChar w:fldCharType="separate"/>
          </w:r>
          <w:r w:rsidR="00D86665">
            <w:rPr>
              <w:rFonts w:eastAsiaTheme="minorEastAsia"/>
              <w:noProof/>
              <w:sz w:val="24"/>
              <w:szCs w:val="24"/>
              <w:lang w:val="en-US"/>
            </w:rPr>
            <w:t xml:space="preserve"> </w:t>
          </w:r>
          <w:r w:rsidR="00D86665" w:rsidRPr="00D86665">
            <w:rPr>
              <w:rFonts w:eastAsiaTheme="minorEastAsia"/>
              <w:noProof/>
              <w:sz w:val="24"/>
              <w:szCs w:val="24"/>
              <w:lang w:val="en-US"/>
            </w:rPr>
            <w:t>(Berndt, Mortimer, Bhattacharjya, Parece, &amp; Tuttle, 2007)</w:t>
          </w:r>
          <w:r w:rsidRPr="00950D55">
            <w:rPr>
              <w:rFonts w:eastAsiaTheme="minorEastAsia"/>
              <w:sz w:val="24"/>
              <w:szCs w:val="24"/>
              <w:lang w:val="en-US"/>
            </w:rPr>
            <w:fldChar w:fldCharType="end"/>
          </w:r>
        </w:sdtContent>
      </w:sdt>
      <w:r w:rsidRPr="00950D55">
        <w:rPr>
          <w:rFonts w:eastAsiaTheme="minorEastAsia"/>
          <w:sz w:val="24"/>
          <w:szCs w:val="24"/>
          <w:lang w:val="en-US"/>
        </w:rPr>
        <w:t xml:space="preserve">. </w:t>
      </w:r>
    </w:p>
    <w:p w14:paraId="2B301368" w14:textId="046E02BA" w:rsidR="00151A9D" w:rsidRDefault="00151A9D" w:rsidP="00151A9D">
      <w:pPr>
        <w:spacing w:after="0" w:line="360" w:lineRule="auto"/>
        <w:jc w:val="both"/>
        <w:rPr>
          <w:rFonts w:eastAsiaTheme="minorEastAsia"/>
          <w:sz w:val="24"/>
          <w:szCs w:val="24"/>
          <w:lang w:val="en-US"/>
        </w:rPr>
      </w:pPr>
      <w:r w:rsidRPr="00950D55">
        <w:rPr>
          <w:rFonts w:eastAsiaTheme="minorEastAsia"/>
          <w:sz w:val="24"/>
          <w:szCs w:val="24"/>
          <w:lang w:val="en-US"/>
        </w:rPr>
        <w:t xml:space="preserve">The number of generic suppliers also affects the market share of generic drugs. Again, the more generic suppliers there are in the market the faster the process of reaching its steady market share. When there are at least 20 </w:t>
      </w:r>
      <w:r>
        <w:rPr>
          <w:rFonts w:eastAsiaTheme="minorEastAsia"/>
          <w:sz w:val="24"/>
          <w:szCs w:val="24"/>
          <w:lang w:val="en-US"/>
        </w:rPr>
        <w:t xml:space="preserve">generic </w:t>
      </w:r>
      <w:r w:rsidRPr="00950D55">
        <w:rPr>
          <w:rFonts w:eastAsiaTheme="minorEastAsia"/>
          <w:sz w:val="24"/>
          <w:szCs w:val="24"/>
          <w:lang w:val="en-US"/>
        </w:rPr>
        <w:t xml:space="preserve">suppliers the market share is already steady in a year after the first generic entry, while this takes much longer when there are only two or three generic suppliers </w:t>
      </w:r>
      <w:sdt>
        <w:sdtPr>
          <w:rPr>
            <w:rFonts w:eastAsiaTheme="minorEastAsia"/>
            <w:sz w:val="24"/>
            <w:szCs w:val="24"/>
            <w:lang w:val="en-US"/>
          </w:rPr>
          <w:id w:val="718558580"/>
          <w:citation/>
        </w:sdtPr>
        <w:sdtEndPr/>
        <w:sdtContent>
          <w:r w:rsidRPr="00950D55">
            <w:rPr>
              <w:rFonts w:eastAsiaTheme="minorEastAsia"/>
              <w:sz w:val="24"/>
              <w:szCs w:val="24"/>
              <w:lang w:val="en-US"/>
            </w:rPr>
            <w:fldChar w:fldCharType="begin"/>
          </w:r>
          <w:r w:rsidRPr="00950D55">
            <w:rPr>
              <w:rFonts w:eastAsiaTheme="minorEastAsia"/>
              <w:sz w:val="24"/>
              <w:szCs w:val="24"/>
              <w:lang w:val="en-US"/>
            </w:rPr>
            <w:instrText xml:space="preserve"> CITATION Sah06 \l 1043 </w:instrText>
          </w:r>
          <w:r w:rsidRPr="00950D55">
            <w:rPr>
              <w:rFonts w:eastAsiaTheme="minorEastAsia"/>
              <w:sz w:val="24"/>
              <w:szCs w:val="24"/>
              <w:lang w:val="en-US"/>
            </w:rPr>
            <w:fldChar w:fldCharType="separate"/>
          </w:r>
          <w:r w:rsidR="00D86665" w:rsidRPr="00D86665">
            <w:rPr>
              <w:rFonts w:eastAsiaTheme="minorEastAsia"/>
              <w:noProof/>
              <w:sz w:val="24"/>
              <w:szCs w:val="24"/>
              <w:lang w:val="en-US"/>
            </w:rPr>
            <w:t>(Saha, Grabowski, Birnbaum, Greenberg, &amp; Bizan, 2006)</w:t>
          </w:r>
          <w:r w:rsidRPr="00950D55">
            <w:rPr>
              <w:rFonts w:eastAsiaTheme="minorEastAsia"/>
              <w:sz w:val="24"/>
              <w:szCs w:val="24"/>
              <w:lang w:val="en-US"/>
            </w:rPr>
            <w:fldChar w:fldCharType="end"/>
          </w:r>
        </w:sdtContent>
      </w:sdt>
      <w:r w:rsidRPr="00950D55">
        <w:rPr>
          <w:rFonts w:eastAsiaTheme="minorEastAsia"/>
          <w:sz w:val="24"/>
          <w:szCs w:val="24"/>
          <w:lang w:val="en-US"/>
        </w:rPr>
        <w:t>.</w:t>
      </w:r>
    </w:p>
    <w:p w14:paraId="23785A41" w14:textId="12CD18AB" w:rsidR="00151A9D" w:rsidRPr="00950D55" w:rsidRDefault="00151A9D" w:rsidP="00151A9D">
      <w:pPr>
        <w:spacing w:after="0" w:line="360" w:lineRule="auto"/>
        <w:jc w:val="both"/>
        <w:rPr>
          <w:sz w:val="24"/>
          <w:lang w:val="en-US"/>
        </w:rPr>
      </w:pPr>
    </w:p>
    <w:p w14:paraId="61C3CD6C" w14:textId="0E34E3D4" w:rsidR="00093018" w:rsidRPr="00950D55" w:rsidRDefault="00151A9D" w:rsidP="006C0BF9">
      <w:pPr>
        <w:pStyle w:val="Kop2"/>
        <w:spacing w:before="0" w:line="360" w:lineRule="auto"/>
        <w:jc w:val="both"/>
        <w:rPr>
          <w:b/>
          <w:color w:val="auto"/>
          <w:lang w:val="en-US"/>
        </w:rPr>
      </w:pPr>
      <w:bookmarkStart w:id="4" w:name="_Toc14787839"/>
      <w:r>
        <w:rPr>
          <w:b/>
          <w:color w:val="auto"/>
          <w:lang w:val="en-US"/>
        </w:rPr>
        <w:t>1.2</w:t>
      </w:r>
      <w:r w:rsidR="006C0BF9">
        <w:rPr>
          <w:b/>
          <w:color w:val="auto"/>
          <w:lang w:val="en-US"/>
        </w:rPr>
        <w:t xml:space="preserve"> B</w:t>
      </w:r>
      <w:r w:rsidR="00093018" w:rsidRPr="00950D55">
        <w:rPr>
          <w:b/>
          <w:color w:val="auto"/>
          <w:lang w:val="en-US"/>
        </w:rPr>
        <w:t>rand loyalty</w:t>
      </w:r>
      <w:bookmarkEnd w:id="4"/>
    </w:p>
    <w:p w14:paraId="2FAC8393" w14:textId="77777777" w:rsidR="00A421E3" w:rsidRPr="00A421E3" w:rsidRDefault="00A421E3" w:rsidP="008E5781">
      <w:pPr>
        <w:spacing w:after="0" w:line="360" w:lineRule="auto"/>
        <w:jc w:val="both"/>
        <w:rPr>
          <w:i/>
          <w:sz w:val="24"/>
          <w:szCs w:val="24"/>
          <w:lang w:val="en-US"/>
        </w:rPr>
      </w:pPr>
      <w:r>
        <w:rPr>
          <w:i/>
          <w:sz w:val="24"/>
          <w:szCs w:val="24"/>
          <w:lang w:val="en-US"/>
        </w:rPr>
        <w:t>Grabowski &amp; Vernon</w:t>
      </w:r>
    </w:p>
    <w:p w14:paraId="343A66B0" w14:textId="7B9D9568" w:rsidR="00B870B4" w:rsidRDefault="008E5781" w:rsidP="008E5781">
      <w:pPr>
        <w:spacing w:after="0" w:line="360" w:lineRule="auto"/>
        <w:jc w:val="both"/>
        <w:rPr>
          <w:sz w:val="24"/>
          <w:szCs w:val="24"/>
          <w:lang w:val="en-US"/>
        </w:rPr>
      </w:pPr>
      <w:r>
        <w:rPr>
          <w:sz w:val="24"/>
          <w:szCs w:val="24"/>
          <w:lang w:val="en-US"/>
        </w:rPr>
        <w:t>Many papers argue that the pharmaceutical market is characterized by a strong brand loyalty for pioneering b</w:t>
      </w:r>
      <w:r w:rsidR="00491C0A">
        <w:rPr>
          <w:sz w:val="24"/>
          <w:szCs w:val="24"/>
          <w:lang w:val="en-US"/>
        </w:rPr>
        <w:t xml:space="preserve">rands over generic competitors. </w:t>
      </w:r>
      <w:r w:rsidR="008A0A01">
        <w:rPr>
          <w:sz w:val="24"/>
          <w:szCs w:val="24"/>
          <w:lang w:val="en-US"/>
        </w:rPr>
        <w:t>Grabowski and Vernon</w:t>
      </w:r>
      <w:r w:rsidR="00B870B4">
        <w:rPr>
          <w:sz w:val="24"/>
          <w:szCs w:val="24"/>
          <w:lang w:val="en-US"/>
        </w:rPr>
        <w:t xml:space="preserve"> (1979)</w:t>
      </w:r>
      <w:r w:rsidR="00491C0A">
        <w:rPr>
          <w:sz w:val="24"/>
          <w:szCs w:val="24"/>
          <w:lang w:val="en-US"/>
        </w:rPr>
        <w:t xml:space="preserve"> argue</w:t>
      </w:r>
      <w:r w:rsidR="008A0A01">
        <w:rPr>
          <w:sz w:val="24"/>
          <w:szCs w:val="24"/>
          <w:lang w:val="en-US"/>
        </w:rPr>
        <w:t xml:space="preserve"> that t</w:t>
      </w:r>
      <w:r w:rsidR="00237C5A">
        <w:rPr>
          <w:sz w:val="24"/>
          <w:szCs w:val="24"/>
          <w:lang w:val="en-US"/>
        </w:rPr>
        <w:t xml:space="preserve">his is mainly </w:t>
      </w:r>
      <w:r w:rsidR="00D0468F">
        <w:rPr>
          <w:sz w:val="24"/>
          <w:szCs w:val="24"/>
          <w:lang w:val="en-US"/>
        </w:rPr>
        <w:t>because</w:t>
      </w:r>
      <w:r w:rsidR="00377F4E">
        <w:rPr>
          <w:sz w:val="24"/>
          <w:szCs w:val="24"/>
          <w:lang w:val="en-US"/>
        </w:rPr>
        <w:t xml:space="preserve"> physicians gain some experience with a drug during the period of the patent. Physicians are the ones that prescribe drugs to consumers, so they have a big influence in the use of a certain brand. The physicians had some sort of loyalty to the pioneering brand drug and this caused insensitivity towards generic drugs when they entered the market</w:t>
      </w:r>
      <w:sdt>
        <w:sdtPr>
          <w:rPr>
            <w:sz w:val="24"/>
            <w:szCs w:val="24"/>
            <w:lang w:val="en-US"/>
          </w:rPr>
          <w:id w:val="1593053649"/>
          <w:citation/>
        </w:sdtPr>
        <w:sdtEndPr/>
        <w:sdtContent>
          <w:r w:rsidR="00377F4E">
            <w:rPr>
              <w:sz w:val="24"/>
              <w:szCs w:val="24"/>
              <w:lang w:val="en-US"/>
            </w:rPr>
            <w:fldChar w:fldCharType="begin"/>
          </w:r>
          <w:r w:rsidR="006C0BF9">
            <w:rPr>
              <w:sz w:val="24"/>
              <w:szCs w:val="24"/>
              <w:lang w:val="en-US"/>
            </w:rPr>
            <w:instrText xml:space="preserve">CITATION Ver79 \t  \l 1043 </w:instrText>
          </w:r>
          <w:r w:rsidR="00377F4E">
            <w:rPr>
              <w:sz w:val="24"/>
              <w:szCs w:val="24"/>
              <w:lang w:val="en-US"/>
            </w:rPr>
            <w:fldChar w:fldCharType="separate"/>
          </w:r>
          <w:r w:rsidR="00D86665">
            <w:rPr>
              <w:noProof/>
              <w:sz w:val="24"/>
              <w:szCs w:val="24"/>
              <w:lang w:val="en-US"/>
            </w:rPr>
            <w:t xml:space="preserve"> </w:t>
          </w:r>
          <w:r w:rsidR="00D86665" w:rsidRPr="00D86665">
            <w:rPr>
              <w:noProof/>
              <w:sz w:val="24"/>
              <w:szCs w:val="24"/>
              <w:lang w:val="en-US"/>
            </w:rPr>
            <w:t>(Grabowski &amp; Vernon, 1979)</w:t>
          </w:r>
          <w:r w:rsidR="00377F4E">
            <w:rPr>
              <w:sz w:val="24"/>
              <w:szCs w:val="24"/>
              <w:lang w:val="en-US"/>
            </w:rPr>
            <w:fldChar w:fldCharType="end"/>
          </w:r>
        </w:sdtContent>
      </w:sdt>
      <w:r w:rsidR="00377F4E">
        <w:rPr>
          <w:sz w:val="24"/>
          <w:szCs w:val="24"/>
          <w:lang w:val="en-US"/>
        </w:rPr>
        <w:t xml:space="preserve">. </w:t>
      </w:r>
    </w:p>
    <w:p w14:paraId="084061FE" w14:textId="566B297A" w:rsidR="006C0BF9" w:rsidRDefault="006C0BF9" w:rsidP="008E5781">
      <w:pPr>
        <w:spacing w:after="0" w:line="360" w:lineRule="auto"/>
        <w:jc w:val="both"/>
        <w:rPr>
          <w:sz w:val="24"/>
          <w:szCs w:val="24"/>
          <w:lang w:val="en-US"/>
        </w:rPr>
      </w:pPr>
      <w:r>
        <w:rPr>
          <w:sz w:val="24"/>
          <w:szCs w:val="24"/>
          <w:lang w:val="en-US"/>
        </w:rPr>
        <w:t xml:space="preserve">However, it must be noted that this was a paper before the Hatch-Waxman Act. This means it was also more difficult for generic suppliers to enter the market and show their bioequivalence. </w:t>
      </w:r>
      <w:r w:rsidR="00EB63ED">
        <w:rPr>
          <w:sz w:val="24"/>
          <w:szCs w:val="24"/>
          <w:lang w:val="en-US"/>
        </w:rPr>
        <w:t>Therefore, a generic drug could have some other side effects than the brand drug. However, because the brand drug was already in the market,</w:t>
      </w:r>
      <w:r w:rsidR="00237C5A">
        <w:rPr>
          <w:sz w:val="24"/>
          <w:szCs w:val="24"/>
          <w:lang w:val="en-US"/>
        </w:rPr>
        <w:t xml:space="preserve"> the</w:t>
      </w:r>
      <w:r w:rsidR="00EB63ED">
        <w:rPr>
          <w:sz w:val="24"/>
          <w:szCs w:val="24"/>
          <w:lang w:val="en-US"/>
        </w:rPr>
        <w:t xml:space="preserve"> side effect</w:t>
      </w:r>
      <w:r w:rsidR="00237C5A">
        <w:rPr>
          <w:sz w:val="24"/>
          <w:szCs w:val="24"/>
          <w:lang w:val="en-US"/>
        </w:rPr>
        <w:t>s</w:t>
      </w:r>
      <w:r w:rsidR="00EB63ED">
        <w:rPr>
          <w:sz w:val="24"/>
          <w:szCs w:val="24"/>
          <w:lang w:val="en-US"/>
        </w:rPr>
        <w:t xml:space="preserve"> of that drug </w:t>
      </w:r>
      <w:r w:rsidR="009F2EEA">
        <w:rPr>
          <w:sz w:val="24"/>
          <w:szCs w:val="24"/>
          <w:lang w:val="en-US"/>
        </w:rPr>
        <w:t>was</w:t>
      </w:r>
      <w:r w:rsidR="00EB63ED">
        <w:rPr>
          <w:sz w:val="24"/>
          <w:szCs w:val="24"/>
          <w:lang w:val="en-US"/>
        </w:rPr>
        <w:t xml:space="preserve"> known while the side effects of generic drugs were not. This means that the physicians could also choose to prescribe the brand drug because of the known side effects</w:t>
      </w:r>
      <w:r w:rsidR="00237C5A">
        <w:rPr>
          <w:sz w:val="24"/>
          <w:szCs w:val="24"/>
          <w:lang w:val="en-US"/>
        </w:rPr>
        <w:t>,</w:t>
      </w:r>
      <w:r w:rsidR="00EB63ED">
        <w:rPr>
          <w:sz w:val="24"/>
          <w:szCs w:val="24"/>
          <w:lang w:val="en-US"/>
        </w:rPr>
        <w:t xml:space="preserve"> while the</w:t>
      </w:r>
      <w:r w:rsidR="00014E7E">
        <w:rPr>
          <w:sz w:val="24"/>
          <w:szCs w:val="24"/>
          <w:lang w:val="en-US"/>
        </w:rPr>
        <w:t xml:space="preserve"> use of</w:t>
      </w:r>
      <w:r w:rsidR="00EB63ED">
        <w:rPr>
          <w:sz w:val="24"/>
          <w:szCs w:val="24"/>
          <w:lang w:val="en-US"/>
        </w:rPr>
        <w:t xml:space="preserve"> generic drug</w:t>
      </w:r>
      <w:r w:rsidR="00014E7E">
        <w:rPr>
          <w:sz w:val="24"/>
          <w:szCs w:val="24"/>
          <w:lang w:val="en-US"/>
        </w:rPr>
        <w:t>s</w:t>
      </w:r>
      <w:r w:rsidR="00EB63ED">
        <w:rPr>
          <w:sz w:val="24"/>
          <w:szCs w:val="24"/>
          <w:lang w:val="en-US"/>
        </w:rPr>
        <w:t xml:space="preserve"> was some sort of risky. </w:t>
      </w:r>
    </w:p>
    <w:p w14:paraId="28FBFA9B" w14:textId="77777777" w:rsidR="00EB63ED" w:rsidRDefault="00EB63ED" w:rsidP="008E5781">
      <w:pPr>
        <w:spacing w:after="0" w:line="360" w:lineRule="auto"/>
        <w:jc w:val="both"/>
        <w:rPr>
          <w:sz w:val="24"/>
          <w:szCs w:val="24"/>
          <w:lang w:val="en-US"/>
        </w:rPr>
      </w:pPr>
    </w:p>
    <w:p w14:paraId="1E382716" w14:textId="457AA9C1" w:rsidR="00970C0D" w:rsidRDefault="006C0BF9" w:rsidP="008E5781">
      <w:pPr>
        <w:spacing w:after="0" w:line="360" w:lineRule="auto"/>
        <w:jc w:val="both"/>
        <w:rPr>
          <w:sz w:val="24"/>
          <w:szCs w:val="24"/>
          <w:lang w:val="en-US"/>
        </w:rPr>
      </w:pPr>
      <w:r>
        <w:rPr>
          <w:sz w:val="24"/>
          <w:szCs w:val="24"/>
          <w:lang w:val="en-US"/>
        </w:rPr>
        <w:t>A</w:t>
      </w:r>
      <w:r w:rsidR="00B870B4">
        <w:rPr>
          <w:sz w:val="24"/>
          <w:szCs w:val="24"/>
          <w:lang w:val="en-US"/>
        </w:rPr>
        <w:t>nother paper of Grabowski and Vernon (1992)</w:t>
      </w:r>
      <w:r>
        <w:rPr>
          <w:sz w:val="24"/>
          <w:szCs w:val="24"/>
          <w:lang w:val="en-US"/>
        </w:rPr>
        <w:t xml:space="preserve"> showed that physicians did change to a generic substitute</w:t>
      </w:r>
      <w:r w:rsidR="00B870B4">
        <w:rPr>
          <w:sz w:val="24"/>
          <w:szCs w:val="24"/>
          <w:lang w:val="en-US"/>
        </w:rPr>
        <w:t xml:space="preserve"> after 1984</w:t>
      </w:r>
      <w:r>
        <w:rPr>
          <w:sz w:val="24"/>
          <w:szCs w:val="24"/>
          <w:lang w:val="en-US"/>
        </w:rPr>
        <w:t xml:space="preserve">, but that some still prescribed the more expensive brand drug. </w:t>
      </w:r>
      <w:r w:rsidR="00EB63ED">
        <w:rPr>
          <w:sz w:val="24"/>
          <w:szCs w:val="24"/>
          <w:lang w:val="en-US"/>
        </w:rPr>
        <w:t>These could mean that after 1984 the bioequivalence of the generic drug, and the side effects of the drug, were more reliable</w:t>
      </w:r>
      <w:r w:rsidR="00237C5A" w:rsidRPr="00237C5A">
        <w:rPr>
          <w:sz w:val="24"/>
          <w:szCs w:val="24"/>
          <w:lang w:val="en-US"/>
        </w:rPr>
        <w:t xml:space="preserve"> </w:t>
      </w:r>
      <w:sdt>
        <w:sdtPr>
          <w:rPr>
            <w:sz w:val="24"/>
            <w:szCs w:val="24"/>
            <w:lang w:val="en-US"/>
          </w:rPr>
          <w:id w:val="557047799"/>
          <w:citation/>
        </w:sdtPr>
        <w:sdtEndPr/>
        <w:sdtContent>
          <w:r w:rsidR="00237C5A">
            <w:rPr>
              <w:sz w:val="24"/>
              <w:szCs w:val="24"/>
              <w:lang w:val="en-US"/>
            </w:rPr>
            <w:fldChar w:fldCharType="begin"/>
          </w:r>
          <w:r w:rsidR="00237C5A">
            <w:rPr>
              <w:sz w:val="24"/>
              <w:szCs w:val="24"/>
              <w:lang w:val="en-US"/>
            </w:rPr>
            <w:instrText xml:space="preserve">CITATION Gra92 \t  \l 1043 </w:instrText>
          </w:r>
          <w:r w:rsidR="00237C5A">
            <w:rPr>
              <w:sz w:val="24"/>
              <w:szCs w:val="24"/>
              <w:lang w:val="en-US"/>
            </w:rPr>
            <w:fldChar w:fldCharType="separate"/>
          </w:r>
          <w:r w:rsidR="00D86665" w:rsidRPr="00D86665">
            <w:rPr>
              <w:noProof/>
              <w:sz w:val="24"/>
              <w:szCs w:val="24"/>
              <w:lang w:val="en-US"/>
            </w:rPr>
            <w:t>(Grabowski &amp; Vernon, 1992)</w:t>
          </w:r>
          <w:r w:rsidR="00237C5A">
            <w:rPr>
              <w:sz w:val="24"/>
              <w:szCs w:val="24"/>
              <w:lang w:val="en-US"/>
            </w:rPr>
            <w:fldChar w:fldCharType="end"/>
          </w:r>
        </w:sdtContent>
      </w:sdt>
      <w:r w:rsidR="00EB63ED">
        <w:rPr>
          <w:sz w:val="24"/>
          <w:szCs w:val="24"/>
          <w:lang w:val="en-US"/>
        </w:rPr>
        <w:t xml:space="preserve">. </w:t>
      </w:r>
    </w:p>
    <w:p w14:paraId="65C9E206" w14:textId="0478C02C" w:rsidR="00EB63ED" w:rsidRDefault="004E662C" w:rsidP="008E5781">
      <w:pPr>
        <w:spacing w:after="0" w:line="360" w:lineRule="auto"/>
        <w:jc w:val="both"/>
        <w:rPr>
          <w:sz w:val="24"/>
          <w:szCs w:val="24"/>
          <w:lang w:val="en-US"/>
        </w:rPr>
      </w:pPr>
      <w:r>
        <w:rPr>
          <w:sz w:val="24"/>
          <w:szCs w:val="24"/>
          <w:lang w:val="en-US"/>
        </w:rPr>
        <w:lastRenderedPageBreak/>
        <w:t xml:space="preserve">According to de FDA the definition of bioequivalence is: “The absence of a significant difference in the rate and extent to which the active ingredient or active moiety in pharmaceutical equivalents or pharmaceutical alternatives becomes available at the site of drug action when administered at the same molar dose under similar conditions in an appropriately designed study” </w:t>
      </w:r>
      <w:sdt>
        <w:sdtPr>
          <w:rPr>
            <w:sz w:val="24"/>
            <w:szCs w:val="24"/>
            <w:lang w:val="en-US"/>
          </w:rPr>
          <w:id w:val="-938294415"/>
          <w:citation/>
        </w:sdtPr>
        <w:sdtEndPr/>
        <w:sdtContent>
          <w:r>
            <w:rPr>
              <w:sz w:val="24"/>
              <w:szCs w:val="24"/>
              <w:lang w:val="en-US"/>
            </w:rPr>
            <w:fldChar w:fldCharType="begin"/>
          </w:r>
          <w:r w:rsidRPr="004E662C">
            <w:rPr>
              <w:sz w:val="24"/>
              <w:szCs w:val="24"/>
              <w:lang w:val="en-US"/>
            </w:rPr>
            <w:instrText xml:space="preserve"> CITATION USF18 \l 1043 </w:instrText>
          </w:r>
          <w:r>
            <w:rPr>
              <w:sz w:val="24"/>
              <w:szCs w:val="24"/>
              <w:lang w:val="en-US"/>
            </w:rPr>
            <w:fldChar w:fldCharType="separate"/>
          </w:r>
          <w:r w:rsidR="00D86665" w:rsidRPr="00D86665">
            <w:rPr>
              <w:noProof/>
              <w:sz w:val="24"/>
              <w:szCs w:val="24"/>
              <w:lang w:val="en-US"/>
            </w:rPr>
            <w:t>(U.S. Food &amp; Drug Administration, 2018)</w:t>
          </w:r>
          <w:r>
            <w:rPr>
              <w:sz w:val="24"/>
              <w:szCs w:val="24"/>
              <w:lang w:val="en-US"/>
            </w:rPr>
            <w:fldChar w:fldCharType="end"/>
          </w:r>
        </w:sdtContent>
      </w:sdt>
      <w:r w:rsidR="00741AA3">
        <w:rPr>
          <w:sz w:val="24"/>
          <w:szCs w:val="24"/>
          <w:lang w:val="en-US"/>
        </w:rPr>
        <w:t>.</w:t>
      </w:r>
      <w:r w:rsidR="006C6C6A">
        <w:rPr>
          <w:sz w:val="24"/>
          <w:szCs w:val="24"/>
          <w:lang w:val="en-US"/>
        </w:rPr>
        <w:t xml:space="preserve"> The FDA requires that the generic drugs are as effective and safe as the brand drugs. </w:t>
      </w:r>
      <w:r w:rsidR="001B42A8">
        <w:rPr>
          <w:sz w:val="24"/>
          <w:szCs w:val="24"/>
          <w:lang w:val="en-US"/>
        </w:rPr>
        <w:t xml:space="preserve">The generic drug </w:t>
      </w:r>
      <w:r w:rsidR="009F2EEA">
        <w:rPr>
          <w:sz w:val="24"/>
          <w:szCs w:val="24"/>
          <w:lang w:val="en-US"/>
        </w:rPr>
        <w:t>can</w:t>
      </w:r>
      <w:r w:rsidR="001B42A8">
        <w:rPr>
          <w:sz w:val="24"/>
          <w:szCs w:val="24"/>
          <w:lang w:val="en-US"/>
        </w:rPr>
        <w:t xml:space="preserve"> have </w:t>
      </w:r>
      <w:r w:rsidR="00B02A6D">
        <w:rPr>
          <w:sz w:val="24"/>
          <w:szCs w:val="24"/>
          <w:lang w:val="en-US"/>
        </w:rPr>
        <w:t>a minor</w:t>
      </w:r>
      <w:r w:rsidR="001B42A8">
        <w:rPr>
          <w:sz w:val="24"/>
          <w:szCs w:val="24"/>
          <w:lang w:val="en-US"/>
        </w:rPr>
        <w:t xml:space="preserve"> variation in </w:t>
      </w:r>
      <w:r w:rsidR="00B02A6D">
        <w:rPr>
          <w:sz w:val="24"/>
          <w:szCs w:val="24"/>
          <w:lang w:val="en-US"/>
        </w:rPr>
        <w:t xml:space="preserve">purity, size and some other things, but </w:t>
      </w:r>
      <w:r w:rsidR="001B42A8">
        <w:rPr>
          <w:sz w:val="24"/>
          <w:szCs w:val="24"/>
          <w:lang w:val="en-US"/>
        </w:rPr>
        <w:t>the active ingredient</w:t>
      </w:r>
      <w:r w:rsidR="00B02A6D">
        <w:rPr>
          <w:sz w:val="24"/>
          <w:szCs w:val="24"/>
          <w:lang w:val="en-US"/>
        </w:rPr>
        <w:t>s</w:t>
      </w:r>
      <w:r w:rsidR="001B42A8">
        <w:rPr>
          <w:sz w:val="24"/>
          <w:szCs w:val="24"/>
          <w:lang w:val="en-US"/>
        </w:rPr>
        <w:t xml:space="preserve"> compared to the original brand formula</w:t>
      </w:r>
      <w:r w:rsidR="00237C5A">
        <w:rPr>
          <w:sz w:val="24"/>
          <w:szCs w:val="24"/>
          <w:lang w:val="en-US"/>
        </w:rPr>
        <w:t xml:space="preserve"> have to be</w:t>
      </w:r>
      <w:r w:rsidR="00B02A6D">
        <w:rPr>
          <w:sz w:val="24"/>
          <w:szCs w:val="24"/>
          <w:lang w:val="en-US"/>
        </w:rPr>
        <w:t xml:space="preserve"> the same</w:t>
      </w:r>
      <w:r w:rsidR="001B42A8">
        <w:rPr>
          <w:sz w:val="24"/>
          <w:szCs w:val="24"/>
          <w:lang w:val="en-US"/>
        </w:rPr>
        <w:t>.</w:t>
      </w:r>
      <w:r w:rsidR="00B02A6D">
        <w:rPr>
          <w:sz w:val="24"/>
          <w:szCs w:val="24"/>
          <w:lang w:val="en-US"/>
        </w:rPr>
        <w:t xml:space="preserve"> This means that the drugs have</w:t>
      </w:r>
      <w:r w:rsidR="00237C5A">
        <w:rPr>
          <w:sz w:val="24"/>
          <w:szCs w:val="24"/>
          <w:lang w:val="en-US"/>
        </w:rPr>
        <w:t xml:space="preserve"> practically</w:t>
      </w:r>
      <w:r w:rsidR="00B02A6D">
        <w:rPr>
          <w:sz w:val="24"/>
          <w:szCs w:val="24"/>
          <w:lang w:val="en-US"/>
        </w:rPr>
        <w:t xml:space="preserve"> the same risks and benefits.</w:t>
      </w:r>
      <w:r w:rsidR="001B42A8">
        <w:rPr>
          <w:sz w:val="24"/>
          <w:szCs w:val="24"/>
          <w:lang w:val="en-US"/>
        </w:rPr>
        <w:t xml:space="preserve"> Generic drug suppliers can change an inactive ingredient from the brand drug and this could cause some small different side effects. These differences are, however, relatively small. </w:t>
      </w:r>
    </w:p>
    <w:p w14:paraId="137D8EBA" w14:textId="6073DE02" w:rsidR="00093018" w:rsidRDefault="00093018" w:rsidP="008E5781">
      <w:pPr>
        <w:spacing w:after="0" w:line="360" w:lineRule="auto"/>
        <w:jc w:val="both"/>
        <w:rPr>
          <w:sz w:val="24"/>
          <w:szCs w:val="24"/>
          <w:lang w:val="en-US"/>
        </w:rPr>
      </w:pPr>
    </w:p>
    <w:p w14:paraId="5818D6C1" w14:textId="2A966C12" w:rsidR="00237C5A" w:rsidRDefault="00C848DA" w:rsidP="008E5781">
      <w:pPr>
        <w:spacing w:after="0" w:line="360" w:lineRule="auto"/>
        <w:jc w:val="both"/>
        <w:rPr>
          <w:sz w:val="24"/>
          <w:szCs w:val="24"/>
          <w:lang w:val="en-US"/>
        </w:rPr>
      </w:pPr>
      <w:r>
        <w:rPr>
          <w:sz w:val="24"/>
          <w:szCs w:val="24"/>
          <w:lang w:val="en-US"/>
        </w:rPr>
        <w:t xml:space="preserve">When the patent just expired and generic drugs appear in the market, most consumers are also loyal to the brand drug. </w:t>
      </w:r>
      <w:r w:rsidR="00F01279">
        <w:rPr>
          <w:sz w:val="24"/>
          <w:szCs w:val="24"/>
          <w:lang w:val="en-US"/>
        </w:rPr>
        <w:t xml:space="preserve">They still buy the brand drug because they do not know the generic drugs. When they are in the pharmacy they see the brand drug and generic drug, but the brand drug is more known when the patent just expired. Consumers are risk averse and then choose for the safe option and buy the brand firm. So, the brand firm can maintain part of their demand by advertising their drug </w:t>
      </w:r>
      <w:sdt>
        <w:sdtPr>
          <w:rPr>
            <w:sz w:val="24"/>
            <w:szCs w:val="24"/>
            <w:lang w:val="en-US"/>
          </w:rPr>
          <w:id w:val="720557903"/>
          <w:citation/>
        </w:sdtPr>
        <w:sdtEndPr/>
        <w:sdtContent>
          <w:r w:rsidR="00F01279">
            <w:rPr>
              <w:sz w:val="24"/>
              <w:szCs w:val="24"/>
              <w:lang w:val="en-US"/>
            </w:rPr>
            <w:fldChar w:fldCharType="begin"/>
          </w:r>
          <w:r w:rsidR="00F01279">
            <w:rPr>
              <w:sz w:val="24"/>
              <w:szCs w:val="24"/>
              <w:lang w:val="en-US"/>
            </w:rPr>
            <w:instrText xml:space="preserve">CITATION Fra91 \t  \l 1043 </w:instrText>
          </w:r>
          <w:r w:rsidR="00F01279">
            <w:rPr>
              <w:sz w:val="24"/>
              <w:szCs w:val="24"/>
              <w:lang w:val="en-US"/>
            </w:rPr>
            <w:fldChar w:fldCharType="separate"/>
          </w:r>
          <w:r w:rsidR="00D86665" w:rsidRPr="00D86665">
            <w:rPr>
              <w:noProof/>
              <w:sz w:val="24"/>
              <w:szCs w:val="24"/>
              <w:lang w:val="en-US"/>
            </w:rPr>
            <w:t>(Frank &amp; Salkever, 1991)</w:t>
          </w:r>
          <w:r w:rsidR="00F01279">
            <w:rPr>
              <w:sz w:val="24"/>
              <w:szCs w:val="24"/>
              <w:lang w:val="en-US"/>
            </w:rPr>
            <w:fldChar w:fldCharType="end"/>
          </w:r>
        </w:sdtContent>
      </w:sdt>
      <w:r w:rsidR="00F01279">
        <w:rPr>
          <w:sz w:val="24"/>
          <w:szCs w:val="24"/>
          <w:lang w:val="en-US"/>
        </w:rPr>
        <w:t xml:space="preserve">. </w:t>
      </w:r>
    </w:p>
    <w:p w14:paraId="1C1EB0DD" w14:textId="77777777" w:rsidR="00237C5A" w:rsidRPr="00950D55" w:rsidRDefault="00237C5A" w:rsidP="008E5781">
      <w:pPr>
        <w:spacing w:after="0" w:line="360" w:lineRule="auto"/>
        <w:jc w:val="both"/>
        <w:rPr>
          <w:lang w:val="en-US"/>
        </w:rPr>
      </w:pPr>
    </w:p>
    <w:p w14:paraId="52D92F30" w14:textId="685F3533" w:rsidR="00093018" w:rsidRPr="00950D55" w:rsidRDefault="00151A9D" w:rsidP="008E5781">
      <w:pPr>
        <w:pStyle w:val="Kop2"/>
        <w:spacing w:before="0" w:line="360" w:lineRule="auto"/>
        <w:jc w:val="both"/>
        <w:rPr>
          <w:b/>
          <w:color w:val="auto"/>
          <w:lang w:val="en-US"/>
        </w:rPr>
      </w:pPr>
      <w:bookmarkStart w:id="5" w:name="_Toc14787840"/>
      <w:r>
        <w:rPr>
          <w:b/>
          <w:color w:val="auto"/>
          <w:lang w:val="en-US"/>
        </w:rPr>
        <w:t>1.3</w:t>
      </w:r>
      <w:r w:rsidR="006C0BF9">
        <w:rPr>
          <w:b/>
          <w:color w:val="auto"/>
          <w:lang w:val="en-US"/>
        </w:rPr>
        <w:t xml:space="preserve"> </w:t>
      </w:r>
      <w:r w:rsidR="00093018" w:rsidRPr="00950D55">
        <w:rPr>
          <w:b/>
          <w:color w:val="auto"/>
          <w:lang w:val="en-US"/>
        </w:rPr>
        <w:t>Product-line extensions</w:t>
      </w:r>
      <w:bookmarkEnd w:id="5"/>
    </w:p>
    <w:p w14:paraId="70F4386D" w14:textId="77777777" w:rsidR="008B0AF1" w:rsidRDefault="00741AA3" w:rsidP="008E5781">
      <w:pPr>
        <w:spacing w:after="0" w:line="360" w:lineRule="auto"/>
        <w:jc w:val="both"/>
        <w:rPr>
          <w:i/>
          <w:sz w:val="24"/>
          <w:lang w:val="en-US"/>
        </w:rPr>
      </w:pPr>
      <w:r w:rsidRPr="00741AA3">
        <w:rPr>
          <w:i/>
          <w:sz w:val="24"/>
          <w:lang w:val="en-US"/>
        </w:rPr>
        <w:t>Hong, Shepherd, Scoones &amp; Wan</w:t>
      </w:r>
    </w:p>
    <w:p w14:paraId="64258E54" w14:textId="5D3C92DA" w:rsidR="00023BC9" w:rsidRDefault="00741AA3" w:rsidP="007B32A4">
      <w:pPr>
        <w:spacing w:after="0" w:line="360" w:lineRule="auto"/>
        <w:jc w:val="both"/>
        <w:rPr>
          <w:sz w:val="24"/>
          <w:lang w:val="en-US"/>
        </w:rPr>
      </w:pPr>
      <w:r>
        <w:rPr>
          <w:sz w:val="24"/>
          <w:lang w:val="en-US"/>
        </w:rPr>
        <w:t>Other papers argue that there is another explanation for the high brand d</w:t>
      </w:r>
      <w:r w:rsidR="00C4716F">
        <w:rPr>
          <w:sz w:val="24"/>
          <w:lang w:val="en-US"/>
        </w:rPr>
        <w:t>rug price</w:t>
      </w:r>
      <w:r w:rsidR="00491C0A">
        <w:rPr>
          <w:sz w:val="24"/>
          <w:lang w:val="en-US"/>
        </w:rPr>
        <w:t>. Hong et al. show</w:t>
      </w:r>
      <w:r>
        <w:rPr>
          <w:sz w:val="24"/>
          <w:lang w:val="en-US"/>
        </w:rPr>
        <w:t xml:space="preserve"> that a new product-line extension that is introduced for a brand drug facilitates the rigid original price while other generic drugs enter the market</w:t>
      </w:r>
      <w:sdt>
        <w:sdtPr>
          <w:rPr>
            <w:sz w:val="24"/>
            <w:lang w:val="en-US"/>
          </w:rPr>
          <w:id w:val="-1440676898"/>
          <w:citation/>
        </w:sdtPr>
        <w:sdtEndPr/>
        <w:sdtContent>
          <w:r>
            <w:rPr>
              <w:sz w:val="24"/>
              <w:lang w:val="en-US"/>
            </w:rPr>
            <w:fldChar w:fldCharType="begin"/>
          </w:r>
          <w:r w:rsidRPr="00741AA3">
            <w:rPr>
              <w:sz w:val="24"/>
              <w:lang w:val="en-US"/>
            </w:rPr>
            <w:instrText xml:space="preserve"> CITATION Hon05 \l 1043 </w:instrText>
          </w:r>
          <w:r>
            <w:rPr>
              <w:sz w:val="24"/>
              <w:lang w:val="en-US"/>
            </w:rPr>
            <w:fldChar w:fldCharType="separate"/>
          </w:r>
          <w:r w:rsidR="00D86665">
            <w:rPr>
              <w:noProof/>
              <w:sz w:val="24"/>
              <w:lang w:val="en-US"/>
            </w:rPr>
            <w:t xml:space="preserve"> </w:t>
          </w:r>
          <w:r w:rsidR="00D86665" w:rsidRPr="00D86665">
            <w:rPr>
              <w:noProof/>
              <w:sz w:val="24"/>
              <w:lang w:val="en-US"/>
            </w:rPr>
            <w:t>(Hong, Shepherd, Scoones, &amp; Wan, 2005)</w:t>
          </w:r>
          <w:r>
            <w:rPr>
              <w:sz w:val="24"/>
              <w:lang w:val="en-US"/>
            </w:rPr>
            <w:fldChar w:fldCharType="end"/>
          </w:r>
        </w:sdtContent>
      </w:sdt>
      <w:r>
        <w:rPr>
          <w:sz w:val="24"/>
          <w:lang w:val="en-US"/>
        </w:rPr>
        <w:t xml:space="preserve">. </w:t>
      </w:r>
      <w:r w:rsidR="00B02A6D">
        <w:rPr>
          <w:sz w:val="24"/>
          <w:lang w:val="en-US"/>
        </w:rPr>
        <w:t>Before 1984, brand drugs could remain charging a higher price because generic drugs encountered entry barriers.</w:t>
      </w:r>
      <w:r w:rsidR="00023BC9">
        <w:rPr>
          <w:sz w:val="24"/>
          <w:lang w:val="en-US"/>
        </w:rPr>
        <w:t xml:space="preserve"> According to Hong et al. the consumers’ price insensitivity toward brand drugs cannot be the reason for high brand drug prices, because the number of generic entries increased considerable. </w:t>
      </w:r>
    </w:p>
    <w:p w14:paraId="3D0DCAAB" w14:textId="77777777" w:rsidR="00664510" w:rsidRDefault="00023BC9" w:rsidP="009F01CC">
      <w:pPr>
        <w:spacing w:after="0" w:line="360" w:lineRule="auto"/>
        <w:jc w:val="both"/>
        <w:rPr>
          <w:sz w:val="24"/>
          <w:lang w:val="en-US"/>
        </w:rPr>
      </w:pPr>
      <w:r>
        <w:rPr>
          <w:sz w:val="24"/>
          <w:lang w:val="en-US"/>
        </w:rPr>
        <w:t xml:space="preserve">The paper makes some assumptions about the pharmaceutical market. First, a brand drug faces price competition only from generic drugs when the patent becomes invalid. Second, drug firms compete in price and in new-drug development. This new-drug development is meant to maintain the firm’s market success. </w:t>
      </w:r>
      <w:r w:rsidR="000C2061">
        <w:rPr>
          <w:sz w:val="24"/>
          <w:lang w:val="en-US"/>
        </w:rPr>
        <w:t xml:space="preserve">The original drug is developed with a new </w:t>
      </w:r>
      <w:r w:rsidR="000C2061">
        <w:rPr>
          <w:sz w:val="24"/>
          <w:lang w:val="en-US"/>
        </w:rPr>
        <w:lastRenderedPageBreak/>
        <w:t>modification that is closely related</w:t>
      </w:r>
      <w:r w:rsidR="00C4716F">
        <w:rPr>
          <w:sz w:val="24"/>
          <w:lang w:val="en-US"/>
        </w:rPr>
        <w:t xml:space="preserve"> to the old formula</w:t>
      </w:r>
      <w:r w:rsidR="000C2061">
        <w:rPr>
          <w:sz w:val="24"/>
          <w:lang w:val="en-US"/>
        </w:rPr>
        <w:t xml:space="preserve">. This new modification has a patent while the original drug’s patent is about to expire. </w:t>
      </w:r>
      <w:r w:rsidR="00412AF8">
        <w:rPr>
          <w:sz w:val="24"/>
          <w:lang w:val="en-US"/>
        </w:rPr>
        <w:t xml:space="preserve">Then the price of the original drug is maintained while other generic drugs enter the market. Then demand shifts from the original drug to the new developed drug. In this way, the original brand firm still </w:t>
      </w:r>
      <w:r w:rsidR="00151A9D">
        <w:rPr>
          <w:sz w:val="24"/>
          <w:lang w:val="en-US"/>
        </w:rPr>
        <w:t xml:space="preserve">have a strong market position. </w:t>
      </w:r>
    </w:p>
    <w:p w14:paraId="03D1EA20" w14:textId="77777777" w:rsidR="00664510" w:rsidRDefault="00664510" w:rsidP="009F01CC">
      <w:pPr>
        <w:spacing w:after="0" w:line="360" w:lineRule="auto"/>
        <w:jc w:val="both"/>
        <w:rPr>
          <w:sz w:val="24"/>
          <w:lang w:val="en-US"/>
        </w:rPr>
      </w:pPr>
    </w:p>
    <w:p w14:paraId="270F9230" w14:textId="77777777" w:rsidR="00664510" w:rsidRDefault="00664510" w:rsidP="00664510">
      <w:pPr>
        <w:spacing w:after="0" w:line="360" w:lineRule="auto"/>
        <w:jc w:val="both"/>
        <w:rPr>
          <w:rFonts w:eastAsiaTheme="minorEastAsia"/>
          <w:sz w:val="24"/>
          <w:szCs w:val="24"/>
          <w:lang w:val="en-US"/>
        </w:rPr>
      </w:pPr>
      <w:r>
        <w:rPr>
          <w:rFonts w:eastAsiaTheme="minorEastAsia"/>
          <w:sz w:val="24"/>
          <w:szCs w:val="24"/>
          <w:lang w:val="en-US"/>
        </w:rPr>
        <w:t>Overall, the Hatch-Waxman Act caused more generic drug firms to enter the market with a lower price. While in the period after the introduction of the act consumers were restrained because of the potential risks of generic drugs, the market share of these drugs grew enormously. Nowadays, most of the prescriptions prescribe generic drugs because of the much lower price and the low risks of using the generic drugs.</w:t>
      </w:r>
    </w:p>
    <w:p w14:paraId="6F7F0B56" w14:textId="5524E780" w:rsidR="00C4716F" w:rsidRPr="00151A9D" w:rsidRDefault="00C4716F" w:rsidP="009F01CC">
      <w:pPr>
        <w:spacing w:after="0" w:line="360" w:lineRule="auto"/>
        <w:jc w:val="both"/>
        <w:rPr>
          <w:sz w:val="24"/>
          <w:lang w:val="en-US"/>
        </w:rPr>
      </w:pPr>
      <w:r>
        <w:rPr>
          <w:b/>
          <w:lang w:val="en-US"/>
        </w:rPr>
        <w:br w:type="page"/>
      </w:r>
    </w:p>
    <w:p w14:paraId="0A2A81A0" w14:textId="50014C8E" w:rsidR="00640870" w:rsidRDefault="00214A15" w:rsidP="00F42715">
      <w:pPr>
        <w:pStyle w:val="Kop1"/>
        <w:spacing w:before="0" w:line="360" w:lineRule="auto"/>
        <w:jc w:val="center"/>
        <w:rPr>
          <w:b/>
          <w:color w:val="auto"/>
          <w:lang w:val="en-US"/>
        </w:rPr>
      </w:pPr>
      <w:bookmarkStart w:id="6" w:name="_Toc14787841"/>
      <w:r w:rsidRPr="00950D55">
        <w:rPr>
          <w:b/>
          <w:color w:val="auto"/>
          <w:lang w:val="en-US"/>
        </w:rPr>
        <w:lastRenderedPageBreak/>
        <w:t>2</w:t>
      </w:r>
      <w:r w:rsidR="0012385D">
        <w:rPr>
          <w:b/>
          <w:color w:val="auto"/>
          <w:lang w:val="en-US"/>
        </w:rPr>
        <w:t>.</w:t>
      </w:r>
      <w:r w:rsidR="00640870" w:rsidRPr="00950D55">
        <w:rPr>
          <w:b/>
          <w:color w:val="auto"/>
          <w:lang w:val="en-US"/>
        </w:rPr>
        <w:t xml:space="preserve"> </w:t>
      </w:r>
      <w:r w:rsidR="003F2049">
        <w:rPr>
          <w:b/>
          <w:color w:val="auto"/>
          <w:lang w:val="en-US"/>
        </w:rPr>
        <w:t>The model</w:t>
      </w:r>
      <w:bookmarkEnd w:id="6"/>
    </w:p>
    <w:p w14:paraId="5CE2B09C" w14:textId="7F9E4661" w:rsidR="002C1F33" w:rsidRDefault="002C1F33" w:rsidP="002C1F33">
      <w:pPr>
        <w:rPr>
          <w:lang w:val="en-US"/>
        </w:rPr>
      </w:pPr>
    </w:p>
    <w:p w14:paraId="53758434" w14:textId="28D15C11" w:rsidR="002C1F33" w:rsidRDefault="002C1F33" w:rsidP="002C1F33">
      <w:pPr>
        <w:spacing w:after="0" w:line="360" w:lineRule="auto"/>
        <w:jc w:val="both"/>
        <w:rPr>
          <w:rFonts w:eastAsiaTheme="minorEastAsia"/>
          <w:sz w:val="24"/>
          <w:szCs w:val="24"/>
          <w:lang w:val="en-US"/>
        </w:rPr>
      </w:pPr>
      <w:r>
        <w:rPr>
          <w:rFonts w:eastAsiaTheme="minorEastAsia"/>
          <w:sz w:val="24"/>
          <w:szCs w:val="24"/>
          <w:lang w:val="en-US"/>
        </w:rPr>
        <w:t>According to the data of many papers about the US pharmaceutical market, a specific drug is provided by one brand firm an</w:t>
      </w:r>
      <w:r w:rsidR="00014E7E">
        <w:rPr>
          <w:rFonts w:eastAsiaTheme="minorEastAsia"/>
          <w:sz w:val="24"/>
          <w:szCs w:val="24"/>
          <w:lang w:val="en-US"/>
        </w:rPr>
        <w:t xml:space="preserve">d several generic firms. In the model I assume that in the beginning there is only the brand firm, then one generic firm enters the market. Later on, the thesis will look at more generic firms in the market. </w:t>
      </w:r>
    </w:p>
    <w:p w14:paraId="5CDEAC8D" w14:textId="658E8871" w:rsidR="002C1F33" w:rsidRDefault="002C1F33" w:rsidP="002C1F33">
      <w:pPr>
        <w:spacing w:after="0" w:line="360" w:lineRule="auto"/>
        <w:jc w:val="both"/>
        <w:rPr>
          <w:rFonts w:eastAsiaTheme="minorEastAsia"/>
          <w:sz w:val="24"/>
          <w:szCs w:val="24"/>
          <w:lang w:val="en-US"/>
        </w:rPr>
      </w:pPr>
    </w:p>
    <w:p w14:paraId="5556CF12" w14:textId="1E3D82CF" w:rsidR="002C1F33" w:rsidRDefault="002C1F33" w:rsidP="002C1F33">
      <w:pPr>
        <w:spacing w:after="0" w:line="360" w:lineRule="auto"/>
        <w:jc w:val="both"/>
        <w:rPr>
          <w:rFonts w:eastAsiaTheme="minorEastAsia"/>
          <w:sz w:val="24"/>
          <w:szCs w:val="24"/>
          <w:lang w:val="en-US"/>
        </w:rPr>
      </w:pPr>
      <w:r>
        <w:rPr>
          <w:rFonts w:eastAsiaTheme="minorEastAsia"/>
          <w:sz w:val="24"/>
          <w:szCs w:val="24"/>
          <w:lang w:val="en-US"/>
        </w:rPr>
        <w:t>Figure 2 represents a timeline that shows how the pharmaceutical market changes from one brand firm to a brand firm and generic firm. It also shows when the brand and generic firm set thei</w:t>
      </w:r>
      <w:r w:rsidR="00F461C9">
        <w:rPr>
          <w:rFonts w:eastAsiaTheme="minorEastAsia"/>
          <w:sz w:val="24"/>
          <w:szCs w:val="24"/>
          <w:lang w:val="en-US"/>
        </w:rPr>
        <w:t>r prices. As will be shown in Section 3</w:t>
      </w:r>
      <w:r>
        <w:rPr>
          <w:rFonts w:eastAsiaTheme="minorEastAsia"/>
          <w:sz w:val="24"/>
          <w:szCs w:val="24"/>
          <w:lang w:val="en-US"/>
        </w:rPr>
        <w:t xml:space="preserve">, this timeline is important for the determination of the optimal prices of both firms. </w:t>
      </w:r>
    </w:p>
    <w:p w14:paraId="7E52BDF3" w14:textId="77777777" w:rsidR="002C1F33" w:rsidRDefault="002C1F33" w:rsidP="002C1F33">
      <w:pPr>
        <w:spacing w:after="0" w:line="360" w:lineRule="auto"/>
        <w:jc w:val="both"/>
        <w:rPr>
          <w:rFonts w:eastAsiaTheme="minorEastAsia"/>
          <w:sz w:val="24"/>
          <w:szCs w:val="24"/>
          <w:lang w:val="en-US"/>
        </w:rPr>
      </w:pPr>
      <w:r>
        <w:rPr>
          <w:noProof/>
        </w:rPr>
        <w:drawing>
          <wp:inline distT="0" distB="0" distL="0" distR="0" wp14:anchorId="31D901C5" wp14:editId="6D25B6DC">
            <wp:extent cx="5705475" cy="1594496"/>
            <wp:effectExtent l="0" t="0" r="0" b="571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102" t="32641" r="4927" b="24132"/>
                    <a:stretch/>
                  </pic:blipFill>
                  <pic:spPr bwMode="auto">
                    <a:xfrm>
                      <a:off x="0" y="0"/>
                      <a:ext cx="5710091" cy="1595786"/>
                    </a:xfrm>
                    <a:prstGeom prst="rect">
                      <a:avLst/>
                    </a:prstGeom>
                    <a:ln>
                      <a:noFill/>
                    </a:ln>
                    <a:extLst>
                      <a:ext uri="{53640926-AAD7-44D8-BBD7-CCE9431645EC}">
                        <a14:shadowObscured xmlns:a14="http://schemas.microsoft.com/office/drawing/2010/main"/>
                      </a:ext>
                    </a:extLst>
                  </pic:spPr>
                </pic:pic>
              </a:graphicData>
            </a:graphic>
          </wp:inline>
        </w:drawing>
      </w:r>
    </w:p>
    <w:p w14:paraId="474E205E" w14:textId="77777777" w:rsidR="002C1F33" w:rsidRPr="00895471" w:rsidRDefault="002C1F33" w:rsidP="002C1F33">
      <w:pPr>
        <w:pStyle w:val="Bijschrift"/>
        <w:rPr>
          <w:rFonts w:eastAsiaTheme="minorEastAsia"/>
          <w:color w:val="auto"/>
          <w:sz w:val="28"/>
          <w:szCs w:val="24"/>
          <w:lang w:val="en-US"/>
        </w:rPr>
      </w:pPr>
      <w:r w:rsidRPr="00895471">
        <w:rPr>
          <w:color w:val="auto"/>
          <w:sz w:val="20"/>
          <w:lang w:val="en-US"/>
        </w:rPr>
        <w:t xml:space="preserve">Figure </w:t>
      </w:r>
      <w:r w:rsidRPr="00895471">
        <w:rPr>
          <w:color w:val="auto"/>
          <w:sz w:val="20"/>
        </w:rPr>
        <w:fldChar w:fldCharType="begin"/>
      </w:r>
      <w:r w:rsidRPr="00895471">
        <w:rPr>
          <w:color w:val="auto"/>
          <w:sz w:val="20"/>
          <w:lang w:val="en-US"/>
        </w:rPr>
        <w:instrText xml:space="preserve"> SEQ Figure \* ARABIC </w:instrText>
      </w:r>
      <w:r w:rsidRPr="00895471">
        <w:rPr>
          <w:color w:val="auto"/>
          <w:sz w:val="20"/>
        </w:rPr>
        <w:fldChar w:fldCharType="separate"/>
      </w:r>
      <w:r w:rsidRPr="00895471">
        <w:rPr>
          <w:noProof/>
          <w:color w:val="auto"/>
          <w:sz w:val="20"/>
          <w:lang w:val="en-US"/>
        </w:rPr>
        <w:t>2</w:t>
      </w:r>
      <w:r w:rsidRPr="00895471">
        <w:rPr>
          <w:color w:val="auto"/>
          <w:sz w:val="20"/>
        </w:rPr>
        <w:fldChar w:fldCharType="end"/>
      </w:r>
      <w:r w:rsidRPr="00895471">
        <w:rPr>
          <w:color w:val="auto"/>
          <w:sz w:val="20"/>
          <w:lang w:val="en-US"/>
        </w:rPr>
        <w:t>: Timeline of generic entry and determination of optimal prices.</w:t>
      </w:r>
    </w:p>
    <w:p w14:paraId="1B3C9130" w14:textId="77777777" w:rsidR="002C1F33" w:rsidRDefault="002C1F33" w:rsidP="002C1F33">
      <w:pPr>
        <w:spacing w:after="0" w:line="360" w:lineRule="auto"/>
        <w:jc w:val="both"/>
        <w:rPr>
          <w:rFonts w:eastAsiaTheme="minorEastAsia"/>
          <w:sz w:val="24"/>
          <w:szCs w:val="24"/>
          <w:lang w:val="en-US"/>
        </w:rPr>
      </w:pPr>
    </w:p>
    <w:p w14:paraId="2815547C" w14:textId="38CFFC91" w:rsidR="002C1F33" w:rsidRDefault="002C1F33" w:rsidP="002C1F33">
      <w:pPr>
        <w:spacing w:after="0" w:line="360" w:lineRule="auto"/>
        <w:jc w:val="both"/>
        <w:rPr>
          <w:rFonts w:eastAsiaTheme="minorEastAsia"/>
          <w:sz w:val="24"/>
          <w:szCs w:val="24"/>
          <w:lang w:val="en-US"/>
        </w:rPr>
      </w:pPr>
      <w:r>
        <w:rPr>
          <w:rFonts w:eastAsiaTheme="minorEastAsia"/>
          <w:sz w:val="24"/>
          <w:szCs w:val="24"/>
          <w:lang w:val="en-US"/>
        </w:rPr>
        <w:t>So, first the brand firm is the only firm in the market which makes him a monopolist. Then a potential generic entrant can decide whether he want to enter the market. When the potential generic entrant decides to enter the market, the brand firm observes this decision. Then the brand firm acts like a Stackelberg leader and set his price first. The generic firm will observe this price and determine his optimal price, knowing the price of the brand firm.</w:t>
      </w:r>
    </w:p>
    <w:p w14:paraId="1E191773" w14:textId="43A56946" w:rsidR="00F461C9" w:rsidRDefault="00F461C9" w:rsidP="002C1F33">
      <w:pPr>
        <w:spacing w:after="0" w:line="360" w:lineRule="auto"/>
        <w:jc w:val="both"/>
        <w:rPr>
          <w:rFonts w:eastAsiaTheme="minorEastAsia"/>
          <w:sz w:val="24"/>
          <w:szCs w:val="24"/>
          <w:lang w:val="en-US"/>
        </w:rPr>
      </w:pPr>
    </w:p>
    <w:p w14:paraId="5E5DB367" w14:textId="79B7D964" w:rsidR="002C1F33" w:rsidRPr="003B3FC5" w:rsidRDefault="00F461C9" w:rsidP="002C1F33">
      <w:pPr>
        <w:spacing w:after="0" w:line="360" w:lineRule="auto"/>
        <w:jc w:val="both"/>
        <w:rPr>
          <w:rFonts w:eastAsiaTheme="minorEastAsia"/>
          <w:sz w:val="24"/>
          <w:szCs w:val="24"/>
          <w:lang w:val="en-US"/>
        </w:rPr>
      </w:pPr>
      <w:r>
        <w:rPr>
          <w:rFonts w:eastAsiaTheme="minorEastAsia"/>
          <w:sz w:val="24"/>
          <w:szCs w:val="24"/>
          <w:lang w:val="en-US"/>
        </w:rPr>
        <w:t xml:space="preserve">Section 3 will first shortly look at the situation where the brand drug firm has a patent. This makes the firm a monopolist. Then one generic drug firm will enter the market. The brand drug firm acts like a Stackelberg leader and, by using backward induction, the optimal price for the brand and generic firm can be determined. The model will be extended to a situation with one brand firm and two generic firms. Again, the brand firm is the Stackelberg leader, </w:t>
      </w:r>
      <w:r>
        <w:rPr>
          <w:rFonts w:eastAsiaTheme="minorEastAsia"/>
          <w:sz w:val="24"/>
          <w:szCs w:val="24"/>
          <w:lang w:val="en-US"/>
        </w:rPr>
        <w:lastRenderedPageBreak/>
        <w:t xml:space="preserve">but now the generic firms compete with each other in a Bertrand setting. </w:t>
      </w:r>
      <w:r w:rsidR="003B3FC5">
        <w:rPr>
          <w:rFonts w:eastAsiaTheme="minorEastAsia"/>
          <w:sz w:val="24"/>
          <w:szCs w:val="24"/>
          <w:lang w:val="en-US"/>
        </w:rPr>
        <w:t xml:space="preserve">This model can also be extended to n generic firms. </w:t>
      </w:r>
    </w:p>
    <w:p w14:paraId="4C933610" w14:textId="77777777" w:rsidR="00014E7E" w:rsidRDefault="00014E7E" w:rsidP="002C1F33">
      <w:pPr>
        <w:spacing w:after="0" w:line="360" w:lineRule="auto"/>
        <w:jc w:val="both"/>
        <w:rPr>
          <w:rFonts w:cstheme="minorHAnsi"/>
          <w:sz w:val="24"/>
          <w:szCs w:val="24"/>
          <w:lang w:val="en-US"/>
        </w:rPr>
      </w:pPr>
    </w:p>
    <w:p w14:paraId="4BB86191" w14:textId="1D1BBFA1" w:rsidR="002C1F33" w:rsidRPr="00A1340C" w:rsidRDefault="003B3FC5" w:rsidP="002C1F33">
      <w:pPr>
        <w:spacing w:after="0" w:line="360" w:lineRule="auto"/>
        <w:jc w:val="both"/>
        <w:rPr>
          <w:rFonts w:cstheme="minorHAnsi"/>
          <w:sz w:val="24"/>
          <w:szCs w:val="24"/>
          <w:lang w:val="en-US"/>
        </w:rPr>
      </w:pPr>
      <w:r>
        <w:rPr>
          <w:rFonts w:cstheme="minorHAnsi"/>
          <w:sz w:val="24"/>
          <w:szCs w:val="24"/>
          <w:lang w:val="en-US"/>
        </w:rPr>
        <w:t>The c</w:t>
      </w:r>
      <w:r w:rsidR="002C1F33" w:rsidRPr="00A1340C">
        <w:rPr>
          <w:rFonts w:cstheme="minorHAnsi"/>
          <w:sz w:val="24"/>
          <w:szCs w:val="24"/>
          <w:lang w:val="en-US"/>
        </w:rPr>
        <w:t>onsumers’ utility function in the decision of consuming the brand or generic drug is equal to:</w:t>
      </w:r>
    </w:p>
    <w:p w14:paraId="7B83C7C5" w14:textId="77777777" w:rsidR="002C1F33" w:rsidRDefault="00EE5DF1" w:rsidP="002C1F33">
      <w:pPr>
        <w:spacing w:after="0" w:line="360" w:lineRule="auto"/>
        <w:jc w:val="both"/>
        <w:rPr>
          <w:rFonts w:eastAsiaTheme="minorEastAsia" w:cstheme="minorHAnsi"/>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U</m:t>
              </m:r>
            </m:e>
            <m:sub>
              <m:r>
                <w:rPr>
                  <w:rFonts w:ascii="Cambria Math" w:hAnsi="Cambria Math" w:cstheme="minorHAnsi"/>
                  <w:sz w:val="24"/>
                  <w:szCs w:val="24"/>
                </w:rPr>
                <m:t>i</m:t>
              </m:r>
            </m:sub>
          </m:sSub>
          <m:d>
            <m:dPr>
              <m:begChr m:val="{"/>
              <m:endChr m:val=""/>
              <m:ctrlPr>
                <w:rPr>
                  <w:rFonts w:ascii="Cambria Math" w:hAnsi="Cambria Math" w:cstheme="minorHAnsi"/>
                  <w:sz w:val="24"/>
                  <w:szCs w:val="24"/>
                </w:rPr>
              </m:ctrlPr>
            </m:dPr>
            <m:e>
              <m:eqArr>
                <m:eqArrPr>
                  <m:ctrlPr>
                    <w:rPr>
                      <w:rFonts w:ascii="Cambria Math" w:hAnsi="Cambria Math" w:cstheme="minorHAnsi"/>
                      <w:sz w:val="24"/>
                      <w:szCs w:val="24"/>
                    </w:rPr>
                  </m:ctrlPr>
                </m:eqArrPr>
                <m:e>
                  <m:r>
                    <w:rPr>
                      <w:rFonts w:ascii="Cambria Math" w:hAnsi="Cambria Math" w:cstheme="minorHAnsi"/>
                      <w:sz w:val="24"/>
                      <w:szCs w:val="24"/>
                    </w:rPr>
                    <m:t>V-</m:t>
                  </m:r>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B</m:t>
                      </m:r>
                    </m:sub>
                  </m:sSub>
                  <m:r>
                    <w:rPr>
                      <w:rFonts w:ascii="Cambria Math" w:hAnsi="Cambria Math" w:cstheme="minorHAnsi"/>
                      <w:sz w:val="24"/>
                      <w:szCs w:val="24"/>
                    </w:rPr>
                    <m:t xml:space="preserve">       if the patient consumes the brand drug</m:t>
                  </m:r>
                </m:e>
                <m:e>
                  <m:sSub>
                    <m:sSubPr>
                      <m:ctrlPr>
                        <w:rPr>
                          <w:rFonts w:ascii="Cambria Math" w:hAnsi="Cambria Math" w:cstheme="minorHAnsi"/>
                          <w:i/>
                          <w:sz w:val="24"/>
                          <w:szCs w:val="24"/>
                        </w:rPr>
                      </m:ctrlPr>
                    </m:sSubPr>
                    <m:e>
                      <m:r>
                        <w:rPr>
                          <w:rFonts w:ascii="Cambria Math" w:hAnsi="Cambria Math" w:cstheme="minorHAnsi"/>
                          <w:sz w:val="24"/>
                          <w:szCs w:val="24"/>
                        </w:rPr>
                        <m:t>ϑ</m:t>
                      </m:r>
                    </m:e>
                    <m:sub>
                      <m:r>
                        <w:rPr>
                          <w:rFonts w:ascii="Cambria Math" w:hAnsi="Cambria Math" w:cstheme="minorHAnsi"/>
                          <w:sz w:val="24"/>
                          <w:szCs w:val="24"/>
                        </w:rPr>
                        <m:t>i</m:t>
                      </m:r>
                    </m:sub>
                  </m:sSub>
                  <m:r>
                    <w:rPr>
                      <w:rFonts w:ascii="Cambria Math" w:hAnsi="Cambria Math" w:cstheme="minorHAnsi"/>
                      <w:sz w:val="24"/>
                      <w:szCs w:val="24"/>
                    </w:rPr>
                    <m:t>V-</m:t>
                  </m:r>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G</m:t>
                      </m:r>
                    </m:sub>
                  </m:sSub>
                  <m:r>
                    <w:rPr>
                      <w:rFonts w:ascii="Cambria Math" w:hAnsi="Cambria Math" w:cstheme="minorHAnsi"/>
                      <w:sz w:val="24"/>
                      <w:szCs w:val="24"/>
                    </w:rPr>
                    <m:t xml:space="preserve">       if the patient consumes the generic drug</m:t>
                  </m:r>
                </m:e>
              </m:eqArr>
            </m:e>
          </m:d>
        </m:oMath>
      </m:oMathPara>
    </w:p>
    <w:p w14:paraId="3DEB6D97" w14:textId="77777777" w:rsidR="003B3FC5" w:rsidRDefault="002C1F33" w:rsidP="002C1F33">
      <w:pPr>
        <w:pStyle w:val="Geenafstand"/>
        <w:spacing w:line="360" w:lineRule="auto"/>
        <w:jc w:val="both"/>
        <w:rPr>
          <w:rFonts w:eastAsiaTheme="minorEastAsia" w:cstheme="minorHAnsi"/>
          <w:sz w:val="24"/>
          <w:szCs w:val="24"/>
        </w:rPr>
      </w:pPr>
      <w:r>
        <w:rPr>
          <w:rFonts w:cstheme="minorHAnsi"/>
          <w:sz w:val="24"/>
          <w:szCs w:val="24"/>
        </w:rPr>
        <w:t>V is valuation or the quality of the brand drug,</w:t>
      </w:r>
      <w:r w:rsidR="003B3FC5">
        <w:rPr>
          <w:rFonts w:cstheme="minorHAnsi"/>
          <w:sz w:val="24"/>
          <w:szCs w:val="24"/>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B</m:t>
            </m:r>
          </m:sub>
        </m:sSub>
      </m:oMath>
      <w:r w:rsidR="003B3FC5">
        <w:rPr>
          <w:rFonts w:eastAsiaTheme="minorEastAsia" w:cstheme="minorHAnsi"/>
          <w:sz w:val="24"/>
          <w:szCs w:val="24"/>
        </w:rPr>
        <w:t xml:space="preserve"> and </w:t>
      </w:r>
      <m:oMath>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G</m:t>
            </m:r>
          </m:sub>
        </m:sSub>
      </m:oMath>
      <w:r w:rsidR="003B3FC5">
        <w:rPr>
          <w:rFonts w:eastAsiaTheme="minorEastAsia" w:cstheme="minorHAnsi"/>
          <w:sz w:val="24"/>
          <w:szCs w:val="24"/>
        </w:rPr>
        <w:t xml:space="preserve"> the price of the brand drug and generic drug respectively,</w:t>
      </w:r>
      <w:r>
        <w:rPr>
          <w:rFonts w:cstheme="minorHAnsi"/>
          <w:sz w:val="24"/>
          <w:szCs w:val="24"/>
        </w:rPr>
        <w:t xml:space="preserve"> while </w:t>
      </w:r>
      <m:oMath>
        <m:r>
          <w:rPr>
            <w:rFonts w:ascii="Cambria Math" w:hAnsi="Cambria Math" w:cstheme="minorHAnsi"/>
            <w:sz w:val="24"/>
            <w:szCs w:val="24"/>
          </w:rPr>
          <m:t>ϑ</m:t>
        </m:r>
      </m:oMath>
      <w:r>
        <w:rPr>
          <w:rFonts w:cstheme="minorHAnsi"/>
          <w:sz w:val="24"/>
          <w:szCs w:val="24"/>
        </w:rPr>
        <w:t xml:space="preserve"> the parameter is of the cost of switching from brand drugs to generic drugs for a specific individual.</w:t>
      </w:r>
      <w:r w:rsidRPr="00F35E80">
        <w:rPr>
          <w:rFonts w:eastAsiaTheme="minorEastAsia" w:cstheme="minorHAnsi"/>
          <w:sz w:val="24"/>
          <w:szCs w:val="24"/>
        </w:rPr>
        <w:t xml:space="preserve"> </w:t>
      </w:r>
    </w:p>
    <w:p w14:paraId="78286B7C" w14:textId="77777777" w:rsidR="003B3FC5" w:rsidRDefault="003B3FC5" w:rsidP="002C1F33">
      <w:pPr>
        <w:pStyle w:val="Geenafstand"/>
        <w:spacing w:line="360" w:lineRule="auto"/>
        <w:jc w:val="both"/>
        <w:rPr>
          <w:rFonts w:eastAsiaTheme="minorEastAsia" w:cstheme="minorHAnsi"/>
          <w:sz w:val="24"/>
          <w:szCs w:val="24"/>
        </w:rPr>
      </w:pPr>
    </w:p>
    <w:p w14:paraId="0993D771" w14:textId="0C1A18CC" w:rsidR="002C1F33" w:rsidRDefault="002C1F33" w:rsidP="002C1F33">
      <w:pPr>
        <w:pStyle w:val="Geenafstand"/>
        <w:spacing w:line="360" w:lineRule="auto"/>
        <w:jc w:val="both"/>
        <w:rPr>
          <w:rFonts w:eastAsiaTheme="minorEastAsia" w:cstheme="minorHAnsi"/>
          <w:sz w:val="24"/>
          <w:szCs w:val="24"/>
        </w:rPr>
      </w:pPr>
      <w:r>
        <w:rPr>
          <w:rFonts w:eastAsiaTheme="minorEastAsia" w:cstheme="minorHAnsi"/>
          <w:sz w:val="24"/>
          <w:szCs w:val="24"/>
        </w:rPr>
        <w:t>All consumers have a certain switching cost. Existing consumers can literally switch from brand drug to generic drug, but also new consumers experience some switching costs. These costs are equal to the uncertainty that the v</w:t>
      </w:r>
      <w:r w:rsidR="00014E7E">
        <w:rPr>
          <w:rFonts w:eastAsiaTheme="minorEastAsia" w:cstheme="minorHAnsi"/>
          <w:sz w:val="24"/>
          <w:szCs w:val="24"/>
        </w:rPr>
        <w:t xml:space="preserve">alue of the generic drug is </w:t>
      </w:r>
      <w:r>
        <w:rPr>
          <w:rFonts w:eastAsiaTheme="minorEastAsia" w:cstheme="minorHAnsi"/>
          <w:sz w:val="24"/>
          <w:szCs w:val="24"/>
        </w:rPr>
        <w:t xml:space="preserve">equal to the value of the brand drug. In the beginning, the new generic drug is unknown and this creates some risks to all the consumers. </w:t>
      </w:r>
    </w:p>
    <w:p w14:paraId="6E7AB8D1" w14:textId="1FA9873E" w:rsidR="002C1F33" w:rsidRPr="003B3FC5" w:rsidRDefault="002C1F33" w:rsidP="002C1F33">
      <w:pPr>
        <w:pStyle w:val="Geenafstand"/>
        <w:spacing w:line="360" w:lineRule="auto"/>
        <w:jc w:val="both"/>
        <w:rPr>
          <w:rFonts w:eastAsiaTheme="minorEastAsia" w:cstheme="minorHAnsi"/>
          <w:sz w:val="24"/>
          <w:szCs w:val="24"/>
        </w:rPr>
      </w:pPr>
      <w:r>
        <w:rPr>
          <w:rFonts w:eastAsiaTheme="minorEastAsia" w:cstheme="minorHAnsi"/>
          <w:sz w:val="24"/>
          <w:szCs w:val="24"/>
        </w:rPr>
        <w:t xml:space="preserve">The variable </w:t>
      </w:r>
      <w:r>
        <w:rPr>
          <w:rFonts w:cstheme="minorHAnsi"/>
          <w:sz w:val="24"/>
          <w:szCs w:val="24"/>
        </w:rPr>
        <w:t>is assumed to be uniform</w:t>
      </w:r>
      <w:r w:rsidR="00014E7E">
        <w:rPr>
          <w:rFonts w:cstheme="minorHAnsi"/>
          <w:sz w:val="24"/>
          <w:szCs w:val="24"/>
        </w:rPr>
        <w:t>ly distributed over [0;1].</w:t>
      </w:r>
      <w:r>
        <w:rPr>
          <w:rFonts w:cstheme="minorHAnsi"/>
          <w:sz w:val="24"/>
          <w:szCs w:val="24"/>
        </w:rPr>
        <w:t xml:space="preserve"> Obviously, when </w:t>
      </w:r>
      <m:oMath>
        <m:r>
          <w:rPr>
            <w:rFonts w:ascii="Cambria Math" w:eastAsiaTheme="minorEastAsia" w:hAnsi="Cambria Math" w:cstheme="minorHAnsi"/>
            <w:sz w:val="24"/>
            <w:szCs w:val="24"/>
          </w:rPr>
          <m:t>ϑ</m:t>
        </m:r>
      </m:oMath>
      <w:r>
        <w:rPr>
          <w:rFonts w:cstheme="minorHAnsi"/>
          <w:sz w:val="24"/>
          <w:szCs w:val="24"/>
        </w:rPr>
        <w:t xml:space="preserve"> is nearly equal to one for a consumer, this means that he or she values the brand and generic drug nearly the same. It is good to note that, before the Hatch-Waxman Act, </w:t>
      </w:r>
      <m:oMath>
        <m:r>
          <w:rPr>
            <w:rFonts w:ascii="Cambria Math" w:eastAsiaTheme="minorEastAsia" w:hAnsi="Cambria Math" w:cstheme="minorHAnsi"/>
            <w:sz w:val="24"/>
            <w:szCs w:val="24"/>
          </w:rPr>
          <m:t>ϑ</m:t>
        </m:r>
      </m:oMath>
      <w:r>
        <w:rPr>
          <w:rFonts w:eastAsiaTheme="minorEastAsia" w:cstheme="minorHAnsi"/>
          <w:sz w:val="24"/>
          <w:szCs w:val="24"/>
        </w:rPr>
        <w:t xml:space="preserve"> would be higher</w:t>
      </w:r>
      <w:r w:rsidR="00014E7E">
        <w:rPr>
          <w:rFonts w:eastAsiaTheme="minorEastAsia" w:cstheme="minorHAnsi"/>
          <w:sz w:val="24"/>
          <w:szCs w:val="24"/>
        </w:rPr>
        <w:t xml:space="preserve"> on average</w:t>
      </w:r>
      <w:r>
        <w:rPr>
          <w:rFonts w:eastAsiaTheme="minorEastAsia" w:cstheme="minorHAnsi"/>
          <w:sz w:val="24"/>
          <w:szCs w:val="24"/>
        </w:rPr>
        <w:t>. Before the act, generic firms had a higher burden to proof the safety of their drug. When a generic drug was approved, consumers would be more certain that the gene</w:t>
      </w:r>
      <w:r w:rsidR="00014E7E">
        <w:rPr>
          <w:rFonts w:eastAsiaTheme="minorEastAsia" w:cstheme="minorHAnsi"/>
          <w:sz w:val="24"/>
          <w:szCs w:val="24"/>
        </w:rPr>
        <w:t>ric drug was</w:t>
      </w:r>
      <w:r w:rsidR="003B3FC5">
        <w:rPr>
          <w:rFonts w:eastAsiaTheme="minorEastAsia" w:cstheme="minorHAnsi"/>
          <w:sz w:val="24"/>
          <w:szCs w:val="24"/>
        </w:rPr>
        <w:t xml:space="preserve"> also a </w:t>
      </w:r>
      <w:r w:rsidR="00014E7E">
        <w:rPr>
          <w:rFonts w:eastAsiaTheme="minorEastAsia" w:cstheme="minorHAnsi"/>
          <w:sz w:val="24"/>
          <w:szCs w:val="24"/>
        </w:rPr>
        <w:t>safe</w:t>
      </w:r>
      <w:r w:rsidR="003B3FC5">
        <w:rPr>
          <w:rFonts w:eastAsiaTheme="minorEastAsia" w:cstheme="minorHAnsi"/>
          <w:sz w:val="24"/>
          <w:szCs w:val="24"/>
        </w:rPr>
        <w:t xml:space="preserve"> drug.  </w:t>
      </w:r>
    </w:p>
    <w:p w14:paraId="7511197E" w14:textId="77777777" w:rsidR="002C1F33" w:rsidRDefault="002C1F33" w:rsidP="002C1F33">
      <w:pPr>
        <w:pStyle w:val="Geenafstand"/>
        <w:spacing w:line="360" w:lineRule="auto"/>
        <w:jc w:val="both"/>
        <w:rPr>
          <w:rFonts w:cstheme="minorHAnsi"/>
          <w:sz w:val="24"/>
          <w:szCs w:val="24"/>
        </w:rPr>
      </w:pPr>
      <w:r>
        <w:rPr>
          <w:rFonts w:cstheme="minorHAnsi"/>
          <w:sz w:val="24"/>
          <w:szCs w:val="24"/>
        </w:rPr>
        <w:t xml:space="preserve">In this case </w:t>
      </w:r>
      <m:oMath>
        <m:r>
          <w:rPr>
            <w:rFonts w:ascii="Cambria Math" w:hAnsi="Cambria Math" w:cstheme="minorHAnsi"/>
            <w:sz w:val="24"/>
            <w:szCs w:val="24"/>
          </w:rPr>
          <m:t>ϑ</m:t>
        </m:r>
      </m:oMath>
      <w:r>
        <w:rPr>
          <w:rFonts w:eastAsiaTheme="minorEastAsia" w:cstheme="minorHAnsi"/>
          <w:sz w:val="24"/>
          <w:szCs w:val="24"/>
        </w:rPr>
        <w:t xml:space="preserve"> is the</w:t>
      </w:r>
      <w:r>
        <w:rPr>
          <w:rFonts w:cstheme="minorHAnsi"/>
          <w:sz w:val="24"/>
          <w:szCs w:val="24"/>
        </w:rPr>
        <w:t xml:space="preserve"> probability that the generic drug is of the same quality as the brand drug. Consumers do not know what the exact quality of the generic drug is, so </w:t>
      </w:r>
      <m:oMath>
        <m:r>
          <w:rPr>
            <w:rFonts w:ascii="Cambria Math" w:eastAsiaTheme="minorEastAsia" w:hAnsi="Cambria Math" w:cstheme="minorHAnsi"/>
            <w:sz w:val="24"/>
            <w:szCs w:val="24"/>
          </w:rPr>
          <m:t>ϑ</m:t>
        </m:r>
      </m:oMath>
      <w:r>
        <w:rPr>
          <w:rFonts w:eastAsiaTheme="minorEastAsia" w:cstheme="minorHAnsi"/>
          <w:sz w:val="24"/>
          <w:szCs w:val="24"/>
        </w:rPr>
        <w:t xml:space="preserve"> depends on the consumer expectations about the generic drug</w:t>
      </w:r>
      <w:r>
        <w:rPr>
          <w:rFonts w:cstheme="minorHAnsi"/>
          <w:sz w:val="24"/>
          <w:szCs w:val="24"/>
        </w:rPr>
        <w:t xml:space="preserve">. The quality for the brand drug is known because it is already on the market for a longer time. This means there is uncertainty about the quality of the generic drug and that there are risks when changing from brand drug to generic drug. Some consumers will be more risk averse than others, which means that they will have a lower valuation for the generic drug. So </w:t>
      </w:r>
      <m:oMath>
        <m:r>
          <w:rPr>
            <w:rFonts w:ascii="Cambria Math" w:eastAsiaTheme="minorEastAsia" w:hAnsi="Cambria Math" w:cstheme="minorHAnsi"/>
            <w:sz w:val="24"/>
            <w:szCs w:val="24"/>
          </w:rPr>
          <m:t>ϑ</m:t>
        </m:r>
      </m:oMath>
      <w:r>
        <w:rPr>
          <w:rFonts w:eastAsiaTheme="minorEastAsia" w:cstheme="minorHAnsi"/>
          <w:sz w:val="24"/>
          <w:szCs w:val="24"/>
        </w:rPr>
        <w:t xml:space="preserve"> can be different for different consumers. Each consumer knows what his or her expectations about the generic drug are, so each consumer knows its own </w:t>
      </w:r>
      <m:oMath>
        <m:r>
          <w:rPr>
            <w:rFonts w:ascii="Cambria Math" w:eastAsiaTheme="minorEastAsia" w:hAnsi="Cambria Math" w:cstheme="minorHAnsi"/>
            <w:sz w:val="24"/>
            <w:szCs w:val="24"/>
          </w:rPr>
          <m:t>ϑ</m:t>
        </m:r>
      </m:oMath>
      <w:r>
        <w:rPr>
          <w:rFonts w:eastAsiaTheme="minorEastAsia" w:cstheme="minorHAnsi"/>
          <w:sz w:val="24"/>
          <w:szCs w:val="24"/>
        </w:rPr>
        <w:t xml:space="preserve">. </w:t>
      </w:r>
    </w:p>
    <w:p w14:paraId="2C0BE272" w14:textId="77777777" w:rsidR="002C1F33" w:rsidRDefault="002C1F33" w:rsidP="002C1F33">
      <w:pPr>
        <w:pStyle w:val="Geenafstand"/>
        <w:spacing w:line="360" w:lineRule="auto"/>
        <w:jc w:val="both"/>
        <w:rPr>
          <w:rFonts w:cstheme="minorHAnsi"/>
          <w:sz w:val="24"/>
          <w:szCs w:val="24"/>
        </w:rPr>
      </w:pPr>
    </w:p>
    <w:p w14:paraId="5EFB0A00" w14:textId="77777777" w:rsidR="002C1F33" w:rsidRDefault="002C1F33" w:rsidP="002C1F33">
      <w:pPr>
        <w:pStyle w:val="Geenafstand"/>
        <w:spacing w:line="360" w:lineRule="auto"/>
        <w:jc w:val="both"/>
        <w:rPr>
          <w:rFonts w:cstheme="minorHAnsi"/>
          <w:sz w:val="24"/>
          <w:szCs w:val="24"/>
        </w:rPr>
      </w:pPr>
      <w:r>
        <w:rPr>
          <w:rFonts w:cstheme="minorHAnsi"/>
          <w:sz w:val="24"/>
          <w:szCs w:val="24"/>
        </w:rPr>
        <w:lastRenderedPageBreak/>
        <w:t xml:space="preserve">A patient will buy the brand drug when the utility he or she gets from the brand drug is higher than the utility of the generic drug: </w:t>
      </w:r>
    </w:p>
    <w:p w14:paraId="5FBB92FE" w14:textId="77777777" w:rsidR="002C1F33" w:rsidRPr="00ED5D53" w:rsidRDefault="002C1F33" w:rsidP="002C1F33">
      <w:pPr>
        <w:spacing w:after="0" w:line="360" w:lineRule="auto"/>
        <w:jc w:val="both"/>
        <w:rPr>
          <w:rFonts w:eastAsiaTheme="minorEastAsia" w:cstheme="minorHAnsi"/>
          <w:sz w:val="24"/>
          <w:szCs w:val="24"/>
          <w:lang w:val="en-US"/>
        </w:rPr>
      </w:pPr>
      <m:oMath>
        <m:r>
          <w:rPr>
            <w:rFonts w:ascii="Cambria Math" w:hAnsi="Cambria Math" w:cstheme="minorHAnsi"/>
            <w:sz w:val="24"/>
            <w:szCs w:val="24"/>
          </w:rPr>
          <m:t>V</m:t>
        </m:r>
        <m:r>
          <w:rPr>
            <w:rFonts w:ascii="Cambria Math" w:hAnsi="Cambria Math" w:cstheme="minorHAnsi"/>
            <w:sz w:val="24"/>
            <w:szCs w:val="24"/>
            <w:lang w:val="en-US"/>
          </w:rPr>
          <m:t>-</m:t>
        </m:r>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B</m:t>
            </m:r>
          </m:sub>
        </m:sSub>
        <m:r>
          <w:rPr>
            <w:rFonts w:ascii="Cambria Math" w:hAnsi="Cambria Math" w:cstheme="minorHAnsi"/>
            <w:sz w:val="24"/>
            <w:szCs w:val="24"/>
            <w:lang w:val="en-US"/>
          </w:rPr>
          <m:t xml:space="preserve">≥ </m:t>
        </m:r>
        <m:r>
          <w:rPr>
            <w:rFonts w:ascii="Cambria Math" w:hAnsi="Cambria Math" w:cstheme="minorHAnsi"/>
            <w:sz w:val="24"/>
            <w:szCs w:val="24"/>
          </w:rPr>
          <m:t>ϑV</m:t>
        </m:r>
        <m:r>
          <w:rPr>
            <w:rFonts w:ascii="Cambria Math" w:hAnsi="Cambria Math" w:cstheme="minorHAnsi"/>
            <w:sz w:val="24"/>
            <w:szCs w:val="24"/>
            <w:lang w:val="en-US"/>
          </w:rPr>
          <m:t>-</m:t>
        </m:r>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G</m:t>
            </m:r>
          </m:sub>
        </m:sSub>
      </m:oMath>
      <w:r w:rsidRPr="00A1340C">
        <w:rPr>
          <w:rFonts w:eastAsiaTheme="minorEastAsia" w:cstheme="minorHAnsi"/>
          <w:sz w:val="24"/>
          <w:szCs w:val="24"/>
          <w:lang w:val="en-US"/>
        </w:rPr>
        <w:t xml:space="preserve"> </w:t>
      </w:r>
      <w:r>
        <w:rPr>
          <w:rFonts w:eastAsiaTheme="minorEastAsia" w:cstheme="minorHAnsi"/>
          <w:sz w:val="24"/>
          <w:szCs w:val="24"/>
        </w:rPr>
        <w:sym w:font="Wingdings" w:char="F0E0"/>
      </w:r>
      <w:r w:rsidRPr="00A1340C">
        <w:rPr>
          <w:rFonts w:eastAsiaTheme="minorEastAsia" w:cstheme="minorHAnsi"/>
          <w:sz w:val="24"/>
          <w:szCs w:val="24"/>
          <w:lang w:val="en-US"/>
        </w:rPr>
        <w:t xml:space="preserve"> </w:t>
      </w:r>
      <m:oMath>
        <m:r>
          <w:rPr>
            <w:rFonts w:ascii="Cambria Math" w:hAnsi="Cambria Math" w:cstheme="minorHAnsi"/>
            <w:sz w:val="24"/>
            <w:szCs w:val="24"/>
          </w:rPr>
          <m:t>ϑ</m:t>
        </m:r>
        <m:r>
          <w:rPr>
            <w:rFonts w:ascii="Cambria Math" w:hAnsi="Cambria Math" w:cstheme="minorHAnsi"/>
            <w:sz w:val="24"/>
            <w:szCs w:val="24"/>
            <w:lang w:val="en-US"/>
          </w:rPr>
          <m:t xml:space="preserve">≤1- </m:t>
        </m:r>
        <m:f>
          <m:fPr>
            <m:ctrlPr>
              <w:rPr>
                <w:rFonts w:ascii="Cambria Math" w:hAnsi="Cambria Math" w:cstheme="minorHAnsi"/>
                <w: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B</m:t>
                </m:r>
              </m:sub>
            </m:sSub>
            <m:r>
              <w:rPr>
                <w:rFonts w:ascii="Cambria Math" w:hAnsi="Cambria Math" w:cstheme="minorHAnsi"/>
                <w:sz w:val="24"/>
                <w:szCs w:val="24"/>
                <w:lang w:val="en-US"/>
              </w:rPr>
              <m:t>-</m:t>
            </m:r>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G</m:t>
                </m:r>
              </m:sub>
            </m:sSub>
          </m:num>
          <m:den>
            <m:r>
              <w:rPr>
                <w:rFonts w:ascii="Cambria Math" w:hAnsi="Cambria Math" w:cstheme="minorHAnsi"/>
                <w:sz w:val="24"/>
                <w:szCs w:val="24"/>
              </w:rPr>
              <m:t>V</m:t>
            </m:r>
          </m:den>
        </m:f>
      </m:oMath>
      <w:r>
        <w:rPr>
          <w:rFonts w:eastAsiaTheme="minorEastAsia" w:cstheme="minorHAnsi"/>
          <w:sz w:val="24"/>
          <w:szCs w:val="24"/>
          <w:lang w:val="en-US"/>
        </w:rPr>
        <w:t xml:space="preserve"> </w:t>
      </w:r>
      <w:r w:rsidRPr="00ED5D53">
        <w:rPr>
          <w:rFonts w:eastAsiaTheme="minorEastAsia" w:cstheme="minorHAnsi"/>
          <w:sz w:val="24"/>
          <w:szCs w:val="24"/>
          <w:lang w:val="en-US"/>
        </w:rPr>
        <w:t xml:space="preserve">and </w:t>
      </w:r>
      <m:oMath>
        <m:r>
          <w:rPr>
            <w:rFonts w:ascii="Cambria Math" w:hAnsi="Cambria Math" w:cstheme="minorHAnsi"/>
            <w:sz w:val="24"/>
            <w:szCs w:val="24"/>
          </w:rPr>
          <m:t>V</m:t>
        </m:r>
        <m:r>
          <w:rPr>
            <w:rFonts w:ascii="Cambria Math" w:hAnsi="Cambria Math" w:cstheme="minorHAnsi"/>
            <w:sz w:val="24"/>
            <w:szCs w:val="24"/>
            <w:lang w:val="en-US"/>
          </w:rPr>
          <m:t>-</m:t>
        </m:r>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B</m:t>
            </m:r>
          </m:sub>
        </m:sSub>
        <m:r>
          <w:rPr>
            <w:rFonts w:ascii="Cambria Math" w:hAnsi="Cambria Math" w:cstheme="minorHAnsi"/>
            <w:sz w:val="24"/>
            <w:szCs w:val="24"/>
            <w:lang w:val="en-US"/>
          </w:rPr>
          <m:t>≥0</m:t>
        </m:r>
      </m:oMath>
      <w:r w:rsidRPr="00ED5D53">
        <w:rPr>
          <w:rFonts w:eastAsiaTheme="minorEastAsia" w:cstheme="minorHAnsi"/>
          <w:sz w:val="24"/>
          <w:szCs w:val="24"/>
          <w:lang w:val="en-US"/>
        </w:rPr>
        <w:t xml:space="preserve"> </w:t>
      </w:r>
      <w:r>
        <w:rPr>
          <w:rFonts w:eastAsiaTheme="minorEastAsia" w:cstheme="minorHAnsi"/>
          <w:sz w:val="24"/>
          <w:szCs w:val="24"/>
        </w:rPr>
        <w:sym w:font="Wingdings" w:char="F0E0"/>
      </w:r>
      <w:r w:rsidRPr="00ED5D53">
        <w:rPr>
          <w:rFonts w:eastAsiaTheme="minorEastAsia" w:cstheme="minorHAnsi"/>
          <w:sz w:val="24"/>
          <w:szCs w:val="24"/>
          <w:lang w:val="en-US"/>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B</m:t>
            </m:r>
          </m:sub>
        </m:sSub>
        <m:r>
          <w:rPr>
            <w:rFonts w:ascii="Cambria Math" w:hAnsi="Cambria Math" w:cstheme="minorHAnsi"/>
            <w:sz w:val="24"/>
            <w:szCs w:val="24"/>
            <w:lang w:val="en-US"/>
          </w:rPr>
          <m:t>≤</m:t>
        </m:r>
        <m:r>
          <w:rPr>
            <w:rFonts w:ascii="Cambria Math" w:hAnsi="Cambria Math" w:cstheme="minorHAnsi"/>
            <w:sz w:val="24"/>
            <w:szCs w:val="24"/>
          </w:rPr>
          <m:t>V</m:t>
        </m:r>
        <m:r>
          <w:rPr>
            <w:rFonts w:ascii="Cambria Math" w:hAnsi="Cambria Math" w:cstheme="minorHAnsi"/>
            <w:sz w:val="24"/>
            <w:szCs w:val="24"/>
            <w:lang w:val="en-US"/>
          </w:rPr>
          <m:t>.</m:t>
        </m:r>
      </m:oMath>
    </w:p>
    <w:p w14:paraId="744D4D9E" w14:textId="77777777" w:rsidR="00014E7E" w:rsidRDefault="00014E7E" w:rsidP="002C1F33">
      <w:pPr>
        <w:spacing w:after="0" w:line="360" w:lineRule="auto"/>
        <w:jc w:val="both"/>
        <w:rPr>
          <w:rFonts w:eastAsiaTheme="minorEastAsia" w:cstheme="minorHAnsi"/>
          <w:sz w:val="24"/>
          <w:szCs w:val="24"/>
          <w:lang w:val="en-US"/>
        </w:rPr>
      </w:pPr>
    </w:p>
    <w:p w14:paraId="3A02F0D1" w14:textId="45B60E3E" w:rsidR="002C1F33" w:rsidRDefault="002C1F33" w:rsidP="002C1F33">
      <w:pPr>
        <w:spacing w:after="0" w:line="360" w:lineRule="auto"/>
        <w:jc w:val="both"/>
        <w:rPr>
          <w:rFonts w:eastAsiaTheme="minorEastAsia" w:cstheme="minorHAnsi"/>
          <w:sz w:val="24"/>
          <w:szCs w:val="24"/>
          <w:lang w:val="en-US"/>
        </w:rPr>
      </w:pPr>
      <w:r w:rsidRPr="00A1340C">
        <w:rPr>
          <w:rFonts w:eastAsiaTheme="minorEastAsia" w:cstheme="minorHAnsi"/>
          <w:sz w:val="24"/>
          <w:szCs w:val="24"/>
          <w:lang w:val="en-US"/>
        </w:rPr>
        <w:t>The market shares are as follows:</w:t>
      </w:r>
      <w:r>
        <w:rPr>
          <w:rFonts w:eastAsiaTheme="minorEastAsia" w:cstheme="minorHAnsi"/>
          <w:sz w:val="24"/>
          <w:szCs w:val="24"/>
          <w:lang w:val="en-US"/>
        </w:rPr>
        <w:t xml:space="preserve"> </w:t>
      </w:r>
    </w:p>
    <w:p w14:paraId="1DDD53E6" w14:textId="77777777" w:rsidR="002C1F33" w:rsidRDefault="00EE5DF1" w:rsidP="002C1F33">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s</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num>
            <m:den>
              <m:r>
                <w:rPr>
                  <w:rFonts w:ascii="Cambria Math" w:eastAsiaTheme="minorEastAsia" w:hAnsi="Cambria Math" w:cstheme="minorHAnsi"/>
                  <w:sz w:val="24"/>
                  <w:szCs w:val="24"/>
                </w:rPr>
                <m:t>V</m:t>
              </m:r>
            </m:den>
          </m:f>
        </m:oMath>
      </m:oMathPara>
    </w:p>
    <w:p w14:paraId="5802A2C3" w14:textId="41B067E3" w:rsidR="003B3FC5" w:rsidRPr="003B3FC5" w:rsidRDefault="00EE5DF1" w:rsidP="00282DF0">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s</m:t>
              </m:r>
            </m:e>
            <m:sub>
              <m:r>
                <w:rPr>
                  <w:rFonts w:ascii="Cambria Math" w:eastAsiaTheme="minorEastAsia" w:hAnsi="Cambria Math" w:cstheme="minorHAnsi"/>
                  <w:sz w:val="24"/>
                  <w:szCs w:val="24"/>
                </w:rPr>
                <m:t>G</m:t>
              </m:r>
            </m:sub>
          </m:sSub>
          <m:r>
            <w:rPr>
              <w:rFonts w:ascii="Cambria Math" w:eastAsiaTheme="minorEastAsia" w:hAnsi="Cambria Math" w:cstheme="minorHAnsi"/>
              <w:sz w:val="24"/>
              <w:szCs w:val="24"/>
              <w:lang w:val="en-US"/>
            </w:rPr>
            <m:t>=1-</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s</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num>
            <m:den>
              <m:r>
                <w:rPr>
                  <w:rFonts w:ascii="Cambria Math" w:eastAsiaTheme="minorEastAsia" w:hAnsi="Cambria Math" w:cstheme="minorHAnsi"/>
                  <w:sz w:val="24"/>
                  <w:szCs w:val="24"/>
                </w:rPr>
                <m:t>V</m:t>
              </m:r>
            </m:den>
          </m:f>
        </m:oMath>
      </m:oMathPara>
    </w:p>
    <w:p w14:paraId="278E426A" w14:textId="179692E9" w:rsidR="003B3FC5" w:rsidRDefault="003B3FC5" w:rsidP="00282DF0">
      <w:pPr>
        <w:spacing w:after="0" w:line="360" w:lineRule="auto"/>
        <w:jc w:val="both"/>
        <w:rPr>
          <w:rFonts w:eastAsiaTheme="minorEastAsia" w:cstheme="minorHAnsi"/>
          <w:sz w:val="24"/>
          <w:szCs w:val="24"/>
        </w:rPr>
      </w:pPr>
    </w:p>
    <w:p w14:paraId="068EA32E" w14:textId="080158BA" w:rsidR="003B3FC5" w:rsidRPr="003B3FC5" w:rsidRDefault="003B3FC5" w:rsidP="00282DF0">
      <w:pPr>
        <w:spacing w:after="0" w:line="360" w:lineRule="auto"/>
        <w:jc w:val="both"/>
        <w:rPr>
          <w:rFonts w:eastAsiaTheme="minorEastAsia" w:cstheme="minorHAnsi"/>
          <w:sz w:val="24"/>
          <w:szCs w:val="24"/>
          <w:lang w:val="en-US"/>
        </w:rPr>
      </w:pPr>
      <w:r w:rsidRPr="003B3FC5">
        <w:rPr>
          <w:rFonts w:eastAsiaTheme="minorEastAsia" w:cstheme="minorHAnsi"/>
          <w:sz w:val="24"/>
          <w:szCs w:val="24"/>
          <w:lang w:val="en-US"/>
        </w:rPr>
        <w:t>The profit function for the brand and generic firm is equal to:</w:t>
      </w:r>
    </w:p>
    <w:p w14:paraId="36B58CEC" w14:textId="7F21339E" w:rsidR="003B3FC5" w:rsidRPr="003B3FC5" w:rsidRDefault="00EE5DF1" w:rsidP="00282DF0">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d>
            <m:dPr>
              <m:ctrlPr>
                <w:rPr>
                  <w:rFonts w:ascii="Cambria Math" w:eastAsiaTheme="minorEastAsia" w:hAnsi="Cambria Math" w:cstheme="minorHAnsi"/>
                  <w:i/>
                  <w:sz w:val="24"/>
                  <w:szCs w:val="24"/>
                  <w:lang w:val="en-US"/>
                </w:rPr>
              </m:ctrlPr>
            </m:dPr>
            <m:e>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e>
          </m:d>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s</m:t>
              </m:r>
            </m:e>
            <m:sub>
              <m:r>
                <w:rPr>
                  <w:rFonts w:ascii="Cambria Math" w:eastAsiaTheme="minorEastAsia" w:hAnsi="Cambria Math" w:cstheme="minorHAnsi"/>
                  <w:sz w:val="24"/>
                  <w:szCs w:val="24"/>
                  <w:lang w:val="en-US"/>
                </w:rPr>
                <m:t>B</m:t>
              </m:r>
            </m:sub>
          </m:sSub>
        </m:oMath>
      </m:oMathPara>
    </w:p>
    <w:p w14:paraId="471109F8" w14:textId="6379CC5D" w:rsidR="003B3FC5" w:rsidRPr="003B3FC5" w:rsidRDefault="00EE5DF1" w:rsidP="003B3FC5">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d>
            <m:dPr>
              <m:ctrlPr>
                <w:rPr>
                  <w:rFonts w:ascii="Cambria Math" w:eastAsiaTheme="minorEastAsia" w:hAnsi="Cambria Math" w:cstheme="minorHAnsi"/>
                  <w:i/>
                  <w:sz w:val="24"/>
                  <w:szCs w:val="24"/>
                  <w:lang w:val="en-US"/>
                </w:rPr>
              </m:ctrlPr>
            </m:dPr>
            <m:e>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-c</m:t>
              </m:r>
            </m:e>
          </m:d>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s</m:t>
              </m:r>
            </m:e>
            <m:sub>
              <m:r>
                <w:rPr>
                  <w:rFonts w:ascii="Cambria Math" w:eastAsiaTheme="minorEastAsia" w:hAnsi="Cambria Math" w:cstheme="minorHAnsi"/>
                  <w:sz w:val="24"/>
                  <w:szCs w:val="24"/>
                  <w:lang w:val="en-US"/>
                </w:rPr>
                <m:t>G</m:t>
              </m:r>
            </m:sub>
          </m:sSub>
        </m:oMath>
      </m:oMathPara>
    </w:p>
    <w:p w14:paraId="52A1E732" w14:textId="3C63A16C" w:rsidR="003B3FC5" w:rsidRPr="003B3FC5" w:rsidRDefault="003B3FC5" w:rsidP="003B3FC5">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The variable </w:t>
      </w:r>
      <m:oMath>
        <m:r>
          <w:rPr>
            <w:rFonts w:ascii="Cambria Math" w:eastAsiaTheme="minorEastAsia" w:hAnsi="Cambria Math" w:cstheme="minorHAnsi"/>
            <w:sz w:val="24"/>
            <w:szCs w:val="24"/>
            <w:lang w:val="en-US"/>
          </w:rPr>
          <m:t>c</m:t>
        </m:r>
      </m:oMath>
      <w:r>
        <w:rPr>
          <w:rFonts w:eastAsiaTheme="minorEastAsia" w:cstheme="minorHAnsi"/>
          <w:sz w:val="24"/>
          <w:szCs w:val="24"/>
          <w:lang w:val="en-US"/>
        </w:rPr>
        <w:t xml:space="preserve"> represents the marginal costs of producing the drug. This is assumed to be the same for both types of drug firms. </w:t>
      </w:r>
      <w:r w:rsidR="001E304F">
        <w:rPr>
          <w:rFonts w:eastAsiaTheme="minorEastAsia" w:cstheme="minorHAnsi"/>
          <w:sz w:val="24"/>
          <w:szCs w:val="24"/>
          <w:lang w:val="en-US"/>
        </w:rPr>
        <w:t xml:space="preserve">For simplicity, it assumed that </w:t>
      </w:r>
      <m:oMath>
        <m:r>
          <w:rPr>
            <w:rFonts w:ascii="Cambria Math" w:eastAsiaTheme="minorEastAsia" w:hAnsi="Cambria Math" w:cstheme="minorHAnsi"/>
            <w:sz w:val="24"/>
            <w:szCs w:val="24"/>
            <w:lang w:val="en-US"/>
          </w:rPr>
          <m:t>c≤</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m:t>
            </m:r>
          </m:num>
          <m:den>
            <m:r>
              <w:rPr>
                <w:rFonts w:ascii="Cambria Math" w:eastAsiaTheme="minorEastAsia" w:hAnsi="Cambria Math" w:cstheme="minorHAnsi"/>
                <w:sz w:val="24"/>
                <w:szCs w:val="24"/>
                <w:lang w:val="en-US"/>
              </w:rPr>
              <m:t>2</m:t>
            </m:r>
          </m:den>
        </m:f>
      </m:oMath>
      <w:r w:rsidR="001E304F">
        <w:rPr>
          <w:rFonts w:eastAsiaTheme="minorEastAsia" w:cstheme="minorHAnsi"/>
          <w:sz w:val="24"/>
          <w:szCs w:val="24"/>
          <w:lang w:val="en-US"/>
        </w:rPr>
        <w:t xml:space="preserve">. </w:t>
      </w:r>
    </w:p>
    <w:p w14:paraId="37C621F2" w14:textId="77777777" w:rsidR="003B3FC5" w:rsidRPr="003B3FC5" w:rsidRDefault="003B3FC5" w:rsidP="00282DF0">
      <w:pPr>
        <w:spacing w:after="0" w:line="360" w:lineRule="auto"/>
        <w:jc w:val="both"/>
        <w:rPr>
          <w:rFonts w:eastAsiaTheme="minorEastAsia" w:cstheme="minorHAnsi"/>
          <w:sz w:val="24"/>
          <w:szCs w:val="24"/>
          <w:lang w:val="en-US"/>
        </w:rPr>
      </w:pPr>
    </w:p>
    <w:p w14:paraId="7A112AB9" w14:textId="77777777" w:rsidR="003B3FC5" w:rsidRPr="003B3FC5" w:rsidRDefault="003B3FC5" w:rsidP="00282DF0">
      <w:pPr>
        <w:spacing w:after="0" w:line="360" w:lineRule="auto"/>
        <w:jc w:val="both"/>
        <w:rPr>
          <w:rFonts w:eastAsiaTheme="minorEastAsia" w:cstheme="minorHAnsi"/>
          <w:sz w:val="24"/>
          <w:szCs w:val="24"/>
          <w:lang w:val="en-US"/>
        </w:rPr>
      </w:pPr>
    </w:p>
    <w:p w14:paraId="2D53EE8A" w14:textId="04909199" w:rsidR="00282DF0" w:rsidRPr="003B3FC5" w:rsidRDefault="00282DF0" w:rsidP="00282DF0">
      <w:pPr>
        <w:spacing w:after="0" w:line="360" w:lineRule="auto"/>
        <w:jc w:val="both"/>
        <w:rPr>
          <w:rFonts w:eastAsiaTheme="minorEastAsia" w:cstheme="minorHAnsi"/>
          <w:sz w:val="24"/>
          <w:szCs w:val="24"/>
          <w:lang w:val="en-US"/>
        </w:rPr>
      </w:pPr>
    </w:p>
    <w:p w14:paraId="5CBB095A" w14:textId="77777777" w:rsidR="003B3FC5" w:rsidRDefault="003B3FC5">
      <w:pPr>
        <w:rPr>
          <w:rFonts w:asciiTheme="majorHAnsi" w:eastAsiaTheme="majorEastAsia" w:hAnsiTheme="majorHAnsi" w:cstheme="majorBidi"/>
          <w:b/>
          <w:sz w:val="32"/>
          <w:szCs w:val="32"/>
          <w:lang w:val="en-US"/>
        </w:rPr>
      </w:pPr>
      <w:r>
        <w:rPr>
          <w:b/>
          <w:lang w:val="en-US"/>
        </w:rPr>
        <w:br w:type="page"/>
      </w:r>
    </w:p>
    <w:p w14:paraId="4C5A178B" w14:textId="34AC9ACA" w:rsidR="002C1F33" w:rsidRDefault="006329F9" w:rsidP="0012385D">
      <w:pPr>
        <w:pStyle w:val="Kop1"/>
        <w:spacing w:before="0" w:line="360" w:lineRule="auto"/>
        <w:jc w:val="center"/>
        <w:rPr>
          <w:b/>
          <w:color w:val="auto"/>
          <w:lang w:val="en-US"/>
        </w:rPr>
      </w:pPr>
      <w:bookmarkStart w:id="7" w:name="_Toc14787842"/>
      <w:r w:rsidRPr="00950D55">
        <w:rPr>
          <w:b/>
          <w:color w:val="auto"/>
          <w:lang w:val="en-US"/>
        </w:rPr>
        <w:lastRenderedPageBreak/>
        <w:t>3</w:t>
      </w:r>
      <w:r w:rsidR="0012385D">
        <w:rPr>
          <w:b/>
          <w:color w:val="auto"/>
          <w:lang w:val="en-US"/>
        </w:rPr>
        <w:t>.</w:t>
      </w:r>
      <w:r w:rsidR="00EE30EE" w:rsidRPr="00950D55">
        <w:rPr>
          <w:b/>
          <w:color w:val="auto"/>
          <w:lang w:val="en-US"/>
        </w:rPr>
        <w:t xml:space="preserve"> </w:t>
      </w:r>
      <w:r w:rsidR="002C1F33">
        <w:rPr>
          <w:b/>
          <w:color w:val="auto"/>
          <w:lang w:val="en-US"/>
        </w:rPr>
        <w:t>Analysis</w:t>
      </w:r>
      <w:bookmarkEnd w:id="7"/>
    </w:p>
    <w:p w14:paraId="026E39D4" w14:textId="77777777" w:rsidR="001E304F" w:rsidRDefault="001E304F" w:rsidP="002C1F33">
      <w:pPr>
        <w:pStyle w:val="Kop2"/>
        <w:spacing w:before="0" w:line="360" w:lineRule="auto"/>
        <w:rPr>
          <w:b/>
          <w:color w:val="auto"/>
          <w:lang w:val="en-US"/>
        </w:rPr>
      </w:pPr>
    </w:p>
    <w:p w14:paraId="5AC200C2" w14:textId="25C7F0D1" w:rsidR="002C1F33" w:rsidRPr="00950D55" w:rsidRDefault="001E304F" w:rsidP="002C1F33">
      <w:pPr>
        <w:pStyle w:val="Kop2"/>
        <w:spacing w:before="0" w:line="360" w:lineRule="auto"/>
        <w:rPr>
          <w:b/>
          <w:color w:val="auto"/>
          <w:lang w:val="en-US"/>
        </w:rPr>
      </w:pPr>
      <w:bookmarkStart w:id="8" w:name="_Toc14787843"/>
      <w:r>
        <w:rPr>
          <w:b/>
          <w:color w:val="auto"/>
          <w:lang w:val="en-US"/>
        </w:rPr>
        <w:t>3</w:t>
      </w:r>
      <w:r w:rsidR="002C1F33">
        <w:rPr>
          <w:b/>
          <w:color w:val="auto"/>
          <w:lang w:val="en-US"/>
        </w:rPr>
        <w:t>.1 The brand firm</w:t>
      </w:r>
      <w:r w:rsidR="002C1F33" w:rsidRPr="00950D55">
        <w:rPr>
          <w:b/>
          <w:color w:val="auto"/>
          <w:lang w:val="en-US"/>
        </w:rPr>
        <w:t xml:space="preserve"> as a monopolist</w:t>
      </w:r>
      <w:bookmarkEnd w:id="8"/>
    </w:p>
    <w:p w14:paraId="5FA3EA97" w14:textId="7C5578B6" w:rsidR="002C1F33" w:rsidRPr="00950D55" w:rsidRDefault="002C1F33" w:rsidP="002C1F33">
      <w:pPr>
        <w:spacing w:after="0" w:line="360" w:lineRule="auto"/>
        <w:jc w:val="both"/>
        <w:rPr>
          <w:sz w:val="24"/>
          <w:szCs w:val="24"/>
          <w:lang w:val="en-US"/>
        </w:rPr>
      </w:pPr>
      <w:r w:rsidRPr="00950D55">
        <w:rPr>
          <w:sz w:val="24"/>
          <w:szCs w:val="24"/>
          <w:lang w:val="en-US"/>
        </w:rPr>
        <w:t>Let</w:t>
      </w:r>
      <w:r>
        <w:rPr>
          <w:sz w:val="24"/>
          <w:szCs w:val="24"/>
          <w:lang w:val="en-US"/>
        </w:rPr>
        <w:t xml:space="preserve"> the linear</w:t>
      </w:r>
      <w:r w:rsidR="00C96114">
        <w:rPr>
          <w:sz w:val="24"/>
          <w:szCs w:val="24"/>
          <w:lang w:val="en-US"/>
        </w:rPr>
        <w:t xml:space="preserve"> demand curve be</w:t>
      </w:r>
      <w:r w:rsidRPr="00950D55">
        <w:rPr>
          <w:sz w:val="24"/>
          <w:szCs w:val="24"/>
          <w:lang w:val="en-US"/>
        </w:rPr>
        <w:t xml:space="preserve"> equal to </w:t>
      </w:r>
      <m:oMath>
        <m:r>
          <m:rPr>
            <m:sty m:val="p"/>
          </m:rPr>
          <w:rPr>
            <w:rFonts w:ascii="Cambria Math" w:hAnsi="Cambria Math"/>
            <w:sz w:val="24"/>
            <w:szCs w:val="24"/>
            <w:lang w:val="en-US"/>
          </w:rPr>
          <m:t>Q = a – bP</m:t>
        </m:r>
      </m:oMath>
      <w:r w:rsidRPr="00950D55">
        <w:rPr>
          <w:sz w:val="24"/>
          <w:szCs w:val="24"/>
          <w:lang w:val="en-US"/>
        </w:rPr>
        <w:t xml:space="preserve"> and</w:t>
      </w:r>
      <w:r w:rsidR="00C96114">
        <w:rPr>
          <w:sz w:val="24"/>
          <w:szCs w:val="24"/>
          <w:lang w:val="en-US"/>
        </w:rPr>
        <w:t xml:space="preserve"> the marginal cost </w:t>
      </w:r>
      <w:r w:rsidRPr="00950D55">
        <w:rPr>
          <w:sz w:val="24"/>
          <w:szCs w:val="24"/>
          <w:lang w:val="en-US"/>
        </w:rPr>
        <w:t xml:space="preserve">equal to c. The intercept of the demand curve is equal to a, P is the price of the drug and Q is </w:t>
      </w:r>
      <w:r>
        <w:rPr>
          <w:sz w:val="24"/>
          <w:szCs w:val="24"/>
          <w:lang w:val="en-US"/>
        </w:rPr>
        <w:t xml:space="preserve">the total output of the drugs. </w:t>
      </w:r>
      <w:r w:rsidRPr="00950D55">
        <w:rPr>
          <w:sz w:val="24"/>
          <w:szCs w:val="24"/>
          <w:lang w:val="en-US"/>
        </w:rPr>
        <w:t>Before entry, the firm with the brand drug is the only firm in the market, which means he is a monopolist. His optimal price P is equal to</w:t>
      </w:r>
      <w:r w:rsidRPr="00950D55">
        <w:rPr>
          <w:rStyle w:val="Voetnootmarkering"/>
          <w:sz w:val="24"/>
          <w:szCs w:val="24"/>
          <w:lang w:val="en-US"/>
        </w:rPr>
        <w:footnoteReference w:id="1"/>
      </w:r>
      <w:r w:rsidRPr="00950D55">
        <w:rPr>
          <w:sz w:val="24"/>
          <w:szCs w:val="24"/>
          <w:lang w:val="en-US"/>
        </w:rPr>
        <w:t>:</w:t>
      </w:r>
    </w:p>
    <w:p w14:paraId="2E6B9413" w14:textId="77777777" w:rsidR="002C1F33" w:rsidRPr="00950D55" w:rsidRDefault="002C1F33" w:rsidP="002C1F33">
      <w:pPr>
        <w:spacing w:after="0" w:line="360" w:lineRule="auto"/>
        <w:jc w:val="both"/>
        <w:rPr>
          <w:rFonts w:eastAsiaTheme="minorEastAsia"/>
          <w:sz w:val="24"/>
          <w:szCs w:val="24"/>
          <w:lang w:val="en-US"/>
        </w:rPr>
      </w:pPr>
      <m:oMathPara>
        <m:oMath>
          <m:r>
            <m:rPr>
              <m:sty m:val="p"/>
            </m:rPr>
            <w:rPr>
              <w:rFonts w:ascii="Cambria Math" w:hAnsi="Cambria Math"/>
              <w:sz w:val="24"/>
              <w:szCs w:val="24"/>
              <w:lang w:val="en-US"/>
            </w:rPr>
            <m:t xml:space="preserve">P = </m:t>
          </m:r>
          <m:f>
            <m:fPr>
              <m:ctrlPr>
                <w:rPr>
                  <w:rFonts w:ascii="Cambria Math" w:hAnsi="Cambria Math"/>
                  <w:sz w:val="24"/>
                  <w:szCs w:val="24"/>
                  <w:lang w:val="en-US"/>
                </w:rPr>
              </m:ctrlPr>
            </m:fPr>
            <m:num>
              <m:r>
                <w:rPr>
                  <w:rFonts w:ascii="Cambria Math" w:hAnsi="Cambria Math"/>
                  <w:sz w:val="24"/>
                  <w:szCs w:val="24"/>
                  <w:lang w:val="en-US"/>
                </w:rPr>
                <m:t>a + bc</m:t>
              </m:r>
            </m:num>
            <m:den>
              <m:r>
                <w:rPr>
                  <w:rFonts w:ascii="Cambria Math" w:hAnsi="Cambria Math"/>
                  <w:sz w:val="24"/>
                  <w:szCs w:val="24"/>
                  <w:lang w:val="en-US"/>
                </w:rPr>
                <m:t>2b</m:t>
              </m:r>
            </m:den>
          </m:f>
          <m:r>
            <m:rPr>
              <m:sty m:val="p"/>
            </m:rPr>
            <w:rPr>
              <w:rFonts w:ascii="Cambria Math" w:hAnsi="Cambria Math"/>
              <w:sz w:val="24"/>
              <w:szCs w:val="24"/>
              <w:lang w:val="en-US"/>
            </w:rPr>
            <m:t xml:space="preserve"> </m:t>
          </m:r>
        </m:oMath>
      </m:oMathPara>
    </w:p>
    <w:p w14:paraId="701C61FC" w14:textId="77777777" w:rsidR="002C1F33" w:rsidRDefault="002C1F33" w:rsidP="002C1F33">
      <w:pPr>
        <w:spacing w:after="0" w:line="360" w:lineRule="auto"/>
        <w:jc w:val="both"/>
        <w:rPr>
          <w:sz w:val="24"/>
          <w:szCs w:val="24"/>
          <w:lang w:val="en-US"/>
        </w:rPr>
      </w:pPr>
    </w:p>
    <w:p w14:paraId="0BE7EC86" w14:textId="77777777" w:rsidR="002C1F33" w:rsidRPr="00950D55" w:rsidRDefault="002C1F33" w:rsidP="002C1F33">
      <w:pPr>
        <w:spacing w:after="0" w:line="360" w:lineRule="auto"/>
        <w:jc w:val="both"/>
        <w:rPr>
          <w:rFonts w:eastAsiaTheme="minorEastAsia"/>
          <w:sz w:val="24"/>
          <w:szCs w:val="24"/>
          <w:lang w:val="en-US"/>
        </w:rPr>
      </w:pPr>
      <w:r w:rsidRPr="00950D55">
        <w:rPr>
          <w:sz w:val="24"/>
          <w:szCs w:val="24"/>
          <w:lang w:val="en-US"/>
        </w:rPr>
        <w:t>This shows that the higher the marginal costs of producing a drug is, the higher the price of the drugs. This makes sense, because the higher the costs are, the higher the price needs to be to make the same marginal sale. When this monopolist faces higher marginal costs, he will raise its price by half of the change in marginal costs (</w:t>
      </w:r>
      <m:oMath>
        <m:r>
          <m:rPr>
            <m:sty m:val="p"/>
          </m:rPr>
          <w:rPr>
            <w:rFonts w:ascii="Cambria Math" w:hAnsi="Cambria Math"/>
            <w:sz w:val="24"/>
            <w:szCs w:val="24"/>
            <w:lang w:val="en-US"/>
          </w:rPr>
          <m:t>∆P=</m:t>
        </m:r>
        <m:f>
          <m:fPr>
            <m:ctrlPr>
              <w:rPr>
                <w:rFonts w:ascii="Cambria Math" w:hAnsi="Cambria Math"/>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r>
          <w:rPr>
            <w:rFonts w:ascii="Cambria Math" w:hAnsi="Cambria Math"/>
            <w:sz w:val="24"/>
            <w:szCs w:val="24"/>
            <w:lang w:val="en-US"/>
          </w:rPr>
          <m:t>∆c</m:t>
        </m:r>
      </m:oMath>
      <w:r w:rsidRPr="00950D55">
        <w:rPr>
          <w:rFonts w:eastAsiaTheme="minorEastAsia"/>
          <w:sz w:val="24"/>
          <w:szCs w:val="24"/>
          <w:lang w:val="en-US"/>
        </w:rPr>
        <w:t>).</w:t>
      </w:r>
    </w:p>
    <w:p w14:paraId="5B697A6A" w14:textId="77777777" w:rsidR="002C1F33" w:rsidRPr="00950D55" w:rsidRDefault="002C1F33" w:rsidP="002C1F33">
      <w:pPr>
        <w:spacing w:after="0" w:line="360" w:lineRule="auto"/>
        <w:jc w:val="both"/>
        <w:rPr>
          <w:rFonts w:eastAsiaTheme="minorEastAsia"/>
          <w:sz w:val="24"/>
          <w:szCs w:val="24"/>
          <w:lang w:val="en-US"/>
        </w:rPr>
      </w:pPr>
      <w:r w:rsidRPr="00950D55">
        <w:rPr>
          <w:rFonts w:eastAsiaTheme="minorEastAsia"/>
          <w:sz w:val="24"/>
          <w:szCs w:val="24"/>
          <w:lang w:val="en-US"/>
        </w:rPr>
        <w:t>The profit of the monopolist in this case is equal to</w:t>
      </w:r>
      <w:r w:rsidRPr="00950D55">
        <w:rPr>
          <w:rStyle w:val="Voetnootmarkering"/>
          <w:rFonts w:eastAsiaTheme="minorEastAsia"/>
          <w:sz w:val="24"/>
          <w:szCs w:val="24"/>
          <w:lang w:val="en-US"/>
        </w:rPr>
        <w:footnoteReference w:id="2"/>
      </w:r>
      <w:r w:rsidRPr="00950D55">
        <w:rPr>
          <w:rFonts w:eastAsiaTheme="minorEastAsia"/>
          <w:sz w:val="24"/>
          <w:szCs w:val="24"/>
          <w:lang w:val="en-US"/>
        </w:rPr>
        <w:t>:</w:t>
      </w:r>
    </w:p>
    <w:p w14:paraId="788A1503" w14:textId="77777777" w:rsidR="002C1F33" w:rsidRPr="00950D55" w:rsidRDefault="00EE5DF1" w:rsidP="002C1F33">
      <w:pPr>
        <w:spacing w:after="0" w:line="360" w:lineRule="auto"/>
        <w:jc w:val="both"/>
        <w:rPr>
          <w:rFonts w:eastAsiaTheme="minorEastAsia"/>
          <w:sz w:val="24"/>
          <w:szCs w:val="24"/>
          <w:lang w:val="en-US"/>
        </w:rPr>
      </w:pPr>
      <m:oMathPara>
        <m:oMath>
          <m:sSub>
            <m:sSubPr>
              <m:ctrlPr>
                <w:rPr>
                  <w:rFonts w:ascii="Cambria Math" w:eastAsiaTheme="minorEastAsia" w:hAnsi="Cambria Math"/>
                  <w:sz w:val="24"/>
                  <w:szCs w:val="24"/>
                  <w:lang w:val="en-US"/>
                </w:rPr>
              </m:ctrlPr>
            </m:sSubPr>
            <m:e>
              <m:r>
                <w:rPr>
                  <w:rFonts w:ascii="Cambria Math" w:eastAsiaTheme="minorEastAsia" w:hAnsi="Cambria Math"/>
                  <w:sz w:val="24"/>
                  <w:szCs w:val="24"/>
                  <w:lang w:val="en-US"/>
                </w:rPr>
                <m:t>π</m:t>
              </m:r>
            </m:e>
            <m:sub>
              <m:r>
                <w:rPr>
                  <w:rFonts w:ascii="Cambria Math" w:eastAsiaTheme="minorEastAsia" w:hAnsi="Cambria Math"/>
                  <w:sz w:val="24"/>
                  <w:szCs w:val="24"/>
                  <w:lang w:val="en-US"/>
                </w:rPr>
                <m:t>mon</m:t>
              </m:r>
            </m:sub>
          </m:sSub>
          <m:r>
            <w:rPr>
              <w:rFonts w:ascii="Cambria Math" w:eastAsiaTheme="minorEastAsia" w:hAnsi="Cambria Math"/>
              <w:sz w:val="24"/>
              <w:szCs w:val="24"/>
              <w:lang w:val="en-US"/>
            </w:rPr>
            <m:t>=</m:t>
          </m:r>
          <m:f>
            <m:fPr>
              <m:ctrlPr>
                <w:rPr>
                  <w:rFonts w:ascii="Cambria Math" w:eastAsiaTheme="minorEastAsia" w:hAnsi="Cambria Math"/>
                  <w:i/>
                  <w:sz w:val="24"/>
                  <w:szCs w:val="24"/>
                  <w:lang w:val="en-US"/>
                </w:rPr>
              </m:ctrlPr>
            </m:fPr>
            <m:num>
              <m:sSup>
                <m:sSupPr>
                  <m:ctrlPr>
                    <w:rPr>
                      <w:rFonts w:ascii="Cambria Math" w:eastAsiaTheme="minorEastAsia" w:hAnsi="Cambria Math"/>
                      <w:i/>
                      <w:sz w:val="24"/>
                      <w:szCs w:val="24"/>
                      <w:lang w:val="en-US"/>
                    </w:rPr>
                  </m:ctrlPr>
                </m:sSupPr>
                <m:e>
                  <m:d>
                    <m:dPr>
                      <m:ctrlPr>
                        <w:rPr>
                          <w:rFonts w:ascii="Cambria Math" w:eastAsiaTheme="minorEastAsia" w:hAnsi="Cambria Math"/>
                          <w:i/>
                          <w:sz w:val="24"/>
                          <w:szCs w:val="24"/>
                          <w:lang w:val="en-US"/>
                        </w:rPr>
                      </m:ctrlPr>
                    </m:dPr>
                    <m:e>
                      <m:r>
                        <w:rPr>
                          <w:rFonts w:ascii="Cambria Math" w:eastAsiaTheme="minorEastAsia" w:hAnsi="Cambria Math"/>
                          <w:sz w:val="24"/>
                          <w:szCs w:val="24"/>
                          <w:lang w:val="en-US"/>
                        </w:rPr>
                        <m:t>a-bc</m:t>
                      </m:r>
                    </m:e>
                  </m:d>
                </m:e>
                <m:sup>
                  <m:r>
                    <w:rPr>
                      <w:rFonts w:ascii="Cambria Math" w:eastAsiaTheme="minorEastAsia" w:hAnsi="Cambria Math"/>
                      <w:sz w:val="24"/>
                      <w:szCs w:val="24"/>
                      <w:lang w:val="en-US"/>
                    </w:rPr>
                    <m:t>2</m:t>
                  </m:r>
                </m:sup>
              </m:sSup>
            </m:num>
            <m:den>
              <m:r>
                <w:rPr>
                  <w:rFonts w:ascii="Cambria Math" w:eastAsiaTheme="minorEastAsia" w:hAnsi="Cambria Math"/>
                  <w:sz w:val="24"/>
                  <w:szCs w:val="24"/>
                  <w:lang w:val="en-US"/>
                </w:rPr>
                <m:t>4b</m:t>
              </m:r>
            </m:den>
          </m:f>
        </m:oMath>
      </m:oMathPara>
    </w:p>
    <w:p w14:paraId="6455127E" w14:textId="77777777" w:rsidR="002C1F33" w:rsidRPr="00950D55" w:rsidRDefault="002C1F33" w:rsidP="002C1F33">
      <w:pPr>
        <w:spacing w:after="0" w:line="360" w:lineRule="auto"/>
        <w:jc w:val="both"/>
        <w:rPr>
          <w:sz w:val="24"/>
          <w:szCs w:val="24"/>
          <w:lang w:val="en-US"/>
        </w:rPr>
      </w:pPr>
    </w:p>
    <w:p w14:paraId="2EB35619" w14:textId="6C15D84F" w:rsidR="002C1F33" w:rsidRPr="00950D55" w:rsidRDefault="001E304F" w:rsidP="002C1F33">
      <w:pPr>
        <w:pStyle w:val="Kop2"/>
        <w:spacing w:before="0" w:line="360" w:lineRule="auto"/>
        <w:rPr>
          <w:b/>
          <w:color w:val="auto"/>
          <w:lang w:val="en-US"/>
        </w:rPr>
      </w:pPr>
      <w:bookmarkStart w:id="9" w:name="_Toc14787844"/>
      <w:r>
        <w:rPr>
          <w:b/>
          <w:color w:val="auto"/>
          <w:lang w:val="en-US"/>
        </w:rPr>
        <w:t>3</w:t>
      </w:r>
      <w:r w:rsidR="002C1F33" w:rsidRPr="00950D55">
        <w:rPr>
          <w:b/>
          <w:color w:val="auto"/>
          <w:lang w:val="en-US"/>
        </w:rPr>
        <w:t xml:space="preserve">.2 </w:t>
      </w:r>
      <w:r w:rsidR="002C1F33">
        <w:rPr>
          <w:b/>
          <w:color w:val="auto"/>
          <w:lang w:val="en-US"/>
        </w:rPr>
        <w:t>Generic entry and competition</w:t>
      </w:r>
      <w:bookmarkEnd w:id="9"/>
    </w:p>
    <w:p w14:paraId="704A868E" w14:textId="114ADF7B" w:rsidR="002C1F33" w:rsidRDefault="002C1F33" w:rsidP="002C1F33">
      <w:pPr>
        <w:spacing w:after="0" w:line="360" w:lineRule="auto"/>
        <w:jc w:val="both"/>
        <w:rPr>
          <w:rFonts w:eastAsiaTheme="minorEastAsia"/>
          <w:sz w:val="24"/>
          <w:szCs w:val="24"/>
          <w:lang w:val="en-US"/>
        </w:rPr>
      </w:pPr>
      <w:r>
        <w:rPr>
          <w:sz w:val="24"/>
          <w:szCs w:val="24"/>
          <w:lang w:val="en-US"/>
        </w:rPr>
        <w:t>Now, the situation in which the pate</w:t>
      </w:r>
      <w:r w:rsidR="00C96114">
        <w:rPr>
          <w:sz w:val="24"/>
          <w:szCs w:val="24"/>
          <w:lang w:val="en-US"/>
        </w:rPr>
        <w:t>nt of the brand firm is expired</w:t>
      </w:r>
      <w:r>
        <w:rPr>
          <w:sz w:val="24"/>
          <w:szCs w:val="24"/>
          <w:lang w:val="en-US"/>
        </w:rPr>
        <w:t xml:space="preserve"> and generic firms enter the market. A p</w:t>
      </w:r>
      <w:r w:rsidRPr="00950D55">
        <w:rPr>
          <w:sz w:val="24"/>
          <w:szCs w:val="24"/>
          <w:lang w:val="en-US"/>
        </w:rPr>
        <w:t>otential</w:t>
      </w:r>
      <w:r>
        <w:rPr>
          <w:sz w:val="24"/>
          <w:szCs w:val="24"/>
          <w:lang w:val="en-US"/>
        </w:rPr>
        <w:t xml:space="preserve"> generic</w:t>
      </w:r>
      <w:r w:rsidRPr="00950D55">
        <w:rPr>
          <w:sz w:val="24"/>
          <w:szCs w:val="24"/>
          <w:lang w:val="en-US"/>
        </w:rPr>
        <w:t xml:space="preserve"> entrant faces a decision.</w:t>
      </w:r>
      <w:r w:rsidRPr="00950D55">
        <w:rPr>
          <w:lang w:val="en-US"/>
        </w:rPr>
        <w:t xml:space="preserve"> </w:t>
      </w:r>
      <w:r w:rsidRPr="00950D55">
        <w:rPr>
          <w:sz w:val="24"/>
          <w:szCs w:val="24"/>
          <w:lang w:val="en-US"/>
        </w:rPr>
        <w:t xml:space="preserve">He can decide to enter and compete in the market with the incumbent or he can stay out of the market. He will enter the market if he expects </w:t>
      </w:r>
      <w:r>
        <w:rPr>
          <w:sz w:val="24"/>
          <w:szCs w:val="24"/>
          <w:lang w:val="en-US"/>
        </w:rPr>
        <w:t>positive</w:t>
      </w:r>
      <w:r w:rsidRPr="00950D55">
        <w:rPr>
          <w:sz w:val="24"/>
          <w:szCs w:val="24"/>
          <w:lang w:val="en-US"/>
        </w:rPr>
        <w:t xml:space="preserve"> profits and stay out otherwise. So, </w:t>
      </w:r>
      <m:oMath>
        <m:sSub>
          <m:sSubPr>
            <m:ctrlPr>
              <w:rPr>
                <w:rFonts w:ascii="Cambria Math" w:hAnsi="Cambria Math"/>
                <w:sz w:val="24"/>
                <w:szCs w:val="24"/>
                <w:lang w:val="en-US"/>
              </w:rPr>
            </m:ctrlPr>
          </m:sSubPr>
          <m:e>
            <m:r>
              <w:rPr>
                <w:rFonts w:ascii="Cambria Math" w:hAnsi="Cambria Math"/>
                <w:sz w:val="24"/>
                <w:szCs w:val="24"/>
                <w:lang w:val="en-US"/>
              </w:rPr>
              <m:t>π</m:t>
            </m:r>
          </m:e>
          <m:sub>
            <m:r>
              <w:rPr>
                <w:rFonts w:ascii="Cambria Math" w:hAnsi="Cambria Math"/>
                <w:sz w:val="24"/>
                <w:szCs w:val="24"/>
                <w:lang w:val="en-US"/>
              </w:rPr>
              <m:t>G</m:t>
            </m:r>
          </m:sub>
        </m:sSub>
        <m:r>
          <m:rPr>
            <m:sty m:val="p"/>
          </m:rPr>
          <w:rPr>
            <w:rFonts w:ascii="Cambria Math" w:hAnsi="Cambria Math"/>
            <w:sz w:val="24"/>
            <w:szCs w:val="24"/>
            <w:lang w:val="en-US"/>
          </w:rPr>
          <m:t>&gt;0</m:t>
        </m:r>
      </m:oMath>
      <w:r w:rsidRPr="00950D55">
        <w:rPr>
          <w:rFonts w:eastAsiaTheme="minorEastAsia"/>
          <w:sz w:val="24"/>
          <w:szCs w:val="24"/>
          <w:lang w:val="en-US"/>
        </w:rPr>
        <w:t xml:space="preserve"> if the entrant wants to enter.</w:t>
      </w:r>
      <w:r>
        <w:rPr>
          <w:rFonts w:eastAsiaTheme="minorEastAsia"/>
          <w:sz w:val="24"/>
          <w:szCs w:val="24"/>
          <w:lang w:val="en-US"/>
        </w:rPr>
        <w:t xml:space="preserve"> When the generic firm expects</w:t>
      </w:r>
      <w:r w:rsidR="00C96114">
        <w:rPr>
          <w:rFonts w:eastAsiaTheme="minorEastAsia"/>
          <w:sz w:val="24"/>
          <w:szCs w:val="24"/>
          <w:lang w:val="en-US"/>
        </w:rPr>
        <w:t xml:space="preserve"> zero profits, he will also </w:t>
      </w:r>
      <w:r>
        <w:rPr>
          <w:rFonts w:eastAsiaTheme="minorEastAsia"/>
          <w:sz w:val="24"/>
          <w:szCs w:val="24"/>
          <w:lang w:val="en-US"/>
        </w:rPr>
        <w:t xml:space="preserve">enter the market, because there is no point in entering the market.  </w:t>
      </w:r>
    </w:p>
    <w:p w14:paraId="7618F15D" w14:textId="77777777" w:rsidR="002C1F33" w:rsidRDefault="002C1F33" w:rsidP="002C1F33">
      <w:pPr>
        <w:spacing w:after="0" w:line="360" w:lineRule="auto"/>
        <w:jc w:val="both"/>
        <w:rPr>
          <w:rFonts w:eastAsiaTheme="minorEastAsia"/>
          <w:sz w:val="24"/>
          <w:szCs w:val="24"/>
          <w:lang w:val="en-US"/>
        </w:rPr>
      </w:pPr>
    </w:p>
    <w:p w14:paraId="52B77217" w14:textId="77777777" w:rsidR="00C96114" w:rsidRDefault="00C96114">
      <w:pPr>
        <w:rPr>
          <w:rFonts w:asciiTheme="majorHAnsi" w:eastAsiaTheme="minorEastAsia" w:hAnsiTheme="majorHAnsi" w:cstheme="majorBidi"/>
          <w:b/>
          <w:sz w:val="24"/>
          <w:szCs w:val="24"/>
          <w:lang w:val="en-US"/>
        </w:rPr>
      </w:pPr>
      <w:r>
        <w:rPr>
          <w:rFonts w:eastAsiaTheme="minorEastAsia"/>
          <w:b/>
          <w:lang w:val="en-US"/>
        </w:rPr>
        <w:br w:type="page"/>
      </w:r>
    </w:p>
    <w:p w14:paraId="35F07FB0" w14:textId="006C3845" w:rsidR="002C1F33" w:rsidRPr="002C1F33" w:rsidRDefault="001E304F" w:rsidP="002C1F33">
      <w:pPr>
        <w:pStyle w:val="Kop3"/>
        <w:spacing w:before="0" w:line="360" w:lineRule="auto"/>
        <w:rPr>
          <w:rFonts w:eastAsiaTheme="minorEastAsia"/>
          <w:b/>
          <w:color w:val="auto"/>
          <w:lang w:val="en-US"/>
        </w:rPr>
      </w:pPr>
      <w:bookmarkStart w:id="10" w:name="_Toc14787845"/>
      <w:r>
        <w:rPr>
          <w:rFonts w:eastAsiaTheme="minorEastAsia"/>
          <w:b/>
          <w:color w:val="auto"/>
          <w:lang w:val="en-US"/>
        </w:rPr>
        <w:lastRenderedPageBreak/>
        <w:t>3</w:t>
      </w:r>
      <w:r w:rsidR="002C1F33" w:rsidRPr="00F42715">
        <w:rPr>
          <w:rFonts w:eastAsiaTheme="minorEastAsia"/>
          <w:b/>
          <w:color w:val="auto"/>
          <w:lang w:val="en-US"/>
        </w:rPr>
        <w:t>.2.1 One brand firm and one generic firm</w:t>
      </w:r>
      <w:bookmarkEnd w:id="10"/>
    </w:p>
    <w:p w14:paraId="665F4300" w14:textId="77777777" w:rsidR="002C1F33" w:rsidRPr="00FC6AC2" w:rsidRDefault="002C1F33" w:rsidP="002C1F33">
      <w:pPr>
        <w:spacing w:after="0" w:line="360" w:lineRule="auto"/>
        <w:jc w:val="both"/>
        <w:rPr>
          <w:rFonts w:eastAsiaTheme="minorEastAsia" w:cstheme="minorHAnsi"/>
          <w:i/>
          <w:sz w:val="24"/>
          <w:szCs w:val="24"/>
          <w:lang w:val="en-US"/>
        </w:rPr>
      </w:pPr>
      <w:r>
        <w:rPr>
          <w:rFonts w:eastAsiaTheme="minorEastAsia" w:cstheme="minorHAnsi"/>
          <w:i/>
          <w:sz w:val="24"/>
          <w:szCs w:val="24"/>
          <w:lang w:val="en-US"/>
        </w:rPr>
        <w:t>Optimal price for the generic firm</w:t>
      </w:r>
    </w:p>
    <w:p w14:paraId="6F9A3C73" w14:textId="29F29249" w:rsidR="002C1F33" w:rsidRDefault="00C96114"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By backward induction, the optimal price for the generic firm needs to be determined</w:t>
      </w:r>
      <w:r w:rsidR="002C1F33">
        <w:rPr>
          <w:rFonts w:eastAsiaTheme="minorEastAsia" w:cstheme="minorHAnsi"/>
          <w:sz w:val="24"/>
          <w:szCs w:val="24"/>
          <w:lang w:val="en-US"/>
        </w:rPr>
        <w:t>. Then optimal price for the brand firm</w:t>
      </w:r>
      <w:r>
        <w:rPr>
          <w:rFonts w:eastAsiaTheme="minorEastAsia" w:cstheme="minorHAnsi"/>
          <w:sz w:val="24"/>
          <w:szCs w:val="24"/>
          <w:lang w:val="en-US"/>
        </w:rPr>
        <w:t xml:space="preserve"> will be determined</w:t>
      </w:r>
      <w:r w:rsidR="002C1F33">
        <w:rPr>
          <w:rFonts w:eastAsiaTheme="minorEastAsia" w:cstheme="minorHAnsi"/>
          <w:sz w:val="24"/>
          <w:szCs w:val="24"/>
          <w:lang w:val="en-US"/>
        </w:rPr>
        <w:t xml:space="preserve">, given the best response of the generic firm. The profit of the generic firm is equal to the market share times the marginal revenue: </w:t>
      </w:r>
    </w:p>
    <w:p w14:paraId="0B0E05BC" w14:textId="77777777" w:rsidR="002C1F33" w:rsidRPr="00DC5342" w:rsidRDefault="00EE5DF1" w:rsidP="002C1F33">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num>
            <m:den>
              <m:r>
                <w:rPr>
                  <w:rFonts w:ascii="Cambria Math" w:eastAsiaTheme="minorEastAsia" w:hAnsi="Cambria Math" w:cstheme="minorHAnsi"/>
                  <w:sz w:val="24"/>
                  <w:szCs w:val="24"/>
                  <w:lang w:val="en-US"/>
                </w:rPr>
                <m:t>V</m:t>
              </m:r>
            </m:den>
          </m:f>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-c)</m:t>
          </m:r>
        </m:oMath>
      </m:oMathPara>
    </w:p>
    <w:p w14:paraId="33FEBDD0" w14:textId="77777777" w:rsidR="002C1F33" w:rsidRDefault="002C1F33" w:rsidP="002C1F33">
      <w:pPr>
        <w:spacing w:after="0" w:line="360" w:lineRule="auto"/>
        <w:jc w:val="both"/>
        <w:rPr>
          <w:rFonts w:eastAsiaTheme="minorEastAsia" w:cstheme="minorHAnsi"/>
          <w:sz w:val="24"/>
          <w:szCs w:val="24"/>
          <w:lang w:val="en-US"/>
        </w:rPr>
      </w:pPr>
    </w:p>
    <w:p w14:paraId="4EC49719" w14:textId="3796628A" w:rsidR="002C1F33" w:rsidRPr="00F42715" w:rsidRDefault="002C1F33"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Given this profit function the optimal</w:t>
      </w:r>
      <w:r w:rsidR="00C96114">
        <w:rPr>
          <w:rFonts w:eastAsiaTheme="minorEastAsia" w:cstheme="minorHAnsi"/>
          <w:sz w:val="24"/>
          <w:szCs w:val="24"/>
          <w:lang w:val="en-US"/>
        </w:rPr>
        <w:t xml:space="preserve"> generic</w:t>
      </w:r>
      <w:r>
        <w:rPr>
          <w:rFonts w:eastAsiaTheme="minorEastAsia" w:cstheme="minorHAnsi"/>
          <w:sz w:val="24"/>
          <w:szCs w:val="24"/>
          <w:lang w:val="en-US"/>
        </w:rPr>
        <w:t xml:space="preserve"> price is equal to</w:t>
      </w:r>
      <w:r>
        <w:rPr>
          <w:rStyle w:val="Voetnootmarkering"/>
          <w:rFonts w:eastAsiaTheme="minorEastAsia" w:cstheme="minorHAnsi"/>
          <w:sz w:val="24"/>
          <w:szCs w:val="24"/>
          <w:lang w:val="en-US"/>
        </w:rPr>
        <w:footnoteReference w:id="3"/>
      </w:r>
      <w:r>
        <w:rPr>
          <w:rFonts w:eastAsiaTheme="minorEastAsia" w:cstheme="minorHAnsi"/>
          <w:sz w:val="24"/>
          <w:szCs w:val="24"/>
          <w:lang w:val="en-US"/>
        </w:rPr>
        <w:t>:</w:t>
      </w:r>
    </w:p>
    <w:p w14:paraId="66E57F4F" w14:textId="77777777" w:rsidR="002C1F33" w:rsidRPr="00DC5342" w:rsidRDefault="00EE5DF1" w:rsidP="002C1F33">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oMath>
      </m:oMathPara>
    </w:p>
    <w:p w14:paraId="0D51E2C1" w14:textId="77777777" w:rsidR="002C1F33" w:rsidRDefault="002C1F33" w:rsidP="002C1F33">
      <w:pPr>
        <w:spacing w:after="0" w:line="360" w:lineRule="auto"/>
        <w:jc w:val="both"/>
        <w:rPr>
          <w:rFonts w:eastAsiaTheme="minorEastAsia" w:cstheme="minorHAnsi"/>
          <w:sz w:val="24"/>
          <w:szCs w:val="24"/>
          <w:lang w:val="en-US"/>
        </w:rPr>
      </w:pPr>
    </w:p>
    <w:p w14:paraId="1974AC8E" w14:textId="46BE6CAE" w:rsidR="002C1F33" w:rsidRDefault="002C1F33" w:rsidP="002C1F33">
      <w:pPr>
        <w:spacing w:after="0" w:line="360" w:lineRule="auto"/>
        <w:jc w:val="both"/>
        <w:rPr>
          <w:rFonts w:eastAsiaTheme="minorEastAsia"/>
          <w:sz w:val="24"/>
          <w:szCs w:val="24"/>
          <w:lang w:val="en-US"/>
        </w:rPr>
      </w:pPr>
      <w:r>
        <w:rPr>
          <w:rFonts w:eastAsiaTheme="minorEastAsia" w:cstheme="minorHAnsi"/>
          <w:sz w:val="24"/>
          <w:szCs w:val="24"/>
          <w:lang w:val="en-US"/>
        </w:rPr>
        <w:t xml:space="preserve">The optimal price of the generic firm depends on the price that the brand firm charges. In this way the brand firm acts like a Stackelberg leader. </w:t>
      </w:r>
      <w:r w:rsidRPr="0061470A">
        <w:rPr>
          <w:rFonts w:eastAsiaTheme="minorEastAsia"/>
          <w:sz w:val="24"/>
          <w:szCs w:val="24"/>
          <w:lang w:val="en-US"/>
        </w:rPr>
        <w:t>According to Granier &amp; Trinquard (2010), the brand firm can act as a Stackelberg leader be</w:t>
      </w:r>
      <w:r>
        <w:rPr>
          <w:rFonts w:eastAsiaTheme="minorEastAsia"/>
          <w:sz w:val="24"/>
          <w:szCs w:val="24"/>
          <w:lang w:val="en-US"/>
        </w:rPr>
        <w:t>cause of their brand loyalty. The brand firm can charge a relative high price and still have demand from some consumers, while the generic firm follows with a lower price</w:t>
      </w:r>
      <w:sdt>
        <w:sdtPr>
          <w:rPr>
            <w:rFonts w:eastAsiaTheme="minorEastAsia"/>
            <w:sz w:val="24"/>
            <w:szCs w:val="24"/>
            <w:lang w:val="en-US"/>
          </w:rPr>
          <w:id w:val="-755518328"/>
          <w:citation/>
        </w:sdtPr>
        <w:sdtEndPr/>
        <w:sdtContent>
          <w:r>
            <w:rPr>
              <w:rFonts w:eastAsiaTheme="minorEastAsia"/>
              <w:sz w:val="24"/>
              <w:szCs w:val="24"/>
              <w:lang w:val="en-US"/>
            </w:rPr>
            <w:fldChar w:fldCharType="begin"/>
          </w:r>
          <w:r w:rsidRPr="002D358C">
            <w:rPr>
              <w:rFonts w:eastAsiaTheme="minorEastAsia"/>
              <w:sz w:val="24"/>
              <w:szCs w:val="24"/>
              <w:lang w:val="en-US"/>
            </w:rPr>
            <w:instrText xml:space="preserve"> CITATION Gra10 \l 1043 </w:instrText>
          </w:r>
          <w:r>
            <w:rPr>
              <w:rFonts w:eastAsiaTheme="minorEastAsia"/>
              <w:sz w:val="24"/>
              <w:szCs w:val="24"/>
              <w:lang w:val="en-US"/>
            </w:rPr>
            <w:fldChar w:fldCharType="separate"/>
          </w:r>
          <w:r w:rsidR="00D86665">
            <w:rPr>
              <w:rFonts w:eastAsiaTheme="minorEastAsia"/>
              <w:noProof/>
              <w:sz w:val="24"/>
              <w:szCs w:val="24"/>
              <w:lang w:val="en-US"/>
            </w:rPr>
            <w:t xml:space="preserve"> </w:t>
          </w:r>
          <w:r w:rsidR="00D86665" w:rsidRPr="00D86665">
            <w:rPr>
              <w:rFonts w:eastAsiaTheme="minorEastAsia"/>
              <w:noProof/>
              <w:sz w:val="24"/>
              <w:szCs w:val="24"/>
              <w:lang w:val="en-US"/>
            </w:rPr>
            <w:t>(Granier &amp; Trinquard, 2010)</w:t>
          </w:r>
          <w:r>
            <w:rPr>
              <w:rFonts w:eastAsiaTheme="minorEastAsia"/>
              <w:sz w:val="24"/>
              <w:szCs w:val="24"/>
              <w:lang w:val="en-US"/>
            </w:rPr>
            <w:fldChar w:fldCharType="end"/>
          </w:r>
        </w:sdtContent>
      </w:sdt>
      <w:r>
        <w:rPr>
          <w:rFonts w:eastAsiaTheme="minorEastAsia"/>
          <w:sz w:val="24"/>
          <w:szCs w:val="24"/>
          <w:lang w:val="en-US"/>
        </w:rPr>
        <w:t xml:space="preserve">. </w:t>
      </w:r>
    </w:p>
    <w:p w14:paraId="2C0C7E08" w14:textId="20D8E4EC" w:rsidR="002C1F33" w:rsidRPr="00151A9D" w:rsidRDefault="002C1F33" w:rsidP="002C1F33">
      <w:pPr>
        <w:spacing w:after="0" w:line="360" w:lineRule="auto"/>
        <w:jc w:val="both"/>
        <w:rPr>
          <w:rFonts w:eastAsiaTheme="minorEastAsia" w:cstheme="minorHAnsi"/>
          <w:sz w:val="24"/>
          <w:szCs w:val="24"/>
          <w:lang w:val="en-US"/>
        </w:rPr>
      </w:pPr>
      <w:r>
        <w:rPr>
          <w:rFonts w:eastAsiaTheme="minorEastAsia"/>
          <w:sz w:val="24"/>
          <w:szCs w:val="24"/>
          <w:lang w:val="en-US"/>
        </w:rPr>
        <w:t xml:space="preserve">Kong (2008) argues that the brand firm can act as </w:t>
      </w:r>
      <w:r w:rsidRPr="0061470A">
        <w:rPr>
          <w:rFonts w:eastAsiaTheme="minorEastAsia"/>
          <w:sz w:val="24"/>
          <w:szCs w:val="24"/>
          <w:lang w:val="en-US"/>
        </w:rPr>
        <w:t>a</w:t>
      </w:r>
      <w:r>
        <w:rPr>
          <w:rFonts w:eastAsiaTheme="minorEastAsia"/>
          <w:sz w:val="24"/>
          <w:szCs w:val="24"/>
          <w:lang w:val="en-US"/>
        </w:rPr>
        <w:t xml:space="preserve"> Stackelberg leader because it has a dominant position in the market. The brand firm is the first firm that enters the market and establishes a consumer base build on years of reputation. This makes the firm the market leader and the generic firm will respond to the strategy of the brand firm</w:t>
      </w:r>
      <w:sdt>
        <w:sdtPr>
          <w:rPr>
            <w:rFonts w:eastAsiaTheme="minorEastAsia"/>
            <w:sz w:val="24"/>
            <w:szCs w:val="24"/>
            <w:lang w:val="en-US"/>
          </w:rPr>
          <w:id w:val="1726177889"/>
          <w:citation/>
        </w:sdtPr>
        <w:sdtEndPr/>
        <w:sdtContent>
          <w:r>
            <w:rPr>
              <w:rFonts w:eastAsiaTheme="minorEastAsia"/>
              <w:sz w:val="24"/>
              <w:szCs w:val="24"/>
              <w:lang w:val="en-US"/>
            </w:rPr>
            <w:fldChar w:fldCharType="begin"/>
          </w:r>
          <w:r w:rsidRPr="0028628B">
            <w:rPr>
              <w:rFonts w:eastAsiaTheme="minorEastAsia"/>
              <w:sz w:val="24"/>
              <w:szCs w:val="24"/>
              <w:lang w:val="en-US"/>
            </w:rPr>
            <w:instrText xml:space="preserve"> CITATION Kon09 \l 1043 </w:instrText>
          </w:r>
          <w:r>
            <w:rPr>
              <w:rFonts w:eastAsiaTheme="minorEastAsia"/>
              <w:sz w:val="24"/>
              <w:szCs w:val="24"/>
              <w:lang w:val="en-US"/>
            </w:rPr>
            <w:fldChar w:fldCharType="separate"/>
          </w:r>
          <w:r w:rsidR="00D86665">
            <w:rPr>
              <w:rFonts w:eastAsiaTheme="minorEastAsia"/>
              <w:noProof/>
              <w:sz w:val="24"/>
              <w:szCs w:val="24"/>
              <w:lang w:val="en-US"/>
            </w:rPr>
            <w:t xml:space="preserve"> </w:t>
          </w:r>
          <w:r w:rsidR="00D86665" w:rsidRPr="00D86665">
            <w:rPr>
              <w:rFonts w:eastAsiaTheme="minorEastAsia"/>
              <w:noProof/>
              <w:sz w:val="24"/>
              <w:szCs w:val="24"/>
              <w:lang w:val="en-US"/>
            </w:rPr>
            <w:t>(Kong, 2009)</w:t>
          </w:r>
          <w:r>
            <w:rPr>
              <w:rFonts w:eastAsiaTheme="minorEastAsia"/>
              <w:sz w:val="24"/>
              <w:szCs w:val="24"/>
              <w:lang w:val="en-US"/>
            </w:rPr>
            <w:fldChar w:fldCharType="end"/>
          </w:r>
        </w:sdtContent>
      </w:sdt>
      <w:r>
        <w:rPr>
          <w:rFonts w:eastAsiaTheme="minorEastAsia"/>
          <w:sz w:val="24"/>
          <w:szCs w:val="24"/>
          <w:lang w:val="en-US"/>
        </w:rPr>
        <w:t>. So, the brand firm will act as a Stackelberg leader.</w:t>
      </w:r>
    </w:p>
    <w:p w14:paraId="764BC674" w14:textId="77777777" w:rsidR="002C1F33" w:rsidRPr="00A1340C" w:rsidRDefault="002C1F33" w:rsidP="002C1F33">
      <w:pPr>
        <w:spacing w:after="0" w:line="360" w:lineRule="auto"/>
        <w:jc w:val="both"/>
        <w:rPr>
          <w:rFonts w:eastAsiaTheme="minorEastAsia" w:cstheme="minorHAnsi"/>
          <w:sz w:val="24"/>
          <w:szCs w:val="24"/>
          <w:lang w:val="en-US"/>
        </w:rPr>
      </w:pPr>
    </w:p>
    <w:p w14:paraId="54095044" w14:textId="77777777" w:rsidR="002C1F33" w:rsidRPr="00FC6AC2" w:rsidRDefault="002C1F33" w:rsidP="002C1F33">
      <w:pPr>
        <w:spacing w:after="0" w:line="360" w:lineRule="auto"/>
        <w:jc w:val="both"/>
        <w:rPr>
          <w:rFonts w:eastAsiaTheme="minorEastAsia" w:cstheme="minorHAnsi"/>
          <w:i/>
          <w:sz w:val="24"/>
          <w:szCs w:val="24"/>
          <w:lang w:val="en-US"/>
        </w:rPr>
      </w:pPr>
      <w:r>
        <w:rPr>
          <w:rFonts w:eastAsiaTheme="minorEastAsia" w:cstheme="minorHAnsi"/>
          <w:i/>
          <w:sz w:val="24"/>
          <w:szCs w:val="24"/>
          <w:lang w:val="en-US"/>
        </w:rPr>
        <w:t>Optimal price for the brand firm</w:t>
      </w:r>
    </w:p>
    <w:p w14:paraId="045931EC" w14:textId="77777777" w:rsidR="002C1F33" w:rsidRPr="00365A4E" w:rsidRDefault="002C1F33" w:rsidP="002C1F33">
      <w:pPr>
        <w:spacing w:after="0" w:line="360" w:lineRule="auto"/>
        <w:jc w:val="both"/>
        <w:rPr>
          <w:rFonts w:eastAsiaTheme="minorEastAsia" w:cstheme="minorHAnsi"/>
          <w:sz w:val="24"/>
          <w:szCs w:val="24"/>
          <w:lang w:val="en-US"/>
        </w:rPr>
      </w:pPr>
      <w:r w:rsidRPr="00A1340C">
        <w:rPr>
          <w:rFonts w:eastAsiaTheme="minorEastAsia" w:cstheme="minorHAnsi"/>
          <w:sz w:val="24"/>
          <w:szCs w:val="24"/>
          <w:lang w:val="en-US"/>
        </w:rPr>
        <w:t>The brand firm can determine its optimal price, knowing the opti</w:t>
      </w:r>
      <w:r>
        <w:rPr>
          <w:rFonts w:eastAsiaTheme="minorEastAsia" w:cstheme="minorHAnsi"/>
          <w:sz w:val="24"/>
          <w:szCs w:val="24"/>
          <w:lang w:val="en-US"/>
        </w:rPr>
        <w:t xml:space="preserve">mal price of the generic firms. </w:t>
      </w:r>
      <w:r w:rsidRPr="00A1340C">
        <w:rPr>
          <w:rFonts w:eastAsiaTheme="minorEastAsia" w:cstheme="minorHAnsi"/>
          <w:sz w:val="24"/>
          <w:szCs w:val="24"/>
          <w:lang w:val="en-US"/>
        </w:rPr>
        <w:t xml:space="preserve">The profit function of the brand firm is </w:t>
      </w:r>
      <w:r>
        <w:rPr>
          <w:rFonts w:eastAsiaTheme="minorEastAsia" w:cstheme="minorHAnsi"/>
          <w:sz w:val="24"/>
          <w:szCs w:val="24"/>
          <w:lang w:val="en-US"/>
        </w:rPr>
        <w:t xml:space="preserve">also </w:t>
      </w:r>
      <w:r w:rsidRPr="00A1340C">
        <w:rPr>
          <w:rFonts w:eastAsiaTheme="minorEastAsia" w:cstheme="minorHAnsi"/>
          <w:sz w:val="24"/>
          <w:szCs w:val="24"/>
          <w:lang w:val="en-US"/>
        </w:rPr>
        <w:t xml:space="preserve">equal to its market share times the marginal profit. </w:t>
      </w:r>
      <w:r w:rsidRPr="00012929">
        <w:rPr>
          <w:rFonts w:eastAsiaTheme="minorEastAsia" w:cstheme="minorHAnsi"/>
          <w:sz w:val="24"/>
          <w:szCs w:val="24"/>
          <w:lang w:val="en-US"/>
        </w:rPr>
        <w:t>This is as follows:</w:t>
      </w:r>
      <w:r w:rsidRPr="00365A4E">
        <w:rPr>
          <w:rFonts w:eastAsiaTheme="minorEastAsia" w:cstheme="minorHAnsi"/>
          <w:sz w:val="24"/>
          <w:szCs w:val="24"/>
          <w:lang w:val="en-US"/>
        </w:rPr>
        <w:t xml:space="preserve"> </w:t>
      </w:r>
    </w:p>
    <w:bookmarkStart w:id="11" w:name="_Hlk13484883"/>
    <w:p w14:paraId="6CDCEFD1" w14:textId="77777777" w:rsidR="002C1F33" w:rsidRPr="00F42715" w:rsidRDefault="00EE5DF1" w:rsidP="002C1F33">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oMath>
      </m:oMathPara>
    </w:p>
    <w:p w14:paraId="72E910E5" w14:textId="77777777" w:rsidR="002C1F33" w:rsidRDefault="002C1F33" w:rsidP="002C1F33">
      <w:pPr>
        <w:spacing w:after="0" w:line="360" w:lineRule="auto"/>
        <w:jc w:val="both"/>
        <w:rPr>
          <w:rFonts w:eastAsiaTheme="minorEastAsia" w:cstheme="minorHAnsi"/>
          <w:sz w:val="24"/>
          <w:szCs w:val="24"/>
        </w:rPr>
      </w:pPr>
    </w:p>
    <w:p w14:paraId="723A17A6" w14:textId="77777777" w:rsidR="002C1F33" w:rsidRPr="00F42715" w:rsidRDefault="002C1F33"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Knowing the optimal price of the generic firm, t</w:t>
      </w:r>
      <w:r w:rsidRPr="00F42715">
        <w:rPr>
          <w:rFonts w:eastAsiaTheme="minorEastAsia" w:cstheme="minorHAnsi"/>
          <w:sz w:val="24"/>
          <w:szCs w:val="24"/>
          <w:lang w:val="en-US"/>
        </w:rPr>
        <w:t>his can be rewritten to:</w:t>
      </w:r>
    </w:p>
    <w:p w14:paraId="39AA4240" w14:textId="77777777" w:rsidR="002C1F33" w:rsidRPr="00F42715" w:rsidRDefault="00EE5DF1" w:rsidP="002C1F33">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oMath>
      </m:oMathPara>
    </w:p>
    <w:bookmarkEnd w:id="11"/>
    <w:p w14:paraId="53BC7055" w14:textId="77777777" w:rsidR="002C1F33" w:rsidRDefault="002C1F33" w:rsidP="002C1F33">
      <w:pPr>
        <w:spacing w:after="0" w:line="360" w:lineRule="auto"/>
        <w:jc w:val="both"/>
        <w:rPr>
          <w:rFonts w:eastAsiaTheme="minorEastAsia" w:cstheme="minorHAnsi"/>
          <w:sz w:val="24"/>
          <w:szCs w:val="24"/>
          <w:lang w:val="en-US"/>
        </w:rPr>
      </w:pPr>
    </w:p>
    <w:p w14:paraId="7F2E59F9" w14:textId="77777777" w:rsidR="002C1F33" w:rsidRDefault="002C1F33" w:rsidP="002C1F33">
      <w:pPr>
        <w:spacing w:after="0" w:line="360" w:lineRule="auto"/>
        <w:jc w:val="both"/>
        <w:rPr>
          <w:rFonts w:eastAsiaTheme="minorEastAsia" w:cstheme="minorHAnsi"/>
          <w:sz w:val="24"/>
          <w:szCs w:val="24"/>
          <w:lang w:val="en-US"/>
        </w:rPr>
      </w:pPr>
      <w:r w:rsidRPr="00F42715">
        <w:rPr>
          <w:rFonts w:eastAsiaTheme="minorEastAsia" w:cstheme="minorHAnsi"/>
          <w:sz w:val="24"/>
          <w:szCs w:val="24"/>
          <w:lang w:val="en-US"/>
        </w:rPr>
        <w:t xml:space="preserve">The best response of the generic firm can be implemented in the </w:t>
      </w:r>
      <w:r>
        <w:rPr>
          <w:rFonts w:eastAsiaTheme="minorEastAsia" w:cstheme="minorHAnsi"/>
          <w:sz w:val="24"/>
          <w:szCs w:val="24"/>
          <w:lang w:val="en-US"/>
        </w:rPr>
        <w:t>profit function before maximalization</w:t>
      </w:r>
      <w:r w:rsidRPr="00F42715">
        <w:rPr>
          <w:rFonts w:eastAsiaTheme="minorEastAsia" w:cstheme="minorHAnsi"/>
          <w:sz w:val="24"/>
          <w:szCs w:val="24"/>
          <w:lang w:val="en-US"/>
        </w:rPr>
        <w:t xml:space="preserve"> because the brand firm can influence the op</w:t>
      </w:r>
      <w:r>
        <w:rPr>
          <w:rFonts w:eastAsiaTheme="minorEastAsia" w:cstheme="minorHAnsi"/>
          <w:sz w:val="24"/>
          <w:szCs w:val="24"/>
          <w:lang w:val="en-US"/>
        </w:rPr>
        <w:t>timal price of the generic firm. The optimal price of the brand firm is in this case equal to</w:t>
      </w:r>
      <w:r>
        <w:rPr>
          <w:rStyle w:val="Voetnootmarkering"/>
          <w:rFonts w:eastAsiaTheme="minorEastAsia" w:cstheme="minorHAnsi"/>
          <w:sz w:val="24"/>
          <w:szCs w:val="24"/>
          <w:lang w:val="en-US"/>
        </w:rPr>
        <w:footnoteReference w:id="4"/>
      </w:r>
      <w:r>
        <w:rPr>
          <w:rFonts w:eastAsiaTheme="minorEastAsia" w:cstheme="minorHAnsi"/>
          <w:sz w:val="24"/>
          <w:szCs w:val="24"/>
          <w:lang w:val="en-US"/>
        </w:rPr>
        <w:t>:</w:t>
      </w:r>
    </w:p>
    <w:p w14:paraId="303E9148" w14:textId="77777777" w:rsidR="002C1F33" w:rsidRPr="009C3DFA" w:rsidRDefault="00EE5DF1" w:rsidP="002C1F33">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=V+c</m:t>
          </m:r>
        </m:oMath>
      </m:oMathPara>
    </w:p>
    <w:p w14:paraId="6B583951" w14:textId="77777777" w:rsidR="002C1F33" w:rsidRDefault="002C1F33" w:rsidP="002C1F33">
      <w:pPr>
        <w:spacing w:after="0" w:line="360" w:lineRule="auto"/>
        <w:jc w:val="both"/>
        <w:rPr>
          <w:rFonts w:eastAsiaTheme="minorEastAsia" w:cstheme="minorHAnsi"/>
          <w:sz w:val="24"/>
          <w:szCs w:val="24"/>
          <w:lang w:val="en-US"/>
        </w:rPr>
      </w:pPr>
    </w:p>
    <w:p w14:paraId="329BC12D" w14:textId="4412DA26" w:rsidR="002C1F33" w:rsidRDefault="002C1F33"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However, this price is above the maximum willingness to pay of the consumers. The price is now higher than the valuation of the consumers which leads to no demand for the brand firm. Because of the restriction </w:t>
      </w:r>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≤V</m:t>
        </m:r>
      </m:oMath>
      <w:r w:rsidR="00C96114">
        <w:rPr>
          <w:rFonts w:eastAsiaTheme="minorEastAsia" w:cstheme="minorHAnsi"/>
          <w:sz w:val="24"/>
          <w:szCs w:val="24"/>
          <w:lang w:val="en-US"/>
        </w:rPr>
        <w:t>,</w:t>
      </w:r>
      <w:r>
        <w:rPr>
          <w:rFonts w:eastAsiaTheme="minorEastAsia" w:cstheme="minorHAnsi"/>
          <w:sz w:val="24"/>
          <w:szCs w:val="24"/>
          <w:lang w:val="en-US"/>
        </w:rPr>
        <w:t xml:space="preserve"> the optimal price for the brand firm is in this case the highest price possible </w:t>
      </w:r>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=V</m:t>
        </m:r>
      </m:oMath>
      <w:r>
        <w:rPr>
          <w:rFonts w:eastAsiaTheme="minorEastAsia" w:cstheme="minorHAnsi"/>
          <w:sz w:val="24"/>
          <w:szCs w:val="24"/>
          <w:lang w:val="en-US"/>
        </w:rPr>
        <w:t xml:space="preserve">. The brand firm can now ask the highest price possible and still exist in the market. This is possibly an unintended consequence of the Hatch-Waxman Act. This act made it easier for generic drug firms to enter the market. However, this results in more uncertainty about the generic drug by consumers. So, the Hatch-Waxman Act stimulates more generic entry, but also causes a lower value </w:t>
      </w:r>
      <m:oMath>
        <m:r>
          <w:rPr>
            <w:rFonts w:ascii="Cambria Math" w:eastAsiaTheme="minorEastAsia" w:hAnsi="Cambria Math" w:cstheme="minorHAnsi"/>
            <w:sz w:val="24"/>
            <w:szCs w:val="24"/>
            <w:lang w:val="en-US"/>
          </w:rPr>
          <m:t>ϑ</m:t>
        </m:r>
      </m:oMath>
      <w:r>
        <w:rPr>
          <w:rFonts w:eastAsiaTheme="minorEastAsia" w:cstheme="minorHAnsi"/>
          <w:sz w:val="24"/>
          <w:szCs w:val="24"/>
          <w:lang w:val="en-US"/>
        </w:rPr>
        <w:t xml:space="preserve"> for consumers by d</w:t>
      </w:r>
      <w:r w:rsidR="00C96114">
        <w:rPr>
          <w:rFonts w:eastAsiaTheme="minorEastAsia" w:cstheme="minorHAnsi"/>
          <w:sz w:val="24"/>
          <w:szCs w:val="24"/>
          <w:lang w:val="en-US"/>
        </w:rPr>
        <w:t>oing so. The brand firm can therefore</w:t>
      </w:r>
      <w:r>
        <w:rPr>
          <w:rFonts w:eastAsiaTheme="minorEastAsia" w:cstheme="minorHAnsi"/>
          <w:sz w:val="24"/>
          <w:szCs w:val="24"/>
          <w:lang w:val="en-US"/>
        </w:rPr>
        <w:t xml:space="preserve"> ask a higher price when the first generic drug firm enters the market. In this case even the highest price possible!</w:t>
      </w:r>
    </w:p>
    <w:p w14:paraId="1C4EB2CB" w14:textId="77777777" w:rsidR="002C1F33" w:rsidRDefault="002C1F33" w:rsidP="002C1F33">
      <w:pPr>
        <w:spacing w:after="0" w:line="360" w:lineRule="auto"/>
        <w:jc w:val="both"/>
        <w:rPr>
          <w:rFonts w:eastAsiaTheme="minorEastAsia" w:cstheme="minorHAnsi"/>
          <w:sz w:val="24"/>
          <w:szCs w:val="24"/>
          <w:lang w:val="en-US"/>
        </w:rPr>
      </w:pPr>
    </w:p>
    <w:p w14:paraId="122DC840" w14:textId="77777777" w:rsidR="002C1F33" w:rsidRDefault="002C1F33"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Knowing this, the optimal price for the generic drug is equal to: </w:t>
      </w:r>
    </w:p>
    <w:p w14:paraId="01680310" w14:textId="77777777" w:rsidR="002C1F33" w:rsidRPr="002C1F33" w:rsidRDefault="00EE5DF1" w:rsidP="002C1F33">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V+c</m:t>
              </m:r>
            </m:num>
            <m:den>
              <m:r>
                <w:rPr>
                  <w:rFonts w:ascii="Cambria Math" w:eastAsiaTheme="minorEastAsia" w:hAnsi="Cambria Math" w:cstheme="minorHAnsi"/>
                  <w:sz w:val="24"/>
                  <w:szCs w:val="24"/>
                  <w:lang w:val="en-US"/>
                </w:rPr>
                <m:t>2</m:t>
              </m:r>
            </m:den>
          </m:f>
        </m:oMath>
      </m:oMathPara>
    </w:p>
    <w:p w14:paraId="0E4A3F0D" w14:textId="77777777" w:rsidR="002C1F33" w:rsidRDefault="002C1F33" w:rsidP="002C1F33">
      <w:pPr>
        <w:spacing w:after="0" w:line="360" w:lineRule="auto"/>
        <w:jc w:val="both"/>
        <w:rPr>
          <w:rFonts w:eastAsiaTheme="minorEastAsia" w:cstheme="minorHAnsi"/>
          <w:sz w:val="24"/>
          <w:szCs w:val="24"/>
          <w:lang w:val="en-US"/>
        </w:rPr>
      </w:pPr>
    </w:p>
    <w:p w14:paraId="51619F14" w14:textId="0AACD481" w:rsidR="002C1F33" w:rsidRDefault="002C1F33"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The profit of the brand and generic firm are in this case equal to</w:t>
      </w:r>
      <w:r>
        <w:rPr>
          <w:rStyle w:val="Voetnootmarkering"/>
          <w:rFonts w:eastAsiaTheme="minorEastAsia" w:cstheme="minorHAnsi"/>
          <w:sz w:val="24"/>
          <w:szCs w:val="24"/>
          <w:lang w:val="en-US"/>
        </w:rPr>
        <w:footnoteReference w:id="5"/>
      </w:r>
      <w:r>
        <w:rPr>
          <w:rFonts w:eastAsiaTheme="minorEastAsia" w:cstheme="minorHAnsi"/>
          <w:sz w:val="24"/>
          <w:szCs w:val="24"/>
          <w:lang w:val="en-US"/>
        </w:rPr>
        <w:t xml:space="preserve">: </w:t>
      </w:r>
    </w:p>
    <w:p w14:paraId="23611AE1" w14:textId="5A221411" w:rsidR="0010325C" w:rsidRPr="0010325C" w:rsidRDefault="00EE5DF1" w:rsidP="002C1F33">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V</m:t>
                  </m:r>
                </m:e>
                <m:sup>
                  <m:r>
                    <w:rPr>
                      <w:rFonts w:ascii="Cambria Math" w:eastAsiaTheme="minorEastAsia" w:hAnsi="Cambria Math" w:cstheme="minorHAnsi"/>
                      <w:sz w:val="24"/>
                      <w:szCs w:val="24"/>
                      <w:lang w:val="en-US"/>
                    </w:rPr>
                    <m:t>2</m:t>
                  </m:r>
                </m:sup>
              </m:sSup>
              <m:r>
                <w:rPr>
                  <w:rFonts w:ascii="Cambria Math" w:eastAsiaTheme="minorEastAsia" w:hAnsi="Cambria Math" w:cstheme="minorHAnsi"/>
                  <w:sz w:val="24"/>
                  <w:szCs w:val="24"/>
                  <w:lang w:val="en-US"/>
                </w:rPr>
                <m:t>-</m:t>
              </m:r>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c</m:t>
                  </m:r>
                </m:e>
                <m:sup>
                  <m:r>
                    <w:rPr>
                      <w:rFonts w:ascii="Cambria Math" w:eastAsiaTheme="minorEastAsia" w:hAnsi="Cambria Math" w:cstheme="minorHAnsi"/>
                      <w:sz w:val="24"/>
                      <w:szCs w:val="24"/>
                      <w:lang w:val="en-US"/>
                    </w:rPr>
                    <m:t>2</m:t>
                  </m:r>
                </m:sup>
              </m:sSup>
            </m:num>
            <m:den>
              <m:r>
                <w:rPr>
                  <w:rFonts w:ascii="Cambria Math" w:eastAsiaTheme="minorEastAsia" w:hAnsi="Cambria Math" w:cstheme="minorHAnsi"/>
                  <w:sz w:val="24"/>
                  <w:szCs w:val="24"/>
                  <w:lang w:val="en-US"/>
                </w:rPr>
                <m:t>2V</m:t>
              </m:r>
            </m:den>
          </m:f>
        </m:oMath>
      </m:oMathPara>
    </w:p>
    <w:p w14:paraId="6868B720" w14:textId="3B7C64BC" w:rsidR="0010325C" w:rsidRPr="0010325C" w:rsidRDefault="00EE5DF1" w:rsidP="002C1F33">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V</m:t>
                  </m:r>
                </m:e>
                <m:sup>
                  <m:r>
                    <w:rPr>
                      <w:rFonts w:ascii="Cambria Math" w:eastAsiaTheme="minorEastAsia" w:hAnsi="Cambria Math" w:cstheme="minorHAnsi"/>
                      <w:sz w:val="24"/>
                      <w:szCs w:val="24"/>
                      <w:lang w:val="en-US"/>
                    </w:rPr>
                    <m:t>2</m:t>
                  </m:r>
                </m:sup>
              </m:sSup>
              <m:r>
                <w:rPr>
                  <w:rFonts w:ascii="Cambria Math" w:eastAsiaTheme="minorEastAsia" w:hAnsi="Cambria Math" w:cstheme="minorHAnsi"/>
                  <w:sz w:val="24"/>
                  <w:szCs w:val="24"/>
                  <w:lang w:val="en-US"/>
                </w:rPr>
                <m:t>-</m:t>
              </m:r>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c</m:t>
                  </m:r>
                </m:e>
                <m:sup>
                  <m:r>
                    <w:rPr>
                      <w:rFonts w:ascii="Cambria Math" w:eastAsiaTheme="minorEastAsia" w:hAnsi="Cambria Math" w:cstheme="minorHAnsi"/>
                      <w:sz w:val="24"/>
                      <w:szCs w:val="24"/>
                      <w:lang w:val="en-US"/>
                    </w:rPr>
                    <m:t>2</m:t>
                  </m:r>
                </m:sup>
              </m:sSup>
            </m:num>
            <m:den>
              <m:r>
                <w:rPr>
                  <w:rFonts w:ascii="Cambria Math" w:eastAsiaTheme="minorEastAsia" w:hAnsi="Cambria Math" w:cstheme="minorHAnsi"/>
                  <w:sz w:val="24"/>
                  <w:szCs w:val="24"/>
                  <w:lang w:val="en-US"/>
                </w:rPr>
                <m:t>4V</m:t>
              </m:r>
            </m:den>
          </m:f>
        </m:oMath>
      </m:oMathPara>
    </w:p>
    <w:p w14:paraId="26362790" w14:textId="7AE532BB" w:rsidR="0010325C" w:rsidRPr="00DC5342" w:rsidRDefault="0010325C"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The profit of the brand firm is in this case twice as high as the profit of the generic firm. This means the high brand drug price does not stop consumers </w:t>
      </w:r>
      <w:r w:rsidR="00C96114">
        <w:rPr>
          <w:rFonts w:eastAsiaTheme="minorEastAsia" w:cstheme="minorHAnsi"/>
          <w:sz w:val="24"/>
          <w:szCs w:val="24"/>
          <w:lang w:val="en-US"/>
        </w:rPr>
        <w:t>from buying</w:t>
      </w:r>
      <w:r>
        <w:rPr>
          <w:rFonts w:eastAsiaTheme="minorEastAsia" w:cstheme="minorHAnsi"/>
          <w:sz w:val="24"/>
          <w:szCs w:val="24"/>
          <w:lang w:val="en-US"/>
        </w:rPr>
        <w:t xml:space="preserve"> this drug. </w:t>
      </w:r>
      <w:r w:rsidR="00D01507">
        <w:rPr>
          <w:rFonts w:eastAsiaTheme="minorEastAsia" w:cstheme="minorHAnsi"/>
          <w:sz w:val="24"/>
          <w:szCs w:val="24"/>
          <w:lang w:val="en-US"/>
        </w:rPr>
        <w:t xml:space="preserve">Probably, not all consumers are convinced of the safety of the generic drug. The Hatch-Waxman Act </w:t>
      </w:r>
      <w:r w:rsidR="00D01507">
        <w:rPr>
          <w:rFonts w:eastAsiaTheme="minorEastAsia" w:cstheme="minorHAnsi"/>
          <w:sz w:val="24"/>
          <w:szCs w:val="24"/>
          <w:lang w:val="en-US"/>
        </w:rPr>
        <w:lastRenderedPageBreak/>
        <w:t>caused this skepticism by making it easier for generic drugs to sell their drugs</w:t>
      </w:r>
      <w:r w:rsidR="00DB22A1">
        <w:rPr>
          <w:rFonts w:eastAsiaTheme="minorEastAsia" w:cstheme="minorHAnsi"/>
          <w:sz w:val="24"/>
          <w:szCs w:val="24"/>
          <w:lang w:val="en-US"/>
        </w:rPr>
        <w:t xml:space="preserve">; the Hatch-Waxman Act lowered the value of </w:t>
      </w:r>
      <m:oMath>
        <m:r>
          <w:rPr>
            <w:rFonts w:ascii="Cambria Math" w:eastAsiaTheme="minorEastAsia" w:hAnsi="Cambria Math" w:cstheme="minorHAnsi"/>
            <w:sz w:val="24"/>
            <w:szCs w:val="24"/>
            <w:lang w:val="en-US"/>
          </w:rPr>
          <m:t>ϑ</m:t>
        </m:r>
      </m:oMath>
      <w:r w:rsidR="00DB22A1">
        <w:rPr>
          <w:rFonts w:eastAsiaTheme="minorEastAsia" w:cstheme="minorHAnsi"/>
          <w:sz w:val="24"/>
          <w:szCs w:val="24"/>
          <w:lang w:val="en-US"/>
        </w:rPr>
        <w:t xml:space="preserve"> of consumers</w:t>
      </w:r>
      <w:r w:rsidR="00D01507">
        <w:rPr>
          <w:rFonts w:eastAsiaTheme="minorEastAsia" w:cstheme="minorHAnsi"/>
          <w:sz w:val="24"/>
          <w:szCs w:val="24"/>
          <w:lang w:val="en-US"/>
        </w:rPr>
        <w:t xml:space="preserve">. Only one generic drug firm is in the market which means generic drugs are not well known by consumers. Possible </w:t>
      </w:r>
      <w:r w:rsidR="00DB22A1">
        <w:rPr>
          <w:rFonts w:eastAsiaTheme="minorEastAsia" w:cstheme="minorHAnsi"/>
          <w:sz w:val="24"/>
          <w:szCs w:val="24"/>
          <w:lang w:val="en-US"/>
        </w:rPr>
        <w:t xml:space="preserve">side effects are unperceived, so some consumers will choose the safer option and buy the brand drug. </w:t>
      </w:r>
    </w:p>
    <w:p w14:paraId="2920A0F0" w14:textId="77777777" w:rsidR="002C1F33" w:rsidRPr="00F42715" w:rsidRDefault="002C1F33" w:rsidP="002C1F33">
      <w:pPr>
        <w:spacing w:after="0" w:line="360" w:lineRule="auto"/>
        <w:jc w:val="both"/>
        <w:rPr>
          <w:rFonts w:eastAsiaTheme="minorEastAsia" w:cstheme="minorHAnsi"/>
          <w:sz w:val="24"/>
          <w:szCs w:val="24"/>
          <w:lang w:val="en-US"/>
        </w:rPr>
      </w:pPr>
    </w:p>
    <w:p w14:paraId="63CAF119" w14:textId="6D9F7145" w:rsidR="002C1F33" w:rsidRPr="00F42715" w:rsidRDefault="001E304F" w:rsidP="002C1F33">
      <w:pPr>
        <w:pStyle w:val="Kop3"/>
        <w:spacing w:before="0" w:line="360" w:lineRule="auto"/>
        <w:rPr>
          <w:rFonts w:eastAsiaTheme="minorEastAsia"/>
          <w:b/>
          <w:color w:val="auto"/>
          <w:lang w:val="en-US"/>
        </w:rPr>
      </w:pPr>
      <w:bookmarkStart w:id="12" w:name="_Toc14787846"/>
      <w:r>
        <w:rPr>
          <w:rFonts w:eastAsiaTheme="minorEastAsia"/>
          <w:b/>
          <w:color w:val="auto"/>
          <w:lang w:val="en-US"/>
        </w:rPr>
        <w:t>3</w:t>
      </w:r>
      <w:r w:rsidR="002C1F33" w:rsidRPr="00F42715">
        <w:rPr>
          <w:rFonts w:eastAsiaTheme="minorEastAsia"/>
          <w:b/>
          <w:color w:val="auto"/>
          <w:lang w:val="en-US"/>
        </w:rPr>
        <w:t>.2.2 One brand firm and two generic firms</w:t>
      </w:r>
      <w:bookmarkEnd w:id="12"/>
    </w:p>
    <w:p w14:paraId="6DEB4FDF" w14:textId="77777777" w:rsidR="00DC1D3E" w:rsidRDefault="004554FD"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The</w:t>
      </w:r>
      <w:r w:rsidR="002C1F33" w:rsidRPr="00A1340C">
        <w:rPr>
          <w:rFonts w:eastAsiaTheme="minorEastAsia" w:cstheme="minorHAnsi"/>
          <w:sz w:val="24"/>
          <w:szCs w:val="24"/>
          <w:lang w:val="en-US"/>
        </w:rPr>
        <w:t xml:space="preserve"> pharmaceutical market </w:t>
      </w:r>
      <w:r>
        <w:rPr>
          <w:rFonts w:eastAsiaTheme="minorEastAsia" w:cstheme="minorHAnsi"/>
          <w:sz w:val="24"/>
          <w:szCs w:val="24"/>
          <w:lang w:val="en-US"/>
        </w:rPr>
        <w:t xml:space="preserve">is a continuum of consumers with different levels of risk aversity. For simplicity, this thesis distinguishes between </w:t>
      </w:r>
      <w:r w:rsidR="002C1F33">
        <w:rPr>
          <w:rFonts w:eastAsiaTheme="minorEastAsia" w:cstheme="minorHAnsi"/>
          <w:sz w:val="24"/>
          <w:szCs w:val="24"/>
          <w:lang w:val="en-US"/>
        </w:rPr>
        <w:t>consumers with a low value for</w:t>
      </w:r>
      <w:r w:rsidR="002C1F33" w:rsidRPr="00A1340C">
        <w:rPr>
          <w:rFonts w:eastAsiaTheme="minorEastAsia" w:cstheme="minorHAnsi"/>
          <w:sz w:val="24"/>
          <w:szCs w:val="24"/>
          <w:lang w:val="en-US"/>
        </w:rPr>
        <w:t xml:space="preserve"> </w:t>
      </w:r>
      <m:oMath>
        <m:r>
          <w:rPr>
            <w:rFonts w:ascii="Cambria Math" w:eastAsiaTheme="minorEastAsia" w:hAnsi="Cambria Math" w:cstheme="minorHAnsi"/>
            <w:sz w:val="24"/>
            <w:szCs w:val="24"/>
            <w:lang w:val="en-US"/>
          </w:rPr>
          <m:t>ϑ</m:t>
        </m:r>
      </m:oMath>
      <w:r w:rsidR="002C1F33" w:rsidRPr="00A1340C">
        <w:rPr>
          <w:rFonts w:eastAsiaTheme="minorEastAsia" w:cstheme="minorHAnsi"/>
          <w:sz w:val="24"/>
          <w:szCs w:val="24"/>
          <w:lang w:val="en-US"/>
        </w:rPr>
        <w:t xml:space="preserve"> </w:t>
      </w:r>
      <w:r w:rsidR="002C1F33">
        <w:rPr>
          <w:rFonts w:eastAsiaTheme="minorEastAsia" w:cstheme="minorHAnsi"/>
          <w:sz w:val="24"/>
          <w:szCs w:val="24"/>
          <w:lang w:val="en-US"/>
        </w:rPr>
        <w:t xml:space="preserve">and consumers with a high value for </w:t>
      </w:r>
      <m:oMath>
        <m:r>
          <w:rPr>
            <w:rFonts w:ascii="Cambria Math" w:eastAsiaTheme="minorEastAsia" w:hAnsi="Cambria Math" w:cstheme="minorHAnsi"/>
            <w:sz w:val="24"/>
            <w:szCs w:val="24"/>
            <w:lang w:val="en-US"/>
          </w:rPr>
          <m:t>ϑ</m:t>
        </m:r>
      </m:oMath>
      <w:r w:rsidR="002C1F33">
        <w:rPr>
          <w:rFonts w:eastAsiaTheme="minorEastAsia" w:cstheme="minorHAnsi"/>
          <w:sz w:val="24"/>
          <w:szCs w:val="24"/>
          <w:lang w:val="en-US"/>
        </w:rPr>
        <w:t xml:space="preserve">. </w:t>
      </w:r>
      <w:r w:rsidR="002C1F33" w:rsidRPr="00A1340C">
        <w:rPr>
          <w:rFonts w:eastAsiaTheme="minorEastAsia" w:cstheme="minorHAnsi"/>
          <w:sz w:val="24"/>
          <w:szCs w:val="24"/>
          <w:lang w:val="en-US"/>
        </w:rPr>
        <w:t xml:space="preserve">The brand drug firm can serve both consumers when he is the only one on the market, because consumers do not have another option. </w:t>
      </w:r>
    </w:p>
    <w:p w14:paraId="7B904B15" w14:textId="2E0416CC" w:rsidR="002C1F33" w:rsidRPr="00A1340C" w:rsidRDefault="002C1F33" w:rsidP="002C1F33">
      <w:pPr>
        <w:spacing w:after="0" w:line="360" w:lineRule="auto"/>
        <w:jc w:val="both"/>
        <w:rPr>
          <w:rFonts w:eastAsiaTheme="minorEastAsia" w:cstheme="minorHAnsi"/>
          <w:sz w:val="24"/>
          <w:szCs w:val="24"/>
          <w:lang w:val="en-US"/>
        </w:rPr>
      </w:pPr>
      <w:r w:rsidRPr="00A1340C">
        <w:rPr>
          <w:rFonts w:eastAsiaTheme="minorEastAsia" w:cstheme="minorHAnsi"/>
          <w:sz w:val="24"/>
          <w:szCs w:val="24"/>
          <w:lang w:val="en-US"/>
        </w:rPr>
        <w:t xml:space="preserve">When a generic firm enters the market, the price of the generic firm is lower compared to the brand drug price. This means the generic firm focuses on the </w:t>
      </w:r>
      <w:r>
        <w:rPr>
          <w:rFonts w:eastAsiaTheme="minorEastAsia" w:cstheme="minorHAnsi"/>
          <w:sz w:val="24"/>
          <w:szCs w:val="24"/>
          <w:lang w:val="en-US"/>
        </w:rPr>
        <w:t xml:space="preserve">consumers with a high </w:t>
      </w:r>
      <m:oMath>
        <m:r>
          <w:rPr>
            <w:rFonts w:ascii="Cambria Math" w:eastAsiaTheme="minorEastAsia" w:hAnsi="Cambria Math" w:cstheme="minorHAnsi"/>
            <w:sz w:val="24"/>
            <w:szCs w:val="24"/>
            <w:lang w:val="en-US"/>
          </w:rPr>
          <m:t>ϑ</m:t>
        </m:r>
      </m:oMath>
      <w:r>
        <w:rPr>
          <w:rFonts w:eastAsiaTheme="minorEastAsia" w:cstheme="minorHAnsi"/>
          <w:sz w:val="24"/>
          <w:szCs w:val="24"/>
          <w:lang w:val="en-US"/>
        </w:rPr>
        <w:t>, because these consumers value the generic drug more equal to the generic drug than the other consumers</w:t>
      </w:r>
      <w:r w:rsidRPr="00A1340C">
        <w:rPr>
          <w:rFonts w:eastAsiaTheme="minorEastAsia" w:cstheme="minorHAnsi"/>
          <w:sz w:val="24"/>
          <w:szCs w:val="24"/>
          <w:lang w:val="en-US"/>
        </w:rPr>
        <w:t xml:space="preserve">. When multiple generic firms enter the market they all compete in this part of the pharmaceutical market. </w:t>
      </w:r>
    </w:p>
    <w:p w14:paraId="699D6042" w14:textId="7833D687" w:rsidR="002C1F33" w:rsidRPr="00A1340C" w:rsidRDefault="002C1F33" w:rsidP="002C1F33">
      <w:pPr>
        <w:spacing w:after="0" w:line="360" w:lineRule="auto"/>
        <w:jc w:val="both"/>
        <w:rPr>
          <w:rFonts w:eastAsiaTheme="minorEastAsia" w:cstheme="minorHAnsi"/>
          <w:sz w:val="24"/>
          <w:szCs w:val="24"/>
          <w:lang w:val="en-US"/>
        </w:rPr>
      </w:pPr>
      <w:r w:rsidRPr="00A1340C">
        <w:rPr>
          <w:rFonts w:eastAsiaTheme="minorEastAsia" w:cstheme="minorHAnsi"/>
          <w:sz w:val="24"/>
          <w:szCs w:val="24"/>
          <w:lang w:val="en-US"/>
        </w:rPr>
        <w:t>The brand firm can choose to also lower its price and compete with the generic firms for the complete market. Data on the prices of brand firms shows that this does not happen. Brand firms focus on the consumers</w:t>
      </w:r>
      <w:r>
        <w:rPr>
          <w:rFonts w:eastAsiaTheme="minorEastAsia" w:cstheme="minorHAnsi"/>
          <w:sz w:val="24"/>
          <w:szCs w:val="24"/>
          <w:lang w:val="en-US"/>
        </w:rPr>
        <w:t xml:space="preserve"> with a low </w:t>
      </w:r>
      <m:oMath>
        <m:r>
          <w:rPr>
            <w:rFonts w:ascii="Cambria Math" w:eastAsiaTheme="minorEastAsia" w:hAnsi="Cambria Math" w:cstheme="minorHAnsi"/>
            <w:sz w:val="24"/>
            <w:szCs w:val="24"/>
            <w:lang w:val="en-US"/>
          </w:rPr>
          <m:t>ϑ</m:t>
        </m:r>
      </m:oMath>
      <w:r w:rsidRPr="00A1340C">
        <w:rPr>
          <w:rFonts w:eastAsiaTheme="minorEastAsia" w:cstheme="minorHAnsi"/>
          <w:sz w:val="24"/>
          <w:szCs w:val="24"/>
          <w:lang w:val="en-US"/>
        </w:rPr>
        <w:t xml:space="preserve"> which leads to higher prices of the brand firms</w:t>
      </w:r>
      <w:r w:rsidRPr="0028628B">
        <w:rPr>
          <w:rFonts w:eastAsiaTheme="minorEastAsia" w:cstheme="minorHAnsi"/>
          <w:sz w:val="24"/>
          <w:szCs w:val="24"/>
          <w:lang w:val="en-US"/>
        </w:rPr>
        <w:t xml:space="preserve"> </w:t>
      </w:r>
      <w:sdt>
        <w:sdtPr>
          <w:rPr>
            <w:rFonts w:eastAsiaTheme="minorEastAsia" w:cstheme="minorHAnsi"/>
            <w:sz w:val="24"/>
            <w:szCs w:val="24"/>
            <w:lang w:val="en-US"/>
          </w:rPr>
          <w:id w:val="-1069500076"/>
          <w:citation/>
        </w:sdtPr>
        <w:sdtEndPr/>
        <w:sdtContent>
          <w:r>
            <w:rPr>
              <w:rFonts w:eastAsiaTheme="minorEastAsia" w:cstheme="minorHAnsi"/>
              <w:sz w:val="24"/>
              <w:szCs w:val="24"/>
              <w:lang w:val="en-US"/>
            </w:rPr>
            <w:fldChar w:fldCharType="begin"/>
          </w:r>
          <w:r w:rsidRPr="0028628B">
            <w:rPr>
              <w:rFonts w:eastAsiaTheme="minorEastAsia" w:cstheme="minorHAnsi"/>
              <w:sz w:val="24"/>
              <w:szCs w:val="24"/>
              <w:lang w:val="en-US"/>
            </w:rPr>
            <w:instrText xml:space="preserve"> CITATION Chi10 \l 1043 </w:instrText>
          </w:r>
          <w:r>
            <w:rPr>
              <w:rFonts w:eastAsiaTheme="minorEastAsia" w:cstheme="minorHAnsi"/>
              <w:sz w:val="24"/>
              <w:szCs w:val="24"/>
              <w:lang w:val="en-US"/>
            </w:rPr>
            <w:fldChar w:fldCharType="separate"/>
          </w:r>
          <w:r w:rsidR="00D86665" w:rsidRPr="00D86665">
            <w:rPr>
              <w:rFonts w:eastAsiaTheme="minorEastAsia" w:cstheme="minorHAnsi"/>
              <w:noProof/>
              <w:sz w:val="24"/>
              <w:szCs w:val="24"/>
              <w:lang w:val="en-US"/>
            </w:rPr>
            <w:t>(Ching, 2010)</w:t>
          </w:r>
          <w:r>
            <w:rPr>
              <w:rFonts w:eastAsiaTheme="minorEastAsia" w:cstheme="minorHAnsi"/>
              <w:sz w:val="24"/>
              <w:szCs w:val="24"/>
              <w:lang w:val="en-US"/>
            </w:rPr>
            <w:fldChar w:fldCharType="end"/>
          </w:r>
        </w:sdtContent>
      </w:sdt>
      <w:r w:rsidRPr="00A1340C">
        <w:rPr>
          <w:rFonts w:eastAsiaTheme="minorEastAsia" w:cstheme="minorHAnsi"/>
          <w:sz w:val="24"/>
          <w:szCs w:val="24"/>
          <w:lang w:val="en-US"/>
        </w:rPr>
        <w:t xml:space="preserve">. However, the brand firm should consider the price of the generic firms. When the price of the brand firm is too high, compared to the generic prices, even some </w:t>
      </w:r>
      <w:r>
        <w:rPr>
          <w:rFonts w:eastAsiaTheme="minorEastAsia" w:cstheme="minorHAnsi"/>
          <w:sz w:val="24"/>
          <w:szCs w:val="24"/>
          <w:lang w:val="en-US"/>
        </w:rPr>
        <w:t>consumer</w:t>
      </w:r>
      <w:r w:rsidR="004554FD">
        <w:rPr>
          <w:rFonts w:eastAsiaTheme="minorEastAsia" w:cstheme="minorHAnsi"/>
          <w:sz w:val="24"/>
          <w:szCs w:val="24"/>
          <w:lang w:val="en-US"/>
        </w:rPr>
        <w:t>s</w:t>
      </w:r>
      <w:r>
        <w:rPr>
          <w:rFonts w:eastAsiaTheme="minorEastAsia" w:cstheme="minorHAnsi"/>
          <w:sz w:val="24"/>
          <w:szCs w:val="24"/>
          <w:lang w:val="en-US"/>
        </w:rPr>
        <w:t xml:space="preserve"> with a low </w:t>
      </w:r>
      <m:oMath>
        <m:r>
          <w:rPr>
            <w:rFonts w:ascii="Cambria Math" w:eastAsiaTheme="minorEastAsia" w:hAnsi="Cambria Math" w:cstheme="minorHAnsi"/>
            <w:sz w:val="24"/>
            <w:szCs w:val="24"/>
            <w:lang w:val="en-US"/>
          </w:rPr>
          <m:t>ϑ</m:t>
        </m:r>
      </m:oMath>
      <w:r w:rsidRPr="00A1340C">
        <w:rPr>
          <w:rFonts w:eastAsiaTheme="minorEastAsia" w:cstheme="minorHAnsi"/>
          <w:sz w:val="24"/>
          <w:szCs w:val="24"/>
          <w:lang w:val="en-US"/>
        </w:rPr>
        <w:t xml:space="preserve"> can switch to the generic drug. The co</w:t>
      </w:r>
      <w:r w:rsidR="004554FD">
        <w:rPr>
          <w:rFonts w:eastAsiaTheme="minorEastAsia" w:cstheme="minorHAnsi"/>
          <w:sz w:val="24"/>
          <w:szCs w:val="24"/>
          <w:lang w:val="en-US"/>
        </w:rPr>
        <w:t>st of having a brand drug is the</w:t>
      </w:r>
      <w:r w:rsidRPr="00A1340C">
        <w:rPr>
          <w:rFonts w:eastAsiaTheme="minorEastAsia" w:cstheme="minorHAnsi"/>
          <w:sz w:val="24"/>
          <w:szCs w:val="24"/>
          <w:lang w:val="en-US"/>
        </w:rPr>
        <w:t>n</w:t>
      </w:r>
      <w:r w:rsidR="004554FD">
        <w:rPr>
          <w:rFonts w:eastAsiaTheme="minorEastAsia" w:cstheme="minorHAnsi"/>
          <w:sz w:val="24"/>
          <w:szCs w:val="24"/>
          <w:lang w:val="en-US"/>
        </w:rPr>
        <w:t xml:space="preserve"> higher than switching</w:t>
      </w:r>
      <w:r w:rsidRPr="00A1340C">
        <w:rPr>
          <w:rFonts w:eastAsiaTheme="minorEastAsia" w:cstheme="minorHAnsi"/>
          <w:sz w:val="24"/>
          <w:szCs w:val="24"/>
          <w:lang w:val="en-US"/>
        </w:rPr>
        <w:t xml:space="preserve"> to a generic drug. Therefore, the brand drug price depends somewhat on the price of the generic fi</w:t>
      </w:r>
      <w:r>
        <w:rPr>
          <w:rFonts w:eastAsiaTheme="minorEastAsia" w:cstheme="minorHAnsi"/>
          <w:sz w:val="24"/>
          <w:szCs w:val="24"/>
          <w:lang w:val="en-US"/>
        </w:rPr>
        <w:t xml:space="preserve">rms. </w:t>
      </w:r>
      <w:r w:rsidRPr="00A1340C">
        <w:rPr>
          <w:rFonts w:eastAsiaTheme="minorEastAsia" w:cstheme="minorHAnsi"/>
          <w:sz w:val="24"/>
          <w:szCs w:val="24"/>
          <w:lang w:val="en-US"/>
        </w:rPr>
        <w:t xml:space="preserve"> </w:t>
      </w:r>
    </w:p>
    <w:p w14:paraId="5582B917" w14:textId="77777777" w:rsidR="002C1F33" w:rsidRDefault="002C1F33" w:rsidP="002C1F33">
      <w:pPr>
        <w:spacing w:after="0" w:line="360" w:lineRule="auto"/>
        <w:jc w:val="both"/>
        <w:rPr>
          <w:rFonts w:eastAsiaTheme="minorEastAsia" w:cstheme="minorHAnsi"/>
          <w:sz w:val="24"/>
          <w:szCs w:val="24"/>
          <w:lang w:val="en-US"/>
        </w:rPr>
      </w:pPr>
    </w:p>
    <w:p w14:paraId="13037D87" w14:textId="77777777" w:rsidR="002C1F33" w:rsidRPr="00FC6AC2" w:rsidRDefault="002C1F33" w:rsidP="002C1F33">
      <w:pPr>
        <w:spacing w:after="0" w:line="360" w:lineRule="auto"/>
        <w:jc w:val="both"/>
        <w:rPr>
          <w:rFonts w:eastAsiaTheme="minorEastAsia" w:cstheme="minorHAnsi"/>
          <w:i/>
          <w:sz w:val="24"/>
          <w:szCs w:val="24"/>
          <w:lang w:val="en-US"/>
        </w:rPr>
      </w:pPr>
      <w:r>
        <w:rPr>
          <w:rFonts w:eastAsiaTheme="minorEastAsia" w:cstheme="minorHAnsi"/>
          <w:i/>
          <w:sz w:val="24"/>
          <w:szCs w:val="24"/>
          <w:lang w:val="en-US"/>
        </w:rPr>
        <w:t>Optimal price for the generic firms</w:t>
      </w:r>
    </w:p>
    <w:p w14:paraId="07F3532D" w14:textId="55B5DBD6" w:rsidR="002C1F33" w:rsidRPr="00A1340C" w:rsidRDefault="002C1F33" w:rsidP="002C1F33">
      <w:pPr>
        <w:spacing w:after="0" w:line="360" w:lineRule="auto"/>
        <w:jc w:val="both"/>
        <w:rPr>
          <w:rFonts w:eastAsiaTheme="minorEastAsia" w:cstheme="minorHAnsi"/>
          <w:sz w:val="24"/>
          <w:szCs w:val="24"/>
          <w:lang w:val="en-US"/>
        </w:rPr>
      </w:pPr>
      <w:r w:rsidRPr="00A1340C">
        <w:rPr>
          <w:rFonts w:eastAsiaTheme="minorEastAsia" w:cstheme="minorHAnsi"/>
          <w:sz w:val="24"/>
          <w:szCs w:val="24"/>
          <w:lang w:val="en-US"/>
        </w:rPr>
        <w:t>By backward induction,</w:t>
      </w:r>
      <w:r w:rsidR="004554FD">
        <w:rPr>
          <w:rFonts w:eastAsiaTheme="minorEastAsia" w:cstheme="minorHAnsi"/>
          <w:sz w:val="24"/>
          <w:szCs w:val="24"/>
          <w:lang w:val="en-US"/>
        </w:rPr>
        <w:t xml:space="preserve"> the optimal price of the generic drug firms needs to be determined first</w:t>
      </w:r>
      <w:r>
        <w:rPr>
          <w:rFonts w:eastAsiaTheme="minorEastAsia" w:cstheme="minorHAnsi"/>
          <w:sz w:val="24"/>
          <w:szCs w:val="24"/>
          <w:lang w:val="en-US"/>
        </w:rPr>
        <w:t>. Then the optimal price</w:t>
      </w:r>
      <w:r w:rsidRPr="00A1340C">
        <w:rPr>
          <w:rFonts w:eastAsiaTheme="minorEastAsia" w:cstheme="minorHAnsi"/>
          <w:sz w:val="24"/>
          <w:szCs w:val="24"/>
          <w:lang w:val="en-US"/>
        </w:rPr>
        <w:t xml:space="preserve"> of the brand drug</w:t>
      </w:r>
      <w:r>
        <w:rPr>
          <w:rFonts w:eastAsiaTheme="minorEastAsia" w:cstheme="minorHAnsi"/>
          <w:sz w:val="24"/>
          <w:szCs w:val="24"/>
          <w:lang w:val="en-US"/>
        </w:rPr>
        <w:t xml:space="preserve"> can b</w:t>
      </w:r>
      <w:r w:rsidR="00DC1D3E">
        <w:rPr>
          <w:rFonts w:eastAsiaTheme="minorEastAsia" w:cstheme="minorHAnsi"/>
          <w:sz w:val="24"/>
          <w:szCs w:val="24"/>
          <w:lang w:val="en-US"/>
        </w:rPr>
        <w:t>e determined because the brand firm can influence the optimal price of the generic firms</w:t>
      </w:r>
      <w:r w:rsidRPr="00A1340C">
        <w:rPr>
          <w:rFonts w:eastAsiaTheme="minorEastAsia" w:cstheme="minorHAnsi"/>
          <w:sz w:val="24"/>
          <w:szCs w:val="24"/>
          <w:lang w:val="en-US"/>
        </w:rPr>
        <w:t xml:space="preserve">. </w:t>
      </w:r>
    </w:p>
    <w:p w14:paraId="547831DD" w14:textId="77777777" w:rsidR="00DC1D3E" w:rsidRDefault="00DC1D3E" w:rsidP="002C1F33">
      <w:pPr>
        <w:spacing w:after="0" w:line="360" w:lineRule="auto"/>
        <w:jc w:val="both"/>
        <w:rPr>
          <w:rFonts w:eastAsiaTheme="minorEastAsia" w:cstheme="minorHAnsi"/>
          <w:sz w:val="24"/>
          <w:szCs w:val="24"/>
          <w:lang w:val="en-US"/>
        </w:rPr>
      </w:pPr>
    </w:p>
    <w:p w14:paraId="1CCAA27E" w14:textId="77640DF4" w:rsidR="002C1F33" w:rsidRPr="00524FF4" w:rsidRDefault="00DC1D3E"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In this case there are</w:t>
      </w:r>
      <w:r w:rsidR="002C1F33" w:rsidRPr="00524FF4">
        <w:rPr>
          <w:rFonts w:eastAsiaTheme="minorEastAsia" w:cstheme="minorHAnsi"/>
          <w:sz w:val="24"/>
          <w:szCs w:val="24"/>
          <w:lang w:val="en-US"/>
        </w:rPr>
        <w:t xml:space="preserve"> two generic drug firms that compete in a Bertrand setting.</w:t>
      </w:r>
      <w:r w:rsidR="002C1F33">
        <w:rPr>
          <w:rFonts w:eastAsiaTheme="minorEastAsia" w:cstheme="minorHAnsi"/>
          <w:sz w:val="24"/>
          <w:szCs w:val="24"/>
          <w:lang w:val="en-US"/>
        </w:rPr>
        <w:t xml:space="preserve"> For simplicity</w:t>
      </w:r>
      <w:r>
        <w:rPr>
          <w:rFonts w:eastAsiaTheme="minorEastAsia" w:cstheme="minorHAnsi"/>
          <w:sz w:val="24"/>
          <w:szCs w:val="24"/>
          <w:lang w:val="en-US"/>
        </w:rPr>
        <w:t>,</w:t>
      </w:r>
      <w:r w:rsidR="002C1F33">
        <w:rPr>
          <w:rFonts w:eastAsiaTheme="minorEastAsia" w:cstheme="minorHAnsi"/>
          <w:sz w:val="24"/>
          <w:szCs w:val="24"/>
          <w:lang w:val="en-US"/>
        </w:rPr>
        <w:t xml:space="preserve"> </w:t>
      </w:r>
      <w:r>
        <w:rPr>
          <w:rFonts w:eastAsiaTheme="minorEastAsia" w:cstheme="minorHAnsi"/>
          <w:sz w:val="24"/>
          <w:szCs w:val="24"/>
          <w:lang w:val="en-US"/>
        </w:rPr>
        <w:t>the assumption</w:t>
      </w:r>
      <w:r w:rsidR="002C1F33">
        <w:rPr>
          <w:rFonts w:eastAsiaTheme="minorEastAsia" w:cstheme="minorHAnsi"/>
          <w:sz w:val="24"/>
          <w:szCs w:val="24"/>
          <w:lang w:val="en-US"/>
        </w:rPr>
        <w:t xml:space="preserve"> that the generic firms are identical in the eyes of the consumers</w:t>
      </w:r>
      <w:r>
        <w:rPr>
          <w:rFonts w:eastAsiaTheme="minorEastAsia" w:cstheme="minorHAnsi"/>
          <w:sz w:val="24"/>
          <w:szCs w:val="24"/>
          <w:lang w:val="en-US"/>
        </w:rPr>
        <w:t xml:space="preserve"> applies</w:t>
      </w:r>
      <w:r w:rsidR="002C1F33">
        <w:rPr>
          <w:rFonts w:eastAsiaTheme="minorEastAsia" w:cstheme="minorHAnsi"/>
          <w:sz w:val="24"/>
          <w:szCs w:val="24"/>
          <w:lang w:val="en-US"/>
        </w:rPr>
        <w:t xml:space="preserve">. The </w:t>
      </w:r>
      <w:r w:rsidR="002C1F33">
        <w:rPr>
          <w:rFonts w:eastAsiaTheme="minorEastAsia" w:cstheme="minorHAnsi"/>
          <w:sz w:val="24"/>
          <w:szCs w:val="24"/>
          <w:lang w:val="en-US"/>
        </w:rPr>
        <w:lastRenderedPageBreak/>
        <w:t xml:space="preserve">variable </w:t>
      </w:r>
      <m:oMath>
        <m:r>
          <w:rPr>
            <w:rFonts w:ascii="Cambria Math" w:eastAsiaTheme="minorEastAsia" w:hAnsi="Cambria Math" w:cstheme="minorHAnsi"/>
            <w:sz w:val="24"/>
            <w:szCs w:val="24"/>
            <w:lang w:val="en-US"/>
          </w:rPr>
          <m:t>ϑ</m:t>
        </m:r>
      </m:oMath>
      <w:r w:rsidR="002C1F33">
        <w:rPr>
          <w:rFonts w:eastAsiaTheme="minorEastAsia" w:cstheme="minorHAnsi"/>
          <w:sz w:val="24"/>
          <w:szCs w:val="24"/>
          <w:lang w:val="en-US"/>
        </w:rPr>
        <w:t xml:space="preserve"> for both generic firms </w:t>
      </w:r>
      <w:r>
        <w:rPr>
          <w:rFonts w:eastAsiaTheme="minorEastAsia" w:cstheme="minorHAnsi"/>
          <w:sz w:val="24"/>
          <w:szCs w:val="24"/>
          <w:lang w:val="en-US"/>
        </w:rPr>
        <w:t xml:space="preserve">is </w:t>
      </w:r>
      <w:r w:rsidR="002C1F33">
        <w:rPr>
          <w:rFonts w:eastAsiaTheme="minorEastAsia" w:cstheme="minorHAnsi"/>
          <w:sz w:val="24"/>
          <w:szCs w:val="24"/>
          <w:lang w:val="en-US"/>
        </w:rPr>
        <w:t>thus also the same.</w:t>
      </w:r>
      <w:r w:rsidR="002C1F33" w:rsidRPr="00524FF4">
        <w:rPr>
          <w:rFonts w:eastAsiaTheme="minorEastAsia" w:cstheme="minorHAnsi"/>
          <w:sz w:val="24"/>
          <w:szCs w:val="24"/>
          <w:lang w:val="en-US"/>
        </w:rPr>
        <w:t xml:space="preserve"> </w:t>
      </w:r>
      <w:r w:rsidR="002C1F33">
        <w:rPr>
          <w:rFonts w:eastAsiaTheme="minorEastAsia" w:cstheme="minorHAnsi"/>
          <w:sz w:val="24"/>
          <w:szCs w:val="24"/>
          <w:lang w:val="en-US"/>
        </w:rPr>
        <w:t>Th</w:t>
      </w:r>
      <w:r w:rsidR="002C1F33" w:rsidRPr="00524FF4">
        <w:rPr>
          <w:rFonts w:eastAsiaTheme="minorEastAsia" w:cstheme="minorHAnsi"/>
          <w:sz w:val="24"/>
          <w:szCs w:val="24"/>
          <w:lang w:val="en-US"/>
        </w:rPr>
        <w:t>e generic firms will set the same prices with the following output:</w:t>
      </w:r>
    </w:p>
    <w:p w14:paraId="24C877A5" w14:textId="77777777" w:rsidR="002C1F33" w:rsidRPr="00524FF4" w:rsidRDefault="002C1F33" w:rsidP="002C1F33">
      <w:pPr>
        <w:spacing w:after="0" w:line="360" w:lineRule="auto"/>
        <w:jc w:val="both"/>
        <w:rPr>
          <w:rFonts w:eastAsiaTheme="minorEastAsia" w:cstheme="minorHAnsi"/>
          <w:sz w:val="24"/>
          <w:szCs w:val="24"/>
          <w:lang w:val="en-US"/>
        </w:rPr>
      </w:pPr>
      <w:r w:rsidRPr="00524FF4">
        <w:rPr>
          <w:rFonts w:eastAsiaTheme="minorEastAsia" w:cstheme="minorHAnsi"/>
          <w:sz w:val="24"/>
          <w:szCs w:val="24"/>
          <w:lang w:val="en-US"/>
        </w:rPr>
        <w:t>q</w:t>
      </w:r>
      <w:r w:rsidRPr="00524FF4">
        <w:rPr>
          <w:rFonts w:eastAsiaTheme="minorEastAsia" w:cstheme="minorHAnsi"/>
          <w:sz w:val="24"/>
          <w:szCs w:val="24"/>
          <w:vertAlign w:val="subscript"/>
          <w:lang w:val="en-US"/>
        </w:rPr>
        <w:t>G1</w:t>
      </w:r>
      <w:r w:rsidRPr="00524FF4">
        <w:rPr>
          <w:rFonts w:eastAsiaTheme="minorEastAsia" w:cstheme="minorHAnsi"/>
          <w:sz w:val="24"/>
          <w:szCs w:val="24"/>
          <w:lang w:val="en-US"/>
        </w:rPr>
        <w:t xml:space="preserve"> </w:t>
      </w:r>
      <m:oMath>
        <m:d>
          <m:dPr>
            <m:begChr m:val="{"/>
            <m:endChr m:val=""/>
            <m:ctrlPr>
              <w:rPr>
                <w:rFonts w:ascii="Cambria Math" w:eastAsiaTheme="minorEastAsia" w:hAnsi="Cambria Math" w:cstheme="minorHAnsi"/>
                <w:sz w:val="24"/>
                <w:szCs w:val="24"/>
              </w:rPr>
            </m:ctrlPr>
          </m:dPr>
          <m:e>
            <m:eqArr>
              <m:eqArrPr>
                <m:ctrlPr>
                  <w:rPr>
                    <w:rFonts w:ascii="Cambria Math" w:eastAsiaTheme="minorEastAsia" w:hAnsi="Cambria Math" w:cstheme="minorHAnsi"/>
                    <w:sz w:val="24"/>
                    <w:szCs w:val="24"/>
                  </w:rPr>
                </m:ctrlPr>
              </m:eqArrPr>
              <m:e>
                <m:r>
                  <w:rPr>
                    <w:rFonts w:ascii="Cambria Math" w:eastAsiaTheme="minorEastAsia" w:hAnsi="Cambria Math" w:cstheme="minorHAnsi"/>
                    <w:sz w:val="24"/>
                    <w:szCs w:val="24"/>
                  </w:rPr>
                  <m:t>Q</m:t>
                </m:r>
                <m:d>
                  <m:dPr>
                    <m:ctrlPr>
                      <w:rPr>
                        <w:rFonts w:ascii="Cambria Math" w:eastAsiaTheme="minorEastAsia" w:hAnsi="Cambria Math" w:cstheme="minorHAnsi"/>
                        <w:i/>
                        <w:sz w:val="24"/>
                        <w:szCs w:val="24"/>
                      </w:rPr>
                    </m:ctrlPr>
                  </m:dPr>
                  <m:e>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e>
                </m:d>
                <m:r>
                  <w:rPr>
                    <w:rFonts w:ascii="Cambria Math" w:eastAsiaTheme="minorEastAsia" w:hAnsi="Cambria Math" w:cstheme="minorHAnsi"/>
                    <w:sz w:val="24"/>
                    <w:szCs w:val="24"/>
                    <w:lang w:val="en-US"/>
                  </w:rPr>
                  <m:t xml:space="preserve">           </m:t>
                </m:r>
                <m:r>
                  <w:rPr>
                    <w:rFonts w:ascii="Cambria Math" w:eastAsiaTheme="minorEastAsia" w:hAnsi="Cambria Math" w:cstheme="minorHAnsi"/>
                    <w:sz w:val="24"/>
                    <w:szCs w:val="24"/>
                  </w:rPr>
                  <m:t>if</m:t>
                </m:r>
                <m:r>
                  <w:rPr>
                    <w:rFonts w:ascii="Cambria Math" w:eastAsiaTheme="minorEastAsia" w:hAnsi="Cambria Math" w:cstheme="minorHAnsi"/>
                    <w:sz w:val="24"/>
                    <w:szCs w:val="24"/>
                    <w:lang w:val="en-US"/>
                  </w:rPr>
                  <m:t xml:space="preserve"> </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&lt;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e>
              <m:e>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lang w:val="en-US"/>
                      </w:rPr>
                      <m:t>1</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rPr>
                  <m:t>Q</m:t>
                </m:r>
                <m:d>
                  <m:dPr>
                    <m:ctrlPr>
                      <w:rPr>
                        <w:rFonts w:ascii="Cambria Math" w:eastAsiaTheme="minorEastAsia" w:hAnsi="Cambria Math" w:cstheme="minorHAnsi"/>
                        <w:i/>
                        <w:sz w:val="24"/>
                        <w:szCs w:val="24"/>
                      </w:rPr>
                    </m:ctrlPr>
                  </m:dPr>
                  <m:e>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e>
                </m:d>
                <m:r>
                  <w:rPr>
                    <w:rFonts w:ascii="Cambria Math" w:eastAsiaTheme="minorEastAsia" w:hAnsi="Cambria Math" w:cstheme="minorHAnsi"/>
                    <w:sz w:val="24"/>
                    <w:szCs w:val="24"/>
                    <w:lang w:val="en-US"/>
                  </w:rPr>
                  <m:t xml:space="preserve">        </m:t>
                </m:r>
                <m:r>
                  <w:rPr>
                    <w:rFonts w:ascii="Cambria Math" w:eastAsiaTheme="minorEastAsia" w:hAnsi="Cambria Math" w:cstheme="minorHAnsi"/>
                    <w:sz w:val="24"/>
                    <w:szCs w:val="24"/>
                  </w:rPr>
                  <m:t>if</m:t>
                </m:r>
                <m:r>
                  <w:rPr>
                    <w:rFonts w:ascii="Cambria Math" w:eastAsiaTheme="minorEastAsia" w:hAnsi="Cambria Math" w:cstheme="minorHAnsi"/>
                    <w:sz w:val="24"/>
                    <w:szCs w:val="24"/>
                    <w:lang w:val="en-US"/>
                  </w:rPr>
                  <m:t xml:space="preserve"> </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e>
              <m:e>
                <m:r>
                  <w:rPr>
                    <w:rFonts w:ascii="Cambria Math" w:eastAsiaTheme="minorEastAsia" w:hAnsi="Cambria Math" w:cstheme="minorHAnsi"/>
                    <w:sz w:val="24"/>
                    <w:szCs w:val="24"/>
                    <w:lang w:val="en-US"/>
                  </w:rPr>
                  <m:t xml:space="preserve">0                             </m:t>
                </m:r>
                <m:r>
                  <w:rPr>
                    <w:rFonts w:ascii="Cambria Math" w:eastAsiaTheme="minorEastAsia" w:hAnsi="Cambria Math" w:cstheme="minorHAnsi"/>
                    <w:sz w:val="24"/>
                    <w:szCs w:val="24"/>
                  </w:rPr>
                  <m:t>if</m:t>
                </m:r>
                <m:r>
                  <w:rPr>
                    <w:rFonts w:ascii="Cambria Math" w:eastAsiaTheme="minorEastAsia" w:hAnsi="Cambria Math" w:cstheme="minorHAnsi"/>
                    <w:sz w:val="24"/>
                    <w:szCs w:val="24"/>
                    <w:lang w:val="en-US"/>
                  </w:rPr>
                  <m:t xml:space="preserve"> </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&gt;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e>
            </m:eqArr>
          </m:e>
        </m:d>
      </m:oMath>
    </w:p>
    <w:p w14:paraId="39A2AD70" w14:textId="77777777" w:rsidR="002C1F33" w:rsidRDefault="002C1F33" w:rsidP="002C1F33">
      <w:pPr>
        <w:spacing w:after="0" w:line="360" w:lineRule="auto"/>
        <w:jc w:val="both"/>
        <w:rPr>
          <w:rFonts w:eastAsiaTheme="minorEastAsia" w:cstheme="minorHAnsi"/>
          <w:sz w:val="24"/>
          <w:szCs w:val="24"/>
          <w:lang w:val="en-US"/>
        </w:rPr>
      </w:pPr>
      <w:r w:rsidRPr="00524FF4">
        <w:rPr>
          <w:rFonts w:eastAsiaTheme="minorEastAsia" w:cstheme="minorHAnsi"/>
          <w:sz w:val="24"/>
          <w:szCs w:val="24"/>
          <w:lang w:val="en-US"/>
        </w:rPr>
        <w:t>So, when generic firm 1 charge a lower price than firm 2, it will serve the whole generic demand and vice versa. When both firms charge equal prices, they will both get half of the generic demand.</w:t>
      </w:r>
      <w:r>
        <w:rPr>
          <w:rFonts w:eastAsiaTheme="minorEastAsia" w:cstheme="minorHAnsi"/>
          <w:sz w:val="24"/>
          <w:szCs w:val="24"/>
          <w:lang w:val="en-US"/>
        </w:rPr>
        <w:t xml:space="preserve"> The only outcome is the Nash equilibrium where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sidRPr="00957C62">
        <w:rPr>
          <w:rFonts w:eastAsiaTheme="minorEastAsia" w:cstheme="minorHAnsi"/>
          <w:sz w:val="24"/>
          <w:szCs w:val="24"/>
          <w:lang w:val="en-US"/>
        </w:rPr>
        <w:t xml:space="preserve">. </w:t>
      </w:r>
    </w:p>
    <w:p w14:paraId="30E479E1" w14:textId="77777777" w:rsidR="002C1F33" w:rsidRDefault="002C1F33" w:rsidP="002C1F33">
      <w:pPr>
        <w:spacing w:after="0" w:line="360" w:lineRule="auto"/>
        <w:jc w:val="both"/>
        <w:rPr>
          <w:rFonts w:eastAsiaTheme="minorEastAsia" w:cstheme="minorHAnsi"/>
          <w:sz w:val="24"/>
          <w:szCs w:val="24"/>
          <w:lang w:val="en-US"/>
        </w:rPr>
      </w:pPr>
    </w:p>
    <w:p w14:paraId="48247E8F" w14:textId="77777777" w:rsidR="002C1F33" w:rsidRDefault="002C1F33" w:rsidP="002C1F33">
      <w:pPr>
        <w:spacing w:after="0" w:line="360" w:lineRule="auto"/>
        <w:jc w:val="both"/>
        <w:rPr>
          <w:rFonts w:eastAsiaTheme="minorEastAsia" w:cstheme="minorHAnsi"/>
          <w:i/>
          <w:sz w:val="24"/>
          <w:szCs w:val="24"/>
          <w:lang w:val="en-US"/>
        </w:rPr>
      </w:pPr>
      <w:r w:rsidRPr="00FB6369">
        <w:rPr>
          <w:rFonts w:eastAsiaTheme="minorEastAsia" w:cstheme="minorHAnsi"/>
          <w:i/>
          <w:sz w:val="24"/>
          <w:szCs w:val="24"/>
          <w:lang w:val="en-US"/>
        </w:rPr>
        <w:t>Proof by contradiction</w:t>
      </w:r>
    </w:p>
    <w:p w14:paraId="3B181B47" w14:textId="221DDE9A" w:rsidR="002C1F33" w:rsidRDefault="002C1F33"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First, I will prove that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oMath>
      <w:r>
        <w:rPr>
          <w:rFonts w:eastAsiaTheme="minorEastAsia" w:cstheme="minorHAnsi"/>
          <w:sz w:val="24"/>
          <w:szCs w:val="24"/>
          <w:lang w:val="en-US"/>
        </w:rPr>
        <w:t xml:space="preserve"> is not an equilibrium outcome. Suppose that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&lt;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oMath>
      <w:r w:rsidR="00DC1D3E" w:rsidRPr="00DC1D3E">
        <w:rPr>
          <w:rFonts w:eastAsiaTheme="minorEastAsia" w:cstheme="minorHAnsi"/>
          <w:sz w:val="24"/>
          <w:szCs w:val="24"/>
          <w:lang w:val="en-US"/>
        </w:rPr>
        <w:t>:</w:t>
      </w:r>
      <w:r w:rsidRPr="00FB6369">
        <w:rPr>
          <w:rFonts w:eastAsiaTheme="minorEastAsia" w:cstheme="minorHAnsi"/>
          <w:sz w:val="24"/>
          <w:szCs w:val="24"/>
          <w:lang w:val="en-US"/>
        </w:rPr>
        <w:t xml:space="preserve"> </w:t>
      </w:r>
      <w:r>
        <w:rPr>
          <w:rFonts w:eastAsiaTheme="minorEastAsia" w:cstheme="minorHAnsi"/>
          <w:sz w:val="24"/>
          <w:szCs w:val="24"/>
          <w:lang w:val="en-US"/>
        </w:rPr>
        <w:t xml:space="preserve">there are two situations. When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&lt;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monopoly</m:t>
            </m:r>
          </m:sub>
        </m:sSub>
      </m:oMath>
      <w:r>
        <w:rPr>
          <w:rFonts w:eastAsiaTheme="minorEastAsia" w:cstheme="minorHAnsi"/>
          <w:sz w:val="24"/>
          <w:szCs w:val="24"/>
          <w:lang w:val="en-US"/>
        </w:rPr>
        <w:t xml:space="preserve"> then generic firm one is better off when he increases its price slightly. It is important that his price remains smaller than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oMath>
      <w:r w:rsidRPr="00A303D8">
        <w:rPr>
          <w:rFonts w:eastAsiaTheme="minorEastAsia" w:cstheme="minorHAnsi"/>
          <w:sz w:val="24"/>
          <w:szCs w:val="24"/>
          <w:lang w:val="en-US"/>
        </w:rPr>
        <w:t xml:space="preserve"> and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monopoly</m:t>
            </m:r>
          </m:sub>
        </m:sSub>
      </m:oMath>
      <w:r w:rsidRPr="00A303D8">
        <w:rPr>
          <w:rFonts w:eastAsiaTheme="minorEastAsia" w:cstheme="minorHAnsi"/>
          <w:sz w:val="24"/>
          <w:szCs w:val="24"/>
          <w:lang w:val="en-US"/>
        </w:rPr>
        <w:t xml:space="preserve">. </w:t>
      </w:r>
      <w:r>
        <w:rPr>
          <w:rFonts w:eastAsiaTheme="minorEastAsia" w:cstheme="minorHAnsi"/>
          <w:sz w:val="24"/>
          <w:szCs w:val="24"/>
          <w:lang w:val="en-US"/>
        </w:rPr>
        <w:t xml:space="preserve">However, when </w:t>
      </w:r>
      <w:bookmarkStart w:id="13" w:name="_Hlk13583214"/>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w:bookmarkEnd w:id="13"/>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monopoly</m:t>
            </m:r>
          </m:sub>
        </m:sSub>
      </m:oMath>
      <w:r w:rsidRPr="00A303D8">
        <w:rPr>
          <w:rFonts w:eastAsiaTheme="minorEastAsia" w:cstheme="minorHAnsi"/>
          <w:sz w:val="24"/>
          <w:szCs w:val="24"/>
          <w:lang w:val="en-US"/>
        </w:rPr>
        <w:t xml:space="preserve"> then generic firm two is better off</w:t>
      </w:r>
      <w:r>
        <w:rPr>
          <w:rFonts w:eastAsiaTheme="minorEastAsia" w:cstheme="minorHAnsi"/>
          <w:sz w:val="24"/>
          <w:szCs w:val="24"/>
          <w:lang w:val="en-US"/>
        </w:rPr>
        <w:t xml:space="preserve"> by lowering its price and maintain a price equal to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oMath>
      <w:r w:rsidRPr="00A303D8">
        <w:rPr>
          <w:rFonts w:eastAsiaTheme="minorEastAsia" w:cstheme="minorHAnsi"/>
          <w:sz w:val="24"/>
          <w:szCs w:val="24"/>
          <w:lang w:val="en-US"/>
        </w:rPr>
        <w:t xml:space="preserve">. </w:t>
      </w:r>
      <w:r>
        <w:rPr>
          <w:rFonts w:eastAsiaTheme="minorEastAsia" w:cstheme="minorHAnsi"/>
          <w:sz w:val="24"/>
          <w:szCs w:val="24"/>
          <w:lang w:val="en-US"/>
        </w:rPr>
        <w:t xml:space="preserve">This is proof that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oMath>
      <w:r w:rsidRPr="00A303D8">
        <w:rPr>
          <w:rFonts w:eastAsiaTheme="minorEastAsia" w:cstheme="minorHAnsi"/>
          <w:sz w:val="24"/>
          <w:szCs w:val="24"/>
          <w:lang w:val="en-US"/>
        </w:rPr>
        <w:t xml:space="preserve"> is </w:t>
      </w:r>
      <w:r>
        <w:rPr>
          <w:rFonts w:eastAsiaTheme="minorEastAsia" w:cstheme="minorHAnsi"/>
          <w:sz w:val="24"/>
          <w:szCs w:val="24"/>
          <w:lang w:val="en-US"/>
        </w:rPr>
        <w:t xml:space="preserve">not an equilibrium outcome. Now it is clear that, in equilibrium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oMath>
      <w:r>
        <w:rPr>
          <w:rFonts w:eastAsiaTheme="minorEastAsia" w:cstheme="minorHAnsi"/>
          <w:sz w:val="24"/>
          <w:szCs w:val="24"/>
          <w:lang w:val="en-US"/>
        </w:rPr>
        <w:t>.</w:t>
      </w:r>
    </w:p>
    <w:p w14:paraId="26DB38C7" w14:textId="77777777" w:rsidR="002C1F33" w:rsidRDefault="002C1F33"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Now I will </w:t>
      </w:r>
      <w:r w:rsidRPr="00FB6369">
        <w:rPr>
          <w:rFonts w:eastAsiaTheme="minorEastAsia" w:cstheme="minorHAnsi"/>
          <w:sz w:val="24"/>
          <w:szCs w:val="24"/>
          <w:lang w:val="en-US"/>
        </w:rPr>
        <w:t xml:space="preserve">prove that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Pr>
          <w:rFonts w:eastAsiaTheme="minorEastAsia" w:cstheme="minorHAnsi"/>
          <w:sz w:val="24"/>
          <w:szCs w:val="24"/>
          <w:lang w:val="en-US"/>
        </w:rPr>
        <w:t xml:space="preserve"> is also not an equilibrium outcome. Again, there are two situations. When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&lt;</m:t>
        </m:r>
        <m:r>
          <w:rPr>
            <w:rFonts w:ascii="Cambria Math" w:eastAsiaTheme="minorEastAsia" w:hAnsi="Cambria Math" w:cstheme="minorHAnsi"/>
            <w:sz w:val="24"/>
            <w:szCs w:val="24"/>
          </w:rPr>
          <m:t>c</m:t>
        </m:r>
      </m:oMath>
      <w:r w:rsidRPr="00033642">
        <w:rPr>
          <w:rFonts w:eastAsiaTheme="minorEastAsia" w:cstheme="minorHAnsi"/>
          <w:sz w:val="24"/>
          <w:szCs w:val="24"/>
          <w:lang w:val="en-US"/>
        </w:rPr>
        <w:t xml:space="preserve"> it is better for generic firm one to ask a price equal to the marginal cost. </w:t>
      </w:r>
      <w:r>
        <w:rPr>
          <w:rFonts w:eastAsiaTheme="minorEastAsia" w:cstheme="minorHAnsi"/>
          <w:sz w:val="24"/>
          <w:szCs w:val="24"/>
          <w:lang w:val="en-US"/>
        </w:rPr>
        <w:t xml:space="preserve">In this case it will no longer have a loss but will not sell anything which results in zero profit. However, when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&gt;</m:t>
        </m:r>
        <m:r>
          <w:rPr>
            <w:rFonts w:ascii="Cambria Math" w:eastAsiaTheme="minorEastAsia" w:hAnsi="Cambria Math" w:cstheme="minorHAnsi"/>
            <w:sz w:val="24"/>
            <w:szCs w:val="24"/>
          </w:rPr>
          <m:t>c</m:t>
        </m:r>
      </m:oMath>
      <w:r w:rsidRPr="00033642">
        <w:rPr>
          <w:rFonts w:eastAsiaTheme="minorEastAsia" w:cstheme="minorHAnsi"/>
          <w:sz w:val="24"/>
          <w:szCs w:val="24"/>
          <w:lang w:val="en-US"/>
        </w:rPr>
        <w:t xml:space="preserve"> it is better for generic firm one to decrease its price by any amount</w:t>
      </w:r>
      <w:r>
        <w:rPr>
          <w:rFonts w:eastAsiaTheme="minorEastAsia" w:cstheme="minorHAnsi"/>
          <w:sz w:val="24"/>
          <w:szCs w:val="24"/>
          <w:lang w:val="en-US"/>
        </w:rPr>
        <w:t xml:space="preserve">. In this way the firm will get all the generic demand, and this increases its profit. </w:t>
      </w:r>
    </w:p>
    <w:p w14:paraId="431DF6CB" w14:textId="77777777" w:rsidR="002C1F33" w:rsidRDefault="002C1F33" w:rsidP="002C1F33">
      <w:pPr>
        <w:spacing w:after="0" w:line="360" w:lineRule="auto"/>
        <w:jc w:val="both"/>
        <w:rPr>
          <w:rFonts w:eastAsiaTheme="minorEastAsia" w:cstheme="minorHAnsi"/>
          <w:sz w:val="24"/>
          <w:szCs w:val="24"/>
          <w:lang w:val="en-US"/>
        </w:rPr>
      </w:pPr>
    </w:p>
    <w:p w14:paraId="6F91B50A" w14:textId="77777777" w:rsidR="002C1F33" w:rsidRDefault="002C1F33"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The only possible equilibrium outcome is when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sidRPr="00FC6AC2">
        <w:rPr>
          <w:rFonts w:eastAsiaTheme="minorEastAsia" w:cstheme="minorHAnsi"/>
          <w:sz w:val="24"/>
          <w:szCs w:val="24"/>
          <w:lang w:val="en-US"/>
        </w:rPr>
        <w:t xml:space="preserve">. </w:t>
      </w:r>
      <w:r>
        <w:rPr>
          <w:rFonts w:eastAsiaTheme="minorEastAsia" w:cstheme="minorHAnsi"/>
          <w:sz w:val="24"/>
          <w:szCs w:val="24"/>
          <w:lang w:val="en-US"/>
        </w:rPr>
        <w:t xml:space="preserve">This is an equilibrium because both firms will not deviate from this price. For example, a firm can deviate by increasing its price. This will result in no demand for this firm which also leads to zero profits. When a firm deviate to a lower price, this will result in a loss for the firm because his marginal revenue is now lower than the marginal costs. Both deviation will not result in higher profits, so both firms have no intention to deviate to another price. </w:t>
      </w:r>
    </w:p>
    <w:p w14:paraId="43DB4508" w14:textId="3DAB9A21" w:rsidR="002C1F33" w:rsidRPr="00524FF4" w:rsidRDefault="00DC1D3E" w:rsidP="002C1F33">
      <w:pPr>
        <w:spacing w:after="0" w:line="360" w:lineRule="auto"/>
        <w:jc w:val="both"/>
        <w:rPr>
          <w:rFonts w:eastAsiaTheme="minorEastAsia" w:cstheme="minorHAnsi"/>
          <w:sz w:val="24"/>
          <w:szCs w:val="24"/>
          <w:lang w:val="en-US"/>
        </w:rPr>
      </w:pPr>
      <w:r>
        <w:rPr>
          <w:rFonts w:eastAsiaTheme="minorEastAsia" w:cstheme="minorHAnsi"/>
          <w:sz w:val="24"/>
          <w:szCs w:val="24"/>
          <w:lang w:val="en-US"/>
        </w:rPr>
        <w:t>T</w:t>
      </w:r>
      <w:r w:rsidR="002C1F33">
        <w:rPr>
          <w:rFonts w:eastAsiaTheme="minorEastAsia" w:cstheme="minorHAnsi"/>
          <w:sz w:val="24"/>
          <w:szCs w:val="24"/>
          <w:lang w:val="en-US"/>
        </w:rPr>
        <w:t xml:space="preserve">he only Nash equilibrium is when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1</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r>
              <w:rPr>
                <w:rFonts w:ascii="Cambria Math" w:eastAsiaTheme="minorEastAsia" w:hAnsi="Cambria Math" w:cstheme="minorHAnsi"/>
                <w:sz w:val="24"/>
                <w:szCs w:val="24"/>
                <w:lang w:val="en-US"/>
              </w:rPr>
              <m:t>2</m:t>
            </m:r>
          </m:sub>
        </m:sSub>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sidR="002C1F33">
        <w:rPr>
          <w:rFonts w:eastAsiaTheme="minorEastAsia" w:cstheme="minorHAnsi"/>
          <w:sz w:val="24"/>
          <w:szCs w:val="24"/>
          <w:lang w:val="en-US"/>
        </w:rPr>
        <w:t xml:space="preserve">. In this case, both generic firms will have zero profits and share the generic demand. </w:t>
      </w:r>
    </w:p>
    <w:p w14:paraId="4DF41C3F" w14:textId="7B44A91B" w:rsidR="002C1F33" w:rsidRDefault="002C1F33" w:rsidP="002C1F33">
      <w:pPr>
        <w:spacing w:after="0" w:line="360" w:lineRule="auto"/>
        <w:jc w:val="both"/>
        <w:rPr>
          <w:rFonts w:eastAsiaTheme="minorEastAsia" w:cstheme="minorHAnsi"/>
          <w:sz w:val="24"/>
          <w:szCs w:val="24"/>
          <w:lang w:val="en-US"/>
        </w:rPr>
      </w:pPr>
    </w:p>
    <w:p w14:paraId="1418737D" w14:textId="77777777" w:rsidR="00DC1D3E" w:rsidRDefault="00DC1D3E" w:rsidP="002C1F33">
      <w:pPr>
        <w:spacing w:after="0" w:line="360" w:lineRule="auto"/>
        <w:jc w:val="both"/>
        <w:rPr>
          <w:rFonts w:eastAsiaTheme="minorEastAsia" w:cstheme="minorHAnsi"/>
          <w:sz w:val="24"/>
          <w:szCs w:val="24"/>
          <w:lang w:val="en-US"/>
        </w:rPr>
      </w:pPr>
    </w:p>
    <w:p w14:paraId="28EC7CA6" w14:textId="77777777" w:rsidR="002C1F33" w:rsidRPr="00FC6AC2" w:rsidRDefault="002C1F33" w:rsidP="002C1F33">
      <w:pPr>
        <w:spacing w:after="0" w:line="360" w:lineRule="auto"/>
        <w:jc w:val="both"/>
        <w:rPr>
          <w:rFonts w:eastAsiaTheme="minorEastAsia" w:cstheme="minorHAnsi"/>
          <w:i/>
          <w:sz w:val="24"/>
          <w:szCs w:val="24"/>
          <w:lang w:val="en-US"/>
        </w:rPr>
      </w:pPr>
      <w:r>
        <w:rPr>
          <w:rFonts w:eastAsiaTheme="minorEastAsia" w:cstheme="minorHAnsi"/>
          <w:i/>
          <w:sz w:val="24"/>
          <w:szCs w:val="24"/>
          <w:lang w:val="en-US"/>
        </w:rPr>
        <w:lastRenderedPageBreak/>
        <w:t>Optimal price for the brand firm</w:t>
      </w:r>
    </w:p>
    <w:p w14:paraId="1376A507" w14:textId="77777777" w:rsidR="002C1F33" w:rsidRDefault="002C1F33" w:rsidP="002C1F33">
      <w:pPr>
        <w:spacing w:after="0" w:line="360" w:lineRule="auto"/>
        <w:jc w:val="both"/>
        <w:rPr>
          <w:rFonts w:eastAsiaTheme="minorEastAsia" w:cstheme="minorHAnsi"/>
          <w:sz w:val="24"/>
          <w:szCs w:val="24"/>
        </w:rPr>
      </w:pPr>
      <w:r w:rsidRPr="00A1340C">
        <w:rPr>
          <w:rFonts w:eastAsiaTheme="minorEastAsia" w:cstheme="minorHAnsi"/>
          <w:sz w:val="24"/>
          <w:szCs w:val="24"/>
          <w:lang w:val="en-US"/>
        </w:rPr>
        <w:t xml:space="preserve">The brand firm can determine its optimal price, knowing the optimal price of the generic firms. The profit function of the brand firm is equal to its market share times the marginal profit. </w:t>
      </w:r>
      <w:r>
        <w:rPr>
          <w:rFonts w:eastAsiaTheme="minorEastAsia" w:cstheme="minorHAnsi"/>
          <w:sz w:val="24"/>
          <w:szCs w:val="24"/>
        </w:rPr>
        <w:t xml:space="preserve">This is as follows: </w:t>
      </w:r>
    </w:p>
    <w:p w14:paraId="49A5C446" w14:textId="77777777" w:rsidR="002C1F33" w:rsidRPr="00012929" w:rsidRDefault="00EE5DF1" w:rsidP="002C1F33">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oMath>
      </m:oMathPara>
    </w:p>
    <w:p w14:paraId="77679D40" w14:textId="77777777" w:rsidR="002C1F33" w:rsidRPr="00A1340C" w:rsidRDefault="002C1F33" w:rsidP="002C1F33">
      <w:pPr>
        <w:spacing w:after="0" w:line="360" w:lineRule="auto"/>
        <w:jc w:val="both"/>
        <w:rPr>
          <w:rFonts w:eastAsiaTheme="minorEastAsia" w:cstheme="minorHAnsi"/>
          <w:sz w:val="24"/>
          <w:szCs w:val="24"/>
          <w:lang w:val="en-US"/>
        </w:rPr>
      </w:pPr>
      <w:r w:rsidRPr="00A1340C">
        <w:rPr>
          <w:rFonts w:eastAsiaTheme="minorEastAsia" w:cstheme="minorHAnsi"/>
          <w:sz w:val="24"/>
          <w:szCs w:val="24"/>
          <w:lang w:val="en-US"/>
        </w:rPr>
        <w:t>This can be rewritten as:</w:t>
      </w:r>
    </w:p>
    <w:p w14:paraId="5D0888B3" w14:textId="77777777" w:rsidR="002C1F33" w:rsidRDefault="00EE5DF1" w:rsidP="002C1F33">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oMath>
      </m:oMathPara>
    </w:p>
    <w:p w14:paraId="2B711CF6" w14:textId="304BC48F" w:rsidR="002C1F33" w:rsidRPr="008C650C" w:rsidRDefault="002C1F33" w:rsidP="002C1F33">
      <w:pPr>
        <w:spacing w:after="0" w:line="360" w:lineRule="auto"/>
        <w:jc w:val="both"/>
        <w:rPr>
          <w:rFonts w:eastAsiaTheme="minorEastAsia" w:cstheme="minorHAnsi"/>
          <w:sz w:val="24"/>
          <w:szCs w:val="24"/>
          <w:lang w:val="en-US"/>
        </w:rPr>
      </w:pPr>
      <w:r w:rsidRPr="008C650C">
        <w:rPr>
          <w:rFonts w:eastAsiaTheme="minorEastAsia" w:cstheme="minorHAnsi"/>
          <w:sz w:val="24"/>
          <w:szCs w:val="24"/>
          <w:lang w:val="en-US"/>
        </w:rPr>
        <w:t>Than the optimal price</w:t>
      </w:r>
      <w:r w:rsidR="00DB22A1">
        <w:rPr>
          <w:rFonts w:eastAsiaTheme="minorEastAsia" w:cstheme="minorHAnsi"/>
          <w:sz w:val="24"/>
          <w:szCs w:val="24"/>
          <w:lang w:val="en-US"/>
        </w:rPr>
        <w:t xml:space="preserve"> and the resulting profit</w:t>
      </w:r>
      <w:r w:rsidRPr="008C650C">
        <w:rPr>
          <w:rFonts w:eastAsiaTheme="minorEastAsia" w:cstheme="minorHAnsi"/>
          <w:sz w:val="24"/>
          <w:szCs w:val="24"/>
          <w:lang w:val="en-US"/>
        </w:rPr>
        <w:t xml:space="preserve"> </w:t>
      </w:r>
      <w:r>
        <w:rPr>
          <w:rFonts w:eastAsiaTheme="minorEastAsia" w:cstheme="minorHAnsi"/>
          <w:sz w:val="24"/>
          <w:szCs w:val="24"/>
          <w:lang w:val="en-US"/>
        </w:rPr>
        <w:t>for t</w:t>
      </w:r>
      <w:r w:rsidRPr="008C650C">
        <w:rPr>
          <w:rFonts w:eastAsiaTheme="minorEastAsia" w:cstheme="minorHAnsi"/>
          <w:sz w:val="24"/>
          <w:szCs w:val="24"/>
          <w:lang w:val="en-US"/>
        </w:rPr>
        <w:t>he brand firm is equal to</w:t>
      </w:r>
      <w:r>
        <w:rPr>
          <w:rStyle w:val="Voetnootmarkering"/>
          <w:rFonts w:eastAsiaTheme="minorEastAsia" w:cstheme="minorHAnsi"/>
          <w:sz w:val="24"/>
          <w:szCs w:val="24"/>
        </w:rPr>
        <w:footnoteReference w:id="6"/>
      </w:r>
      <w:r w:rsidRPr="008C650C">
        <w:rPr>
          <w:rFonts w:eastAsiaTheme="minorEastAsia" w:cstheme="minorHAnsi"/>
          <w:sz w:val="24"/>
          <w:szCs w:val="24"/>
          <w:lang w:val="en-US"/>
        </w:rPr>
        <w:t>:</w:t>
      </w:r>
    </w:p>
    <w:p w14:paraId="2D70CC5B" w14:textId="2EB5ACB8" w:rsidR="002C1F33" w:rsidRPr="00DB22A1" w:rsidRDefault="00EE5DF1" w:rsidP="002C1F33">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rPr>
                <m:t>2</m:t>
              </m:r>
            </m:den>
          </m:f>
          <m:r>
            <w:rPr>
              <w:rFonts w:ascii="Cambria Math" w:eastAsiaTheme="minorEastAsia" w:hAnsi="Cambria Math" w:cstheme="minorHAnsi"/>
              <w:sz w:val="24"/>
              <w:szCs w:val="24"/>
            </w:rPr>
            <m:t>+c</m:t>
          </m:r>
        </m:oMath>
      </m:oMathPara>
    </w:p>
    <w:p w14:paraId="0AAFD85A" w14:textId="26A632D1" w:rsidR="00DB22A1" w:rsidRPr="008C650C" w:rsidRDefault="00EE5DF1" w:rsidP="002C1F33">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rPr>
                <m:t>4</m:t>
              </m:r>
            </m:den>
          </m:f>
        </m:oMath>
      </m:oMathPara>
    </w:p>
    <w:p w14:paraId="5B5C815E" w14:textId="77777777" w:rsidR="002C1F33" w:rsidRDefault="002C1F33" w:rsidP="002C1F33">
      <w:pPr>
        <w:spacing w:after="0" w:line="360" w:lineRule="auto"/>
        <w:jc w:val="both"/>
        <w:rPr>
          <w:rFonts w:eastAsiaTheme="minorEastAsia" w:cstheme="minorHAnsi"/>
          <w:sz w:val="24"/>
          <w:szCs w:val="24"/>
        </w:rPr>
      </w:pPr>
    </w:p>
    <w:p w14:paraId="06DBE9D7" w14:textId="77777777" w:rsidR="002C1F33" w:rsidRDefault="002C1F33" w:rsidP="002C1F33">
      <w:pPr>
        <w:pStyle w:val="Kop3"/>
        <w:spacing w:before="0" w:line="360" w:lineRule="auto"/>
        <w:rPr>
          <w:rFonts w:eastAsiaTheme="minorEastAsia"/>
          <w:b/>
          <w:color w:val="auto"/>
          <w:lang w:val="en-US"/>
        </w:rPr>
      </w:pPr>
      <w:bookmarkStart w:id="14" w:name="_Toc14787847"/>
      <w:r>
        <w:rPr>
          <w:rFonts w:eastAsiaTheme="minorEastAsia"/>
          <w:b/>
          <w:color w:val="auto"/>
          <w:lang w:val="en-US"/>
        </w:rPr>
        <w:t xml:space="preserve">2.2.3 One brand firm and n </w:t>
      </w:r>
      <w:r w:rsidRPr="00F42715">
        <w:rPr>
          <w:rFonts w:eastAsiaTheme="minorEastAsia"/>
          <w:b/>
          <w:color w:val="auto"/>
          <w:lang w:val="en-US"/>
        </w:rPr>
        <w:t>generic firms</w:t>
      </w:r>
      <w:bookmarkEnd w:id="14"/>
    </w:p>
    <w:p w14:paraId="3DA685CB" w14:textId="77777777" w:rsidR="002C1F33" w:rsidRDefault="002C1F33" w:rsidP="002C1F33">
      <w:pPr>
        <w:spacing w:after="0" w:line="360" w:lineRule="auto"/>
        <w:jc w:val="both"/>
        <w:rPr>
          <w:sz w:val="24"/>
          <w:szCs w:val="24"/>
          <w:lang w:val="en-US"/>
        </w:rPr>
      </w:pPr>
      <w:r>
        <w:rPr>
          <w:sz w:val="24"/>
          <w:szCs w:val="24"/>
          <w:lang w:val="en-US"/>
        </w:rPr>
        <w:t xml:space="preserve">The previous analysis showed that, when two generic firms enter the market, the optimal price of the generic firms is equal to the marginal cost. When more generic firms enter the market, the optimal price for these firms remain equal to their marginal costs. </w:t>
      </w:r>
    </w:p>
    <w:p w14:paraId="3867886D" w14:textId="77777777" w:rsidR="002C1F33" w:rsidRDefault="002C1F33" w:rsidP="001E304F">
      <w:pPr>
        <w:spacing w:after="0" w:line="360" w:lineRule="auto"/>
        <w:jc w:val="both"/>
        <w:rPr>
          <w:sz w:val="24"/>
          <w:szCs w:val="24"/>
          <w:lang w:val="en-US"/>
        </w:rPr>
      </w:pPr>
      <w:r>
        <w:rPr>
          <w:sz w:val="24"/>
          <w:szCs w:val="24"/>
          <w:lang w:val="en-US"/>
        </w:rPr>
        <w:t xml:space="preserve">Following the same reasoning as before, when a new generic entrant charges a price higher than the marginal costs, this will lead to no demand for this entrant. Other generic firms charge a lower price and consumers value the generic drug firms the same. So, it is not optimal for a new generic entrant to charge a higher price. It is also not profitable for the generic entrant to charge a price lower than the marginal costs. In this way he will get all the demand because he charges the lowest price, but this will lead to losses since the marginal revenue is lower than the marginal costs. </w:t>
      </w:r>
    </w:p>
    <w:p w14:paraId="14542041" w14:textId="76E9829B" w:rsidR="002C1F33" w:rsidRDefault="002C1F33" w:rsidP="001E304F">
      <w:pPr>
        <w:spacing w:after="0" w:line="360" w:lineRule="auto"/>
        <w:jc w:val="both"/>
        <w:rPr>
          <w:rFonts w:asciiTheme="majorHAnsi" w:eastAsiaTheme="majorEastAsia" w:hAnsiTheme="majorHAnsi" w:cstheme="majorBidi"/>
          <w:b/>
          <w:sz w:val="32"/>
          <w:szCs w:val="32"/>
          <w:lang w:val="en-US"/>
        </w:rPr>
      </w:pPr>
      <w:r>
        <w:rPr>
          <w:sz w:val="24"/>
          <w:szCs w:val="24"/>
          <w:lang w:val="en-US"/>
        </w:rPr>
        <w:t>So, when more generic firms enter the market, say n firms, the outcome remains the same as when there are just two generic firms in the market. The optimal price of the generic firms remains</w:t>
      </w:r>
      <w:r>
        <w:rPr>
          <w:rFonts w:eastAsiaTheme="minorEastAsia"/>
          <w:sz w:val="24"/>
          <w:szCs w:val="24"/>
          <w:lang w:val="en-US"/>
        </w:rPr>
        <w:t xml:space="preserve">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sidRPr="00E26797">
        <w:rPr>
          <w:rFonts w:eastAsiaTheme="minorEastAsia"/>
          <w:sz w:val="24"/>
          <w:szCs w:val="24"/>
          <w:lang w:val="en-US"/>
        </w:rPr>
        <w:t xml:space="preserve"> </w:t>
      </w:r>
      <w:r>
        <w:rPr>
          <w:sz w:val="24"/>
          <w:szCs w:val="24"/>
          <w:lang w:val="en-US"/>
        </w:rPr>
        <w:t xml:space="preserve">and the optimal price for the brand firms also remains </w:t>
      </w:r>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sidRPr="00E26797">
        <w:rPr>
          <w:rFonts w:eastAsiaTheme="minorEastAsia"/>
          <w:sz w:val="24"/>
          <w:szCs w:val="24"/>
          <w:lang w:val="en-US"/>
        </w:rPr>
        <w:t xml:space="preserve">. </w:t>
      </w:r>
      <w:r>
        <w:rPr>
          <w:b/>
          <w:lang w:val="en-US"/>
        </w:rPr>
        <w:br w:type="page"/>
      </w:r>
    </w:p>
    <w:p w14:paraId="24179473" w14:textId="0F3A4EE8" w:rsidR="00EE30EE" w:rsidRPr="00950D55" w:rsidRDefault="002C1F33" w:rsidP="0012385D">
      <w:pPr>
        <w:pStyle w:val="Kop1"/>
        <w:spacing w:before="0" w:line="360" w:lineRule="auto"/>
        <w:jc w:val="center"/>
        <w:rPr>
          <w:b/>
          <w:color w:val="auto"/>
          <w:lang w:val="en-US"/>
        </w:rPr>
      </w:pPr>
      <w:bookmarkStart w:id="15" w:name="_Toc14787848"/>
      <w:r>
        <w:rPr>
          <w:b/>
          <w:color w:val="auto"/>
          <w:lang w:val="en-US"/>
        </w:rPr>
        <w:lastRenderedPageBreak/>
        <w:t xml:space="preserve">4. </w:t>
      </w:r>
      <w:r w:rsidR="00990160" w:rsidRPr="00950D55">
        <w:rPr>
          <w:b/>
          <w:color w:val="auto"/>
          <w:lang w:val="en-US"/>
        </w:rPr>
        <w:t>Entry deterring in the pharmaceutical market</w:t>
      </w:r>
      <w:bookmarkEnd w:id="15"/>
    </w:p>
    <w:p w14:paraId="37A6D2A6" w14:textId="25CD3169" w:rsidR="00EE30EE" w:rsidRDefault="00EE30EE" w:rsidP="009D52C0">
      <w:pPr>
        <w:spacing w:after="0" w:line="360" w:lineRule="auto"/>
        <w:jc w:val="both"/>
        <w:rPr>
          <w:b/>
          <w:lang w:val="en-US"/>
        </w:rPr>
      </w:pPr>
    </w:p>
    <w:p w14:paraId="4BED54C0" w14:textId="0A3CC30C" w:rsidR="00310CFC" w:rsidRPr="00310CFC" w:rsidRDefault="00310CFC" w:rsidP="009D52C0">
      <w:pPr>
        <w:spacing w:after="0" w:line="360" w:lineRule="auto"/>
        <w:jc w:val="both"/>
        <w:rPr>
          <w:sz w:val="24"/>
          <w:lang w:val="en-US"/>
        </w:rPr>
      </w:pPr>
      <w:r w:rsidRPr="00310CFC">
        <w:rPr>
          <w:sz w:val="24"/>
          <w:lang w:val="en-US"/>
        </w:rPr>
        <w:t xml:space="preserve">The pharmaceutical market is characterized by </w:t>
      </w:r>
      <w:r w:rsidR="0063363B">
        <w:rPr>
          <w:sz w:val="24"/>
          <w:lang w:val="en-US"/>
        </w:rPr>
        <w:t xml:space="preserve">several advantages for firms that enter a specific drug market first. In this section lock-in of consumers and first-mover advantages will be explained in this context. After that, possibilities for entry deterring strategies </w:t>
      </w:r>
      <w:r w:rsidR="002349F9">
        <w:rPr>
          <w:sz w:val="24"/>
          <w:lang w:val="en-US"/>
        </w:rPr>
        <w:t>will be discussed</w:t>
      </w:r>
      <w:r w:rsidR="00DC1D3E">
        <w:rPr>
          <w:sz w:val="24"/>
          <w:lang w:val="en-US"/>
        </w:rPr>
        <w:t xml:space="preserve"> and analyzed</w:t>
      </w:r>
      <w:r w:rsidR="002349F9">
        <w:rPr>
          <w:sz w:val="24"/>
          <w:lang w:val="en-US"/>
        </w:rPr>
        <w:t xml:space="preserve">. </w:t>
      </w:r>
    </w:p>
    <w:p w14:paraId="02B99D1E" w14:textId="77777777" w:rsidR="00310CFC" w:rsidRPr="00950D55" w:rsidRDefault="00310CFC" w:rsidP="009D52C0">
      <w:pPr>
        <w:spacing w:after="0" w:line="360" w:lineRule="auto"/>
        <w:jc w:val="both"/>
        <w:rPr>
          <w:b/>
          <w:lang w:val="en-US"/>
        </w:rPr>
      </w:pPr>
    </w:p>
    <w:p w14:paraId="15EC001A" w14:textId="4747D000" w:rsidR="00EE30EE" w:rsidRPr="00950D55" w:rsidRDefault="001E304F" w:rsidP="00670E77">
      <w:pPr>
        <w:pStyle w:val="Kop2"/>
        <w:spacing w:before="0" w:line="360" w:lineRule="auto"/>
        <w:jc w:val="both"/>
        <w:rPr>
          <w:b/>
          <w:color w:val="auto"/>
          <w:lang w:val="en-US"/>
        </w:rPr>
      </w:pPr>
      <w:bookmarkStart w:id="16" w:name="_Toc14787849"/>
      <w:r>
        <w:rPr>
          <w:b/>
          <w:color w:val="auto"/>
          <w:lang w:val="en-US"/>
        </w:rPr>
        <w:t>4</w:t>
      </w:r>
      <w:r w:rsidR="00EE30EE" w:rsidRPr="00950D55">
        <w:rPr>
          <w:b/>
          <w:color w:val="auto"/>
          <w:lang w:val="en-US"/>
        </w:rPr>
        <w:t>.1 Lock-in c</w:t>
      </w:r>
      <w:r w:rsidR="0063363B">
        <w:rPr>
          <w:b/>
          <w:color w:val="auto"/>
          <w:lang w:val="en-US"/>
        </w:rPr>
        <w:t>onsumers</w:t>
      </w:r>
      <w:bookmarkEnd w:id="16"/>
    </w:p>
    <w:p w14:paraId="2614A010" w14:textId="77777777" w:rsidR="00DC1D3E" w:rsidRDefault="00D01566" w:rsidP="00670E77">
      <w:pPr>
        <w:spacing w:after="0" w:line="360" w:lineRule="auto"/>
        <w:jc w:val="both"/>
        <w:rPr>
          <w:sz w:val="24"/>
          <w:lang w:val="en-US"/>
        </w:rPr>
      </w:pPr>
      <w:r>
        <w:rPr>
          <w:sz w:val="24"/>
          <w:lang w:val="en-US"/>
        </w:rPr>
        <w:t xml:space="preserve">Some </w:t>
      </w:r>
      <w:r w:rsidR="00613F71">
        <w:rPr>
          <w:sz w:val="24"/>
          <w:lang w:val="en-US"/>
        </w:rPr>
        <w:t>medicine</w:t>
      </w:r>
      <w:r w:rsidR="00DC1D3E">
        <w:rPr>
          <w:sz w:val="24"/>
          <w:lang w:val="en-US"/>
        </w:rPr>
        <w:t>s need</w:t>
      </w:r>
      <w:r w:rsidR="00613F71">
        <w:rPr>
          <w:sz w:val="24"/>
          <w:lang w:val="en-US"/>
        </w:rPr>
        <w:t xml:space="preserve"> to be consumed more than just once. This means that customers need to follow some sort of drug schedule</w:t>
      </w:r>
      <w:r w:rsidR="00DC1D3E">
        <w:rPr>
          <w:sz w:val="24"/>
          <w:lang w:val="en-US"/>
        </w:rPr>
        <w:t xml:space="preserve"> and for some drugs this could take</w:t>
      </w:r>
      <w:r w:rsidR="00613F71">
        <w:rPr>
          <w:sz w:val="24"/>
          <w:lang w:val="en-US"/>
        </w:rPr>
        <w:t xml:space="preserve"> a long period. Therefore, when generic firms enter the market, not all customers can immediately switch to this drug. Sometimes, c</w:t>
      </w:r>
      <w:r w:rsidR="000F4BAC">
        <w:rPr>
          <w:sz w:val="24"/>
          <w:lang w:val="en-US"/>
        </w:rPr>
        <w:t>onsumers</w:t>
      </w:r>
      <w:r w:rsidR="00613F71">
        <w:rPr>
          <w:sz w:val="24"/>
          <w:lang w:val="en-US"/>
        </w:rPr>
        <w:t xml:space="preserve"> can switch but then they need to start all over with some prescription. This means that there are some switching costs for customers in the market. Because the brand drug is the pioneer in the market it can have a substantial customer base. </w:t>
      </w:r>
      <w:r w:rsidR="001550AE">
        <w:rPr>
          <w:sz w:val="24"/>
          <w:lang w:val="en-US"/>
        </w:rPr>
        <w:t xml:space="preserve">Also, when physicians have a contract with a brand drug, they cannot immediately switch to a generic drug when it enters the market. </w:t>
      </w:r>
      <w:r w:rsidR="00BB44CB">
        <w:rPr>
          <w:sz w:val="24"/>
          <w:lang w:val="en-US"/>
        </w:rPr>
        <w:t xml:space="preserve">Furthermore, customers that use a brand drug need to inform themselves about potential new, cheaper generic drug. </w:t>
      </w:r>
      <w:r w:rsidR="00A712FD">
        <w:rPr>
          <w:sz w:val="24"/>
          <w:lang w:val="en-US"/>
        </w:rPr>
        <w:t>Otherwise, they would not have another option then to buy the brand drug.</w:t>
      </w:r>
    </w:p>
    <w:p w14:paraId="19CC9819" w14:textId="5F07FDF5" w:rsidR="00EE30EE" w:rsidRDefault="00DC1D3E" w:rsidP="00670E77">
      <w:pPr>
        <w:spacing w:after="0" w:line="360" w:lineRule="auto"/>
        <w:jc w:val="both"/>
        <w:rPr>
          <w:sz w:val="24"/>
          <w:lang w:val="en-US"/>
        </w:rPr>
      </w:pPr>
      <w:r>
        <w:rPr>
          <w:sz w:val="24"/>
          <w:lang w:val="en-US"/>
        </w:rPr>
        <w:t xml:space="preserve">So, firms that are first in the market can lock-in some consumers. This will at least in the short term lead to a more stable customer base. However, in the long run consumers can still decide to switch to another supplier of the drug. New consumers can immediately switch to these drugs because they do not necessarily have to follow a specific drug schedule. </w:t>
      </w:r>
      <w:r w:rsidR="00A712FD">
        <w:rPr>
          <w:sz w:val="24"/>
          <w:lang w:val="en-US"/>
        </w:rPr>
        <w:t xml:space="preserve"> </w:t>
      </w:r>
    </w:p>
    <w:p w14:paraId="58F3C8D4" w14:textId="77777777" w:rsidR="00EE30EE" w:rsidRPr="00950D55" w:rsidRDefault="00EE30EE" w:rsidP="00670E77">
      <w:pPr>
        <w:spacing w:after="0" w:line="360" w:lineRule="auto"/>
        <w:jc w:val="both"/>
        <w:rPr>
          <w:b/>
          <w:lang w:val="en-US"/>
        </w:rPr>
      </w:pPr>
    </w:p>
    <w:p w14:paraId="1B6C4D60" w14:textId="6E7A5E39" w:rsidR="00EE30EE" w:rsidRDefault="001E304F" w:rsidP="00670E77">
      <w:pPr>
        <w:pStyle w:val="Kop2"/>
        <w:spacing w:before="0" w:line="360" w:lineRule="auto"/>
        <w:jc w:val="both"/>
        <w:rPr>
          <w:b/>
          <w:color w:val="auto"/>
          <w:lang w:val="en-US"/>
        </w:rPr>
      </w:pPr>
      <w:bookmarkStart w:id="17" w:name="_Toc14787850"/>
      <w:r>
        <w:rPr>
          <w:b/>
          <w:color w:val="auto"/>
          <w:lang w:val="en-US"/>
        </w:rPr>
        <w:t>4</w:t>
      </w:r>
      <w:r w:rsidR="00EE30EE" w:rsidRPr="00950D55">
        <w:rPr>
          <w:b/>
          <w:color w:val="auto"/>
          <w:lang w:val="en-US"/>
        </w:rPr>
        <w:t>.2 First-mover advantages</w:t>
      </w:r>
      <w:bookmarkEnd w:id="17"/>
    </w:p>
    <w:p w14:paraId="24E125FB" w14:textId="71794604" w:rsidR="00670E77" w:rsidRDefault="00670E77" w:rsidP="00670E77">
      <w:pPr>
        <w:spacing w:after="0" w:line="360" w:lineRule="auto"/>
        <w:jc w:val="both"/>
        <w:rPr>
          <w:sz w:val="24"/>
          <w:szCs w:val="24"/>
          <w:lang w:val="en-US"/>
        </w:rPr>
      </w:pPr>
      <w:r>
        <w:rPr>
          <w:sz w:val="24"/>
          <w:szCs w:val="24"/>
          <w:lang w:val="en-US"/>
        </w:rPr>
        <w:t>The US pharmaceutical market is characterized with first-mover advantages. Thi</w:t>
      </w:r>
      <w:r w:rsidR="00A712FD">
        <w:rPr>
          <w:sz w:val="24"/>
          <w:szCs w:val="24"/>
          <w:lang w:val="en-US"/>
        </w:rPr>
        <w:t xml:space="preserve">s phenomenon is explained by </w:t>
      </w:r>
      <w:r>
        <w:rPr>
          <w:sz w:val="24"/>
          <w:szCs w:val="24"/>
          <w:lang w:val="en-US"/>
        </w:rPr>
        <w:t xml:space="preserve">Schmalensee. He </w:t>
      </w:r>
      <w:r w:rsidR="00DC1D3E">
        <w:rPr>
          <w:sz w:val="24"/>
          <w:szCs w:val="24"/>
          <w:lang w:val="en-US"/>
        </w:rPr>
        <w:t>argues</w:t>
      </w:r>
      <w:r>
        <w:rPr>
          <w:sz w:val="24"/>
          <w:szCs w:val="24"/>
          <w:lang w:val="en-US"/>
        </w:rPr>
        <w:t xml:space="preserve"> that when firms enter sequentially in the market and when consumers are convinced that the product of the first firm performs satisfactorily, that this product will become the standard</w:t>
      </w:r>
      <w:sdt>
        <w:sdtPr>
          <w:rPr>
            <w:sz w:val="24"/>
            <w:szCs w:val="24"/>
            <w:lang w:val="en-US"/>
          </w:rPr>
          <w:id w:val="1592283225"/>
          <w:citation/>
        </w:sdtPr>
        <w:sdtEndPr/>
        <w:sdtContent>
          <w:r>
            <w:rPr>
              <w:sz w:val="24"/>
              <w:szCs w:val="24"/>
              <w:lang w:val="en-US"/>
            </w:rPr>
            <w:fldChar w:fldCharType="begin"/>
          </w:r>
          <w:r w:rsidRPr="00670E77">
            <w:rPr>
              <w:sz w:val="24"/>
              <w:szCs w:val="24"/>
              <w:lang w:val="en-US"/>
            </w:rPr>
            <w:instrText xml:space="preserve"> CITATION Sch82 \l 1043 </w:instrText>
          </w:r>
          <w:r>
            <w:rPr>
              <w:sz w:val="24"/>
              <w:szCs w:val="24"/>
              <w:lang w:val="en-US"/>
            </w:rPr>
            <w:fldChar w:fldCharType="separate"/>
          </w:r>
          <w:r w:rsidR="00D86665">
            <w:rPr>
              <w:noProof/>
              <w:sz w:val="24"/>
              <w:szCs w:val="24"/>
              <w:lang w:val="en-US"/>
            </w:rPr>
            <w:t xml:space="preserve"> </w:t>
          </w:r>
          <w:r w:rsidR="00D86665" w:rsidRPr="00D86665">
            <w:rPr>
              <w:noProof/>
              <w:sz w:val="24"/>
              <w:szCs w:val="24"/>
              <w:lang w:val="en-US"/>
            </w:rPr>
            <w:t>(Schmalensee, 1982)</w:t>
          </w:r>
          <w:r>
            <w:rPr>
              <w:sz w:val="24"/>
              <w:szCs w:val="24"/>
              <w:lang w:val="en-US"/>
            </w:rPr>
            <w:fldChar w:fldCharType="end"/>
          </w:r>
        </w:sdtContent>
      </w:sdt>
      <w:r>
        <w:rPr>
          <w:sz w:val="24"/>
          <w:szCs w:val="24"/>
          <w:lang w:val="en-US"/>
        </w:rPr>
        <w:t>.</w:t>
      </w:r>
      <w:r w:rsidR="00D56CC1">
        <w:rPr>
          <w:sz w:val="24"/>
          <w:szCs w:val="24"/>
          <w:lang w:val="en-US"/>
        </w:rPr>
        <w:t xml:space="preserve"> So, it becomes harder and harder for later entrants to get some market share. The paper also states that even if a potential late entrant expect that the incumbent brand will not lower its own price if the entrant enters, the first-mover advantages may still deter entry. </w:t>
      </w:r>
    </w:p>
    <w:p w14:paraId="4015F785" w14:textId="33A3183B" w:rsidR="00141A10" w:rsidRDefault="00A712FD" w:rsidP="009D52C0">
      <w:pPr>
        <w:spacing w:after="0" w:line="360" w:lineRule="auto"/>
        <w:jc w:val="both"/>
        <w:rPr>
          <w:sz w:val="24"/>
          <w:szCs w:val="24"/>
          <w:lang w:val="en-US"/>
        </w:rPr>
      </w:pPr>
      <w:r>
        <w:rPr>
          <w:sz w:val="24"/>
          <w:szCs w:val="24"/>
          <w:lang w:val="en-US"/>
        </w:rPr>
        <w:lastRenderedPageBreak/>
        <w:t xml:space="preserve">Scherer and </w:t>
      </w:r>
      <w:r w:rsidR="00D56CC1">
        <w:rPr>
          <w:sz w:val="24"/>
          <w:szCs w:val="24"/>
          <w:lang w:val="en-US"/>
        </w:rPr>
        <w:t>Ross</w:t>
      </w:r>
      <w:r>
        <w:rPr>
          <w:sz w:val="24"/>
          <w:szCs w:val="24"/>
          <w:lang w:val="en-US"/>
        </w:rPr>
        <w:t xml:space="preserve"> (1990)</w:t>
      </w:r>
      <w:r w:rsidR="00D56CC1">
        <w:rPr>
          <w:sz w:val="24"/>
          <w:szCs w:val="24"/>
          <w:lang w:val="en-US"/>
        </w:rPr>
        <w:t xml:space="preserve"> explained the first-mover advantages in the pharmaceutical market. They conclude that the first movers, the brand pioneers, have natural product differentiation</w:t>
      </w:r>
      <w:r w:rsidR="000F4BAC">
        <w:rPr>
          <w:sz w:val="24"/>
          <w:szCs w:val="24"/>
          <w:lang w:val="en-US"/>
        </w:rPr>
        <w:t xml:space="preserve"> </w:t>
      </w:r>
      <w:r w:rsidR="00D56CC1">
        <w:rPr>
          <w:sz w:val="24"/>
          <w:szCs w:val="24"/>
          <w:lang w:val="en-US"/>
        </w:rPr>
        <w:t xml:space="preserve">advantages. These advantages </w:t>
      </w:r>
      <w:r w:rsidR="009F2EEA">
        <w:rPr>
          <w:sz w:val="24"/>
          <w:szCs w:val="24"/>
          <w:lang w:val="en-US"/>
        </w:rPr>
        <w:t>allow</w:t>
      </w:r>
      <w:r w:rsidR="00D56CC1">
        <w:rPr>
          <w:sz w:val="24"/>
          <w:szCs w:val="24"/>
          <w:lang w:val="en-US"/>
        </w:rPr>
        <w:t xml:space="preserve"> them to charge a higher price compared to later entrants and retain a considerable market share</w:t>
      </w:r>
      <w:sdt>
        <w:sdtPr>
          <w:rPr>
            <w:sz w:val="24"/>
            <w:szCs w:val="24"/>
            <w:lang w:val="en-US"/>
          </w:rPr>
          <w:id w:val="1881821260"/>
          <w:citation/>
        </w:sdtPr>
        <w:sdtEndPr/>
        <w:sdtContent>
          <w:r w:rsidR="008E5781">
            <w:rPr>
              <w:sz w:val="24"/>
              <w:szCs w:val="24"/>
              <w:lang w:val="en-US"/>
            </w:rPr>
            <w:fldChar w:fldCharType="begin"/>
          </w:r>
          <w:r w:rsidR="008E5781" w:rsidRPr="008E5781">
            <w:rPr>
              <w:sz w:val="24"/>
              <w:szCs w:val="24"/>
              <w:lang w:val="en-US"/>
            </w:rPr>
            <w:instrText xml:space="preserve"> CITATION Sch90 \l 1043 </w:instrText>
          </w:r>
          <w:r w:rsidR="008E5781">
            <w:rPr>
              <w:sz w:val="24"/>
              <w:szCs w:val="24"/>
              <w:lang w:val="en-US"/>
            </w:rPr>
            <w:fldChar w:fldCharType="separate"/>
          </w:r>
          <w:r w:rsidR="00D86665">
            <w:rPr>
              <w:noProof/>
              <w:sz w:val="24"/>
              <w:szCs w:val="24"/>
              <w:lang w:val="en-US"/>
            </w:rPr>
            <w:t xml:space="preserve"> </w:t>
          </w:r>
          <w:r w:rsidR="00D86665" w:rsidRPr="00D86665">
            <w:rPr>
              <w:noProof/>
              <w:sz w:val="24"/>
              <w:szCs w:val="24"/>
              <w:lang w:val="en-US"/>
            </w:rPr>
            <w:t>(Scherer &amp; Ross, 1990)</w:t>
          </w:r>
          <w:r w:rsidR="008E5781">
            <w:rPr>
              <w:sz w:val="24"/>
              <w:szCs w:val="24"/>
              <w:lang w:val="en-US"/>
            </w:rPr>
            <w:fldChar w:fldCharType="end"/>
          </w:r>
        </w:sdtContent>
      </w:sdt>
      <w:r w:rsidR="00D56CC1">
        <w:rPr>
          <w:sz w:val="24"/>
          <w:szCs w:val="24"/>
          <w:lang w:val="en-US"/>
        </w:rPr>
        <w:t xml:space="preserve">. </w:t>
      </w:r>
    </w:p>
    <w:p w14:paraId="323659C6" w14:textId="77777777" w:rsidR="000F4BAC" w:rsidRPr="00950D55" w:rsidRDefault="000F4BAC" w:rsidP="009D52C0">
      <w:pPr>
        <w:spacing w:after="0" w:line="360" w:lineRule="auto"/>
        <w:jc w:val="both"/>
        <w:rPr>
          <w:sz w:val="24"/>
          <w:szCs w:val="24"/>
          <w:lang w:val="en-US"/>
        </w:rPr>
      </w:pPr>
    </w:p>
    <w:p w14:paraId="25C575AC" w14:textId="42FD9E72" w:rsidR="009D52C0" w:rsidRPr="00950D55" w:rsidRDefault="001E304F" w:rsidP="009D52C0">
      <w:pPr>
        <w:pStyle w:val="Kop2"/>
        <w:spacing w:before="0" w:line="360" w:lineRule="auto"/>
        <w:jc w:val="both"/>
        <w:rPr>
          <w:b/>
          <w:color w:val="auto"/>
          <w:lang w:val="en-US"/>
        </w:rPr>
      </w:pPr>
      <w:bookmarkStart w:id="18" w:name="_Toc14787851"/>
      <w:r>
        <w:rPr>
          <w:b/>
          <w:color w:val="auto"/>
          <w:lang w:val="en-US"/>
        </w:rPr>
        <w:t>4</w:t>
      </w:r>
      <w:r w:rsidR="00141A10" w:rsidRPr="00950D55">
        <w:rPr>
          <w:b/>
          <w:color w:val="auto"/>
          <w:lang w:val="en-US"/>
        </w:rPr>
        <w:t xml:space="preserve">.3 Deciding on entry deterring </w:t>
      </w:r>
      <w:r w:rsidR="002754C7" w:rsidRPr="00950D55">
        <w:rPr>
          <w:b/>
          <w:color w:val="auto"/>
          <w:lang w:val="en-US"/>
        </w:rPr>
        <w:t>behavior</w:t>
      </w:r>
      <w:bookmarkEnd w:id="18"/>
    </w:p>
    <w:p w14:paraId="111D5F9B" w14:textId="79C03804" w:rsidR="00430FCC" w:rsidRDefault="009D52C0" w:rsidP="002E731C">
      <w:pPr>
        <w:spacing w:after="0" w:line="360" w:lineRule="auto"/>
        <w:jc w:val="both"/>
        <w:rPr>
          <w:rFonts w:eastAsiaTheme="minorEastAsia"/>
          <w:sz w:val="24"/>
          <w:szCs w:val="24"/>
          <w:lang w:val="en-US"/>
        </w:rPr>
      </w:pPr>
      <w:r w:rsidRPr="00950D55">
        <w:rPr>
          <w:sz w:val="24"/>
          <w:szCs w:val="24"/>
          <w:lang w:val="en-US"/>
        </w:rPr>
        <w:t>Knowing all this, the incumbent</w:t>
      </w:r>
      <w:r w:rsidR="007450A9">
        <w:rPr>
          <w:sz w:val="24"/>
          <w:szCs w:val="24"/>
          <w:lang w:val="en-US"/>
        </w:rPr>
        <w:t xml:space="preserve"> brand</w:t>
      </w:r>
      <w:r w:rsidRPr="00950D55">
        <w:rPr>
          <w:sz w:val="24"/>
          <w:szCs w:val="24"/>
          <w:lang w:val="en-US"/>
        </w:rPr>
        <w:t xml:space="preserve"> firm can try to deter entry. In this way he w</w:t>
      </w:r>
      <w:r w:rsidR="003372BD">
        <w:rPr>
          <w:sz w:val="24"/>
          <w:szCs w:val="24"/>
          <w:lang w:val="en-US"/>
        </w:rPr>
        <w:t>ill still be a monopolist</w:t>
      </w:r>
      <w:r w:rsidR="00794639">
        <w:rPr>
          <w:sz w:val="24"/>
          <w:szCs w:val="24"/>
          <w:lang w:val="en-US"/>
        </w:rPr>
        <w:t>, but with a limit price as monopoly price. In this way the drug firm maintains its position as monopolist and deter</w:t>
      </w:r>
      <w:r w:rsidR="000048D1">
        <w:rPr>
          <w:sz w:val="24"/>
          <w:szCs w:val="24"/>
          <w:lang w:val="en-US"/>
        </w:rPr>
        <w:t>s</w:t>
      </w:r>
      <w:r w:rsidR="00794639">
        <w:rPr>
          <w:sz w:val="24"/>
          <w:szCs w:val="24"/>
          <w:lang w:val="en-US"/>
        </w:rPr>
        <w:t xml:space="preserve"> potential generic entry.</w:t>
      </w:r>
      <w:r w:rsidR="002E731C" w:rsidRPr="00950D55">
        <w:rPr>
          <w:rFonts w:eastAsiaTheme="minorEastAsia"/>
          <w:sz w:val="24"/>
          <w:szCs w:val="24"/>
          <w:lang w:val="en-US"/>
        </w:rPr>
        <w:t xml:space="preserve"> If the incumbent firm decides not to deter entry, the entrant will </w:t>
      </w:r>
      <w:r w:rsidR="00A303D8">
        <w:rPr>
          <w:rFonts w:eastAsiaTheme="minorEastAsia"/>
          <w:sz w:val="24"/>
          <w:szCs w:val="24"/>
          <w:lang w:val="en-US"/>
        </w:rPr>
        <w:t>enter. Eventually, more generic drug firms will enter the market</w:t>
      </w:r>
      <w:r w:rsidR="00EA053C">
        <w:rPr>
          <w:rFonts w:eastAsiaTheme="minorEastAsia"/>
          <w:sz w:val="24"/>
          <w:szCs w:val="24"/>
          <w:lang w:val="en-US"/>
        </w:rPr>
        <w:t>.</w:t>
      </w:r>
      <w:r w:rsidR="00A303D8">
        <w:rPr>
          <w:rFonts w:eastAsiaTheme="minorEastAsia"/>
          <w:sz w:val="24"/>
          <w:szCs w:val="24"/>
          <w:lang w:val="en-US"/>
        </w:rPr>
        <w:t xml:space="preserve"> </w:t>
      </w:r>
    </w:p>
    <w:p w14:paraId="531239E9" w14:textId="77777777" w:rsidR="00EA053C" w:rsidRDefault="00EA053C" w:rsidP="002E731C">
      <w:pPr>
        <w:spacing w:after="0" w:line="360" w:lineRule="auto"/>
        <w:jc w:val="both"/>
        <w:rPr>
          <w:rFonts w:eastAsiaTheme="minorEastAsia"/>
          <w:sz w:val="24"/>
          <w:szCs w:val="24"/>
          <w:lang w:val="en-US"/>
        </w:rPr>
      </w:pPr>
    </w:p>
    <w:p w14:paraId="7C2335BB" w14:textId="722B33A1" w:rsidR="002C3472" w:rsidRDefault="00430FCC" w:rsidP="002E731C">
      <w:pPr>
        <w:spacing w:after="0" w:line="360" w:lineRule="auto"/>
        <w:jc w:val="both"/>
        <w:rPr>
          <w:rFonts w:eastAsiaTheme="minorEastAsia"/>
          <w:sz w:val="24"/>
          <w:szCs w:val="24"/>
          <w:lang w:val="en-US"/>
        </w:rPr>
      </w:pPr>
      <w:r>
        <w:rPr>
          <w:rFonts w:eastAsiaTheme="minorEastAsia"/>
          <w:sz w:val="24"/>
          <w:szCs w:val="24"/>
          <w:lang w:val="en-US"/>
        </w:rPr>
        <w:t xml:space="preserve">The generic firm will only enter the market when the </w:t>
      </w:r>
      <w:r w:rsidR="000048D1">
        <w:rPr>
          <w:rFonts w:eastAsiaTheme="minorEastAsia"/>
          <w:sz w:val="24"/>
          <w:szCs w:val="24"/>
          <w:lang w:val="en-US"/>
        </w:rPr>
        <w:t xml:space="preserve">expected </w:t>
      </w:r>
      <w:r>
        <w:rPr>
          <w:rFonts w:eastAsiaTheme="minorEastAsia"/>
          <w:sz w:val="24"/>
          <w:szCs w:val="24"/>
          <w:lang w:val="en-US"/>
        </w:rPr>
        <w:t xml:space="preserve">post-entry profit is nonnegative. </w:t>
      </w:r>
      <w:r w:rsidR="002349F9">
        <w:rPr>
          <w:rFonts w:eastAsiaTheme="minorEastAsia"/>
          <w:sz w:val="24"/>
          <w:szCs w:val="24"/>
          <w:lang w:val="en-US"/>
        </w:rPr>
        <w:t xml:space="preserve">The brand firm can try to deter entry by charging a limit price. This price let the potential generic entrant believe that his profits will be negative after he enters. </w:t>
      </w:r>
      <w:r w:rsidR="002C3472">
        <w:rPr>
          <w:rFonts w:eastAsiaTheme="minorEastAsia"/>
          <w:sz w:val="24"/>
          <w:szCs w:val="24"/>
          <w:lang w:val="en-US"/>
        </w:rPr>
        <w:t>The potential entrant has some fixed costs for entering the market. These costs are</w:t>
      </w:r>
      <w:r w:rsidR="000048D1">
        <w:rPr>
          <w:rFonts w:eastAsiaTheme="minorEastAsia"/>
          <w:sz w:val="24"/>
          <w:szCs w:val="24"/>
          <w:lang w:val="en-US"/>
        </w:rPr>
        <w:t xml:space="preserve"> assumed to be</w:t>
      </w:r>
      <w:r w:rsidR="002C3472">
        <w:rPr>
          <w:rFonts w:eastAsiaTheme="minorEastAsia"/>
          <w:sz w:val="24"/>
          <w:szCs w:val="24"/>
          <w:lang w:val="en-US"/>
        </w:rPr>
        <w:t xml:space="preserve"> equal to F. </w:t>
      </w:r>
    </w:p>
    <w:p w14:paraId="79564F42" w14:textId="77777777" w:rsidR="00EA053C" w:rsidRDefault="00EA053C" w:rsidP="00DB180B">
      <w:pPr>
        <w:spacing w:after="0" w:line="360" w:lineRule="auto"/>
        <w:jc w:val="both"/>
        <w:rPr>
          <w:rFonts w:eastAsiaTheme="minorEastAsia"/>
          <w:sz w:val="24"/>
          <w:szCs w:val="24"/>
          <w:lang w:val="en-US"/>
        </w:rPr>
      </w:pPr>
    </w:p>
    <w:p w14:paraId="21CE1339" w14:textId="0A4199EC" w:rsidR="00DB180B" w:rsidRDefault="000048D1" w:rsidP="00DB180B">
      <w:pPr>
        <w:spacing w:after="0" w:line="360" w:lineRule="auto"/>
        <w:jc w:val="both"/>
        <w:rPr>
          <w:rFonts w:eastAsiaTheme="minorEastAsia"/>
          <w:sz w:val="24"/>
          <w:szCs w:val="24"/>
          <w:lang w:val="en-US"/>
        </w:rPr>
      </w:pPr>
      <w:r>
        <w:rPr>
          <w:rFonts w:eastAsiaTheme="minorEastAsia"/>
          <w:sz w:val="24"/>
          <w:szCs w:val="24"/>
          <w:lang w:val="en-US"/>
        </w:rPr>
        <w:t>The brand firm</w:t>
      </w:r>
      <w:r w:rsidR="002C3472">
        <w:rPr>
          <w:rFonts w:eastAsiaTheme="minorEastAsia"/>
          <w:sz w:val="24"/>
          <w:szCs w:val="24"/>
          <w:lang w:val="en-US"/>
        </w:rPr>
        <w:t xml:space="preserve"> act</w:t>
      </w:r>
      <w:r>
        <w:rPr>
          <w:rFonts w:eastAsiaTheme="minorEastAsia"/>
          <w:sz w:val="24"/>
          <w:szCs w:val="24"/>
          <w:lang w:val="en-US"/>
        </w:rPr>
        <w:t>s</w:t>
      </w:r>
      <w:r w:rsidR="002C3472">
        <w:rPr>
          <w:rFonts w:eastAsiaTheme="minorEastAsia"/>
          <w:sz w:val="24"/>
          <w:szCs w:val="24"/>
          <w:lang w:val="en-US"/>
        </w:rPr>
        <w:t xml:space="preserve"> as a Stackelberg leader, so he knows that the generic firm will charge his optimal price equal to </w:t>
      </w:r>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oMath>
      <w:r w:rsidR="00DB180B">
        <w:rPr>
          <w:rFonts w:eastAsiaTheme="minorEastAsia"/>
          <w:sz w:val="24"/>
          <w:szCs w:val="24"/>
          <w:lang w:val="en-US"/>
        </w:rPr>
        <w:t>. The profit function of the p</w:t>
      </w:r>
      <w:r>
        <w:rPr>
          <w:rFonts w:eastAsiaTheme="minorEastAsia"/>
          <w:sz w:val="24"/>
          <w:szCs w:val="24"/>
          <w:lang w:val="en-US"/>
        </w:rPr>
        <w:t>otential generic entrant is then</w:t>
      </w:r>
      <w:r w:rsidR="00DB180B">
        <w:rPr>
          <w:rFonts w:eastAsiaTheme="minorEastAsia"/>
          <w:sz w:val="24"/>
          <w:szCs w:val="24"/>
          <w:lang w:val="en-US"/>
        </w:rPr>
        <w:t xml:space="preserve"> equal to:</w:t>
      </w:r>
    </w:p>
    <w:p w14:paraId="132AB5FF" w14:textId="0D04AC7D" w:rsidR="00DB180B" w:rsidRPr="00DB180B" w:rsidRDefault="00EE5DF1" w:rsidP="00DB180B">
      <w:pPr>
        <w:spacing w:after="0" w:line="360" w:lineRule="auto"/>
        <w:jc w:val="both"/>
        <w:rPr>
          <w:rFonts w:eastAsiaTheme="minorEastAsia"/>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s</m:t>
              </m:r>
            </m:e>
            <m:sub>
              <m:r>
                <w:rPr>
                  <w:rFonts w:ascii="Cambria Math" w:eastAsiaTheme="minorEastAsia" w:hAnsi="Cambria Math" w:cstheme="minorHAnsi"/>
                  <w:sz w:val="24"/>
                  <w:szCs w:val="24"/>
                </w:rPr>
                <m:t>g</m:t>
              </m:r>
            </m:sub>
          </m:sSub>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-c</m:t>
              </m:r>
              <m:ctrlPr>
                <w:rPr>
                  <w:rFonts w:ascii="Cambria Math" w:eastAsiaTheme="minorEastAsia" w:hAnsi="Cambria Math" w:cstheme="minorHAnsi"/>
                  <w:i/>
                  <w:sz w:val="24"/>
                  <w:szCs w:val="24"/>
                  <w:lang w:val="en-US"/>
                </w:rPr>
              </m:ctrlPr>
            </m:e>
          </m:d>
          <m:r>
            <w:rPr>
              <w:rFonts w:ascii="Cambria Math" w:eastAsiaTheme="minorEastAsia" w:hAnsi="Cambria Math" w:cstheme="minorHAnsi"/>
              <w:sz w:val="24"/>
              <w:szCs w:val="24"/>
              <w:lang w:val="en-US"/>
            </w:rPr>
            <m:t>-F</m:t>
          </m:r>
        </m:oMath>
      </m:oMathPara>
    </w:p>
    <w:p w14:paraId="2C382FB4" w14:textId="028AE961" w:rsidR="00DB180B" w:rsidRDefault="00DB180B" w:rsidP="00DB180B">
      <w:pPr>
        <w:spacing w:after="0" w:line="360" w:lineRule="auto"/>
        <w:jc w:val="both"/>
        <w:rPr>
          <w:rFonts w:eastAsiaTheme="minorEastAsia"/>
          <w:sz w:val="24"/>
          <w:szCs w:val="24"/>
          <w:lang w:val="en-US"/>
        </w:rPr>
      </w:pPr>
    </w:p>
    <w:p w14:paraId="01F35C9B" w14:textId="243164C4" w:rsidR="00DB180B" w:rsidRDefault="00DB180B" w:rsidP="00DB180B">
      <w:pPr>
        <w:spacing w:after="0" w:line="360" w:lineRule="auto"/>
        <w:jc w:val="both"/>
        <w:rPr>
          <w:rFonts w:eastAsiaTheme="minorEastAsia"/>
          <w:sz w:val="24"/>
          <w:szCs w:val="24"/>
          <w:lang w:val="en-US"/>
        </w:rPr>
      </w:pPr>
      <w:r>
        <w:rPr>
          <w:rFonts w:eastAsiaTheme="minorEastAsia"/>
          <w:sz w:val="24"/>
          <w:szCs w:val="24"/>
          <w:lang w:val="en-US"/>
        </w:rPr>
        <w:t xml:space="preserve">Let’s assume that the potential generic entrant only </w:t>
      </w:r>
      <w:r w:rsidR="00D0468F">
        <w:rPr>
          <w:rFonts w:eastAsiaTheme="minorEastAsia"/>
          <w:sz w:val="24"/>
          <w:szCs w:val="24"/>
          <w:lang w:val="en-US"/>
        </w:rPr>
        <w:t>enters</w:t>
      </w:r>
      <w:r>
        <w:rPr>
          <w:rFonts w:eastAsiaTheme="minorEastAsia"/>
          <w:sz w:val="24"/>
          <w:szCs w:val="24"/>
          <w:lang w:val="en-US"/>
        </w:rPr>
        <w:t xml:space="preserve"> the market when profits are </w:t>
      </w:r>
      <w:r w:rsidR="00A75317">
        <w:rPr>
          <w:rFonts w:eastAsiaTheme="minorEastAsia"/>
          <w:sz w:val="24"/>
          <w:szCs w:val="24"/>
          <w:lang w:val="en-US"/>
        </w:rPr>
        <w:t>expected to be positive</w:t>
      </w:r>
      <w:r>
        <w:rPr>
          <w:rFonts w:eastAsiaTheme="minorEastAsia"/>
          <w:sz w:val="24"/>
          <w:szCs w:val="24"/>
          <w:lang w:val="en-US"/>
        </w:rPr>
        <w:t>. The brand firm c</w:t>
      </w:r>
      <w:r w:rsidR="00491C0A">
        <w:rPr>
          <w:rFonts w:eastAsiaTheme="minorEastAsia"/>
          <w:sz w:val="24"/>
          <w:szCs w:val="24"/>
          <w:lang w:val="en-US"/>
        </w:rPr>
        <w:t>an the</w:t>
      </w:r>
      <w:r>
        <w:rPr>
          <w:rFonts w:eastAsiaTheme="minorEastAsia"/>
          <w:sz w:val="24"/>
          <w:szCs w:val="24"/>
          <w:lang w:val="en-US"/>
        </w:rPr>
        <w:t xml:space="preserve">n try to deter entry by charging such a price that the expected profit is </w:t>
      </w:r>
      <w:r w:rsidR="00A75317">
        <w:rPr>
          <w:rFonts w:eastAsiaTheme="minorEastAsia"/>
          <w:sz w:val="24"/>
          <w:szCs w:val="24"/>
          <w:lang w:val="en-US"/>
        </w:rPr>
        <w:t xml:space="preserve">equal or less </w:t>
      </w:r>
      <w:r w:rsidR="00B36CC5">
        <w:rPr>
          <w:rFonts w:eastAsiaTheme="minorEastAsia"/>
          <w:sz w:val="24"/>
          <w:szCs w:val="24"/>
          <w:lang w:val="en-US"/>
        </w:rPr>
        <w:t>than zero</w:t>
      </w:r>
      <w:r w:rsidR="00A75317">
        <w:rPr>
          <w:rFonts w:eastAsiaTheme="minorEastAsia"/>
          <w:sz w:val="24"/>
          <w:szCs w:val="24"/>
          <w:lang w:val="en-US"/>
        </w:rPr>
        <w:t>.</w:t>
      </w:r>
      <w:r w:rsidR="00B36CC5">
        <w:rPr>
          <w:rFonts w:eastAsiaTheme="minorEastAsia"/>
          <w:sz w:val="24"/>
          <w:szCs w:val="24"/>
          <w:lang w:val="en-US"/>
        </w:rPr>
        <w:t xml:space="preserve"> The brand firm will charge the highest possible limit price, because then he will deter generic entry and get the highest possible marginal revenue. In this case, the limit price for the brand firm is equal to</w:t>
      </w:r>
      <w:r w:rsidR="00B36CC5">
        <w:rPr>
          <w:rStyle w:val="Voetnootmarkering"/>
          <w:rFonts w:eastAsiaTheme="minorEastAsia"/>
          <w:sz w:val="24"/>
          <w:szCs w:val="24"/>
          <w:lang w:val="en-US"/>
        </w:rPr>
        <w:footnoteReference w:id="7"/>
      </w:r>
      <w:r w:rsidR="00B36CC5">
        <w:rPr>
          <w:rFonts w:eastAsiaTheme="minorEastAsia"/>
          <w:sz w:val="24"/>
          <w:szCs w:val="24"/>
          <w:lang w:val="en-US"/>
        </w:rPr>
        <w:t>:</w:t>
      </w:r>
    </w:p>
    <w:p w14:paraId="706FFA25" w14:textId="3ADF4696" w:rsidR="00BE6139" w:rsidRDefault="00EE5DF1" w:rsidP="00B36CC5">
      <w:pPr>
        <w:spacing w:after="0" w:line="360" w:lineRule="auto"/>
        <w:jc w:val="both"/>
        <w:rPr>
          <w:rFonts w:eastAsiaTheme="minorEastAsia" w:cstheme="minorHAnsi"/>
          <w:sz w:val="24"/>
          <w:szCs w:val="24"/>
          <w:lang w:val="en-US"/>
        </w:rPr>
      </w:pPr>
      <m:oMathPara>
        <m:oMath>
          <m:sSubSup>
            <m:sSubSupPr>
              <m:ctrlPr>
                <w:rPr>
                  <w:rFonts w:ascii="Cambria Math" w:eastAsiaTheme="minorEastAsia" w:hAnsi="Cambria Math" w:cstheme="minorHAnsi"/>
                  <w:i/>
                  <w:sz w:val="24"/>
                  <w:szCs w:val="24"/>
                  <w:lang w:val="en-US"/>
                </w:rPr>
              </m:ctrlPr>
            </m:sSubSup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up>
              <m:r>
                <w:rPr>
                  <w:rFonts w:ascii="Cambria Math" w:eastAsiaTheme="minorEastAsia" w:hAnsi="Cambria Math" w:cstheme="minorHAnsi"/>
                  <w:sz w:val="24"/>
                  <w:szCs w:val="24"/>
                  <w:lang w:val="en-US"/>
                </w:rPr>
                <m:t>limit</m:t>
              </m:r>
            </m:sup>
          </m:sSubSup>
          <m:r>
            <w:rPr>
              <w:rFonts w:ascii="Cambria Math" w:eastAsiaTheme="minorEastAsia" w:hAnsi="Cambria Math" w:cstheme="minorHAnsi"/>
              <w:sz w:val="24"/>
              <w:szCs w:val="24"/>
              <w:lang w:val="en-US"/>
            </w:rPr>
            <m:t>=2</m:t>
          </m:r>
          <m:rad>
            <m:radPr>
              <m:degHide m:val="1"/>
              <m:ctrlPr>
                <w:rPr>
                  <w:rFonts w:ascii="Cambria Math" w:eastAsiaTheme="minorEastAsia" w:hAnsi="Cambria Math" w:cstheme="minorHAnsi"/>
                  <w:i/>
                  <w:sz w:val="24"/>
                  <w:szCs w:val="24"/>
                  <w:lang w:val="en-US"/>
                </w:rPr>
              </m:ctrlPr>
            </m:radPr>
            <m:deg/>
            <m:e>
              <m:r>
                <w:rPr>
                  <w:rFonts w:ascii="Cambria Math" w:eastAsiaTheme="minorEastAsia" w:hAnsi="Cambria Math" w:cstheme="minorHAnsi"/>
                  <w:sz w:val="24"/>
                  <w:szCs w:val="24"/>
                  <w:lang w:val="en-US"/>
                </w:rPr>
                <m:t>VF</m:t>
              </m:r>
            </m:e>
          </m:rad>
          <m:r>
            <w:rPr>
              <w:rFonts w:ascii="Cambria Math" w:eastAsiaTheme="minorEastAsia" w:hAnsi="Cambria Math" w:cstheme="minorHAnsi"/>
              <w:sz w:val="24"/>
              <w:szCs w:val="24"/>
              <w:lang w:val="en-US"/>
            </w:rPr>
            <m:t>+c</m:t>
          </m:r>
        </m:oMath>
      </m:oMathPara>
    </w:p>
    <w:p w14:paraId="0E1F3F57" w14:textId="03F8876C" w:rsidR="00A303D8" w:rsidRDefault="00B36CC5" w:rsidP="00B36CC5">
      <w:pPr>
        <w:spacing w:after="0" w:line="360" w:lineRule="auto"/>
        <w:jc w:val="both"/>
        <w:rPr>
          <w:rFonts w:eastAsiaTheme="minorEastAsia" w:cstheme="minorHAnsi"/>
          <w:sz w:val="24"/>
          <w:szCs w:val="24"/>
          <w:lang w:val="en-US"/>
        </w:rPr>
      </w:pPr>
      <w:r>
        <w:rPr>
          <w:rFonts w:eastAsiaTheme="minorEastAsia" w:cstheme="minorHAnsi"/>
          <w:sz w:val="24"/>
          <w:szCs w:val="24"/>
          <w:lang w:val="en-US"/>
        </w:rPr>
        <w:lastRenderedPageBreak/>
        <w:t>It is important to notice that this price cannot exceed the will</w:t>
      </w:r>
      <w:r w:rsidR="004A08D6">
        <w:rPr>
          <w:rFonts w:eastAsiaTheme="minorEastAsia" w:cstheme="minorHAnsi"/>
          <w:sz w:val="24"/>
          <w:szCs w:val="24"/>
          <w:lang w:val="en-US"/>
        </w:rPr>
        <w:t xml:space="preserve">ingness to pay of the consumers; </w:t>
      </w:r>
      <m:oMath>
        <m:sSubSup>
          <m:sSubSupPr>
            <m:ctrlPr>
              <w:rPr>
                <w:rFonts w:ascii="Cambria Math" w:eastAsiaTheme="minorEastAsia" w:hAnsi="Cambria Math" w:cstheme="minorHAnsi"/>
                <w:i/>
                <w:sz w:val="24"/>
                <w:szCs w:val="24"/>
                <w:lang w:val="en-US"/>
              </w:rPr>
            </m:ctrlPr>
          </m:sSubSup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up>
            <m:r>
              <w:rPr>
                <w:rFonts w:ascii="Cambria Math" w:eastAsiaTheme="minorEastAsia" w:hAnsi="Cambria Math" w:cstheme="minorHAnsi"/>
                <w:sz w:val="24"/>
                <w:szCs w:val="24"/>
                <w:lang w:val="en-US"/>
              </w:rPr>
              <m:t>limit</m:t>
            </m:r>
          </m:sup>
        </m:sSubSup>
        <m:r>
          <w:rPr>
            <w:rFonts w:ascii="Cambria Math" w:eastAsiaTheme="minorEastAsia" w:hAnsi="Cambria Math" w:cstheme="minorHAnsi"/>
            <w:sz w:val="24"/>
            <w:szCs w:val="24"/>
            <w:lang w:val="en-US"/>
          </w:rPr>
          <m:t>≤V</m:t>
        </m:r>
      </m:oMath>
      <w:r>
        <w:rPr>
          <w:rFonts w:eastAsiaTheme="minorEastAsia" w:cstheme="minorHAnsi"/>
          <w:sz w:val="24"/>
          <w:szCs w:val="24"/>
          <w:lang w:val="en-US"/>
        </w:rPr>
        <w:t>.</w:t>
      </w:r>
      <w:r w:rsidR="004A08D6">
        <w:rPr>
          <w:rFonts w:eastAsiaTheme="minorEastAsia" w:cstheme="minorHAnsi"/>
          <w:sz w:val="24"/>
          <w:szCs w:val="24"/>
          <w:lang w:val="en-US"/>
        </w:rPr>
        <w:t xml:space="preserve"> If the limit price exceeds the valuation of the consumers for the drug, then there is no demand for the brand drug. </w:t>
      </w:r>
    </w:p>
    <w:p w14:paraId="746A63CC" w14:textId="06F614CC" w:rsidR="006138DF" w:rsidRDefault="006138DF" w:rsidP="00B36CC5">
      <w:pPr>
        <w:spacing w:after="0" w:line="360" w:lineRule="auto"/>
        <w:jc w:val="both"/>
        <w:rPr>
          <w:rFonts w:eastAsiaTheme="minorEastAsia" w:cstheme="minorHAnsi"/>
          <w:sz w:val="24"/>
          <w:szCs w:val="24"/>
          <w:lang w:val="en-US"/>
        </w:rPr>
      </w:pPr>
    </w:p>
    <w:p w14:paraId="5231CE21" w14:textId="245D8920" w:rsidR="006138DF" w:rsidRDefault="006138DF" w:rsidP="006138DF">
      <w:pPr>
        <w:spacing w:after="0" w:line="360" w:lineRule="auto"/>
        <w:jc w:val="both"/>
        <w:rPr>
          <w:rFonts w:eastAsiaTheme="minorEastAsia" w:cstheme="minorHAnsi"/>
          <w:sz w:val="24"/>
          <w:szCs w:val="24"/>
          <w:lang w:val="en-US"/>
        </w:rPr>
      </w:pPr>
      <w:r>
        <w:rPr>
          <w:rFonts w:eastAsiaTheme="minorEastAsia" w:cstheme="minorHAnsi"/>
          <w:sz w:val="24"/>
          <w:szCs w:val="24"/>
          <w:lang w:val="en-US"/>
        </w:rPr>
        <w:t>The brand drug firm can either charge the monopoly price and see generic firms enter the market</w:t>
      </w:r>
      <w:r w:rsidR="00794639">
        <w:rPr>
          <w:rFonts w:eastAsiaTheme="minorEastAsia" w:cstheme="minorHAnsi"/>
          <w:sz w:val="24"/>
          <w:szCs w:val="24"/>
          <w:lang w:val="en-US"/>
        </w:rPr>
        <w:t xml:space="preserve"> after which his optimal price becomes </w:t>
      </w:r>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Pr>
          <w:rFonts w:eastAsiaTheme="minorEastAsia" w:cstheme="minorHAnsi"/>
          <w:sz w:val="24"/>
          <w:szCs w:val="24"/>
          <w:lang w:val="en-US"/>
        </w:rPr>
        <w:t xml:space="preserve"> or </w:t>
      </w:r>
      <w:r w:rsidR="00794639">
        <w:rPr>
          <w:rFonts w:eastAsiaTheme="minorEastAsia" w:cstheme="minorHAnsi"/>
          <w:sz w:val="24"/>
          <w:szCs w:val="24"/>
          <w:lang w:val="en-US"/>
        </w:rPr>
        <w:t xml:space="preserve">the brand firm can </w:t>
      </w:r>
      <w:r>
        <w:rPr>
          <w:rFonts w:eastAsiaTheme="minorEastAsia" w:cstheme="minorHAnsi"/>
          <w:sz w:val="24"/>
          <w:szCs w:val="24"/>
          <w:lang w:val="en-US"/>
        </w:rPr>
        <w:t xml:space="preserve">charge the limit price </w:t>
      </w:r>
      <m:oMath>
        <m:sSubSup>
          <m:sSubSupPr>
            <m:ctrlPr>
              <w:rPr>
                <w:rFonts w:ascii="Cambria Math" w:eastAsiaTheme="minorEastAsia" w:hAnsi="Cambria Math" w:cstheme="minorHAnsi"/>
                <w:i/>
                <w:sz w:val="24"/>
                <w:szCs w:val="24"/>
                <w:lang w:val="en-US"/>
              </w:rPr>
            </m:ctrlPr>
          </m:sSubSup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up>
            <m:r>
              <w:rPr>
                <w:rFonts w:ascii="Cambria Math" w:eastAsiaTheme="minorEastAsia" w:hAnsi="Cambria Math" w:cstheme="minorHAnsi"/>
                <w:sz w:val="24"/>
                <w:szCs w:val="24"/>
                <w:lang w:val="en-US"/>
              </w:rPr>
              <m:t>limit</m:t>
            </m:r>
          </m:sup>
        </m:sSubSup>
        <m:r>
          <w:rPr>
            <w:rFonts w:ascii="Cambria Math" w:eastAsiaTheme="minorEastAsia" w:hAnsi="Cambria Math" w:cstheme="minorHAnsi"/>
            <w:sz w:val="24"/>
            <w:szCs w:val="24"/>
            <w:lang w:val="en-US"/>
          </w:rPr>
          <m:t>=2</m:t>
        </m:r>
        <m:rad>
          <m:radPr>
            <m:degHide m:val="1"/>
            <m:ctrlPr>
              <w:rPr>
                <w:rFonts w:ascii="Cambria Math" w:eastAsiaTheme="minorEastAsia" w:hAnsi="Cambria Math" w:cstheme="minorHAnsi"/>
                <w:i/>
                <w:sz w:val="24"/>
                <w:szCs w:val="24"/>
                <w:lang w:val="en-US"/>
              </w:rPr>
            </m:ctrlPr>
          </m:radPr>
          <m:deg/>
          <m:e>
            <m:r>
              <w:rPr>
                <w:rFonts w:ascii="Cambria Math" w:eastAsiaTheme="minorEastAsia" w:hAnsi="Cambria Math" w:cstheme="minorHAnsi"/>
                <w:sz w:val="24"/>
                <w:szCs w:val="24"/>
                <w:lang w:val="en-US"/>
              </w:rPr>
              <m:t>VF</m:t>
            </m:r>
          </m:e>
        </m:rad>
        <m:r>
          <w:rPr>
            <w:rFonts w:ascii="Cambria Math" w:eastAsiaTheme="minorEastAsia" w:hAnsi="Cambria Math" w:cstheme="minorHAnsi"/>
            <w:sz w:val="24"/>
            <w:szCs w:val="24"/>
            <w:lang w:val="en-US"/>
          </w:rPr>
          <m:t>+c</m:t>
        </m:r>
      </m:oMath>
      <w:r w:rsidR="00794639">
        <w:rPr>
          <w:rFonts w:eastAsiaTheme="minorEastAsia" w:cstheme="minorHAnsi"/>
          <w:sz w:val="24"/>
          <w:szCs w:val="24"/>
          <w:lang w:val="en-US"/>
        </w:rPr>
        <w:t xml:space="preserve"> and</w:t>
      </w:r>
      <w:r>
        <w:rPr>
          <w:rFonts w:eastAsiaTheme="minorEastAsia" w:cstheme="minorHAnsi"/>
          <w:sz w:val="24"/>
          <w:szCs w:val="24"/>
          <w:lang w:val="en-US"/>
        </w:rPr>
        <w:t xml:space="preserve"> deters entry. </w:t>
      </w:r>
    </w:p>
    <w:p w14:paraId="3D91A565" w14:textId="09032FF0" w:rsidR="00F209E0" w:rsidRDefault="00794639" w:rsidP="006138DF">
      <w:pPr>
        <w:spacing w:after="0" w:line="360" w:lineRule="auto"/>
        <w:jc w:val="both"/>
        <w:rPr>
          <w:rFonts w:eastAsiaTheme="minorEastAsia" w:cstheme="minorHAnsi"/>
          <w:sz w:val="24"/>
          <w:szCs w:val="24"/>
          <w:lang w:val="en-US"/>
        </w:rPr>
      </w:pPr>
      <w:r>
        <w:rPr>
          <w:rFonts w:eastAsiaTheme="minorEastAsia" w:cstheme="minorHAnsi"/>
          <w:sz w:val="24"/>
          <w:szCs w:val="24"/>
          <w:lang w:val="en-US"/>
        </w:rPr>
        <w:t>The brand firm will only try to deter entry when his profits by entry deterrence are higher than or equ</w:t>
      </w:r>
      <w:r w:rsidR="00453216">
        <w:rPr>
          <w:rFonts w:eastAsiaTheme="minorEastAsia" w:cstheme="minorHAnsi"/>
          <w:sz w:val="24"/>
          <w:szCs w:val="24"/>
          <w:lang w:val="en-US"/>
        </w:rPr>
        <w:t>al to the profit by competition,</w:t>
      </w:r>
      <w:r>
        <w:rPr>
          <w:rFonts w:eastAsiaTheme="minorEastAsia" w:cstheme="minorHAnsi"/>
          <w:sz w:val="24"/>
          <w:szCs w:val="24"/>
          <w:lang w:val="en-US"/>
        </w:rPr>
        <w:t xml:space="preserve"> so </w:t>
      </w:r>
      <m:oMath>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π</m:t>
            </m:r>
          </m:e>
          <m:sup>
            <m:r>
              <w:rPr>
                <w:rFonts w:ascii="Cambria Math" w:eastAsiaTheme="minorEastAsia" w:hAnsi="Cambria Math" w:cstheme="minorHAnsi"/>
                <w:sz w:val="24"/>
                <w:szCs w:val="24"/>
                <w:lang w:val="en-US"/>
              </w:rPr>
              <m:t>limit</m:t>
            </m:r>
          </m:sup>
        </m:sSup>
        <m:r>
          <w:rPr>
            <w:rFonts w:ascii="Cambria Math" w:eastAsiaTheme="minorEastAsia" w:hAnsi="Cambria Math" w:cstheme="minorHAnsi"/>
            <w:sz w:val="24"/>
            <w:szCs w:val="24"/>
            <w:lang w:val="en-US"/>
          </w:rPr>
          <m:t>≥</m:t>
        </m:r>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π</m:t>
            </m:r>
          </m:e>
          <m:sup>
            <m:r>
              <w:rPr>
                <w:rFonts w:ascii="Cambria Math" w:eastAsiaTheme="minorEastAsia" w:hAnsi="Cambria Math" w:cstheme="minorHAnsi"/>
                <w:sz w:val="24"/>
                <w:szCs w:val="24"/>
                <w:lang w:val="en-US"/>
              </w:rPr>
              <m:t>competition</m:t>
            </m:r>
          </m:sup>
        </m:sSup>
      </m:oMath>
      <w:r w:rsidR="00453216">
        <w:rPr>
          <w:rFonts w:eastAsiaTheme="minorEastAsia" w:cstheme="minorHAnsi"/>
          <w:sz w:val="24"/>
          <w:szCs w:val="24"/>
          <w:lang w:val="en-US"/>
        </w:rPr>
        <w:t xml:space="preserve">. </w:t>
      </w:r>
      <w:r w:rsidR="00D0468F">
        <w:rPr>
          <w:rFonts w:eastAsiaTheme="minorEastAsia" w:cstheme="minorHAnsi"/>
          <w:sz w:val="24"/>
          <w:szCs w:val="24"/>
          <w:lang w:val="en-US"/>
        </w:rPr>
        <w:t>To</w:t>
      </w:r>
      <w:r w:rsidR="00F209E0">
        <w:rPr>
          <w:rFonts w:eastAsiaTheme="minorEastAsia" w:cstheme="minorHAnsi"/>
          <w:sz w:val="24"/>
          <w:szCs w:val="24"/>
          <w:lang w:val="en-US"/>
        </w:rPr>
        <w:t xml:space="preserve"> calculate these profits, the optimal price of the generic firm needs to be known. </w:t>
      </w:r>
      <w:r w:rsidR="00EA053C">
        <w:rPr>
          <w:rFonts w:eastAsiaTheme="minorEastAsia" w:cstheme="minorHAnsi"/>
          <w:sz w:val="24"/>
          <w:szCs w:val="24"/>
          <w:lang w:val="en-US"/>
        </w:rPr>
        <w:t>When the brand firm decides not to deter entry, there will be multiple generic firms</w:t>
      </w:r>
      <w:r w:rsidR="00453216">
        <w:rPr>
          <w:rFonts w:eastAsiaTheme="minorEastAsia" w:cstheme="minorHAnsi"/>
          <w:sz w:val="24"/>
          <w:szCs w:val="24"/>
          <w:lang w:val="en-US"/>
        </w:rPr>
        <w:t xml:space="preserve"> entering the market</w:t>
      </w:r>
      <w:r w:rsidR="00EA053C">
        <w:rPr>
          <w:rFonts w:eastAsiaTheme="minorEastAsia" w:cstheme="minorHAnsi"/>
          <w:sz w:val="24"/>
          <w:szCs w:val="24"/>
          <w:lang w:val="en-US"/>
        </w:rPr>
        <w:t xml:space="preserve"> in the long run. The optimal price of these generic fi</w:t>
      </w:r>
      <w:r w:rsidR="00453216">
        <w:rPr>
          <w:rFonts w:eastAsiaTheme="minorEastAsia" w:cstheme="minorHAnsi"/>
          <w:sz w:val="24"/>
          <w:szCs w:val="24"/>
          <w:lang w:val="en-US"/>
        </w:rPr>
        <w:t>rms is equal to c (see Section 3.2.2 and Section 3</w:t>
      </w:r>
      <w:r w:rsidR="00EA053C">
        <w:rPr>
          <w:rFonts w:eastAsiaTheme="minorEastAsia" w:cstheme="minorHAnsi"/>
          <w:sz w:val="24"/>
          <w:szCs w:val="24"/>
          <w:lang w:val="en-US"/>
        </w:rPr>
        <w:t xml:space="preserve">.2.3). </w:t>
      </w:r>
    </w:p>
    <w:p w14:paraId="4614544E" w14:textId="05780BF0" w:rsidR="00EA053C" w:rsidRDefault="00EA053C" w:rsidP="006138DF">
      <w:pPr>
        <w:spacing w:after="0" w:line="360" w:lineRule="auto"/>
        <w:jc w:val="both"/>
        <w:rPr>
          <w:rFonts w:eastAsiaTheme="minorEastAsia" w:cstheme="minorHAnsi"/>
          <w:sz w:val="24"/>
          <w:szCs w:val="24"/>
          <w:lang w:val="en-US"/>
        </w:rPr>
      </w:pPr>
      <w:r>
        <w:rPr>
          <w:rFonts w:eastAsiaTheme="minorEastAsia" w:cstheme="minorHAnsi"/>
          <w:sz w:val="24"/>
          <w:szCs w:val="24"/>
          <w:lang w:val="en-US"/>
        </w:rPr>
        <w:t>The profit for the brand drug firm when he decides to deter generic entry is equal to</w:t>
      </w:r>
      <w:r w:rsidR="00CC35B2">
        <w:rPr>
          <w:rStyle w:val="Voetnootmarkering"/>
          <w:rFonts w:eastAsiaTheme="minorEastAsia" w:cstheme="minorHAnsi"/>
          <w:sz w:val="24"/>
          <w:szCs w:val="24"/>
          <w:lang w:val="en-US"/>
        </w:rPr>
        <w:footnoteReference w:id="8"/>
      </w:r>
      <w:r w:rsidR="00CC35B2">
        <w:rPr>
          <w:rFonts w:eastAsiaTheme="minorEastAsia" w:cstheme="minorHAnsi"/>
          <w:sz w:val="24"/>
          <w:szCs w:val="24"/>
          <w:lang w:val="en-US"/>
        </w:rPr>
        <w:t>:</w:t>
      </w:r>
    </w:p>
    <w:p w14:paraId="53F7215F" w14:textId="77777777" w:rsidR="00CC35B2" w:rsidRPr="00E87C36" w:rsidRDefault="00EE5DF1" w:rsidP="00CC35B2">
      <w:pPr>
        <w:spacing w:after="0" w:line="360" w:lineRule="auto"/>
        <w:jc w:val="both"/>
        <w:rPr>
          <w:rFonts w:eastAsiaTheme="minorEastAsia" w:cstheme="minorHAnsi"/>
          <w:sz w:val="24"/>
          <w:szCs w:val="24"/>
          <w:lang w:val="en-US"/>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limit</m:t>
              </m:r>
            </m:sup>
          </m:sSubSup>
          <m:r>
            <w:rPr>
              <w:rFonts w:ascii="Cambria Math" w:eastAsiaTheme="minorEastAsia" w:hAnsi="Cambria Math" w:cstheme="minorHAnsi"/>
              <w:sz w:val="24"/>
              <w:szCs w:val="24"/>
            </w:rPr>
            <m:t>=2</m:t>
          </m:r>
          <m:rad>
            <m:radPr>
              <m:degHide m:val="1"/>
              <m:ctrlPr>
                <w:rPr>
                  <w:rFonts w:ascii="Cambria Math" w:eastAsiaTheme="minorEastAsia" w:hAnsi="Cambria Math" w:cstheme="minorHAnsi"/>
                  <w:i/>
                  <w:sz w:val="24"/>
                  <w:szCs w:val="24"/>
                </w:rPr>
              </m:ctrlPr>
            </m:radPr>
            <m:deg/>
            <m:e>
              <m:r>
                <w:rPr>
                  <w:rFonts w:ascii="Cambria Math" w:eastAsiaTheme="minorEastAsia" w:hAnsi="Cambria Math" w:cstheme="minorHAnsi"/>
                  <w:sz w:val="24"/>
                  <w:szCs w:val="24"/>
                </w:rPr>
                <m:t>VF</m:t>
              </m:r>
            </m:e>
          </m:rad>
          <m:r>
            <w:rPr>
              <w:rFonts w:ascii="Cambria Math" w:eastAsiaTheme="minorEastAsia" w:hAnsi="Cambria Math" w:cstheme="minorHAnsi"/>
              <w:sz w:val="24"/>
              <w:szCs w:val="24"/>
            </w:rPr>
            <m:t>-4F</m:t>
          </m:r>
        </m:oMath>
      </m:oMathPara>
    </w:p>
    <w:p w14:paraId="4A4D50DD" w14:textId="77777777" w:rsidR="00CC35B2" w:rsidRDefault="00CC35B2" w:rsidP="006138DF">
      <w:pPr>
        <w:spacing w:after="0" w:line="360" w:lineRule="auto"/>
        <w:jc w:val="both"/>
        <w:rPr>
          <w:rFonts w:eastAsiaTheme="minorEastAsia" w:cstheme="minorHAnsi"/>
          <w:sz w:val="24"/>
          <w:szCs w:val="24"/>
          <w:lang w:val="en-US"/>
        </w:rPr>
      </w:pPr>
    </w:p>
    <w:p w14:paraId="696E9FD8" w14:textId="79E8C4A6" w:rsidR="00CC35B2" w:rsidRDefault="00CC35B2" w:rsidP="006138DF">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The profit for the brand drug firm when he </w:t>
      </w:r>
      <w:r w:rsidR="00453216">
        <w:rPr>
          <w:rFonts w:eastAsiaTheme="minorEastAsia" w:cstheme="minorHAnsi"/>
          <w:sz w:val="24"/>
          <w:szCs w:val="24"/>
          <w:lang w:val="en-US"/>
        </w:rPr>
        <w:t>does not</w:t>
      </w:r>
      <w:r>
        <w:rPr>
          <w:rFonts w:eastAsiaTheme="minorEastAsia" w:cstheme="minorHAnsi"/>
          <w:sz w:val="24"/>
          <w:szCs w:val="24"/>
          <w:lang w:val="en-US"/>
        </w:rPr>
        <w:t xml:space="preserve"> deter entry and compete with generic firms is equal to</w:t>
      </w:r>
      <w:r>
        <w:rPr>
          <w:rStyle w:val="Voetnootmarkering"/>
          <w:rFonts w:eastAsiaTheme="minorEastAsia" w:cstheme="minorHAnsi"/>
          <w:sz w:val="24"/>
          <w:szCs w:val="24"/>
          <w:lang w:val="en-US"/>
        </w:rPr>
        <w:footnoteReference w:id="9"/>
      </w:r>
      <w:r>
        <w:rPr>
          <w:rFonts w:eastAsiaTheme="minorEastAsia" w:cstheme="minorHAnsi"/>
          <w:sz w:val="24"/>
          <w:szCs w:val="24"/>
          <w:lang w:val="en-US"/>
        </w:rPr>
        <w:t>:</w:t>
      </w:r>
    </w:p>
    <w:p w14:paraId="1C1D60B6" w14:textId="77777777" w:rsidR="00CC35B2" w:rsidRPr="005D668D" w:rsidRDefault="00EE5DF1" w:rsidP="00CC35B2">
      <w:pPr>
        <w:spacing w:after="0" w:line="360" w:lineRule="auto"/>
        <w:jc w:val="both"/>
        <w:rPr>
          <w:rFonts w:eastAsiaTheme="minorEastAsia" w:cstheme="minorHAnsi"/>
          <w:sz w:val="24"/>
          <w:szCs w:val="24"/>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competition</m:t>
              </m:r>
            </m:sup>
          </m:sSubSup>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4</m:t>
              </m:r>
            </m:den>
          </m:f>
        </m:oMath>
      </m:oMathPara>
    </w:p>
    <w:p w14:paraId="1C73A8BF" w14:textId="059E37AC" w:rsidR="00CC35B2" w:rsidRDefault="00CC35B2" w:rsidP="006138DF">
      <w:pPr>
        <w:spacing w:after="0" w:line="360" w:lineRule="auto"/>
        <w:jc w:val="both"/>
        <w:rPr>
          <w:rFonts w:eastAsiaTheme="minorEastAsia" w:cstheme="minorHAnsi"/>
          <w:sz w:val="24"/>
          <w:szCs w:val="24"/>
          <w:lang w:val="en-US"/>
        </w:rPr>
      </w:pPr>
    </w:p>
    <w:p w14:paraId="29888970" w14:textId="2BA87C95" w:rsidR="006138DF" w:rsidRPr="00B36CC5" w:rsidRDefault="00A8274E" w:rsidP="00B36CC5">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As earlier mentioned, the brand drug firm will only try to deter entry when </w:t>
      </w:r>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limit</m:t>
            </m:r>
          </m:sup>
        </m:sSubSup>
        <m:r>
          <w:rPr>
            <w:rFonts w:ascii="Cambria Math" w:eastAsiaTheme="minorEastAsia" w:hAnsi="Cambria Math" w:cstheme="minorHAnsi"/>
            <w:sz w:val="24"/>
            <w:szCs w:val="24"/>
            <w:lang w:val="en-US"/>
          </w:rPr>
          <m:t>≥</m:t>
        </m:r>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competition</m:t>
            </m:r>
          </m:sup>
        </m:sSubSup>
      </m:oMath>
      <w:r w:rsidRPr="00A8274E">
        <w:rPr>
          <w:rFonts w:eastAsiaTheme="minorEastAsia" w:cstheme="minorHAnsi"/>
          <w:sz w:val="24"/>
          <w:szCs w:val="24"/>
          <w:lang w:val="en-US"/>
        </w:rPr>
        <w:t xml:space="preserve">. </w:t>
      </w:r>
      <w:r>
        <w:rPr>
          <w:rFonts w:eastAsiaTheme="minorEastAsia" w:cstheme="minorHAnsi"/>
          <w:sz w:val="24"/>
          <w:szCs w:val="24"/>
          <w:lang w:val="en-US"/>
        </w:rPr>
        <w:t xml:space="preserve">However, this is not the case </w:t>
      </w:r>
      <w:r w:rsidR="009870F2">
        <w:rPr>
          <w:rFonts w:eastAsiaTheme="minorEastAsia" w:cstheme="minorHAnsi"/>
          <w:sz w:val="24"/>
          <w:szCs w:val="24"/>
          <w:lang w:val="en-US"/>
        </w:rPr>
        <w:t xml:space="preserve">for any positive amount of V and F. So, the brand firm will decide to not deter entry but to compete with the other generic firms. The only outcome is that the brand firm has an optimal price of </w:t>
      </w:r>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sidR="009870F2">
        <w:rPr>
          <w:rFonts w:eastAsiaTheme="minorEastAsia"/>
          <w:sz w:val="24"/>
          <w:szCs w:val="24"/>
          <w:lang w:val="en-US"/>
        </w:rPr>
        <w:t xml:space="preserve"> and the generic firms have an optimal price of </w:t>
      </w:r>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sidR="009870F2" w:rsidRPr="009870F2">
        <w:rPr>
          <w:rFonts w:eastAsiaTheme="minorEastAsia"/>
          <w:sz w:val="24"/>
          <w:szCs w:val="24"/>
          <w:lang w:val="en-US"/>
        </w:rPr>
        <w:t xml:space="preserve">. </w:t>
      </w:r>
    </w:p>
    <w:p w14:paraId="3B6C9C36" w14:textId="01B11D9A" w:rsidR="00B36CC5" w:rsidRDefault="004506A9" w:rsidP="000048D1">
      <w:pPr>
        <w:spacing w:after="0" w:line="360" w:lineRule="auto"/>
        <w:rPr>
          <w:rFonts w:asciiTheme="majorHAnsi" w:eastAsiaTheme="majorEastAsia" w:hAnsiTheme="majorHAnsi" w:cstheme="majorBidi"/>
          <w:b/>
          <w:sz w:val="32"/>
          <w:szCs w:val="32"/>
          <w:lang w:val="en-US"/>
        </w:rPr>
      </w:pPr>
      <w:r w:rsidRPr="00950D55">
        <w:rPr>
          <w:sz w:val="24"/>
          <w:szCs w:val="24"/>
          <w:lang w:val="en-US"/>
        </w:rPr>
        <w:t xml:space="preserve"> </w:t>
      </w:r>
    </w:p>
    <w:p w14:paraId="7D75CF8E" w14:textId="77777777" w:rsidR="000048D1" w:rsidRDefault="000048D1">
      <w:pPr>
        <w:rPr>
          <w:rFonts w:asciiTheme="majorHAnsi" w:eastAsiaTheme="majorEastAsia" w:hAnsiTheme="majorHAnsi" w:cstheme="majorBidi"/>
          <w:b/>
          <w:sz w:val="32"/>
          <w:szCs w:val="32"/>
          <w:lang w:val="en-US"/>
        </w:rPr>
      </w:pPr>
      <w:r>
        <w:rPr>
          <w:b/>
          <w:lang w:val="en-US"/>
        </w:rPr>
        <w:br w:type="page"/>
      </w:r>
    </w:p>
    <w:p w14:paraId="57222F75" w14:textId="02C93EAB" w:rsidR="002B2606" w:rsidRPr="00950D55" w:rsidRDefault="00A367A8" w:rsidP="00674E95">
      <w:pPr>
        <w:pStyle w:val="Kop1"/>
        <w:spacing w:before="0" w:line="360" w:lineRule="auto"/>
        <w:jc w:val="center"/>
        <w:rPr>
          <w:b/>
          <w:color w:val="auto"/>
          <w:lang w:val="en-US"/>
        </w:rPr>
      </w:pPr>
      <w:bookmarkStart w:id="19" w:name="_Toc14787852"/>
      <w:r w:rsidRPr="00950D55">
        <w:rPr>
          <w:b/>
          <w:color w:val="auto"/>
          <w:lang w:val="en-US"/>
        </w:rPr>
        <w:lastRenderedPageBreak/>
        <w:t>Conclusion</w:t>
      </w:r>
      <w:r w:rsidR="001E1A87">
        <w:rPr>
          <w:b/>
          <w:color w:val="auto"/>
          <w:lang w:val="en-US"/>
        </w:rPr>
        <w:t xml:space="preserve"> &amp; Discussion</w:t>
      </w:r>
      <w:bookmarkEnd w:id="19"/>
    </w:p>
    <w:p w14:paraId="776CC38F" w14:textId="77777777" w:rsidR="001E1A87" w:rsidRDefault="001E1A87" w:rsidP="001E1A87">
      <w:pPr>
        <w:spacing w:after="0" w:line="360" w:lineRule="auto"/>
        <w:jc w:val="both"/>
        <w:rPr>
          <w:sz w:val="24"/>
          <w:szCs w:val="24"/>
          <w:lang w:val="en-US"/>
        </w:rPr>
      </w:pPr>
    </w:p>
    <w:p w14:paraId="40244610" w14:textId="2E5E44B7" w:rsidR="001E1A87" w:rsidRPr="001E1A87" w:rsidRDefault="001E1A87" w:rsidP="001E1A87">
      <w:pPr>
        <w:spacing w:after="0" w:line="360" w:lineRule="auto"/>
        <w:jc w:val="both"/>
        <w:rPr>
          <w:sz w:val="24"/>
          <w:szCs w:val="24"/>
          <w:lang w:val="en-US"/>
        </w:rPr>
      </w:pPr>
      <w:r>
        <w:rPr>
          <w:sz w:val="24"/>
          <w:szCs w:val="24"/>
          <w:lang w:val="en-US"/>
        </w:rPr>
        <w:t>To answer the main question “</w:t>
      </w:r>
      <w:r>
        <w:rPr>
          <w:i/>
          <w:sz w:val="24"/>
          <w:lang w:val="en-US"/>
        </w:rPr>
        <w:t>Why i</w:t>
      </w:r>
      <w:r w:rsidRPr="00950D55">
        <w:rPr>
          <w:i/>
          <w:sz w:val="24"/>
          <w:lang w:val="en-US"/>
        </w:rPr>
        <w:t>s it optimal for brand firms to maintain a higher price than the generic firms</w:t>
      </w:r>
      <w:r>
        <w:rPr>
          <w:i/>
          <w:sz w:val="24"/>
          <w:lang w:val="en-US"/>
        </w:rPr>
        <w:t xml:space="preserve">?” </w:t>
      </w:r>
      <w:r>
        <w:rPr>
          <w:sz w:val="24"/>
          <w:lang w:val="en-US"/>
        </w:rPr>
        <w:t>the thesis described first how several papers</w:t>
      </w:r>
      <w:r w:rsidR="00453216">
        <w:rPr>
          <w:sz w:val="24"/>
          <w:lang w:val="en-US"/>
        </w:rPr>
        <w:t xml:space="preserve"> explained and</w:t>
      </w:r>
      <w:r>
        <w:rPr>
          <w:sz w:val="24"/>
          <w:lang w:val="en-US"/>
        </w:rPr>
        <w:t xml:space="preserve"> showed empirically why it is optimal for brand firms to charge higher prices than their generic competitors. </w:t>
      </w:r>
      <w:r>
        <w:rPr>
          <w:sz w:val="24"/>
          <w:szCs w:val="24"/>
          <w:lang w:val="en-US"/>
        </w:rPr>
        <w:t xml:space="preserve">The two main reasons explained by these papers are the brand loyalty of physicians </w:t>
      </w:r>
      <w:r w:rsidR="00453216">
        <w:rPr>
          <w:sz w:val="24"/>
          <w:szCs w:val="24"/>
          <w:lang w:val="en-US"/>
        </w:rPr>
        <w:t xml:space="preserve">and consumers </w:t>
      </w:r>
      <w:r>
        <w:rPr>
          <w:sz w:val="24"/>
          <w:szCs w:val="24"/>
          <w:lang w:val="en-US"/>
        </w:rPr>
        <w:t>and the product-line extensions of the brand firm. When the patent of the brand drug just expi</w:t>
      </w:r>
      <w:r w:rsidR="00453216">
        <w:rPr>
          <w:sz w:val="24"/>
          <w:szCs w:val="24"/>
          <w:lang w:val="en-US"/>
        </w:rPr>
        <w:t>red and new generic firms enter</w:t>
      </w:r>
      <w:r>
        <w:rPr>
          <w:sz w:val="24"/>
          <w:szCs w:val="24"/>
          <w:lang w:val="en-US"/>
        </w:rPr>
        <w:t xml:space="preserve"> the market, there are a lot of uncertainties. Consumers do not know what side effects the generic drugs have, so many </w:t>
      </w:r>
      <w:r w:rsidR="00453216">
        <w:rPr>
          <w:sz w:val="24"/>
          <w:szCs w:val="24"/>
          <w:lang w:val="en-US"/>
        </w:rPr>
        <w:t>consumers</w:t>
      </w:r>
      <w:r>
        <w:rPr>
          <w:sz w:val="24"/>
          <w:szCs w:val="24"/>
          <w:lang w:val="en-US"/>
        </w:rPr>
        <w:t xml:space="preserve"> will first stay with the brand drug. Furthermore, due to introducing a new product-line extension, the brand drug can maintain the high price, while the brand firm strengthens its position with the new version of the drug. </w:t>
      </w:r>
    </w:p>
    <w:p w14:paraId="0F7AE521" w14:textId="77777777" w:rsidR="001E1A87" w:rsidRDefault="001E1A87" w:rsidP="001E1A87">
      <w:pPr>
        <w:spacing w:after="0" w:line="360" w:lineRule="auto"/>
        <w:jc w:val="both"/>
        <w:rPr>
          <w:sz w:val="24"/>
          <w:lang w:val="en-US"/>
        </w:rPr>
      </w:pPr>
    </w:p>
    <w:p w14:paraId="2714DC6A" w14:textId="6EBC3CB4" w:rsidR="001E1A87" w:rsidRDefault="001E1A87" w:rsidP="001E1A87">
      <w:pPr>
        <w:spacing w:after="0" w:line="360" w:lineRule="auto"/>
        <w:jc w:val="both"/>
        <w:rPr>
          <w:sz w:val="24"/>
          <w:szCs w:val="24"/>
          <w:lang w:val="en-US"/>
        </w:rPr>
      </w:pPr>
      <w:r>
        <w:rPr>
          <w:sz w:val="24"/>
          <w:lang w:val="en-US"/>
        </w:rPr>
        <w:t xml:space="preserve">This thesis showed theoretically why the optimal price for brand firms is higher and why both brand and generic firms exist in the pharmaceutical market. </w:t>
      </w:r>
      <w:r>
        <w:rPr>
          <w:sz w:val="24"/>
          <w:szCs w:val="24"/>
          <w:lang w:val="en-US"/>
        </w:rPr>
        <w:t>The brand firm act like a Stackelberg leader.</w:t>
      </w:r>
      <w:r w:rsidR="002439AF">
        <w:rPr>
          <w:sz w:val="24"/>
          <w:szCs w:val="24"/>
          <w:lang w:val="en-US"/>
        </w:rPr>
        <w:t xml:space="preserve"> In this way, the brand firm can maintain a higher price, while the generic firms react with a lower optimal price. Also, consumers are uncertain about the potential risks of a new generic drug. The </w:t>
      </w:r>
      <w:r w:rsidR="00407DCC">
        <w:rPr>
          <w:sz w:val="24"/>
          <w:szCs w:val="24"/>
          <w:lang w:val="en-US"/>
        </w:rPr>
        <w:t xml:space="preserve">drug can have some unwanted side effects. However, these side </w:t>
      </w:r>
      <w:r w:rsidR="002439AF">
        <w:rPr>
          <w:sz w:val="24"/>
          <w:szCs w:val="24"/>
          <w:lang w:val="en-US"/>
        </w:rPr>
        <w:t xml:space="preserve">effects will be known in time. Consumers will gradually know the real value of </w:t>
      </w:r>
      <m:oMath>
        <m:r>
          <w:rPr>
            <w:rFonts w:ascii="Cambria Math" w:eastAsiaTheme="minorEastAsia" w:hAnsi="Cambria Math" w:cstheme="minorHAnsi"/>
            <w:sz w:val="24"/>
            <w:szCs w:val="24"/>
            <w:lang w:val="en-US"/>
          </w:rPr>
          <m:t>ϑ</m:t>
        </m:r>
      </m:oMath>
      <w:r w:rsidR="002439AF">
        <w:rPr>
          <w:rFonts w:eastAsiaTheme="minorEastAsia"/>
          <w:sz w:val="24"/>
          <w:szCs w:val="24"/>
          <w:lang w:val="en-US"/>
        </w:rPr>
        <w:t xml:space="preserve">. When it turns out that </w:t>
      </w:r>
      <m:oMath>
        <m:r>
          <w:rPr>
            <w:rFonts w:ascii="Cambria Math" w:eastAsiaTheme="minorEastAsia" w:hAnsi="Cambria Math" w:cstheme="minorHAnsi"/>
            <w:sz w:val="24"/>
            <w:szCs w:val="24"/>
            <w:lang w:val="en-US"/>
          </w:rPr>
          <m:t>ϑ&lt;1</m:t>
        </m:r>
      </m:oMath>
      <w:r w:rsidR="002439AF">
        <w:rPr>
          <w:rFonts w:eastAsiaTheme="minorEastAsia"/>
          <w:sz w:val="24"/>
          <w:szCs w:val="24"/>
          <w:lang w:val="en-US"/>
        </w:rPr>
        <w:t>, then some people will take these risks for granted. The lower generic price creates for them a higher utilit</w:t>
      </w:r>
      <w:r w:rsidR="00407DCC">
        <w:rPr>
          <w:rFonts w:eastAsiaTheme="minorEastAsia"/>
          <w:sz w:val="24"/>
          <w:szCs w:val="24"/>
          <w:lang w:val="en-US"/>
        </w:rPr>
        <w:t xml:space="preserve">y level than the potential side </w:t>
      </w:r>
      <w:r w:rsidR="002439AF">
        <w:rPr>
          <w:rFonts w:eastAsiaTheme="minorEastAsia"/>
          <w:sz w:val="24"/>
          <w:szCs w:val="24"/>
          <w:lang w:val="en-US"/>
        </w:rPr>
        <w:t xml:space="preserve">effects. There will also be consumers that will buy the brand drug because they do not want to risk these known side-effects. When it turns out that </w:t>
      </w:r>
      <m:oMath>
        <m:r>
          <w:rPr>
            <w:rFonts w:ascii="Cambria Math" w:eastAsiaTheme="minorEastAsia" w:hAnsi="Cambria Math" w:cstheme="minorHAnsi"/>
            <w:sz w:val="24"/>
            <w:szCs w:val="24"/>
            <w:lang w:val="en-US"/>
          </w:rPr>
          <m:t>ϑ=1</m:t>
        </m:r>
      </m:oMath>
      <w:r w:rsidR="002439AF">
        <w:rPr>
          <w:rFonts w:eastAsiaTheme="minorEastAsia"/>
          <w:sz w:val="24"/>
          <w:szCs w:val="24"/>
          <w:lang w:val="en-US"/>
        </w:rPr>
        <w:t xml:space="preserve">, consumers value the generic drug as perfect substitutes for the brand drug. Because the generic price is lower, all the demand will go to the generic drug firms and the brand drug firm will have no demand at all. </w:t>
      </w:r>
    </w:p>
    <w:p w14:paraId="10B685AF" w14:textId="77777777" w:rsidR="002439AF" w:rsidRDefault="002439AF" w:rsidP="001E1A87">
      <w:pPr>
        <w:spacing w:after="0" w:line="360" w:lineRule="auto"/>
        <w:jc w:val="both"/>
        <w:rPr>
          <w:sz w:val="24"/>
          <w:szCs w:val="24"/>
          <w:lang w:val="en-US"/>
        </w:rPr>
      </w:pPr>
    </w:p>
    <w:p w14:paraId="7FB9D4F7" w14:textId="02F51F18" w:rsidR="001E1A87" w:rsidRDefault="001E1A87" w:rsidP="001E1A87">
      <w:pPr>
        <w:spacing w:after="0" w:line="360" w:lineRule="auto"/>
        <w:jc w:val="both"/>
        <w:rPr>
          <w:sz w:val="24"/>
          <w:szCs w:val="24"/>
          <w:lang w:val="en-US"/>
        </w:rPr>
      </w:pPr>
      <w:r>
        <w:rPr>
          <w:sz w:val="24"/>
          <w:szCs w:val="24"/>
          <w:lang w:val="en-US"/>
        </w:rPr>
        <w:t>When the first generic firm enters the market, his optimal price is above marginal costs and the optimal price of the brand firm is even higher. The brand firm focuses on the</w:t>
      </w:r>
      <w:r w:rsidR="005D3216">
        <w:rPr>
          <w:sz w:val="24"/>
          <w:szCs w:val="24"/>
          <w:lang w:val="en-US"/>
        </w:rPr>
        <w:t xml:space="preserve"> consumers with a low value for </w:t>
      </w:r>
      <m:oMath>
        <m:r>
          <w:rPr>
            <w:rFonts w:ascii="Cambria Math" w:eastAsiaTheme="minorEastAsia" w:hAnsi="Cambria Math" w:cstheme="minorHAnsi"/>
            <w:sz w:val="24"/>
            <w:szCs w:val="24"/>
            <w:lang w:val="en-US"/>
          </w:rPr>
          <m:t>ϑ</m:t>
        </m:r>
      </m:oMath>
      <w:r>
        <w:rPr>
          <w:sz w:val="24"/>
          <w:szCs w:val="24"/>
          <w:lang w:val="en-US"/>
        </w:rPr>
        <w:t xml:space="preserve"> and can maintain a higher price this way. The generic firm catches the consumers</w:t>
      </w:r>
      <w:r w:rsidR="005D3216">
        <w:rPr>
          <w:sz w:val="24"/>
          <w:szCs w:val="24"/>
          <w:lang w:val="en-US"/>
        </w:rPr>
        <w:t xml:space="preserve"> with a high value for </w:t>
      </w:r>
      <m:oMath>
        <m:r>
          <w:rPr>
            <w:rFonts w:ascii="Cambria Math" w:eastAsiaTheme="minorEastAsia" w:hAnsi="Cambria Math" w:cstheme="minorHAnsi"/>
            <w:sz w:val="24"/>
            <w:szCs w:val="24"/>
            <w:lang w:val="en-US"/>
          </w:rPr>
          <m:t>ϑ</m:t>
        </m:r>
      </m:oMath>
      <w:r>
        <w:rPr>
          <w:sz w:val="24"/>
          <w:szCs w:val="24"/>
          <w:lang w:val="en-US"/>
        </w:rPr>
        <w:t xml:space="preserve"> by charging a lower price than the brand firm. Because he </w:t>
      </w:r>
      <w:r>
        <w:rPr>
          <w:sz w:val="24"/>
          <w:szCs w:val="24"/>
          <w:lang w:val="en-US"/>
        </w:rPr>
        <w:lastRenderedPageBreak/>
        <w:t>is the only generic firm in the market, and the brand firm charges a higher price, this generic firm has some market power and charges a price higher than marginal cost.</w:t>
      </w:r>
    </w:p>
    <w:p w14:paraId="172C095C" w14:textId="77777777" w:rsidR="001E1A87" w:rsidRDefault="001E1A87" w:rsidP="001E1A87">
      <w:pPr>
        <w:spacing w:after="0" w:line="360" w:lineRule="auto"/>
        <w:jc w:val="both"/>
        <w:rPr>
          <w:sz w:val="24"/>
          <w:szCs w:val="24"/>
          <w:lang w:val="en-US"/>
        </w:rPr>
      </w:pPr>
      <w:r>
        <w:rPr>
          <w:sz w:val="24"/>
          <w:szCs w:val="24"/>
          <w:lang w:val="en-US"/>
        </w:rPr>
        <w:t xml:space="preserve">When multiple generic firms enter the market, they compete with each other. This means that their optimal price becomes equal to marginal costs while the optimal brand price also decreases a bit. Eventually, generic firms charge a price equal to marginal costs and the brand firm charges a higher price. </w:t>
      </w:r>
    </w:p>
    <w:p w14:paraId="1673E16F" w14:textId="77777777" w:rsidR="00407DCC" w:rsidRDefault="00407DCC" w:rsidP="001E1A87">
      <w:pPr>
        <w:spacing w:after="0" w:line="360" w:lineRule="auto"/>
        <w:jc w:val="both"/>
        <w:rPr>
          <w:sz w:val="24"/>
          <w:szCs w:val="24"/>
          <w:lang w:val="en-US"/>
        </w:rPr>
      </w:pPr>
    </w:p>
    <w:p w14:paraId="2E514B13" w14:textId="36700C32" w:rsidR="001E1A87" w:rsidRPr="001E1A87" w:rsidRDefault="001E1A87" w:rsidP="001E1A87">
      <w:pPr>
        <w:spacing w:after="0" w:line="360" w:lineRule="auto"/>
        <w:jc w:val="both"/>
        <w:rPr>
          <w:sz w:val="24"/>
          <w:szCs w:val="24"/>
          <w:lang w:val="en-US"/>
        </w:rPr>
      </w:pPr>
      <w:r>
        <w:rPr>
          <w:sz w:val="24"/>
          <w:szCs w:val="24"/>
          <w:lang w:val="en-US"/>
        </w:rPr>
        <w:t xml:space="preserve">The thesis also looked at the opportunity to deter generic entry. Because the pharmaceutical market is characterized by lock-in of consumers and first-mover advantages it may be beneficial to deter entry and maintain the position as a monopolist. However, it is mathematically proven that deterring entry of generic </w:t>
      </w:r>
      <w:r w:rsidR="005D3216">
        <w:rPr>
          <w:sz w:val="24"/>
          <w:szCs w:val="24"/>
          <w:lang w:val="en-US"/>
        </w:rPr>
        <w:t>firms can be</w:t>
      </w:r>
      <w:r>
        <w:rPr>
          <w:sz w:val="24"/>
          <w:szCs w:val="24"/>
          <w:lang w:val="en-US"/>
        </w:rPr>
        <w:t xml:space="preserve"> less profit</w:t>
      </w:r>
      <w:r w:rsidR="00D86665">
        <w:rPr>
          <w:sz w:val="24"/>
          <w:szCs w:val="24"/>
          <w:lang w:val="en-US"/>
        </w:rPr>
        <w:t xml:space="preserve">able than competing with them. </w:t>
      </w:r>
      <w:r>
        <w:rPr>
          <w:sz w:val="24"/>
          <w:szCs w:val="24"/>
          <w:lang w:val="en-US"/>
        </w:rPr>
        <w:t>So, eventually, the</w:t>
      </w:r>
      <w:r w:rsidR="00407DCC">
        <w:rPr>
          <w:sz w:val="24"/>
          <w:szCs w:val="24"/>
          <w:lang w:val="en-US"/>
        </w:rPr>
        <w:t xml:space="preserve"> pharmaceutical</w:t>
      </w:r>
      <w:r>
        <w:rPr>
          <w:sz w:val="24"/>
          <w:szCs w:val="24"/>
          <w:lang w:val="en-US"/>
        </w:rPr>
        <w:t xml:space="preserve"> market will contain both a brand drug firm and several generic drug firms competing</w:t>
      </w:r>
      <w:r w:rsidR="00D86665">
        <w:rPr>
          <w:sz w:val="24"/>
          <w:szCs w:val="24"/>
          <w:lang w:val="en-US"/>
        </w:rPr>
        <w:t xml:space="preserve"> with each other</w:t>
      </w:r>
      <w:r>
        <w:rPr>
          <w:sz w:val="24"/>
          <w:szCs w:val="24"/>
          <w:lang w:val="en-US"/>
        </w:rPr>
        <w:t xml:space="preserve">. </w:t>
      </w:r>
    </w:p>
    <w:p w14:paraId="6658A041" w14:textId="651B61B1" w:rsidR="001E1A87" w:rsidRPr="00674E95" w:rsidRDefault="001E1A87" w:rsidP="001E1A87">
      <w:pPr>
        <w:spacing w:after="0" w:line="360" w:lineRule="auto"/>
        <w:jc w:val="both"/>
        <w:rPr>
          <w:sz w:val="24"/>
          <w:lang w:val="en-US"/>
        </w:rPr>
      </w:pPr>
      <w:r>
        <w:rPr>
          <w:sz w:val="24"/>
          <w:lang w:val="en-US"/>
        </w:rPr>
        <w:t xml:space="preserve">Optimally, brand firms will always charge higher prices than the generic firms, </w:t>
      </w:r>
      <w:r w:rsidR="00D86665">
        <w:rPr>
          <w:sz w:val="24"/>
          <w:lang w:val="en-US"/>
        </w:rPr>
        <w:t>and</w:t>
      </w:r>
      <w:r>
        <w:rPr>
          <w:sz w:val="24"/>
          <w:lang w:val="en-US"/>
        </w:rPr>
        <w:t xml:space="preserve"> generic entry should not be limited. More generic entry lead to a lower optimal price for the brand firm. Consumers do have more choice in the brand they want to use </w:t>
      </w:r>
      <w:r w:rsidR="00D86665">
        <w:rPr>
          <w:sz w:val="24"/>
          <w:lang w:val="en-US"/>
        </w:rPr>
        <w:t>when generic drugs are present</w:t>
      </w:r>
      <w:r>
        <w:rPr>
          <w:sz w:val="24"/>
          <w:lang w:val="en-US"/>
        </w:rPr>
        <w:t xml:space="preserve">. They can choose for the more expensive brand drug or the cheaper generic drug, while generic entry is now more attractable. So, </w:t>
      </w:r>
      <w:r w:rsidR="00D86665">
        <w:rPr>
          <w:sz w:val="24"/>
          <w:lang w:val="en-US"/>
        </w:rPr>
        <w:t>this thesis showed that at least one goal of the Hatch-Waxman Act is achieved: a greater access to cheaper drugs for consumers!</w:t>
      </w:r>
    </w:p>
    <w:p w14:paraId="4DDF33B6" w14:textId="273D773B" w:rsidR="00B15754" w:rsidRPr="00950D55" w:rsidRDefault="00B15754" w:rsidP="002B2606">
      <w:pPr>
        <w:spacing w:after="0" w:line="360" w:lineRule="auto"/>
        <w:jc w:val="both"/>
        <w:rPr>
          <w:sz w:val="24"/>
          <w:szCs w:val="24"/>
          <w:lang w:val="en-US"/>
        </w:rPr>
      </w:pPr>
    </w:p>
    <w:p w14:paraId="06CFA529" w14:textId="163A3D5E" w:rsidR="002B2606" w:rsidRDefault="002B2606" w:rsidP="002B2606">
      <w:pPr>
        <w:spacing w:after="0" w:line="360" w:lineRule="auto"/>
        <w:jc w:val="both"/>
        <w:rPr>
          <w:sz w:val="24"/>
          <w:szCs w:val="24"/>
          <w:lang w:val="en-US"/>
        </w:rPr>
      </w:pPr>
      <w:r w:rsidRPr="00950D55">
        <w:rPr>
          <w:sz w:val="24"/>
          <w:szCs w:val="24"/>
          <w:lang w:val="en-US"/>
        </w:rPr>
        <w:t xml:space="preserve">Further research could analyze the European pharmaceutical market and </w:t>
      </w:r>
      <w:r w:rsidR="009F2EEA" w:rsidRPr="00950D55">
        <w:rPr>
          <w:sz w:val="24"/>
          <w:szCs w:val="24"/>
          <w:lang w:val="en-US"/>
        </w:rPr>
        <w:t>consider</w:t>
      </w:r>
      <w:r w:rsidRPr="00950D55">
        <w:rPr>
          <w:sz w:val="24"/>
          <w:szCs w:val="24"/>
          <w:lang w:val="en-US"/>
        </w:rPr>
        <w:t xml:space="preserve"> the price regulations and how these regulations affect the price of the brand </w:t>
      </w:r>
      <w:r w:rsidR="00EB4C85" w:rsidRPr="00950D55">
        <w:rPr>
          <w:sz w:val="24"/>
          <w:szCs w:val="24"/>
          <w:lang w:val="en-US"/>
        </w:rPr>
        <w:t>supplier</w:t>
      </w:r>
      <w:r w:rsidRPr="00950D55">
        <w:rPr>
          <w:sz w:val="24"/>
          <w:szCs w:val="24"/>
          <w:lang w:val="en-US"/>
        </w:rPr>
        <w:t>s.</w:t>
      </w:r>
      <w:r w:rsidR="00F174CC">
        <w:rPr>
          <w:sz w:val="24"/>
          <w:szCs w:val="24"/>
          <w:lang w:val="en-US"/>
        </w:rPr>
        <w:t xml:space="preserve"> This thesis only looked at competition in the pharmaceutical market without any price regulations. Any restriction on prices could change a lot in the analysis and could creat</w:t>
      </w:r>
      <w:r w:rsidR="00D86665">
        <w:rPr>
          <w:sz w:val="24"/>
          <w:szCs w:val="24"/>
          <w:lang w:val="en-US"/>
        </w:rPr>
        <w:t xml:space="preserve">e a different optimal outcome. </w:t>
      </w:r>
      <w:r w:rsidR="007E5B15">
        <w:rPr>
          <w:sz w:val="24"/>
          <w:szCs w:val="24"/>
          <w:lang w:val="en-US"/>
        </w:rPr>
        <w:t>Further research could also look what happens to the optimal prices for brand and generic firms when the brand firms prod</w:t>
      </w:r>
      <w:r w:rsidR="00F174CC">
        <w:rPr>
          <w:sz w:val="24"/>
          <w:szCs w:val="24"/>
          <w:lang w:val="en-US"/>
        </w:rPr>
        <w:t xml:space="preserve">uces also pseudo-generic drugs. Pseudo-generic drugs are generic </w:t>
      </w:r>
      <w:r w:rsidR="00D0468F">
        <w:rPr>
          <w:sz w:val="24"/>
          <w:szCs w:val="24"/>
          <w:lang w:val="en-US"/>
        </w:rPr>
        <w:t>drugs,</w:t>
      </w:r>
      <w:r w:rsidR="00F174CC">
        <w:rPr>
          <w:sz w:val="24"/>
          <w:szCs w:val="24"/>
          <w:lang w:val="en-US"/>
        </w:rPr>
        <w:t xml:space="preserve"> but they are produced by the brand firm. In this way, the brand</w:t>
      </w:r>
      <w:r w:rsidR="00D86665">
        <w:rPr>
          <w:sz w:val="24"/>
          <w:szCs w:val="24"/>
          <w:lang w:val="en-US"/>
        </w:rPr>
        <w:t xml:space="preserve"> firm serves all the consumers</w:t>
      </w:r>
      <w:r w:rsidR="00F174CC">
        <w:rPr>
          <w:sz w:val="24"/>
          <w:szCs w:val="24"/>
          <w:lang w:val="en-US"/>
        </w:rPr>
        <w:t xml:space="preserve"> and it will directly compete with the generic firms. </w:t>
      </w:r>
    </w:p>
    <w:p w14:paraId="66FFD9C7" w14:textId="704065E0" w:rsidR="00A367A8" w:rsidRPr="001E1A87" w:rsidRDefault="00F174CC" w:rsidP="00FD4F93">
      <w:pPr>
        <w:spacing w:after="0" w:line="360" w:lineRule="auto"/>
        <w:jc w:val="both"/>
        <w:rPr>
          <w:sz w:val="24"/>
          <w:szCs w:val="24"/>
          <w:lang w:val="en-US"/>
        </w:rPr>
      </w:pPr>
      <w:r>
        <w:rPr>
          <w:sz w:val="24"/>
          <w:szCs w:val="24"/>
          <w:lang w:val="en-US"/>
        </w:rPr>
        <w:t>This paper only looked at the opportu</w:t>
      </w:r>
      <w:r w:rsidR="00F461C9">
        <w:rPr>
          <w:sz w:val="24"/>
          <w:szCs w:val="24"/>
          <w:lang w:val="en-US"/>
        </w:rPr>
        <w:t xml:space="preserve">nity to deter generic entry by charging a limit price. This thesis </w:t>
      </w:r>
      <w:r>
        <w:rPr>
          <w:sz w:val="24"/>
          <w:szCs w:val="24"/>
          <w:lang w:val="en-US"/>
        </w:rPr>
        <w:t xml:space="preserve">does not </w:t>
      </w:r>
      <w:r w:rsidR="00F461C9">
        <w:rPr>
          <w:sz w:val="24"/>
          <w:szCs w:val="24"/>
          <w:lang w:val="en-US"/>
        </w:rPr>
        <w:t>look, for example, at a possibility of a</w:t>
      </w:r>
      <w:r>
        <w:rPr>
          <w:sz w:val="24"/>
          <w:szCs w:val="24"/>
          <w:lang w:val="en-US"/>
        </w:rPr>
        <w:t xml:space="preserve"> merger between the brand and generic firm. Maybe a merger between the two firms could lead to even higher profits for these firms and may be also beneficial to the other firms in the market. </w:t>
      </w:r>
      <w:r w:rsidR="00A367A8" w:rsidRPr="00950D55">
        <w:rPr>
          <w:lang w:val="en-US"/>
        </w:rPr>
        <w:br w:type="page"/>
      </w:r>
    </w:p>
    <w:bookmarkStart w:id="20" w:name="_Toc14787853" w:displacedByCustomXml="next"/>
    <w:sdt>
      <w:sdtPr>
        <w:rPr>
          <w:rFonts w:asciiTheme="minorHAnsi" w:eastAsiaTheme="minorHAnsi" w:hAnsiTheme="minorHAnsi" w:cstheme="minorBidi"/>
          <w:color w:val="auto"/>
          <w:sz w:val="22"/>
          <w:szCs w:val="22"/>
        </w:rPr>
        <w:id w:val="414899295"/>
        <w:docPartObj>
          <w:docPartGallery w:val="Bibliographies"/>
          <w:docPartUnique/>
        </w:docPartObj>
      </w:sdtPr>
      <w:sdtEndPr/>
      <w:sdtContent>
        <w:p w14:paraId="005296DE" w14:textId="77777777" w:rsidR="00EE30EE" w:rsidRPr="007E5B15" w:rsidRDefault="00EE30EE" w:rsidP="00674E95">
          <w:pPr>
            <w:pStyle w:val="Kop1"/>
            <w:jc w:val="center"/>
            <w:rPr>
              <w:b/>
              <w:color w:val="auto"/>
              <w:lang w:val="en-US"/>
            </w:rPr>
          </w:pPr>
          <w:r w:rsidRPr="007E5B15">
            <w:rPr>
              <w:b/>
              <w:color w:val="auto"/>
              <w:lang w:val="en-US"/>
            </w:rPr>
            <w:t>References</w:t>
          </w:r>
          <w:bookmarkEnd w:id="20"/>
        </w:p>
        <w:sdt>
          <w:sdtPr>
            <w:id w:val="-573587230"/>
            <w:bibliography/>
          </w:sdtPr>
          <w:sdtEndPr/>
          <w:sdtContent>
            <w:p w14:paraId="7B726184" w14:textId="77777777" w:rsidR="00EE30EE" w:rsidRPr="007E5B15" w:rsidRDefault="00EE30EE" w:rsidP="00EE30EE">
              <w:pPr>
                <w:pStyle w:val="Bibliografie"/>
                <w:spacing w:after="0" w:line="360" w:lineRule="auto"/>
                <w:ind w:left="720" w:hanging="720"/>
                <w:rPr>
                  <w:sz w:val="24"/>
                  <w:szCs w:val="24"/>
                  <w:lang w:val="en-US"/>
                </w:rPr>
              </w:pPr>
            </w:p>
            <w:p w14:paraId="6773460A" w14:textId="77777777" w:rsidR="00D86665" w:rsidRPr="00727A54" w:rsidRDefault="00EE30EE" w:rsidP="00D86665">
              <w:pPr>
                <w:pStyle w:val="Bibliografie"/>
                <w:ind w:left="720" w:hanging="720"/>
                <w:rPr>
                  <w:noProof/>
                  <w:sz w:val="24"/>
                  <w:szCs w:val="24"/>
                  <w:lang w:val="en-US"/>
                </w:rPr>
              </w:pPr>
              <w:r w:rsidRPr="00A84354">
                <w:rPr>
                  <w:sz w:val="24"/>
                  <w:szCs w:val="24"/>
                </w:rPr>
                <w:fldChar w:fldCharType="begin"/>
              </w:r>
              <w:r w:rsidRPr="00A84354">
                <w:rPr>
                  <w:sz w:val="24"/>
                  <w:szCs w:val="24"/>
                  <w:lang w:val="en-US"/>
                </w:rPr>
                <w:instrText xml:space="preserve"> BIBLIOGRAPHY \l 1043 </w:instrText>
              </w:r>
              <w:r w:rsidRPr="00A84354">
                <w:rPr>
                  <w:sz w:val="24"/>
                  <w:szCs w:val="24"/>
                </w:rPr>
                <w:fldChar w:fldCharType="separate"/>
              </w:r>
              <w:r w:rsidR="00D86665" w:rsidRPr="00727A54">
                <w:rPr>
                  <w:noProof/>
                  <w:lang w:val="en-US"/>
                </w:rPr>
                <w:t xml:space="preserve">Berndt, E., Mortimer, R., Bhattacharjya, A., Parece, A., &amp; Tuttle, E. (2007). Authorized Generic Drugs, Price Competition, And Consumers' Welfare. </w:t>
              </w:r>
              <w:r w:rsidR="00D86665" w:rsidRPr="00727A54">
                <w:rPr>
                  <w:i/>
                  <w:iCs/>
                  <w:noProof/>
                  <w:lang w:val="en-US"/>
                </w:rPr>
                <w:t>Health Affairs</w:t>
              </w:r>
              <w:r w:rsidR="00D86665" w:rsidRPr="00727A54">
                <w:rPr>
                  <w:noProof/>
                  <w:lang w:val="en-US"/>
                </w:rPr>
                <w:t>, 790-799.</w:t>
              </w:r>
            </w:p>
            <w:p w14:paraId="4C52C9CB" w14:textId="77777777" w:rsidR="00D86665" w:rsidRPr="00727A54" w:rsidRDefault="00D86665" w:rsidP="00D86665">
              <w:pPr>
                <w:pStyle w:val="Bibliografie"/>
                <w:ind w:left="720" w:hanging="720"/>
                <w:rPr>
                  <w:noProof/>
                  <w:lang w:val="en-US"/>
                </w:rPr>
              </w:pPr>
              <w:r w:rsidRPr="00727A54">
                <w:rPr>
                  <w:noProof/>
                  <w:lang w:val="en-US"/>
                </w:rPr>
                <w:t xml:space="preserve">Boehm, G., Yao, L., Han, L., &amp; Zheng, Q. (2013, September). Development of the generic drug industry in the US after the Hatch-Waxman Act of 1984. </w:t>
              </w:r>
              <w:r w:rsidRPr="00727A54">
                <w:rPr>
                  <w:i/>
                  <w:iCs/>
                  <w:noProof/>
                  <w:lang w:val="en-US"/>
                </w:rPr>
                <w:t>Acta Pharmaceutica Sinica B</w:t>
              </w:r>
              <w:r w:rsidRPr="00727A54">
                <w:rPr>
                  <w:noProof/>
                  <w:lang w:val="en-US"/>
                </w:rPr>
                <w:t>, pp. 297-311.</w:t>
              </w:r>
            </w:p>
            <w:p w14:paraId="1F145A9F" w14:textId="77777777" w:rsidR="00D86665" w:rsidRPr="00727A54" w:rsidRDefault="00D86665" w:rsidP="00D86665">
              <w:pPr>
                <w:pStyle w:val="Bibliografie"/>
                <w:ind w:left="720" w:hanging="720"/>
                <w:rPr>
                  <w:noProof/>
                  <w:lang w:val="en-US"/>
                </w:rPr>
              </w:pPr>
              <w:r w:rsidRPr="00727A54">
                <w:rPr>
                  <w:noProof/>
                  <w:lang w:val="en-US"/>
                </w:rPr>
                <w:t xml:space="preserve">Ching, A. (2010). Consumer learning and heterogeneity: Dynamics of demand for prescription drugs after patent expiration. </w:t>
              </w:r>
              <w:r w:rsidRPr="00727A54">
                <w:rPr>
                  <w:i/>
                  <w:iCs/>
                  <w:noProof/>
                  <w:lang w:val="en-US"/>
                </w:rPr>
                <w:t>International Journal of Industrial Organization</w:t>
              </w:r>
              <w:r w:rsidRPr="00727A54">
                <w:rPr>
                  <w:noProof/>
                  <w:lang w:val="en-US"/>
                </w:rPr>
                <w:t>, 619-638.</w:t>
              </w:r>
            </w:p>
            <w:p w14:paraId="6AE5527C" w14:textId="77777777" w:rsidR="00D86665" w:rsidRPr="00727A54" w:rsidRDefault="00D86665" w:rsidP="00D86665">
              <w:pPr>
                <w:pStyle w:val="Bibliografie"/>
                <w:ind w:left="720" w:hanging="720"/>
                <w:rPr>
                  <w:noProof/>
                  <w:lang w:val="en-US"/>
                </w:rPr>
              </w:pPr>
              <w:r w:rsidRPr="00727A54">
                <w:rPr>
                  <w:noProof/>
                  <w:lang w:val="en-US"/>
                </w:rPr>
                <w:t xml:space="preserve">DeRuiter, J., &amp; Holston, P. (2012, June 20). Drug Patent Expirations and the “Patent Cliff”. </w:t>
              </w:r>
              <w:r w:rsidRPr="00727A54">
                <w:rPr>
                  <w:i/>
                  <w:iCs/>
                  <w:noProof/>
                  <w:lang w:val="en-US"/>
                </w:rPr>
                <w:t>U.S. Pharmacist</w:t>
              </w:r>
              <w:r w:rsidRPr="00727A54">
                <w:rPr>
                  <w:noProof/>
                  <w:lang w:val="en-US"/>
                </w:rPr>
                <w:t>, pp. 12-20.</w:t>
              </w:r>
            </w:p>
            <w:p w14:paraId="7A9A5F3F" w14:textId="77777777" w:rsidR="00D86665" w:rsidRPr="00727A54" w:rsidRDefault="00D86665" w:rsidP="00D86665">
              <w:pPr>
                <w:pStyle w:val="Bibliografie"/>
                <w:ind w:left="720" w:hanging="720"/>
                <w:rPr>
                  <w:noProof/>
                  <w:lang w:val="en-US"/>
                </w:rPr>
              </w:pPr>
              <w:r w:rsidRPr="00727A54">
                <w:rPr>
                  <w:noProof/>
                  <w:lang w:val="en-US"/>
                </w:rPr>
                <w:t xml:space="preserve">Farrell, J., &amp; Klemperer, P. (2007). Coordination and Lock-In: Competition with Switching Costs and Network Effects. </w:t>
              </w:r>
              <w:r w:rsidRPr="00727A54">
                <w:rPr>
                  <w:i/>
                  <w:iCs/>
                  <w:noProof/>
                  <w:lang w:val="en-US"/>
                </w:rPr>
                <w:t>Handbook of Industrian Organization</w:t>
              </w:r>
              <w:r w:rsidRPr="00727A54">
                <w:rPr>
                  <w:noProof/>
                  <w:lang w:val="en-US"/>
                </w:rPr>
                <w:t>, 1970-2056.</w:t>
              </w:r>
            </w:p>
            <w:p w14:paraId="0F44EC00" w14:textId="77777777" w:rsidR="00D86665" w:rsidRPr="00727A54" w:rsidRDefault="00D86665" w:rsidP="00D86665">
              <w:pPr>
                <w:pStyle w:val="Bibliografie"/>
                <w:ind w:left="720" w:hanging="720"/>
                <w:rPr>
                  <w:noProof/>
                  <w:lang w:val="en-US"/>
                </w:rPr>
              </w:pPr>
              <w:r w:rsidRPr="00727A54">
                <w:rPr>
                  <w:noProof/>
                  <w:lang w:val="en-US"/>
                </w:rPr>
                <w:t xml:space="preserve">Frank, R., &amp; Salkever, D. (1991). Pricing, Patent Loss and the Market for Pharmaceuticals. </w:t>
              </w:r>
              <w:r w:rsidRPr="00727A54">
                <w:rPr>
                  <w:i/>
                  <w:iCs/>
                  <w:noProof/>
                  <w:lang w:val="en-US"/>
                </w:rPr>
                <w:t>National Bureau of Economic Research</w:t>
              </w:r>
              <w:r w:rsidRPr="00727A54">
                <w:rPr>
                  <w:noProof/>
                  <w:lang w:val="en-US"/>
                </w:rPr>
                <w:t>, Working Paper 3803.</w:t>
              </w:r>
            </w:p>
            <w:p w14:paraId="621E7611" w14:textId="77777777" w:rsidR="00D86665" w:rsidRPr="00727A54" w:rsidRDefault="00D86665" w:rsidP="00D86665">
              <w:pPr>
                <w:pStyle w:val="Bibliografie"/>
                <w:ind w:left="720" w:hanging="720"/>
                <w:rPr>
                  <w:noProof/>
                  <w:lang w:val="en-US"/>
                </w:rPr>
              </w:pPr>
              <w:r w:rsidRPr="00727A54">
                <w:rPr>
                  <w:noProof/>
                  <w:lang w:val="en-US"/>
                </w:rPr>
                <w:t xml:space="preserve">Frank, R., &amp; Salkever, D. (1995). Generic Entry and the Pricing of Pharmaceuticals. </w:t>
              </w:r>
              <w:r w:rsidRPr="00727A54">
                <w:rPr>
                  <w:i/>
                  <w:iCs/>
                  <w:noProof/>
                  <w:lang w:val="en-US"/>
                </w:rPr>
                <w:t>National Bureau of Economic Research</w:t>
              </w:r>
              <w:r w:rsidRPr="00727A54">
                <w:rPr>
                  <w:noProof/>
                  <w:lang w:val="en-US"/>
                </w:rPr>
                <w:t>, Working Paper 5306.</w:t>
              </w:r>
            </w:p>
            <w:p w14:paraId="45A4619D" w14:textId="77777777" w:rsidR="00D86665" w:rsidRPr="00727A54" w:rsidRDefault="00D86665" w:rsidP="00D86665">
              <w:pPr>
                <w:pStyle w:val="Bibliografie"/>
                <w:ind w:left="720" w:hanging="720"/>
                <w:rPr>
                  <w:noProof/>
                  <w:lang w:val="en-US"/>
                </w:rPr>
              </w:pPr>
              <w:r w:rsidRPr="00727A54">
                <w:rPr>
                  <w:noProof/>
                  <w:lang w:val="en-US"/>
                </w:rPr>
                <w:t xml:space="preserve">Grabowski, H., &amp; Vernon, J. (1979). Substition Laws and Innovation in the Pharmaceutical Industry. </w:t>
              </w:r>
              <w:r w:rsidRPr="00727A54">
                <w:rPr>
                  <w:i/>
                  <w:iCs/>
                  <w:noProof/>
                  <w:lang w:val="en-US"/>
                </w:rPr>
                <w:t>Law and Contemporary Problems</w:t>
              </w:r>
              <w:r w:rsidRPr="00727A54">
                <w:rPr>
                  <w:noProof/>
                  <w:lang w:val="en-US"/>
                </w:rPr>
                <w:t>, 43-66.</w:t>
              </w:r>
            </w:p>
            <w:p w14:paraId="4E418C0A" w14:textId="77777777" w:rsidR="00D86665" w:rsidRPr="00727A54" w:rsidRDefault="00D86665" w:rsidP="00D86665">
              <w:pPr>
                <w:pStyle w:val="Bibliografie"/>
                <w:ind w:left="720" w:hanging="720"/>
                <w:rPr>
                  <w:noProof/>
                  <w:lang w:val="en-US"/>
                </w:rPr>
              </w:pPr>
              <w:r w:rsidRPr="00727A54">
                <w:rPr>
                  <w:noProof/>
                  <w:lang w:val="en-US"/>
                </w:rPr>
                <w:t xml:space="preserve">Grabowski, H., &amp; Vernon, J. (1992). Brand Loyalty, Entry, and Price Competition in Pharmaceuticals afther the 1984 Drug Act. </w:t>
              </w:r>
              <w:r w:rsidRPr="00727A54">
                <w:rPr>
                  <w:i/>
                  <w:iCs/>
                  <w:noProof/>
                  <w:lang w:val="en-US"/>
                </w:rPr>
                <w:t>The Journal of Law and Economics</w:t>
              </w:r>
              <w:r w:rsidRPr="00727A54">
                <w:rPr>
                  <w:noProof/>
                  <w:lang w:val="en-US"/>
                </w:rPr>
                <w:t>, 331-350.</w:t>
              </w:r>
            </w:p>
            <w:p w14:paraId="43A64AD4" w14:textId="77777777" w:rsidR="00D86665" w:rsidRPr="00727A54" w:rsidRDefault="00D86665" w:rsidP="00D86665">
              <w:pPr>
                <w:pStyle w:val="Bibliografie"/>
                <w:ind w:left="720" w:hanging="720"/>
                <w:rPr>
                  <w:noProof/>
                  <w:lang w:val="en-US"/>
                </w:rPr>
              </w:pPr>
              <w:r w:rsidRPr="00727A54">
                <w:rPr>
                  <w:noProof/>
                  <w:lang w:val="en-US"/>
                </w:rPr>
                <w:t xml:space="preserve">Granier, L., &amp; Trinquard, S. (2010). Entry Deterrence and Mergers under Price Competition in Pharmaceutical Markets. </w:t>
              </w:r>
              <w:r w:rsidRPr="00727A54">
                <w:rPr>
                  <w:i/>
                  <w:iCs/>
                  <w:noProof/>
                  <w:lang w:val="en-US"/>
                </w:rPr>
                <w:t>Applied Economics</w:t>
              </w:r>
              <w:r w:rsidRPr="00727A54">
                <w:rPr>
                  <w:noProof/>
                  <w:lang w:val="en-US"/>
                </w:rPr>
                <w:t>, 297-309.</w:t>
              </w:r>
            </w:p>
            <w:p w14:paraId="5D916FC5" w14:textId="77777777" w:rsidR="00D86665" w:rsidRPr="00727A54" w:rsidRDefault="00D86665" w:rsidP="00D86665">
              <w:pPr>
                <w:pStyle w:val="Bibliografie"/>
                <w:ind w:left="720" w:hanging="720"/>
                <w:rPr>
                  <w:noProof/>
                  <w:lang w:val="en-US"/>
                </w:rPr>
              </w:pPr>
              <w:r w:rsidRPr="00727A54">
                <w:rPr>
                  <w:noProof/>
                  <w:lang w:val="en-US"/>
                </w:rPr>
                <w:t xml:space="preserve">Havard Women's Health Watch. (2018, January). </w:t>
              </w:r>
              <w:r w:rsidRPr="00727A54">
                <w:rPr>
                  <w:i/>
                  <w:iCs/>
                  <w:noProof/>
                  <w:lang w:val="en-US"/>
                </w:rPr>
                <w:t>Do generic drugs compromise on quality?</w:t>
              </w:r>
              <w:r w:rsidRPr="00727A54">
                <w:rPr>
                  <w:noProof/>
                  <w:lang w:val="en-US"/>
                </w:rPr>
                <w:t xml:space="preserve"> Opgehaald van Harvard Health Publishing; Harvard Medical School: https://www.health.harvard.edu</w:t>
              </w:r>
            </w:p>
            <w:p w14:paraId="2F79C0B8" w14:textId="77777777" w:rsidR="00D86665" w:rsidRPr="00727A54" w:rsidRDefault="00D86665" w:rsidP="00D86665">
              <w:pPr>
                <w:pStyle w:val="Bibliografie"/>
                <w:ind w:left="720" w:hanging="720"/>
                <w:rPr>
                  <w:noProof/>
                  <w:lang w:val="en-US"/>
                </w:rPr>
              </w:pPr>
              <w:r w:rsidRPr="00727A54">
                <w:rPr>
                  <w:noProof/>
                  <w:lang w:val="en-US"/>
                </w:rPr>
                <w:t xml:space="preserve">Hong, S., Shepherd, M., Scoones, D., &amp; Wan, T. (2005). Product-LIne Extensions and Pricing Strategies of Brand-Name Drugs Facing Patent Expiration. </w:t>
              </w:r>
              <w:r w:rsidRPr="00727A54">
                <w:rPr>
                  <w:i/>
                  <w:iCs/>
                  <w:noProof/>
                  <w:lang w:val="en-US"/>
                </w:rPr>
                <w:t>Journal of Managed Care Pharmacy</w:t>
              </w:r>
              <w:r w:rsidRPr="00727A54">
                <w:rPr>
                  <w:noProof/>
                  <w:lang w:val="en-US"/>
                </w:rPr>
                <w:t>, 746-754.</w:t>
              </w:r>
            </w:p>
            <w:p w14:paraId="6CE318C0" w14:textId="77777777" w:rsidR="00D86665" w:rsidRPr="00727A54" w:rsidRDefault="00D86665" w:rsidP="00D86665">
              <w:pPr>
                <w:pStyle w:val="Bibliografie"/>
                <w:ind w:left="720" w:hanging="720"/>
                <w:rPr>
                  <w:noProof/>
                  <w:lang w:val="en-US"/>
                </w:rPr>
              </w:pPr>
              <w:r w:rsidRPr="00727A54">
                <w:rPr>
                  <w:noProof/>
                  <w:lang w:val="en-US"/>
                </w:rPr>
                <w:t>IMS Health. (2017). Journal of Medical Economics and Corporate Research.</w:t>
              </w:r>
            </w:p>
            <w:p w14:paraId="5F3969A5" w14:textId="77777777" w:rsidR="00D86665" w:rsidRPr="00727A54" w:rsidRDefault="00D86665" w:rsidP="00D86665">
              <w:pPr>
                <w:pStyle w:val="Bibliografie"/>
                <w:ind w:left="720" w:hanging="720"/>
                <w:rPr>
                  <w:noProof/>
                  <w:lang w:val="en-US"/>
                </w:rPr>
              </w:pPr>
              <w:r w:rsidRPr="00727A54">
                <w:rPr>
                  <w:noProof/>
                  <w:lang w:val="en-US"/>
                </w:rPr>
                <w:t xml:space="preserve">Kadiyali, V., Vilcassim, N., &amp; Chintagunta, P. (1998). Product line extensions and competitive market interactions: An empirical analysis. </w:t>
              </w:r>
              <w:r w:rsidRPr="00727A54">
                <w:rPr>
                  <w:i/>
                  <w:iCs/>
                  <w:noProof/>
                  <w:lang w:val="en-US"/>
                </w:rPr>
                <w:t>Journal of Econometrics</w:t>
              </w:r>
              <w:r w:rsidRPr="00727A54">
                <w:rPr>
                  <w:noProof/>
                  <w:lang w:val="en-US"/>
                </w:rPr>
                <w:t>, 339-363.</w:t>
              </w:r>
            </w:p>
            <w:p w14:paraId="3896CE5C" w14:textId="77777777" w:rsidR="00D86665" w:rsidRPr="00727A54" w:rsidRDefault="00D86665" w:rsidP="00D86665">
              <w:pPr>
                <w:pStyle w:val="Bibliografie"/>
                <w:ind w:left="720" w:hanging="720"/>
                <w:rPr>
                  <w:noProof/>
                  <w:lang w:val="en-US"/>
                </w:rPr>
              </w:pPr>
              <w:r w:rsidRPr="00727A54">
                <w:rPr>
                  <w:noProof/>
                  <w:lang w:val="en-US"/>
                </w:rPr>
                <w:t xml:space="preserve">Kong, Y. (2009). Competition between brand‐name and generics - analysis on pricing of brand‐name pharmaceutical. </w:t>
              </w:r>
              <w:r w:rsidRPr="00727A54">
                <w:rPr>
                  <w:i/>
                  <w:iCs/>
                  <w:noProof/>
                  <w:lang w:val="en-US"/>
                </w:rPr>
                <w:t>Health Economics</w:t>
              </w:r>
              <w:r w:rsidRPr="00727A54">
                <w:rPr>
                  <w:noProof/>
                  <w:lang w:val="en-US"/>
                </w:rPr>
                <w:t>, 591-606.</w:t>
              </w:r>
            </w:p>
            <w:p w14:paraId="0C777D16" w14:textId="77777777" w:rsidR="00D86665" w:rsidRPr="00727A54" w:rsidRDefault="00D86665" w:rsidP="00D86665">
              <w:pPr>
                <w:pStyle w:val="Bibliografie"/>
                <w:ind w:left="720" w:hanging="720"/>
                <w:rPr>
                  <w:noProof/>
                  <w:lang w:val="en-US"/>
                </w:rPr>
              </w:pPr>
              <w:r w:rsidRPr="00727A54">
                <w:rPr>
                  <w:noProof/>
                  <w:lang w:val="en-US"/>
                </w:rPr>
                <w:t xml:space="preserve">Morton, F. (1997). Entry decisions in the generic pharmaceutical industry. </w:t>
              </w:r>
              <w:r w:rsidRPr="00727A54">
                <w:rPr>
                  <w:i/>
                  <w:iCs/>
                  <w:noProof/>
                  <w:lang w:val="en-US"/>
                </w:rPr>
                <w:t>National Bureau of Economic Research</w:t>
              </w:r>
              <w:r w:rsidRPr="00727A54">
                <w:rPr>
                  <w:noProof/>
                  <w:lang w:val="en-US"/>
                </w:rPr>
                <w:t>, Working Paper 6190.</w:t>
              </w:r>
            </w:p>
            <w:p w14:paraId="5F066A6A" w14:textId="77777777" w:rsidR="00D86665" w:rsidRPr="00727A54" w:rsidRDefault="00D86665" w:rsidP="00D86665">
              <w:pPr>
                <w:pStyle w:val="Bibliografie"/>
                <w:ind w:left="720" w:hanging="720"/>
                <w:rPr>
                  <w:noProof/>
                  <w:lang w:val="en-US"/>
                </w:rPr>
              </w:pPr>
              <w:r w:rsidRPr="00727A54">
                <w:rPr>
                  <w:noProof/>
                  <w:lang w:val="en-US"/>
                </w:rPr>
                <w:t xml:space="preserve">Mossinghoff, G. (1999). Overview of the Hatch-Waxman Act and its impact on the drug development process. </w:t>
              </w:r>
              <w:r w:rsidRPr="00727A54">
                <w:rPr>
                  <w:i/>
                  <w:iCs/>
                  <w:noProof/>
                  <w:lang w:val="en-US"/>
                </w:rPr>
                <w:t>Food and Drug Law Journal</w:t>
              </w:r>
              <w:r w:rsidRPr="00727A54">
                <w:rPr>
                  <w:noProof/>
                  <w:lang w:val="en-US"/>
                </w:rPr>
                <w:t>, 187-194.</w:t>
              </w:r>
            </w:p>
            <w:p w14:paraId="142D51E8" w14:textId="77777777" w:rsidR="00D86665" w:rsidRDefault="00D86665" w:rsidP="00D86665">
              <w:pPr>
                <w:pStyle w:val="Bibliografie"/>
                <w:ind w:left="720" w:hanging="720"/>
                <w:rPr>
                  <w:noProof/>
                </w:rPr>
              </w:pPr>
              <w:r w:rsidRPr="00727A54">
                <w:rPr>
                  <w:noProof/>
                  <w:lang w:val="en-US"/>
                </w:rPr>
                <w:t xml:space="preserve">Rumore, M. (2009, August 15). </w:t>
              </w:r>
              <w:r w:rsidRPr="00727A54">
                <w:rPr>
                  <w:i/>
                  <w:iCs/>
                  <w:noProof/>
                  <w:lang w:val="en-US"/>
                </w:rPr>
                <w:t>The Hatch-Waxman Act - 25 Years Later: Keeping the Pharmaceutical Scales Balanced.</w:t>
              </w:r>
              <w:r w:rsidRPr="00727A54">
                <w:rPr>
                  <w:noProof/>
                  <w:lang w:val="en-US"/>
                </w:rPr>
                <w:t xml:space="preserve"> </w:t>
              </w:r>
              <w:r>
                <w:rPr>
                  <w:noProof/>
                </w:rPr>
                <w:t>Opgehaald van Pharmacy Times: https://www.pharmacytimes.com</w:t>
              </w:r>
            </w:p>
            <w:p w14:paraId="29ABEC40" w14:textId="77777777" w:rsidR="00D86665" w:rsidRPr="00727A54" w:rsidRDefault="00D86665" w:rsidP="00D86665">
              <w:pPr>
                <w:pStyle w:val="Bibliografie"/>
                <w:ind w:left="720" w:hanging="720"/>
                <w:rPr>
                  <w:noProof/>
                  <w:lang w:val="en-US"/>
                </w:rPr>
              </w:pPr>
              <w:r>
                <w:rPr>
                  <w:noProof/>
                </w:rPr>
                <w:lastRenderedPageBreak/>
                <w:t xml:space="preserve">Saha, A., Grabowski, H., Birnbaum, H., Greenberg, P., &amp; Bizan, O. (2006). </w:t>
              </w:r>
              <w:r w:rsidRPr="00727A54">
                <w:rPr>
                  <w:noProof/>
                  <w:lang w:val="en-US"/>
                </w:rPr>
                <w:t xml:space="preserve">Generic Competition in the US Pharmaceutical Industry. </w:t>
              </w:r>
              <w:r w:rsidRPr="00727A54">
                <w:rPr>
                  <w:i/>
                  <w:iCs/>
                  <w:noProof/>
                  <w:lang w:val="en-US"/>
                </w:rPr>
                <w:t>International Journal of the Economics of Business</w:t>
              </w:r>
              <w:r w:rsidRPr="00727A54">
                <w:rPr>
                  <w:noProof/>
                  <w:lang w:val="en-US"/>
                </w:rPr>
                <w:t>, 15-38.</w:t>
              </w:r>
            </w:p>
            <w:p w14:paraId="43932B37" w14:textId="77777777" w:rsidR="00D86665" w:rsidRPr="00727A54" w:rsidRDefault="00D86665" w:rsidP="00D86665">
              <w:pPr>
                <w:pStyle w:val="Bibliografie"/>
                <w:ind w:left="720" w:hanging="720"/>
                <w:rPr>
                  <w:noProof/>
                  <w:lang w:val="en-US"/>
                </w:rPr>
              </w:pPr>
              <w:r w:rsidRPr="00727A54">
                <w:rPr>
                  <w:noProof/>
                  <w:lang w:val="en-US"/>
                </w:rPr>
                <w:t xml:space="preserve">Scherer, F., &amp; Ross, D. (1990). </w:t>
              </w:r>
              <w:r w:rsidRPr="00727A54">
                <w:rPr>
                  <w:i/>
                  <w:iCs/>
                  <w:noProof/>
                  <w:lang w:val="en-US"/>
                </w:rPr>
                <w:t>Industrial Market Structure and Economic Performance.</w:t>
              </w:r>
              <w:r w:rsidRPr="00727A54">
                <w:rPr>
                  <w:noProof/>
                  <w:lang w:val="en-US"/>
                </w:rPr>
                <w:t xml:space="preserve"> Houghton Mifflin Company (3d ed.).</w:t>
              </w:r>
            </w:p>
            <w:p w14:paraId="7FEDC042" w14:textId="77777777" w:rsidR="00D86665" w:rsidRPr="00727A54" w:rsidRDefault="00D86665" w:rsidP="00D86665">
              <w:pPr>
                <w:pStyle w:val="Bibliografie"/>
                <w:ind w:left="720" w:hanging="720"/>
                <w:rPr>
                  <w:noProof/>
                  <w:lang w:val="en-US"/>
                </w:rPr>
              </w:pPr>
              <w:r w:rsidRPr="00727A54">
                <w:rPr>
                  <w:noProof/>
                  <w:lang w:val="en-US"/>
                </w:rPr>
                <w:t xml:space="preserve">Schmalensee, R. (1982). Product Differentiation Advantages of Pioneering Brands. </w:t>
              </w:r>
              <w:r w:rsidRPr="00727A54">
                <w:rPr>
                  <w:i/>
                  <w:iCs/>
                  <w:noProof/>
                  <w:lang w:val="en-US"/>
                </w:rPr>
                <w:t>The American Economic Review</w:t>
              </w:r>
              <w:r w:rsidRPr="00727A54">
                <w:rPr>
                  <w:noProof/>
                  <w:lang w:val="en-US"/>
                </w:rPr>
                <w:t>, 349-365.</w:t>
              </w:r>
            </w:p>
            <w:p w14:paraId="5EF597AA" w14:textId="77777777" w:rsidR="00D86665" w:rsidRDefault="00D86665" w:rsidP="00D86665">
              <w:pPr>
                <w:pStyle w:val="Bibliografie"/>
                <w:ind w:left="720" w:hanging="720"/>
                <w:rPr>
                  <w:noProof/>
                </w:rPr>
              </w:pPr>
              <w:r w:rsidRPr="00727A54">
                <w:rPr>
                  <w:noProof/>
                  <w:lang w:val="en-US"/>
                </w:rPr>
                <w:t xml:space="preserve">U.S. Food &amp; Drug Administration. (2018, April 1). </w:t>
              </w:r>
              <w:r w:rsidRPr="00727A54">
                <w:rPr>
                  <w:i/>
                  <w:iCs/>
                  <w:noProof/>
                  <w:lang w:val="en-US"/>
                </w:rPr>
                <w:t>Code of Federal Regulations Title 21.</w:t>
              </w:r>
              <w:r w:rsidRPr="00727A54">
                <w:rPr>
                  <w:noProof/>
                  <w:lang w:val="en-US"/>
                </w:rPr>
                <w:t xml:space="preserve"> </w:t>
              </w:r>
              <w:r>
                <w:rPr>
                  <w:noProof/>
                </w:rPr>
                <w:t>Opgehaald van https://www.accessdata.fda.gov</w:t>
              </w:r>
            </w:p>
            <w:p w14:paraId="0EC83FFC" w14:textId="77777777" w:rsidR="00D86665" w:rsidRDefault="00D86665" w:rsidP="00D86665">
              <w:pPr>
                <w:pStyle w:val="Bibliografie"/>
                <w:ind w:left="720" w:hanging="720"/>
                <w:rPr>
                  <w:noProof/>
                </w:rPr>
              </w:pPr>
              <w:r>
                <w:rPr>
                  <w:noProof/>
                </w:rPr>
                <w:t xml:space="preserve">Zhang, J., Yin, W., Sun, S., &amp; Alexander, G. (2008). </w:t>
              </w:r>
              <w:r w:rsidRPr="00727A54">
                <w:rPr>
                  <w:noProof/>
                  <w:lang w:val="en-US"/>
                </w:rPr>
                <w:t xml:space="preserve">Impact of Medicare Part D Plan Features on Use of Generic Drugs. </w:t>
              </w:r>
              <w:r>
                <w:rPr>
                  <w:i/>
                  <w:iCs/>
                  <w:noProof/>
                </w:rPr>
                <w:t>Journal of General Internal Medicine</w:t>
              </w:r>
              <w:r>
                <w:rPr>
                  <w:noProof/>
                </w:rPr>
                <w:t>, 1673-1678.</w:t>
              </w:r>
            </w:p>
            <w:p w14:paraId="19A82077" w14:textId="77777777" w:rsidR="00EE30EE" w:rsidRPr="00741AA3" w:rsidRDefault="00EE30EE" w:rsidP="00D86665">
              <w:pPr>
                <w:spacing w:after="0" w:line="360" w:lineRule="auto"/>
                <w:jc w:val="both"/>
                <w:rPr>
                  <w:lang w:val="en-US"/>
                </w:rPr>
              </w:pPr>
              <w:r w:rsidRPr="00A84354">
                <w:rPr>
                  <w:sz w:val="24"/>
                  <w:szCs w:val="24"/>
                </w:rPr>
                <w:fldChar w:fldCharType="end"/>
              </w:r>
            </w:p>
          </w:sdtContent>
        </w:sdt>
      </w:sdtContent>
    </w:sdt>
    <w:p w14:paraId="61F2349E" w14:textId="77777777" w:rsidR="00A367A8" w:rsidRPr="00741AA3" w:rsidRDefault="00A367A8" w:rsidP="00FD4F93">
      <w:pPr>
        <w:spacing w:after="0" w:line="360" w:lineRule="auto"/>
        <w:jc w:val="both"/>
        <w:rPr>
          <w:rFonts w:asciiTheme="majorHAnsi" w:eastAsiaTheme="majorEastAsia" w:hAnsiTheme="majorHAnsi" w:cstheme="majorBidi"/>
          <w:sz w:val="32"/>
          <w:szCs w:val="32"/>
          <w:lang w:val="en-US"/>
        </w:rPr>
      </w:pPr>
      <w:r w:rsidRPr="00741AA3">
        <w:rPr>
          <w:lang w:val="en-US"/>
        </w:rPr>
        <w:br w:type="page"/>
      </w:r>
    </w:p>
    <w:p w14:paraId="23D984DD" w14:textId="497B68EE" w:rsidR="001004EB" w:rsidRPr="00950D55" w:rsidRDefault="00A367A8" w:rsidP="00674E95">
      <w:pPr>
        <w:pStyle w:val="Kop1"/>
        <w:spacing w:before="0" w:line="360" w:lineRule="auto"/>
        <w:jc w:val="center"/>
        <w:rPr>
          <w:b/>
          <w:color w:val="auto"/>
          <w:lang w:val="en-US"/>
        </w:rPr>
      </w:pPr>
      <w:bookmarkStart w:id="21" w:name="_Toc14787854"/>
      <w:r w:rsidRPr="00950D55">
        <w:rPr>
          <w:b/>
          <w:color w:val="auto"/>
          <w:lang w:val="en-US"/>
        </w:rPr>
        <w:lastRenderedPageBreak/>
        <w:t>Appendix</w:t>
      </w:r>
      <w:r w:rsidR="00741570" w:rsidRPr="00950D55">
        <w:rPr>
          <w:b/>
          <w:color w:val="auto"/>
          <w:lang w:val="en-US"/>
        </w:rPr>
        <w:t xml:space="preserve"> 1: </w:t>
      </w:r>
      <w:r w:rsidR="005C283B">
        <w:rPr>
          <w:b/>
          <w:color w:val="auto"/>
          <w:lang w:val="en-US"/>
        </w:rPr>
        <w:t>The model</w:t>
      </w:r>
      <w:bookmarkEnd w:id="21"/>
    </w:p>
    <w:p w14:paraId="6ACAE89A" w14:textId="77777777" w:rsidR="00741570" w:rsidRPr="00950D55" w:rsidRDefault="00741570" w:rsidP="00741570">
      <w:pPr>
        <w:spacing w:after="0" w:line="360" w:lineRule="auto"/>
        <w:jc w:val="both"/>
        <w:rPr>
          <w:sz w:val="24"/>
          <w:szCs w:val="24"/>
          <w:lang w:val="en-US"/>
        </w:rPr>
      </w:pPr>
    </w:p>
    <w:p w14:paraId="054A3F61" w14:textId="06216FFA" w:rsidR="00741570" w:rsidRPr="00950D55" w:rsidRDefault="00002B4A" w:rsidP="00741570">
      <w:pPr>
        <w:spacing w:after="0" w:line="360" w:lineRule="auto"/>
        <w:jc w:val="both"/>
        <w:rPr>
          <w:sz w:val="24"/>
          <w:szCs w:val="24"/>
          <w:lang w:val="en-US"/>
        </w:rPr>
      </w:pPr>
      <w:r w:rsidRPr="00950D55">
        <w:rPr>
          <w:sz w:val="24"/>
          <w:szCs w:val="24"/>
          <w:lang w:val="en-US"/>
        </w:rPr>
        <w:t xml:space="preserve">1.1 </w:t>
      </w:r>
      <w:r w:rsidR="00741570" w:rsidRPr="00950D55">
        <w:rPr>
          <w:sz w:val="24"/>
          <w:szCs w:val="24"/>
          <w:lang w:val="en-US"/>
        </w:rPr>
        <w:t xml:space="preserve">Determination of optimal price for monopolist </w:t>
      </w:r>
      <m:oMath>
        <m:r>
          <m:rPr>
            <m:sty m:val="p"/>
          </m:rPr>
          <w:rPr>
            <w:rFonts w:ascii="Cambria Math" w:hAnsi="Cambria Math"/>
            <w:sz w:val="24"/>
            <w:szCs w:val="24"/>
            <w:lang w:val="en-US"/>
          </w:rPr>
          <m:t xml:space="preserve">Q = a – bP </m:t>
        </m:r>
      </m:oMath>
      <w:r w:rsidR="00741570" w:rsidRPr="00950D55">
        <w:rPr>
          <w:sz w:val="24"/>
          <w:szCs w:val="24"/>
          <w:lang w:val="en-US"/>
        </w:rPr>
        <w:t>with</w:t>
      </w:r>
      <m:oMath>
        <m:r>
          <m:rPr>
            <m:sty m:val="p"/>
          </m:rPr>
          <w:rPr>
            <w:rFonts w:ascii="Cambria Math" w:hAnsi="Cambria Math"/>
            <w:sz w:val="24"/>
            <w:szCs w:val="24"/>
            <w:lang w:val="en-US"/>
          </w:rPr>
          <m:t xml:space="preserve"> MC = c</m:t>
        </m:r>
      </m:oMath>
      <w:r w:rsidR="00741570" w:rsidRPr="00950D55">
        <w:rPr>
          <w:sz w:val="24"/>
          <w:szCs w:val="24"/>
          <w:lang w:val="en-US"/>
        </w:rPr>
        <w:t xml:space="preserve">: </w:t>
      </w:r>
    </w:p>
    <w:p w14:paraId="25DAA0D4" w14:textId="74960594" w:rsidR="005C283B" w:rsidRPr="005C283B" w:rsidRDefault="00EE5DF1" w:rsidP="005C283B">
      <w:pPr>
        <w:spacing w:after="0" w:line="360" w:lineRule="auto"/>
        <w:jc w:val="center"/>
        <w:rPr>
          <w:rFonts w:eastAsiaTheme="minorEastAsia"/>
          <w:sz w:val="24"/>
          <w:szCs w:val="24"/>
          <w:lang w:val="en-US"/>
        </w:rPr>
      </w:pPr>
      <m:oMathPara>
        <m:oMath>
          <m:sSub>
            <m:sSubPr>
              <m:ctrlPr>
                <w:rPr>
                  <w:rFonts w:ascii="Cambria Math" w:hAnsi="Cambria Math"/>
                  <w:i/>
                  <w:sz w:val="24"/>
                  <w:szCs w:val="24"/>
                  <w:lang w:val="en-US"/>
                </w:rPr>
              </m:ctrlPr>
            </m:sSubPr>
            <m:e>
              <m:r>
                <w:rPr>
                  <w:rFonts w:ascii="Cambria Math" w:hAnsi="Cambria Math"/>
                  <w:sz w:val="24"/>
                  <w:szCs w:val="24"/>
                  <w:lang w:val="en-US"/>
                </w:rPr>
                <m:t>π</m:t>
              </m:r>
            </m:e>
            <m:sub>
              <m:r>
                <w:rPr>
                  <w:rFonts w:ascii="Cambria Math" w:hAnsi="Cambria Math"/>
                  <w:sz w:val="24"/>
                  <w:szCs w:val="24"/>
                  <w:lang w:val="en-US"/>
                </w:rPr>
                <m:t>mon</m:t>
              </m:r>
            </m:sub>
          </m:sSub>
          <m:r>
            <w:rPr>
              <w:rFonts w:ascii="Cambria Math" w:hAnsi="Cambria Math"/>
              <w:sz w:val="24"/>
              <w:szCs w:val="24"/>
              <w:lang w:val="en-US"/>
            </w:rPr>
            <m:t>=</m:t>
          </m:r>
          <m:d>
            <m:dPr>
              <m:ctrlPr>
                <w:rPr>
                  <w:rFonts w:ascii="Cambria Math" w:hAnsi="Cambria Math"/>
                  <w:i/>
                  <w:sz w:val="24"/>
                  <w:szCs w:val="24"/>
                  <w:lang w:val="en-US"/>
                </w:rPr>
              </m:ctrlPr>
            </m:dPr>
            <m:e>
              <m:r>
                <w:rPr>
                  <w:rFonts w:ascii="Cambria Math" w:hAnsi="Cambria Math"/>
                  <w:sz w:val="24"/>
                  <w:szCs w:val="24"/>
                  <w:lang w:val="en-US"/>
                </w:rPr>
                <m:t>P-c</m:t>
              </m:r>
            </m:e>
          </m:d>
          <m:d>
            <m:dPr>
              <m:ctrlPr>
                <w:rPr>
                  <w:rFonts w:ascii="Cambria Math" w:hAnsi="Cambria Math"/>
                  <w:i/>
                  <w:sz w:val="24"/>
                  <w:szCs w:val="24"/>
                  <w:lang w:val="en-US"/>
                </w:rPr>
              </m:ctrlPr>
            </m:dPr>
            <m:e>
              <m:r>
                <w:rPr>
                  <w:rFonts w:ascii="Cambria Math" w:hAnsi="Cambria Math"/>
                  <w:sz w:val="24"/>
                  <w:szCs w:val="24"/>
                  <w:lang w:val="en-US"/>
                </w:rPr>
                <m:t>a-bP</m:t>
              </m:r>
            </m:e>
          </m:d>
        </m:oMath>
      </m:oMathPara>
    </w:p>
    <w:p w14:paraId="3FBED45F" w14:textId="4F8F9463" w:rsidR="00741570" w:rsidRPr="00950D55" w:rsidRDefault="00EE5DF1" w:rsidP="00741570">
      <w:pPr>
        <w:spacing w:after="0" w:line="360" w:lineRule="auto"/>
        <w:jc w:val="both"/>
        <w:rPr>
          <w:rFonts w:eastAsiaTheme="minorEastAsia"/>
          <w:sz w:val="24"/>
          <w:szCs w:val="24"/>
          <w:lang w:val="en-US"/>
        </w:rPr>
      </w:pPr>
      <m:oMathPara>
        <m:oMath>
          <m:f>
            <m:fPr>
              <m:ctrlPr>
                <w:rPr>
                  <w:rFonts w:ascii="Cambria Math" w:eastAsiaTheme="minorEastAsia" w:hAnsi="Cambria Math"/>
                  <w:sz w:val="24"/>
                  <w:szCs w:val="24"/>
                  <w:lang w:val="en-US"/>
                </w:rPr>
              </m:ctrlPr>
            </m:fPr>
            <m:num>
              <m:r>
                <w:rPr>
                  <w:rFonts w:ascii="Cambria Math" w:eastAsiaTheme="minorEastAsia" w:hAnsi="Cambria Math"/>
                  <w:sz w:val="24"/>
                  <w:szCs w:val="24"/>
                  <w:lang w:val="en-US"/>
                </w:rPr>
                <m:t>δπ</m:t>
              </m:r>
            </m:num>
            <m:den>
              <m:r>
                <w:rPr>
                  <w:rFonts w:ascii="Cambria Math" w:eastAsiaTheme="minorEastAsia" w:hAnsi="Cambria Math"/>
                  <w:sz w:val="24"/>
                  <w:szCs w:val="24"/>
                  <w:lang w:val="en-US"/>
                </w:rPr>
                <m:t>δP</m:t>
              </m:r>
            </m:den>
          </m:f>
          <m:r>
            <m:rPr>
              <m:sty m:val="p"/>
            </m:rPr>
            <w:rPr>
              <w:rFonts w:ascii="Cambria Math" w:eastAsiaTheme="minorEastAsia" w:hAnsi="Cambria Math"/>
              <w:sz w:val="24"/>
              <w:szCs w:val="24"/>
              <w:lang w:val="en-US"/>
            </w:rPr>
            <m:t>:a - 2bP+bc = 0</m:t>
          </m:r>
        </m:oMath>
      </m:oMathPara>
    </w:p>
    <w:p w14:paraId="16E6164F" w14:textId="255C4C1A" w:rsidR="00741570" w:rsidRPr="00950D55" w:rsidRDefault="005C283B" w:rsidP="00741570">
      <w:pPr>
        <w:spacing w:after="0" w:line="360" w:lineRule="auto"/>
        <w:jc w:val="both"/>
        <w:rPr>
          <w:rFonts w:eastAsiaTheme="minorEastAsia"/>
          <w:sz w:val="24"/>
          <w:szCs w:val="24"/>
          <w:lang w:val="en-US"/>
        </w:rPr>
      </w:pPr>
      <m:oMathPara>
        <m:oMath>
          <m:r>
            <m:rPr>
              <m:sty m:val="p"/>
            </m:rPr>
            <w:rPr>
              <w:rFonts w:ascii="Cambria Math" w:eastAsiaTheme="minorEastAsia" w:hAnsi="Cambria Math"/>
              <w:sz w:val="24"/>
              <w:szCs w:val="24"/>
              <w:lang w:val="en-US"/>
            </w:rPr>
            <m:t>P=</m:t>
          </m:r>
          <m:f>
            <m:fPr>
              <m:ctrlPr>
                <w:rPr>
                  <w:rFonts w:ascii="Cambria Math" w:eastAsiaTheme="minorEastAsia" w:hAnsi="Cambria Math"/>
                  <w:sz w:val="24"/>
                  <w:szCs w:val="24"/>
                  <w:lang w:val="en-US"/>
                </w:rPr>
              </m:ctrlPr>
            </m:fPr>
            <m:num>
              <m:r>
                <w:rPr>
                  <w:rFonts w:ascii="Cambria Math" w:eastAsiaTheme="minorEastAsia" w:hAnsi="Cambria Math"/>
                  <w:sz w:val="24"/>
                  <w:szCs w:val="24"/>
                  <w:lang w:val="en-US"/>
                </w:rPr>
                <m:t>a+bc</m:t>
              </m:r>
            </m:num>
            <m:den>
              <m:r>
                <w:rPr>
                  <w:rFonts w:ascii="Cambria Math" w:eastAsiaTheme="minorEastAsia" w:hAnsi="Cambria Math"/>
                  <w:sz w:val="24"/>
                  <w:szCs w:val="24"/>
                  <w:lang w:val="en-US"/>
                </w:rPr>
                <m:t>2b</m:t>
              </m:r>
            </m:den>
          </m:f>
        </m:oMath>
      </m:oMathPara>
    </w:p>
    <w:p w14:paraId="13F2875B" w14:textId="77777777" w:rsidR="009D52C0" w:rsidRPr="00950D55" w:rsidRDefault="009D52C0" w:rsidP="00741570">
      <w:pPr>
        <w:spacing w:after="0" w:line="360" w:lineRule="auto"/>
        <w:jc w:val="both"/>
        <w:rPr>
          <w:rFonts w:eastAsiaTheme="minorEastAsia"/>
          <w:sz w:val="24"/>
          <w:szCs w:val="24"/>
          <w:lang w:val="en-US"/>
        </w:rPr>
      </w:pPr>
    </w:p>
    <w:p w14:paraId="4B572468" w14:textId="41EC3F44" w:rsidR="00376537" w:rsidRPr="00950D55" w:rsidRDefault="00002B4A" w:rsidP="009D52C0">
      <w:pPr>
        <w:spacing w:after="0" w:line="360" w:lineRule="auto"/>
        <w:jc w:val="both"/>
        <w:rPr>
          <w:rFonts w:eastAsiaTheme="minorEastAsia"/>
          <w:sz w:val="24"/>
          <w:szCs w:val="24"/>
          <w:lang w:val="en-US"/>
        </w:rPr>
      </w:pPr>
      <w:r w:rsidRPr="00950D55">
        <w:rPr>
          <w:rFonts w:eastAsiaTheme="minorEastAsia"/>
          <w:sz w:val="24"/>
          <w:szCs w:val="24"/>
          <w:lang w:val="en-US"/>
        </w:rPr>
        <w:t xml:space="preserve">1.2 </w:t>
      </w:r>
      <w:r w:rsidR="009D52C0" w:rsidRPr="00950D55">
        <w:rPr>
          <w:rFonts w:eastAsiaTheme="minorEastAsia"/>
          <w:sz w:val="24"/>
          <w:szCs w:val="24"/>
          <w:lang w:val="en-US"/>
        </w:rPr>
        <w:t>Determination of monopolistic profit:</w:t>
      </w:r>
    </w:p>
    <w:p w14:paraId="691C9A3F" w14:textId="4F634FA3" w:rsidR="009D52C0" w:rsidRPr="001E6B7A" w:rsidRDefault="001E6B7A" w:rsidP="009D52C0">
      <w:pPr>
        <w:spacing w:after="0" w:line="360" w:lineRule="auto"/>
        <w:jc w:val="both"/>
        <w:rPr>
          <w:rFonts w:eastAsiaTheme="minorEastAsia"/>
          <w:sz w:val="24"/>
          <w:szCs w:val="24"/>
          <w:lang w:val="en-US"/>
        </w:rPr>
      </w:pPr>
      <m:oMathPara>
        <m:oMath>
          <m:r>
            <w:rPr>
              <w:rFonts w:ascii="Cambria Math" w:eastAsiaTheme="minorEastAsia" w:hAnsi="Cambria Math"/>
              <w:sz w:val="24"/>
              <w:szCs w:val="24"/>
              <w:lang w:val="en-US"/>
            </w:rPr>
            <m:t>Q=a-b(</m:t>
          </m:r>
          <m:f>
            <m:fPr>
              <m:ctrlPr>
                <w:rPr>
                  <w:rFonts w:ascii="Cambria Math" w:eastAsiaTheme="minorEastAsia" w:hAnsi="Cambria Math"/>
                  <w:i/>
                  <w:sz w:val="24"/>
                  <w:szCs w:val="24"/>
                  <w:lang w:val="en-US"/>
                </w:rPr>
              </m:ctrlPr>
            </m:fPr>
            <m:num>
              <m:r>
                <w:rPr>
                  <w:rFonts w:ascii="Cambria Math" w:eastAsiaTheme="minorEastAsia" w:hAnsi="Cambria Math"/>
                  <w:sz w:val="24"/>
                  <w:szCs w:val="24"/>
                  <w:lang w:val="en-US"/>
                </w:rPr>
                <m:t>a+bc</m:t>
              </m:r>
            </m:num>
            <m:den>
              <m:r>
                <w:rPr>
                  <w:rFonts w:ascii="Cambria Math" w:eastAsiaTheme="minorEastAsia" w:hAnsi="Cambria Math"/>
                  <w:sz w:val="24"/>
                  <w:szCs w:val="24"/>
                  <w:lang w:val="en-US"/>
                </w:rPr>
                <m:t>2b</m:t>
              </m:r>
            </m:den>
          </m:f>
          <m:r>
            <w:rPr>
              <w:rFonts w:ascii="Cambria Math" w:eastAsiaTheme="minorEastAsia" w:hAnsi="Cambria Math"/>
              <w:sz w:val="24"/>
              <w:szCs w:val="24"/>
              <w:lang w:val="en-US"/>
            </w:rPr>
            <m:t>)</m:t>
          </m:r>
        </m:oMath>
      </m:oMathPara>
    </w:p>
    <w:p w14:paraId="0480AEAC" w14:textId="388D2A10" w:rsidR="001E6B7A" w:rsidRPr="001E6B7A" w:rsidRDefault="001E6B7A" w:rsidP="009D52C0">
      <w:pPr>
        <w:spacing w:after="0" w:line="360" w:lineRule="auto"/>
        <w:jc w:val="both"/>
        <w:rPr>
          <w:rFonts w:eastAsiaTheme="minorEastAsia"/>
          <w:sz w:val="24"/>
          <w:szCs w:val="24"/>
          <w:lang w:val="en-US"/>
        </w:rPr>
      </w:pPr>
      <m:oMathPara>
        <m:oMath>
          <m:r>
            <w:rPr>
              <w:rFonts w:ascii="Cambria Math" w:eastAsiaTheme="minorEastAsia" w:hAnsi="Cambria Math"/>
              <w:sz w:val="24"/>
              <w:szCs w:val="24"/>
              <w:lang w:val="en-US"/>
            </w:rPr>
            <m:t>Q=</m:t>
          </m:r>
          <m:f>
            <m:fPr>
              <m:ctrlPr>
                <w:rPr>
                  <w:rFonts w:ascii="Cambria Math" w:eastAsiaTheme="minorEastAsia" w:hAnsi="Cambria Math"/>
                  <w:i/>
                  <w:sz w:val="24"/>
                  <w:szCs w:val="24"/>
                  <w:lang w:val="en-US"/>
                </w:rPr>
              </m:ctrlPr>
            </m:fPr>
            <m:num>
              <m:r>
                <w:rPr>
                  <w:rFonts w:ascii="Cambria Math" w:eastAsiaTheme="minorEastAsia" w:hAnsi="Cambria Math"/>
                  <w:sz w:val="24"/>
                  <w:szCs w:val="24"/>
                  <w:lang w:val="en-US"/>
                </w:rPr>
                <m:t>a-bc</m:t>
              </m:r>
            </m:num>
            <m:den>
              <m:r>
                <w:rPr>
                  <w:rFonts w:ascii="Cambria Math" w:eastAsiaTheme="minorEastAsia" w:hAnsi="Cambria Math"/>
                  <w:sz w:val="24"/>
                  <w:szCs w:val="24"/>
                  <w:lang w:val="en-US"/>
                </w:rPr>
                <m:t>2</m:t>
              </m:r>
            </m:den>
          </m:f>
        </m:oMath>
      </m:oMathPara>
    </w:p>
    <w:p w14:paraId="09565561" w14:textId="71B4ABF7" w:rsidR="005864CC" w:rsidRPr="00DC5342" w:rsidRDefault="00EE5DF1" w:rsidP="005864CC">
      <w:pPr>
        <w:spacing w:after="0" w:line="360" w:lineRule="auto"/>
        <w:jc w:val="both"/>
        <w:rPr>
          <w:rFonts w:eastAsiaTheme="minorEastAsia"/>
          <w:sz w:val="24"/>
          <w:szCs w:val="24"/>
          <w:lang w:val="en-US"/>
        </w:rPr>
      </w:pPr>
      <m:oMathPara>
        <m:oMath>
          <m:sSub>
            <m:sSubPr>
              <m:ctrlPr>
                <w:rPr>
                  <w:rFonts w:ascii="Cambria Math" w:eastAsiaTheme="minorEastAsia" w:hAnsi="Cambria Math"/>
                  <w:sz w:val="24"/>
                  <w:szCs w:val="24"/>
                  <w:lang w:val="en-US"/>
                </w:rPr>
              </m:ctrlPr>
            </m:sSubPr>
            <m:e>
              <m:r>
                <w:rPr>
                  <w:rFonts w:ascii="Cambria Math" w:eastAsiaTheme="minorEastAsia" w:hAnsi="Cambria Math"/>
                  <w:sz w:val="24"/>
                  <w:szCs w:val="24"/>
                  <w:lang w:val="en-US"/>
                </w:rPr>
                <m:t>π</m:t>
              </m:r>
            </m:e>
            <m:sub>
              <m:r>
                <w:rPr>
                  <w:rFonts w:ascii="Cambria Math" w:eastAsiaTheme="minorEastAsia" w:hAnsi="Cambria Math"/>
                  <w:sz w:val="24"/>
                  <w:szCs w:val="24"/>
                  <w:lang w:val="en-US"/>
                </w:rPr>
                <m:t>mon</m:t>
              </m:r>
            </m:sub>
          </m:sSub>
          <m:r>
            <m:rPr>
              <m:sty m:val="p"/>
            </m:rPr>
            <w:rPr>
              <w:rFonts w:ascii="Cambria Math" w:eastAsiaTheme="minorEastAsia" w:hAnsi="Cambria Math"/>
              <w:sz w:val="24"/>
              <w:szCs w:val="24"/>
              <w:lang w:val="en-US"/>
            </w:rPr>
            <m:t>=</m:t>
          </m:r>
          <m:d>
            <m:dPr>
              <m:ctrlPr>
                <w:rPr>
                  <w:rFonts w:ascii="Cambria Math" w:eastAsiaTheme="minorEastAsia" w:hAnsi="Cambria Math"/>
                  <w:sz w:val="24"/>
                  <w:szCs w:val="24"/>
                  <w:lang w:val="en-US"/>
                </w:rPr>
              </m:ctrlPr>
            </m:dPr>
            <m:e>
              <m:f>
                <m:fPr>
                  <m:ctrlPr>
                    <w:rPr>
                      <w:rFonts w:ascii="Cambria Math" w:eastAsiaTheme="minorEastAsia" w:hAnsi="Cambria Math"/>
                      <w:sz w:val="24"/>
                      <w:szCs w:val="24"/>
                      <w:lang w:val="en-US"/>
                    </w:rPr>
                  </m:ctrlPr>
                </m:fPr>
                <m:num>
                  <m:r>
                    <w:rPr>
                      <w:rFonts w:ascii="Cambria Math" w:eastAsiaTheme="minorEastAsia" w:hAnsi="Cambria Math"/>
                      <w:sz w:val="24"/>
                      <w:szCs w:val="24"/>
                      <w:lang w:val="en-US"/>
                    </w:rPr>
                    <m:t>a+bc</m:t>
                  </m:r>
                </m:num>
                <m:den>
                  <m:r>
                    <w:rPr>
                      <w:rFonts w:ascii="Cambria Math" w:eastAsiaTheme="minorEastAsia" w:hAnsi="Cambria Math"/>
                      <w:sz w:val="24"/>
                      <w:szCs w:val="24"/>
                      <w:lang w:val="en-US"/>
                    </w:rPr>
                    <m:t>2b</m:t>
                  </m:r>
                </m:den>
              </m:f>
              <m:r>
                <w:rPr>
                  <w:rFonts w:ascii="Cambria Math" w:eastAsiaTheme="minorEastAsia" w:hAnsi="Cambria Math"/>
                  <w:sz w:val="24"/>
                  <w:szCs w:val="24"/>
                  <w:lang w:val="en-US"/>
                </w:rPr>
                <m:t>-c</m:t>
              </m:r>
              <m:ctrlPr>
                <w:rPr>
                  <w:rFonts w:ascii="Cambria Math" w:eastAsiaTheme="minorEastAsia" w:hAnsi="Cambria Math"/>
                  <w:i/>
                  <w:sz w:val="24"/>
                  <w:szCs w:val="24"/>
                  <w:lang w:val="en-US"/>
                </w:rPr>
              </m:ctrlPr>
            </m:e>
          </m:d>
          <m:d>
            <m:dPr>
              <m:ctrlPr>
                <w:rPr>
                  <w:rFonts w:ascii="Cambria Math" w:eastAsiaTheme="minorEastAsia" w:hAnsi="Cambria Math"/>
                  <w:i/>
                  <w:sz w:val="24"/>
                  <w:szCs w:val="24"/>
                  <w:lang w:val="en-US"/>
                </w:rPr>
              </m:ctrlPr>
            </m:dPr>
            <m:e>
              <m:f>
                <m:fPr>
                  <m:ctrlPr>
                    <w:rPr>
                      <w:rFonts w:ascii="Cambria Math" w:eastAsiaTheme="minorEastAsia" w:hAnsi="Cambria Math"/>
                      <w:i/>
                      <w:sz w:val="24"/>
                      <w:szCs w:val="24"/>
                      <w:lang w:val="en-US"/>
                    </w:rPr>
                  </m:ctrlPr>
                </m:fPr>
                <m:num>
                  <m:r>
                    <w:rPr>
                      <w:rFonts w:ascii="Cambria Math" w:eastAsiaTheme="minorEastAsia" w:hAnsi="Cambria Math"/>
                      <w:sz w:val="24"/>
                      <w:szCs w:val="24"/>
                      <w:lang w:val="en-US"/>
                    </w:rPr>
                    <m:t>a-bc</m:t>
                  </m:r>
                </m:num>
                <m:den>
                  <m:r>
                    <w:rPr>
                      <w:rFonts w:ascii="Cambria Math" w:eastAsiaTheme="minorEastAsia" w:hAnsi="Cambria Math"/>
                      <w:sz w:val="24"/>
                      <w:szCs w:val="24"/>
                      <w:lang w:val="en-US"/>
                    </w:rPr>
                    <m:t>2</m:t>
                  </m:r>
                </m:den>
              </m:f>
            </m:e>
          </m:d>
          <m:r>
            <w:rPr>
              <w:rFonts w:ascii="Cambria Math" w:eastAsiaTheme="minorEastAsia" w:hAnsi="Cambria Math"/>
              <w:sz w:val="24"/>
              <w:szCs w:val="24"/>
              <w:lang w:val="en-US"/>
            </w:rPr>
            <m:t>=</m:t>
          </m:r>
          <m:f>
            <m:fPr>
              <m:ctrlPr>
                <w:rPr>
                  <w:rFonts w:ascii="Cambria Math" w:eastAsiaTheme="minorEastAsia" w:hAnsi="Cambria Math"/>
                  <w:i/>
                  <w:sz w:val="24"/>
                  <w:szCs w:val="24"/>
                  <w:lang w:val="en-US"/>
                </w:rPr>
              </m:ctrlPr>
            </m:fPr>
            <m:num>
              <m:sSup>
                <m:sSupPr>
                  <m:ctrlPr>
                    <w:rPr>
                      <w:rFonts w:ascii="Cambria Math" w:eastAsiaTheme="minorEastAsia" w:hAnsi="Cambria Math"/>
                      <w:i/>
                      <w:sz w:val="24"/>
                      <w:szCs w:val="24"/>
                      <w:lang w:val="en-US"/>
                    </w:rPr>
                  </m:ctrlPr>
                </m:sSupPr>
                <m:e>
                  <m:r>
                    <w:rPr>
                      <w:rFonts w:ascii="Cambria Math" w:eastAsiaTheme="minorEastAsia" w:hAnsi="Cambria Math"/>
                      <w:sz w:val="24"/>
                      <w:szCs w:val="24"/>
                      <w:lang w:val="en-US"/>
                    </w:rPr>
                    <m:t>(a-bc)</m:t>
                  </m:r>
                </m:e>
                <m:sup>
                  <m:r>
                    <w:rPr>
                      <w:rFonts w:ascii="Cambria Math" w:eastAsiaTheme="minorEastAsia" w:hAnsi="Cambria Math"/>
                      <w:sz w:val="24"/>
                      <w:szCs w:val="24"/>
                      <w:lang w:val="en-US"/>
                    </w:rPr>
                    <m:t>2</m:t>
                  </m:r>
                </m:sup>
              </m:sSup>
            </m:num>
            <m:den>
              <m:r>
                <w:rPr>
                  <w:rFonts w:ascii="Cambria Math" w:eastAsiaTheme="minorEastAsia" w:hAnsi="Cambria Math"/>
                  <w:sz w:val="24"/>
                  <w:szCs w:val="24"/>
                  <w:lang w:val="en-US"/>
                </w:rPr>
                <m:t>4b</m:t>
              </m:r>
            </m:den>
          </m:f>
        </m:oMath>
      </m:oMathPara>
    </w:p>
    <w:p w14:paraId="3B360423" w14:textId="224991A7" w:rsidR="00DC5342" w:rsidRDefault="00DC5342" w:rsidP="005864CC">
      <w:pPr>
        <w:spacing w:after="0" w:line="360" w:lineRule="auto"/>
        <w:jc w:val="both"/>
        <w:rPr>
          <w:rFonts w:eastAsiaTheme="minorEastAsia"/>
          <w:sz w:val="24"/>
          <w:szCs w:val="24"/>
          <w:lang w:val="en-US"/>
        </w:rPr>
      </w:pPr>
    </w:p>
    <w:p w14:paraId="7B656C76" w14:textId="1F6044D8" w:rsidR="00DC5342" w:rsidRDefault="00DC5342" w:rsidP="005864CC">
      <w:pPr>
        <w:spacing w:after="0" w:line="360" w:lineRule="auto"/>
        <w:jc w:val="both"/>
        <w:rPr>
          <w:rFonts w:eastAsiaTheme="minorEastAsia"/>
          <w:sz w:val="24"/>
          <w:szCs w:val="24"/>
          <w:lang w:val="en-US"/>
        </w:rPr>
      </w:pPr>
      <w:r>
        <w:rPr>
          <w:rFonts w:eastAsiaTheme="minorEastAsia"/>
          <w:sz w:val="24"/>
          <w:szCs w:val="24"/>
          <w:lang w:val="en-US"/>
        </w:rPr>
        <w:t>1.3. Deter</w:t>
      </w:r>
      <w:r w:rsidR="008C650C">
        <w:rPr>
          <w:rFonts w:eastAsiaTheme="minorEastAsia"/>
          <w:sz w:val="24"/>
          <w:szCs w:val="24"/>
          <w:lang w:val="en-US"/>
        </w:rPr>
        <w:t>mination of the optimal price for</w:t>
      </w:r>
      <w:r>
        <w:rPr>
          <w:rFonts w:eastAsiaTheme="minorEastAsia"/>
          <w:sz w:val="24"/>
          <w:szCs w:val="24"/>
          <w:lang w:val="en-US"/>
        </w:rPr>
        <w:t xml:space="preserve"> the generic drug firm:</w:t>
      </w:r>
    </w:p>
    <w:p w14:paraId="4F0FF4A4" w14:textId="2A5E16EB" w:rsidR="00DC5342" w:rsidRPr="00F42715" w:rsidRDefault="00EE5DF1" w:rsidP="00DC5342">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num>
            <m:den>
              <m:r>
                <w:rPr>
                  <w:rFonts w:ascii="Cambria Math" w:eastAsiaTheme="minorEastAsia" w:hAnsi="Cambria Math" w:cstheme="minorHAnsi"/>
                  <w:sz w:val="24"/>
                  <w:szCs w:val="24"/>
                  <w:lang w:val="en-US"/>
                </w:rPr>
                <m:t>V</m:t>
              </m:r>
            </m:den>
          </m:f>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-c)</m:t>
          </m:r>
        </m:oMath>
      </m:oMathPara>
    </w:p>
    <w:p w14:paraId="32291B9C" w14:textId="77777777" w:rsidR="00DC5342" w:rsidRPr="00F42715" w:rsidRDefault="00EE5DF1" w:rsidP="00DC5342">
      <w:pPr>
        <w:spacing w:after="0" w:line="360" w:lineRule="auto"/>
        <w:jc w:val="both"/>
        <w:rPr>
          <w:rFonts w:eastAsiaTheme="minorEastAsia" w:cstheme="minorHAnsi"/>
          <w:sz w:val="24"/>
          <w:szCs w:val="24"/>
          <w:lang w:val="en-US"/>
        </w:rPr>
      </w:pPr>
      <m:oMathPara>
        <m:oMath>
          <m:f>
            <m:fPr>
              <m:ctrlPr>
                <w:rPr>
                  <w:rFonts w:ascii="Cambria Math" w:eastAsiaTheme="minorEastAsia" w:hAnsi="Cambria Math" w:cstheme="minorHAnsi"/>
                  <w:sz w:val="24"/>
                  <w:szCs w:val="24"/>
                  <w:lang w:val="en-US"/>
                </w:rPr>
              </m:ctrlPr>
            </m:fPr>
            <m:num>
              <m:r>
                <w:rPr>
                  <w:rFonts w:ascii="Cambria Math" w:eastAsiaTheme="minorEastAsia" w:hAnsi="Cambria Math" w:cstheme="minorHAnsi"/>
                  <w:sz w:val="24"/>
                  <w:szCs w:val="24"/>
                  <w:lang w:val="en-US"/>
                </w:rPr>
                <m:t>δ</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num>
            <m:den>
              <m:r>
                <w:rPr>
                  <w:rFonts w:ascii="Cambria Math" w:eastAsiaTheme="minorEastAsia" w:hAnsi="Cambria Math" w:cstheme="minorHAnsi"/>
                  <w:sz w:val="24"/>
                  <w:szCs w:val="24"/>
                  <w:lang w:val="en-US"/>
                </w:rPr>
                <m:t>δ</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den>
          </m:f>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-2</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V</m:t>
              </m:r>
            </m:den>
          </m:f>
          <m:r>
            <w:rPr>
              <w:rFonts w:ascii="Cambria Math" w:eastAsiaTheme="minorEastAsia" w:hAnsi="Cambria Math" w:cstheme="minorHAnsi"/>
              <w:sz w:val="24"/>
              <w:szCs w:val="24"/>
              <w:lang w:val="en-US"/>
            </w:rPr>
            <m:t>=0</m:t>
          </m:r>
        </m:oMath>
      </m:oMathPara>
    </w:p>
    <w:p w14:paraId="176AFB95" w14:textId="6195A351" w:rsidR="00DC5342" w:rsidRPr="00365A4E" w:rsidRDefault="00EE5DF1" w:rsidP="005864C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oMath>
      </m:oMathPara>
    </w:p>
    <w:p w14:paraId="44A74473" w14:textId="5FF9CA70" w:rsidR="00365A4E" w:rsidRDefault="00365A4E" w:rsidP="005864CC">
      <w:pPr>
        <w:spacing w:after="0" w:line="360" w:lineRule="auto"/>
        <w:jc w:val="both"/>
        <w:rPr>
          <w:rFonts w:eastAsiaTheme="minorEastAsia" w:cstheme="minorHAnsi"/>
          <w:sz w:val="24"/>
          <w:szCs w:val="24"/>
          <w:lang w:val="en-US"/>
        </w:rPr>
      </w:pPr>
    </w:p>
    <w:p w14:paraId="0CD822A7" w14:textId="0592A734" w:rsidR="00365A4E" w:rsidRDefault="00365A4E" w:rsidP="005864CC">
      <w:pPr>
        <w:spacing w:after="0" w:line="360" w:lineRule="auto"/>
        <w:jc w:val="both"/>
        <w:rPr>
          <w:rFonts w:eastAsiaTheme="minorEastAsia" w:cstheme="minorHAnsi"/>
          <w:sz w:val="24"/>
          <w:szCs w:val="24"/>
          <w:lang w:val="en-US"/>
        </w:rPr>
      </w:pPr>
      <w:r>
        <w:rPr>
          <w:rFonts w:eastAsiaTheme="minorEastAsia" w:cstheme="minorHAnsi"/>
          <w:sz w:val="24"/>
          <w:szCs w:val="24"/>
          <w:lang w:val="en-US"/>
        </w:rPr>
        <w:t>1.4 Deter</w:t>
      </w:r>
      <w:r w:rsidR="008C650C">
        <w:rPr>
          <w:rFonts w:eastAsiaTheme="minorEastAsia" w:cstheme="minorHAnsi"/>
          <w:sz w:val="24"/>
          <w:szCs w:val="24"/>
          <w:lang w:val="en-US"/>
        </w:rPr>
        <w:t>mination of the optimal price for</w:t>
      </w:r>
      <w:r>
        <w:rPr>
          <w:rFonts w:eastAsiaTheme="minorEastAsia" w:cstheme="minorHAnsi"/>
          <w:sz w:val="24"/>
          <w:szCs w:val="24"/>
          <w:lang w:val="en-US"/>
        </w:rPr>
        <w:t xml:space="preserve"> the brand drug firm:</w:t>
      </w:r>
    </w:p>
    <w:p w14:paraId="6B626D9C" w14:textId="307A3B7E" w:rsidR="00365A4E" w:rsidRPr="008C650C" w:rsidRDefault="00EE5DF1" w:rsidP="00365A4E">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oMath>
      </m:oMathPara>
    </w:p>
    <w:p w14:paraId="3121987B" w14:textId="5CFCB4B0" w:rsidR="008C650C" w:rsidRPr="008C650C" w:rsidRDefault="00EE5DF1" w:rsidP="008C650C">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rPr>
                <m:t>2V</m:t>
              </m:r>
            </m:den>
          </m:f>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oMath>
      </m:oMathPara>
    </w:p>
    <w:p w14:paraId="65ACA7E4" w14:textId="08C66F1C" w:rsidR="008C650C" w:rsidRPr="008C650C" w:rsidRDefault="00EE5DF1" w:rsidP="008C650C">
      <w:pPr>
        <w:spacing w:after="0" w:line="360" w:lineRule="auto"/>
        <w:jc w:val="both"/>
        <w:rPr>
          <w:rFonts w:eastAsiaTheme="minorEastAsia" w:cstheme="minorHAnsi"/>
          <w:sz w:val="24"/>
          <w:szCs w:val="24"/>
          <w:lang w:val="en-US"/>
        </w:rPr>
      </w:pPr>
      <m:oMathPara>
        <m:oMath>
          <m:f>
            <m:fPr>
              <m:ctrlPr>
                <w:rPr>
                  <w:rFonts w:ascii="Cambria Math" w:eastAsiaTheme="minorEastAsia" w:hAnsi="Cambria Math" w:cstheme="minorHAnsi"/>
                  <w:sz w:val="24"/>
                  <w:szCs w:val="24"/>
                  <w:lang w:val="en-US"/>
                </w:rPr>
              </m:ctrlPr>
            </m:fPr>
            <m:num>
              <m:r>
                <w:rPr>
                  <w:rFonts w:ascii="Cambria Math" w:eastAsiaTheme="minorEastAsia" w:hAnsi="Cambria Math" w:cstheme="minorHAnsi"/>
                  <w:sz w:val="24"/>
                  <w:szCs w:val="24"/>
                  <w:lang w:val="en-US"/>
                </w:rPr>
                <m:t>δ</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B</m:t>
                  </m:r>
                </m:sub>
              </m:sSub>
            </m:num>
            <m:den>
              <m:r>
                <w:rPr>
                  <w:rFonts w:ascii="Cambria Math" w:eastAsiaTheme="minorEastAsia" w:hAnsi="Cambria Math" w:cstheme="minorHAnsi"/>
                  <w:sz w:val="24"/>
                  <w:szCs w:val="24"/>
                  <w:lang w:val="en-US"/>
                </w:rPr>
                <m:t>δ</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den>
          </m:f>
          <m:r>
            <w:rPr>
              <w:rFonts w:ascii="Cambria Math" w:eastAsiaTheme="minorEastAsia" w:hAnsi="Cambria Math" w:cstheme="minorHAnsi"/>
              <w:sz w:val="24"/>
              <w:szCs w:val="24"/>
              <w:lang w:val="en-US"/>
            </w:rPr>
            <m:t>:1-</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2p</m:t>
                  </m:r>
                </m:e>
                <m:sub>
                  <m:r>
                    <w:rPr>
                      <w:rFonts w:ascii="Cambria Math" w:eastAsiaTheme="minorEastAsia" w:hAnsi="Cambria Math" w:cstheme="minorHAnsi"/>
                      <w:sz w:val="24"/>
                      <w:szCs w:val="24"/>
                      <w:lang w:val="en-US"/>
                    </w:rPr>
                    <m:t>B</m:t>
                  </m:r>
                </m:sub>
              </m:sSub>
            </m:num>
            <m:den>
              <m:r>
                <w:rPr>
                  <w:rFonts w:ascii="Cambria Math" w:eastAsiaTheme="minorEastAsia" w:hAnsi="Cambria Math" w:cstheme="minorHAnsi"/>
                  <w:sz w:val="24"/>
                  <w:szCs w:val="24"/>
                  <w:lang w:val="en-US"/>
                </w:rPr>
                <m:t>2V</m:t>
              </m:r>
            </m:den>
          </m:f>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2V</m:t>
              </m:r>
            </m:den>
          </m:f>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2V</m:t>
              </m:r>
            </m:den>
          </m:f>
          <m:r>
            <w:rPr>
              <w:rFonts w:ascii="Cambria Math" w:eastAsiaTheme="minorEastAsia" w:hAnsi="Cambria Math" w:cstheme="minorHAnsi"/>
              <w:sz w:val="24"/>
              <w:szCs w:val="24"/>
              <w:lang w:val="en-US"/>
            </w:rPr>
            <m:t>=0</m:t>
          </m:r>
        </m:oMath>
      </m:oMathPara>
    </w:p>
    <w:p w14:paraId="3FA14131" w14:textId="2BE4ADB2" w:rsidR="008C650C" w:rsidRPr="008C650C" w:rsidRDefault="00EE5DF1" w:rsidP="008C650C">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=V+c</m:t>
          </m:r>
        </m:oMath>
      </m:oMathPara>
    </w:p>
    <w:p w14:paraId="694A8879" w14:textId="1B17F1D5" w:rsidR="00365A4E" w:rsidRDefault="00365A4E" w:rsidP="005864CC">
      <w:pPr>
        <w:spacing w:after="0" w:line="360" w:lineRule="auto"/>
        <w:jc w:val="both"/>
        <w:rPr>
          <w:rFonts w:eastAsiaTheme="minorEastAsia" w:cstheme="minorHAnsi"/>
          <w:sz w:val="24"/>
          <w:szCs w:val="24"/>
          <w:lang w:val="en-US"/>
        </w:rPr>
      </w:pPr>
    </w:p>
    <w:p w14:paraId="5C02A09E" w14:textId="77777777" w:rsidR="0010325C" w:rsidRDefault="0010325C" w:rsidP="005864CC">
      <w:pPr>
        <w:spacing w:after="0" w:line="360" w:lineRule="auto"/>
        <w:jc w:val="both"/>
        <w:rPr>
          <w:rFonts w:eastAsiaTheme="minorEastAsia" w:cstheme="minorHAnsi"/>
          <w:sz w:val="24"/>
          <w:szCs w:val="24"/>
          <w:lang w:val="en-US"/>
        </w:rPr>
      </w:pPr>
    </w:p>
    <w:p w14:paraId="7177E21F" w14:textId="77777777" w:rsidR="0010325C" w:rsidRDefault="0010325C" w:rsidP="005864CC">
      <w:pPr>
        <w:spacing w:after="0" w:line="360" w:lineRule="auto"/>
        <w:jc w:val="both"/>
        <w:rPr>
          <w:rFonts w:eastAsiaTheme="minorEastAsia" w:cstheme="minorHAnsi"/>
          <w:sz w:val="24"/>
          <w:szCs w:val="24"/>
          <w:lang w:val="en-US"/>
        </w:rPr>
      </w:pPr>
    </w:p>
    <w:p w14:paraId="0AE2D9A7" w14:textId="6BD8A67C" w:rsidR="0010325C" w:rsidRDefault="00F643EC" w:rsidP="005864CC">
      <w:pPr>
        <w:spacing w:after="0" w:line="360" w:lineRule="auto"/>
        <w:jc w:val="both"/>
        <w:rPr>
          <w:rFonts w:eastAsiaTheme="minorEastAsia" w:cstheme="minorHAnsi"/>
          <w:sz w:val="24"/>
          <w:szCs w:val="24"/>
          <w:lang w:val="en-US"/>
        </w:rPr>
      </w:pPr>
      <w:r>
        <w:rPr>
          <w:rFonts w:eastAsiaTheme="minorEastAsia" w:cstheme="minorHAnsi"/>
          <w:sz w:val="24"/>
          <w:szCs w:val="24"/>
          <w:lang w:val="en-US"/>
        </w:rPr>
        <w:lastRenderedPageBreak/>
        <w:t>1.5 Determination of the profit for the</w:t>
      </w:r>
      <w:r w:rsidR="0010325C">
        <w:rPr>
          <w:rFonts w:eastAsiaTheme="minorEastAsia" w:cstheme="minorHAnsi"/>
          <w:sz w:val="24"/>
          <w:szCs w:val="24"/>
          <w:lang w:val="en-US"/>
        </w:rPr>
        <w:t xml:space="preserve"> brand and generic</w:t>
      </w:r>
      <w:r>
        <w:rPr>
          <w:rFonts w:eastAsiaTheme="minorEastAsia" w:cstheme="minorHAnsi"/>
          <w:sz w:val="24"/>
          <w:szCs w:val="24"/>
          <w:lang w:val="en-US"/>
        </w:rPr>
        <w:t xml:space="preserve"> firm:</w:t>
      </w:r>
    </w:p>
    <w:p w14:paraId="62B1D10B" w14:textId="014F321D" w:rsidR="0010325C" w:rsidRPr="0010325C" w:rsidRDefault="0010325C" w:rsidP="005864CC">
      <w:pPr>
        <w:spacing w:after="0" w:line="360" w:lineRule="auto"/>
        <w:jc w:val="both"/>
        <w:rPr>
          <w:rFonts w:eastAsiaTheme="minorEastAsia" w:cstheme="minorHAnsi"/>
          <w:i/>
          <w:sz w:val="24"/>
          <w:szCs w:val="24"/>
          <w:lang w:val="en-US"/>
        </w:rPr>
      </w:pPr>
      <w:r w:rsidRPr="0010325C">
        <w:rPr>
          <w:rFonts w:eastAsiaTheme="minorEastAsia" w:cstheme="minorHAnsi"/>
          <w:i/>
          <w:sz w:val="24"/>
          <w:szCs w:val="24"/>
          <w:lang w:val="en-US"/>
        </w:rPr>
        <w:t>Brand drug firm</w:t>
      </w:r>
    </w:p>
    <w:p w14:paraId="102DD8C7" w14:textId="5423A25C" w:rsidR="0010325C" w:rsidRPr="0010325C" w:rsidRDefault="00EE5DF1" w:rsidP="005864C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s</m:t>
              </m:r>
            </m:e>
            <m:sub>
              <m:r>
                <w:rPr>
                  <w:rFonts w:ascii="Cambria Math" w:eastAsiaTheme="minorEastAsia" w:hAnsi="Cambria Math" w:cstheme="minorHAnsi"/>
                  <w:sz w:val="24"/>
                  <w:szCs w:val="24"/>
                  <w:lang w:val="en-US"/>
                </w:rPr>
                <m:t>B</m:t>
              </m:r>
            </m:sub>
          </m:sSub>
        </m:oMath>
      </m:oMathPara>
    </w:p>
    <w:p w14:paraId="3E65EDDF" w14:textId="10D573A0" w:rsidR="0010325C" w:rsidRPr="0010325C" w:rsidRDefault="00EE5DF1" w:rsidP="0010325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d>
            <m:dPr>
              <m:ctrlPr>
                <w:rPr>
                  <w:rFonts w:ascii="Cambria Math" w:eastAsiaTheme="minorEastAsia" w:hAnsi="Cambria Math" w:cstheme="minorHAnsi"/>
                  <w:i/>
                  <w:sz w:val="24"/>
                  <w:szCs w:val="24"/>
                  <w:lang w:val="en-US"/>
                </w:rPr>
              </m:ctrlPr>
            </m:dPr>
            <m:e>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e>
          </m:d>
          <m:d>
            <m:dPr>
              <m:ctrlPr>
                <w:rPr>
                  <w:rFonts w:ascii="Cambria Math" w:eastAsiaTheme="minorEastAsia" w:hAnsi="Cambria Math" w:cstheme="minorHAnsi"/>
                  <w:i/>
                  <w:sz w:val="24"/>
                  <w:szCs w:val="24"/>
                  <w:lang w:val="en-US"/>
                </w:rPr>
              </m:ctrlPr>
            </m:dPr>
            <m:e>
              <m:r>
                <w:rPr>
                  <w:rFonts w:ascii="Cambria Math" w:eastAsiaTheme="minorEastAsia" w:hAnsi="Cambria Math" w:cstheme="minorHAnsi"/>
                  <w:sz w:val="24"/>
                  <w:szCs w:val="24"/>
                  <w:lang w:val="en-US"/>
                </w:rPr>
                <m:t>1-</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num>
                <m:den>
                  <m:r>
                    <w:rPr>
                      <w:rFonts w:ascii="Cambria Math" w:eastAsiaTheme="minorEastAsia" w:hAnsi="Cambria Math" w:cstheme="minorHAnsi"/>
                      <w:sz w:val="24"/>
                      <w:szCs w:val="24"/>
                      <w:lang w:val="en-US"/>
                    </w:rPr>
                    <m:t>V</m:t>
                  </m:r>
                </m:den>
              </m:f>
            </m:e>
          </m:d>
        </m:oMath>
      </m:oMathPara>
    </w:p>
    <w:p w14:paraId="67C178A5" w14:textId="337C2D66" w:rsidR="0010325C" w:rsidRPr="0010325C" w:rsidRDefault="00EE5DF1" w:rsidP="0010325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d>
            <m:dPr>
              <m:ctrlPr>
                <w:rPr>
                  <w:rFonts w:ascii="Cambria Math" w:eastAsiaTheme="minorEastAsia" w:hAnsi="Cambria Math" w:cstheme="minorHAnsi"/>
                  <w:i/>
                  <w:sz w:val="24"/>
                  <w:szCs w:val="24"/>
                  <w:lang w:val="en-US"/>
                </w:rPr>
              </m:ctrlPr>
            </m:dPr>
            <m:e>
              <m:r>
                <w:rPr>
                  <w:rFonts w:ascii="Cambria Math" w:eastAsiaTheme="minorEastAsia" w:hAnsi="Cambria Math" w:cstheme="minorHAnsi"/>
                  <w:sz w:val="24"/>
                  <w:szCs w:val="24"/>
                  <w:lang w:val="en-US"/>
                </w:rPr>
                <m:t>V-c</m:t>
              </m:r>
            </m:e>
          </m:d>
          <m:d>
            <m:dPr>
              <m:ctrlPr>
                <w:rPr>
                  <w:rFonts w:ascii="Cambria Math" w:eastAsiaTheme="minorEastAsia" w:hAnsi="Cambria Math" w:cstheme="minorHAnsi"/>
                  <w:i/>
                  <w:sz w:val="24"/>
                  <w:szCs w:val="24"/>
                  <w:lang w:val="en-US"/>
                </w:rPr>
              </m:ctrlPr>
            </m:dPr>
            <m:e>
              <m:r>
                <w:rPr>
                  <w:rFonts w:ascii="Cambria Math" w:eastAsiaTheme="minorEastAsia" w:hAnsi="Cambria Math" w:cstheme="minorHAnsi"/>
                  <w:sz w:val="24"/>
                  <w:szCs w:val="24"/>
                  <w:lang w:val="en-US"/>
                </w:rPr>
                <m:t>1-</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V+c</m:t>
                      </m:r>
                    </m:num>
                    <m:den>
                      <m:r>
                        <w:rPr>
                          <w:rFonts w:ascii="Cambria Math" w:eastAsiaTheme="minorEastAsia" w:hAnsi="Cambria Math" w:cstheme="minorHAnsi"/>
                          <w:sz w:val="24"/>
                          <w:szCs w:val="24"/>
                          <w:lang w:val="en-US"/>
                        </w:rPr>
                        <m:t>2</m:t>
                      </m:r>
                    </m:den>
                  </m:f>
                </m:num>
                <m:den>
                  <m:r>
                    <w:rPr>
                      <w:rFonts w:ascii="Cambria Math" w:eastAsiaTheme="minorEastAsia" w:hAnsi="Cambria Math" w:cstheme="minorHAnsi"/>
                      <w:sz w:val="24"/>
                      <w:szCs w:val="24"/>
                      <w:lang w:val="en-US"/>
                    </w:rPr>
                    <m:t>V</m:t>
                  </m:r>
                </m:den>
              </m:f>
            </m:e>
          </m:d>
        </m:oMath>
      </m:oMathPara>
    </w:p>
    <w:p w14:paraId="76188679" w14:textId="7622AE99" w:rsidR="0010325C" w:rsidRDefault="00EE5DF1" w:rsidP="005864C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(V-c)(V+c)</m:t>
              </m:r>
            </m:num>
            <m:den>
              <m:r>
                <w:rPr>
                  <w:rFonts w:ascii="Cambria Math" w:eastAsiaTheme="minorEastAsia" w:hAnsi="Cambria Math" w:cstheme="minorHAnsi"/>
                  <w:sz w:val="24"/>
                  <w:szCs w:val="24"/>
                  <w:lang w:val="en-US"/>
                </w:rPr>
                <m:t>2V</m:t>
              </m:r>
            </m:den>
          </m:f>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V</m:t>
                  </m:r>
                </m:e>
                <m:sup>
                  <m:r>
                    <w:rPr>
                      <w:rFonts w:ascii="Cambria Math" w:eastAsiaTheme="minorEastAsia" w:hAnsi="Cambria Math" w:cstheme="minorHAnsi"/>
                      <w:sz w:val="24"/>
                      <w:szCs w:val="24"/>
                      <w:lang w:val="en-US"/>
                    </w:rPr>
                    <m:t>2</m:t>
                  </m:r>
                </m:sup>
              </m:sSup>
              <m:r>
                <w:rPr>
                  <w:rFonts w:ascii="Cambria Math" w:eastAsiaTheme="minorEastAsia" w:hAnsi="Cambria Math" w:cstheme="minorHAnsi"/>
                  <w:sz w:val="24"/>
                  <w:szCs w:val="24"/>
                  <w:lang w:val="en-US"/>
                </w:rPr>
                <m:t>-</m:t>
              </m:r>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c</m:t>
                  </m:r>
                </m:e>
                <m:sup>
                  <m:r>
                    <w:rPr>
                      <w:rFonts w:ascii="Cambria Math" w:eastAsiaTheme="minorEastAsia" w:hAnsi="Cambria Math" w:cstheme="minorHAnsi"/>
                      <w:sz w:val="24"/>
                      <w:szCs w:val="24"/>
                      <w:lang w:val="en-US"/>
                    </w:rPr>
                    <m:t>2</m:t>
                  </m:r>
                </m:sup>
              </m:sSup>
            </m:num>
            <m:den>
              <m:r>
                <w:rPr>
                  <w:rFonts w:ascii="Cambria Math" w:eastAsiaTheme="minorEastAsia" w:hAnsi="Cambria Math" w:cstheme="minorHAnsi"/>
                  <w:sz w:val="24"/>
                  <w:szCs w:val="24"/>
                  <w:lang w:val="en-US"/>
                </w:rPr>
                <m:t>2V</m:t>
              </m:r>
            </m:den>
          </m:f>
        </m:oMath>
      </m:oMathPara>
    </w:p>
    <w:p w14:paraId="1908CCEE" w14:textId="79B18CBD" w:rsidR="0010325C" w:rsidRPr="0010325C" w:rsidRDefault="0010325C" w:rsidP="005864CC">
      <w:pPr>
        <w:spacing w:after="0" w:line="360" w:lineRule="auto"/>
        <w:jc w:val="both"/>
        <w:rPr>
          <w:rFonts w:eastAsiaTheme="minorEastAsia" w:cstheme="minorHAnsi"/>
          <w:i/>
          <w:sz w:val="24"/>
          <w:szCs w:val="24"/>
          <w:lang w:val="en-US"/>
        </w:rPr>
      </w:pPr>
      <w:r>
        <w:rPr>
          <w:rFonts w:eastAsiaTheme="minorEastAsia" w:cstheme="minorHAnsi"/>
          <w:i/>
          <w:sz w:val="24"/>
          <w:szCs w:val="24"/>
          <w:lang w:val="en-US"/>
        </w:rPr>
        <w:t>Generic drug firm</w:t>
      </w:r>
    </w:p>
    <w:p w14:paraId="315EB7C1" w14:textId="465C05D7" w:rsidR="0010325C" w:rsidRPr="0010325C" w:rsidRDefault="00EE5DF1" w:rsidP="0010325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-c)</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s</m:t>
              </m:r>
            </m:e>
            <m:sub>
              <m:r>
                <w:rPr>
                  <w:rFonts w:ascii="Cambria Math" w:eastAsiaTheme="minorEastAsia" w:hAnsi="Cambria Math" w:cstheme="minorHAnsi"/>
                  <w:sz w:val="24"/>
                  <w:szCs w:val="24"/>
                  <w:lang w:val="en-US"/>
                </w:rPr>
                <m:t>G</m:t>
              </m:r>
            </m:sub>
          </m:sSub>
        </m:oMath>
      </m:oMathPara>
    </w:p>
    <w:p w14:paraId="5358D8AE" w14:textId="5CA4F422" w:rsidR="0010325C" w:rsidRPr="0010325C" w:rsidRDefault="00EE5DF1" w:rsidP="0010325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d>
            <m:dPr>
              <m:ctrlPr>
                <w:rPr>
                  <w:rFonts w:ascii="Cambria Math" w:eastAsiaTheme="minorEastAsia" w:hAnsi="Cambria Math" w:cstheme="minorHAnsi"/>
                  <w:i/>
                  <w:sz w:val="24"/>
                  <w:szCs w:val="24"/>
                  <w:lang w:val="en-US"/>
                </w:rPr>
              </m:ctrlPr>
            </m:dPr>
            <m:e>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-c</m:t>
              </m:r>
            </m:e>
          </m:d>
          <m:d>
            <m:dPr>
              <m:ctrlPr>
                <w:rPr>
                  <w:rFonts w:ascii="Cambria Math" w:eastAsiaTheme="minorEastAsia" w:hAnsi="Cambria Math" w:cstheme="minorHAnsi"/>
                  <w:i/>
                  <w:sz w:val="24"/>
                  <w:szCs w:val="24"/>
                  <w:lang w:val="en-US"/>
                </w:rPr>
              </m:ctrlPr>
            </m:dPr>
            <m:e>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num>
                <m:den>
                  <m:r>
                    <w:rPr>
                      <w:rFonts w:ascii="Cambria Math" w:eastAsiaTheme="minorEastAsia" w:hAnsi="Cambria Math" w:cstheme="minorHAnsi"/>
                      <w:sz w:val="24"/>
                      <w:szCs w:val="24"/>
                      <w:lang w:val="en-US"/>
                    </w:rPr>
                    <m:t>V</m:t>
                  </m:r>
                </m:den>
              </m:f>
            </m:e>
          </m:d>
        </m:oMath>
      </m:oMathPara>
    </w:p>
    <w:p w14:paraId="3F36A3AE" w14:textId="74B40390" w:rsidR="0010325C" w:rsidRPr="0010325C" w:rsidRDefault="00EE5DF1" w:rsidP="0010325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d>
            <m:dPr>
              <m:ctrlPr>
                <w:rPr>
                  <w:rFonts w:ascii="Cambria Math" w:eastAsiaTheme="minorEastAsia" w:hAnsi="Cambria Math" w:cstheme="minorHAnsi"/>
                  <w:i/>
                  <w:sz w:val="24"/>
                  <w:szCs w:val="24"/>
                  <w:lang w:val="en-US"/>
                </w:rPr>
              </m:ctrlPr>
            </m:dPr>
            <m:e>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V+c</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-c</m:t>
              </m:r>
            </m:e>
          </m:d>
          <m:d>
            <m:dPr>
              <m:ctrlPr>
                <w:rPr>
                  <w:rFonts w:ascii="Cambria Math" w:eastAsiaTheme="minorEastAsia" w:hAnsi="Cambria Math" w:cstheme="minorHAnsi"/>
                  <w:i/>
                  <w:sz w:val="24"/>
                  <w:szCs w:val="24"/>
                  <w:lang w:val="en-US"/>
                </w:rPr>
              </m:ctrlPr>
            </m:dPr>
            <m:e>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V+c</m:t>
                      </m:r>
                    </m:num>
                    <m:den>
                      <m:r>
                        <w:rPr>
                          <w:rFonts w:ascii="Cambria Math" w:eastAsiaTheme="minorEastAsia" w:hAnsi="Cambria Math" w:cstheme="minorHAnsi"/>
                          <w:sz w:val="24"/>
                          <w:szCs w:val="24"/>
                          <w:lang w:val="en-US"/>
                        </w:rPr>
                        <m:t>2</m:t>
                      </m:r>
                    </m:den>
                  </m:f>
                </m:num>
                <m:den>
                  <m:r>
                    <w:rPr>
                      <w:rFonts w:ascii="Cambria Math" w:eastAsiaTheme="minorEastAsia" w:hAnsi="Cambria Math" w:cstheme="minorHAnsi"/>
                      <w:sz w:val="24"/>
                      <w:szCs w:val="24"/>
                      <w:lang w:val="en-US"/>
                    </w:rPr>
                    <m:t>V</m:t>
                  </m:r>
                </m:den>
              </m:f>
            </m:e>
          </m:d>
        </m:oMath>
      </m:oMathPara>
    </w:p>
    <w:p w14:paraId="38F98ED1" w14:textId="1EF89A03" w:rsidR="0010325C" w:rsidRDefault="00EE5DF1" w:rsidP="0010325C">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(V-c)(V+c)</m:t>
              </m:r>
            </m:num>
            <m:den>
              <m:r>
                <w:rPr>
                  <w:rFonts w:ascii="Cambria Math" w:eastAsiaTheme="minorEastAsia" w:hAnsi="Cambria Math" w:cstheme="minorHAnsi"/>
                  <w:sz w:val="24"/>
                  <w:szCs w:val="24"/>
                  <w:lang w:val="en-US"/>
                </w:rPr>
                <m:t>4V</m:t>
              </m:r>
            </m:den>
          </m:f>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V</m:t>
                  </m:r>
                </m:e>
                <m:sup>
                  <m:r>
                    <w:rPr>
                      <w:rFonts w:ascii="Cambria Math" w:eastAsiaTheme="minorEastAsia" w:hAnsi="Cambria Math" w:cstheme="minorHAnsi"/>
                      <w:sz w:val="24"/>
                      <w:szCs w:val="24"/>
                      <w:lang w:val="en-US"/>
                    </w:rPr>
                    <m:t>2</m:t>
                  </m:r>
                </m:sup>
              </m:sSup>
              <m:r>
                <w:rPr>
                  <w:rFonts w:ascii="Cambria Math" w:eastAsiaTheme="minorEastAsia" w:hAnsi="Cambria Math" w:cstheme="minorHAnsi"/>
                  <w:sz w:val="24"/>
                  <w:szCs w:val="24"/>
                  <w:lang w:val="en-US"/>
                </w:rPr>
                <m:t>-</m:t>
              </m:r>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c</m:t>
                  </m:r>
                </m:e>
                <m:sup>
                  <m:r>
                    <w:rPr>
                      <w:rFonts w:ascii="Cambria Math" w:eastAsiaTheme="minorEastAsia" w:hAnsi="Cambria Math" w:cstheme="minorHAnsi"/>
                      <w:sz w:val="24"/>
                      <w:szCs w:val="24"/>
                      <w:lang w:val="en-US"/>
                    </w:rPr>
                    <m:t>2</m:t>
                  </m:r>
                </m:sup>
              </m:sSup>
            </m:num>
            <m:den>
              <m:r>
                <w:rPr>
                  <w:rFonts w:ascii="Cambria Math" w:eastAsiaTheme="minorEastAsia" w:hAnsi="Cambria Math" w:cstheme="minorHAnsi"/>
                  <w:sz w:val="24"/>
                  <w:szCs w:val="24"/>
                  <w:lang w:val="en-US"/>
                </w:rPr>
                <m:t>4V</m:t>
              </m:r>
            </m:den>
          </m:f>
        </m:oMath>
      </m:oMathPara>
    </w:p>
    <w:p w14:paraId="77AF15A2" w14:textId="77777777" w:rsidR="008C650C" w:rsidRDefault="008C650C" w:rsidP="005864CC">
      <w:pPr>
        <w:spacing w:after="0" w:line="360" w:lineRule="auto"/>
        <w:jc w:val="both"/>
        <w:rPr>
          <w:rFonts w:eastAsiaTheme="minorEastAsia" w:cstheme="minorHAnsi"/>
          <w:sz w:val="24"/>
          <w:szCs w:val="24"/>
          <w:lang w:val="en-US"/>
        </w:rPr>
      </w:pPr>
    </w:p>
    <w:p w14:paraId="6DA0F3E1" w14:textId="7402D180" w:rsidR="008C650C" w:rsidRDefault="00F643EC" w:rsidP="005864CC">
      <w:pPr>
        <w:spacing w:after="0" w:line="360" w:lineRule="auto"/>
        <w:jc w:val="both"/>
        <w:rPr>
          <w:rFonts w:eastAsiaTheme="minorEastAsia" w:cstheme="minorHAnsi"/>
          <w:sz w:val="24"/>
          <w:szCs w:val="24"/>
          <w:lang w:val="en-US"/>
        </w:rPr>
      </w:pPr>
      <w:r>
        <w:rPr>
          <w:rFonts w:eastAsiaTheme="minorEastAsia" w:cstheme="minorHAnsi"/>
          <w:sz w:val="24"/>
          <w:szCs w:val="24"/>
          <w:lang w:val="en-US"/>
        </w:rPr>
        <w:t>1.6</w:t>
      </w:r>
      <w:r w:rsidR="008C650C">
        <w:rPr>
          <w:rFonts w:eastAsiaTheme="minorEastAsia" w:cstheme="minorHAnsi"/>
          <w:sz w:val="24"/>
          <w:szCs w:val="24"/>
          <w:lang w:val="en-US"/>
        </w:rPr>
        <w:t xml:space="preserve"> Determination of the optimal price</w:t>
      </w:r>
      <w:r w:rsidR="00DB22A1">
        <w:rPr>
          <w:rFonts w:eastAsiaTheme="minorEastAsia" w:cstheme="minorHAnsi"/>
          <w:sz w:val="24"/>
          <w:szCs w:val="24"/>
          <w:lang w:val="en-US"/>
        </w:rPr>
        <w:t xml:space="preserve"> and the resulting profit</w:t>
      </w:r>
      <w:r w:rsidR="008C650C">
        <w:rPr>
          <w:rFonts w:eastAsiaTheme="minorEastAsia" w:cstheme="minorHAnsi"/>
          <w:sz w:val="24"/>
          <w:szCs w:val="24"/>
          <w:lang w:val="en-US"/>
        </w:rPr>
        <w:t xml:space="preserve"> for the brand drug firm:</w:t>
      </w:r>
    </w:p>
    <w:p w14:paraId="0CE738CC" w14:textId="151C015A" w:rsidR="00DB22A1" w:rsidRPr="00DB22A1" w:rsidRDefault="00DB22A1" w:rsidP="005864CC">
      <w:pPr>
        <w:spacing w:after="0" w:line="360" w:lineRule="auto"/>
        <w:jc w:val="both"/>
        <w:rPr>
          <w:rFonts w:eastAsiaTheme="minorEastAsia" w:cstheme="minorHAnsi"/>
          <w:i/>
          <w:sz w:val="24"/>
          <w:szCs w:val="24"/>
          <w:lang w:val="en-US"/>
        </w:rPr>
      </w:pPr>
      <w:r>
        <w:rPr>
          <w:rFonts w:eastAsiaTheme="minorEastAsia" w:cstheme="minorHAnsi"/>
          <w:i/>
          <w:sz w:val="24"/>
          <w:szCs w:val="24"/>
          <w:lang w:val="en-US"/>
        </w:rPr>
        <w:t>Optimal price</w:t>
      </w:r>
    </w:p>
    <w:p w14:paraId="4A9577BA" w14:textId="256872CE" w:rsidR="008C650C" w:rsidRDefault="00EE5DF1" w:rsidP="008C650C">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oMath>
      </m:oMathPara>
    </w:p>
    <w:p w14:paraId="7605932D" w14:textId="7B2EB5F2" w:rsidR="008C650C" w:rsidRPr="008C650C" w:rsidRDefault="00EE5DF1" w:rsidP="008C650C">
      <w:pPr>
        <w:spacing w:after="0" w:line="360" w:lineRule="auto"/>
        <w:jc w:val="both"/>
        <w:rPr>
          <w:rFonts w:eastAsiaTheme="minorEastAsia" w:cstheme="minorHAnsi"/>
          <w:sz w:val="24"/>
          <w:szCs w:val="24"/>
          <w:lang w:val="en-US"/>
        </w:rPr>
      </w:pPr>
      <m:oMathPara>
        <m:oMath>
          <m:f>
            <m:fPr>
              <m:ctrlPr>
                <w:rPr>
                  <w:rFonts w:ascii="Cambria Math" w:eastAsiaTheme="minorEastAsia" w:hAnsi="Cambria Math" w:cstheme="minorHAnsi"/>
                  <w:sz w:val="24"/>
                  <w:szCs w:val="24"/>
                </w:rPr>
              </m:ctrlPr>
            </m:fPr>
            <m:num>
              <m:r>
                <w:rPr>
                  <w:rFonts w:ascii="Cambria Math" w:eastAsiaTheme="minorEastAsia" w:hAnsi="Cambria Math" w:cstheme="minorHAnsi"/>
                  <w:sz w:val="24"/>
                  <w:szCs w:val="24"/>
                </w:rPr>
                <m:t>δ</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num>
            <m:den>
              <m:r>
                <w:rPr>
                  <w:rFonts w:ascii="Cambria Math" w:eastAsiaTheme="minorEastAsia" w:hAnsi="Cambria Math" w:cstheme="minorHAnsi"/>
                  <w:sz w:val="24"/>
                  <w:szCs w:val="24"/>
                </w:rPr>
                <m:t>δ</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den>
          </m:f>
          <m:r>
            <w:rPr>
              <w:rFonts w:ascii="Cambria Math" w:eastAsiaTheme="minorEastAsia" w:hAnsi="Cambria Math" w:cstheme="minorHAnsi"/>
              <w:sz w:val="24"/>
              <w:szCs w:val="24"/>
              <w:lang w:val="en-US"/>
            </w:rPr>
            <m:t>:1-</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lang w:val="en-US"/>
                </w:rPr>
                <m:t>2</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V</m:t>
              </m:r>
            </m:den>
          </m:f>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V</m:t>
              </m:r>
            </m:den>
          </m:f>
          <m:r>
            <w:rPr>
              <w:rFonts w:ascii="Cambria Math" w:eastAsiaTheme="minorEastAsia" w:hAnsi="Cambria Math" w:cstheme="minorHAnsi"/>
              <w:sz w:val="24"/>
              <w:szCs w:val="24"/>
              <w:lang w:val="en-US"/>
            </w:rPr>
            <m:t>=0</m:t>
          </m:r>
        </m:oMath>
      </m:oMathPara>
    </w:p>
    <w:p w14:paraId="51C5ED09" w14:textId="79EE6993" w:rsidR="00DB22A1" w:rsidRDefault="00EE5DF1" w:rsidP="005864CC">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rPr>
                <m:t>2</m:t>
              </m:r>
            </m:den>
          </m:f>
          <m:r>
            <w:rPr>
              <w:rFonts w:ascii="Cambria Math" w:eastAsiaTheme="minorEastAsia" w:hAnsi="Cambria Math" w:cstheme="minorHAnsi"/>
              <w:sz w:val="24"/>
              <w:szCs w:val="24"/>
            </w:rPr>
            <m:t>+c</m:t>
          </m:r>
        </m:oMath>
      </m:oMathPara>
    </w:p>
    <w:p w14:paraId="35701A36" w14:textId="32E9EDD8" w:rsidR="00DB22A1" w:rsidRDefault="00DB22A1" w:rsidP="005864CC">
      <w:pPr>
        <w:spacing w:after="0" w:line="360" w:lineRule="auto"/>
        <w:jc w:val="both"/>
        <w:rPr>
          <w:rFonts w:eastAsiaTheme="minorEastAsia" w:cstheme="minorHAnsi"/>
          <w:i/>
          <w:sz w:val="24"/>
          <w:szCs w:val="24"/>
        </w:rPr>
      </w:pPr>
      <w:r>
        <w:rPr>
          <w:rFonts w:eastAsiaTheme="minorEastAsia" w:cstheme="minorHAnsi"/>
          <w:i/>
          <w:sz w:val="24"/>
          <w:szCs w:val="24"/>
        </w:rPr>
        <w:t>Resulting profit</w:t>
      </w:r>
    </w:p>
    <w:p w14:paraId="53563B5A" w14:textId="5827BEBB" w:rsidR="00DB22A1" w:rsidRPr="00DB22A1" w:rsidRDefault="00EE5DF1" w:rsidP="005864CC">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oMath>
      </m:oMathPara>
    </w:p>
    <w:p w14:paraId="0B20CF1C" w14:textId="4097D1D4" w:rsidR="00DB22A1" w:rsidRDefault="00EE5DF1" w:rsidP="00DB22A1">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rPr>
                    <m:t>2</m:t>
                  </m:r>
                </m:den>
              </m:f>
              <m:r>
                <w:rPr>
                  <w:rFonts w:ascii="Cambria Math" w:eastAsiaTheme="minorEastAsia" w:hAnsi="Cambria Math" w:cstheme="minorHAnsi"/>
                  <w:sz w:val="24"/>
                  <w:szCs w:val="24"/>
                </w:rPr>
                <m:t>+c-c</m:t>
              </m:r>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rPr>
                <m:t>2</m:t>
              </m:r>
            </m:den>
          </m:f>
          <m:r>
            <w:rPr>
              <w:rFonts w:ascii="Cambria Math" w:eastAsiaTheme="minorEastAsia" w:hAnsi="Cambria Math" w:cstheme="minorHAnsi"/>
              <w:sz w:val="24"/>
              <w:szCs w:val="24"/>
            </w:rPr>
            <m:t>+c-c)</m:t>
          </m:r>
        </m:oMath>
      </m:oMathPara>
    </w:p>
    <w:p w14:paraId="72448210" w14:textId="3C25B4E7" w:rsidR="008A3DC1" w:rsidRPr="00DB22A1" w:rsidRDefault="00EE5DF1" w:rsidP="00DB22A1">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rPr>
                <m:t>2V</m:t>
              </m:r>
            </m:den>
          </m:f>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rPr>
                <m:t>2</m:t>
              </m:r>
            </m:den>
          </m:f>
        </m:oMath>
      </m:oMathPara>
    </w:p>
    <w:p w14:paraId="7769C18E" w14:textId="77777777" w:rsidR="00DB22A1" w:rsidRPr="00DB22A1" w:rsidRDefault="00EE5DF1" w:rsidP="00DB22A1">
      <w:pPr>
        <w:spacing w:after="0" w:line="360" w:lineRule="auto"/>
        <w:jc w:val="both"/>
        <w:rPr>
          <w:rFonts w:eastAsiaTheme="minorEastAsia" w:cstheme="minorHAnsi"/>
          <w:sz w:val="24"/>
          <w:szCs w:val="24"/>
        </w:rPr>
      </w:pPr>
      <m:oMathPara>
        <m:oMath>
          <m:sSub>
            <m:sSubPr>
              <m:ctrlPr>
                <w:rPr>
                  <w:rFonts w:ascii="Cambria Math" w:eastAsiaTheme="minorEastAsia" w:hAnsi="Cambria Math" w:cstheme="minorHAnsi"/>
                  <w:sz w:val="24"/>
                  <w:szCs w:val="24"/>
                </w:rPr>
              </m:ctrlPr>
            </m:sSub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rPr>
                <m:t>4</m:t>
              </m:r>
            </m:den>
          </m:f>
        </m:oMath>
      </m:oMathPara>
    </w:p>
    <w:p w14:paraId="58A9E8E8" w14:textId="4A552017" w:rsidR="00411603" w:rsidRDefault="005552CD" w:rsidP="00674E95">
      <w:pPr>
        <w:pStyle w:val="Kop1"/>
        <w:spacing w:before="0" w:line="360" w:lineRule="auto"/>
        <w:jc w:val="center"/>
        <w:rPr>
          <w:b/>
          <w:color w:val="auto"/>
          <w:lang w:val="en-US"/>
        </w:rPr>
      </w:pPr>
      <w:bookmarkStart w:id="22" w:name="_Toc14787855"/>
      <w:r w:rsidRPr="00950D55">
        <w:rPr>
          <w:b/>
          <w:color w:val="auto"/>
          <w:lang w:val="en-US"/>
        </w:rPr>
        <w:lastRenderedPageBreak/>
        <w:t>Appendix</w:t>
      </w:r>
      <w:r>
        <w:rPr>
          <w:b/>
          <w:color w:val="auto"/>
          <w:lang w:val="en-US"/>
        </w:rPr>
        <w:t xml:space="preserve"> 2: </w:t>
      </w:r>
      <w:r w:rsidRPr="00950D55">
        <w:rPr>
          <w:b/>
          <w:color w:val="auto"/>
          <w:lang w:val="en-US"/>
        </w:rPr>
        <w:t>Entry deterring in the pharmaceutical market</w:t>
      </w:r>
      <w:bookmarkEnd w:id="22"/>
    </w:p>
    <w:p w14:paraId="2B680C75" w14:textId="44F68665" w:rsidR="004A08D6" w:rsidRPr="001E1A87" w:rsidRDefault="004A08D6" w:rsidP="004A08D6">
      <w:pPr>
        <w:spacing w:after="0" w:line="360" w:lineRule="auto"/>
        <w:jc w:val="both"/>
        <w:rPr>
          <w:rFonts w:eastAsiaTheme="minorEastAsia" w:cstheme="minorHAnsi"/>
          <w:sz w:val="24"/>
          <w:szCs w:val="24"/>
          <w:lang w:val="en-US"/>
        </w:rPr>
      </w:pPr>
    </w:p>
    <w:p w14:paraId="50D86C2B" w14:textId="0117A659" w:rsidR="004A08D6" w:rsidRPr="004A08D6" w:rsidRDefault="00CC35B2" w:rsidP="004A08D6">
      <w:pPr>
        <w:spacing w:after="0" w:line="360" w:lineRule="auto"/>
        <w:jc w:val="both"/>
        <w:rPr>
          <w:rFonts w:eastAsiaTheme="minorEastAsia" w:cstheme="minorHAnsi"/>
          <w:sz w:val="24"/>
          <w:szCs w:val="24"/>
          <w:lang w:val="en-US"/>
        </w:rPr>
      </w:pPr>
      <w:r>
        <w:rPr>
          <w:rFonts w:eastAsiaTheme="minorEastAsia" w:cstheme="minorHAnsi"/>
          <w:sz w:val="24"/>
          <w:szCs w:val="24"/>
          <w:lang w:val="en-US"/>
        </w:rPr>
        <w:t>2.1</w:t>
      </w:r>
      <w:r w:rsidR="004A08D6" w:rsidRPr="004A08D6">
        <w:rPr>
          <w:rFonts w:eastAsiaTheme="minorEastAsia" w:cstheme="minorHAnsi"/>
          <w:sz w:val="24"/>
          <w:szCs w:val="24"/>
          <w:lang w:val="en-US"/>
        </w:rPr>
        <w:t xml:space="preserve"> Determination of the limit price for the brand firm:</w:t>
      </w:r>
    </w:p>
    <w:p w14:paraId="7FD9C125" w14:textId="3BCB30E1" w:rsidR="004A08D6" w:rsidRPr="004A08D6" w:rsidRDefault="00EE5DF1" w:rsidP="004A08D6">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s</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d>
            <m:dPr>
              <m:ctrlPr>
                <w:rPr>
                  <w:rFonts w:ascii="Cambria Math" w:eastAsiaTheme="minorEastAsia" w:hAnsi="Cambria Math" w:cstheme="minorHAnsi"/>
                  <w:i/>
                  <w:sz w:val="24"/>
                  <w:szCs w:val="24"/>
                  <w:lang w:val="en-US"/>
                </w:rPr>
              </m:ctrlPr>
            </m:dPr>
            <m:e>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-c</m:t>
              </m:r>
            </m:e>
          </m:d>
          <m:r>
            <w:rPr>
              <w:rFonts w:ascii="Cambria Math" w:eastAsiaTheme="minorEastAsia" w:hAnsi="Cambria Math" w:cstheme="minorHAnsi"/>
              <w:sz w:val="24"/>
              <w:szCs w:val="24"/>
              <w:lang w:val="en-US"/>
            </w:rPr>
            <m:t>-F=0</m:t>
          </m:r>
        </m:oMath>
      </m:oMathPara>
    </w:p>
    <w:p w14:paraId="7D1F03E6" w14:textId="29E5786E" w:rsidR="004A08D6" w:rsidRDefault="004A08D6" w:rsidP="004A08D6">
      <w:pPr>
        <w:spacing w:after="0" w:line="360" w:lineRule="auto"/>
        <w:jc w:val="both"/>
        <w:rPr>
          <w:rFonts w:eastAsiaTheme="minorEastAsia" w:cstheme="minorHAnsi"/>
          <w:sz w:val="24"/>
          <w:szCs w:val="24"/>
          <w:lang w:val="en-US"/>
        </w:rPr>
      </w:pPr>
    </w:p>
    <w:p w14:paraId="22518C34" w14:textId="2AE6225D" w:rsidR="004A08D6" w:rsidRPr="004A08D6" w:rsidRDefault="004A08D6" w:rsidP="004A08D6">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From the previous section, it is known that the generic market share is: </w:t>
      </w:r>
      <m:oMath>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num>
          <m:den>
            <m:r>
              <w:rPr>
                <w:rFonts w:ascii="Cambria Math" w:eastAsiaTheme="minorEastAsia" w:hAnsi="Cambria Math" w:cstheme="minorHAnsi"/>
                <w:sz w:val="24"/>
                <w:szCs w:val="24"/>
              </w:rPr>
              <m:t>V</m:t>
            </m:r>
          </m:den>
        </m:f>
      </m:oMath>
      <w:r w:rsidRPr="004A08D6">
        <w:rPr>
          <w:rFonts w:eastAsiaTheme="minorEastAsia" w:cstheme="minorHAnsi"/>
          <w:sz w:val="24"/>
          <w:szCs w:val="24"/>
          <w:lang w:val="en-US"/>
        </w:rPr>
        <w:t xml:space="preserve"> and that the reaction function of the generic drug firm is</w:t>
      </w:r>
      <w:r w:rsidR="00BF4E0B">
        <w:rPr>
          <w:rFonts w:eastAsiaTheme="minorEastAsia" w:cstheme="minorHAnsi"/>
          <w:sz w:val="24"/>
          <w:szCs w:val="24"/>
          <w:lang w:val="en-US"/>
        </w:rPr>
        <w:t xml:space="preserve">: </w:t>
      </w:r>
      <m:oMath>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oMath>
      <w:r w:rsidR="00BF4E0B">
        <w:rPr>
          <w:rFonts w:eastAsiaTheme="minorEastAsia" w:cstheme="minorHAnsi"/>
          <w:sz w:val="24"/>
          <w:szCs w:val="24"/>
          <w:lang w:val="en-US"/>
        </w:rPr>
        <w:t xml:space="preserve">. </w:t>
      </w:r>
    </w:p>
    <w:p w14:paraId="30D4D0AC" w14:textId="01068894" w:rsidR="004A08D6" w:rsidRPr="00E87C36" w:rsidRDefault="00EE5DF1" w:rsidP="004A08D6">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num>
            <m:den>
              <m:r>
                <w:rPr>
                  <w:rFonts w:ascii="Cambria Math" w:eastAsiaTheme="minorEastAsia" w:hAnsi="Cambria Math" w:cstheme="minorHAnsi"/>
                  <w:sz w:val="24"/>
                  <w:szCs w:val="24"/>
                </w:rPr>
                <m:t>V</m:t>
              </m:r>
            </m:den>
          </m:f>
          <m:r>
            <m:rPr>
              <m:sty m:val="p"/>
            </m:rPr>
            <w:rPr>
              <w:rFonts w:ascii="Cambria Math" w:eastAsiaTheme="minorEastAsia" w:hAnsi="Cambria Math" w:cstheme="minorHAnsi"/>
              <w:sz w:val="24"/>
              <w:szCs w:val="24"/>
              <w:lang w:val="en-US"/>
            </w:rPr>
            <m:t xml:space="preserve"> </m:t>
          </m:r>
          <m:r>
            <w:rPr>
              <w:rFonts w:ascii="Cambria Math" w:eastAsiaTheme="minorEastAsia" w:hAnsi="Cambria Math" w:cstheme="minorHAnsi"/>
              <w:sz w:val="24"/>
              <w:szCs w:val="24"/>
              <w:lang w:val="en-US"/>
            </w:rPr>
            <m:t>*</m:t>
          </m:r>
          <m:d>
            <m:dPr>
              <m:ctrlPr>
                <w:rPr>
                  <w:rFonts w:ascii="Cambria Math" w:eastAsiaTheme="minorEastAsia" w:hAnsi="Cambria Math" w:cstheme="minorHAnsi"/>
                  <w:i/>
                  <w:sz w:val="24"/>
                  <w:szCs w:val="24"/>
                  <w:lang w:val="en-US"/>
                </w:rPr>
              </m:ctrlPr>
            </m:dPr>
            <m:e>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-c</m:t>
              </m:r>
            </m:e>
          </m:d>
          <m:r>
            <w:rPr>
              <w:rFonts w:ascii="Cambria Math" w:eastAsiaTheme="minorEastAsia" w:hAnsi="Cambria Math" w:cstheme="minorHAnsi"/>
              <w:sz w:val="24"/>
              <w:szCs w:val="24"/>
              <w:lang w:val="en-US"/>
            </w:rPr>
            <m:t>-F≤0</m:t>
          </m:r>
        </m:oMath>
      </m:oMathPara>
    </w:p>
    <w:p w14:paraId="50258DE0" w14:textId="6FDBFE99" w:rsidR="00E87C36" w:rsidRPr="00E87C36" w:rsidRDefault="00EE5DF1" w:rsidP="004A08D6">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π</m:t>
              </m:r>
            </m:e>
            <m:sub>
              <m:r>
                <w:rPr>
                  <w:rFonts w:ascii="Cambria Math" w:eastAsiaTheme="minorEastAsia" w:hAnsi="Cambria Math" w:cstheme="minorHAnsi"/>
                  <w:sz w:val="24"/>
                  <w:szCs w:val="24"/>
                  <w:lang w:val="en-US"/>
                </w:rPr>
                <m:t>G</m:t>
              </m:r>
            </m:sub>
          </m:sSub>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2V</m:t>
              </m:r>
            </m:den>
          </m:f>
          <m:r>
            <w:rPr>
              <w:rFonts w:ascii="Cambria Math" w:eastAsiaTheme="minorEastAsia" w:hAnsi="Cambria Math" w:cstheme="minorHAnsi"/>
              <w:sz w:val="24"/>
              <w:szCs w:val="24"/>
              <w:lang w:val="en-US"/>
            </w:rPr>
            <m:t>*</m:t>
          </m:r>
          <m:f>
            <m:fPr>
              <m:ctrlPr>
                <w:rPr>
                  <w:rFonts w:ascii="Cambria Math" w:eastAsiaTheme="minorEastAsia" w:hAnsi="Cambria Math" w:cstheme="minorHAnsi"/>
                  <w:i/>
                  <w:sz w:val="24"/>
                  <w:szCs w:val="24"/>
                  <w:lang w:val="en-US"/>
                </w:rPr>
              </m:ctrlPr>
            </m:fPr>
            <m:num>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-F≤0</m:t>
          </m:r>
        </m:oMath>
      </m:oMathPara>
    </w:p>
    <w:p w14:paraId="65C31A9B" w14:textId="41FAD7A3" w:rsidR="00E87C36" w:rsidRPr="00E87C36" w:rsidRDefault="00EE5DF1" w:rsidP="004A08D6">
      <w:pPr>
        <w:spacing w:after="0" w:line="360" w:lineRule="auto"/>
        <w:jc w:val="both"/>
        <w:rPr>
          <w:rFonts w:eastAsiaTheme="minorEastAsia" w:cstheme="minorHAnsi"/>
          <w:sz w:val="24"/>
          <w:szCs w:val="24"/>
          <w:lang w:val="en-US"/>
        </w:rPr>
      </w:pPr>
      <m:oMathPara>
        <m:oMath>
          <m:f>
            <m:fPr>
              <m:ctrlPr>
                <w:rPr>
                  <w:rFonts w:ascii="Cambria Math" w:eastAsiaTheme="minorEastAsia" w:hAnsi="Cambria Math" w:cstheme="minorHAnsi"/>
                  <w:i/>
                  <w:sz w:val="24"/>
                  <w:szCs w:val="24"/>
                  <w:lang w:val="en-US"/>
                </w:rPr>
              </m:ctrlPr>
            </m:fPr>
            <m:num>
              <m:sSup>
                <m:sSupPr>
                  <m:ctrlPr>
                    <w:rPr>
                      <w:rFonts w:ascii="Cambria Math" w:eastAsiaTheme="minorEastAsia" w:hAnsi="Cambria Math" w:cstheme="minorHAnsi"/>
                      <w:i/>
                      <w:sz w:val="24"/>
                      <w:szCs w:val="24"/>
                      <w:lang w:val="en-US"/>
                    </w:rPr>
                  </m:ctrlPr>
                </m:sSupPr>
                <m:e>
                  <m:r>
                    <w:rPr>
                      <w:rFonts w:ascii="Cambria Math" w:eastAsiaTheme="minorEastAsia" w:hAnsi="Cambria Math" w:cstheme="minorHAnsi"/>
                      <w:sz w:val="24"/>
                      <w:szCs w:val="24"/>
                      <w:lang w:val="en-US"/>
                    </w:rPr>
                    <m:t>(</m:t>
                  </m:r>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-c)</m:t>
                  </m:r>
                </m:e>
                <m:sup>
                  <m:r>
                    <w:rPr>
                      <w:rFonts w:ascii="Cambria Math" w:eastAsiaTheme="minorEastAsia" w:hAnsi="Cambria Math" w:cstheme="minorHAnsi"/>
                      <w:sz w:val="24"/>
                      <w:szCs w:val="24"/>
                      <w:lang w:val="en-US"/>
                    </w:rPr>
                    <m:t>2</m:t>
                  </m:r>
                </m:sup>
              </m:sSup>
            </m:num>
            <m:den>
              <m:r>
                <w:rPr>
                  <w:rFonts w:ascii="Cambria Math" w:eastAsiaTheme="minorEastAsia" w:hAnsi="Cambria Math" w:cstheme="minorHAnsi"/>
                  <w:sz w:val="24"/>
                  <w:szCs w:val="24"/>
                  <w:lang w:val="en-US"/>
                </w:rPr>
                <m:t>4V</m:t>
              </m:r>
            </m:den>
          </m:f>
          <m:r>
            <w:rPr>
              <w:rFonts w:ascii="Cambria Math" w:eastAsiaTheme="minorEastAsia" w:hAnsi="Cambria Math" w:cstheme="minorHAnsi"/>
              <w:sz w:val="24"/>
              <w:szCs w:val="24"/>
              <w:lang w:val="en-US"/>
            </w:rPr>
            <m:t>≤F</m:t>
          </m:r>
        </m:oMath>
      </m:oMathPara>
    </w:p>
    <w:p w14:paraId="4F2F5624" w14:textId="2EC5E13B" w:rsidR="00E87C36" w:rsidRPr="00CC35B2" w:rsidRDefault="00EE5DF1" w:rsidP="004A08D6">
      <w:pPr>
        <w:spacing w:after="0" w:line="360" w:lineRule="auto"/>
        <w:jc w:val="both"/>
        <w:rPr>
          <w:rFonts w:eastAsiaTheme="minorEastAsia" w:cstheme="minorHAnsi"/>
          <w:sz w:val="24"/>
          <w:szCs w:val="24"/>
          <w:lang w:val="en-US"/>
        </w:rPr>
      </w:pPr>
      <m:oMathPara>
        <m:oMath>
          <m:sSub>
            <m:sSubPr>
              <m:ctrlPr>
                <w:rPr>
                  <w:rFonts w:ascii="Cambria Math" w:eastAsiaTheme="minorEastAsia" w:hAnsi="Cambria Math" w:cstheme="minorHAnsi"/>
                  <w:i/>
                  <w:sz w:val="24"/>
                  <w:szCs w:val="24"/>
                  <w:lang w:val="en-US"/>
                </w:rPr>
              </m:ctrlPr>
            </m:sSub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Sub>
          <m:r>
            <w:rPr>
              <w:rFonts w:ascii="Cambria Math" w:eastAsiaTheme="minorEastAsia" w:hAnsi="Cambria Math" w:cstheme="minorHAnsi"/>
              <w:sz w:val="24"/>
              <w:szCs w:val="24"/>
              <w:lang w:val="en-US"/>
            </w:rPr>
            <m:t>=2</m:t>
          </m:r>
          <m:rad>
            <m:radPr>
              <m:degHide m:val="1"/>
              <m:ctrlPr>
                <w:rPr>
                  <w:rFonts w:ascii="Cambria Math" w:eastAsiaTheme="minorEastAsia" w:hAnsi="Cambria Math" w:cstheme="minorHAnsi"/>
                  <w:i/>
                  <w:sz w:val="24"/>
                  <w:szCs w:val="24"/>
                  <w:lang w:val="en-US"/>
                </w:rPr>
              </m:ctrlPr>
            </m:radPr>
            <m:deg/>
            <m:e>
              <m:r>
                <w:rPr>
                  <w:rFonts w:ascii="Cambria Math" w:eastAsiaTheme="minorEastAsia" w:hAnsi="Cambria Math" w:cstheme="minorHAnsi"/>
                  <w:sz w:val="24"/>
                  <w:szCs w:val="24"/>
                  <w:lang w:val="en-US"/>
                </w:rPr>
                <m:t>VF</m:t>
              </m:r>
            </m:e>
          </m:rad>
          <m:r>
            <w:rPr>
              <w:rFonts w:ascii="Cambria Math" w:eastAsiaTheme="minorEastAsia" w:hAnsi="Cambria Math" w:cstheme="minorHAnsi"/>
              <w:sz w:val="24"/>
              <w:szCs w:val="24"/>
              <w:lang w:val="en-US"/>
            </w:rPr>
            <m:t>+c</m:t>
          </m:r>
        </m:oMath>
      </m:oMathPara>
    </w:p>
    <w:p w14:paraId="785E5578" w14:textId="5601CFE8" w:rsidR="00CC35B2" w:rsidRDefault="00CC35B2" w:rsidP="004A08D6">
      <w:pPr>
        <w:spacing w:after="0" w:line="360" w:lineRule="auto"/>
        <w:jc w:val="both"/>
        <w:rPr>
          <w:rFonts w:eastAsiaTheme="minorEastAsia" w:cstheme="minorHAnsi"/>
          <w:sz w:val="24"/>
          <w:szCs w:val="24"/>
          <w:lang w:val="en-US"/>
        </w:rPr>
      </w:pPr>
    </w:p>
    <w:p w14:paraId="1E91E61A" w14:textId="6C1E8D61" w:rsidR="00CC35B2" w:rsidRDefault="00CC35B2" w:rsidP="004A08D6">
      <w:pPr>
        <w:spacing w:after="0" w:line="360" w:lineRule="auto"/>
        <w:jc w:val="both"/>
        <w:rPr>
          <w:rFonts w:eastAsiaTheme="minorEastAsia" w:cstheme="minorHAnsi"/>
          <w:sz w:val="24"/>
          <w:szCs w:val="24"/>
          <w:lang w:val="en-US"/>
        </w:rPr>
      </w:pPr>
      <w:r>
        <w:rPr>
          <w:rFonts w:eastAsiaTheme="minorEastAsia" w:cstheme="minorHAnsi"/>
          <w:sz w:val="24"/>
          <w:szCs w:val="24"/>
          <w:lang w:val="en-US"/>
        </w:rPr>
        <w:t>2.2 Determination of the brand firm profit in presence of limit pricing to deter generic entry:</w:t>
      </w:r>
    </w:p>
    <w:p w14:paraId="3621FFF1" w14:textId="0DE2AFEB" w:rsidR="00CC35B2" w:rsidRPr="004A08D6" w:rsidRDefault="00EE5DF1" w:rsidP="00CC35B2">
      <w:pPr>
        <w:spacing w:after="0" w:line="360" w:lineRule="auto"/>
        <w:jc w:val="both"/>
        <w:rPr>
          <w:rFonts w:eastAsiaTheme="minorEastAsia"/>
          <w:sz w:val="24"/>
          <w:szCs w:val="24"/>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limit</m:t>
              </m:r>
            </m:sup>
          </m:sSubSup>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Sup>
                    <m:sSubSupPr>
                      <m:ctrlPr>
                        <w:rPr>
                          <w:rFonts w:ascii="Cambria Math" w:eastAsiaTheme="minorEastAsia" w:hAnsi="Cambria Math" w:cstheme="minorHAnsi"/>
                          <w:i/>
                          <w:sz w:val="24"/>
                          <w:szCs w:val="24"/>
                          <w:lang w:val="en-US"/>
                        </w:rPr>
                      </m:ctrlPr>
                    </m:sSubSup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up>
                      <m:r>
                        <w:rPr>
                          <w:rFonts w:ascii="Cambria Math" w:eastAsiaTheme="minorEastAsia" w:hAnsi="Cambria Math" w:cstheme="minorHAnsi"/>
                          <w:sz w:val="24"/>
                          <w:szCs w:val="24"/>
                          <w:lang w:val="en-US"/>
                        </w:rPr>
                        <m:t>limit</m:t>
                      </m:r>
                    </m:sup>
                  </m:sSubSup>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num>
                <m:den>
                  <m:r>
                    <w:rPr>
                      <w:rFonts w:ascii="Cambria Math" w:eastAsiaTheme="minorEastAsia" w:hAnsi="Cambria Math" w:cstheme="minorHAnsi"/>
                      <w:sz w:val="24"/>
                      <w:szCs w:val="24"/>
                    </w:rPr>
                    <m:t>V</m:t>
                  </m:r>
                </m:den>
              </m:f>
            </m:e>
          </m:d>
          <m:d>
            <m:dPr>
              <m:ctrlPr>
                <w:rPr>
                  <w:rFonts w:ascii="Cambria Math" w:eastAsiaTheme="minorEastAsia" w:hAnsi="Cambria Math" w:cstheme="minorHAnsi"/>
                  <w:i/>
                  <w:sz w:val="24"/>
                  <w:szCs w:val="24"/>
                </w:rPr>
              </m:ctrlPr>
            </m:dPr>
            <m:e>
              <m:sSubSup>
                <m:sSubSupPr>
                  <m:ctrlPr>
                    <w:rPr>
                      <w:rFonts w:ascii="Cambria Math" w:eastAsiaTheme="minorEastAsia" w:hAnsi="Cambria Math" w:cstheme="minorHAnsi"/>
                      <w:i/>
                      <w:sz w:val="24"/>
                      <w:szCs w:val="24"/>
                      <w:lang w:val="en-US"/>
                    </w:rPr>
                  </m:ctrlPr>
                </m:sSubSup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up>
                  <m:r>
                    <w:rPr>
                      <w:rFonts w:ascii="Cambria Math" w:eastAsiaTheme="minorEastAsia" w:hAnsi="Cambria Math" w:cstheme="minorHAnsi"/>
                      <w:sz w:val="24"/>
                      <w:szCs w:val="24"/>
                      <w:lang w:val="en-US"/>
                    </w:rPr>
                    <m:t>limit</m:t>
                  </m:r>
                </m:sup>
              </m:sSubSup>
              <m:r>
                <w:rPr>
                  <w:rFonts w:ascii="Cambria Math" w:eastAsiaTheme="minorEastAsia" w:hAnsi="Cambria Math" w:cstheme="minorHAnsi"/>
                  <w:sz w:val="24"/>
                  <w:szCs w:val="24"/>
                </w:rPr>
                <m:t>-c</m:t>
              </m:r>
            </m:e>
          </m:d>
        </m:oMath>
      </m:oMathPara>
    </w:p>
    <w:p w14:paraId="6B22B267" w14:textId="51648E2D" w:rsidR="00CC35B2" w:rsidRDefault="00CC35B2" w:rsidP="004A08D6">
      <w:pPr>
        <w:spacing w:after="0" w:line="360" w:lineRule="auto"/>
        <w:jc w:val="both"/>
        <w:rPr>
          <w:rFonts w:eastAsiaTheme="minorEastAsia" w:cstheme="minorHAnsi"/>
          <w:sz w:val="24"/>
          <w:szCs w:val="24"/>
          <w:lang w:val="en-US"/>
        </w:rPr>
      </w:pPr>
    </w:p>
    <w:p w14:paraId="19AF3515" w14:textId="15601CF0" w:rsidR="00CC35B2" w:rsidRDefault="00CC35B2" w:rsidP="004A08D6">
      <w:pPr>
        <w:spacing w:after="0" w:line="360" w:lineRule="auto"/>
        <w:jc w:val="both"/>
        <w:rPr>
          <w:rFonts w:eastAsiaTheme="minorEastAsia" w:cstheme="minorHAnsi"/>
          <w:sz w:val="24"/>
          <w:szCs w:val="24"/>
          <w:lang w:val="en-US"/>
        </w:rPr>
      </w:pPr>
      <w:r>
        <w:rPr>
          <w:rFonts w:eastAsiaTheme="minorEastAsia" w:cstheme="minorHAnsi"/>
          <w:sz w:val="24"/>
          <w:szCs w:val="24"/>
          <w:lang w:val="en-US"/>
        </w:rPr>
        <w:t xml:space="preserve">It is known that the limit price is equal to </w:t>
      </w:r>
      <m:oMath>
        <m:sSubSup>
          <m:sSubSupPr>
            <m:ctrlPr>
              <w:rPr>
                <w:rFonts w:ascii="Cambria Math" w:eastAsiaTheme="minorEastAsia" w:hAnsi="Cambria Math" w:cstheme="minorHAnsi"/>
                <w:i/>
                <w:sz w:val="24"/>
                <w:szCs w:val="24"/>
                <w:lang w:val="en-US"/>
              </w:rPr>
            </m:ctrlPr>
          </m:sSubSupPr>
          <m:e>
            <m:r>
              <w:rPr>
                <w:rFonts w:ascii="Cambria Math" w:eastAsiaTheme="minorEastAsia" w:hAnsi="Cambria Math" w:cstheme="minorHAnsi"/>
                <w:sz w:val="24"/>
                <w:szCs w:val="24"/>
                <w:lang w:val="en-US"/>
              </w:rPr>
              <m:t>p</m:t>
            </m:r>
          </m:e>
          <m:sub>
            <m:r>
              <w:rPr>
                <w:rFonts w:ascii="Cambria Math" w:eastAsiaTheme="minorEastAsia" w:hAnsi="Cambria Math" w:cstheme="minorHAnsi"/>
                <w:sz w:val="24"/>
                <w:szCs w:val="24"/>
                <w:lang w:val="en-US"/>
              </w:rPr>
              <m:t>B</m:t>
            </m:r>
          </m:sub>
          <m:sup>
            <m:r>
              <w:rPr>
                <w:rFonts w:ascii="Cambria Math" w:eastAsiaTheme="minorEastAsia" w:hAnsi="Cambria Math" w:cstheme="minorHAnsi"/>
                <w:sz w:val="24"/>
                <w:szCs w:val="24"/>
                <w:lang w:val="en-US"/>
              </w:rPr>
              <m:t>limit</m:t>
            </m:r>
          </m:sup>
        </m:sSubSup>
        <m:r>
          <w:rPr>
            <w:rFonts w:ascii="Cambria Math" w:eastAsiaTheme="minorEastAsia" w:hAnsi="Cambria Math" w:cstheme="minorHAnsi"/>
            <w:sz w:val="24"/>
            <w:szCs w:val="24"/>
            <w:lang w:val="en-US"/>
          </w:rPr>
          <m:t>=2</m:t>
        </m:r>
        <m:rad>
          <m:radPr>
            <m:degHide m:val="1"/>
            <m:ctrlPr>
              <w:rPr>
                <w:rFonts w:ascii="Cambria Math" w:eastAsiaTheme="minorEastAsia" w:hAnsi="Cambria Math" w:cstheme="minorHAnsi"/>
                <w:i/>
                <w:sz w:val="24"/>
                <w:szCs w:val="24"/>
                <w:lang w:val="en-US"/>
              </w:rPr>
            </m:ctrlPr>
          </m:radPr>
          <m:deg/>
          <m:e>
            <m:r>
              <w:rPr>
                <w:rFonts w:ascii="Cambria Math" w:eastAsiaTheme="minorEastAsia" w:hAnsi="Cambria Math" w:cstheme="minorHAnsi"/>
                <w:sz w:val="24"/>
                <w:szCs w:val="24"/>
                <w:lang w:val="en-US"/>
              </w:rPr>
              <m:t>VF</m:t>
            </m:r>
          </m:e>
        </m:rad>
        <m:r>
          <w:rPr>
            <w:rFonts w:ascii="Cambria Math" w:eastAsiaTheme="minorEastAsia" w:hAnsi="Cambria Math" w:cstheme="minorHAnsi"/>
            <w:sz w:val="24"/>
            <w:szCs w:val="24"/>
            <w:lang w:val="en-US"/>
          </w:rPr>
          <m:t>+c</m:t>
        </m:r>
      </m:oMath>
      <w:r>
        <w:rPr>
          <w:rFonts w:eastAsiaTheme="minorEastAsia" w:cstheme="minorHAnsi"/>
          <w:sz w:val="24"/>
          <w:szCs w:val="24"/>
          <w:lang w:val="en-US"/>
        </w:rPr>
        <w:t xml:space="preserve"> and that the optimal price of the generic drug is equal to </w:t>
      </w:r>
      <m:oMath>
        <m:r>
          <w:rPr>
            <w:rFonts w:ascii="Cambria Math" w:eastAsiaTheme="minorEastAsia" w:hAnsi="Cambria Math" w:cstheme="minorHAnsi"/>
            <w:sz w:val="24"/>
            <w:szCs w:val="24"/>
            <w:lang w:val="en-US"/>
          </w:rPr>
          <m:t>c</m:t>
        </m:r>
      </m:oMath>
      <w:r>
        <w:rPr>
          <w:rFonts w:eastAsiaTheme="minorEastAsia" w:cstheme="minorHAnsi"/>
          <w:sz w:val="24"/>
          <w:szCs w:val="24"/>
          <w:lang w:val="en-US"/>
        </w:rPr>
        <w:t xml:space="preserve">. </w:t>
      </w:r>
    </w:p>
    <w:p w14:paraId="55D8ED70" w14:textId="4DC3CCF3" w:rsidR="00CC35B2" w:rsidRPr="009C3DFA" w:rsidRDefault="00EE5DF1" w:rsidP="00CC35B2">
      <w:pPr>
        <w:spacing w:after="0" w:line="360" w:lineRule="auto"/>
        <w:jc w:val="both"/>
        <w:rPr>
          <w:rFonts w:eastAsiaTheme="minorEastAsia"/>
          <w:sz w:val="24"/>
          <w:szCs w:val="24"/>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limit</m:t>
              </m:r>
            </m:sup>
          </m:sSubSup>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lang w:val="en-US"/>
                    </w:rPr>
                    <m:t>2</m:t>
                  </m:r>
                  <m:rad>
                    <m:radPr>
                      <m:degHide m:val="1"/>
                      <m:ctrlPr>
                        <w:rPr>
                          <w:rFonts w:ascii="Cambria Math" w:eastAsiaTheme="minorEastAsia" w:hAnsi="Cambria Math" w:cstheme="minorHAnsi"/>
                          <w:i/>
                          <w:sz w:val="24"/>
                          <w:szCs w:val="24"/>
                          <w:lang w:val="en-US"/>
                        </w:rPr>
                      </m:ctrlPr>
                    </m:radPr>
                    <m:deg/>
                    <m:e>
                      <m:r>
                        <w:rPr>
                          <w:rFonts w:ascii="Cambria Math" w:eastAsiaTheme="minorEastAsia" w:hAnsi="Cambria Math" w:cstheme="minorHAnsi"/>
                          <w:sz w:val="24"/>
                          <w:szCs w:val="24"/>
                          <w:lang w:val="en-US"/>
                        </w:rPr>
                        <m:t>VF</m:t>
                      </m:r>
                    </m:e>
                  </m:rad>
                  <m:r>
                    <w:rPr>
                      <w:rFonts w:ascii="Cambria Math" w:eastAsiaTheme="minorEastAsia" w:hAnsi="Cambria Math" w:cstheme="minorHAnsi"/>
                      <w:sz w:val="24"/>
                      <w:szCs w:val="24"/>
                      <w:lang w:val="en-US"/>
                    </w:rPr>
                    <m:t>+c</m:t>
                  </m:r>
                  <m:r>
                    <w:rPr>
                      <w:rFonts w:ascii="Cambria Math" w:eastAsiaTheme="minorEastAsia" w:hAnsi="Cambria Math" w:cstheme="minorHAnsi"/>
                      <w:sz w:val="24"/>
                      <w:szCs w:val="24"/>
                    </w:rPr>
                    <m:t>-c</m:t>
                  </m:r>
                </m:num>
                <m:den>
                  <m:r>
                    <w:rPr>
                      <w:rFonts w:ascii="Cambria Math" w:eastAsiaTheme="minorEastAsia" w:hAnsi="Cambria Math" w:cstheme="minorHAnsi"/>
                      <w:sz w:val="24"/>
                      <w:szCs w:val="24"/>
                    </w:rPr>
                    <m:t>V</m:t>
                  </m:r>
                </m:den>
              </m:f>
            </m:e>
          </m:d>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lang w:val="en-US"/>
                </w:rPr>
                <m:t>2</m:t>
              </m:r>
              <m:rad>
                <m:radPr>
                  <m:degHide m:val="1"/>
                  <m:ctrlPr>
                    <w:rPr>
                      <w:rFonts w:ascii="Cambria Math" w:eastAsiaTheme="minorEastAsia" w:hAnsi="Cambria Math" w:cstheme="minorHAnsi"/>
                      <w:i/>
                      <w:sz w:val="24"/>
                      <w:szCs w:val="24"/>
                      <w:lang w:val="en-US"/>
                    </w:rPr>
                  </m:ctrlPr>
                </m:radPr>
                <m:deg/>
                <m:e>
                  <m:r>
                    <w:rPr>
                      <w:rFonts w:ascii="Cambria Math" w:eastAsiaTheme="minorEastAsia" w:hAnsi="Cambria Math" w:cstheme="minorHAnsi"/>
                      <w:sz w:val="24"/>
                      <w:szCs w:val="24"/>
                      <w:lang w:val="en-US"/>
                    </w:rPr>
                    <m:t>VF</m:t>
                  </m:r>
                </m:e>
              </m:rad>
              <m:r>
                <w:rPr>
                  <w:rFonts w:ascii="Cambria Math" w:eastAsiaTheme="minorEastAsia" w:hAnsi="Cambria Math" w:cstheme="minorHAnsi"/>
                  <w:sz w:val="24"/>
                  <w:szCs w:val="24"/>
                  <w:lang w:val="en-US"/>
                </w:rPr>
                <m:t>+c</m:t>
              </m:r>
              <m:r>
                <w:rPr>
                  <w:rFonts w:ascii="Cambria Math" w:eastAsiaTheme="minorEastAsia" w:hAnsi="Cambria Math" w:cstheme="minorHAnsi"/>
                  <w:sz w:val="24"/>
                  <w:szCs w:val="24"/>
                </w:rPr>
                <m:t>-c</m:t>
              </m:r>
            </m:e>
          </m:d>
        </m:oMath>
      </m:oMathPara>
    </w:p>
    <w:p w14:paraId="6B9A6582" w14:textId="667BDE8B" w:rsidR="009C3DFA" w:rsidRPr="004A08D6" w:rsidRDefault="00EE5DF1" w:rsidP="00CC35B2">
      <w:pPr>
        <w:spacing w:after="0" w:line="360" w:lineRule="auto"/>
        <w:jc w:val="both"/>
        <w:rPr>
          <w:rFonts w:eastAsiaTheme="minorEastAsia"/>
          <w:sz w:val="24"/>
          <w:szCs w:val="24"/>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limit</m:t>
              </m:r>
            </m:sup>
          </m:sSubSup>
          <m:r>
            <w:rPr>
              <w:rFonts w:ascii="Cambria Math" w:eastAsiaTheme="minorEastAsia" w:hAnsi="Cambria Math" w:cstheme="minorHAnsi"/>
              <w:sz w:val="24"/>
              <w:szCs w:val="24"/>
            </w:rPr>
            <m:t>=2</m:t>
          </m:r>
          <m:rad>
            <m:radPr>
              <m:degHide m:val="1"/>
              <m:ctrlPr>
                <w:rPr>
                  <w:rFonts w:ascii="Cambria Math" w:eastAsiaTheme="minorEastAsia" w:hAnsi="Cambria Math" w:cstheme="minorHAnsi"/>
                  <w:i/>
                  <w:sz w:val="24"/>
                  <w:szCs w:val="24"/>
                </w:rPr>
              </m:ctrlPr>
            </m:radPr>
            <m:deg/>
            <m:e>
              <m:r>
                <w:rPr>
                  <w:rFonts w:ascii="Cambria Math" w:eastAsiaTheme="minorEastAsia" w:hAnsi="Cambria Math" w:cstheme="minorHAnsi"/>
                  <w:sz w:val="24"/>
                  <w:szCs w:val="24"/>
                </w:rPr>
                <m:t>VF</m:t>
              </m:r>
            </m:e>
          </m:rad>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(2</m:t>
                  </m:r>
                  <m:rad>
                    <m:radPr>
                      <m:degHide m:val="1"/>
                      <m:ctrlPr>
                        <w:rPr>
                          <w:rFonts w:ascii="Cambria Math" w:eastAsiaTheme="minorEastAsia" w:hAnsi="Cambria Math" w:cstheme="minorHAnsi"/>
                          <w:i/>
                          <w:sz w:val="24"/>
                          <w:szCs w:val="24"/>
                        </w:rPr>
                      </m:ctrlPr>
                    </m:radPr>
                    <m:deg/>
                    <m:e>
                      <m:r>
                        <w:rPr>
                          <w:rFonts w:ascii="Cambria Math" w:eastAsiaTheme="minorEastAsia" w:hAnsi="Cambria Math" w:cstheme="minorHAnsi"/>
                          <w:sz w:val="24"/>
                          <w:szCs w:val="24"/>
                        </w:rPr>
                        <m:t>VF</m:t>
                      </m:r>
                    </m:e>
                  </m:rad>
                  <m:r>
                    <w:rPr>
                      <w:rFonts w:ascii="Cambria Math" w:eastAsiaTheme="minorEastAsia" w:hAnsi="Cambria Math" w:cstheme="minorHAnsi"/>
                      <w:sz w:val="24"/>
                      <w:szCs w:val="24"/>
                    </w:rPr>
                    <m:t>)</m:t>
                  </m:r>
                </m:e>
                <m:sup>
                  <m:r>
                    <w:rPr>
                      <w:rFonts w:ascii="Cambria Math" w:eastAsiaTheme="minorEastAsia" w:hAnsi="Cambria Math" w:cstheme="minorHAnsi"/>
                      <w:sz w:val="24"/>
                      <w:szCs w:val="24"/>
                    </w:rPr>
                    <m:t>2</m:t>
                  </m:r>
                </m:sup>
              </m:sSup>
            </m:num>
            <m:den>
              <m:r>
                <w:rPr>
                  <w:rFonts w:ascii="Cambria Math" w:eastAsiaTheme="minorEastAsia" w:hAnsi="Cambria Math" w:cstheme="minorHAnsi"/>
                  <w:sz w:val="24"/>
                  <w:szCs w:val="24"/>
                </w:rPr>
                <m:t>V</m:t>
              </m:r>
            </m:den>
          </m:f>
        </m:oMath>
      </m:oMathPara>
    </w:p>
    <w:p w14:paraId="2342D458" w14:textId="751656CC" w:rsidR="00CC35B2" w:rsidRPr="00E87C36" w:rsidRDefault="00EE5DF1" w:rsidP="004A08D6">
      <w:pPr>
        <w:spacing w:after="0" w:line="360" w:lineRule="auto"/>
        <w:jc w:val="both"/>
        <w:rPr>
          <w:rFonts w:eastAsiaTheme="minorEastAsia" w:cstheme="minorHAnsi"/>
          <w:sz w:val="24"/>
          <w:szCs w:val="24"/>
          <w:lang w:val="en-US"/>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limit</m:t>
              </m:r>
            </m:sup>
          </m:sSubSup>
          <m:r>
            <w:rPr>
              <w:rFonts w:ascii="Cambria Math" w:eastAsiaTheme="minorEastAsia" w:hAnsi="Cambria Math" w:cstheme="minorHAnsi"/>
              <w:sz w:val="24"/>
              <w:szCs w:val="24"/>
            </w:rPr>
            <m:t>=2</m:t>
          </m:r>
          <m:rad>
            <m:radPr>
              <m:degHide m:val="1"/>
              <m:ctrlPr>
                <w:rPr>
                  <w:rFonts w:ascii="Cambria Math" w:eastAsiaTheme="minorEastAsia" w:hAnsi="Cambria Math" w:cstheme="minorHAnsi"/>
                  <w:i/>
                  <w:sz w:val="24"/>
                  <w:szCs w:val="24"/>
                </w:rPr>
              </m:ctrlPr>
            </m:radPr>
            <m:deg/>
            <m:e>
              <m:r>
                <w:rPr>
                  <w:rFonts w:ascii="Cambria Math" w:eastAsiaTheme="minorEastAsia" w:hAnsi="Cambria Math" w:cstheme="minorHAnsi"/>
                  <w:sz w:val="24"/>
                  <w:szCs w:val="24"/>
                </w:rPr>
                <m:t>VF</m:t>
              </m:r>
            </m:e>
          </m:rad>
          <m:r>
            <w:rPr>
              <w:rFonts w:ascii="Cambria Math" w:eastAsiaTheme="minorEastAsia" w:hAnsi="Cambria Math" w:cstheme="minorHAnsi"/>
              <w:sz w:val="24"/>
              <w:szCs w:val="24"/>
            </w:rPr>
            <m:t>-4F</m:t>
          </m:r>
        </m:oMath>
      </m:oMathPara>
    </w:p>
    <w:p w14:paraId="08B0B44A" w14:textId="77777777" w:rsidR="004A08D6" w:rsidRPr="004A08D6" w:rsidRDefault="004A08D6" w:rsidP="004A08D6">
      <w:pPr>
        <w:spacing w:after="0" w:line="360" w:lineRule="auto"/>
        <w:jc w:val="both"/>
        <w:rPr>
          <w:sz w:val="24"/>
          <w:lang w:val="en-US"/>
        </w:rPr>
      </w:pPr>
    </w:p>
    <w:p w14:paraId="408EB9AB" w14:textId="07FA7778" w:rsidR="00CC35B2" w:rsidRDefault="00CC35B2" w:rsidP="00CC35B2">
      <w:pPr>
        <w:spacing w:after="0" w:line="360" w:lineRule="auto"/>
        <w:jc w:val="both"/>
        <w:rPr>
          <w:sz w:val="24"/>
          <w:lang w:val="en-US"/>
        </w:rPr>
      </w:pPr>
      <w:r>
        <w:rPr>
          <w:sz w:val="24"/>
          <w:lang w:val="en-US"/>
        </w:rPr>
        <w:t>2.3 Determination of the brand firm profit in presence of generic entry without entry deterrence:</w:t>
      </w:r>
    </w:p>
    <w:p w14:paraId="3E759AF4" w14:textId="3712FCFC" w:rsidR="00CC35B2" w:rsidRPr="004A08D6" w:rsidRDefault="00EE5DF1" w:rsidP="00CC35B2">
      <w:pPr>
        <w:spacing w:after="0" w:line="360" w:lineRule="auto"/>
        <w:jc w:val="both"/>
        <w:rPr>
          <w:rFonts w:eastAsiaTheme="minorEastAsia"/>
          <w:sz w:val="24"/>
          <w:szCs w:val="24"/>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competition</m:t>
              </m:r>
            </m:sup>
          </m:sSubSup>
          <m:r>
            <w:rPr>
              <w:rFonts w:ascii="Cambria Math" w:eastAsiaTheme="minorEastAsia" w:hAnsi="Cambria Math" w:cstheme="minorHAnsi"/>
              <w:sz w:val="24"/>
              <w:szCs w:val="24"/>
            </w:rPr>
            <m:t>=</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m:t>
                  </m:r>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G</m:t>
                      </m:r>
                    </m:sub>
                  </m:sSub>
                </m:num>
                <m:den>
                  <m:r>
                    <w:rPr>
                      <w:rFonts w:ascii="Cambria Math" w:eastAsiaTheme="minorEastAsia" w:hAnsi="Cambria Math" w:cstheme="minorHAnsi"/>
                      <w:sz w:val="24"/>
                      <w:szCs w:val="24"/>
                    </w:rPr>
                    <m:t>V</m:t>
                  </m:r>
                </m:den>
              </m:f>
            </m:e>
          </m:d>
          <m:d>
            <m:dPr>
              <m:ctrlPr>
                <w:rPr>
                  <w:rFonts w:ascii="Cambria Math" w:eastAsiaTheme="minorEastAsia" w:hAnsi="Cambria Math" w:cstheme="minorHAnsi"/>
                  <w:i/>
                  <w:sz w:val="24"/>
                  <w:szCs w:val="24"/>
                </w:rPr>
              </m:ctrlPr>
            </m:dPr>
            <m:e>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p</m:t>
                  </m:r>
                </m:e>
                <m:sub>
                  <m:r>
                    <w:rPr>
                      <w:rFonts w:ascii="Cambria Math" w:eastAsiaTheme="minorEastAsia" w:hAnsi="Cambria Math" w:cstheme="minorHAnsi"/>
                      <w:sz w:val="24"/>
                      <w:szCs w:val="24"/>
                    </w:rPr>
                    <m:t>B</m:t>
                  </m:r>
                </m:sub>
              </m:sSub>
              <m:r>
                <w:rPr>
                  <w:rFonts w:ascii="Cambria Math" w:eastAsiaTheme="minorEastAsia" w:hAnsi="Cambria Math" w:cstheme="minorHAnsi"/>
                  <w:sz w:val="24"/>
                  <w:szCs w:val="24"/>
                </w:rPr>
                <m:t>-c</m:t>
              </m:r>
            </m:e>
          </m:d>
        </m:oMath>
      </m:oMathPara>
    </w:p>
    <w:p w14:paraId="40C66792" w14:textId="77777777" w:rsidR="00CC35B2" w:rsidRDefault="00CC35B2" w:rsidP="00CC35B2">
      <w:pPr>
        <w:spacing w:after="0" w:line="360" w:lineRule="auto"/>
        <w:jc w:val="both"/>
        <w:rPr>
          <w:rFonts w:eastAsiaTheme="minorEastAsia"/>
          <w:sz w:val="24"/>
          <w:szCs w:val="24"/>
          <w:lang w:val="en-US"/>
        </w:rPr>
      </w:pPr>
    </w:p>
    <w:p w14:paraId="16801938" w14:textId="41A61FCB" w:rsidR="00CC35B2" w:rsidRPr="004A08D6" w:rsidRDefault="00CC35B2" w:rsidP="00CC35B2">
      <w:pPr>
        <w:spacing w:after="0" w:line="360" w:lineRule="auto"/>
        <w:jc w:val="both"/>
        <w:rPr>
          <w:rFonts w:eastAsiaTheme="minorEastAsia"/>
          <w:sz w:val="24"/>
          <w:szCs w:val="24"/>
          <w:lang w:val="en-US"/>
        </w:rPr>
      </w:pPr>
      <w:r w:rsidRPr="004A08D6">
        <w:rPr>
          <w:rFonts w:eastAsiaTheme="minorEastAsia"/>
          <w:sz w:val="24"/>
          <w:szCs w:val="24"/>
          <w:lang w:val="en-US"/>
        </w:rPr>
        <w:lastRenderedPageBreak/>
        <w:t xml:space="preserve">From the previous section, it is known that the brand drug price is: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m:t>
        </m:r>
      </m:oMath>
      <w:r>
        <w:rPr>
          <w:rFonts w:eastAsiaTheme="minorEastAsia"/>
          <w:sz w:val="24"/>
          <w:szCs w:val="24"/>
          <w:lang w:val="en-US"/>
        </w:rPr>
        <w:t xml:space="preserve"> and that the optimal price of the generic drug is equal to </w:t>
      </w:r>
      <m:oMath>
        <m:r>
          <w:rPr>
            <w:rFonts w:ascii="Cambria Math" w:eastAsiaTheme="minorEastAsia" w:hAnsi="Cambria Math"/>
            <w:sz w:val="24"/>
            <w:szCs w:val="24"/>
            <w:lang w:val="en-US"/>
          </w:rPr>
          <m:t>c</m:t>
        </m:r>
      </m:oMath>
      <w:r>
        <w:rPr>
          <w:rFonts w:eastAsiaTheme="minorEastAsia"/>
          <w:sz w:val="24"/>
          <w:szCs w:val="24"/>
          <w:lang w:val="en-US"/>
        </w:rPr>
        <w:t xml:space="preserve">. </w:t>
      </w:r>
    </w:p>
    <w:p w14:paraId="4B543044" w14:textId="05F28CCE" w:rsidR="00CC35B2" w:rsidRPr="005D668D" w:rsidRDefault="00EE5DF1" w:rsidP="00CC35B2">
      <w:pPr>
        <w:spacing w:after="0" w:line="360" w:lineRule="auto"/>
        <w:jc w:val="both"/>
        <w:rPr>
          <w:rFonts w:eastAsiaTheme="minorEastAsia" w:cstheme="minorHAnsi"/>
          <w:sz w:val="24"/>
          <w:szCs w:val="24"/>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competition</m:t>
              </m:r>
            </m:sup>
          </m:sSubSup>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c-c</m:t>
              </m:r>
            </m:num>
            <m:den>
              <m:r>
                <w:rPr>
                  <w:rFonts w:ascii="Cambria Math" w:eastAsiaTheme="minorEastAsia" w:hAnsi="Cambria Math" w:cstheme="minorHAnsi"/>
                  <w:sz w:val="24"/>
                  <w:szCs w:val="24"/>
                </w:rPr>
                <m:t>V</m:t>
              </m:r>
            </m:den>
          </m:f>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lang w:val="en-US"/>
            </w:rPr>
            <m:t>+</m:t>
          </m:r>
          <m:r>
            <w:rPr>
              <w:rFonts w:ascii="Cambria Math" w:eastAsiaTheme="minorEastAsia" w:hAnsi="Cambria Math" w:cstheme="minorHAnsi"/>
              <w:sz w:val="24"/>
              <w:szCs w:val="24"/>
            </w:rPr>
            <m:t>c-c)</m:t>
          </m:r>
        </m:oMath>
      </m:oMathPara>
    </w:p>
    <w:p w14:paraId="77CC8002" w14:textId="249DEB21" w:rsidR="00CC35B2" w:rsidRPr="005D668D" w:rsidRDefault="00EE5DF1" w:rsidP="00CC35B2">
      <w:pPr>
        <w:spacing w:after="0" w:line="360" w:lineRule="auto"/>
        <w:jc w:val="both"/>
        <w:rPr>
          <w:rFonts w:eastAsiaTheme="minorEastAsia" w:cstheme="minorHAnsi"/>
          <w:sz w:val="24"/>
          <w:szCs w:val="24"/>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competition</m:t>
              </m:r>
            </m:sup>
          </m:sSubSup>
          <m:r>
            <w:rPr>
              <w:rFonts w:ascii="Cambria Math" w:eastAsiaTheme="minorEastAsia" w:hAnsi="Cambria Math" w:cstheme="minorHAnsi"/>
              <w:sz w:val="24"/>
              <w:szCs w:val="24"/>
            </w:rPr>
            <m:t>=(1-</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lang w:val="en-US"/>
                </w:rPr>
                <m:t>V</m:t>
              </m:r>
            </m:num>
            <m:den>
              <m:r>
                <w:rPr>
                  <w:rFonts w:ascii="Cambria Math" w:eastAsiaTheme="minorEastAsia" w:hAnsi="Cambria Math" w:cstheme="minorHAnsi"/>
                  <w:sz w:val="24"/>
                  <w:szCs w:val="24"/>
                </w:rPr>
                <m:t>2V</m:t>
              </m:r>
            </m:den>
          </m:f>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2</m:t>
              </m:r>
            </m:den>
          </m:f>
          <m:r>
            <w:rPr>
              <w:rFonts w:ascii="Cambria Math" w:eastAsiaTheme="minorEastAsia" w:hAnsi="Cambria Math" w:cstheme="minorHAnsi"/>
              <w:sz w:val="24"/>
              <w:szCs w:val="24"/>
            </w:rPr>
            <m:t>)</m:t>
          </m:r>
        </m:oMath>
      </m:oMathPara>
    </w:p>
    <w:p w14:paraId="7B57CEB9" w14:textId="3EA3EB50" w:rsidR="00CC35B2" w:rsidRPr="005D668D" w:rsidRDefault="00EE5DF1" w:rsidP="00CC35B2">
      <w:pPr>
        <w:spacing w:after="0" w:line="360" w:lineRule="auto"/>
        <w:jc w:val="both"/>
        <w:rPr>
          <w:rFonts w:eastAsiaTheme="minorEastAsia" w:cstheme="minorHAnsi"/>
          <w:sz w:val="24"/>
          <w:szCs w:val="24"/>
        </w:rPr>
      </w:pPr>
      <m:oMathPara>
        <m:oMath>
          <m:sSubSup>
            <m:sSubSupPr>
              <m:ctrlPr>
                <w:rPr>
                  <w:rFonts w:ascii="Cambria Math" w:eastAsiaTheme="minorEastAsia" w:hAnsi="Cambria Math" w:cstheme="minorHAnsi"/>
                  <w:sz w:val="24"/>
                  <w:szCs w:val="24"/>
                </w:rPr>
              </m:ctrlPr>
            </m:sSubSupPr>
            <m:e>
              <m:r>
                <w:rPr>
                  <w:rFonts w:ascii="Cambria Math" w:eastAsiaTheme="minorEastAsia" w:hAnsi="Cambria Math" w:cstheme="minorHAnsi"/>
                  <w:sz w:val="24"/>
                  <w:szCs w:val="24"/>
                </w:rPr>
                <m:t>π</m:t>
              </m:r>
            </m:e>
            <m:sub>
              <m:r>
                <w:rPr>
                  <w:rFonts w:ascii="Cambria Math" w:eastAsiaTheme="minorEastAsia" w:hAnsi="Cambria Math" w:cstheme="minorHAnsi"/>
                  <w:sz w:val="24"/>
                  <w:szCs w:val="24"/>
                </w:rPr>
                <m:t>B</m:t>
              </m:r>
            </m:sub>
            <m:sup>
              <m:r>
                <w:rPr>
                  <w:rFonts w:ascii="Cambria Math" w:eastAsiaTheme="minorEastAsia" w:hAnsi="Cambria Math" w:cstheme="minorHAnsi"/>
                  <w:sz w:val="24"/>
                  <w:szCs w:val="24"/>
                </w:rPr>
                <m:t>competition</m:t>
              </m:r>
            </m:sup>
          </m:sSubSup>
          <m:r>
            <w:rPr>
              <w:rFonts w:ascii="Cambria Math" w:eastAsiaTheme="minorEastAsia" w:hAnsi="Cambria Math" w:cstheme="minorHAnsi"/>
              <w:sz w:val="24"/>
              <w:szCs w:val="24"/>
            </w:rPr>
            <m:t>=</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V</m:t>
              </m:r>
            </m:num>
            <m:den>
              <m:r>
                <w:rPr>
                  <w:rFonts w:ascii="Cambria Math" w:eastAsiaTheme="minorEastAsia" w:hAnsi="Cambria Math" w:cstheme="minorHAnsi"/>
                  <w:sz w:val="24"/>
                  <w:szCs w:val="24"/>
                  <w:lang w:val="en-US"/>
                </w:rPr>
                <m:t>4</m:t>
              </m:r>
            </m:den>
          </m:f>
        </m:oMath>
      </m:oMathPara>
    </w:p>
    <w:p w14:paraId="760FD43C" w14:textId="3A5D00AE" w:rsidR="004B6F75" w:rsidRPr="007253DF" w:rsidRDefault="004B6F75" w:rsidP="004A08D6">
      <w:pPr>
        <w:spacing w:after="0" w:line="360" w:lineRule="auto"/>
        <w:rPr>
          <w:rFonts w:asciiTheme="majorHAnsi" w:eastAsiaTheme="majorEastAsia" w:hAnsiTheme="majorHAnsi" w:cstheme="majorBidi"/>
          <w:b/>
          <w:sz w:val="32"/>
          <w:szCs w:val="32"/>
          <w:lang w:val="en-US"/>
        </w:rPr>
      </w:pPr>
    </w:p>
    <w:p w14:paraId="584E0B70" w14:textId="77777777" w:rsidR="004B6F75" w:rsidRPr="00950D55" w:rsidRDefault="004B6F75" w:rsidP="004A08D6">
      <w:pPr>
        <w:spacing w:after="0" w:line="360" w:lineRule="auto"/>
        <w:jc w:val="center"/>
        <w:rPr>
          <w:rFonts w:eastAsiaTheme="minorEastAsia"/>
          <w:sz w:val="24"/>
          <w:szCs w:val="24"/>
          <w:lang w:val="en-US"/>
        </w:rPr>
      </w:pPr>
    </w:p>
    <w:p w14:paraId="4519BB74" w14:textId="77777777" w:rsidR="004B6F75" w:rsidRPr="00950D55" w:rsidRDefault="004B6F75" w:rsidP="004A08D6">
      <w:pPr>
        <w:spacing w:after="0" w:line="360" w:lineRule="auto"/>
        <w:jc w:val="center"/>
        <w:rPr>
          <w:rFonts w:eastAsiaTheme="minorEastAsia"/>
          <w:sz w:val="24"/>
          <w:szCs w:val="24"/>
          <w:lang w:val="en-US"/>
        </w:rPr>
      </w:pPr>
    </w:p>
    <w:p w14:paraId="07391CF9" w14:textId="77777777" w:rsidR="004B6F75" w:rsidRPr="006C7773" w:rsidRDefault="004B6F75" w:rsidP="00A15E8B">
      <w:pPr>
        <w:spacing w:after="0" w:line="360" w:lineRule="auto"/>
        <w:jc w:val="center"/>
        <w:rPr>
          <w:rFonts w:eastAsiaTheme="minorEastAsia"/>
          <w:sz w:val="24"/>
          <w:szCs w:val="24"/>
          <w:lang w:val="en-US"/>
        </w:rPr>
      </w:pPr>
    </w:p>
    <w:sectPr w:rsidR="004B6F75" w:rsidRPr="006C7773" w:rsidSect="001004EB">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83AFE" w14:textId="77777777" w:rsidR="00EE5DF1" w:rsidRDefault="00EE5DF1" w:rsidP="001004EB">
      <w:pPr>
        <w:spacing w:after="0" w:line="240" w:lineRule="auto"/>
      </w:pPr>
      <w:r>
        <w:separator/>
      </w:r>
    </w:p>
  </w:endnote>
  <w:endnote w:type="continuationSeparator" w:id="0">
    <w:p w14:paraId="33A7C6A6" w14:textId="77777777" w:rsidR="00EE5DF1" w:rsidRDefault="00EE5DF1" w:rsidP="00100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0978641"/>
      <w:docPartObj>
        <w:docPartGallery w:val="Page Numbers (Bottom of Page)"/>
        <w:docPartUnique/>
      </w:docPartObj>
    </w:sdtPr>
    <w:sdtEndPr/>
    <w:sdtContent>
      <w:p w14:paraId="32986093" w14:textId="77777777" w:rsidR="00664510" w:rsidRDefault="00664510">
        <w:pPr>
          <w:pStyle w:val="Voettekst"/>
          <w:jc w:val="right"/>
        </w:pPr>
        <w:r>
          <w:fldChar w:fldCharType="begin"/>
        </w:r>
        <w:r>
          <w:instrText>PAGE   \* MERGEFORMAT</w:instrText>
        </w:r>
        <w:r>
          <w:fldChar w:fldCharType="separate"/>
        </w:r>
        <w:r>
          <w:t>2</w:t>
        </w:r>
        <w:r>
          <w:fldChar w:fldCharType="end"/>
        </w:r>
      </w:p>
    </w:sdtContent>
  </w:sdt>
  <w:p w14:paraId="1ABDB51B" w14:textId="77777777" w:rsidR="00664510" w:rsidRDefault="0066451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71EE6" w14:textId="77777777" w:rsidR="00EE5DF1" w:rsidRDefault="00EE5DF1" w:rsidP="001004EB">
      <w:pPr>
        <w:spacing w:after="0" w:line="240" w:lineRule="auto"/>
      </w:pPr>
      <w:r>
        <w:separator/>
      </w:r>
    </w:p>
  </w:footnote>
  <w:footnote w:type="continuationSeparator" w:id="0">
    <w:p w14:paraId="650E5807" w14:textId="77777777" w:rsidR="00EE5DF1" w:rsidRDefault="00EE5DF1" w:rsidP="001004EB">
      <w:pPr>
        <w:spacing w:after="0" w:line="240" w:lineRule="auto"/>
      </w:pPr>
      <w:r>
        <w:continuationSeparator/>
      </w:r>
    </w:p>
  </w:footnote>
  <w:footnote w:id="1">
    <w:p w14:paraId="237D987F" w14:textId="77777777" w:rsidR="00664510" w:rsidRPr="00002B4A" w:rsidRDefault="00664510" w:rsidP="002C1F33">
      <w:pPr>
        <w:pStyle w:val="Voetnoottekst"/>
        <w:rPr>
          <w:lang w:val="en-US"/>
        </w:rPr>
      </w:pPr>
      <w:r>
        <w:rPr>
          <w:rStyle w:val="Voetnootmarkering"/>
        </w:rPr>
        <w:footnoteRef/>
      </w:r>
      <w:r>
        <w:rPr>
          <w:lang w:val="en-US"/>
        </w:rPr>
        <w:t xml:space="preserve"> See Appendix 1.1 for proof</w:t>
      </w:r>
      <w:r w:rsidRPr="00002B4A">
        <w:rPr>
          <w:lang w:val="en-US"/>
        </w:rPr>
        <w:t>.</w:t>
      </w:r>
    </w:p>
  </w:footnote>
  <w:footnote w:id="2">
    <w:p w14:paraId="2450006D" w14:textId="77777777" w:rsidR="00664510" w:rsidRPr="00002B4A" w:rsidRDefault="00664510" w:rsidP="002C1F33">
      <w:pPr>
        <w:pStyle w:val="Voetnoottekst"/>
        <w:rPr>
          <w:lang w:val="en-US"/>
        </w:rPr>
      </w:pPr>
      <w:r>
        <w:rPr>
          <w:rStyle w:val="Voetnootmarkering"/>
        </w:rPr>
        <w:footnoteRef/>
      </w:r>
      <w:r w:rsidRPr="00002B4A">
        <w:rPr>
          <w:lang w:val="en-US"/>
        </w:rPr>
        <w:t xml:space="preserve"> See Appendix 1</w:t>
      </w:r>
      <w:r>
        <w:rPr>
          <w:lang w:val="en-US"/>
        </w:rPr>
        <w:t>.2 for proof</w:t>
      </w:r>
      <w:r w:rsidRPr="00002B4A">
        <w:rPr>
          <w:lang w:val="en-US"/>
        </w:rPr>
        <w:t>.</w:t>
      </w:r>
    </w:p>
  </w:footnote>
  <w:footnote w:id="3">
    <w:p w14:paraId="2C2D2998" w14:textId="77777777" w:rsidR="00664510" w:rsidRPr="00365A4E" w:rsidRDefault="00664510" w:rsidP="002C1F33">
      <w:pPr>
        <w:pStyle w:val="Voetnoottekst"/>
        <w:rPr>
          <w:lang w:val="en-US"/>
        </w:rPr>
      </w:pPr>
      <w:r>
        <w:rPr>
          <w:rStyle w:val="Voetnootmarkering"/>
        </w:rPr>
        <w:footnoteRef/>
      </w:r>
      <w:r w:rsidRPr="00365A4E">
        <w:rPr>
          <w:lang w:val="en-US"/>
        </w:rPr>
        <w:t xml:space="preserve"> See Appendix 1.3 for proof.</w:t>
      </w:r>
    </w:p>
  </w:footnote>
  <w:footnote w:id="4">
    <w:p w14:paraId="5BA17772" w14:textId="77777777" w:rsidR="00664510" w:rsidRPr="00365A4E" w:rsidRDefault="00664510" w:rsidP="002C1F33">
      <w:pPr>
        <w:pStyle w:val="Voetnoottekst"/>
        <w:rPr>
          <w:lang w:val="en-US"/>
        </w:rPr>
      </w:pPr>
      <w:r>
        <w:rPr>
          <w:rStyle w:val="Voetnootmarkering"/>
        </w:rPr>
        <w:footnoteRef/>
      </w:r>
      <w:r w:rsidRPr="00365A4E">
        <w:rPr>
          <w:lang w:val="en-US"/>
        </w:rPr>
        <w:t xml:space="preserve"> </w:t>
      </w:r>
      <w:r>
        <w:rPr>
          <w:lang w:val="en-US"/>
        </w:rPr>
        <w:t>See Appendix 1.4 for proof.</w:t>
      </w:r>
    </w:p>
  </w:footnote>
  <w:footnote w:id="5">
    <w:p w14:paraId="5C703857" w14:textId="77777777" w:rsidR="00664510" w:rsidRPr="002C1F33" w:rsidRDefault="00664510" w:rsidP="002C1F33">
      <w:pPr>
        <w:pStyle w:val="Voetnoottekst"/>
        <w:rPr>
          <w:lang w:val="en-US"/>
        </w:rPr>
      </w:pPr>
      <w:r>
        <w:rPr>
          <w:rStyle w:val="Voetnootmarkering"/>
        </w:rPr>
        <w:footnoteRef/>
      </w:r>
      <w:r w:rsidRPr="002C1F33">
        <w:rPr>
          <w:lang w:val="en-US"/>
        </w:rPr>
        <w:t xml:space="preserve"> See Appendix 1.5 for proof.</w:t>
      </w:r>
    </w:p>
  </w:footnote>
  <w:footnote w:id="6">
    <w:p w14:paraId="582E38F9" w14:textId="00DF0A0A" w:rsidR="00664510" w:rsidRPr="001E1A87" w:rsidRDefault="00664510" w:rsidP="002C1F33">
      <w:pPr>
        <w:pStyle w:val="Voetnoottekst"/>
        <w:rPr>
          <w:lang w:val="en-US"/>
        </w:rPr>
      </w:pPr>
      <w:r>
        <w:rPr>
          <w:rStyle w:val="Voetnootmarkering"/>
        </w:rPr>
        <w:footnoteRef/>
      </w:r>
      <w:r>
        <w:rPr>
          <w:lang w:val="en-US"/>
        </w:rPr>
        <w:t xml:space="preserve"> See Appendix 1.6</w:t>
      </w:r>
      <w:r w:rsidRPr="001E1A87">
        <w:rPr>
          <w:lang w:val="en-US"/>
        </w:rPr>
        <w:t xml:space="preserve"> for proof. </w:t>
      </w:r>
    </w:p>
  </w:footnote>
  <w:footnote w:id="7">
    <w:p w14:paraId="5EC5C50F" w14:textId="518A501F" w:rsidR="00664510" w:rsidRPr="00CC35B2" w:rsidRDefault="00664510">
      <w:pPr>
        <w:pStyle w:val="Voetnoottekst"/>
        <w:rPr>
          <w:lang w:val="en-US"/>
        </w:rPr>
      </w:pPr>
      <w:r>
        <w:rPr>
          <w:rStyle w:val="Voetnootmarkering"/>
        </w:rPr>
        <w:footnoteRef/>
      </w:r>
      <w:r w:rsidRPr="00CC35B2">
        <w:rPr>
          <w:lang w:val="en-US"/>
        </w:rPr>
        <w:t xml:space="preserve"> See Appendix 2.1 for proof.</w:t>
      </w:r>
    </w:p>
  </w:footnote>
  <w:footnote w:id="8">
    <w:p w14:paraId="41AC5749" w14:textId="5825B1F3" w:rsidR="00664510" w:rsidRPr="00CC35B2" w:rsidRDefault="00664510">
      <w:pPr>
        <w:pStyle w:val="Voetnoottekst"/>
        <w:rPr>
          <w:lang w:val="en-US"/>
        </w:rPr>
      </w:pPr>
      <w:r>
        <w:rPr>
          <w:rStyle w:val="Voetnootmarkering"/>
        </w:rPr>
        <w:footnoteRef/>
      </w:r>
      <w:r w:rsidRPr="00CC35B2">
        <w:rPr>
          <w:lang w:val="en-US"/>
        </w:rPr>
        <w:t xml:space="preserve"> See Appendix 2.2 for proof. </w:t>
      </w:r>
    </w:p>
  </w:footnote>
  <w:footnote w:id="9">
    <w:p w14:paraId="16681F2F" w14:textId="657CA8EB" w:rsidR="00664510" w:rsidRPr="001E1A87" w:rsidRDefault="00664510">
      <w:pPr>
        <w:pStyle w:val="Voetnoottekst"/>
        <w:rPr>
          <w:lang w:val="en-US"/>
        </w:rPr>
      </w:pPr>
      <w:r>
        <w:rPr>
          <w:rStyle w:val="Voetnootmarkering"/>
        </w:rPr>
        <w:footnoteRef/>
      </w:r>
      <w:r w:rsidRPr="001E1A87">
        <w:rPr>
          <w:lang w:val="en-US"/>
        </w:rPr>
        <w:t xml:space="preserve"> See Appendix 2.3 for proof.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61F5C"/>
    <w:multiLevelType w:val="hybridMultilevel"/>
    <w:tmpl w:val="FBC086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91D7E40"/>
    <w:multiLevelType w:val="multilevel"/>
    <w:tmpl w:val="4CB8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A47783"/>
    <w:multiLevelType w:val="hybridMultilevel"/>
    <w:tmpl w:val="E6746DF6"/>
    <w:lvl w:ilvl="0" w:tplc="0238589C">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403D1D4B"/>
    <w:multiLevelType w:val="hybridMultilevel"/>
    <w:tmpl w:val="0DCEF8B8"/>
    <w:lvl w:ilvl="0" w:tplc="41B649FC">
      <w:start w:val="1"/>
      <w:numFmt w:val="decimal"/>
      <w:lvlText w:val="%1."/>
      <w:lvlJc w:val="left"/>
      <w:pPr>
        <w:ind w:left="720" w:hanging="360"/>
      </w:pPr>
      <w:rPr>
        <w:rFonts w:asciiTheme="minorHAnsi" w:eastAsiaTheme="minorHAnsi" w:hAnsiTheme="minorHAnsi" w:cstheme="minorBidi"/>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193451C"/>
    <w:multiLevelType w:val="multilevel"/>
    <w:tmpl w:val="0330A4E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E715996"/>
    <w:multiLevelType w:val="hybridMultilevel"/>
    <w:tmpl w:val="FF54FE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0A32642"/>
    <w:multiLevelType w:val="multilevel"/>
    <w:tmpl w:val="D0D2A4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4555981"/>
    <w:multiLevelType w:val="hybridMultilevel"/>
    <w:tmpl w:val="3AA432D4"/>
    <w:lvl w:ilvl="0" w:tplc="558E788E">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3"/>
  </w:num>
  <w:num w:numId="2">
    <w:abstractNumId w:val="5"/>
  </w:num>
  <w:num w:numId="3">
    <w:abstractNumId w:val="0"/>
  </w:num>
  <w:num w:numId="4">
    <w:abstractNumId w:val="7"/>
  </w:num>
  <w:num w:numId="5">
    <w:abstractNumId w:val="4"/>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4EB"/>
    <w:rsid w:val="00002B4A"/>
    <w:rsid w:val="000048D1"/>
    <w:rsid w:val="00012929"/>
    <w:rsid w:val="00013A1E"/>
    <w:rsid w:val="00014E7E"/>
    <w:rsid w:val="00023BC9"/>
    <w:rsid w:val="00024B32"/>
    <w:rsid w:val="00033642"/>
    <w:rsid w:val="00040D00"/>
    <w:rsid w:val="00065472"/>
    <w:rsid w:val="00076E6E"/>
    <w:rsid w:val="00093018"/>
    <w:rsid w:val="000C2061"/>
    <w:rsid w:val="000C3787"/>
    <w:rsid w:val="000C6125"/>
    <w:rsid w:val="000D19EF"/>
    <w:rsid w:val="000F4BAC"/>
    <w:rsid w:val="001004EB"/>
    <w:rsid w:val="0010325C"/>
    <w:rsid w:val="001205A7"/>
    <w:rsid w:val="00121C54"/>
    <w:rsid w:val="0012385D"/>
    <w:rsid w:val="00124B39"/>
    <w:rsid w:val="00132B59"/>
    <w:rsid w:val="0013609E"/>
    <w:rsid w:val="00141A10"/>
    <w:rsid w:val="00151A9D"/>
    <w:rsid w:val="001550AE"/>
    <w:rsid w:val="001746CE"/>
    <w:rsid w:val="001A0A9B"/>
    <w:rsid w:val="001A5A7E"/>
    <w:rsid w:val="001B42A8"/>
    <w:rsid w:val="001C644C"/>
    <w:rsid w:val="001D3765"/>
    <w:rsid w:val="001E1A87"/>
    <w:rsid w:val="001E304F"/>
    <w:rsid w:val="001E6B7A"/>
    <w:rsid w:val="001E76D8"/>
    <w:rsid w:val="00212876"/>
    <w:rsid w:val="00214A15"/>
    <w:rsid w:val="00223CB8"/>
    <w:rsid w:val="002349F9"/>
    <w:rsid w:val="0023776D"/>
    <w:rsid w:val="00237C5A"/>
    <w:rsid w:val="002439AF"/>
    <w:rsid w:val="00246445"/>
    <w:rsid w:val="002600B6"/>
    <w:rsid w:val="002754C7"/>
    <w:rsid w:val="002763E7"/>
    <w:rsid w:val="00280DE8"/>
    <w:rsid w:val="00282DF0"/>
    <w:rsid w:val="0028628B"/>
    <w:rsid w:val="002946C2"/>
    <w:rsid w:val="002A7652"/>
    <w:rsid w:val="002B2606"/>
    <w:rsid w:val="002C1F33"/>
    <w:rsid w:val="002C3472"/>
    <w:rsid w:val="002C452C"/>
    <w:rsid w:val="002D358C"/>
    <w:rsid w:val="002D43DD"/>
    <w:rsid w:val="002E731C"/>
    <w:rsid w:val="00310CFC"/>
    <w:rsid w:val="00333E04"/>
    <w:rsid w:val="00335C6A"/>
    <w:rsid w:val="003372BD"/>
    <w:rsid w:val="003647D6"/>
    <w:rsid w:val="00365A4E"/>
    <w:rsid w:val="00373366"/>
    <w:rsid w:val="0037447C"/>
    <w:rsid w:val="00376537"/>
    <w:rsid w:val="00377F4E"/>
    <w:rsid w:val="003A5125"/>
    <w:rsid w:val="003A73B7"/>
    <w:rsid w:val="003B3FC5"/>
    <w:rsid w:val="003C12F1"/>
    <w:rsid w:val="003D1F53"/>
    <w:rsid w:val="003D4957"/>
    <w:rsid w:val="003F1D84"/>
    <w:rsid w:val="003F2049"/>
    <w:rsid w:val="00405637"/>
    <w:rsid w:val="00407DCC"/>
    <w:rsid w:val="00407FAA"/>
    <w:rsid w:val="00411603"/>
    <w:rsid w:val="00412AF8"/>
    <w:rsid w:val="00430FCC"/>
    <w:rsid w:val="004348B0"/>
    <w:rsid w:val="004506A9"/>
    <w:rsid w:val="00453216"/>
    <w:rsid w:val="004554FD"/>
    <w:rsid w:val="00491C0A"/>
    <w:rsid w:val="004A08D6"/>
    <w:rsid w:val="004B6F75"/>
    <w:rsid w:val="004C0A35"/>
    <w:rsid w:val="004D7B2B"/>
    <w:rsid w:val="004E6293"/>
    <w:rsid w:val="004E662C"/>
    <w:rsid w:val="00506F22"/>
    <w:rsid w:val="0051209C"/>
    <w:rsid w:val="00517CCF"/>
    <w:rsid w:val="00524FF4"/>
    <w:rsid w:val="00536525"/>
    <w:rsid w:val="005552CD"/>
    <w:rsid w:val="005618EF"/>
    <w:rsid w:val="00563267"/>
    <w:rsid w:val="00563DA2"/>
    <w:rsid w:val="005670AA"/>
    <w:rsid w:val="005864CC"/>
    <w:rsid w:val="00592E5C"/>
    <w:rsid w:val="00594F24"/>
    <w:rsid w:val="00595BA3"/>
    <w:rsid w:val="005C283B"/>
    <w:rsid w:val="005C35F0"/>
    <w:rsid w:val="005D3216"/>
    <w:rsid w:val="005D5605"/>
    <w:rsid w:val="005D668D"/>
    <w:rsid w:val="00607A00"/>
    <w:rsid w:val="006138DF"/>
    <w:rsid w:val="00613F71"/>
    <w:rsid w:val="0061470A"/>
    <w:rsid w:val="0061584F"/>
    <w:rsid w:val="00617E61"/>
    <w:rsid w:val="00625081"/>
    <w:rsid w:val="006329F9"/>
    <w:rsid w:val="0063363B"/>
    <w:rsid w:val="00640870"/>
    <w:rsid w:val="00646137"/>
    <w:rsid w:val="00646EAC"/>
    <w:rsid w:val="00660A1B"/>
    <w:rsid w:val="006637E7"/>
    <w:rsid w:val="0066443D"/>
    <w:rsid w:val="00664510"/>
    <w:rsid w:val="00670E77"/>
    <w:rsid w:val="00674E95"/>
    <w:rsid w:val="00686351"/>
    <w:rsid w:val="006B0784"/>
    <w:rsid w:val="006C0BF9"/>
    <w:rsid w:val="006C2393"/>
    <w:rsid w:val="006C6C6A"/>
    <w:rsid w:val="006C7773"/>
    <w:rsid w:val="006E40E7"/>
    <w:rsid w:val="006E5C05"/>
    <w:rsid w:val="006F3260"/>
    <w:rsid w:val="006F4D3C"/>
    <w:rsid w:val="00712D79"/>
    <w:rsid w:val="0071639E"/>
    <w:rsid w:val="007205A7"/>
    <w:rsid w:val="00724AFF"/>
    <w:rsid w:val="007253DF"/>
    <w:rsid w:val="00725B71"/>
    <w:rsid w:val="00727A54"/>
    <w:rsid w:val="007301AF"/>
    <w:rsid w:val="00732AF9"/>
    <w:rsid w:val="00734CE7"/>
    <w:rsid w:val="00741570"/>
    <w:rsid w:val="00741AA3"/>
    <w:rsid w:val="007450A9"/>
    <w:rsid w:val="00747B10"/>
    <w:rsid w:val="00755BA9"/>
    <w:rsid w:val="007560DB"/>
    <w:rsid w:val="00756D20"/>
    <w:rsid w:val="00794639"/>
    <w:rsid w:val="00795212"/>
    <w:rsid w:val="007B32A4"/>
    <w:rsid w:val="007D27E3"/>
    <w:rsid w:val="007E5B15"/>
    <w:rsid w:val="00814CA8"/>
    <w:rsid w:val="00820EA3"/>
    <w:rsid w:val="00847636"/>
    <w:rsid w:val="008504B5"/>
    <w:rsid w:val="00853934"/>
    <w:rsid w:val="008663A5"/>
    <w:rsid w:val="00873D54"/>
    <w:rsid w:val="00895471"/>
    <w:rsid w:val="008A0A01"/>
    <w:rsid w:val="008A3DC1"/>
    <w:rsid w:val="008B0AF1"/>
    <w:rsid w:val="008C315E"/>
    <w:rsid w:val="008C650C"/>
    <w:rsid w:val="008D22EA"/>
    <w:rsid w:val="008D2E01"/>
    <w:rsid w:val="008E5781"/>
    <w:rsid w:val="008F15F8"/>
    <w:rsid w:val="008F322B"/>
    <w:rsid w:val="00901FD0"/>
    <w:rsid w:val="00911462"/>
    <w:rsid w:val="00941FB5"/>
    <w:rsid w:val="00950D55"/>
    <w:rsid w:val="00957C62"/>
    <w:rsid w:val="00970C0D"/>
    <w:rsid w:val="00970E16"/>
    <w:rsid w:val="00983E19"/>
    <w:rsid w:val="009857B9"/>
    <w:rsid w:val="009870F2"/>
    <w:rsid w:val="00990160"/>
    <w:rsid w:val="009A68E8"/>
    <w:rsid w:val="009C07A7"/>
    <w:rsid w:val="009C3DFA"/>
    <w:rsid w:val="009C4DA7"/>
    <w:rsid w:val="009D52C0"/>
    <w:rsid w:val="009D6536"/>
    <w:rsid w:val="009E1175"/>
    <w:rsid w:val="009F01CC"/>
    <w:rsid w:val="009F2EEA"/>
    <w:rsid w:val="00A1340C"/>
    <w:rsid w:val="00A147E6"/>
    <w:rsid w:val="00A15E8B"/>
    <w:rsid w:val="00A303D8"/>
    <w:rsid w:val="00A367A8"/>
    <w:rsid w:val="00A421E3"/>
    <w:rsid w:val="00A46A7E"/>
    <w:rsid w:val="00A52CCD"/>
    <w:rsid w:val="00A712FD"/>
    <w:rsid w:val="00A75317"/>
    <w:rsid w:val="00A8274E"/>
    <w:rsid w:val="00A8418E"/>
    <w:rsid w:val="00A84354"/>
    <w:rsid w:val="00AC612C"/>
    <w:rsid w:val="00AC6F40"/>
    <w:rsid w:val="00AD2575"/>
    <w:rsid w:val="00AD2D6B"/>
    <w:rsid w:val="00AD301F"/>
    <w:rsid w:val="00AF20A5"/>
    <w:rsid w:val="00B02979"/>
    <w:rsid w:val="00B02A6D"/>
    <w:rsid w:val="00B066B3"/>
    <w:rsid w:val="00B15754"/>
    <w:rsid w:val="00B36CC5"/>
    <w:rsid w:val="00B404EE"/>
    <w:rsid w:val="00B406F6"/>
    <w:rsid w:val="00B50D42"/>
    <w:rsid w:val="00B535FB"/>
    <w:rsid w:val="00B850DF"/>
    <w:rsid w:val="00B870B4"/>
    <w:rsid w:val="00B87BEE"/>
    <w:rsid w:val="00B97E45"/>
    <w:rsid w:val="00BB44CB"/>
    <w:rsid w:val="00BD363E"/>
    <w:rsid w:val="00BE6139"/>
    <w:rsid w:val="00BF4E0B"/>
    <w:rsid w:val="00C06C25"/>
    <w:rsid w:val="00C203B7"/>
    <w:rsid w:val="00C20FD3"/>
    <w:rsid w:val="00C32494"/>
    <w:rsid w:val="00C45D44"/>
    <w:rsid w:val="00C4716F"/>
    <w:rsid w:val="00C63B93"/>
    <w:rsid w:val="00C725AF"/>
    <w:rsid w:val="00C82B9F"/>
    <w:rsid w:val="00C848DA"/>
    <w:rsid w:val="00C95227"/>
    <w:rsid w:val="00C96114"/>
    <w:rsid w:val="00CA5030"/>
    <w:rsid w:val="00CC35B2"/>
    <w:rsid w:val="00CF3ACE"/>
    <w:rsid w:val="00D01507"/>
    <w:rsid w:val="00D01566"/>
    <w:rsid w:val="00D0468F"/>
    <w:rsid w:val="00D046AD"/>
    <w:rsid w:val="00D210EC"/>
    <w:rsid w:val="00D25394"/>
    <w:rsid w:val="00D32BFC"/>
    <w:rsid w:val="00D5699F"/>
    <w:rsid w:val="00D56CC1"/>
    <w:rsid w:val="00D70718"/>
    <w:rsid w:val="00D86665"/>
    <w:rsid w:val="00D87A4A"/>
    <w:rsid w:val="00D95CD3"/>
    <w:rsid w:val="00DB180B"/>
    <w:rsid w:val="00DB22A1"/>
    <w:rsid w:val="00DB5E83"/>
    <w:rsid w:val="00DC1D3E"/>
    <w:rsid w:val="00DC5342"/>
    <w:rsid w:val="00E02502"/>
    <w:rsid w:val="00E11444"/>
    <w:rsid w:val="00E202FA"/>
    <w:rsid w:val="00E26797"/>
    <w:rsid w:val="00E32C6C"/>
    <w:rsid w:val="00E35A4A"/>
    <w:rsid w:val="00E6597A"/>
    <w:rsid w:val="00E87C36"/>
    <w:rsid w:val="00E949FD"/>
    <w:rsid w:val="00EA053C"/>
    <w:rsid w:val="00EB4C85"/>
    <w:rsid w:val="00EB4E5A"/>
    <w:rsid w:val="00EB63ED"/>
    <w:rsid w:val="00EC10B9"/>
    <w:rsid w:val="00EC69B2"/>
    <w:rsid w:val="00ED1C86"/>
    <w:rsid w:val="00ED5D53"/>
    <w:rsid w:val="00EE1F96"/>
    <w:rsid w:val="00EE22B5"/>
    <w:rsid w:val="00EE30EE"/>
    <w:rsid w:val="00EE5DF1"/>
    <w:rsid w:val="00EF315D"/>
    <w:rsid w:val="00F01279"/>
    <w:rsid w:val="00F174CC"/>
    <w:rsid w:val="00F209E0"/>
    <w:rsid w:val="00F26BF2"/>
    <w:rsid w:val="00F328C4"/>
    <w:rsid w:val="00F35E80"/>
    <w:rsid w:val="00F37C61"/>
    <w:rsid w:val="00F41119"/>
    <w:rsid w:val="00F42715"/>
    <w:rsid w:val="00F461C9"/>
    <w:rsid w:val="00F643EC"/>
    <w:rsid w:val="00F81A75"/>
    <w:rsid w:val="00F85A97"/>
    <w:rsid w:val="00FA3591"/>
    <w:rsid w:val="00FA41E9"/>
    <w:rsid w:val="00FB6369"/>
    <w:rsid w:val="00FC6AC2"/>
    <w:rsid w:val="00FD4BF3"/>
    <w:rsid w:val="00FD4F9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77843"/>
  <w15:chartTrackingRefBased/>
  <w15:docId w15:val="{4F14F666-960A-4B1B-98CD-42378AAB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004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5C35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9901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004EB"/>
    <w:pPr>
      <w:tabs>
        <w:tab w:val="center" w:pos="4536"/>
        <w:tab w:val="right" w:pos="9072"/>
      </w:tabs>
      <w:spacing w:after="0" w:line="240" w:lineRule="auto"/>
    </w:pPr>
  </w:style>
  <w:style w:type="paragraph" w:styleId="Inhopg1">
    <w:name w:val="toc 1"/>
    <w:basedOn w:val="Standaard"/>
    <w:next w:val="Standaard"/>
    <w:autoRedefine/>
    <w:uiPriority w:val="39"/>
    <w:unhideWhenUsed/>
    <w:rsid w:val="001004EB"/>
    <w:pPr>
      <w:spacing w:after="100"/>
    </w:pPr>
  </w:style>
  <w:style w:type="character" w:customStyle="1" w:styleId="KoptekstChar">
    <w:name w:val="Koptekst Char"/>
    <w:basedOn w:val="Standaardalinea-lettertype"/>
    <w:link w:val="Koptekst"/>
    <w:uiPriority w:val="99"/>
    <w:rsid w:val="001004EB"/>
  </w:style>
  <w:style w:type="paragraph" w:styleId="Voettekst">
    <w:name w:val="footer"/>
    <w:basedOn w:val="Standaard"/>
    <w:link w:val="VoettekstChar"/>
    <w:uiPriority w:val="99"/>
    <w:unhideWhenUsed/>
    <w:rsid w:val="001004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004EB"/>
  </w:style>
  <w:style w:type="character" w:customStyle="1" w:styleId="Kop1Char">
    <w:name w:val="Kop 1 Char"/>
    <w:basedOn w:val="Standaardalinea-lettertype"/>
    <w:link w:val="Kop1"/>
    <w:uiPriority w:val="9"/>
    <w:rsid w:val="001004EB"/>
    <w:rPr>
      <w:rFonts w:asciiTheme="majorHAnsi" w:eastAsiaTheme="majorEastAsia" w:hAnsiTheme="majorHAnsi" w:cstheme="majorBidi"/>
      <w:color w:val="2F5496" w:themeColor="accent1" w:themeShade="BF"/>
      <w:sz w:val="32"/>
      <w:szCs w:val="32"/>
    </w:rPr>
  </w:style>
  <w:style w:type="paragraph" w:styleId="Kopvaninhoudsopgave">
    <w:name w:val="TOC Heading"/>
    <w:basedOn w:val="Kop1"/>
    <w:next w:val="Standaard"/>
    <w:uiPriority w:val="39"/>
    <w:unhideWhenUsed/>
    <w:qFormat/>
    <w:rsid w:val="001004EB"/>
    <w:pPr>
      <w:outlineLvl w:val="9"/>
    </w:pPr>
    <w:rPr>
      <w:lang w:eastAsia="nl-NL"/>
    </w:rPr>
  </w:style>
  <w:style w:type="character" w:styleId="Hyperlink">
    <w:name w:val="Hyperlink"/>
    <w:basedOn w:val="Standaardalinea-lettertype"/>
    <w:uiPriority w:val="99"/>
    <w:unhideWhenUsed/>
    <w:rsid w:val="001004EB"/>
    <w:rPr>
      <w:color w:val="0563C1" w:themeColor="hyperlink"/>
      <w:u w:val="single"/>
    </w:rPr>
  </w:style>
  <w:style w:type="paragraph" w:styleId="Lijstalinea">
    <w:name w:val="List Paragraph"/>
    <w:basedOn w:val="Standaard"/>
    <w:uiPriority w:val="34"/>
    <w:qFormat/>
    <w:rsid w:val="009C4DA7"/>
    <w:pPr>
      <w:ind w:left="720"/>
      <w:contextualSpacing/>
    </w:pPr>
  </w:style>
  <w:style w:type="character" w:customStyle="1" w:styleId="Kop2Char">
    <w:name w:val="Kop 2 Char"/>
    <w:basedOn w:val="Standaardalinea-lettertype"/>
    <w:link w:val="Kop2"/>
    <w:uiPriority w:val="9"/>
    <w:rsid w:val="005C35F0"/>
    <w:rPr>
      <w:rFonts w:asciiTheme="majorHAnsi" w:eastAsiaTheme="majorEastAsia" w:hAnsiTheme="majorHAnsi" w:cstheme="majorBidi"/>
      <w:color w:val="2F5496" w:themeColor="accent1" w:themeShade="BF"/>
      <w:sz w:val="26"/>
      <w:szCs w:val="26"/>
    </w:rPr>
  </w:style>
  <w:style w:type="paragraph" w:styleId="Inhopg2">
    <w:name w:val="toc 2"/>
    <w:basedOn w:val="Standaard"/>
    <w:next w:val="Standaard"/>
    <w:autoRedefine/>
    <w:uiPriority w:val="39"/>
    <w:unhideWhenUsed/>
    <w:rsid w:val="005C35F0"/>
    <w:pPr>
      <w:spacing w:after="100"/>
      <w:ind w:left="220"/>
    </w:pPr>
  </w:style>
  <w:style w:type="paragraph" w:styleId="Bibliografie">
    <w:name w:val="Bibliography"/>
    <w:basedOn w:val="Standaard"/>
    <w:next w:val="Standaard"/>
    <w:uiPriority w:val="37"/>
    <w:unhideWhenUsed/>
    <w:rsid w:val="00EE30EE"/>
  </w:style>
  <w:style w:type="character" w:styleId="Tekstvantijdelijkeaanduiding">
    <w:name w:val="Placeholder Text"/>
    <w:basedOn w:val="Standaardalinea-lettertype"/>
    <w:uiPriority w:val="99"/>
    <w:semiHidden/>
    <w:rsid w:val="00741570"/>
    <w:rPr>
      <w:color w:val="808080"/>
    </w:rPr>
  </w:style>
  <w:style w:type="character" w:customStyle="1" w:styleId="Kop3Char">
    <w:name w:val="Kop 3 Char"/>
    <w:basedOn w:val="Standaardalinea-lettertype"/>
    <w:link w:val="Kop3"/>
    <w:uiPriority w:val="9"/>
    <w:rsid w:val="00990160"/>
    <w:rPr>
      <w:rFonts w:asciiTheme="majorHAnsi" w:eastAsiaTheme="majorEastAsia" w:hAnsiTheme="majorHAnsi" w:cstheme="majorBidi"/>
      <w:color w:val="1F3763" w:themeColor="accent1" w:themeShade="7F"/>
      <w:sz w:val="24"/>
      <w:szCs w:val="24"/>
    </w:rPr>
  </w:style>
  <w:style w:type="paragraph" w:styleId="Inhopg3">
    <w:name w:val="toc 3"/>
    <w:basedOn w:val="Standaard"/>
    <w:next w:val="Standaard"/>
    <w:autoRedefine/>
    <w:uiPriority w:val="39"/>
    <w:unhideWhenUsed/>
    <w:rsid w:val="00990160"/>
    <w:pPr>
      <w:spacing w:after="100"/>
      <w:ind w:left="440"/>
    </w:pPr>
  </w:style>
  <w:style w:type="paragraph" w:styleId="Voetnoottekst">
    <w:name w:val="footnote text"/>
    <w:basedOn w:val="Standaard"/>
    <w:link w:val="VoetnoottekstChar"/>
    <w:uiPriority w:val="99"/>
    <w:semiHidden/>
    <w:unhideWhenUsed/>
    <w:rsid w:val="009D52C0"/>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D52C0"/>
    <w:rPr>
      <w:sz w:val="20"/>
      <w:szCs w:val="20"/>
    </w:rPr>
  </w:style>
  <w:style w:type="character" w:styleId="Voetnootmarkering">
    <w:name w:val="footnote reference"/>
    <w:basedOn w:val="Standaardalinea-lettertype"/>
    <w:uiPriority w:val="99"/>
    <w:semiHidden/>
    <w:unhideWhenUsed/>
    <w:rsid w:val="009D52C0"/>
    <w:rPr>
      <w:vertAlign w:val="superscript"/>
    </w:rPr>
  </w:style>
  <w:style w:type="character" w:styleId="GevolgdeHyperlink">
    <w:name w:val="FollowedHyperlink"/>
    <w:basedOn w:val="Standaardalinea-lettertype"/>
    <w:uiPriority w:val="99"/>
    <w:semiHidden/>
    <w:unhideWhenUsed/>
    <w:rsid w:val="00741AA3"/>
    <w:rPr>
      <w:color w:val="954F72" w:themeColor="followedHyperlink"/>
      <w:u w:val="single"/>
    </w:rPr>
  </w:style>
  <w:style w:type="character" w:styleId="Verwijzingopmerking">
    <w:name w:val="annotation reference"/>
    <w:basedOn w:val="Standaardalinea-lettertype"/>
    <w:uiPriority w:val="99"/>
    <w:semiHidden/>
    <w:unhideWhenUsed/>
    <w:rsid w:val="00A46A7E"/>
    <w:rPr>
      <w:sz w:val="16"/>
      <w:szCs w:val="16"/>
    </w:rPr>
  </w:style>
  <w:style w:type="paragraph" w:styleId="Tekstopmerking">
    <w:name w:val="annotation text"/>
    <w:basedOn w:val="Standaard"/>
    <w:link w:val="TekstopmerkingChar"/>
    <w:uiPriority w:val="99"/>
    <w:semiHidden/>
    <w:unhideWhenUsed/>
    <w:rsid w:val="00A46A7E"/>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46A7E"/>
    <w:rPr>
      <w:sz w:val="20"/>
      <w:szCs w:val="20"/>
    </w:rPr>
  </w:style>
  <w:style w:type="paragraph" w:styleId="Onderwerpvanopmerking">
    <w:name w:val="annotation subject"/>
    <w:basedOn w:val="Tekstopmerking"/>
    <w:next w:val="Tekstopmerking"/>
    <w:link w:val="OnderwerpvanopmerkingChar"/>
    <w:uiPriority w:val="99"/>
    <w:semiHidden/>
    <w:unhideWhenUsed/>
    <w:rsid w:val="00A46A7E"/>
    <w:rPr>
      <w:b/>
      <w:bCs/>
    </w:rPr>
  </w:style>
  <w:style w:type="character" w:customStyle="1" w:styleId="OnderwerpvanopmerkingChar">
    <w:name w:val="Onderwerp van opmerking Char"/>
    <w:basedOn w:val="TekstopmerkingChar"/>
    <w:link w:val="Onderwerpvanopmerking"/>
    <w:uiPriority w:val="99"/>
    <w:semiHidden/>
    <w:rsid w:val="00A46A7E"/>
    <w:rPr>
      <w:b/>
      <w:bCs/>
      <w:sz w:val="20"/>
      <w:szCs w:val="20"/>
    </w:rPr>
  </w:style>
  <w:style w:type="paragraph" w:styleId="Ballontekst">
    <w:name w:val="Balloon Text"/>
    <w:basedOn w:val="Standaard"/>
    <w:link w:val="BallontekstChar"/>
    <w:uiPriority w:val="99"/>
    <w:semiHidden/>
    <w:unhideWhenUsed/>
    <w:rsid w:val="00A46A7E"/>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46A7E"/>
    <w:rPr>
      <w:rFonts w:ascii="Segoe UI" w:hAnsi="Segoe UI" w:cs="Segoe UI"/>
      <w:sz w:val="18"/>
      <w:szCs w:val="18"/>
    </w:rPr>
  </w:style>
  <w:style w:type="paragraph" w:styleId="Geenafstand">
    <w:name w:val="No Spacing"/>
    <w:uiPriority w:val="1"/>
    <w:qFormat/>
    <w:rsid w:val="00A1340C"/>
    <w:pPr>
      <w:spacing w:after="0" w:line="240" w:lineRule="auto"/>
    </w:pPr>
    <w:rPr>
      <w:lang w:val="en-US"/>
    </w:rPr>
  </w:style>
  <w:style w:type="paragraph" w:styleId="Bijschrift">
    <w:name w:val="caption"/>
    <w:basedOn w:val="Standaard"/>
    <w:next w:val="Standaard"/>
    <w:uiPriority w:val="35"/>
    <w:unhideWhenUsed/>
    <w:qFormat/>
    <w:rsid w:val="00D7071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8868">
      <w:bodyDiv w:val="1"/>
      <w:marLeft w:val="0"/>
      <w:marRight w:val="0"/>
      <w:marTop w:val="0"/>
      <w:marBottom w:val="0"/>
      <w:divBdr>
        <w:top w:val="none" w:sz="0" w:space="0" w:color="auto"/>
        <w:left w:val="none" w:sz="0" w:space="0" w:color="auto"/>
        <w:bottom w:val="none" w:sz="0" w:space="0" w:color="auto"/>
        <w:right w:val="none" w:sz="0" w:space="0" w:color="auto"/>
      </w:divBdr>
    </w:div>
    <w:div w:id="15155911">
      <w:bodyDiv w:val="1"/>
      <w:marLeft w:val="0"/>
      <w:marRight w:val="0"/>
      <w:marTop w:val="0"/>
      <w:marBottom w:val="0"/>
      <w:divBdr>
        <w:top w:val="none" w:sz="0" w:space="0" w:color="auto"/>
        <w:left w:val="none" w:sz="0" w:space="0" w:color="auto"/>
        <w:bottom w:val="none" w:sz="0" w:space="0" w:color="auto"/>
        <w:right w:val="none" w:sz="0" w:space="0" w:color="auto"/>
      </w:divBdr>
    </w:div>
    <w:div w:id="30031758">
      <w:bodyDiv w:val="1"/>
      <w:marLeft w:val="0"/>
      <w:marRight w:val="0"/>
      <w:marTop w:val="0"/>
      <w:marBottom w:val="0"/>
      <w:divBdr>
        <w:top w:val="none" w:sz="0" w:space="0" w:color="auto"/>
        <w:left w:val="none" w:sz="0" w:space="0" w:color="auto"/>
        <w:bottom w:val="none" w:sz="0" w:space="0" w:color="auto"/>
        <w:right w:val="none" w:sz="0" w:space="0" w:color="auto"/>
      </w:divBdr>
    </w:div>
    <w:div w:id="38361017">
      <w:bodyDiv w:val="1"/>
      <w:marLeft w:val="0"/>
      <w:marRight w:val="0"/>
      <w:marTop w:val="0"/>
      <w:marBottom w:val="0"/>
      <w:divBdr>
        <w:top w:val="none" w:sz="0" w:space="0" w:color="auto"/>
        <w:left w:val="none" w:sz="0" w:space="0" w:color="auto"/>
        <w:bottom w:val="none" w:sz="0" w:space="0" w:color="auto"/>
        <w:right w:val="none" w:sz="0" w:space="0" w:color="auto"/>
      </w:divBdr>
    </w:div>
    <w:div w:id="39518858">
      <w:bodyDiv w:val="1"/>
      <w:marLeft w:val="0"/>
      <w:marRight w:val="0"/>
      <w:marTop w:val="0"/>
      <w:marBottom w:val="0"/>
      <w:divBdr>
        <w:top w:val="none" w:sz="0" w:space="0" w:color="auto"/>
        <w:left w:val="none" w:sz="0" w:space="0" w:color="auto"/>
        <w:bottom w:val="none" w:sz="0" w:space="0" w:color="auto"/>
        <w:right w:val="none" w:sz="0" w:space="0" w:color="auto"/>
      </w:divBdr>
    </w:div>
    <w:div w:id="64181993">
      <w:bodyDiv w:val="1"/>
      <w:marLeft w:val="0"/>
      <w:marRight w:val="0"/>
      <w:marTop w:val="0"/>
      <w:marBottom w:val="0"/>
      <w:divBdr>
        <w:top w:val="none" w:sz="0" w:space="0" w:color="auto"/>
        <w:left w:val="none" w:sz="0" w:space="0" w:color="auto"/>
        <w:bottom w:val="none" w:sz="0" w:space="0" w:color="auto"/>
        <w:right w:val="none" w:sz="0" w:space="0" w:color="auto"/>
      </w:divBdr>
    </w:div>
    <w:div w:id="82799324">
      <w:bodyDiv w:val="1"/>
      <w:marLeft w:val="0"/>
      <w:marRight w:val="0"/>
      <w:marTop w:val="0"/>
      <w:marBottom w:val="0"/>
      <w:divBdr>
        <w:top w:val="none" w:sz="0" w:space="0" w:color="auto"/>
        <w:left w:val="none" w:sz="0" w:space="0" w:color="auto"/>
        <w:bottom w:val="none" w:sz="0" w:space="0" w:color="auto"/>
        <w:right w:val="none" w:sz="0" w:space="0" w:color="auto"/>
      </w:divBdr>
    </w:div>
    <w:div w:id="96609524">
      <w:bodyDiv w:val="1"/>
      <w:marLeft w:val="0"/>
      <w:marRight w:val="0"/>
      <w:marTop w:val="0"/>
      <w:marBottom w:val="0"/>
      <w:divBdr>
        <w:top w:val="none" w:sz="0" w:space="0" w:color="auto"/>
        <w:left w:val="none" w:sz="0" w:space="0" w:color="auto"/>
        <w:bottom w:val="none" w:sz="0" w:space="0" w:color="auto"/>
        <w:right w:val="none" w:sz="0" w:space="0" w:color="auto"/>
      </w:divBdr>
    </w:div>
    <w:div w:id="97220189">
      <w:bodyDiv w:val="1"/>
      <w:marLeft w:val="0"/>
      <w:marRight w:val="0"/>
      <w:marTop w:val="0"/>
      <w:marBottom w:val="0"/>
      <w:divBdr>
        <w:top w:val="none" w:sz="0" w:space="0" w:color="auto"/>
        <w:left w:val="none" w:sz="0" w:space="0" w:color="auto"/>
        <w:bottom w:val="none" w:sz="0" w:space="0" w:color="auto"/>
        <w:right w:val="none" w:sz="0" w:space="0" w:color="auto"/>
      </w:divBdr>
    </w:div>
    <w:div w:id="100758927">
      <w:bodyDiv w:val="1"/>
      <w:marLeft w:val="0"/>
      <w:marRight w:val="0"/>
      <w:marTop w:val="0"/>
      <w:marBottom w:val="0"/>
      <w:divBdr>
        <w:top w:val="none" w:sz="0" w:space="0" w:color="auto"/>
        <w:left w:val="none" w:sz="0" w:space="0" w:color="auto"/>
        <w:bottom w:val="none" w:sz="0" w:space="0" w:color="auto"/>
        <w:right w:val="none" w:sz="0" w:space="0" w:color="auto"/>
      </w:divBdr>
    </w:div>
    <w:div w:id="112482082">
      <w:bodyDiv w:val="1"/>
      <w:marLeft w:val="0"/>
      <w:marRight w:val="0"/>
      <w:marTop w:val="0"/>
      <w:marBottom w:val="0"/>
      <w:divBdr>
        <w:top w:val="none" w:sz="0" w:space="0" w:color="auto"/>
        <w:left w:val="none" w:sz="0" w:space="0" w:color="auto"/>
        <w:bottom w:val="none" w:sz="0" w:space="0" w:color="auto"/>
        <w:right w:val="none" w:sz="0" w:space="0" w:color="auto"/>
      </w:divBdr>
    </w:div>
    <w:div w:id="112872192">
      <w:bodyDiv w:val="1"/>
      <w:marLeft w:val="0"/>
      <w:marRight w:val="0"/>
      <w:marTop w:val="0"/>
      <w:marBottom w:val="0"/>
      <w:divBdr>
        <w:top w:val="none" w:sz="0" w:space="0" w:color="auto"/>
        <w:left w:val="none" w:sz="0" w:space="0" w:color="auto"/>
        <w:bottom w:val="none" w:sz="0" w:space="0" w:color="auto"/>
        <w:right w:val="none" w:sz="0" w:space="0" w:color="auto"/>
      </w:divBdr>
    </w:div>
    <w:div w:id="122619128">
      <w:bodyDiv w:val="1"/>
      <w:marLeft w:val="0"/>
      <w:marRight w:val="0"/>
      <w:marTop w:val="0"/>
      <w:marBottom w:val="0"/>
      <w:divBdr>
        <w:top w:val="none" w:sz="0" w:space="0" w:color="auto"/>
        <w:left w:val="none" w:sz="0" w:space="0" w:color="auto"/>
        <w:bottom w:val="none" w:sz="0" w:space="0" w:color="auto"/>
        <w:right w:val="none" w:sz="0" w:space="0" w:color="auto"/>
      </w:divBdr>
    </w:div>
    <w:div w:id="146675502">
      <w:bodyDiv w:val="1"/>
      <w:marLeft w:val="0"/>
      <w:marRight w:val="0"/>
      <w:marTop w:val="0"/>
      <w:marBottom w:val="0"/>
      <w:divBdr>
        <w:top w:val="none" w:sz="0" w:space="0" w:color="auto"/>
        <w:left w:val="none" w:sz="0" w:space="0" w:color="auto"/>
        <w:bottom w:val="none" w:sz="0" w:space="0" w:color="auto"/>
        <w:right w:val="none" w:sz="0" w:space="0" w:color="auto"/>
      </w:divBdr>
    </w:div>
    <w:div w:id="151528060">
      <w:bodyDiv w:val="1"/>
      <w:marLeft w:val="0"/>
      <w:marRight w:val="0"/>
      <w:marTop w:val="0"/>
      <w:marBottom w:val="0"/>
      <w:divBdr>
        <w:top w:val="none" w:sz="0" w:space="0" w:color="auto"/>
        <w:left w:val="none" w:sz="0" w:space="0" w:color="auto"/>
        <w:bottom w:val="none" w:sz="0" w:space="0" w:color="auto"/>
        <w:right w:val="none" w:sz="0" w:space="0" w:color="auto"/>
      </w:divBdr>
    </w:div>
    <w:div w:id="165177282">
      <w:bodyDiv w:val="1"/>
      <w:marLeft w:val="0"/>
      <w:marRight w:val="0"/>
      <w:marTop w:val="0"/>
      <w:marBottom w:val="0"/>
      <w:divBdr>
        <w:top w:val="none" w:sz="0" w:space="0" w:color="auto"/>
        <w:left w:val="none" w:sz="0" w:space="0" w:color="auto"/>
        <w:bottom w:val="none" w:sz="0" w:space="0" w:color="auto"/>
        <w:right w:val="none" w:sz="0" w:space="0" w:color="auto"/>
      </w:divBdr>
    </w:div>
    <w:div w:id="170875007">
      <w:bodyDiv w:val="1"/>
      <w:marLeft w:val="0"/>
      <w:marRight w:val="0"/>
      <w:marTop w:val="0"/>
      <w:marBottom w:val="0"/>
      <w:divBdr>
        <w:top w:val="none" w:sz="0" w:space="0" w:color="auto"/>
        <w:left w:val="none" w:sz="0" w:space="0" w:color="auto"/>
        <w:bottom w:val="none" w:sz="0" w:space="0" w:color="auto"/>
        <w:right w:val="none" w:sz="0" w:space="0" w:color="auto"/>
      </w:divBdr>
    </w:div>
    <w:div w:id="171385076">
      <w:bodyDiv w:val="1"/>
      <w:marLeft w:val="0"/>
      <w:marRight w:val="0"/>
      <w:marTop w:val="0"/>
      <w:marBottom w:val="0"/>
      <w:divBdr>
        <w:top w:val="none" w:sz="0" w:space="0" w:color="auto"/>
        <w:left w:val="none" w:sz="0" w:space="0" w:color="auto"/>
        <w:bottom w:val="none" w:sz="0" w:space="0" w:color="auto"/>
        <w:right w:val="none" w:sz="0" w:space="0" w:color="auto"/>
      </w:divBdr>
    </w:div>
    <w:div w:id="175774477">
      <w:bodyDiv w:val="1"/>
      <w:marLeft w:val="0"/>
      <w:marRight w:val="0"/>
      <w:marTop w:val="0"/>
      <w:marBottom w:val="0"/>
      <w:divBdr>
        <w:top w:val="none" w:sz="0" w:space="0" w:color="auto"/>
        <w:left w:val="none" w:sz="0" w:space="0" w:color="auto"/>
        <w:bottom w:val="none" w:sz="0" w:space="0" w:color="auto"/>
        <w:right w:val="none" w:sz="0" w:space="0" w:color="auto"/>
      </w:divBdr>
    </w:div>
    <w:div w:id="191725449">
      <w:bodyDiv w:val="1"/>
      <w:marLeft w:val="0"/>
      <w:marRight w:val="0"/>
      <w:marTop w:val="0"/>
      <w:marBottom w:val="0"/>
      <w:divBdr>
        <w:top w:val="none" w:sz="0" w:space="0" w:color="auto"/>
        <w:left w:val="none" w:sz="0" w:space="0" w:color="auto"/>
        <w:bottom w:val="none" w:sz="0" w:space="0" w:color="auto"/>
        <w:right w:val="none" w:sz="0" w:space="0" w:color="auto"/>
      </w:divBdr>
    </w:div>
    <w:div w:id="198053277">
      <w:bodyDiv w:val="1"/>
      <w:marLeft w:val="0"/>
      <w:marRight w:val="0"/>
      <w:marTop w:val="0"/>
      <w:marBottom w:val="0"/>
      <w:divBdr>
        <w:top w:val="none" w:sz="0" w:space="0" w:color="auto"/>
        <w:left w:val="none" w:sz="0" w:space="0" w:color="auto"/>
        <w:bottom w:val="none" w:sz="0" w:space="0" w:color="auto"/>
        <w:right w:val="none" w:sz="0" w:space="0" w:color="auto"/>
      </w:divBdr>
    </w:div>
    <w:div w:id="199978707">
      <w:bodyDiv w:val="1"/>
      <w:marLeft w:val="0"/>
      <w:marRight w:val="0"/>
      <w:marTop w:val="0"/>
      <w:marBottom w:val="0"/>
      <w:divBdr>
        <w:top w:val="none" w:sz="0" w:space="0" w:color="auto"/>
        <w:left w:val="none" w:sz="0" w:space="0" w:color="auto"/>
        <w:bottom w:val="none" w:sz="0" w:space="0" w:color="auto"/>
        <w:right w:val="none" w:sz="0" w:space="0" w:color="auto"/>
      </w:divBdr>
    </w:div>
    <w:div w:id="202327603">
      <w:bodyDiv w:val="1"/>
      <w:marLeft w:val="0"/>
      <w:marRight w:val="0"/>
      <w:marTop w:val="0"/>
      <w:marBottom w:val="0"/>
      <w:divBdr>
        <w:top w:val="none" w:sz="0" w:space="0" w:color="auto"/>
        <w:left w:val="none" w:sz="0" w:space="0" w:color="auto"/>
        <w:bottom w:val="none" w:sz="0" w:space="0" w:color="auto"/>
        <w:right w:val="none" w:sz="0" w:space="0" w:color="auto"/>
      </w:divBdr>
    </w:div>
    <w:div w:id="207570694">
      <w:bodyDiv w:val="1"/>
      <w:marLeft w:val="0"/>
      <w:marRight w:val="0"/>
      <w:marTop w:val="0"/>
      <w:marBottom w:val="0"/>
      <w:divBdr>
        <w:top w:val="none" w:sz="0" w:space="0" w:color="auto"/>
        <w:left w:val="none" w:sz="0" w:space="0" w:color="auto"/>
        <w:bottom w:val="none" w:sz="0" w:space="0" w:color="auto"/>
        <w:right w:val="none" w:sz="0" w:space="0" w:color="auto"/>
      </w:divBdr>
    </w:div>
    <w:div w:id="215775681">
      <w:bodyDiv w:val="1"/>
      <w:marLeft w:val="0"/>
      <w:marRight w:val="0"/>
      <w:marTop w:val="0"/>
      <w:marBottom w:val="0"/>
      <w:divBdr>
        <w:top w:val="none" w:sz="0" w:space="0" w:color="auto"/>
        <w:left w:val="none" w:sz="0" w:space="0" w:color="auto"/>
        <w:bottom w:val="none" w:sz="0" w:space="0" w:color="auto"/>
        <w:right w:val="none" w:sz="0" w:space="0" w:color="auto"/>
      </w:divBdr>
    </w:div>
    <w:div w:id="221527589">
      <w:bodyDiv w:val="1"/>
      <w:marLeft w:val="0"/>
      <w:marRight w:val="0"/>
      <w:marTop w:val="0"/>
      <w:marBottom w:val="0"/>
      <w:divBdr>
        <w:top w:val="none" w:sz="0" w:space="0" w:color="auto"/>
        <w:left w:val="none" w:sz="0" w:space="0" w:color="auto"/>
        <w:bottom w:val="none" w:sz="0" w:space="0" w:color="auto"/>
        <w:right w:val="none" w:sz="0" w:space="0" w:color="auto"/>
      </w:divBdr>
    </w:div>
    <w:div w:id="254561189">
      <w:bodyDiv w:val="1"/>
      <w:marLeft w:val="0"/>
      <w:marRight w:val="0"/>
      <w:marTop w:val="0"/>
      <w:marBottom w:val="0"/>
      <w:divBdr>
        <w:top w:val="none" w:sz="0" w:space="0" w:color="auto"/>
        <w:left w:val="none" w:sz="0" w:space="0" w:color="auto"/>
        <w:bottom w:val="none" w:sz="0" w:space="0" w:color="auto"/>
        <w:right w:val="none" w:sz="0" w:space="0" w:color="auto"/>
      </w:divBdr>
    </w:div>
    <w:div w:id="263927485">
      <w:bodyDiv w:val="1"/>
      <w:marLeft w:val="0"/>
      <w:marRight w:val="0"/>
      <w:marTop w:val="0"/>
      <w:marBottom w:val="0"/>
      <w:divBdr>
        <w:top w:val="none" w:sz="0" w:space="0" w:color="auto"/>
        <w:left w:val="none" w:sz="0" w:space="0" w:color="auto"/>
        <w:bottom w:val="none" w:sz="0" w:space="0" w:color="auto"/>
        <w:right w:val="none" w:sz="0" w:space="0" w:color="auto"/>
      </w:divBdr>
    </w:div>
    <w:div w:id="277033442">
      <w:bodyDiv w:val="1"/>
      <w:marLeft w:val="0"/>
      <w:marRight w:val="0"/>
      <w:marTop w:val="0"/>
      <w:marBottom w:val="0"/>
      <w:divBdr>
        <w:top w:val="none" w:sz="0" w:space="0" w:color="auto"/>
        <w:left w:val="none" w:sz="0" w:space="0" w:color="auto"/>
        <w:bottom w:val="none" w:sz="0" w:space="0" w:color="auto"/>
        <w:right w:val="none" w:sz="0" w:space="0" w:color="auto"/>
      </w:divBdr>
    </w:div>
    <w:div w:id="278294135">
      <w:bodyDiv w:val="1"/>
      <w:marLeft w:val="0"/>
      <w:marRight w:val="0"/>
      <w:marTop w:val="0"/>
      <w:marBottom w:val="0"/>
      <w:divBdr>
        <w:top w:val="none" w:sz="0" w:space="0" w:color="auto"/>
        <w:left w:val="none" w:sz="0" w:space="0" w:color="auto"/>
        <w:bottom w:val="none" w:sz="0" w:space="0" w:color="auto"/>
        <w:right w:val="none" w:sz="0" w:space="0" w:color="auto"/>
      </w:divBdr>
    </w:div>
    <w:div w:id="281497338">
      <w:bodyDiv w:val="1"/>
      <w:marLeft w:val="0"/>
      <w:marRight w:val="0"/>
      <w:marTop w:val="0"/>
      <w:marBottom w:val="0"/>
      <w:divBdr>
        <w:top w:val="none" w:sz="0" w:space="0" w:color="auto"/>
        <w:left w:val="none" w:sz="0" w:space="0" w:color="auto"/>
        <w:bottom w:val="none" w:sz="0" w:space="0" w:color="auto"/>
        <w:right w:val="none" w:sz="0" w:space="0" w:color="auto"/>
      </w:divBdr>
    </w:div>
    <w:div w:id="282346105">
      <w:bodyDiv w:val="1"/>
      <w:marLeft w:val="0"/>
      <w:marRight w:val="0"/>
      <w:marTop w:val="0"/>
      <w:marBottom w:val="0"/>
      <w:divBdr>
        <w:top w:val="none" w:sz="0" w:space="0" w:color="auto"/>
        <w:left w:val="none" w:sz="0" w:space="0" w:color="auto"/>
        <w:bottom w:val="none" w:sz="0" w:space="0" w:color="auto"/>
        <w:right w:val="none" w:sz="0" w:space="0" w:color="auto"/>
      </w:divBdr>
    </w:div>
    <w:div w:id="285744083">
      <w:bodyDiv w:val="1"/>
      <w:marLeft w:val="0"/>
      <w:marRight w:val="0"/>
      <w:marTop w:val="0"/>
      <w:marBottom w:val="0"/>
      <w:divBdr>
        <w:top w:val="none" w:sz="0" w:space="0" w:color="auto"/>
        <w:left w:val="none" w:sz="0" w:space="0" w:color="auto"/>
        <w:bottom w:val="none" w:sz="0" w:space="0" w:color="auto"/>
        <w:right w:val="none" w:sz="0" w:space="0" w:color="auto"/>
      </w:divBdr>
    </w:div>
    <w:div w:id="290408742">
      <w:bodyDiv w:val="1"/>
      <w:marLeft w:val="0"/>
      <w:marRight w:val="0"/>
      <w:marTop w:val="0"/>
      <w:marBottom w:val="0"/>
      <w:divBdr>
        <w:top w:val="none" w:sz="0" w:space="0" w:color="auto"/>
        <w:left w:val="none" w:sz="0" w:space="0" w:color="auto"/>
        <w:bottom w:val="none" w:sz="0" w:space="0" w:color="auto"/>
        <w:right w:val="none" w:sz="0" w:space="0" w:color="auto"/>
      </w:divBdr>
    </w:div>
    <w:div w:id="306907163">
      <w:bodyDiv w:val="1"/>
      <w:marLeft w:val="0"/>
      <w:marRight w:val="0"/>
      <w:marTop w:val="0"/>
      <w:marBottom w:val="0"/>
      <w:divBdr>
        <w:top w:val="none" w:sz="0" w:space="0" w:color="auto"/>
        <w:left w:val="none" w:sz="0" w:space="0" w:color="auto"/>
        <w:bottom w:val="none" w:sz="0" w:space="0" w:color="auto"/>
        <w:right w:val="none" w:sz="0" w:space="0" w:color="auto"/>
      </w:divBdr>
    </w:div>
    <w:div w:id="314341574">
      <w:bodyDiv w:val="1"/>
      <w:marLeft w:val="0"/>
      <w:marRight w:val="0"/>
      <w:marTop w:val="0"/>
      <w:marBottom w:val="0"/>
      <w:divBdr>
        <w:top w:val="none" w:sz="0" w:space="0" w:color="auto"/>
        <w:left w:val="none" w:sz="0" w:space="0" w:color="auto"/>
        <w:bottom w:val="none" w:sz="0" w:space="0" w:color="auto"/>
        <w:right w:val="none" w:sz="0" w:space="0" w:color="auto"/>
      </w:divBdr>
    </w:div>
    <w:div w:id="325480481">
      <w:bodyDiv w:val="1"/>
      <w:marLeft w:val="0"/>
      <w:marRight w:val="0"/>
      <w:marTop w:val="0"/>
      <w:marBottom w:val="0"/>
      <w:divBdr>
        <w:top w:val="none" w:sz="0" w:space="0" w:color="auto"/>
        <w:left w:val="none" w:sz="0" w:space="0" w:color="auto"/>
        <w:bottom w:val="none" w:sz="0" w:space="0" w:color="auto"/>
        <w:right w:val="none" w:sz="0" w:space="0" w:color="auto"/>
      </w:divBdr>
    </w:div>
    <w:div w:id="341903114">
      <w:bodyDiv w:val="1"/>
      <w:marLeft w:val="0"/>
      <w:marRight w:val="0"/>
      <w:marTop w:val="0"/>
      <w:marBottom w:val="0"/>
      <w:divBdr>
        <w:top w:val="none" w:sz="0" w:space="0" w:color="auto"/>
        <w:left w:val="none" w:sz="0" w:space="0" w:color="auto"/>
        <w:bottom w:val="none" w:sz="0" w:space="0" w:color="auto"/>
        <w:right w:val="none" w:sz="0" w:space="0" w:color="auto"/>
      </w:divBdr>
    </w:div>
    <w:div w:id="347635124">
      <w:bodyDiv w:val="1"/>
      <w:marLeft w:val="0"/>
      <w:marRight w:val="0"/>
      <w:marTop w:val="0"/>
      <w:marBottom w:val="0"/>
      <w:divBdr>
        <w:top w:val="none" w:sz="0" w:space="0" w:color="auto"/>
        <w:left w:val="none" w:sz="0" w:space="0" w:color="auto"/>
        <w:bottom w:val="none" w:sz="0" w:space="0" w:color="auto"/>
        <w:right w:val="none" w:sz="0" w:space="0" w:color="auto"/>
      </w:divBdr>
    </w:div>
    <w:div w:id="350762306">
      <w:bodyDiv w:val="1"/>
      <w:marLeft w:val="0"/>
      <w:marRight w:val="0"/>
      <w:marTop w:val="0"/>
      <w:marBottom w:val="0"/>
      <w:divBdr>
        <w:top w:val="none" w:sz="0" w:space="0" w:color="auto"/>
        <w:left w:val="none" w:sz="0" w:space="0" w:color="auto"/>
        <w:bottom w:val="none" w:sz="0" w:space="0" w:color="auto"/>
        <w:right w:val="none" w:sz="0" w:space="0" w:color="auto"/>
      </w:divBdr>
    </w:div>
    <w:div w:id="370881303">
      <w:bodyDiv w:val="1"/>
      <w:marLeft w:val="0"/>
      <w:marRight w:val="0"/>
      <w:marTop w:val="0"/>
      <w:marBottom w:val="0"/>
      <w:divBdr>
        <w:top w:val="none" w:sz="0" w:space="0" w:color="auto"/>
        <w:left w:val="none" w:sz="0" w:space="0" w:color="auto"/>
        <w:bottom w:val="none" w:sz="0" w:space="0" w:color="auto"/>
        <w:right w:val="none" w:sz="0" w:space="0" w:color="auto"/>
      </w:divBdr>
    </w:div>
    <w:div w:id="373432493">
      <w:bodyDiv w:val="1"/>
      <w:marLeft w:val="0"/>
      <w:marRight w:val="0"/>
      <w:marTop w:val="0"/>
      <w:marBottom w:val="0"/>
      <w:divBdr>
        <w:top w:val="none" w:sz="0" w:space="0" w:color="auto"/>
        <w:left w:val="none" w:sz="0" w:space="0" w:color="auto"/>
        <w:bottom w:val="none" w:sz="0" w:space="0" w:color="auto"/>
        <w:right w:val="none" w:sz="0" w:space="0" w:color="auto"/>
      </w:divBdr>
    </w:div>
    <w:div w:id="388847077">
      <w:bodyDiv w:val="1"/>
      <w:marLeft w:val="0"/>
      <w:marRight w:val="0"/>
      <w:marTop w:val="0"/>
      <w:marBottom w:val="0"/>
      <w:divBdr>
        <w:top w:val="none" w:sz="0" w:space="0" w:color="auto"/>
        <w:left w:val="none" w:sz="0" w:space="0" w:color="auto"/>
        <w:bottom w:val="none" w:sz="0" w:space="0" w:color="auto"/>
        <w:right w:val="none" w:sz="0" w:space="0" w:color="auto"/>
      </w:divBdr>
    </w:div>
    <w:div w:id="389154462">
      <w:bodyDiv w:val="1"/>
      <w:marLeft w:val="0"/>
      <w:marRight w:val="0"/>
      <w:marTop w:val="0"/>
      <w:marBottom w:val="0"/>
      <w:divBdr>
        <w:top w:val="none" w:sz="0" w:space="0" w:color="auto"/>
        <w:left w:val="none" w:sz="0" w:space="0" w:color="auto"/>
        <w:bottom w:val="none" w:sz="0" w:space="0" w:color="auto"/>
        <w:right w:val="none" w:sz="0" w:space="0" w:color="auto"/>
      </w:divBdr>
    </w:div>
    <w:div w:id="398946389">
      <w:bodyDiv w:val="1"/>
      <w:marLeft w:val="0"/>
      <w:marRight w:val="0"/>
      <w:marTop w:val="0"/>
      <w:marBottom w:val="0"/>
      <w:divBdr>
        <w:top w:val="none" w:sz="0" w:space="0" w:color="auto"/>
        <w:left w:val="none" w:sz="0" w:space="0" w:color="auto"/>
        <w:bottom w:val="none" w:sz="0" w:space="0" w:color="auto"/>
        <w:right w:val="none" w:sz="0" w:space="0" w:color="auto"/>
      </w:divBdr>
    </w:div>
    <w:div w:id="409693001">
      <w:bodyDiv w:val="1"/>
      <w:marLeft w:val="0"/>
      <w:marRight w:val="0"/>
      <w:marTop w:val="0"/>
      <w:marBottom w:val="0"/>
      <w:divBdr>
        <w:top w:val="none" w:sz="0" w:space="0" w:color="auto"/>
        <w:left w:val="none" w:sz="0" w:space="0" w:color="auto"/>
        <w:bottom w:val="none" w:sz="0" w:space="0" w:color="auto"/>
        <w:right w:val="none" w:sz="0" w:space="0" w:color="auto"/>
      </w:divBdr>
    </w:div>
    <w:div w:id="412361515">
      <w:bodyDiv w:val="1"/>
      <w:marLeft w:val="0"/>
      <w:marRight w:val="0"/>
      <w:marTop w:val="0"/>
      <w:marBottom w:val="0"/>
      <w:divBdr>
        <w:top w:val="none" w:sz="0" w:space="0" w:color="auto"/>
        <w:left w:val="none" w:sz="0" w:space="0" w:color="auto"/>
        <w:bottom w:val="none" w:sz="0" w:space="0" w:color="auto"/>
        <w:right w:val="none" w:sz="0" w:space="0" w:color="auto"/>
      </w:divBdr>
    </w:div>
    <w:div w:id="431508208">
      <w:bodyDiv w:val="1"/>
      <w:marLeft w:val="0"/>
      <w:marRight w:val="0"/>
      <w:marTop w:val="0"/>
      <w:marBottom w:val="0"/>
      <w:divBdr>
        <w:top w:val="none" w:sz="0" w:space="0" w:color="auto"/>
        <w:left w:val="none" w:sz="0" w:space="0" w:color="auto"/>
        <w:bottom w:val="none" w:sz="0" w:space="0" w:color="auto"/>
        <w:right w:val="none" w:sz="0" w:space="0" w:color="auto"/>
      </w:divBdr>
    </w:div>
    <w:div w:id="432238989">
      <w:bodyDiv w:val="1"/>
      <w:marLeft w:val="0"/>
      <w:marRight w:val="0"/>
      <w:marTop w:val="0"/>
      <w:marBottom w:val="0"/>
      <w:divBdr>
        <w:top w:val="none" w:sz="0" w:space="0" w:color="auto"/>
        <w:left w:val="none" w:sz="0" w:space="0" w:color="auto"/>
        <w:bottom w:val="none" w:sz="0" w:space="0" w:color="auto"/>
        <w:right w:val="none" w:sz="0" w:space="0" w:color="auto"/>
      </w:divBdr>
    </w:div>
    <w:div w:id="438645851">
      <w:bodyDiv w:val="1"/>
      <w:marLeft w:val="0"/>
      <w:marRight w:val="0"/>
      <w:marTop w:val="0"/>
      <w:marBottom w:val="0"/>
      <w:divBdr>
        <w:top w:val="none" w:sz="0" w:space="0" w:color="auto"/>
        <w:left w:val="none" w:sz="0" w:space="0" w:color="auto"/>
        <w:bottom w:val="none" w:sz="0" w:space="0" w:color="auto"/>
        <w:right w:val="none" w:sz="0" w:space="0" w:color="auto"/>
      </w:divBdr>
    </w:div>
    <w:div w:id="441341681">
      <w:bodyDiv w:val="1"/>
      <w:marLeft w:val="0"/>
      <w:marRight w:val="0"/>
      <w:marTop w:val="0"/>
      <w:marBottom w:val="0"/>
      <w:divBdr>
        <w:top w:val="none" w:sz="0" w:space="0" w:color="auto"/>
        <w:left w:val="none" w:sz="0" w:space="0" w:color="auto"/>
        <w:bottom w:val="none" w:sz="0" w:space="0" w:color="auto"/>
        <w:right w:val="none" w:sz="0" w:space="0" w:color="auto"/>
      </w:divBdr>
    </w:div>
    <w:div w:id="445782142">
      <w:bodyDiv w:val="1"/>
      <w:marLeft w:val="0"/>
      <w:marRight w:val="0"/>
      <w:marTop w:val="0"/>
      <w:marBottom w:val="0"/>
      <w:divBdr>
        <w:top w:val="none" w:sz="0" w:space="0" w:color="auto"/>
        <w:left w:val="none" w:sz="0" w:space="0" w:color="auto"/>
        <w:bottom w:val="none" w:sz="0" w:space="0" w:color="auto"/>
        <w:right w:val="none" w:sz="0" w:space="0" w:color="auto"/>
      </w:divBdr>
    </w:div>
    <w:div w:id="454757365">
      <w:bodyDiv w:val="1"/>
      <w:marLeft w:val="0"/>
      <w:marRight w:val="0"/>
      <w:marTop w:val="0"/>
      <w:marBottom w:val="0"/>
      <w:divBdr>
        <w:top w:val="none" w:sz="0" w:space="0" w:color="auto"/>
        <w:left w:val="none" w:sz="0" w:space="0" w:color="auto"/>
        <w:bottom w:val="none" w:sz="0" w:space="0" w:color="auto"/>
        <w:right w:val="none" w:sz="0" w:space="0" w:color="auto"/>
      </w:divBdr>
    </w:div>
    <w:div w:id="477843352">
      <w:bodyDiv w:val="1"/>
      <w:marLeft w:val="0"/>
      <w:marRight w:val="0"/>
      <w:marTop w:val="0"/>
      <w:marBottom w:val="0"/>
      <w:divBdr>
        <w:top w:val="none" w:sz="0" w:space="0" w:color="auto"/>
        <w:left w:val="none" w:sz="0" w:space="0" w:color="auto"/>
        <w:bottom w:val="none" w:sz="0" w:space="0" w:color="auto"/>
        <w:right w:val="none" w:sz="0" w:space="0" w:color="auto"/>
      </w:divBdr>
    </w:div>
    <w:div w:id="483619930">
      <w:bodyDiv w:val="1"/>
      <w:marLeft w:val="0"/>
      <w:marRight w:val="0"/>
      <w:marTop w:val="0"/>
      <w:marBottom w:val="0"/>
      <w:divBdr>
        <w:top w:val="none" w:sz="0" w:space="0" w:color="auto"/>
        <w:left w:val="none" w:sz="0" w:space="0" w:color="auto"/>
        <w:bottom w:val="none" w:sz="0" w:space="0" w:color="auto"/>
        <w:right w:val="none" w:sz="0" w:space="0" w:color="auto"/>
      </w:divBdr>
    </w:div>
    <w:div w:id="488402223">
      <w:bodyDiv w:val="1"/>
      <w:marLeft w:val="0"/>
      <w:marRight w:val="0"/>
      <w:marTop w:val="0"/>
      <w:marBottom w:val="0"/>
      <w:divBdr>
        <w:top w:val="none" w:sz="0" w:space="0" w:color="auto"/>
        <w:left w:val="none" w:sz="0" w:space="0" w:color="auto"/>
        <w:bottom w:val="none" w:sz="0" w:space="0" w:color="auto"/>
        <w:right w:val="none" w:sz="0" w:space="0" w:color="auto"/>
      </w:divBdr>
    </w:div>
    <w:div w:id="496389146">
      <w:bodyDiv w:val="1"/>
      <w:marLeft w:val="0"/>
      <w:marRight w:val="0"/>
      <w:marTop w:val="0"/>
      <w:marBottom w:val="0"/>
      <w:divBdr>
        <w:top w:val="none" w:sz="0" w:space="0" w:color="auto"/>
        <w:left w:val="none" w:sz="0" w:space="0" w:color="auto"/>
        <w:bottom w:val="none" w:sz="0" w:space="0" w:color="auto"/>
        <w:right w:val="none" w:sz="0" w:space="0" w:color="auto"/>
      </w:divBdr>
    </w:div>
    <w:div w:id="511189135">
      <w:bodyDiv w:val="1"/>
      <w:marLeft w:val="0"/>
      <w:marRight w:val="0"/>
      <w:marTop w:val="0"/>
      <w:marBottom w:val="0"/>
      <w:divBdr>
        <w:top w:val="none" w:sz="0" w:space="0" w:color="auto"/>
        <w:left w:val="none" w:sz="0" w:space="0" w:color="auto"/>
        <w:bottom w:val="none" w:sz="0" w:space="0" w:color="auto"/>
        <w:right w:val="none" w:sz="0" w:space="0" w:color="auto"/>
      </w:divBdr>
    </w:div>
    <w:div w:id="538780424">
      <w:bodyDiv w:val="1"/>
      <w:marLeft w:val="0"/>
      <w:marRight w:val="0"/>
      <w:marTop w:val="0"/>
      <w:marBottom w:val="0"/>
      <w:divBdr>
        <w:top w:val="none" w:sz="0" w:space="0" w:color="auto"/>
        <w:left w:val="none" w:sz="0" w:space="0" w:color="auto"/>
        <w:bottom w:val="none" w:sz="0" w:space="0" w:color="auto"/>
        <w:right w:val="none" w:sz="0" w:space="0" w:color="auto"/>
      </w:divBdr>
    </w:div>
    <w:div w:id="539509675">
      <w:bodyDiv w:val="1"/>
      <w:marLeft w:val="0"/>
      <w:marRight w:val="0"/>
      <w:marTop w:val="0"/>
      <w:marBottom w:val="0"/>
      <w:divBdr>
        <w:top w:val="none" w:sz="0" w:space="0" w:color="auto"/>
        <w:left w:val="none" w:sz="0" w:space="0" w:color="auto"/>
        <w:bottom w:val="none" w:sz="0" w:space="0" w:color="auto"/>
        <w:right w:val="none" w:sz="0" w:space="0" w:color="auto"/>
      </w:divBdr>
    </w:div>
    <w:div w:id="543979807">
      <w:bodyDiv w:val="1"/>
      <w:marLeft w:val="0"/>
      <w:marRight w:val="0"/>
      <w:marTop w:val="0"/>
      <w:marBottom w:val="0"/>
      <w:divBdr>
        <w:top w:val="none" w:sz="0" w:space="0" w:color="auto"/>
        <w:left w:val="none" w:sz="0" w:space="0" w:color="auto"/>
        <w:bottom w:val="none" w:sz="0" w:space="0" w:color="auto"/>
        <w:right w:val="none" w:sz="0" w:space="0" w:color="auto"/>
      </w:divBdr>
    </w:div>
    <w:div w:id="549265129">
      <w:bodyDiv w:val="1"/>
      <w:marLeft w:val="0"/>
      <w:marRight w:val="0"/>
      <w:marTop w:val="0"/>
      <w:marBottom w:val="0"/>
      <w:divBdr>
        <w:top w:val="none" w:sz="0" w:space="0" w:color="auto"/>
        <w:left w:val="none" w:sz="0" w:space="0" w:color="auto"/>
        <w:bottom w:val="none" w:sz="0" w:space="0" w:color="auto"/>
        <w:right w:val="none" w:sz="0" w:space="0" w:color="auto"/>
      </w:divBdr>
    </w:div>
    <w:div w:id="554238264">
      <w:bodyDiv w:val="1"/>
      <w:marLeft w:val="0"/>
      <w:marRight w:val="0"/>
      <w:marTop w:val="0"/>
      <w:marBottom w:val="0"/>
      <w:divBdr>
        <w:top w:val="none" w:sz="0" w:space="0" w:color="auto"/>
        <w:left w:val="none" w:sz="0" w:space="0" w:color="auto"/>
        <w:bottom w:val="none" w:sz="0" w:space="0" w:color="auto"/>
        <w:right w:val="none" w:sz="0" w:space="0" w:color="auto"/>
      </w:divBdr>
    </w:div>
    <w:div w:id="566303149">
      <w:bodyDiv w:val="1"/>
      <w:marLeft w:val="0"/>
      <w:marRight w:val="0"/>
      <w:marTop w:val="0"/>
      <w:marBottom w:val="0"/>
      <w:divBdr>
        <w:top w:val="none" w:sz="0" w:space="0" w:color="auto"/>
        <w:left w:val="none" w:sz="0" w:space="0" w:color="auto"/>
        <w:bottom w:val="none" w:sz="0" w:space="0" w:color="auto"/>
        <w:right w:val="none" w:sz="0" w:space="0" w:color="auto"/>
      </w:divBdr>
    </w:div>
    <w:div w:id="568005094">
      <w:bodyDiv w:val="1"/>
      <w:marLeft w:val="0"/>
      <w:marRight w:val="0"/>
      <w:marTop w:val="0"/>
      <w:marBottom w:val="0"/>
      <w:divBdr>
        <w:top w:val="none" w:sz="0" w:space="0" w:color="auto"/>
        <w:left w:val="none" w:sz="0" w:space="0" w:color="auto"/>
        <w:bottom w:val="none" w:sz="0" w:space="0" w:color="auto"/>
        <w:right w:val="none" w:sz="0" w:space="0" w:color="auto"/>
      </w:divBdr>
    </w:div>
    <w:div w:id="571964754">
      <w:bodyDiv w:val="1"/>
      <w:marLeft w:val="0"/>
      <w:marRight w:val="0"/>
      <w:marTop w:val="0"/>
      <w:marBottom w:val="0"/>
      <w:divBdr>
        <w:top w:val="none" w:sz="0" w:space="0" w:color="auto"/>
        <w:left w:val="none" w:sz="0" w:space="0" w:color="auto"/>
        <w:bottom w:val="none" w:sz="0" w:space="0" w:color="auto"/>
        <w:right w:val="none" w:sz="0" w:space="0" w:color="auto"/>
      </w:divBdr>
    </w:div>
    <w:div w:id="576015756">
      <w:bodyDiv w:val="1"/>
      <w:marLeft w:val="0"/>
      <w:marRight w:val="0"/>
      <w:marTop w:val="0"/>
      <w:marBottom w:val="0"/>
      <w:divBdr>
        <w:top w:val="none" w:sz="0" w:space="0" w:color="auto"/>
        <w:left w:val="none" w:sz="0" w:space="0" w:color="auto"/>
        <w:bottom w:val="none" w:sz="0" w:space="0" w:color="auto"/>
        <w:right w:val="none" w:sz="0" w:space="0" w:color="auto"/>
      </w:divBdr>
    </w:div>
    <w:div w:id="589781210">
      <w:bodyDiv w:val="1"/>
      <w:marLeft w:val="0"/>
      <w:marRight w:val="0"/>
      <w:marTop w:val="0"/>
      <w:marBottom w:val="0"/>
      <w:divBdr>
        <w:top w:val="none" w:sz="0" w:space="0" w:color="auto"/>
        <w:left w:val="none" w:sz="0" w:space="0" w:color="auto"/>
        <w:bottom w:val="none" w:sz="0" w:space="0" w:color="auto"/>
        <w:right w:val="none" w:sz="0" w:space="0" w:color="auto"/>
      </w:divBdr>
    </w:div>
    <w:div w:id="599676718">
      <w:bodyDiv w:val="1"/>
      <w:marLeft w:val="0"/>
      <w:marRight w:val="0"/>
      <w:marTop w:val="0"/>
      <w:marBottom w:val="0"/>
      <w:divBdr>
        <w:top w:val="none" w:sz="0" w:space="0" w:color="auto"/>
        <w:left w:val="none" w:sz="0" w:space="0" w:color="auto"/>
        <w:bottom w:val="none" w:sz="0" w:space="0" w:color="auto"/>
        <w:right w:val="none" w:sz="0" w:space="0" w:color="auto"/>
      </w:divBdr>
    </w:div>
    <w:div w:id="603536788">
      <w:bodyDiv w:val="1"/>
      <w:marLeft w:val="0"/>
      <w:marRight w:val="0"/>
      <w:marTop w:val="0"/>
      <w:marBottom w:val="0"/>
      <w:divBdr>
        <w:top w:val="none" w:sz="0" w:space="0" w:color="auto"/>
        <w:left w:val="none" w:sz="0" w:space="0" w:color="auto"/>
        <w:bottom w:val="none" w:sz="0" w:space="0" w:color="auto"/>
        <w:right w:val="none" w:sz="0" w:space="0" w:color="auto"/>
      </w:divBdr>
    </w:div>
    <w:div w:id="607589601">
      <w:bodyDiv w:val="1"/>
      <w:marLeft w:val="0"/>
      <w:marRight w:val="0"/>
      <w:marTop w:val="0"/>
      <w:marBottom w:val="0"/>
      <w:divBdr>
        <w:top w:val="none" w:sz="0" w:space="0" w:color="auto"/>
        <w:left w:val="none" w:sz="0" w:space="0" w:color="auto"/>
        <w:bottom w:val="none" w:sz="0" w:space="0" w:color="auto"/>
        <w:right w:val="none" w:sz="0" w:space="0" w:color="auto"/>
      </w:divBdr>
    </w:div>
    <w:div w:id="633830327">
      <w:bodyDiv w:val="1"/>
      <w:marLeft w:val="0"/>
      <w:marRight w:val="0"/>
      <w:marTop w:val="0"/>
      <w:marBottom w:val="0"/>
      <w:divBdr>
        <w:top w:val="none" w:sz="0" w:space="0" w:color="auto"/>
        <w:left w:val="none" w:sz="0" w:space="0" w:color="auto"/>
        <w:bottom w:val="none" w:sz="0" w:space="0" w:color="auto"/>
        <w:right w:val="none" w:sz="0" w:space="0" w:color="auto"/>
      </w:divBdr>
    </w:div>
    <w:div w:id="639849169">
      <w:bodyDiv w:val="1"/>
      <w:marLeft w:val="0"/>
      <w:marRight w:val="0"/>
      <w:marTop w:val="0"/>
      <w:marBottom w:val="0"/>
      <w:divBdr>
        <w:top w:val="none" w:sz="0" w:space="0" w:color="auto"/>
        <w:left w:val="none" w:sz="0" w:space="0" w:color="auto"/>
        <w:bottom w:val="none" w:sz="0" w:space="0" w:color="auto"/>
        <w:right w:val="none" w:sz="0" w:space="0" w:color="auto"/>
      </w:divBdr>
    </w:div>
    <w:div w:id="640185101">
      <w:bodyDiv w:val="1"/>
      <w:marLeft w:val="0"/>
      <w:marRight w:val="0"/>
      <w:marTop w:val="0"/>
      <w:marBottom w:val="0"/>
      <w:divBdr>
        <w:top w:val="none" w:sz="0" w:space="0" w:color="auto"/>
        <w:left w:val="none" w:sz="0" w:space="0" w:color="auto"/>
        <w:bottom w:val="none" w:sz="0" w:space="0" w:color="auto"/>
        <w:right w:val="none" w:sz="0" w:space="0" w:color="auto"/>
      </w:divBdr>
    </w:div>
    <w:div w:id="644313252">
      <w:bodyDiv w:val="1"/>
      <w:marLeft w:val="0"/>
      <w:marRight w:val="0"/>
      <w:marTop w:val="0"/>
      <w:marBottom w:val="0"/>
      <w:divBdr>
        <w:top w:val="none" w:sz="0" w:space="0" w:color="auto"/>
        <w:left w:val="none" w:sz="0" w:space="0" w:color="auto"/>
        <w:bottom w:val="none" w:sz="0" w:space="0" w:color="auto"/>
        <w:right w:val="none" w:sz="0" w:space="0" w:color="auto"/>
      </w:divBdr>
    </w:div>
    <w:div w:id="647168385">
      <w:bodyDiv w:val="1"/>
      <w:marLeft w:val="0"/>
      <w:marRight w:val="0"/>
      <w:marTop w:val="0"/>
      <w:marBottom w:val="0"/>
      <w:divBdr>
        <w:top w:val="none" w:sz="0" w:space="0" w:color="auto"/>
        <w:left w:val="none" w:sz="0" w:space="0" w:color="auto"/>
        <w:bottom w:val="none" w:sz="0" w:space="0" w:color="auto"/>
        <w:right w:val="none" w:sz="0" w:space="0" w:color="auto"/>
      </w:divBdr>
    </w:div>
    <w:div w:id="664431445">
      <w:bodyDiv w:val="1"/>
      <w:marLeft w:val="0"/>
      <w:marRight w:val="0"/>
      <w:marTop w:val="0"/>
      <w:marBottom w:val="0"/>
      <w:divBdr>
        <w:top w:val="none" w:sz="0" w:space="0" w:color="auto"/>
        <w:left w:val="none" w:sz="0" w:space="0" w:color="auto"/>
        <w:bottom w:val="none" w:sz="0" w:space="0" w:color="auto"/>
        <w:right w:val="none" w:sz="0" w:space="0" w:color="auto"/>
      </w:divBdr>
    </w:div>
    <w:div w:id="669482253">
      <w:bodyDiv w:val="1"/>
      <w:marLeft w:val="0"/>
      <w:marRight w:val="0"/>
      <w:marTop w:val="0"/>
      <w:marBottom w:val="0"/>
      <w:divBdr>
        <w:top w:val="none" w:sz="0" w:space="0" w:color="auto"/>
        <w:left w:val="none" w:sz="0" w:space="0" w:color="auto"/>
        <w:bottom w:val="none" w:sz="0" w:space="0" w:color="auto"/>
        <w:right w:val="none" w:sz="0" w:space="0" w:color="auto"/>
      </w:divBdr>
    </w:div>
    <w:div w:id="684282792">
      <w:bodyDiv w:val="1"/>
      <w:marLeft w:val="0"/>
      <w:marRight w:val="0"/>
      <w:marTop w:val="0"/>
      <w:marBottom w:val="0"/>
      <w:divBdr>
        <w:top w:val="none" w:sz="0" w:space="0" w:color="auto"/>
        <w:left w:val="none" w:sz="0" w:space="0" w:color="auto"/>
        <w:bottom w:val="none" w:sz="0" w:space="0" w:color="auto"/>
        <w:right w:val="none" w:sz="0" w:space="0" w:color="auto"/>
      </w:divBdr>
    </w:div>
    <w:div w:id="700713582">
      <w:bodyDiv w:val="1"/>
      <w:marLeft w:val="0"/>
      <w:marRight w:val="0"/>
      <w:marTop w:val="0"/>
      <w:marBottom w:val="0"/>
      <w:divBdr>
        <w:top w:val="none" w:sz="0" w:space="0" w:color="auto"/>
        <w:left w:val="none" w:sz="0" w:space="0" w:color="auto"/>
        <w:bottom w:val="none" w:sz="0" w:space="0" w:color="auto"/>
        <w:right w:val="none" w:sz="0" w:space="0" w:color="auto"/>
      </w:divBdr>
    </w:div>
    <w:div w:id="705373515">
      <w:bodyDiv w:val="1"/>
      <w:marLeft w:val="0"/>
      <w:marRight w:val="0"/>
      <w:marTop w:val="0"/>
      <w:marBottom w:val="0"/>
      <w:divBdr>
        <w:top w:val="none" w:sz="0" w:space="0" w:color="auto"/>
        <w:left w:val="none" w:sz="0" w:space="0" w:color="auto"/>
        <w:bottom w:val="none" w:sz="0" w:space="0" w:color="auto"/>
        <w:right w:val="none" w:sz="0" w:space="0" w:color="auto"/>
      </w:divBdr>
    </w:div>
    <w:div w:id="731347826">
      <w:bodyDiv w:val="1"/>
      <w:marLeft w:val="0"/>
      <w:marRight w:val="0"/>
      <w:marTop w:val="0"/>
      <w:marBottom w:val="0"/>
      <w:divBdr>
        <w:top w:val="none" w:sz="0" w:space="0" w:color="auto"/>
        <w:left w:val="none" w:sz="0" w:space="0" w:color="auto"/>
        <w:bottom w:val="none" w:sz="0" w:space="0" w:color="auto"/>
        <w:right w:val="none" w:sz="0" w:space="0" w:color="auto"/>
      </w:divBdr>
    </w:div>
    <w:div w:id="731999670">
      <w:bodyDiv w:val="1"/>
      <w:marLeft w:val="0"/>
      <w:marRight w:val="0"/>
      <w:marTop w:val="0"/>
      <w:marBottom w:val="0"/>
      <w:divBdr>
        <w:top w:val="none" w:sz="0" w:space="0" w:color="auto"/>
        <w:left w:val="none" w:sz="0" w:space="0" w:color="auto"/>
        <w:bottom w:val="none" w:sz="0" w:space="0" w:color="auto"/>
        <w:right w:val="none" w:sz="0" w:space="0" w:color="auto"/>
      </w:divBdr>
    </w:div>
    <w:div w:id="736904616">
      <w:bodyDiv w:val="1"/>
      <w:marLeft w:val="0"/>
      <w:marRight w:val="0"/>
      <w:marTop w:val="0"/>
      <w:marBottom w:val="0"/>
      <w:divBdr>
        <w:top w:val="none" w:sz="0" w:space="0" w:color="auto"/>
        <w:left w:val="none" w:sz="0" w:space="0" w:color="auto"/>
        <w:bottom w:val="none" w:sz="0" w:space="0" w:color="auto"/>
        <w:right w:val="none" w:sz="0" w:space="0" w:color="auto"/>
      </w:divBdr>
    </w:div>
    <w:div w:id="744181654">
      <w:bodyDiv w:val="1"/>
      <w:marLeft w:val="0"/>
      <w:marRight w:val="0"/>
      <w:marTop w:val="0"/>
      <w:marBottom w:val="0"/>
      <w:divBdr>
        <w:top w:val="none" w:sz="0" w:space="0" w:color="auto"/>
        <w:left w:val="none" w:sz="0" w:space="0" w:color="auto"/>
        <w:bottom w:val="none" w:sz="0" w:space="0" w:color="auto"/>
        <w:right w:val="none" w:sz="0" w:space="0" w:color="auto"/>
      </w:divBdr>
    </w:div>
    <w:div w:id="749228437">
      <w:bodyDiv w:val="1"/>
      <w:marLeft w:val="0"/>
      <w:marRight w:val="0"/>
      <w:marTop w:val="0"/>
      <w:marBottom w:val="0"/>
      <w:divBdr>
        <w:top w:val="none" w:sz="0" w:space="0" w:color="auto"/>
        <w:left w:val="none" w:sz="0" w:space="0" w:color="auto"/>
        <w:bottom w:val="none" w:sz="0" w:space="0" w:color="auto"/>
        <w:right w:val="none" w:sz="0" w:space="0" w:color="auto"/>
      </w:divBdr>
    </w:div>
    <w:div w:id="752698797">
      <w:bodyDiv w:val="1"/>
      <w:marLeft w:val="0"/>
      <w:marRight w:val="0"/>
      <w:marTop w:val="0"/>
      <w:marBottom w:val="0"/>
      <w:divBdr>
        <w:top w:val="none" w:sz="0" w:space="0" w:color="auto"/>
        <w:left w:val="none" w:sz="0" w:space="0" w:color="auto"/>
        <w:bottom w:val="none" w:sz="0" w:space="0" w:color="auto"/>
        <w:right w:val="none" w:sz="0" w:space="0" w:color="auto"/>
      </w:divBdr>
    </w:div>
    <w:div w:id="757286356">
      <w:bodyDiv w:val="1"/>
      <w:marLeft w:val="0"/>
      <w:marRight w:val="0"/>
      <w:marTop w:val="0"/>
      <w:marBottom w:val="0"/>
      <w:divBdr>
        <w:top w:val="none" w:sz="0" w:space="0" w:color="auto"/>
        <w:left w:val="none" w:sz="0" w:space="0" w:color="auto"/>
        <w:bottom w:val="none" w:sz="0" w:space="0" w:color="auto"/>
        <w:right w:val="none" w:sz="0" w:space="0" w:color="auto"/>
      </w:divBdr>
    </w:div>
    <w:div w:id="760417632">
      <w:bodyDiv w:val="1"/>
      <w:marLeft w:val="0"/>
      <w:marRight w:val="0"/>
      <w:marTop w:val="0"/>
      <w:marBottom w:val="0"/>
      <w:divBdr>
        <w:top w:val="none" w:sz="0" w:space="0" w:color="auto"/>
        <w:left w:val="none" w:sz="0" w:space="0" w:color="auto"/>
        <w:bottom w:val="none" w:sz="0" w:space="0" w:color="auto"/>
        <w:right w:val="none" w:sz="0" w:space="0" w:color="auto"/>
      </w:divBdr>
    </w:div>
    <w:div w:id="765343752">
      <w:bodyDiv w:val="1"/>
      <w:marLeft w:val="0"/>
      <w:marRight w:val="0"/>
      <w:marTop w:val="0"/>
      <w:marBottom w:val="0"/>
      <w:divBdr>
        <w:top w:val="none" w:sz="0" w:space="0" w:color="auto"/>
        <w:left w:val="none" w:sz="0" w:space="0" w:color="auto"/>
        <w:bottom w:val="none" w:sz="0" w:space="0" w:color="auto"/>
        <w:right w:val="none" w:sz="0" w:space="0" w:color="auto"/>
      </w:divBdr>
    </w:div>
    <w:div w:id="766534453">
      <w:bodyDiv w:val="1"/>
      <w:marLeft w:val="0"/>
      <w:marRight w:val="0"/>
      <w:marTop w:val="0"/>
      <w:marBottom w:val="0"/>
      <w:divBdr>
        <w:top w:val="none" w:sz="0" w:space="0" w:color="auto"/>
        <w:left w:val="none" w:sz="0" w:space="0" w:color="auto"/>
        <w:bottom w:val="none" w:sz="0" w:space="0" w:color="auto"/>
        <w:right w:val="none" w:sz="0" w:space="0" w:color="auto"/>
      </w:divBdr>
    </w:div>
    <w:div w:id="769011653">
      <w:bodyDiv w:val="1"/>
      <w:marLeft w:val="0"/>
      <w:marRight w:val="0"/>
      <w:marTop w:val="0"/>
      <w:marBottom w:val="0"/>
      <w:divBdr>
        <w:top w:val="none" w:sz="0" w:space="0" w:color="auto"/>
        <w:left w:val="none" w:sz="0" w:space="0" w:color="auto"/>
        <w:bottom w:val="none" w:sz="0" w:space="0" w:color="auto"/>
        <w:right w:val="none" w:sz="0" w:space="0" w:color="auto"/>
      </w:divBdr>
    </w:div>
    <w:div w:id="780760507">
      <w:bodyDiv w:val="1"/>
      <w:marLeft w:val="0"/>
      <w:marRight w:val="0"/>
      <w:marTop w:val="0"/>
      <w:marBottom w:val="0"/>
      <w:divBdr>
        <w:top w:val="none" w:sz="0" w:space="0" w:color="auto"/>
        <w:left w:val="none" w:sz="0" w:space="0" w:color="auto"/>
        <w:bottom w:val="none" w:sz="0" w:space="0" w:color="auto"/>
        <w:right w:val="none" w:sz="0" w:space="0" w:color="auto"/>
      </w:divBdr>
    </w:div>
    <w:div w:id="785277262">
      <w:bodyDiv w:val="1"/>
      <w:marLeft w:val="0"/>
      <w:marRight w:val="0"/>
      <w:marTop w:val="0"/>
      <w:marBottom w:val="0"/>
      <w:divBdr>
        <w:top w:val="none" w:sz="0" w:space="0" w:color="auto"/>
        <w:left w:val="none" w:sz="0" w:space="0" w:color="auto"/>
        <w:bottom w:val="none" w:sz="0" w:space="0" w:color="auto"/>
        <w:right w:val="none" w:sz="0" w:space="0" w:color="auto"/>
      </w:divBdr>
    </w:div>
    <w:div w:id="786588152">
      <w:bodyDiv w:val="1"/>
      <w:marLeft w:val="0"/>
      <w:marRight w:val="0"/>
      <w:marTop w:val="0"/>
      <w:marBottom w:val="0"/>
      <w:divBdr>
        <w:top w:val="none" w:sz="0" w:space="0" w:color="auto"/>
        <w:left w:val="none" w:sz="0" w:space="0" w:color="auto"/>
        <w:bottom w:val="none" w:sz="0" w:space="0" w:color="auto"/>
        <w:right w:val="none" w:sz="0" w:space="0" w:color="auto"/>
      </w:divBdr>
    </w:div>
    <w:div w:id="809980806">
      <w:bodyDiv w:val="1"/>
      <w:marLeft w:val="0"/>
      <w:marRight w:val="0"/>
      <w:marTop w:val="0"/>
      <w:marBottom w:val="0"/>
      <w:divBdr>
        <w:top w:val="none" w:sz="0" w:space="0" w:color="auto"/>
        <w:left w:val="none" w:sz="0" w:space="0" w:color="auto"/>
        <w:bottom w:val="none" w:sz="0" w:space="0" w:color="auto"/>
        <w:right w:val="none" w:sz="0" w:space="0" w:color="auto"/>
      </w:divBdr>
    </w:div>
    <w:div w:id="821195909">
      <w:bodyDiv w:val="1"/>
      <w:marLeft w:val="0"/>
      <w:marRight w:val="0"/>
      <w:marTop w:val="0"/>
      <w:marBottom w:val="0"/>
      <w:divBdr>
        <w:top w:val="none" w:sz="0" w:space="0" w:color="auto"/>
        <w:left w:val="none" w:sz="0" w:space="0" w:color="auto"/>
        <w:bottom w:val="none" w:sz="0" w:space="0" w:color="auto"/>
        <w:right w:val="none" w:sz="0" w:space="0" w:color="auto"/>
      </w:divBdr>
    </w:div>
    <w:div w:id="826896055">
      <w:bodyDiv w:val="1"/>
      <w:marLeft w:val="0"/>
      <w:marRight w:val="0"/>
      <w:marTop w:val="0"/>
      <w:marBottom w:val="0"/>
      <w:divBdr>
        <w:top w:val="none" w:sz="0" w:space="0" w:color="auto"/>
        <w:left w:val="none" w:sz="0" w:space="0" w:color="auto"/>
        <w:bottom w:val="none" w:sz="0" w:space="0" w:color="auto"/>
        <w:right w:val="none" w:sz="0" w:space="0" w:color="auto"/>
      </w:divBdr>
    </w:div>
    <w:div w:id="836506572">
      <w:bodyDiv w:val="1"/>
      <w:marLeft w:val="0"/>
      <w:marRight w:val="0"/>
      <w:marTop w:val="0"/>
      <w:marBottom w:val="0"/>
      <w:divBdr>
        <w:top w:val="none" w:sz="0" w:space="0" w:color="auto"/>
        <w:left w:val="none" w:sz="0" w:space="0" w:color="auto"/>
        <w:bottom w:val="none" w:sz="0" w:space="0" w:color="auto"/>
        <w:right w:val="none" w:sz="0" w:space="0" w:color="auto"/>
      </w:divBdr>
    </w:div>
    <w:div w:id="852113592">
      <w:bodyDiv w:val="1"/>
      <w:marLeft w:val="0"/>
      <w:marRight w:val="0"/>
      <w:marTop w:val="0"/>
      <w:marBottom w:val="0"/>
      <w:divBdr>
        <w:top w:val="none" w:sz="0" w:space="0" w:color="auto"/>
        <w:left w:val="none" w:sz="0" w:space="0" w:color="auto"/>
        <w:bottom w:val="none" w:sz="0" w:space="0" w:color="auto"/>
        <w:right w:val="none" w:sz="0" w:space="0" w:color="auto"/>
      </w:divBdr>
    </w:div>
    <w:div w:id="857546523">
      <w:bodyDiv w:val="1"/>
      <w:marLeft w:val="0"/>
      <w:marRight w:val="0"/>
      <w:marTop w:val="0"/>
      <w:marBottom w:val="0"/>
      <w:divBdr>
        <w:top w:val="none" w:sz="0" w:space="0" w:color="auto"/>
        <w:left w:val="none" w:sz="0" w:space="0" w:color="auto"/>
        <w:bottom w:val="none" w:sz="0" w:space="0" w:color="auto"/>
        <w:right w:val="none" w:sz="0" w:space="0" w:color="auto"/>
      </w:divBdr>
    </w:div>
    <w:div w:id="867303788">
      <w:bodyDiv w:val="1"/>
      <w:marLeft w:val="0"/>
      <w:marRight w:val="0"/>
      <w:marTop w:val="0"/>
      <w:marBottom w:val="0"/>
      <w:divBdr>
        <w:top w:val="none" w:sz="0" w:space="0" w:color="auto"/>
        <w:left w:val="none" w:sz="0" w:space="0" w:color="auto"/>
        <w:bottom w:val="none" w:sz="0" w:space="0" w:color="auto"/>
        <w:right w:val="none" w:sz="0" w:space="0" w:color="auto"/>
      </w:divBdr>
    </w:div>
    <w:div w:id="876357445">
      <w:bodyDiv w:val="1"/>
      <w:marLeft w:val="0"/>
      <w:marRight w:val="0"/>
      <w:marTop w:val="0"/>
      <w:marBottom w:val="0"/>
      <w:divBdr>
        <w:top w:val="none" w:sz="0" w:space="0" w:color="auto"/>
        <w:left w:val="none" w:sz="0" w:space="0" w:color="auto"/>
        <w:bottom w:val="none" w:sz="0" w:space="0" w:color="auto"/>
        <w:right w:val="none" w:sz="0" w:space="0" w:color="auto"/>
      </w:divBdr>
    </w:div>
    <w:div w:id="880675479">
      <w:bodyDiv w:val="1"/>
      <w:marLeft w:val="0"/>
      <w:marRight w:val="0"/>
      <w:marTop w:val="0"/>
      <w:marBottom w:val="0"/>
      <w:divBdr>
        <w:top w:val="none" w:sz="0" w:space="0" w:color="auto"/>
        <w:left w:val="none" w:sz="0" w:space="0" w:color="auto"/>
        <w:bottom w:val="none" w:sz="0" w:space="0" w:color="auto"/>
        <w:right w:val="none" w:sz="0" w:space="0" w:color="auto"/>
      </w:divBdr>
    </w:div>
    <w:div w:id="887762980">
      <w:bodyDiv w:val="1"/>
      <w:marLeft w:val="0"/>
      <w:marRight w:val="0"/>
      <w:marTop w:val="0"/>
      <w:marBottom w:val="0"/>
      <w:divBdr>
        <w:top w:val="none" w:sz="0" w:space="0" w:color="auto"/>
        <w:left w:val="none" w:sz="0" w:space="0" w:color="auto"/>
        <w:bottom w:val="none" w:sz="0" w:space="0" w:color="auto"/>
        <w:right w:val="none" w:sz="0" w:space="0" w:color="auto"/>
      </w:divBdr>
    </w:div>
    <w:div w:id="891816662">
      <w:bodyDiv w:val="1"/>
      <w:marLeft w:val="0"/>
      <w:marRight w:val="0"/>
      <w:marTop w:val="0"/>
      <w:marBottom w:val="0"/>
      <w:divBdr>
        <w:top w:val="none" w:sz="0" w:space="0" w:color="auto"/>
        <w:left w:val="none" w:sz="0" w:space="0" w:color="auto"/>
        <w:bottom w:val="none" w:sz="0" w:space="0" w:color="auto"/>
        <w:right w:val="none" w:sz="0" w:space="0" w:color="auto"/>
      </w:divBdr>
    </w:div>
    <w:div w:id="902183911">
      <w:bodyDiv w:val="1"/>
      <w:marLeft w:val="0"/>
      <w:marRight w:val="0"/>
      <w:marTop w:val="0"/>
      <w:marBottom w:val="0"/>
      <w:divBdr>
        <w:top w:val="none" w:sz="0" w:space="0" w:color="auto"/>
        <w:left w:val="none" w:sz="0" w:space="0" w:color="auto"/>
        <w:bottom w:val="none" w:sz="0" w:space="0" w:color="auto"/>
        <w:right w:val="none" w:sz="0" w:space="0" w:color="auto"/>
      </w:divBdr>
    </w:div>
    <w:div w:id="918708729">
      <w:bodyDiv w:val="1"/>
      <w:marLeft w:val="0"/>
      <w:marRight w:val="0"/>
      <w:marTop w:val="0"/>
      <w:marBottom w:val="0"/>
      <w:divBdr>
        <w:top w:val="none" w:sz="0" w:space="0" w:color="auto"/>
        <w:left w:val="none" w:sz="0" w:space="0" w:color="auto"/>
        <w:bottom w:val="none" w:sz="0" w:space="0" w:color="auto"/>
        <w:right w:val="none" w:sz="0" w:space="0" w:color="auto"/>
      </w:divBdr>
    </w:div>
    <w:div w:id="930888823">
      <w:bodyDiv w:val="1"/>
      <w:marLeft w:val="0"/>
      <w:marRight w:val="0"/>
      <w:marTop w:val="0"/>
      <w:marBottom w:val="0"/>
      <w:divBdr>
        <w:top w:val="none" w:sz="0" w:space="0" w:color="auto"/>
        <w:left w:val="none" w:sz="0" w:space="0" w:color="auto"/>
        <w:bottom w:val="none" w:sz="0" w:space="0" w:color="auto"/>
        <w:right w:val="none" w:sz="0" w:space="0" w:color="auto"/>
      </w:divBdr>
    </w:div>
    <w:div w:id="936714803">
      <w:bodyDiv w:val="1"/>
      <w:marLeft w:val="0"/>
      <w:marRight w:val="0"/>
      <w:marTop w:val="0"/>
      <w:marBottom w:val="0"/>
      <w:divBdr>
        <w:top w:val="none" w:sz="0" w:space="0" w:color="auto"/>
        <w:left w:val="none" w:sz="0" w:space="0" w:color="auto"/>
        <w:bottom w:val="none" w:sz="0" w:space="0" w:color="auto"/>
        <w:right w:val="none" w:sz="0" w:space="0" w:color="auto"/>
      </w:divBdr>
    </w:div>
    <w:div w:id="943466374">
      <w:bodyDiv w:val="1"/>
      <w:marLeft w:val="0"/>
      <w:marRight w:val="0"/>
      <w:marTop w:val="0"/>
      <w:marBottom w:val="0"/>
      <w:divBdr>
        <w:top w:val="none" w:sz="0" w:space="0" w:color="auto"/>
        <w:left w:val="none" w:sz="0" w:space="0" w:color="auto"/>
        <w:bottom w:val="none" w:sz="0" w:space="0" w:color="auto"/>
        <w:right w:val="none" w:sz="0" w:space="0" w:color="auto"/>
      </w:divBdr>
    </w:div>
    <w:div w:id="951789919">
      <w:bodyDiv w:val="1"/>
      <w:marLeft w:val="0"/>
      <w:marRight w:val="0"/>
      <w:marTop w:val="0"/>
      <w:marBottom w:val="0"/>
      <w:divBdr>
        <w:top w:val="none" w:sz="0" w:space="0" w:color="auto"/>
        <w:left w:val="none" w:sz="0" w:space="0" w:color="auto"/>
        <w:bottom w:val="none" w:sz="0" w:space="0" w:color="auto"/>
        <w:right w:val="none" w:sz="0" w:space="0" w:color="auto"/>
      </w:divBdr>
    </w:div>
    <w:div w:id="958296113">
      <w:bodyDiv w:val="1"/>
      <w:marLeft w:val="0"/>
      <w:marRight w:val="0"/>
      <w:marTop w:val="0"/>
      <w:marBottom w:val="0"/>
      <w:divBdr>
        <w:top w:val="none" w:sz="0" w:space="0" w:color="auto"/>
        <w:left w:val="none" w:sz="0" w:space="0" w:color="auto"/>
        <w:bottom w:val="none" w:sz="0" w:space="0" w:color="auto"/>
        <w:right w:val="none" w:sz="0" w:space="0" w:color="auto"/>
      </w:divBdr>
    </w:div>
    <w:div w:id="960380472">
      <w:bodyDiv w:val="1"/>
      <w:marLeft w:val="0"/>
      <w:marRight w:val="0"/>
      <w:marTop w:val="0"/>
      <w:marBottom w:val="0"/>
      <w:divBdr>
        <w:top w:val="none" w:sz="0" w:space="0" w:color="auto"/>
        <w:left w:val="none" w:sz="0" w:space="0" w:color="auto"/>
        <w:bottom w:val="none" w:sz="0" w:space="0" w:color="auto"/>
        <w:right w:val="none" w:sz="0" w:space="0" w:color="auto"/>
      </w:divBdr>
    </w:div>
    <w:div w:id="964696508">
      <w:bodyDiv w:val="1"/>
      <w:marLeft w:val="0"/>
      <w:marRight w:val="0"/>
      <w:marTop w:val="0"/>
      <w:marBottom w:val="0"/>
      <w:divBdr>
        <w:top w:val="none" w:sz="0" w:space="0" w:color="auto"/>
        <w:left w:val="none" w:sz="0" w:space="0" w:color="auto"/>
        <w:bottom w:val="none" w:sz="0" w:space="0" w:color="auto"/>
        <w:right w:val="none" w:sz="0" w:space="0" w:color="auto"/>
      </w:divBdr>
    </w:div>
    <w:div w:id="965815085">
      <w:bodyDiv w:val="1"/>
      <w:marLeft w:val="0"/>
      <w:marRight w:val="0"/>
      <w:marTop w:val="0"/>
      <w:marBottom w:val="0"/>
      <w:divBdr>
        <w:top w:val="none" w:sz="0" w:space="0" w:color="auto"/>
        <w:left w:val="none" w:sz="0" w:space="0" w:color="auto"/>
        <w:bottom w:val="none" w:sz="0" w:space="0" w:color="auto"/>
        <w:right w:val="none" w:sz="0" w:space="0" w:color="auto"/>
      </w:divBdr>
    </w:div>
    <w:div w:id="981155862">
      <w:bodyDiv w:val="1"/>
      <w:marLeft w:val="0"/>
      <w:marRight w:val="0"/>
      <w:marTop w:val="0"/>
      <w:marBottom w:val="0"/>
      <w:divBdr>
        <w:top w:val="none" w:sz="0" w:space="0" w:color="auto"/>
        <w:left w:val="none" w:sz="0" w:space="0" w:color="auto"/>
        <w:bottom w:val="none" w:sz="0" w:space="0" w:color="auto"/>
        <w:right w:val="none" w:sz="0" w:space="0" w:color="auto"/>
      </w:divBdr>
    </w:div>
    <w:div w:id="983705297">
      <w:bodyDiv w:val="1"/>
      <w:marLeft w:val="0"/>
      <w:marRight w:val="0"/>
      <w:marTop w:val="0"/>
      <w:marBottom w:val="0"/>
      <w:divBdr>
        <w:top w:val="none" w:sz="0" w:space="0" w:color="auto"/>
        <w:left w:val="none" w:sz="0" w:space="0" w:color="auto"/>
        <w:bottom w:val="none" w:sz="0" w:space="0" w:color="auto"/>
        <w:right w:val="none" w:sz="0" w:space="0" w:color="auto"/>
      </w:divBdr>
    </w:div>
    <w:div w:id="989333291">
      <w:bodyDiv w:val="1"/>
      <w:marLeft w:val="0"/>
      <w:marRight w:val="0"/>
      <w:marTop w:val="0"/>
      <w:marBottom w:val="0"/>
      <w:divBdr>
        <w:top w:val="none" w:sz="0" w:space="0" w:color="auto"/>
        <w:left w:val="none" w:sz="0" w:space="0" w:color="auto"/>
        <w:bottom w:val="none" w:sz="0" w:space="0" w:color="auto"/>
        <w:right w:val="none" w:sz="0" w:space="0" w:color="auto"/>
      </w:divBdr>
    </w:div>
    <w:div w:id="993685711">
      <w:bodyDiv w:val="1"/>
      <w:marLeft w:val="0"/>
      <w:marRight w:val="0"/>
      <w:marTop w:val="0"/>
      <w:marBottom w:val="0"/>
      <w:divBdr>
        <w:top w:val="none" w:sz="0" w:space="0" w:color="auto"/>
        <w:left w:val="none" w:sz="0" w:space="0" w:color="auto"/>
        <w:bottom w:val="none" w:sz="0" w:space="0" w:color="auto"/>
        <w:right w:val="none" w:sz="0" w:space="0" w:color="auto"/>
      </w:divBdr>
    </w:div>
    <w:div w:id="1009672375">
      <w:bodyDiv w:val="1"/>
      <w:marLeft w:val="0"/>
      <w:marRight w:val="0"/>
      <w:marTop w:val="0"/>
      <w:marBottom w:val="0"/>
      <w:divBdr>
        <w:top w:val="none" w:sz="0" w:space="0" w:color="auto"/>
        <w:left w:val="none" w:sz="0" w:space="0" w:color="auto"/>
        <w:bottom w:val="none" w:sz="0" w:space="0" w:color="auto"/>
        <w:right w:val="none" w:sz="0" w:space="0" w:color="auto"/>
      </w:divBdr>
    </w:div>
    <w:div w:id="1014499270">
      <w:bodyDiv w:val="1"/>
      <w:marLeft w:val="0"/>
      <w:marRight w:val="0"/>
      <w:marTop w:val="0"/>
      <w:marBottom w:val="0"/>
      <w:divBdr>
        <w:top w:val="none" w:sz="0" w:space="0" w:color="auto"/>
        <w:left w:val="none" w:sz="0" w:space="0" w:color="auto"/>
        <w:bottom w:val="none" w:sz="0" w:space="0" w:color="auto"/>
        <w:right w:val="none" w:sz="0" w:space="0" w:color="auto"/>
      </w:divBdr>
    </w:div>
    <w:div w:id="1024667525">
      <w:bodyDiv w:val="1"/>
      <w:marLeft w:val="0"/>
      <w:marRight w:val="0"/>
      <w:marTop w:val="0"/>
      <w:marBottom w:val="0"/>
      <w:divBdr>
        <w:top w:val="none" w:sz="0" w:space="0" w:color="auto"/>
        <w:left w:val="none" w:sz="0" w:space="0" w:color="auto"/>
        <w:bottom w:val="none" w:sz="0" w:space="0" w:color="auto"/>
        <w:right w:val="none" w:sz="0" w:space="0" w:color="auto"/>
      </w:divBdr>
    </w:div>
    <w:div w:id="1029992162">
      <w:bodyDiv w:val="1"/>
      <w:marLeft w:val="0"/>
      <w:marRight w:val="0"/>
      <w:marTop w:val="0"/>
      <w:marBottom w:val="0"/>
      <w:divBdr>
        <w:top w:val="none" w:sz="0" w:space="0" w:color="auto"/>
        <w:left w:val="none" w:sz="0" w:space="0" w:color="auto"/>
        <w:bottom w:val="none" w:sz="0" w:space="0" w:color="auto"/>
        <w:right w:val="none" w:sz="0" w:space="0" w:color="auto"/>
      </w:divBdr>
    </w:div>
    <w:div w:id="1032417465">
      <w:bodyDiv w:val="1"/>
      <w:marLeft w:val="0"/>
      <w:marRight w:val="0"/>
      <w:marTop w:val="0"/>
      <w:marBottom w:val="0"/>
      <w:divBdr>
        <w:top w:val="none" w:sz="0" w:space="0" w:color="auto"/>
        <w:left w:val="none" w:sz="0" w:space="0" w:color="auto"/>
        <w:bottom w:val="none" w:sz="0" w:space="0" w:color="auto"/>
        <w:right w:val="none" w:sz="0" w:space="0" w:color="auto"/>
      </w:divBdr>
    </w:div>
    <w:div w:id="1045179637">
      <w:bodyDiv w:val="1"/>
      <w:marLeft w:val="0"/>
      <w:marRight w:val="0"/>
      <w:marTop w:val="0"/>
      <w:marBottom w:val="0"/>
      <w:divBdr>
        <w:top w:val="none" w:sz="0" w:space="0" w:color="auto"/>
        <w:left w:val="none" w:sz="0" w:space="0" w:color="auto"/>
        <w:bottom w:val="none" w:sz="0" w:space="0" w:color="auto"/>
        <w:right w:val="none" w:sz="0" w:space="0" w:color="auto"/>
      </w:divBdr>
    </w:div>
    <w:div w:id="1049763511">
      <w:bodyDiv w:val="1"/>
      <w:marLeft w:val="0"/>
      <w:marRight w:val="0"/>
      <w:marTop w:val="0"/>
      <w:marBottom w:val="0"/>
      <w:divBdr>
        <w:top w:val="none" w:sz="0" w:space="0" w:color="auto"/>
        <w:left w:val="none" w:sz="0" w:space="0" w:color="auto"/>
        <w:bottom w:val="none" w:sz="0" w:space="0" w:color="auto"/>
        <w:right w:val="none" w:sz="0" w:space="0" w:color="auto"/>
      </w:divBdr>
    </w:div>
    <w:div w:id="1051808393">
      <w:bodyDiv w:val="1"/>
      <w:marLeft w:val="0"/>
      <w:marRight w:val="0"/>
      <w:marTop w:val="0"/>
      <w:marBottom w:val="0"/>
      <w:divBdr>
        <w:top w:val="none" w:sz="0" w:space="0" w:color="auto"/>
        <w:left w:val="none" w:sz="0" w:space="0" w:color="auto"/>
        <w:bottom w:val="none" w:sz="0" w:space="0" w:color="auto"/>
        <w:right w:val="none" w:sz="0" w:space="0" w:color="auto"/>
      </w:divBdr>
    </w:div>
    <w:div w:id="1057513657">
      <w:bodyDiv w:val="1"/>
      <w:marLeft w:val="0"/>
      <w:marRight w:val="0"/>
      <w:marTop w:val="0"/>
      <w:marBottom w:val="0"/>
      <w:divBdr>
        <w:top w:val="none" w:sz="0" w:space="0" w:color="auto"/>
        <w:left w:val="none" w:sz="0" w:space="0" w:color="auto"/>
        <w:bottom w:val="none" w:sz="0" w:space="0" w:color="auto"/>
        <w:right w:val="none" w:sz="0" w:space="0" w:color="auto"/>
      </w:divBdr>
    </w:div>
    <w:div w:id="1065033601">
      <w:bodyDiv w:val="1"/>
      <w:marLeft w:val="0"/>
      <w:marRight w:val="0"/>
      <w:marTop w:val="0"/>
      <w:marBottom w:val="0"/>
      <w:divBdr>
        <w:top w:val="none" w:sz="0" w:space="0" w:color="auto"/>
        <w:left w:val="none" w:sz="0" w:space="0" w:color="auto"/>
        <w:bottom w:val="none" w:sz="0" w:space="0" w:color="auto"/>
        <w:right w:val="none" w:sz="0" w:space="0" w:color="auto"/>
      </w:divBdr>
    </w:div>
    <w:div w:id="1076240748">
      <w:bodyDiv w:val="1"/>
      <w:marLeft w:val="0"/>
      <w:marRight w:val="0"/>
      <w:marTop w:val="0"/>
      <w:marBottom w:val="0"/>
      <w:divBdr>
        <w:top w:val="none" w:sz="0" w:space="0" w:color="auto"/>
        <w:left w:val="none" w:sz="0" w:space="0" w:color="auto"/>
        <w:bottom w:val="none" w:sz="0" w:space="0" w:color="auto"/>
        <w:right w:val="none" w:sz="0" w:space="0" w:color="auto"/>
      </w:divBdr>
    </w:div>
    <w:div w:id="1078332695">
      <w:bodyDiv w:val="1"/>
      <w:marLeft w:val="0"/>
      <w:marRight w:val="0"/>
      <w:marTop w:val="0"/>
      <w:marBottom w:val="0"/>
      <w:divBdr>
        <w:top w:val="none" w:sz="0" w:space="0" w:color="auto"/>
        <w:left w:val="none" w:sz="0" w:space="0" w:color="auto"/>
        <w:bottom w:val="none" w:sz="0" w:space="0" w:color="auto"/>
        <w:right w:val="none" w:sz="0" w:space="0" w:color="auto"/>
      </w:divBdr>
    </w:div>
    <w:div w:id="1080715547">
      <w:bodyDiv w:val="1"/>
      <w:marLeft w:val="0"/>
      <w:marRight w:val="0"/>
      <w:marTop w:val="0"/>
      <w:marBottom w:val="0"/>
      <w:divBdr>
        <w:top w:val="none" w:sz="0" w:space="0" w:color="auto"/>
        <w:left w:val="none" w:sz="0" w:space="0" w:color="auto"/>
        <w:bottom w:val="none" w:sz="0" w:space="0" w:color="auto"/>
        <w:right w:val="none" w:sz="0" w:space="0" w:color="auto"/>
      </w:divBdr>
    </w:div>
    <w:div w:id="1090465448">
      <w:bodyDiv w:val="1"/>
      <w:marLeft w:val="0"/>
      <w:marRight w:val="0"/>
      <w:marTop w:val="0"/>
      <w:marBottom w:val="0"/>
      <w:divBdr>
        <w:top w:val="none" w:sz="0" w:space="0" w:color="auto"/>
        <w:left w:val="none" w:sz="0" w:space="0" w:color="auto"/>
        <w:bottom w:val="none" w:sz="0" w:space="0" w:color="auto"/>
        <w:right w:val="none" w:sz="0" w:space="0" w:color="auto"/>
      </w:divBdr>
    </w:div>
    <w:div w:id="1155996850">
      <w:bodyDiv w:val="1"/>
      <w:marLeft w:val="0"/>
      <w:marRight w:val="0"/>
      <w:marTop w:val="0"/>
      <w:marBottom w:val="0"/>
      <w:divBdr>
        <w:top w:val="none" w:sz="0" w:space="0" w:color="auto"/>
        <w:left w:val="none" w:sz="0" w:space="0" w:color="auto"/>
        <w:bottom w:val="none" w:sz="0" w:space="0" w:color="auto"/>
        <w:right w:val="none" w:sz="0" w:space="0" w:color="auto"/>
      </w:divBdr>
    </w:div>
    <w:div w:id="1156724345">
      <w:bodyDiv w:val="1"/>
      <w:marLeft w:val="0"/>
      <w:marRight w:val="0"/>
      <w:marTop w:val="0"/>
      <w:marBottom w:val="0"/>
      <w:divBdr>
        <w:top w:val="none" w:sz="0" w:space="0" w:color="auto"/>
        <w:left w:val="none" w:sz="0" w:space="0" w:color="auto"/>
        <w:bottom w:val="none" w:sz="0" w:space="0" w:color="auto"/>
        <w:right w:val="none" w:sz="0" w:space="0" w:color="auto"/>
      </w:divBdr>
    </w:div>
    <w:div w:id="1167089645">
      <w:bodyDiv w:val="1"/>
      <w:marLeft w:val="0"/>
      <w:marRight w:val="0"/>
      <w:marTop w:val="0"/>
      <w:marBottom w:val="0"/>
      <w:divBdr>
        <w:top w:val="none" w:sz="0" w:space="0" w:color="auto"/>
        <w:left w:val="none" w:sz="0" w:space="0" w:color="auto"/>
        <w:bottom w:val="none" w:sz="0" w:space="0" w:color="auto"/>
        <w:right w:val="none" w:sz="0" w:space="0" w:color="auto"/>
      </w:divBdr>
    </w:div>
    <w:div w:id="1171212207">
      <w:bodyDiv w:val="1"/>
      <w:marLeft w:val="0"/>
      <w:marRight w:val="0"/>
      <w:marTop w:val="0"/>
      <w:marBottom w:val="0"/>
      <w:divBdr>
        <w:top w:val="none" w:sz="0" w:space="0" w:color="auto"/>
        <w:left w:val="none" w:sz="0" w:space="0" w:color="auto"/>
        <w:bottom w:val="none" w:sz="0" w:space="0" w:color="auto"/>
        <w:right w:val="none" w:sz="0" w:space="0" w:color="auto"/>
      </w:divBdr>
    </w:div>
    <w:div w:id="1179272883">
      <w:bodyDiv w:val="1"/>
      <w:marLeft w:val="0"/>
      <w:marRight w:val="0"/>
      <w:marTop w:val="0"/>
      <w:marBottom w:val="0"/>
      <w:divBdr>
        <w:top w:val="none" w:sz="0" w:space="0" w:color="auto"/>
        <w:left w:val="none" w:sz="0" w:space="0" w:color="auto"/>
        <w:bottom w:val="none" w:sz="0" w:space="0" w:color="auto"/>
        <w:right w:val="none" w:sz="0" w:space="0" w:color="auto"/>
      </w:divBdr>
    </w:div>
    <w:div w:id="1184050490">
      <w:bodyDiv w:val="1"/>
      <w:marLeft w:val="0"/>
      <w:marRight w:val="0"/>
      <w:marTop w:val="0"/>
      <w:marBottom w:val="0"/>
      <w:divBdr>
        <w:top w:val="none" w:sz="0" w:space="0" w:color="auto"/>
        <w:left w:val="none" w:sz="0" w:space="0" w:color="auto"/>
        <w:bottom w:val="none" w:sz="0" w:space="0" w:color="auto"/>
        <w:right w:val="none" w:sz="0" w:space="0" w:color="auto"/>
      </w:divBdr>
    </w:div>
    <w:div w:id="1187672790">
      <w:bodyDiv w:val="1"/>
      <w:marLeft w:val="0"/>
      <w:marRight w:val="0"/>
      <w:marTop w:val="0"/>
      <w:marBottom w:val="0"/>
      <w:divBdr>
        <w:top w:val="none" w:sz="0" w:space="0" w:color="auto"/>
        <w:left w:val="none" w:sz="0" w:space="0" w:color="auto"/>
        <w:bottom w:val="none" w:sz="0" w:space="0" w:color="auto"/>
        <w:right w:val="none" w:sz="0" w:space="0" w:color="auto"/>
      </w:divBdr>
    </w:div>
    <w:div w:id="1187719886">
      <w:bodyDiv w:val="1"/>
      <w:marLeft w:val="0"/>
      <w:marRight w:val="0"/>
      <w:marTop w:val="0"/>
      <w:marBottom w:val="0"/>
      <w:divBdr>
        <w:top w:val="none" w:sz="0" w:space="0" w:color="auto"/>
        <w:left w:val="none" w:sz="0" w:space="0" w:color="auto"/>
        <w:bottom w:val="none" w:sz="0" w:space="0" w:color="auto"/>
        <w:right w:val="none" w:sz="0" w:space="0" w:color="auto"/>
      </w:divBdr>
    </w:div>
    <w:div w:id="1200624651">
      <w:bodyDiv w:val="1"/>
      <w:marLeft w:val="0"/>
      <w:marRight w:val="0"/>
      <w:marTop w:val="0"/>
      <w:marBottom w:val="0"/>
      <w:divBdr>
        <w:top w:val="none" w:sz="0" w:space="0" w:color="auto"/>
        <w:left w:val="none" w:sz="0" w:space="0" w:color="auto"/>
        <w:bottom w:val="none" w:sz="0" w:space="0" w:color="auto"/>
        <w:right w:val="none" w:sz="0" w:space="0" w:color="auto"/>
      </w:divBdr>
    </w:div>
    <w:div w:id="1205214077">
      <w:bodyDiv w:val="1"/>
      <w:marLeft w:val="0"/>
      <w:marRight w:val="0"/>
      <w:marTop w:val="0"/>
      <w:marBottom w:val="0"/>
      <w:divBdr>
        <w:top w:val="none" w:sz="0" w:space="0" w:color="auto"/>
        <w:left w:val="none" w:sz="0" w:space="0" w:color="auto"/>
        <w:bottom w:val="none" w:sz="0" w:space="0" w:color="auto"/>
        <w:right w:val="none" w:sz="0" w:space="0" w:color="auto"/>
      </w:divBdr>
    </w:div>
    <w:div w:id="1206066642">
      <w:bodyDiv w:val="1"/>
      <w:marLeft w:val="0"/>
      <w:marRight w:val="0"/>
      <w:marTop w:val="0"/>
      <w:marBottom w:val="0"/>
      <w:divBdr>
        <w:top w:val="none" w:sz="0" w:space="0" w:color="auto"/>
        <w:left w:val="none" w:sz="0" w:space="0" w:color="auto"/>
        <w:bottom w:val="none" w:sz="0" w:space="0" w:color="auto"/>
        <w:right w:val="none" w:sz="0" w:space="0" w:color="auto"/>
      </w:divBdr>
    </w:div>
    <w:div w:id="1210724656">
      <w:bodyDiv w:val="1"/>
      <w:marLeft w:val="0"/>
      <w:marRight w:val="0"/>
      <w:marTop w:val="0"/>
      <w:marBottom w:val="0"/>
      <w:divBdr>
        <w:top w:val="none" w:sz="0" w:space="0" w:color="auto"/>
        <w:left w:val="none" w:sz="0" w:space="0" w:color="auto"/>
        <w:bottom w:val="none" w:sz="0" w:space="0" w:color="auto"/>
        <w:right w:val="none" w:sz="0" w:space="0" w:color="auto"/>
      </w:divBdr>
    </w:div>
    <w:div w:id="1212811623">
      <w:bodyDiv w:val="1"/>
      <w:marLeft w:val="0"/>
      <w:marRight w:val="0"/>
      <w:marTop w:val="0"/>
      <w:marBottom w:val="0"/>
      <w:divBdr>
        <w:top w:val="none" w:sz="0" w:space="0" w:color="auto"/>
        <w:left w:val="none" w:sz="0" w:space="0" w:color="auto"/>
        <w:bottom w:val="none" w:sz="0" w:space="0" w:color="auto"/>
        <w:right w:val="none" w:sz="0" w:space="0" w:color="auto"/>
      </w:divBdr>
    </w:div>
    <w:div w:id="1220285816">
      <w:bodyDiv w:val="1"/>
      <w:marLeft w:val="0"/>
      <w:marRight w:val="0"/>
      <w:marTop w:val="0"/>
      <w:marBottom w:val="0"/>
      <w:divBdr>
        <w:top w:val="none" w:sz="0" w:space="0" w:color="auto"/>
        <w:left w:val="none" w:sz="0" w:space="0" w:color="auto"/>
        <w:bottom w:val="none" w:sz="0" w:space="0" w:color="auto"/>
        <w:right w:val="none" w:sz="0" w:space="0" w:color="auto"/>
      </w:divBdr>
    </w:div>
    <w:div w:id="1221943875">
      <w:bodyDiv w:val="1"/>
      <w:marLeft w:val="0"/>
      <w:marRight w:val="0"/>
      <w:marTop w:val="0"/>
      <w:marBottom w:val="0"/>
      <w:divBdr>
        <w:top w:val="none" w:sz="0" w:space="0" w:color="auto"/>
        <w:left w:val="none" w:sz="0" w:space="0" w:color="auto"/>
        <w:bottom w:val="none" w:sz="0" w:space="0" w:color="auto"/>
        <w:right w:val="none" w:sz="0" w:space="0" w:color="auto"/>
      </w:divBdr>
    </w:div>
    <w:div w:id="1225797592">
      <w:bodyDiv w:val="1"/>
      <w:marLeft w:val="0"/>
      <w:marRight w:val="0"/>
      <w:marTop w:val="0"/>
      <w:marBottom w:val="0"/>
      <w:divBdr>
        <w:top w:val="none" w:sz="0" w:space="0" w:color="auto"/>
        <w:left w:val="none" w:sz="0" w:space="0" w:color="auto"/>
        <w:bottom w:val="none" w:sz="0" w:space="0" w:color="auto"/>
        <w:right w:val="none" w:sz="0" w:space="0" w:color="auto"/>
      </w:divBdr>
    </w:div>
    <w:div w:id="1230993429">
      <w:bodyDiv w:val="1"/>
      <w:marLeft w:val="0"/>
      <w:marRight w:val="0"/>
      <w:marTop w:val="0"/>
      <w:marBottom w:val="0"/>
      <w:divBdr>
        <w:top w:val="none" w:sz="0" w:space="0" w:color="auto"/>
        <w:left w:val="none" w:sz="0" w:space="0" w:color="auto"/>
        <w:bottom w:val="none" w:sz="0" w:space="0" w:color="auto"/>
        <w:right w:val="none" w:sz="0" w:space="0" w:color="auto"/>
      </w:divBdr>
    </w:div>
    <w:div w:id="1232235338">
      <w:bodyDiv w:val="1"/>
      <w:marLeft w:val="0"/>
      <w:marRight w:val="0"/>
      <w:marTop w:val="0"/>
      <w:marBottom w:val="0"/>
      <w:divBdr>
        <w:top w:val="none" w:sz="0" w:space="0" w:color="auto"/>
        <w:left w:val="none" w:sz="0" w:space="0" w:color="auto"/>
        <w:bottom w:val="none" w:sz="0" w:space="0" w:color="auto"/>
        <w:right w:val="none" w:sz="0" w:space="0" w:color="auto"/>
      </w:divBdr>
    </w:div>
    <w:div w:id="1234506407">
      <w:bodyDiv w:val="1"/>
      <w:marLeft w:val="0"/>
      <w:marRight w:val="0"/>
      <w:marTop w:val="0"/>
      <w:marBottom w:val="0"/>
      <w:divBdr>
        <w:top w:val="none" w:sz="0" w:space="0" w:color="auto"/>
        <w:left w:val="none" w:sz="0" w:space="0" w:color="auto"/>
        <w:bottom w:val="none" w:sz="0" w:space="0" w:color="auto"/>
        <w:right w:val="none" w:sz="0" w:space="0" w:color="auto"/>
      </w:divBdr>
    </w:div>
    <w:div w:id="1245721354">
      <w:bodyDiv w:val="1"/>
      <w:marLeft w:val="0"/>
      <w:marRight w:val="0"/>
      <w:marTop w:val="0"/>
      <w:marBottom w:val="0"/>
      <w:divBdr>
        <w:top w:val="none" w:sz="0" w:space="0" w:color="auto"/>
        <w:left w:val="none" w:sz="0" w:space="0" w:color="auto"/>
        <w:bottom w:val="none" w:sz="0" w:space="0" w:color="auto"/>
        <w:right w:val="none" w:sz="0" w:space="0" w:color="auto"/>
      </w:divBdr>
    </w:div>
    <w:div w:id="1256014465">
      <w:bodyDiv w:val="1"/>
      <w:marLeft w:val="0"/>
      <w:marRight w:val="0"/>
      <w:marTop w:val="0"/>
      <w:marBottom w:val="0"/>
      <w:divBdr>
        <w:top w:val="none" w:sz="0" w:space="0" w:color="auto"/>
        <w:left w:val="none" w:sz="0" w:space="0" w:color="auto"/>
        <w:bottom w:val="none" w:sz="0" w:space="0" w:color="auto"/>
        <w:right w:val="none" w:sz="0" w:space="0" w:color="auto"/>
      </w:divBdr>
    </w:div>
    <w:div w:id="1287157583">
      <w:bodyDiv w:val="1"/>
      <w:marLeft w:val="0"/>
      <w:marRight w:val="0"/>
      <w:marTop w:val="0"/>
      <w:marBottom w:val="0"/>
      <w:divBdr>
        <w:top w:val="none" w:sz="0" w:space="0" w:color="auto"/>
        <w:left w:val="none" w:sz="0" w:space="0" w:color="auto"/>
        <w:bottom w:val="none" w:sz="0" w:space="0" w:color="auto"/>
        <w:right w:val="none" w:sz="0" w:space="0" w:color="auto"/>
      </w:divBdr>
    </w:div>
    <w:div w:id="1302148500">
      <w:bodyDiv w:val="1"/>
      <w:marLeft w:val="0"/>
      <w:marRight w:val="0"/>
      <w:marTop w:val="0"/>
      <w:marBottom w:val="0"/>
      <w:divBdr>
        <w:top w:val="none" w:sz="0" w:space="0" w:color="auto"/>
        <w:left w:val="none" w:sz="0" w:space="0" w:color="auto"/>
        <w:bottom w:val="none" w:sz="0" w:space="0" w:color="auto"/>
        <w:right w:val="none" w:sz="0" w:space="0" w:color="auto"/>
      </w:divBdr>
    </w:div>
    <w:div w:id="1325083775">
      <w:bodyDiv w:val="1"/>
      <w:marLeft w:val="0"/>
      <w:marRight w:val="0"/>
      <w:marTop w:val="0"/>
      <w:marBottom w:val="0"/>
      <w:divBdr>
        <w:top w:val="none" w:sz="0" w:space="0" w:color="auto"/>
        <w:left w:val="none" w:sz="0" w:space="0" w:color="auto"/>
        <w:bottom w:val="none" w:sz="0" w:space="0" w:color="auto"/>
        <w:right w:val="none" w:sz="0" w:space="0" w:color="auto"/>
      </w:divBdr>
    </w:div>
    <w:div w:id="1330408489">
      <w:bodyDiv w:val="1"/>
      <w:marLeft w:val="0"/>
      <w:marRight w:val="0"/>
      <w:marTop w:val="0"/>
      <w:marBottom w:val="0"/>
      <w:divBdr>
        <w:top w:val="none" w:sz="0" w:space="0" w:color="auto"/>
        <w:left w:val="none" w:sz="0" w:space="0" w:color="auto"/>
        <w:bottom w:val="none" w:sz="0" w:space="0" w:color="auto"/>
        <w:right w:val="none" w:sz="0" w:space="0" w:color="auto"/>
      </w:divBdr>
    </w:div>
    <w:div w:id="1331106291">
      <w:bodyDiv w:val="1"/>
      <w:marLeft w:val="0"/>
      <w:marRight w:val="0"/>
      <w:marTop w:val="0"/>
      <w:marBottom w:val="0"/>
      <w:divBdr>
        <w:top w:val="none" w:sz="0" w:space="0" w:color="auto"/>
        <w:left w:val="none" w:sz="0" w:space="0" w:color="auto"/>
        <w:bottom w:val="none" w:sz="0" w:space="0" w:color="auto"/>
        <w:right w:val="none" w:sz="0" w:space="0" w:color="auto"/>
      </w:divBdr>
    </w:div>
    <w:div w:id="1341737985">
      <w:bodyDiv w:val="1"/>
      <w:marLeft w:val="0"/>
      <w:marRight w:val="0"/>
      <w:marTop w:val="0"/>
      <w:marBottom w:val="0"/>
      <w:divBdr>
        <w:top w:val="none" w:sz="0" w:space="0" w:color="auto"/>
        <w:left w:val="none" w:sz="0" w:space="0" w:color="auto"/>
        <w:bottom w:val="none" w:sz="0" w:space="0" w:color="auto"/>
        <w:right w:val="none" w:sz="0" w:space="0" w:color="auto"/>
      </w:divBdr>
    </w:div>
    <w:div w:id="1347245673">
      <w:bodyDiv w:val="1"/>
      <w:marLeft w:val="0"/>
      <w:marRight w:val="0"/>
      <w:marTop w:val="0"/>
      <w:marBottom w:val="0"/>
      <w:divBdr>
        <w:top w:val="none" w:sz="0" w:space="0" w:color="auto"/>
        <w:left w:val="none" w:sz="0" w:space="0" w:color="auto"/>
        <w:bottom w:val="none" w:sz="0" w:space="0" w:color="auto"/>
        <w:right w:val="none" w:sz="0" w:space="0" w:color="auto"/>
      </w:divBdr>
    </w:div>
    <w:div w:id="1351297588">
      <w:bodyDiv w:val="1"/>
      <w:marLeft w:val="0"/>
      <w:marRight w:val="0"/>
      <w:marTop w:val="0"/>
      <w:marBottom w:val="0"/>
      <w:divBdr>
        <w:top w:val="none" w:sz="0" w:space="0" w:color="auto"/>
        <w:left w:val="none" w:sz="0" w:space="0" w:color="auto"/>
        <w:bottom w:val="none" w:sz="0" w:space="0" w:color="auto"/>
        <w:right w:val="none" w:sz="0" w:space="0" w:color="auto"/>
      </w:divBdr>
    </w:div>
    <w:div w:id="1363214841">
      <w:bodyDiv w:val="1"/>
      <w:marLeft w:val="0"/>
      <w:marRight w:val="0"/>
      <w:marTop w:val="0"/>
      <w:marBottom w:val="0"/>
      <w:divBdr>
        <w:top w:val="none" w:sz="0" w:space="0" w:color="auto"/>
        <w:left w:val="none" w:sz="0" w:space="0" w:color="auto"/>
        <w:bottom w:val="none" w:sz="0" w:space="0" w:color="auto"/>
        <w:right w:val="none" w:sz="0" w:space="0" w:color="auto"/>
      </w:divBdr>
    </w:div>
    <w:div w:id="1372456034">
      <w:bodyDiv w:val="1"/>
      <w:marLeft w:val="0"/>
      <w:marRight w:val="0"/>
      <w:marTop w:val="0"/>
      <w:marBottom w:val="0"/>
      <w:divBdr>
        <w:top w:val="none" w:sz="0" w:space="0" w:color="auto"/>
        <w:left w:val="none" w:sz="0" w:space="0" w:color="auto"/>
        <w:bottom w:val="none" w:sz="0" w:space="0" w:color="auto"/>
        <w:right w:val="none" w:sz="0" w:space="0" w:color="auto"/>
      </w:divBdr>
    </w:div>
    <w:div w:id="1372997174">
      <w:bodyDiv w:val="1"/>
      <w:marLeft w:val="0"/>
      <w:marRight w:val="0"/>
      <w:marTop w:val="0"/>
      <w:marBottom w:val="0"/>
      <w:divBdr>
        <w:top w:val="none" w:sz="0" w:space="0" w:color="auto"/>
        <w:left w:val="none" w:sz="0" w:space="0" w:color="auto"/>
        <w:bottom w:val="none" w:sz="0" w:space="0" w:color="auto"/>
        <w:right w:val="none" w:sz="0" w:space="0" w:color="auto"/>
      </w:divBdr>
    </w:div>
    <w:div w:id="1397777968">
      <w:bodyDiv w:val="1"/>
      <w:marLeft w:val="0"/>
      <w:marRight w:val="0"/>
      <w:marTop w:val="0"/>
      <w:marBottom w:val="0"/>
      <w:divBdr>
        <w:top w:val="none" w:sz="0" w:space="0" w:color="auto"/>
        <w:left w:val="none" w:sz="0" w:space="0" w:color="auto"/>
        <w:bottom w:val="none" w:sz="0" w:space="0" w:color="auto"/>
        <w:right w:val="none" w:sz="0" w:space="0" w:color="auto"/>
      </w:divBdr>
    </w:div>
    <w:div w:id="1398624325">
      <w:bodyDiv w:val="1"/>
      <w:marLeft w:val="0"/>
      <w:marRight w:val="0"/>
      <w:marTop w:val="0"/>
      <w:marBottom w:val="0"/>
      <w:divBdr>
        <w:top w:val="none" w:sz="0" w:space="0" w:color="auto"/>
        <w:left w:val="none" w:sz="0" w:space="0" w:color="auto"/>
        <w:bottom w:val="none" w:sz="0" w:space="0" w:color="auto"/>
        <w:right w:val="none" w:sz="0" w:space="0" w:color="auto"/>
      </w:divBdr>
    </w:div>
    <w:div w:id="1407799081">
      <w:bodyDiv w:val="1"/>
      <w:marLeft w:val="0"/>
      <w:marRight w:val="0"/>
      <w:marTop w:val="0"/>
      <w:marBottom w:val="0"/>
      <w:divBdr>
        <w:top w:val="none" w:sz="0" w:space="0" w:color="auto"/>
        <w:left w:val="none" w:sz="0" w:space="0" w:color="auto"/>
        <w:bottom w:val="none" w:sz="0" w:space="0" w:color="auto"/>
        <w:right w:val="none" w:sz="0" w:space="0" w:color="auto"/>
      </w:divBdr>
    </w:div>
    <w:div w:id="1416517726">
      <w:bodyDiv w:val="1"/>
      <w:marLeft w:val="0"/>
      <w:marRight w:val="0"/>
      <w:marTop w:val="0"/>
      <w:marBottom w:val="0"/>
      <w:divBdr>
        <w:top w:val="none" w:sz="0" w:space="0" w:color="auto"/>
        <w:left w:val="none" w:sz="0" w:space="0" w:color="auto"/>
        <w:bottom w:val="none" w:sz="0" w:space="0" w:color="auto"/>
        <w:right w:val="none" w:sz="0" w:space="0" w:color="auto"/>
      </w:divBdr>
    </w:div>
    <w:div w:id="1418020994">
      <w:bodyDiv w:val="1"/>
      <w:marLeft w:val="0"/>
      <w:marRight w:val="0"/>
      <w:marTop w:val="0"/>
      <w:marBottom w:val="0"/>
      <w:divBdr>
        <w:top w:val="none" w:sz="0" w:space="0" w:color="auto"/>
        <w:left w:val="none" w:sz="0" w:space="0" w:color="auto"/>
        <w:bottom w:val="none" w:sz="0" w:space="0" w:color="auto"/>
        <w:right w:val="none" w:sz="0" w:space="0" w:color="auto"/>
      </w:divBdr>
    </w:div>
    <w:div w:id="1428958961">
      <w:bodyDiv w:val="1"/>
      <w:marLeft w:val="0"/>
      <w:marRight w:val="0"/>
      <w:marTop w:val="0"/>
      <w:marBottom w:val="0"/>
      <w:divBdr>
        <w:top w:val="none" w:sz="0" w:space="0" w:color="auto"/>
        <w:left w:val="none" w:sz="0" w:space="0" w:color="auto"/>
        <w:bottom w:val="none" w:sz="0" w:space="0" w:color="auto"/>
        <w:right w:val="none" w:sz="0" w:space="0" w:color="auto"/>
      </w:divBdr>
    </w:div>
    <w:div w:id="1430353575">
      <w:bodyDiv w:val="1"/>
      <w:marLeft w:val="0"/>
      <w:marRight w:val="0"/>
      <w:marTop w:val="0"/>
      <w:marBottom w:val="0"/>
      <w:divBdr>
        <w:top w:val="none" w:sz="0" w:space="0" w:color="auto"/>
        <w:left w:val="none" w:sz="0" w:space="0" w:color="auto"/>
        <w:bottom w:val="none" w:sz="0" w:space="0" w:color="auto"/>
        <w:right w:val="none" w:sz="0" w:space="0" w:color="auto"/>
      </w:divBdr>
    </w:div>
    <w:div w:id="1452819670">
      <w:bodyDiv w:val="1"/>
      <w:marLeft w:val="0"/>
      <w:marRight w:val="0"/>
      <w:marTop w:val="0"/>
      <w:marBottom w:val="0"/>
      <w:divBdr>
        <w:top w:val="none" w:sz="0" w:space="0" w:color="auto"/>
        <w:left w:val="none" w:sz="0" w:space="0" w:color="auto"/>
        <w:bottom w:val="none" w:sz="0" w:space="0" w:color="auto"/>
        <w:right w:val="none" w:sz="0" w:space="0" w:color="auto"/>
      </w:divBdr>
    </w:div>
    <w:div w:id="1462503787">
      <w:bodyDiv w:val="1"/>
      <w:marLeft w:val="0"/>
      <w:marRight w:val="0"/>
      <w:marTop w:val="0"/>
      <w:marBottom w:val="0"/>
      <w:divBdr>
        <w:top w:val="none" w:sz="0" w:space="0" w:color="auto"/>
        <w:left w:val="none" w:sz="0" w:space="0" w:color="auto"/>
        <w:bottom w:val="none" w:sz="0" w:space="0" w:color="auto"/>
        <w:right w:val="none" w:sz="0" w:space="0" w:color="auto"/>
      </w:divBdr>
    </w:div>
    <w:div w:id="1466463648">
      <w:bodyDiv w:val="1"/>
      <w:marLeft w:val="0"/>
      <w:marRight w:val="0"/>
      <w:marTop w:val="0"/>
      <w:marBottom w:val="0"/>
      <w:divBdr>
        <w:top w:val="none" w:sz="0" w:space="0" w:color="auto"/>
        <w:left w:val="none" w:sz="0" w:space="0" w:color="auto"/>
        <w:bottom w:val="none" w:sz="0" w:space="0" w:color="auto"/>
        <w:right w:val="none" w:sz="0" w:space="0" w:color="auto"/>
      </w:divBdr>
    </w:div>
    <w:div w:id="1495990430">
      <w:bodyDiv w:val="1"/>
      <w:marLeft w:val="0"/>
      <w:marRight w:val="0"/>
      <w:marTop w:val="0"/>
      <w:marBottom w:val="0"/>
      <w:divBdr>
        <w:top w:val="none" w:sz="0" w:space="0" w:color="auto"/>
        <w:left w:val="none" w:sz="0" w:space="0" w:color="auto"/>
        <w:bottom w:val="none" w:sz="0" w:space="0" w:color="auto"/>
        <w:right w:val="none" w:sz="0" w:space="0" w:color="auto"/>
      </w:divBdr>
    </w:div>
    <w:div w:id="1531988257">
      <w:bodyDiv w:val="1"/>
      <w:marLeft w:val="0"/>
      <w:marRight w:val="0"/>
      <w:marTop w:val="0"/>
      <w:marBottom w:val="0"/>
      <w:divBdr>
        <w:top w:val="none" w:sz="0" w:space="0" w:color="auto"/>
        <w:left w:val="none" w:sz="0" w:space="0" w:color="auto"/>
        <w:bottom w:val="none" w:sz="0" w:space="0" w:color="auto"/>
        <w:right w:val="none" w:sz="0" w:space="0" w:color="auto"/>
      </w:divBdr>
    </w:div>
    <w:div w:id="1548908491">
      <w:bodyDiv w:val="1"/>
      <w:marLeft w:val="0"/>
      <w:marRight w:val="0"/>
      <w:marTop w:val="0"/>
      <w:marBottom w:val="0"/>
      <w:divBdr>
        <w:top w:val="none" w:sz="0" w:space="0" w:color="auto"/>
        <w:left w:val="none" w:sz="0" w:space="0" w:color="auto"/>
        <w:bottom w:val="none" w:sz="0" w:space="0" w:color="auto"/>
        <w:right w:val="none" w:sz="0" w:space="0" w:color="auto"/>
      </w:divBdr>
    </w:div>
    <w:div w:id="1553686101">
      <w:bodyDiv w:val="1"/>
      <w:marLeft w:val="0"/>
      <w:marRight w:val="0"/>
      <w:marTop w:val="0"/>
      <w:marBottom w:val="0"/>
      <w:divBdr>
        <w:top w:val="none" w:sz="0" w:space="0" w:color="auto"/>
        <w:left w:val="none" w:sz="0" w:space="0" w:color="auto"/>
        <w:bottom w:val="none" w:sz="0" w:space="0" w:color="auto"/>
        <w:right w:val="none" w:sz="0" w:space="0" w:color="auto"/>
      </w:divBdr>
    </w:div>
    <w:div w:id="1554660436">
      <w:bodyDiv w:val="1"/>
      <w:marLeft w:val="0"/>
      <w:marRight w:val="0"/>
      <w:marTop w:val="0"/>
      <w:marBottom w:val="0"/>
      <w:divBdr>
        <w:top w:val="none" w:sz="0" w:space="0" w:color="auto"/>
        <w:left w:val="none" w:sz="0" w:space="0" w:color="auto"/>
        <w:bottom w:val="none" w:sz="0" w:space="0" w:color="auto"/>
        <w:right w:val="none" w:sz="0" w:space="0" w:color="auto"/>
      </w:divBdr>
    </w:div>
    <w:div w:id="1558786338">
      <w:bodyDiv w:val="1"/>
      <w:marLeft w:val="0"/>
      <w:marRight w:val="0"/>
      <w:marTop w:val="0"/>
      <w:marBottom w:val="0"/>
      <w:divBdr>
        <w:top w:val="none" w:sz="0" w:space="0" w:color="auto"/>
        <w:left w:val="none" w:sz="0" w:space="0" w:color="auto"/>
        <w:bottom w:val="none" w:sz="0" w:space="0" w:color="auto"/>
        <w:right w:val="none" w:sz="0" w:space="0" w:color="auto"/>
      </w:divBdr>
    </w:div>
    <w:div w:id="1567299749">
      <w:bodyDiv w:val="1"/>
      <w:marLeft w:val="0"/>
      <w:marRight w:val="0"/>
      <w:marTop w:val="0"/>
      <w:marBottom w:val="0"/>
      <w:divBdr>
        <w:top w:val="none" w:sz="0" w:space="0" w:color="auto"/>
        <w:left w:val="none" w:sz="0" w:space="0" w:color="auto"/>
        <w:bottom w:val="none" w:sz="0" w:space="0" w:color="auto"/>
        <w:right w:val="none" w:sz="0" w:space="0" w:color="auto"/>
      </w:divBdr>
    </w:div>
    <w:div w:id="1568152292">
      <w:bodyDiv w:val="1"/>
      <w:marLeft w:val="0"/>
      <w:marRight w:val="0"/>
      <w:marTop w:val="0"/>
      <w:marBottom w:val="0"/>
      <w:divBdr>
        <w:top w:val="none" w:sz="0" w:space="0" w:color="auto"/>
        <w:left w:val="none" w:sz="0" w:space="0" w:color="auto"/>
        <w:bottom w:val="none" w:sz="0" w:space="0" w:color="auto"/>
        <w:right w:val="none" w:sz="0" w:space="0" w:color="auto"/>
      </w:divBdr>
    </w:div>
    <w:div w:id="1581333936">
      <w:bodyDiv w:val="1"/>
      <w:marLeft w:val="0"/>
      <w:marRight w:val="0"/>
      <w:marTop w:val="0"/>
      <w:marBottom w:val="0"/>
      <w:divBdr>
        <w:top w:val="none" w:sz="0" w:space="0" w:color="auto"/>
        <w:left w:val="none" w:sz="0" w:space="0" w:color="auto"/>
        <w:bottom w:val="none" w:sz="0" w:space="0" w:color="auto"/>
        <w:right w:val="none" w:sz="0" w:space="0" w:color="auto"/>
      </w:divBdr>
    </w:div>
    <w:div w:id="1612319305">
      <w:bodyDiv w:val="1"/>
      <w:marLeft w:val="0"/>
      <w:marRight w:val="0"/>
      <w:marTop w:val="0"/>
      <w:marBottom w:val="0"/>
      <w:divBdr>
        <w:top w:val="none" w:sz="0" w:space="0" w:color="auto"/>
        <w:left w:val="none" w:sz="0" w:space="0" w:color="auto"/>
        <w:bottom w:val="none" w:sz="0" w:space="0" w:color="auto"/>
        <w:right w:val="none" w:sz="0" w:space="0" w:color="auto"/>
      </w:divBdr>
    </w:div>
    <w:div w:id="1612475775">
      <w:bodyDiv w:val="1"/>
      <w:marLeft w:val="0"/>
      <w:marRight w:val="0"/>
      <w:marTop w:val="0"/>
      <w:marBottom w:val="0"/>
      <w:divBdr>
        <w:top w:val="none" w:sz="0" w:space="0" w:color="auto"/>
        <w:left w:val="none" w:sz="0" w:space="0" w:color="auto"/>
        <w:bottom w:val="none" w:sz="0" w:space="0" w:color="auto"/>
        <w:right w:val="none" w:sz="0" w:space="0" w:color="auto"/>
      </w:divBdr>
    </w:div>
    <w:div w:id="1613316110">
      <w:bodyDiv w:val="1"/>
      <w:marLeft w:val="0"/>
      <w:marRight w:val="0"/>
      <w:marTop w:val="0"/>
      <w:marBottom w:val="0"/>
      <w:divBdr>
        <w:top w:val="none" w:sz="0" w:space="0" w:color="auto"/>
        <w:left w:val="none" w:sz="0" w:space="0" w:color="auto"/>
        <w:bottom w:val="none" w:sz="0" w:space="0" w:color="auto"/>
        <w:right w:val="none" w:sz="0" w:space="0" w:color="auto"/>
      </w:divBdr>
    </w:div>
    <w:div w:id="1618296973">
      <w:bodyDiv w:val="1"/>
      <w:marLeft w:val="0"/>
      <w:marRight w:val="0"/>
      <w:marTop w:val="0"/>
      <w:marBottom w:val="0"/>
      <w:divBdr>
        <w:top w:val="none" w:sz="0" w:space="0" w:color="auto"/>
        <w:left w:val="none" w:sz="0" w:space="0" w:color="auto"/>
        <w:bottom w:val="none" w:sz="0" w:space="0" w:color="auto"/>
        <w:right w:val="none" w:sz="0" w:space="0" w:color="auto"/>
      </w:divBdr>
    </w:div>
    <w:div w:id="1635286186">
      <w:bodyDiv w:val="1"/>
      <w:marLeft w:val="0"/>
      <w:marRight w:val="0"/>
      <w:marTop w:val="0"/>
      <w:marBottom w:val="0"/>
      <w:divBdr>
        <w:top w:val="none" w:sz="0" w:space="0" w:color="auto"/>
        <w:left w:val="none" w:sz="0" w:space="0" w:color="auto"/>
        <w:bottom w:val="none" w:sz="0" w:space="0" w:color="auto"/>
        <w:right w:val="none" w:sz="0" w:space="0" w:color="auto"/>
      </w:divBdr>
    </w:div>
    <w:div w:id="1646931601">
      <w:bodyDiv w:val="1"/>
      <w:marLeft w:val="0"/>
      <w:marRight w:val="0"/>
      <w:marTop w:val="0"/>
      <w:marBottom w:val="0"/>
      <w:divBdr>
        <w:top w:val="none" w:sz="0" w:space="0" w:color="auto"/>
        <w:left w:val="none" w:sz="0" w:space="0" w:color="auto"/>
        <w:bottom w:val="none" w:sz="0" w:space="0" w:color="auto"/>
        <w:right w:val="none" w:sz="0" w:space="0" w:color="auto"/>
      </w:divBdr>
    </w:div>
    <w:div w:id="1654481271">
      <w:bodyDiv w:val="1"/>
      <w:marLeft w:val="0"/>
      <w:marRight w:val="0"/>
      <w:marTop w:val="0"/>
      <w:marBottom w:val="0"/>
      <w:divBdr>
        <w:top w:val="none" w:sz="0" w:space="0" w:color="auto"/>
        <w:left w:val="none" w:sz="0" w:space="0" w:color="auto"/>
        <w:bottom w:val="none" w:sz="0" w:space="0" w:color="auto"/>
        <w:right w:val="none" w:sz="0" w:space="0" w:color="auto"/>
      </w:divBdr>
    </w:div>
    <w:div w:id="1654673700">
      <w:bodyDiv w:val="1"/>
      <w:marLeft w:val="0"/>
      <w:marRight w:val="0"/>
      <w:marTop w:val="0"/>
      <w:marBottom w:val="0"/>
      <w:divBdr>
        <w:top w:val="none" w:sz="0" w:space="0" w:color="auto"/>
        <w:left w:val="none" w:sz="0" w:space="0" w:color="auto"/>
        <w:bottom w:val="none" w:sz="0" w:space="0" w:color="auto"/>
        <w:right w:val="none" w:sz="0" w:space="0" w:color="auto"/>
      </w:divBdr>
    </w:div>
    <w:div w:id="1656759623">
      <w:bodyDiv w:val="1"/>
      <w:marLeft w:val="0"/>
      <w:marRight w:val="0"/>
      <w:marTop w:val="0"/>
      <w:marBottom w:val="0"/>
      <w:divBdr>
        <w:top w:val="none" w:sz="0" w:space="0" w:color="auto"/>
        <w:left w:val="none" w:sz="0" w:space="0" w:color="auto"/>
        <w:bottom w:val="none" w:sz="0" w:space="0" w:color="auto"/>
        <w:right w:val="none" w:sz="0" w:space="0" w:color="auto"/>
      </w:divBdr>
    </w:div>
    <w:div w:id="1657102446">
      <w:bodyDiv w:val="1"/>
      <w:marLeft w:val="0"/>
      <w:marRight w:val="0"/>
      <w:marTop w:val="0"/>
      <w:marBottom w:val="0"/>
      <w:divBdr>
        <w:top w:val="none" w:sz="0" w:space="0" w:color="auto"/>
        <w:left w:val="none" w:sz="0" w:space="0" w:color="auto"/>
        <w:bottom w:val="none" w:sz="0" w:space="0" w:color="auto"/>
        <w:right w:val="none" w:sz="0" w:space="0" w:color="auto"/>
      </w:divBdr>
    </w:div>
    <w:div w:id="1665473369">
      <w:bodyDiv w:val="1"/>
      <w:marLeft w:val="0"/>
      <w:marRight w:val="0"/>
      <w:marTop w:val="0"/>
      <w:marBottom w:val="0"/>
      <w:divBdr>
        <w:top w:val="none" w:sz="0" w:space="0" w:color="auto"/>
        <w:left w:val="none" w:sz="0" w:space="0" w:color="auto"/>
        <w:bottom w:val="none" w:sz="0" w:space="0" w:color="auto"/>
        <w:right w:val="none" w:sz="0" w:space="0" w:color="auto"/>
      </w:divBdr>
    </w:div>
    <w:div w:id="1665737487">
      <w:bodyDiv w:val="1"/>
      <w:marLeft w:val="0"/>
      <w:marRight w:val="0"/>
      <w:marTop w:val="0"/>
      <w:marBottom w:val="0"/>
      <w:divBdr>
        <w:top w:val="none" w:sz="0" w:space="0" w:color="auto"/>
        <w:left w:val="none" w:sz="0" w:space="0" w:color="auto"/>
        <w:bottom w:val="none" w:sz="0" w:space="0" w:color="auto"/>
        <w:right w:val="none" w:sz="0" w:space="0" w:color="auto"/>
      </w:divBdr>
    </w:div>
    <w:div w:id="1673025365">
      <w:bodyDiv w:val="1"/>
      <w:marLeft w:val="0"/>
      <w:marRight w:val="0"/>
      <w:marTop w:val="0"/>
      <w:marBottom w:val="0"/>
      <w:divBdr>
        <w:top w:val="none" w:sz="0" w:space="0" w:color="auto"/>
        <w:left w:val="none" w:sz="0" w:space="0" w:color="auto"/>
        <w:bottom w:val="none" w:sz="0" w:space="0" w:color="auto"/>
        <w:right w:val="none" w:sz="0" w:space="0" w:color="auto"/>
      </w:divBdr>
    </w:div>
    <w:div w:id="1675066347">
      <w:bodyDiv w:val="1"/>
      <w:marLeft w:val="0"/>
      <w:marRight w:val="0"/>
      <w:marTop w:val="0"/>
      <w:marBottom w:val="0"/>
      <w:divBdr>
        <w:top w:val="none" w:sz="0" w:space="0" w:color="auto"/>
        <w:left w:val="none" w:sz="0" w:space="0" w:color="auto"/>
        <w:bottom w:val="none" w:sz="0" w:space="0" w:color="auto"/>
        <w:right w:val="none" w:sz="0" w:space="0" w:color="auto"/>
      </w:divBdr>
    </w:div>
    <w:div w:id="1677220865">
      <w:bodyDiv w:val="1"/>
      <w:marLeft w:val="0"/>
      <w:marRight w:val="0"/>
      <w:marTop w:val="0"/>
      <w:marBottom w:val="0"/>
      <w:divBdr>
        <w:top w:val="none" w:sz="0" w:space="0" w:color="auto"/>
        <w:left w:val="none" w:sz="0" w:space="0" w:color="auto"/>
        <w:bottom w:val="none" w:sz="0" w:space="0" w:color="auto"/>
        <w:right w:val="none" w:sz="0" w:space="0" w:color="auto"/>
      </w:divBdr>
    </w:div>
    <w:div w:id="1682855273">
      <w:bodyDiv w:val="1"/>
      <w:marLeft w:val="0"/>
      <w:marRight w:val="0"/>
      <w:marTop w:val="0"/>
      <w:marBottom w:val="0"/>
      <w:divBdr>
        <w:top w:val="none" w:sz="0" w:space="0" w:color="auto"/>
        <w:left w:val="none" w:sz="0" w:space="0" w:color="auto"/>
        <w:bottom w:val="none" w:sz="0" w:space="0" w:color="auto"/>
        <w:right w:val="none" w:sz="0" w:space="0" w:color="auto"/>
      </w:divBdr>
    </w:div>
    <w:div w:id="1698238189">
      <w:bodyDiv w:val="1"/>
      <w:marLeft w:val="0"/>
      <w:marRight w:val="0"/>
      <w:marTop w:val="0"/>
      <w:marBottom w:val="0"/>
      <w:divBdr>
        <w:top w:val="none" w:sz="0" w:space="0" w:color="auto"/>
        <w:left w:val="none" w:sz="0" w:space="0" w:color="auto"/>
        <w:bottom w:val="none" w:sz="0" w:space="0" w:color="auto"/>
        <w:right w:val="none" w:sz="0" w:space="0" w:color="auto"/>
      </w:divBdr>
    </w:div>
    <w:div w:id="1699968127">
      <w:bodyDiv w:val="1"/>
      <w:marLeft w:val="0"/>
      <w:marRight w:val="0"/>
      <w:marTop w:val="0"/>
      <w:marBottom w:val="0"/>
      <w:divBdr>
        <w:top w:val="none" w:sz="0" w:space="0" w:color="auto"/>
        <w:left w:val="none" w:sz="0" w:space="0" w:color="auto"/>
        <w:bottom w:val="none" w:sz="0" w:space="0" w:color="auto"/>
        <w:right w:val="none" w:sz="0" w:space="0" w:color="auto"/>
      </w:divBdr>
    </w:div>
    <w:div w:id="1707368270">
      <w:bodyDiv w:val="1"/>
      <w:marLeft w:val="0"/>
      <w:marRight w:val="0"/>
      <w:marTop w:val="0"/>
      <w:marBottom w:val="0"/>
      <w:divBdr>
        <w:top w:val="none" w:sz="0" w:space="0" w:color="auto"/>
        <w:left w:val="none" w:sz="0" w:space="0" w:color="auto"/>
        <w:bottom w:val="none" w:sz="0" w:space="0" w:color="auto"/>
        <w:right w:val="none" w:sz="0" w:space="0" w:color="auto"/>
      </w:divBdr>
    </w:div>
    <w:div w:id="1716662159">
      <w:bodyDiv w:val="1"/>
      <w:marLeft w:val="0"/>
      <w:marRight w:val="0"/>
      <w:marTop w:val="0"/>
      <w:marBottom w:val="0"/>
      <w:divBdr>
        <w:top w:val="none" w:sz="0" w:space="0" w:color="auto"/>
        <w:left w:val="none" w:sz="0" w:space="0" w:color="auto"/>
        <w:bottom w:val="none" w:sz="0" w:space="0" w:color="auto"/>
        <w:right w:val="none" w:sz="0" w:space="0" w:color="auto"/>
      </w:divBdr>
    </w:div>
    <w:div w:id="1717701956">
      <w:bodyDiv w:val="1"/>
      <w:marLeft w:val="0"/>
      <w:marRight w:val="0"/>
      <w:marTop w:val="0"/>
      <w:marBottom w:val="0"/>
      <w:divBdr>
        <w:top w:val="none" w:sz="0" w:space="0" w:color="auto"/>
        <w:left w:val="none" w:sz="0" w:space="0" w:color="auto"/>
        <w:bottom w:val="none" w:sz="0" w:space="0" w:color="auto"/>
        <w:right w:val="none" w:sz="0" w:space="0" w:color="auto"/>
      </w:divBdr>
    </w:div>
    <w:div w:id="1727683645">
      <w:bodyDiv w:val="1"/>
      <w:marLeft w:val="0"/>
      <w:marRight w:val="0"/>
      <w:marTop w:val="0"/>
      <w:marBottom w:val="0"/>
      <w:divBdr>
        <w:top w:val="none" w:sz="0" w:space="0" w:color="auto"/>
        <w:left w:val="none" w:sz="0" w:space="0" w:color="auto"/>
        <w:bottom w:val="none" w:sz="0" w:space="0" w:color="auto"/>
        <w:right w:val="none" w:sz="0" w:space="0" w:color="auto"/>
      </w:divBdr>
    </w:div>
    <w:div w:id="1749887758">
      <w:bodyDiv w:val="1"/>
      <w:marLeft w:val="0"/>
      <w:marRight w:val="0"/>
      <w:marTop w:val="0"/>
      <w:marBottom w:val="0"/>
      <w:divBdr>
        <w:top w:val="none" w:sz="0" w:space="0" w:color="auto"/>
        <w:left w:val="none" w:sz="0" w:space="0" w:color="auto"/>
        <w:bottom w:val="none" w:sz="0" w:space="0" w:color="auto"/>
        <w:right w:val="none" w:sz="0" w:space="0" w:color="auto"/>
      </w:divBdr>
    </w:div>
    <w:div w:id="1762332728">
      <w:bodyDiv w:val="1"/>
      <w:marLeft w:val="0"/>
      <w:marRight w:val="0"/>
      <w:marTop w:val="0"/>
      <w:marBottom w:val="0"/>
      <w:divBdr>
        <w:top w:val="none" w:sz="0" w:space="0" w:color="auto"/>
        <w:left w:val="none" w:sz="0" w:space="0" w:color="auto"/>
        <w:bottom w:val="none" w:sz="0" w:space="0" w:color="auto"/>
        <w:right w:val="none" w:sz="0" w:space="0" w:color="auto"/>
      </w:divBdr>
    </w:div>
    <w:div w:id="1763838551">
      <w:bodyDiv w:val="1"/>
      <w:marLeft w:val="0"/>
      <w:marRight w:val="0"/>
      <w:marTop w:val="0"/>
      <w:marBottom w:val="0"/>
      <w:divBdr>
        <w:top w:val="none" w:sz="0" w:space="0" w:color="auto"/>
        <w:left w:val="none" w:sz="0" w:space="0" w:color="auto"/>
        <w:bottom w:val="none" w:sz="0" w:space="0" w:color="auto"/>
        <w:right w:val="none" w:sz="0" w:space="0" w:color="auto"/>
      </w:divBdr>
    </w:div>
    <w:div w:id="1764106827">
      <w:bodyDiv w:val="1"/>
      <w:marLeft w:val="0"/>
      <w:marRight w:val="0"/>
      <w:marTop w:val="0"/>
      <w:marBottom w:val="0"/>
      <w:divBdr>
        <w:top w:val="none" w:sz="0" w:space="0" w:color="auto"/>
        <w:left w:val="none" w:sz="0" w:space="0" w:color="auto"/>
        <w:bottom w:val="none" w:sz="0" w:space="0" w:color="auto"/>
        <w:right w:val="none" w:sz="0" w:space="0" w:color="auto"/>
      </w:divBdr>
    </w:div>
    <w:div w:id="1766343425">
      <w:bodyDiv w:val="1"/>
      <w:marLeft w:val="0"/>
      <w:marRight w:val="0"/>
      <w:marTop w:val="0"/>
      <w:marBottom w:val="0"/>
      <w:divBdr>
        <w:top w:val="none" w:sz="0" w:space="0" w:color="auto"/>
        <w:left w:val="none" w:sz="0" w:space="0" w:color="auto"/>
        <w:bottom w:val="none" w:sz="0" w:space="0" w:color="auto"/>
        <w:right w:val="none" w:sz="0" w:space="0" w:color="auto"/>
      </w:divBdr>
    </w:div>
    <w:div w:id="1766345223">
      <w:bodyDiv w:val="1"/>
      <w:marLeft w:val="0"/>
      <w:marRight w:val="0"/>
      <w:marTop w:val="0"/>
      <w:marBottom w:val="0"/>
      <w:divBdr>
        <w:top w:val="none" w:sz="0" w:space="0" w:color="auto"/>
        <w:left w:val="none" w:sz="0" w:space="0" w:color="auto"/>
        <w:bottom w:val="none" w:sz="0" w:space="0" w:color="auto"/>
        <w:right w:val="none" w:sz="0" w:space="0" w:color="auto"/>
      </w:divBdr>
    </w:div>
    <w:div w:id="1787385693">
      <w:bodyDiv w:val="1"/>
      <w:marLeft w:val="0"/>
      <w:marRight w:val="0"/>
      <w:marTop w:val="0"/>
      <w:marBottom w:val="0"/>
      <w:divBdr>
        <w:top w:val="none" w:sz="0" w:space="0" w:color="auto"/>
        <w:left w:val="none" w:sz="0" w:space="0" w:color="auto"/>
        <w:bottom w:val="none" w:sz="0" w:space="0" w:color="auto"/>
        <w:right w:val="none" w:sz="0" w:space="0" w:color="auto"/>
      </w:divBdr>
    </w:div>
    <w:div w:id="1789003655">
      <w:bodyDiv w:val="1"/>
      <w:marLeft w:val="0"/>
      <w:marRight w:val="0"/>
      <w:marTop w:val="0"/>
      <w:marBottom w:val="0"/>
      <w:divBdr>
        <w:top w:val="none" w:sz="0" w:space="0" w:color="auto"/>
        <w:left w:val="none" w:sz="0" w:space="0" w:color="auto"/>
        <w:bottom w:val="none" w:sz="0" w:space="0" w:color="auto"/>
        <w:right w:val="none" w:sz="0" w:space="0" w:color="auto"/>
      </w:divBdr>
    </w:div>
    <w:div w:id="1806509295">
      <w:bodyDiv w:val="1"/>
      <w:marLeft w:val="0"/>
      <w:marRight w:val="0"/>
      <w:marTop w:val="0"/>
      <w:marBottom w:val="0"/>
      <w:divBdr>
        <w:top w:val="none" w:sz="0" w:space="0" w:color="auto"/>
        <w:left w:val="none" w:sz="0" w:space="0" w:color="auto"/>
        <w:bottom w:val="none" w:sz="0" w:space="0" w:color="auto"/>
        <w:right w:val="none" w:sz="0" w:space="0" w:color="auto"/>
      </w:divBdr>
    </w:div>
    <w:div w:id="1808929664">
      <w:bodyDiv w:val="1"/>
      <w:marLeft w:val="0"/>
      <w:marRight w:val="0"/>
      <w:marTop w:val="0"/>
      <w:marBottom w:val="0"/>
      <w:divBdr>
        <w:top w:val="none" w:sz="0" w:space="0" w:color="auto"/>
        <w:left w:val="none" w:sz="0" w:space="0" w:color="auto"/>
        <w:bottom w:val="none" w:sz="0" w:space="0" w:color="auto"/>
        <w:right w:val="none" w:sz="0" w:space="0" w:color="auto"/>
      </w:divBdr>
    </w:div>
    <w:div w:id="1813253815">
      <w:bodyDiv w:val="1"/>
      <w:marLeft w:val="0"/>
      <w:marRight w:val="0"/>
      <w:marTop w:val="0"/>
      <w:marBottom w:val="0"/>
      <w:divBdr>
        <w:top w:val="none" w:sz="0" w:space="0" w:color="auto"/>
        <w:left w:val="none" w:sz="0" w:space="0" w:color="auto"/>
        <w:bottom w:val="none" w:sz="0" w:space="0" w:color="auto"/>
        <w:right w:val="none" w:sz="0" w:space="0" w:color="auto"/>
      </w:divBdr>
    </w:div>
    <w:div w:id="1814833919">
      <w:bodyDiv w:val="1"/>
      <w:marLeft w:val="0"/>
      <w:marRight w:val="0"/>
      <w:marTop w:val="0"/>
      <w:marBottom w:val="0"/>
      <w:divBdr>
        <w:top w:val="none" w:sz="0" w:space="0" w:color="auto"/>
        <w:left w:val="none" w:sz="0" w:space="0" w:color="auto"/>
        <w:bottom w:val="none" w:sz="0" w:space="0" w:color="auto"/>
        <w:right w:val="none" w:sz="0" w:space="0" w:color="auto"/>
      </w:divBdr>
    </w:div>
    <w:div w:id="1814904946">
      <w:bodyDiv w:val="1"/>
      <w:marLeft w:val="0"/>
      <w:marRight w:val="0"/>
      <w:marTop w:val="0"/>
      <w:marBottom w:val="0"/>
      <w:divBdr>
        <w:top w:val="none" w:sz="0" w:space="0" w:color="auto"/>
        <w:left w:val="none" w:sz="0" w:space="0" w:color="auto"/>
        <w:bottom w:val="none" w:sz="0" w:space="0" w:color="auto"/>
        <w:right w:val="none" w:sz="0" w:space="0" w:color="auto"/>
      </w:divBdr>
    </w:div>
    <w:div w:id="1838417428">
      <w:bodyDiv w:val="1"/>
      <w:marLeft w:val="0"/>
      <w:marRight w:val="0"/>
      <w:marTop w:val="0"/>
      <w:marBottom w:val="0"/>
      <w:divBdr>
        <w:top w:val="none" w:sz="0" w:space="0" w:color="auto"/>
        <w:left w:val="none" w:sz="0" w:space="0" w:color="auto"/>
        <w:bottom w:val="none" w:sz="0" w:space="0" w:color="auto"/>
        <w:right w:val="none" w:sz="0" w:space="0" w:color="auto"/>
      </w:divBdr>
    </w:div>
    <w:div w:id="1845436417">
      <w:bodyDiv w:val="1"/>
      <w:marLeft w:val="0"/>
      <w:marRight w:val="0"/>
      <w:marTop w:val="0"/>
      <w:marBottom w:val="0"/>
      <w:divBdr>
        <w:top w:val="none" w:sz="0" w:space="0" w:color="auto"/>
        <w:left w:val="none" w:sz="0" w:space="0" w:color="auto"/>
        <w:bottom w:val="none" w:sz="0" w:space="0" w:color="auto"/>
        <w:right w:val="none" w:sz="0" w:space="0" w:color="auto"/>
      </w:divBdr>
    </w:div>
    <w:div w:id="1845510498">
      <w:bodyDiv w:val="1"/>
      <w:marLeft w:val="0"/>
      <w:marRight w:val="0"/>
      <w:marTop w:val="0"/>
      <w:marBottom w:val="0"/>
      <w:divBdr>
        <w:top w:val="none" w:sz="0" w:space="0" w:color="auto"/>
        <w:left w:val="none" w:sz="0" w:space="0" w:color="auto"/>
        <w:bottom w:val="none" w:sz="0" w:space="0" w:color="auto"/>
        <w:right w:val="none" w:sz="0" w:space="0" w:color="auto"/>
      </w:divBdr>
    </w:div>
    <w:div w:id="1852640575">
      <w:bodyDiv w:val="1"/>
      <w:marLeft w:val="0"/>
      <w:marRight w:val="0"/>
      <w:marTop w:val="0"/>
      <w:marBottom w:val="0"/>
      <w:divBdr>
        <w:top w:val="none" w:sz="0" w:space="0" w:color="auto"/>
        <w:left w:val="none" w:sz="0" w:space="0" w:color="auto"/>
        <w:bottom w:val="none" w:sz="0" w:space="0" w:color="auto"/>
        <w:right w:val="none" w:sz="0" w:space="0" w:color="auto"/>
      </w:divBdr>
    </w:div>
    <w:div w:id="1858885429">
      <w:bodyDiv w:val="1"/>
      <w:marLeft w:val="0"/>
      <w:marRight w:val="0"/>
      <w:marTop w:val="0"/>
      <w:marBottom w:val="0"/>
      <w:divBdr>
        <w:top w:val="none" w:sz="0" w:space="0" w:color="auto"/>
        <w:left w:val="none" w:sz="0" w:space="0" w:color="auto"/>
        <w:bottom w:val="none" w:sz="0" w:space="0" w:color="auto"/>
        <w:right w:val="none" w:sz="0" w:space="0" w:color="auto"/>
      </w:divBdr>
    </w:div>
    <w:div w:id="1860461829">
      <w:bodyDiv w:val="1"/>
      <w:marLeft w:val="0"/>
      <w:marRight w:val="0"/>
      <w:marTop w:val="0"/>
      <w:marBottom w:val="0"/>
      <w:divBdr>
        <w:top w:val="none" w:sz="0" w:space="0" w:color="auto"/>
        <w:left w:val="none" w:sz="0" w:space="0" w:color="auto"/>
        <w:bottom w:val="none" w:sz="0" w:space="0" w:color="auto"/>
        <w:right w:val="none" w:sz="0" w:space="0" w:color="auto"/>
      </w:divBdr>
    </w:div>
    <w:div w:id="1863205778">
      <w:bodyDiv w:val="1"/>
      <w:marLeft w:val="0"/>
      <w:marRight w:val="0"/>
      <w:marTop w:val="0"/>
      <w:marBottom w:val="0"/>
      <w:divBdr>
        <w:top w:val="none" w:sz="0" w:space="0" w:color="auto"/>
        <w:left w:val="none" w:sz="0" w:space="0" w:color="auto"/>
        <w:bottom w:val="none" w:sz="0" w:space="0" w:color="auto"/>
        <w:right w:val="none" w:sz="0" w:space="0" w:color="auto"/>
      </w:divBdr>
    </w:div>
    <w:div w:id="1865290593">
      <w:bodyDiv w:val="1"/>
      <w:marLeft w:val="0"/>
      <w:marRight w:val="0"/>
      <w:marTop w:val="0"/>
      <w:marBottom w:val="0"/>
      <w:divBdr>
        <w:top w:val="none" w:sz="0" w:space="0" w:color="auto"/>
        <w:left w:val="none" w:sz="0" w:space="0" w:color="auto"/>
        <w:bottom w:val="none" w:sz="0" w:space="0" w:color="auto"/>
        <w:right w:val="none" w:sz="0" w:space="0" w:color="auto"/>
      </w:divBdr>
    </w:div>
    <w:div w:id="1875193730">
      <w:bodyDiv w:val="1"/>
      <w:marLeft w:val="0"/>
      <w:marRight w:val="0"/>
      <w:marTop w:val="0"/>
      <w:marBottom w:val="0"/>
      <w:divBdr>
        <w:top w:val="none" w:sz="0" w:space="0" w:color="auto"/>
        <w:left w:val="none" w:sz="0" w:space="0" w:color="auto"/>
        <w:bottom w:val="none" w:sz="0" w:space="0" w:color="auto"/>
        <w:right w:val="none" w:sz="0" w:space="0" w:color="auto"/>
      </w:divBdr>
    </w:div>
    <w:div w:id="1881045690">
      <w:bodyDiv w:val="1"/>
      <w:marLeft w:val="0"/>
      <w:marRight w:val="0"/>
      <w:marTop w:val="0"/>
      <w:marBottom w:val="0"/>
      <w:divBdr>
        <w:top w:val="none" w:sz="0" w:space="0" w:color="auto"/>
        <w:left w:val="none" w:sz="0" w:space="0" w:color="auto"/>
        <w:bottom w:val="none" w:sz="0" w:space="0" w:color="auto"/>
        <w:right w:val="none" w:sz="0" w:space="0" w:color="auto"/>
      </w:divBdr>
    </w:div>
    <w:div w:id="1884511767">
      <w:bodyDiv w:val="1"/>
      <w:marLeft w:val="0"/>
      <w:marRight w:val="0"/>
      <w:marTop w:val="0"/>
      <w:marBottom w:val="0"/>
      <w:divBdr>
        <w:top w:val="none" w:sz="0" w:space="0" w:color="auto"/>
        <w:left w:val="none" w:sz="0" w:space="0" w:color="auto"/>
        <w:bottom w:val="none" w:sz="0" w:space="0" w:color="auto"/>
        <w:right w:val="none" w:sz="0" w:space="0" w:color="auto"/>
      </w:divBdr>
    </w:div>
    <w:div w:id="1884560323">
      <w:bodyDiv w:val="1"/>
      <w:marLeft w:val="0"/>
      <w:marRight w:val="0"/>
      <w:marTop w:val="0"/>
      <w:marBottom w:val="0"/>
      <w:divBdr>
        <w:top w:val="none" w:sz="0" w:space="0" w:color="auto"/>
        <w:left w:val="none" w:sz="0" w:space="0" w:color="auto"/>
        <w:bottom w:val="none" w:sz="0" w:space="0" w:color="auto"/>
        <w:right w:val="none" w:sz="0" w:space="0" w:color="auto"/>
      </w:divBdr>
    </w:div>
    <w:div w:id="1885170042">
      <w:bodyDiv w:val="1"/>
      <w:marLeft w:val="0"/>
      <w:marRight w:val="0"/>
      <w:marTop w:val="0"/>
      <w:marBottom w:val="0"/>
      <w:divBdr>
        <w:top w:val="none" w:sz="0" w:space="0" w:color="auto"/>
        <w:left w:val="none" w:sz="0" w:space="0" w:color="auto"/>
        <w:bottom w:val="none" w:sz="0" w:space="0" w:color="auto"/>
        <w:right w:val="none" w:sz="0" w:space="0" w:color="auto"/>
      </w:divBdr>
    </w:div>
    <w:div w:id="1890527197">
      <w:bodyDiv w:val="1"/>
      <w:marLeft w:val="0"/>
      <w:marRight w:val="0"/>
      <w:marTop w:val="0"/>
      <w:marBottom w:val="0"/>
      <w:divBdr>
        <w:top w:val="none" w:sz="0" w:space="0" w:color="auto"/>
        <w:left w:val="none" w:sz="0" w:space="0" w:color="auto"/>
        <w:bottom w:val="none" w:sz="0" w:space="0" w:color="auto"/>
        <w:right w:val="none" w:sz="0" w:space="0" w:color="auto"/>
      </w:divBdr>
    </w:div>
    <w:div w:id="1900288739">
      <w:bodyDiv w:val="1"/>
      <w:marLeft w:val="0"/>
      <w:marRight w:val="0"/>
      <w:marTop w:val="0"/>
      <w:marBottom w:val="0"/>
      <w:divBdr>
        <w:top w:val="none" w:sz="0" w:space="0" w:color="auto"/>
        <w:left w:val="none" w:sz="0" w:space="0" w:color="auto"/>
        <w:bottom w:val="none" w:sz="0" w:space="0" w:color="auto"/>
        <w:right w:val="none" w:sz="0" w:space="0" w:color="auto"/>
      </w:divBdr>
    </w:div>
    <w:div w:id="1912302428">
      <w:bodyDiv w:val="1"/>
      <w:marLeft w:val="0"/>
      <w:marRight w:val="0"/>
      <w:marTop w:val="0"/>
      <w:marBottom w:val="0"/>
      <w:divBdr>
        <w:top w:val="none" w:sz="0" w:space="0" w:color="auto"/>
        <w:left w:val="none" w:sz="0" w:space="0" w:color="auto"/>
        <w:bottom w:val="none" w:sz="0" w:space="0" w:color="auto"/>
        <w:right w:val="none" w:sz="0" w:space="0" w:color="auto"/>
      </w:divBdr>
    </w:div>
    <w:div w:id="1917199743">
      <w:bodyDiv w:val="1"/>
      <w:marLeft w:val="0"/>
      <w:marRight w:val="0"/>
      <w:marTop w:val="0"/>
      <w:marBottom w:val="0"/>
      <w:divBdr>
        <w:top w:val="none" w:sz="0" w:space="0" w:color="auto"/>
        <w:left w:val="none" w:sz="0" w:space="0" w:color="auto"/>
        <w:bottom w:val="none" w:sz="0" w:space="0" w:color="auto"/>
        <w:right w:val="none" w:sz="0" w:space="0" w:color="auto"/>
      </w:divBdr>
    </w:div>
    <w:div w:id="1922830725">
      <w:bodyDiv w:val="1"/>
      <w:marLeft w:val="0"/>
      <w:marRight w:val="0"/>
      <w:marTop w:val="0"/>
      <w:marBottom w:val="0"/>
      <w:divBdr>
        <w:top w:val="none" w:sz="0" w:space="0" w:color="auto"/>
        <w:left w:val="none" w:sz="0" w:space="0" w:color="auto"/>
        <w:bottom w:val="none" w:sz="0" w:space="0" w:color="auto"/>
        <w:right w:val="none" w:sz="0" w:space="0" w:color="auto"/>
      </w:divBdr>
    </w:div>
    <w:div w:id="1931087253">
      <w:bodyDiv w:val="1"/>
      <w:marLeft w:val="0"/>
      <w:marRight w:val="0"/>
      <w:marTop w:val="0"/>
      <w:marBottom w:val="0"/>
      <w:divBdr>
        <w:top w:val="none" w:sz="0" w:space="0" w:color="auto"/>
        <w:left w:val="none" w:sz="0" w:space="0" w:color="auto"/>
        <w:bottom w:val="none" w:sz="0" w:space="0" w:color="auto"/>
        <w:right w:val="none" w:sz="0" w:space="0" w:color="auto"/>
      </w:divBdr>
    </w:div>
    <w:div w:id="1939949092">
      <w:bodyDiv w:val="1"/>
      <w:marLeft w:val="0"/>
      <w:marRight w:val="0"/>
      <w:marTop w:val="0"/>
      <w:marBottom w:val="0"/>
      <w:divBdr>
        <w:top w:val="none" w:sz="0" w:space="0" w:color="auto"/>
        <w:left w:val="none" w:sz="0" w:space="0" w:color="auto"/>
        <w:bottom w:val="none" w:sz="0" w:space="0" w:color="auto"/>
        <w:right w:val="none" w:sz="0" w:space="0" w:color="auto"/>
      </w:divBdr>
    </w:div>
    <w:div w:id="1960721137">
      <w:bodyDiv w:val="1"/>
      <w:marLeft w:val="0"/>
      <w:marRight w:val="0"/>
      <w:marTop w:val="0"/>
      <w:marBottom w:val="0"/>
      <w:divBdr>
        <w:top w:val="none" w:sz="0" w:space="0" w:color="auto"/>
        <w:left w:val="none" w:sz="0" w:space="0" w:color="auto"/>
        <w:bottom w:val="none" w:sz="0" w:space="0" w:color="auto"/>
        <w:right w:val="none" w:sz="0" w:space="0" w:color="auto"/>
      </w:divBdr>
    </w:div>
    <w:div w:id="1992174960">
      <w:bodyDiv w:val="1"/>
      <w:marLeft w:val="0"/>
      <w:marRight w:val="0"/>
      <w:marTop w:val="0"/>
      <w:marBottom w:val="0"/>
      <w:divBdr>
        <w:top w:val="none" w:sz="0" w:space="0" w:color="auto"/>
        <w:left w:val="none" w:sz="0" w:space="0" w:color="auto"/>
        <w:bottom w:val="none" w:sz="0" w:space="0" w:color="auto"/>
        <w:right w:val="none" w:sz="0" w:space="0" w:color="auto"/>
      </w:divBdr>
    </w:div>
    <w:div w:id="1998877793">
      <w:bodyDiv w:val="1"/>
      <w:marLeft w:val="0"/>
      <w:marRight w:val="0"/>
      <w:marTop w:val="0"/>
      <w:marBottom w:val="0"/>
      <w:divBdr>
        <w:top w:val="none" w:sz="0" w:space="0" w:color="auto"/>
        <w:left w:val="none" w:sz="0" w:space="0" w:color="auto"/>
        <w:bottom w:val="none" w:sz="0" w:space="0" w:color="auto"/>
        <w:right w:val="none" w:sz="0" w:space="0" w:color="auto"/>
      </w:divBdr>
    </w:div>
    <w:div w:id="2020351862">
      <w:bodyDiv w:val="1"/>
      <w:marLeft w:val="0"/>
      <w:marRight w:val="0"/>
      <w:marTop w:val="0"/>
      <w:marBottom w:val="0"/>
      <w:divBdr>
        <w:top w:val="none" w:sz="0" w:space="0" w:color="auto"/>
        <w:left w:val="none" w:sz="0" w:space="0" w:color="auto"/>
        <w:bottom w:val="none" w:sz="0" w:space="0" w:color="auto"/>
        <w:right w:val="none" w:sz="0" w:space="0" w:color="auto"/>
      </w:divBdr>
    </w:div>
    <w:div w:id="2047412633">
      <w:bodyDiv w:val="1"/>
      <w:marLeft w:val="0"/>
      <w:marRight w:val="0"/>
      <w:marTop w:val="0"/>
      <w:marBottom w:val="0"/>
      <w:divBdr>
        <w:top w:val="none" w:sz="0" w:space="0" w:color="auto"/>
        <w:left w:val="none" w:sz="0" w:space="0" w:color="auto"/>
        <w:bottom w:val="none" w:sz="0" w:space="0" w:color="auto"/>
        <w:right w:val="none" w:sz="0" w:space="0" w:color="auto"/>
      </w:divBdr>
    </w:div>
    <w:div w:id="2049447830">
      <w:bodyDiv w:val="1"/>
      <w:marLeft w:val="0"/>
      <w:marRight w:val="0"/>
      <w:marTop w:val="0"/>
      <w:marBottom w:val="0"/>
      <w:divBdr>
        <w:top w:val="none" w:sz="0" w:space="0" w:color="auto"/>
        <w:left w:val="none" w:sz="0" w:space="0" w:color="auto"/>
        <w:bottom w:val="none" w:sz="0" w:space="0" w:color="auto"/>
        <w:right w:val="none" w:sz="0" w:space="0" w:color="auto"/>
      </w:divBdr>
    </w:div>
    <w:div w:id="2053722946">
      <w:bodyDiv w:val="1"/>
      <w:marLeft w:val="0"/>
      <w:marRight w:val="0"/>
      <w:marTop w:val="0"/>
      <w:marBottom w:val="0"/>
      <w:divBdr>
        <w:top w:val="none" w:sz="0" w:space="0" w:color="auto"/>
        <w:left w:val="none" w:sz="0" w:space="0" w:color="auto"/>
        <w:bottom w:val="none" w:sz="0" w:space="0" w:color="auto"/>
        <w:right w:val="none" w:sz="0" w:space="0" w:color="auto"/>
      </w:divBdr>
    </w:div>
    <w:div w:id="2056537531">
      <w:bodyDiv w:val="1"/>
      <w:marLeft w:val="0"/>
      <w:marRight w:val="0"/>
      <w:marTop w:val="0"/>
      <w:marBottom w:val="0"/>
      <w:divBdr>
        <w:top w:val="none" w:sz="0" w:space="0" w:color="auto"/>
        <w:left w:val="none" w:sz="0" w:space="0" w:color="auto"/>
        <w:bottom w:val="none" w:sz="0" w:space="0" w:color="auto"/>
        <w:right w:val="none" w:sz="0" w:space="0" w:color="auto"/>
      </w:divBdr>
    </w:div>
    <w:div w:id="2058504000">
      <w:bodyDiv w:val="1"/>
      <w:marLeft w:val="0"/>
      <w:marRight w:val="0"/>
      <w:marTop w:val="0"/>
      <w:marBottom w:val="0"/>
      <w:divBdr>
        <w:top w:val="none" w:sz="0" w:space="0" w:color="auto"/>
        <w:left w:val="none" w:sz="0" w:space="0" w:color="auto"/>
        <w:bottom w:val="none" w:sz="0" w:space="0" w:color="auto"/>
        <w:right w:val="none" w:sz="0" w:space="0" w:color="auto"/>
      </w:divBdr>
    </w:div>
    <w:div w:id="2068916432">
      <w:bodyDiv w:val="1"/>
      <w:marLeft w:val="0"/>
      <w:marRight w:val="0"/>
      <w:marTop w:val="0"/>
      <w:marBottom w:val="0"/>
      <w:divBdr>
        <w:top w:val="none" w:sz="0" w:space="0" w:color="auto"/>
        <w:left w:val="none" w:sz="0" w:space="0" w:color="auto"/>
        <w:bottom w:val="none" w:sz="0" w:space="0" w:color="auto"/>
        <w:right w:val="none" w:sz="0" w:space="0" w:color="auto"/>
      </w:divBdr>
    </w:div>
    <w:div w:id="2072849537">
      <w:bodyDiv w:val="1"/>
      <w:marLeft w:val="0"/>
      <w:marRight w:val="0"/>
      <w:marTop w:val="0"/>
      <w:marBottom w:val="0"/>
      <w:divBdr>
        <w:top w:val="none" w:sz="0" w:space="0" w:color="auto"/>
        <w:left w:val="none" w:sz="0" w:space="0" w:color="auto"/>
        <w:bottom w:val="none" w:sz="0" w:space="0" w:color="auto"/>
        <w:right w:val="none" w:sz="0" w:space="0" w:color="auto"/>
      </w:divBdr>
    </w:div>
    <w:div w:id="2081055416">
      <w:bodyDiv w:val="1"/>
      <w:marLeft w:val="0"/>
      <w:marRight w:val="0"/>
      <w:marTop w:val="0"/>
      <w:marBottom w:val="0"/>
      <w:divBdr>
        <w:top w:val="none" w:sz="0" w:space="0" w:color="auto"/>
        <w:left w:val="none" w:sz="0" w:space="0" w:color="auto"/>
        <w:bottom w:val="none" w:sz="0" w:space="0" w:color="auto"/>
        <w:right w:val="none" w:sz="0" w:space="0" w:color="auto"/>
      </w:divBdr>
    </w:div>
    <w:div w:id="2097627646">
      <w:bodyDiv w:val="1"/>
      <w:marLeft w:val="0"/>
      <w:marRight w:val="0"/>
      <w:marTop w:val="0"/>
      <w:marBottom w:val="0"/>
      <w:divBdr>
        <w:top w:val="none" w:sz="0" w:space="0" w:color="auto"/>
        <w:left w:val="none" w:sz="0" w:space="0" w:color="auto"/>
        <w:bottom w:val="none" w:sz="0" w:space="0" w:color="auto"/>
        <w:right w:val="none" w:sz="0" w:space="0" w:color="auto"/>
      </w:divBdr>
    </w:div>
    <w:div w:id="2117484233">
      <w:bodyDiv w:val="1"/>
      <w:marLeft w:val="0"/>
      <w:marRight w:val="0"/>
      <w:marTop w:val="0"/>
      <w:marBottom w:val="0"/>
      <w:divBdr>
        <w:top w:val="none" w:sz="0" w:space="0" w:color="auto"/>
        <w:left w:val="none" w:sz="0" w:space="0" w:color="auto"/>
        <w:bottom w:val="none" w:sz="0" w:space="0" w:color="auto"/>
        <w:right w:val="none" w:sz="0" w:space="0" w:color="auto"/>
      </w:divBdr>
    </w:div>
    <w:div w:id="2120638667">
      <w:bodyDiv w:val="1"/>
      <w:marLeft w:val="0"/>
      <w:marRight w:val="0"/>
      <w:marTop w:val="0"/>
      <w:marBottom w:val="0"/>
      <w:divBdr>
        <w:top w:val="none" w:sz="0" w:space="0" w:color="auto"/>
        <w:left w:val="none" w:sz="0" w:space="0" w:color="auto"/>
        <w:bottom w:val="none" w:sz="0" w:space="0" w:color="auto"/>
        <w:right w:val="none" w:sz="0" w:space="0" w:color="auto"/>
      </w:divBdr>
    </w:div>
    <w:div w:id="2129398257">
      <w:bodyDiv w:val="1"/>
      <w:marLeft w:val="0"/>
      <w:marRight w:val="0"/>
      <w:marTop w:val="0"/>
      <w:marBottom w:val="0"/>
      <w:divBdr>
        <w:top w:val="none" w:sz="0" w:space="0" w:color="auto"/>
        <w:left w:val="none" w:sz="0" w:space="0" w:color="auto"/>
        <w:bottom w:val="none" w:sz="0" w:space="0" w:color="auto"/>
        <w:right w:val="none" w:sz="0" w:space="0" w:color="auto"/>
      </w:divBdr>
    </w:div>
    <w:div w:id="2131629513">
      <w:bodyDiv w:val="1"/>
      <w:marLeft w:val="0"/>
      <w:marRight w:val="0"/>
      <w:marTop w:val="0"/>
      <w:marBottom w:val="0"/>
      <w:divBdr>
        <w:top w:val="none" w:sz="0" w:space="0" w:color="auto"/>
        <w:left w:val="none" w:sz="0" w:space="0" w:color="auto"/>
        <w:bottom w:val="none" w:sz="0" w:space="0" w:color="auto"/>
        <w:right w:val="none" w:sz="0" w:space="0" w:color="auto"/>
      </w:divBdr>
    </w:div>
    <w:div w:id="2131699506">
      <w:bodyDiv w:val="1"/>
      <w:marLeft w:val="0"/>
      <w:marRight w:val="0"/>
      <w:marTop w:val="0"/>
      <w:marBottom w:val="0"/>
      <w:divBdr>
        <w:top w:val="none" w:sz="0" w:space="0" w:color="auto"/>
        <w:left w:val="none" w:sz="0" w:space="0" w:color="auto"/>
        <w:bottom w:val="none" w:sz="0" w:space="0" w:color="auto"/>
        <w:right w:val="none" w:sz="0" w:space="0" w:color="auto"/>
      </w:divBdr>
    </w:div>
    <w:div w:id="214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Blad1!$B$1</c:f>
              <c:strCache>
                <c:ptCount val="1"/>
                <c:pt idx="0">
                  <c:v>Brand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Blad1!$A$2:$A$8</c:f>
              <c:strCache>
                <c:ptCount val="7"/>
                <c:pt idx="0">
                  <c:v>1984-1988</c:v>
                </c:pt>
                <c:pt idx="1">
                  <c:v>1989-1993</c:v>
                </c:pt>
                <c:pt idx="2">
                  <c:v>1994-1998</c:v>
                </c:pt>
                <c:pt idx="3">
                  <c:v>1999-2003</c:v>
                </c:pt>
                <c:pt idx="4">
                  <c:v>2004-2008</c:v>
                </c:pt>
                <c:pt idx="5">
                  <c:v>2009-2013</c:v>
                </c:pt>
                <c:pt idx="6">
                  <c:v>2014-2017</c:v>
                </c:pt>
              </c:strCache>
            </c:strRef>
          </c:cat>
          <c:val>
            <c:numRef>
              <c:f>Blad1!$B$2:$B$8</c:f>
              <c:numCache>
                <c:formatCode>0.0</c:formatCode>
                <c:ptCount val="7"/>
                <c:pt idx="0">
                  <c:v>81.400000000000006</c:v>
                </c:pt>
                <c:pt idx="1">
                  <c:v>68</c:v>
                </c:pt>
                <c:pt idx="2">
                  <c:v>64</c:v>
                </c:pt>
                <c:pt idx="3">
                  <c:v>50.3</c:v>
                </c:pt>
                <c:pt idx="4">
                  <c:v>43.6</c:v>
                </c:pt>
                <c:pt idx="5">
                  <c:v>26.6</c:v>
                </c:pt>
                <c:pt idx="6">
                  <c:v>16</c:v>
                </c:pt>
              </c:numCache>
            </c:numRef>
          </c:val>
          <c:extLst>
            <c:ext xmlns:c16="http://schemas.microsoft.com/office/drawing/2014/chart" uri="{C3380CC4-5D6E-409C-BE32-E72D297353CC}">
              <c16:uniqueId val="{00000000-B31B-4035-92C2-87E6E7F8BFCC}"/>
            </c:ext>
          </c:extLst>
        </c:ser>
        <c:ser>
          <c:idx val="1"/>
          <c:order val="1"/>
          <c:tx>
            <c:strRef>
              <c:f>Blad1!$C$1</c:f>
              <c:strCache>
                <c:ptCount val="1"/>
                <c:pt idx="0">
                  <c:v>Generic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Blad1!$A$2:$A$8</c:f>
              <c:strCache>
                <c:ptCount val="7"/>
                <c:pt idx="0">
                  <c:v>1984-1988</c:v>
                </c:pt>
                <c:pt idx="1">
                  <c:v>1989-1993</c:v>
                </c:pt>
                <c:pt idx="2">
                  <c:v>1994-1998</c:v>
                </c:pt>
                <c:pt idx="3">
                  <c:v>1999-2003</c:v>
                </c:pt>
                <c:pt idx="4">
                  <c:v>2004-2008</c:v>
                </c:pt>
                <c:pt idx="5">
                  <c:v>2009-2013</c:v>
                </c:pt>
                <c:pt idx="6">
                  <c:v>2014-2017</c:v>
                </c:pt>
              </c:strCache>
            </c:strRef>
          </c:cat>
          <c:val>
            <c:numRef>
              <c:f>Blad1!$C$2:$C$8</c:f>
              <c:numCache>
                <c:formatCode>0.0</c:formatCode>
                <c:ptCount val="7"/>
                <c:pt idx="0">
                  <c:v>18.600000000000001</c:v>
                </c:pt>
                <c:pt idx="1">
                  <c:v>32</c:v>
                </c:pt>
                <c:pt idx="2">
                  <c:v>36</c:v>
                </c:pt>
                <c:pt idx="3">
                  <c:v>49.7</c:v>
                </c:pt>
                <c:pt idx="4">
                  <c:v>56.4</c:v>
                </c:pt>
                <c:pt idx="5">
                  <c:v>73.400000000000006</c:v>
                </c:pt>
                <c:pt idx="6">
                  <c:v>84</c:v>
                </c:pt>
              </c:numCache>
            </c:numRef>
          </c:val>
          <c:extLst>
            <c:ext xmlns:c16="http://schemas.microsoft.com/office/drawing/2014/chart" uri="{C3380CC4-5D6E-409C-BE32-E72D297353CC}">
              <c16:uniqueId val="{00000001-B31B-4035-92C2-87E6E7F8BFCC}"/>
            </c:ext>
          </c:extLst>
        </c:ser>
        <c:dLbls>
          <c:showLegendKey val="0"/>
          <c:showVal val="0"/>
          <c:showCatName val="0"/>
          <c:showSerName val="0"/>
          <c:showPercent val="0"/>
          <c:showBubbleSize val="0"/>
        </c:dLbls>
        <c:gapWidth val="150"/>
        <c:overlap val="100"/>
        <c:axId val="402819416"/>
        <c:axId val="402816792"/>
      </c:barChart>
      <c:catAx>
        <c:axId val="402819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816792"/>
        <c:crosses val="autoZero"/>
        <c:auto val="1"/>
        <c:lblAlgn val="ctr"/>
        <c:lblOffset val="100"/>
        <c:noMultiLvlLbl val="0"/>
      </c:catAx>
      <c:valAx>
        <c:axId val="402816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prescription</a:t>
                </a:r>
                <a:r>
                  <a:rPr lang="en-US" baseline="0"/>
                  <a:t> share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819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Boe13</b:Tag>
    <b:SourceType>ArticleInAPeriodical</b:SourceType>
    <b:Guid>{C47DB545-43EF-4A89-BBF1-6D6237A97E39}</b:Guid>
    <b:Title>Development of the generic drug industry in the US after the Hatch-Waxman Act of 1984</b:Title>
    <b:Year>2013</b:Year>
    <b:PeriodicalTitle>Acta Pharmaceutica Sinica B</b:PeriodicalTitle>
    <b:Author>
      <b:Author>
        <b:NameList>
          <b:Person>
            <b:Last>Boehm</b:Last>
            <b:First>G.</b:First>
          </b:Person>
          <b:Person>
            <b:Last>Yao</b:Last>
            <b:First>L.</b:First>
          </b:Person>
          <b:Person>
            <b:Last>Han</b:Last>
            <b:First>L.</b:First>
          </b:Person>
          <b:Person>
            <b:Last>Zheng</b:Last>
            <b:First>Q.</b:First>
          </b:Person>
        </b:NameList>
      </b:Author>
    </b:Author>
    <b:Month>September</b:Month>
    <b:Pages>297-311</b:Pages>
    <b:RefOrder>3</b:RefOrder>
  </b:Source>
  <b:Source>
    <b:Tag>Mor97</b:Tag>
    <b:SourceType>JournalArticle</b:SourceType>
    <b:Guid>{775A8FE6-113D-4C6E-94F9-63116BA5E4E1}</b:Guid>
    <b:Title>Entry decisions in the generic pharmaceutical industry</b:Title>
    <b:Year>1997</b:Year>
    <b:Pages>Working Paper 6190</b:Pages>
    <b:JournalName>National Bureau of Economic Research</b:JournalName>
    <b:Author>
      <b:Author>
        <b:NameList>
          <b:Person>
            <b:Last>Morton</b:Last>
            <b:First>F.M.S.</b:First>
          </b:Person>
        </b:NameList>
      </b:Author>
    </b:Author>
    <b:RefOrder>20</b:RefOrder>
  </b:Source>
  <b:Source>
    <b:Tag>Ber07</b:Tag>
    <b:SourceType>JournalArticle</b:SourceType>
    <b:Guid>{E1F3CF53-D0AF-4871-8C57-51CB28FD67AC}</b:Guid>
    <b:Title>Authorized Generic Drugs, Price Competition, And Consumers' Welfare</b:Title>
    <b:Year>2007</b:Year>
    <b:JournalName>Health Affairs</b:JournalName>
    <b:Pages>790-799</b:Pages>
    <b:Author>
      <b:Author>
        <b:NameList>
          <b:Person>
            <b:Last>Berndt</b:Last>
            <b:First>E.R.</b:First>
          </b:Person>
          <b:Person>
            <b:Last>Mortimer</b:Last>
            <b:First>R.</b:First>
          </b:Person>
          <b:Person>
            <b:Last>Bhattacharjya</b:Last>
            <b:First>A.</b:First>
          </b:Person>
          <b:Person>
            <b:Last>Parece</b:Last>
            <b:First>A.</b:First>
          </b:Person>
          <b:Person>
            <b:Last>Tuttle</b:Last>
            <b:First>E.</b:First>
          </b:Person>
        </b:NameList>
      </b:Author>
    </b:Author>
    <b:RefOrder>7</b:RefOrder>
  </b:Source>
  <b:Source>
    <b:Tag>Fra95</b:Tag>
    <b:SourceType>JournalArticle</b:SourceType>
    <b:Guid>{B99182A6-5FC3-4BAC-A18E-F533AAB30B5E}</b:Guid>
    <b:Title>Generic Entry and the Pricing of Pharmaceuticals</b:Title>
    <b:JournalName>National Bureau of Economic Research</b:JournalName>
    <b:Year>1995</b:Year>
    <b:Pages>Working Paper 5306</b:Pages>
    <b:Author>
      <b:Author>
        <b:NameList>
          <b:Person>
            <b:Last>Frank</b:Last>
            <b:First>R.G.</b:First>
          </b:Person>
          <b:Person>
            <b:Last>Salkever</b:Last>
            <b:First>D.S.</b:First>
          </b:Person>
        </b:NameList>
      </b:Author>
    </b:Author>
    <b:RefOrder>9</b:RefOrder>
  </b:Source>
  <b:Source>
    <b:Tag>Sah06</b:Tag>
    <b:SourceType>JournalArticle</b:SourceType>
    <b:Guid>{5771BAC1-59EF-4156-AFCE-1AD55A493233}</b:Guid>
    <b:Title>Generic Competition in the US Pharmaceutical Industry</b:Title>
    <b:JournalName>International Journal of the Economics of Business</b:JournalName>
    <b:Year>2006</b:Year>
    <b:Pages>15-38</b:Pages>
    <b:Author>
      <b:Author>
        <b:NameList>
          <b:Person>
            <b:Last>Saha</b:Last>
            <b:First>A.</b:First>
          </b:Person>
          <b:Person>
            <b:Last>Grabowski</b:Last>
            <b:First>H.</b:First>
          </b:Person>
          <b:Person>
            <b:Last>Birnbaum</b:Last>
            <b:First>H.</b:First>
          </b:Person>
          <b:Person>
            <b:Last>Greenberg</b:Last>
            <b:First>P.</b:First>
          </b:Person>
          <b:Person>
            <b:Last>Bizan</b:Last>
            <b:First>O.</b:First>
          </b:Person>
        </b:NameList>
      </b:Author>
    </b:Author>
    <b:RefOrder>8</b:RefOrder>
  </b:Source>
  <b:Source>
    <b:Tag>Mos99</b:Tag>
    <b:SourceType>JournalArticle</b:SourceType>
    <b:Guid>{E81CB41D-62FB-4B60-A49E-B9608F75C050}</b:Guid>
    <b:Title>Overview of the Hatch-Waxman Act and its impact on the drug development process</b:Title>
    <b:JournalName>Food and Drug Law Journal</b:JournalName>
    <b:Year>1999</b:Year>
    <b:Pages>187-194</b:Pages>
    <b:Author>
      <b:Author>
        <b:NameList>
          <b:Person>
            <b:Last>Mossinghoff</b:Last>
            <b:First>G.J.</b:First>
          </b:Person>
        </b:NameList>
      </b:Author>
    </b:Author>
    <b:RefOrder>2</b:RefOrder>
  </b:Source>
  <b:Source>
    <b:Tag>Sch82</b:Tag>
    <b:SourceType>JournalArticle</b:SourceType>
    <b:Guid>{D4834B99-16AE-4811-9523-5CE50FF0F772}</b:Guid>
    <b:Title>Product Differentiation Advantages of Pioneering Brands</b:Title>
    <b:JournalName>The American Economic Review</b:JournalName>
    <b:Year>1982</b:Year>
    <b:Pages>349-365</b:Pages>
    <b:Author>
      <b:Author>
        <b:NameList>
          <b:Person>
            <b:Last>Schmalensee</b:Last>
            <b:First>R.</b:First>
          </b:Person>
        </b:NameList>
      </b:Author>
    </b:Author>
    <b:RefOrder>18</b:RefOrder>
  </b:Source>
  <b:Source>
    <b:Tag>Sch90</b:Tag>
    <b:SourceType>Book</b:SourceType>
    <b:Guid>{1F189D1B-E37F-4E73-9F8D-45D05E66D3B7}</b:Guid>
    <b:Title>Industrial Market Structure and Economic Performance</b:Title>
    <b:Year>1990</b:Year>
    <b:Publisher>Houghton Mifflin Company (3d ed.)</b:Publisher>
    <b:Author>
      <b:Author>
        <b:NameList>
          <b:Person>
            <b:Last>Scherer</b:Last>
            <b:First>F.M.</b:First>
          </b:Person>
          <b:Person>
            <b:Last>Ross</b:Last>
            <b:First>D.R.</b:First>
          </b:Person>
        </b:NameList>
      </b:Author>
    </b:Author>
    <b:RefOrder>19</b:RefOrder>
  </b:Source>
  <b:Source>
    <b:Tag>Gra92</b:Tag>
    <b:SourceType>JournalArticle</b:SourceType>
    <b:Guid>{764DC343-0F02-43FE-819B-EA110FA06662}</b:Guid>
    <b:Title>Brand Loyalty, Entry, and Price Competition in Pharmaceuticals afther the 1984 Drug Act</b:Title>
    <b:JournalName>The Journal of Law and Economics</b:JournalName>
    <b:Year>1992</b:Year>
    <b:Pages>331-350</b:Pages>
    <b:Author>
      <b:Author>
        <b:NameList>
          <b:Person>
            <b:Last>Grabowski</b:Last>
            <b:First>H.G.</b:First>
          </b:Person>
          <b:Person>
            <b:Last>Vernon</b:Last>
            <b:First>J.M.</b:First>
          </b:Person>
        </b:NameList>
      </b:Author>
    </b:Author>
    <b:RefOrder>11</b:RefOrder>
  </b:Source>
  <b:Source>
    <b:Tag>Ver79</b:Tag>
    <b:SourceType>JournalArticle</b:SourceType>
    <b:Guid>{AE423E82-D48D-48EF-BCB0-32806DFE7E87}</b:Guid>
    <b:Title>Substition Laws and Innovation in the Pharmaceutical Industry</b:Title>
    <b:Year>1979</b:Year>
    <b:JournalName>Law and Contemporary Problems</b:JournalName>
    <b:Pages>43-66</b:Pages>
    <b:Author>
      <b:Author>
        <b:NameList>
          <b:Person>
            <b:Last>Grabowski</b:Last>
            <b:First>H.G.</b:First>
          </b:Person>
          <b:Person>
            <b:Last>Vernon</b:Last>
            <b:First>J.M.</b:First>
          </b:Person>
        </b:NameList>
      </b:Author>
    </b:Author>
    <b:RefOrder>10</b:RefOrder>
  </b:Source>
  <b:Source>
    <b:Tag>USF18</b:Tag>
    <b:SourceType>DocumentFromInternetSite</b:SourceType>
    <b:Guid>{62221CF2-53A6-41F3-B97C-00427288D05C}</b:Guid>
    <b:Title>Code of Federal Regulations Title 21</b:Title>
    <b:Year>2018</b:Year>
    <b:Author>
      <b:Author>
        <b:Corporate>U.S. Food &amp; Drug Administration</b:Corporate>
      </b:Author>
    </b:Author>
    <b:Month>April</b:Month>
    <b:Day>1</b:Day>
    <b:URL>https://www.accessdata.fda.gov</b:URL>
    <b:RefOrder>12</b:RefOrder>
  </b:Source>
  <b:Source>
    <b:Tag>Hon05</b:Tag>
    <b:SourceType>JournalArticle</b:SourceType>
    <b:Guid>{D66B51B9-A46C-41CC-A355-15E5D16CACEF}</b:Guid>
    <b:Title>Product-LIne Extensions and Pricing Strategies of Brand-Name Drugs Facing Patent Expiration</b:Title>
    <b:Year>2005</b:Year>
    <b:Author>
      <b:Author>
        <b:NameList>
          <b:Person>
            <b:Last>Hong</b:Last>
            <b:First>S.H.</b:First>
          </b:Person>
          <b:Person>
            <b:Last>Shepherd</b:Last>
            <b:First>M.D.</b:First>
          </b:Person>
          <b:Person>
            <b:Last>Scoones</b:Last>
            <b:First>D.</b:First>
          </b:Person>
          <b:Person>
            <b:Last>Wan</b:Last>
            <b:First>T.T.H.</b:First>
          </b:Person>
        </b:NameList>
      </b:Author>
    </b:Author>
    <b:JournalName>Journal of Managed Care Pharmacy</b:JournalName>
    <b:Pages>746-754</b:Pages>
    <b:RefOrder>14</b:RefOrder>
  </b:Source>
  <b:Source>
    <b:Tag>Hav18</b:Tag>
    <b:SourceType>DocumentFromInternetSite</b:SourceType>
    <b:Guid>{E30CF483-5A0C-48BE-AF72-2DD87BEDE6B2}</b:Guid>
    <b:Title>Do generic drugs compromise on quality?</b:Title>
    <b:Year>2018</b:Year>
    <b:Author>
      <b:Author>
        <b:Corporate>Havard Women's Health Watch</b:Corporate>
      </b:Author>
    </b:Author>
    <b:InternetSiteTitle>Harvard Health Publishing; Harvard Medical School</b:InternetSiteTitle>
    <b:Month>January</b:Month>
    <b:URL>https://www.health.harvard.edu</b:URL>
    <b:RefOrder>21</b:RefOrder>
  </b:Source>
  <b:Source>
    <b:Tag>Kad98</b:Tag>
    <b:SourceType>JournalArticle</b:SourceType>
    <b:Guid>{28927073-8EF3-4026-B756-6F55039EF656}</b:Guid>
    <b:Title>Product line extensions and competitive market interactions: An empirical analysis</b:Title>
    <b:JournalName>Journal of Econometrics</b:JournalName>
    <b:Year>1998</b:Year>
    <b:Pages>339-363</b:Pages>
    <b:Author>
      <b:Author>
        <b:NameList>
          <b:Person>
            <b:Last>Kadiyali</b:Last>
            <b:First>V.</b:First>
          </b:Person>
          <b:Person>
            <b:Last>Vilcassim</b:Last>
            <b:First>N.</b:First>
          </b:Person>
          <b:Person>
            <b:Last>Chintagunta</b:Last>
            <b:First>P.</b:First>
          </b:Person>
        </b:NameList>
      </b:Author>
    </b:Author>
    <b:RefOrder>22</b:RefOrder>
  </b:Source>
  <b:Source>
    <b:Tag>Far07</b:Tag>
    <b:SourceType>JournalArticle</b:SourceType>
    <b:Guid>{57E949CF-C264-47EF-A0D8-4C6A71904FFD}</b:Guid>
    <b:Title>Coordination and Lock-In: Competition with Switching Costs and Network Effects</b:Title>
    <b:JournalName>Handbook of Industrian Organization</b:JournalName>
    <b:Year>2007</b:Year>
    <b:Pages>1970-2056</b:Pages>
    <b:Author>
      <b:Author>
        <b:NameList>
          <b:Person>
            <b:Last>Farrell</b:Last>
            <b:First>J.</b:First>
          </b:Person>
          <b:Person>
            <b:Last>Klemperer</b:Last>
            <b:First>P.</b:First>
          </b:Person>
        </b:NameList>
      </b:Author>
    </b:Author>
    <b:RefOrder>23</b:RefOrder>
  </b:Source>
  <b:Source>
    <b:Tag>Rum09</b:Tag>
    <b:SourceType>DocumentFromInternetSite</b:SourceType>
    <b:Guid>{E533DFBB-5EE8-4578-9B19-C157CCD2F8F3}</b:Guid>
    <b:Title>The Hatch-Waxman Act - 25 Years Later: Keeping the Pharmaceutical Scales Balanced</b:Title>
    <b:Year>2009</b:Year>
    <b:InternetSiteTitle>Pharmacy Times</b:InternetSiteTitle>
    <b:Month>August</b:Month>
    <b:Day>15</b:Day>
    <b:URL>https://www.pharmacytimes.com</b:URL>
    <b:Author>
      <b:Author>
        <b:NameList>
          <b:Person>
            <b:Last>Rumore</b:Last>
            <b:First>M.M.</b:First>
          </b:Person>
        </b:NameList>
      </b:Author>
    </b:Author>
    <b:RefOrder>1</b:RefOrder>
  </b:Source>
  <b:Source>
    <b:Tag>Fra91</b:Tag>
    <b:SourceType>JournalArticle</b:SourceType>
    <b:Guid>{BC65DFC0-B3C9-4B6C-9F71-0029A154CB3E}</b:Guid>
    <b:Title>Pricing, Patent Loss and the Market for Pharmaceuticals</b:Title>
    <b:Year>1991</b:Year>
    <b:Author>
      <b:Author>
        <b:NameList>
          <b:Person>
            <b:Last>Frank</b:Last>
            <b:First>R.G.</b:First>
          </b:Person>
          <b:Person>
            <b:Last>Salkever</b:Last>
            <b:First>D.S.</b:First>
          </b:Person>
        </b:NameList>
      </b:Author>
    </b:Author>
    <b:JournalName>National Bureau of Economic Research</b:JournalName>
    <b:Pages>Working Paper 3803</b:Pages>
    <b:RefOrder>13</b:RefOrder>
  </b:Source>
  <b:Source>
    <b:Tag>Zha08</b:Tag>
    <b:SourceType>JournalArticle</b:SourceType>
    <b:Guid>{7EF269AE-5E27-422B-B11B-DAF72D3850C5}</b:Guid>
    <b:Title>Impact of Medicare Part D Plan Features on Use of Generic Drugs</b:Title>
    <b:Year>2008</b:Year>
    <b:JournalName>Journal of General Internal Medicine</b:JournalName>
    <b:Pages>1673-1678</b:Pages>
    <b:Author>
      <b:Author>
        <b:NameList>
          <b:Person>
            <b:Last>Zhang</b:Last>
            <b:First>J.</b:First>
          </b:Person>
          <b:Person>
            <b:Last>Yin</b:Last>
            <b:First>W.</b:First>
          </b:Person>
          <b:Person>
            <b:Last>Sun</b:Last>
            <b:First>S.</b:First>
          </b:Person>
          <b:Person>
            <b:Last>Alexander</b:Last>
            <b:First>G.</b:First>
          </b:Person>
        </b:NameList>
      </b:Author>
    </b:Author>
    <b:RefOrder>6</b:RefOrder>
  </b:Source>
  <b:Source>
    <b:Tag>Gra10</b:Tag>
    <b:SourceType>JournalArticle</b:SourceType>
    <b:Guid>{76CC92DA-FC77-4221-BD51-0325DE33EF0D}</b:Guid>
    <b:Title>Entry Deterrence and Mergers under Price Competition in Pharmaceutical Markets</b:Title>
    <b:JournalName>Applied Economics</b:JournalName>
    <b:Year>2010</b:Year>
    <b:Pages>297-309</b:Pages>
    <b:Author>
      <b:Author>
        <b:NameList>
          <b:Person>
            <b:Last>Granier</b:Last>
            <b:First>L.</b:First>
          </b:Person>
          <b:Person>
            <b:Last>Trinquard</b:Last>
            <b:First>S.</b:First>
          </b:Person>
        </b:NameList>
      </b:Author>
    </b:Author>
    <b:RefOrder>15</b:RefOrder>
  </b:Source>
  <b:Source>
    <b:Tag>Kon09</b:Tag>
    <b:SourceType>JournalArticle</b:SourceType>
    <b:Guid>{F886A9DA-304B-4259-B7AC-9CDB64C84A87}</b:Guid>
    <b:Title>Competition between brand‐name and generics - analysis on pricing of brand‐name pharmaceutical</b:Title>
    <b:JournalName>Health Economics</b:JournalName>
    <b:Year>2009</b:Year>
    <b:Pages>591-606</b:Pages>
    <b:Author>
      <b:Author>
        <b:NameList>
          <b:Person>
            <b:Last>Kong</b:Last>
            <b:First>Y.</b:First>
          </b:Person>
        </b:NameList>
      </b:Author>
    </b:Author>
    <b:RefOrder>16</b:RefOrder>
  </b:Source>
  <b:Source>
    <b:Tag>Chi10</b:Tag>
    <b:SourceType>JournalArticle</b:SourceType>
    <b:Guid>{11DED225-CB93-4926-B4D3-CD6C187F37A3}</b:Guid>
    <b:Title>Consumer learning and heterogeneity: Dynamics of demand for prescription drugs after patent expiration</b:Title>
    <b:JournalName>International Journal of Industrial Organization</b:JournalName>
    <b:Year>2010</b:Year>
    <b:Pages>619-638</b:Pages>
    <b:Author>
      <b:Author>
        <b:NameList>
          <b:Person>
            <b:Last>Ching</b:Last>
            <b:First>A.T.</b:First>
          </b:Person>
        </b:NameList>
      </b:Author>
    </b:Author>
    <b:RefOrder>17</b:RefOrder>
  </b:Source>
  <b:Source>
    <b:Tag>IQV18</b:Tag>
    <b:SourceType>Report</b:SourceType>
    <b:Guid>{72B866DC-3257-473C-9EC7-4B9973FBFDA6}</b:Guid>
    <b:Year>2017</b:Year>
    <b:Author>
      <b:Author>
        <b:Corporate>IMS Health</b:Corporate>
      </b:Author>
    </b:Author>
    <b:Publisher>Journal of Medical Economics and Corporate Research</b:Publisher>
    <b:RefOrder>4</b:RefOrder>
  </b:Source>
  <b:Source>
    <b:Tag>DeR121</b:Tag>
    <b:SourceType>ArticleInAPeriodical</b:SourceType>
    <b:Guid>{2971AA47-207A-472C-AA79-4BB04D719E56}</b:Guid>
    <b:Title>Drug Patent Expirations and the “Patent Cliff”</b:Title>
    <b:JournalName>U.S. Pharmacist</b:JournalName>
    <b:Year>2012</b:Year>
    <b:Pages>12-20</b:Pages>
    <b:Author>
      <b:Author>
        <b:NameList>
          <b:Person>
            <b:Last>DeRuiter</b:Last>
            <b:First>J.</b:First>
          </b:Person>
          <b:Person>
            <b:Last>Holston</b:Last>
            <b:First>P.L.</b:First>
          </b:Person>
        </b:NameList>
      </b:Author>
    </b:Author>
    <b:PeriodicalTitle>U.S. Pharmacist</b:PeriodicalTitle>
    <b:Month>June</b:Month>
    <b:Day>20</b:Day>
    <b:RefOrder>5</b:RefOrder>
  </b:Source>
</b:Sources>
</file>

<file path=customXml/itemProps1.xml><?xml version="1.0" encoding="utf-8"?>
<ds:datastoreItem xmlns:ds="http://schemas.openxmlformats.org/officeDocument/2006/customXml" ds:itemID="{084EB433-1BD0-41B9-8F99-AE3277AF8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8918</TotalTime>
  <Pages>30</Pages>
  <Words>7803</Words>
  <Characters>44483</Characters>
  <Application>Microsoft Office Word</Application>
  <DocSecurity>0</DocSecurity>
  <Lines>370</Lines>
  <Paragraphs>104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Daniëlle van Buuren</dc:creator>
  <cp:keywords/>
  <dc:description/>
  <cp:lastModifiedBy>Daniëlle van Buuren</cp:lastModifiedBy>
  <cp:revision>96</cp:revision>
  <dcterms:created xsi:type="dcterms:W3CDTF">2019-04-15T15:11:00Z</dcterms:created>
  <dcterms:modified xsi:type="dcterms:W3CDTF">2019-07-23T13:25:00Z</dcterms:modified>
</cp:coreProperties>
</file>