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6F90F" w14:textId="77777777" w:rsidR="002A3E08" w:rsidRDefault="00F35E89" w:rsidP="007D5961">
      <w:pPr>
        <w:pBdr>
          <w:top w:val="nil"/>
          <w:left w:val="nil"/>
          <w:bottom w:val="nil"/>
          <w:right w:val="nil"/>
          <w:between w:val="nil"/>
        </w:pBdr>
        <w:spacing w:after="39" w:line="360" w:lineRule="auto"/>
        <w:rPr>
          <w:rFonts w:ascii="Times New Roman" w:hAnsi="Times New Roman" w:cs="Times New Roman"/>
        </w:rPr>
      </w:pPr>
      <w:bookmarkStart w:id="0" w:name="_GoBack"/>
      <w:bookmarkEnd w:id="0"/>
      <w:r w:rsidRPr="00476061">
        <w:rPr>
          <w:rFonts w:ascii="Times New Roman" w:hAnsi="Times New Roman" w:cs="Times New Roman"/>
        </w:rPr>
        <w:t xml:space="preserve">ERASMUS UNIVERSITY ROTTERDAM </w:t>
      </w:r>
    </w:p>
    <w:p w14:paraId="6679A6E5" w14:textId="7429D115" w:rsidR="00476061" w:rsidRPr="00476061" w:rsidRDefault="00F35E89" w:rsidP="007D5961">
      <w:pPr>
        <w:pBdr>
          <w:top w:val="nil"/>
          <w:left w:val="nil"/>
          <w:bottom w:val="nil"/>
          <w:right w:val="nil"/>
          <w:between w:val="nil"/>
        </w:pBdr>
        <w:spacing w:after="39" w:line="360" w:lineRule="auto"/>
        <w:rPr>
          <w:rFonts w:ascii="Times New Roman" w:hAnsi="Times New Roman" w:cs="Times New Roman"/>
        </w:rPr>
      </w:pPr>
      <w:r w:rsidRPr="00476061">
        <w:rPr>
          <w:rFonts w:ascii="Times New Roman" w:hAnsi="Times New Roman" w:cs="Times New Roman"/>
        </w:rPr>
        <w:t xml:space="preserve">Erasmus School of Economics </w:t>
      </w:r>
    </w:p>
    <w:p w14:paraId="14E35FCB" w14:textId="3D2DD3A3" w:rsidR="00476061" w:rsidRPr="00476061" w:rsidRDefault="00F35E89" w:rsidP="007D5961">
      <w:pPr>
        <w:pBdr>
          <w:top w:val="nil"/>
          <w:left w:val="nil"/>
          <w:bottom w:val="nil"/>
          <w:right w:val="nil"/>
          <w:between w:val="nil"/>
        </w:pBdr>
        <w:spacing w:after="39" w:line="360" w:lineRule="auto"/>
        <w:rPr>
          <w:rFonts w:ascii="Times New Roman" w:hAnsi="Times New Roman" w:cs="Times New Roman"/>
        </w:rPr>
      </w:pPr>
      <w:r w:rsidRPr="00476061">
        <w:rPr>
          <w:rFonts w:ascii="Times New Roman" w:hAnsi="Times New Roman" w:cs="Times New Roman"/>
        </w:rPr>
        <w:t xml:space="preserve">Bachelor Thesis </w:t>
      </w:r>
      <w:r w:rsidR="002A3E08">
        <w:rPr>
          <w:rFonts w:ascii="Times New Roman" w:hAnsi="Times New Roman" w:cs="Times New Roman"/>
        </w:rPr>
        <w:t>Financial Economics</w:t>
      </w:r>
      <w:r w:rsidRPr="00476061">
        <w:rPr>
          <w:rFonts w:ascii="Times New Roman" w:hAnsi="Times New Roman" w:cs="Times New Roman"/>
        </w:rPr>
        <w:t xml:space="preserve"> </w:t>
      </w:r>
    </w:p>
    <w:p w14:paraId="2CB442E6" w14:textId="77777777" w:rsidR="00476061" w:rsidRPr="00476061" w:rsidRDefault="00476061" w:rsidP="00476061">
      <w:pPr>
        <w:pBdr>
          <w:top w:val="nil"/>
          <w:left w:val="nil"/>
          <w:bottom w:val="nil"/>
          <w:right w:val="nil"/>
          <w:between w:val="nil"/>
        </w:pBdr>
        <w:spacing w:after="39" w:line="360" w:lineRule="auto"/>
        <w:rPr>
          <w:rFonts w:ascii="Times New Roman" w:hAnsi="Times New Roman" w:cs="Times New Roman"/>
        </w:rPr>
      </w:pPr>
    </w:p>
    <w:p w14:paraId="2F152E5E" w14:textId="77777777" w:rsidR="002855A5" w:rsidRDefault="002855A5" w:rsidP="002E5434">
      <w:pPr>
        <w:pBdr>
          <w:top w:val="nil"/>
          <w:left w:val="nil"/>
          <w:bottom w:val="nil"/>
          <w:right w:val="nil"/>
          <w:between w:val="nil"/>
        </w:pBdr>
        <w:spacing w:after="39" w:line="360" w:lineRule="auto"/>
        <w:jc w:val="center"/>
        <w:rPr>
          <w:rFonts w:ascii="Times New Roman" w:hAnsi="Times New Roman" w:cs="Times New Roman"/>
          <w:sz w:val="30"/>
          <w:szCs w:val="30"/>
        </w:rPr>
      </w:pPr>
    </w:p>
    <w:p w14:paraId="291E759C" w14:textId="4BF75F1F" w:rsidR="002A3E08" w:rsidRDefault="00F35E89" w:rsidP="00BD4369">
      <w:pPr>
        <w:pBdr>
          <w:top w:val="nil"/>
          <w:left w:val="nil"/>
          <w:bottom w:val="nil"/>
          <w:right w:val="nil"/>
          <w:between w:val="nil"/>
        </w:pBdr>
        <w:spacing w:after="39" w:line="360" w:lineRule="auto"/>
        <w:jc w:val="center"/>
        <w:rPr>
          <w:rFonts w:ascii="Times New Roman" w:hAnsi="Times New Roman" w:cs="Times New Roman"/>
          <w:sz w:val="30"/>
          <w:szCs w:val="30"/>
        </w:rPr>
      </w:pPr>
      <w:r>
        <w:rPr>
          <w:rFonts w:ascii="Times New Roman" w:hAnsi="Times New Roman" w:cs="Times New Roman"/>
          <w:sz w:val="30"/>
          <w:szCs w:val="30"/>
        </w:rPr>
        <w:t>Do Actively Managed Mutual Funds Beat Their Benchmarks?</w:t>
      </w:r>
    </w:p>
    <w:p w14:paraId="1C648CEF" w14:textId="52330D30" w:rsidR="00F9200F" w:rsidRPr="001240CC" w:rsidRDefault="00F35E89" w:rsidP="00BD4369">
      <w:pPr>
        <w:pBdr>
          <w:top w:val="nil"/>
          <w:left w:val="nil"/>
          <w:bottom w:val="nil"/>
          <w:right w:val="nil"/>
          <w:between w:val="nil"/>
        </w:pBdr>
        <w:spacing w:after="39" w:line="360" w:lineRule="auto"/>
        <w:jc w:val="center"/>
        <w:rPr>
          <w:rFonts w:ascii="Times New Roman" w:hAnsi="Times New Roman" w:cs="Times New Roman"/>
        </w:rPr>
      </w:pPr>
      <w:r>
        <w:rPr>
          <w:rFonts w:ascii="Times New Roman" w:hAnsi="Times New Roman" w:cs="Times New Roman"/>
          <w:sz w:val="30"/>
          <w:szCs w:val="30"/>
        </w:rPr>
        <w:t xml:space="preserve">An Evaluation of Mutual Fund Performance in </w:t>
      </w:r>
      <w:r w:rsidR="00CB42C9">
        <w:rPr>
          <w:rFonts w:ascii="Times New Roman" w:hAnsi="Times New Roman" w:cs="Times New Roman"/>
          <w:sz w:val="30"/>
          <w:szCs w:val="30"/>
        </w:rPr>
        <w:t>Eight</w:t>
      </w:r>
      <w:r>
        <w:rPr>
          <w:rFonts w:ascii="Times New Roman" w:hAnsi="Times New Roman" w:cs="Times New Roman"/>
          <w:sz w:val="30"/>
          <w:szCs w:val="30"/>
        </w:rPr>
        <w:t xml:space="preserve"> Countries</w:t>
      </w:r>
    </w:p>
    <w:p w14:paraId="51E3F914" w14:textId="054B1C41" w:rsidR="002855A5" w:rsidRDefault="002855A5" w:rsidP="00476061">
      <w:pPr>
        <w:pBdr>
          <w:top w:val="nil"/>
          <w:left w:val="nil"/>
          <w:bottom w:val="nil"/>
          <w:right w:val="nil"/>
          <w:between w:val="nil"/>
        </w:pBdr>
        <w:spacing w:after="39" w:line="360" w:lineRule="auto"/>
        <w:rPr>
          <w:rFonts w:ascii="Times New Roman" w:hAnsi="Times New Roman" w:cs="Times New Roman"/>
          <w:lang w:val="en-GB"/>
        </w:rPr>
      </w:pPr>
    </w:p>
    <w:p w14:paraId="2D878E4B" w14:textId="77777777" w:rsidR="00B360F7" w:rsidRPr="00E613EF" w:rsidRDefault="00B360F7" w:rsidP="00476061">
      <w:pPr>
        <w:pBdr>
          <w:top w:val="nil"/>
          <w:left w:val="nil"/>
          <w:bottom w:val="nil"/>
          <w:right w:val="nil"/>
          <w:between w:val="nil"/>
        </w:pBdr>
        <w:spacing w:after="39" w:line="360" w:lineRule="auto"/>
        <w:rPr>
          <w:rFonts w:ascii="Times New Roman" w:hAnsi="Times New Roman" w:cs="Times New Roman"/>
          <w:lang w:val="en-GB"/>
        </w:rPr>
      </w:pPr>
    </w:p>
    <w:p w14:paraId="1A773D9C" w14:textId="5256400C" w:rsidR="00476061" w:rsidRPr="00520F51" w:rsidRDefault="00F35E89" w:rsidP="00476061">
      <w:pPr>
        <w:pBdr>
          <w:top w:val="nil"/>
          <w:left w:val="nil"/>
          <w:bottom w:val="nil"/>
          <w:right w:val="nil"/>
          <w:between w:val="nil"/>
        </w:pBdr>
        <w:spacing w:after="39" w:line="360" w:lineRule="auto"/>
        <w:rPr>
          <w:rFonts w:ascii="Times New Roman" w:hAnsi="Times New Roman" w:cs="Times New Roman"/>
          <w:lang w:val="nl-NL"/>
        </w:rPr>
      </w:pPr>
      <w:r w:rsidRPr="00520F51">
        <w:rPr>
          <w:rFonts w:ascii="Times New Roman" w:hAnsi="Times New Roman" w:cs="Times New Roman"/>
          <w:lang w:val="nl-NL"/>
        </w:rPr>
        <w:t xml:space="preserve">Name student: </w:t>
      </w:r>
      <w:r w:rsidR="00520F51" w:rsidRPr="00520F51">
        <w:rPr>
          <w:rFonts w:ascii="Times New Roman" w:hAnsi="Times New Roman" w:cs="Times New Roman"/>
          <w:lang w:val="nl-NL"/>
        </w:rPr>
        <w:t>Ozan Celik</w:t>
      </w:r>
      <w:r w:rsidRPr="00520F51">
        <w:rPr>
          <w:rFonts w:ascii="Times New Roman" w:hAnsi="Times New Roman" w:cs="Times New Roman"/>
          <w:lang w:val="nl-NL"/>
        </w:rPr>
        <w:t xml:space="preserve"> </w:t>
      </w:r>
    </w:p>
    <w:p w14:paraId="559BCEFF" w14:textId="7455F5B9" w:rsidR="00476061" w:rsidRPr="00520F51" w:rsidRDefault="00F35E89" w:rsidP="00476061">
      <w:pPr>
        <w:pBdr>
          <w:top w:val="nil"/>
          <w:left w:val="nil"/>
          <w:bottom w:val="nil"/>
          <w:right w:val="nil"/>
          <w:between w:val="nil"/>
        </w:pBdr>
        <w:spacing w:after="39" w:line="360" w:lineRule="auto"/>
        <w:rPr>
          <w:rFonts w:ascii="Times New Roman" w:hAnsi="Times New Roman" w:cs="Times New Roman"/>
          <w:lang w:val="nl-NL"/>
        </w:rPr>
      </w:pPr>
      <w:r w:rsidRPr="00520F51">
        <w:rPr>
          <w:rFonts w:ascii="Times New Roman" w:hAnsi="Times New Roman" w:cs="Times New Roman"/>
          <w:lang w:val="nl-NL"/>
        </w:rPr>
        <w:t xml:space="preserve">Student ID </w:t>
      </w:r>
      <w:r w:rsidR="00A92C29">
        <w:rPr>
          <w:rFonts w:ascii="Times New Roman" w:hAnsi="Times New Roman" w:cs="Times New Roman"/>
          <w:lang w:val="nl-NL"/>
        </w:rPr>
        <w:t>N</w:t>
      </w:r>
      <w:r w:rsidRPr="00520F51">
        <w:rPr>
          <w:rFonts w:ascii="Times New Roman" w:hAnsi="Times New Roman" w:cs="Times New Roman"/>
          <w:lang w:val="nl-NL"/>
        </w:rPr>
        <w:t>umber: 450814</w:t>
      </w:r>
    </w:p>
    <w:p w14:paraId="26E7344B" w14:textId="77777777" w:rsidR="00476061" w:rsidRPr="00520F51" w:rsidRDefault="00476061" w:rsidP="00476061">
      <w:pPr>
        <w:pBdr>
          <w:top w:val="nil"/>
          <w:left w:val="nil"/>
          <w:bottom w:val="nil"/>
          <w:right w:val="nil"/>
          <w:between w:val="nil"/>
        </w:pBdr>
        <w:spacing w:after="39" w:line="360" w:lineRule="auto"/>
        <w:rPr>
          <w:rFonts w:ascii="Times New Roman" w:hAnsi="Times New Roman" w:cs="Times New Roman"/>
          <w:lang w:val="nl-NL"/>
        </w:rPr>
      </w:pPr>
    </w:p>
    <w:p w14:paraId="03CF6CF8" w14:textId="5975C024" w:rsidR="00476061" w:rsidRDefault="00F35E89" w:rsidP="00476061">
      <w:pPr>
        <w:pBdr>
          <w:top w:val="nil"/>
          <w:left w:val="nil"/>
          <w:bottom w:val="nil"/>
          <w:right w:val="nil"/>
          <w:between w:val="nil"/>
        </w:pBdr>
        <w:spacing w:after="39" w:line="360" w:lineRule="auto"/>
        <w:rPr>
          <w:rFonts w:ascii="Times New Roman" w:hAnsi="Times New Roman" w:cs="Times New Roman"/>
        </w:rPr>
      </w:pPr>
      <w:r w:rsidRPr="00476061">
        <w:rPr>
          <w:rFonts w:ascii="Times New Roman" w:hAnsi="Times New Roman" w:cs="Times New Roman"/>
        </w:rPr>
        <w:t>Supervisor:</w:t>
      </w:r>
      <w:r w:rsidR="000D3D10">
        <w:rPr>
          <w:rFonts w:ascii="Times New Roman" w:hAnsi="Times New Roman" w:cs="Times New Roman"/>
        </w:rPr>
        <w:t xml:space="preserve"> Dr.</w:t>
      </w:r>
      <w:r w:rsidRPr="00476061">
        <w:rPr>
          <w:rFonts w:ascii="Times New Roman" w:hAnsi="Times New Roman" w:cs="Times New Roman"/>
        </w:rPr>
        <w:t xml:space="preserve"> </w:t>
      </w:r>
      <w:r w:rsidR="000D3D10">
        <w:rPr>
          <w:rFonts w:ascii="Times New Roman" w:hAnsi="Times New Roman" w:cs="Times New Roman"/>
        </w:rPr>
        <w:t>Tim Eisert</w:t>
      </w:r>
    </w:p>
    <w:p w14:paraId="15591972" w14:textId="4C6C3B60" w:rsidR="002E03BF" w:rsidRPr="00476061" w:rsidRDefault="00F35E89" w:rsidP="00476061">
      <w:pPr>
        <w:pBdr>
          <w:top w:val="nil"/>
          <w:left w:val="nil"/>
          <w:bottom w:val="nil"/>
          <w:right w:val="nil"/>
          <w:between w:val="nil"/>
        </w:pBdr>
        <w:spacing w:after="39" w:line="360" w:lineRule="auto"/>
        <w:rPr>
          <w:rFonts w:ascii="Times New Roman" w:hAnsi="Times New Roman" w:cs="Times New Roman"/>
        </w:rPr>
      </w:pPr>
      <w:r>
        <w:rPr>
          <w:rFonts w:ascii="Times New Roman" w:hAnsi="Times New Roman" w:cs="Times New Roman"/>
        </w:rPr>
        <w:t xml:space="preserve">Second assessor: </w:t>
      </w:r>
      <w:r w:rsidR="00FF1B24">
        <w:rPr>
          <w:rFonts w:ascii="Times New Roman" w:hAnsi="Times New Roman" w:cs="Times New Roman"/>
        </w:rPr>
        <w:t>Ruben de Bliek</w:t>
      </w:r>
    </w:p>
    <w:p w14:paraId="6296A8E4" w14:textId="0EC71B87" w:rsidR="00476061" w:rsidRPr="00476061" w:rsidRDefault="00F35E89" w:rsidP="00476061">
      <w:pPr>
        <w:pBdr>
          <w:top w:val="nil"/>
          <w:left w:val="nil"/>
          <w:bottom w:val="nil"/>
          <w:right w:val="nil"/>
          <w:between w:val="nil"/>
        </w:pBdr>
        <w:spacing w:after="39" w:line="360" w:lineRule="auto"/>
        <w:rPr>
          <w:rFonts w:ascii="Times New Roman" w:hAnsi="Times New Roman" w:cs="Times New Roman"/>
        </w:rPr>
      </w:pPr>
      <w:r w:rsidRPr="00476061">
        <w:rPr>
          <w:rFonts w:ascii="Times New Roman" w:hAnsi="Times New Roman" w:cs="Times New Roman"/>
        </w:rPr>
        <w:t xml:space="preserve">Date final version:  </w:t>
      </w:r>
      <w:r w:rsidR="00CD0091">
        <w:rPr>
          <w:rFonts w:ascii="Times New Roman" w:hAnsi="Times New Roman" w:cs="Times New Roman"/>
        </w:rPr>
        <w:t>30/07/2019</w:t>
      </w:r>
    </w:p>
    <w:p w14:paraId="716C7F0C" w14:textId="77777777" w:rsidR="00476061" w:rsidRPr="00476061" w:rsidRDefault="00476061" w:rsidP="00476061">
      <w:pPr>
        <w:pBdr>
          <w:top w:val="nil"/>
          <w:left w:val="nil"/>
          <w:bottom w:val="nil"/>
          <w:right w:val="nil"/>
          <w:between w:val="nil"/>
        </w:pBdr>
        <w:spacing w:after="39" w:line="360" w:lineRule="auto"/>
        <w:rPr>
          <w:rFonts w:ascii="Times New Roman" w:hAnsi="Times New Roman" w:cs="Times New Roman"/>
        </w:rPr>
      </w:pPr>
    </w:p>
    <w:p w14:paraId="3FC18716" w14:textId="77777777" w:rsidR="00CD0091" w:rsidRDefault="00CD0091" w:rsidP="00CD0091">
      <w:pPr>
        <w:pBdr>
          <w:top w:val="nil"/>
          <w:left w:val="nil"/>
          <w:bottom w:val="nil"/>
          <w:right w:val="nil"/>
          <w:between w:val="nil"/>
        </w:pBdr>
        <w:spacing w:after="39" w:line="360" w:lineRule="auto"/>
        <w:rPr>
          <w:rFonts w:ascii="Times New Roman" w:hAnsi="Times New Roman" w:cs="Times New Roman"/>
          <w:b/>
          <w:bCs/>
        </w:rPr>
      </w:pPr>
    </w:p>
    <w:p w14:paraId="560BACD5" w14:textId="1AAB7C05" w:rsidR="00CD0091" w:rsidRPr="00CD0091" w:rsidRDefault="00F35E89" w:rsidP="00CD0091">
      <w:pPr>
        <w:pBdr>
          <w:top w:val="nil"/>
          <w:left w:val="nil"/>
          <w:bottom w:val="nil"/>
          <w:right w:val="nil"/>
          <w:between w:val="nil"/>
        </w:pBdr>
        <w:spacing w:after="39" w:line="360" w:lineRule="auto"/>
        <w:rPr>
          <w:rFonts w:ascii="Times New Roman" w:hAnsi="Times New Roman" w:cs="Times New Roman"/>
          <w:b/>
          <w:bCs/>
        </w:rPr>
      </w:pPr>
      <w:r w:rsidRPr="00CD0091">
        <w:rPr>
          <w:rFonts w:ascii="Times New Roman" w:hAnsi="Times New Roman" w:cs="Times New Roman"/>
          <w:b/>
          <w:bCs/>
        </w:rPr>
        <w:t>ABSTRACT</w:t>
      </w:r>
    </w:p>
    <w:p w14:paraId="791524E6" w14:textId="35D79C00" w:rsidR="00476061" w:rsidRPr="00476061" w:rsidRDefault="00F35E89" w:rsidP="00CD0091">
      <w:pPr>
        <w:pBdr>
          <w:top w:val="nil"/>
          <w:left w:val="nil"/>
          <w:bottom w:val="nil"/>
          <w:right w:val="nil"/>
          <w:between w:val="nil"/>
        </w:pBdr>
        <w:spacing w:after="39"/>
        <w:jc w:val="both"/>
        <w:rPr>
          <w:rFonts w:ascii="Times New Roman" w:hAnsi="Times New Roman" w:cs="Times New Roman"/>
        </w:rPr>
      </w:pPr>
      <w:r>
        <w:rPr>
          <w:rFonts w:ascii="Times New Roman" w:hAnsi="Times New Roman" w:cs="Times New Roman"/>
        </w:rPr>
        <w:t xml:space="preserve">Mutual funds continue to be one of the main investment tools for individual investors around the world. By the end of 2017, the global value of total assets under management by the open-ended mutual funds reached 49.3 trillion US dollars. The literature covered in this research reports the underperformance of active mutual funds compared to their passive benchmarks starting </w:t>
      </w:r>
      <w:r w:rsidRPr="0099564B">
        <w:rPr>
          <w:rFonts w:ascii="Times New Roman" w:hAnsi="Times New Roman" w:cs="Times New Roman"/>
        </w:rPr>
        <w:t xml:space="preserve">from 1945 until 2007. With using survivor-bias free data, this research evaluates the performances of the actively managed mutual funds across 8 countries for the period 2003-2018. </w:t>
      </w:r>
      <w:r w:rsidR="0099564B" w:rsidRPr="0099564B">
        <w:rPr>
          <w:rFonts w:ascii="Times New Roman" w:hAnsi="Times New Roman" w:cs="Times New Roman"/>
        </w:rPr>
        <w:t>Moreover, this thesis</w:t>
      </w:r>
      <w:r w:rsidRPr="0099564B">
        <w:rPr>
          <w:rFonts w:ascii="Times New Roman" w:hAnsi="Times New Roman" w:cs="Times New Roman"/>
        </w:rPr>
        <w:t xml:space="preserve"> </w:t>
      </w:r>
      <w:r w:rsidR="0099564B" w:rsidRPr="0099564B">
        <w:rPr>
          <w:rFonts w:ascii="Times New Roman" w:hAnsi="Times New Roman" w:cs="Times New Roman"/>
        </w:rPr>
        <w:t>assesses the relationship between</w:t>
      </w:r>
      <w:r w:rsidRPr="0099564B">
        <w:rPr>
          <w:rFonts w:ascii="Times New Roman" w:hAnsi="Times New Roman" w:cs="Times New Roman"/>
        </w:rPr>
        <w:t xml:space="preserve"> mutual fund performances and mutual fund characteristics in 3 of the sample countries. The results show the </w:t>
      </w:r>
      <w:r w:rsidR="00657F06" w:rsidRPr="0099564B">
        <w:rPr>
          <w:rFonts w:ascii="Times New Roman" w:hAnsi="Times New Roman" w:cs="Times New Roman"/>
        </w:rPr>
        <w:t>outperformance</w:t>
      </w:r>
      <w:r w:rsidRPr="0099564B">
        <w:rPr>
          <w:rFonts w:ascii="Times New Roman" w:hAnsi="Times New Roman" w:cs="Times New Roman"/>
        </w:rPr>
        <w:t xml:space="preserve"> of actively managed mutual funds in 7 of the sample countries and a significantly negative relationship between fund size and performance in all 3 of the sample countries.</w:t>
      </w:r>
      <w:r>
        <w:rPr>
          <w:rFonts w:ascii="Times New Roman" w:hAnsi="Times New Roman" w:cs="Times New Roman"/>
        </w:rPr>
        <w:t xml:space="preserve"> </w:t>
      </w:r>
    </w:p>
    <w:p w14:paraId="3B358E74" w14:textId="77777777" w:rsidR="00476061" w:rsidRPr="00476061" w:rsidRDefault="00476061" w:rsidP="00476061">
      <w:pPr>
        <w:pBdr>
          <w:top w:val="nil"/>
          <w:left w:val="nil"/>
          <w:bottom w:val="nil"/>
          <w:right w:val="nil"/>
          <w:between w:val="nil"/>
        </w:pBdr>
        <w:spacing w:after="39" w:line="360" w:lineRule="auto"/>
        <w:rPr>
          <w:rFonts w:ascii="Times New Roman" w:hAnsi="Times New Roman" w:cs="Times New Roman"/>
        </w:rPr>
      </w:pPr>
    </w:p>
    <w:p w14:paraId="6CB54620" w14:textId="77777777" w:rsidR="00476061" w:rsidRPr="00476061" w:rsidRDefault="00476061" w:rsidP="00476061">
      <w:pPr>
        <w:pBdr>
          <w:top w:val="nil"/>
          <w:left w:val="nil"/>
          <w:bottom w:val="nil"/>
          <w:right w:val="nil"/>
          <w:between w:val="nil"/>
        </w:pBdr>
        <w:spacing w:after="39" w:line="360" w:lineRule="auto"/>
        <w:rPr>
          <w:rFonts w:ascii="Times New Roman" w:hAnsi="Times New Roman" w:cs="Times New Roman"/>
        </w:rPr>
      </w:pPr>
    </w:p>
    <w:p w14:paraId="7D710FA4" w14:textId="707D1938" w:rsidR="00476061" w:rsidRPr="00476061" w:rsidRDefault="00476061" w:rsidP="00476061">
      <w:pPr>
        <w:pBdr>
          <w:top w:val="nil"/>
          <w:left w:val="nil"/>
          <w:bottom w:val="nil"/>
          <w:right w:val="nil"/>
          <w:between w:val="nil"/>
        </w:pBdr>
        <w:spacing w:after="39" w:line="360" w:lineRule="auto"/>
        <w:rPr>
          <w:rFonts w:ascii="Times New Roman" w:hAnsi="Times New Roman" w:cs="Times New Roman"/>
        </w:rPr>
      </w:pPr>
    </w:p>
    <w:p w14:paraId="74CD307D" w14:textId="69A7389D" w:rsidR="002B71CA" w:rsidRDefault="00F35E89" w:rsidP="00476061">
      <w:pPr>
        <w:pBdr>
          <w:top w:val="nil"/>
          <w:left w:val="nil"/>
          <w:bottom w:val="nil"/>
          <w:right w:val="nil"/>
          <w:between w:val="nil"/>
        </w:pBdr>
        <w:spacing w:after="39" w:line="360" w:lineRule="auto"/>
        <w:rPr>
          <w:rFonts w:ascii="Times New Roman" w:hAnsi="Times New Roman" w:cs="Times New Roman"/>
        </w:rPr>
      </w:pPr>
      <w:r w:rsidRPr="00476061">
        <w:rPr>
          <w:rFonts w:ascii="Times New Roman" w:hAnsi="Times New Roman" w:cs="Times New Roman"/>
        </w:rPr>
        <w:t>The views stated in this thesis are those of the author and not necessarily those of Erasmus School of Economics of Erasmus University Rotterdam.</w:t>
      </w:r>
    </w:p>
    <w:sdt>
      <w:sdtPr>
        <w:rPr>
          <w:rFonts w:ascii="Calibri" w:eastAsia="Calibri" w:hAnsi="Calibri" w:cs="Calibri"/>
          <w:b w:val="0"/>
          <w:bCs w:val="0"/>
          <w:color w:val="auto"/>
          <w:sz w:val="24"/>
          <w:szCs w:val="24"/>
        </w:rPr>
        <w:id w:val="-607114891"/>
        <w:docPartObj>
          <w:docPartGallery w:val="Table of Contents"/>
          <w:docPartUnique/>
        </w:docPartObj>
      </w:sdtPr>
      <w:sdtEndPr>
        <w:rPr>
          <w:noProof/>
        </w:rPr>
      </w:sdtEndPr>
      <w:sdtContent>
        <w:p w14:paraId="18C6B1E3" w14:textId="45C58642" w:rsidR="003C584F" w:rsidRPr="00B31F86" w:rsidRDefault="00F35E89">
          <w:pPr>
            <w:pStyle w:val="TOCHeading"/>
            <w:rPr>
              <w:rFonts w:ascii="Calibri" w:eastAsia="Calibri" w:hAnsi="Calibri" w:cs="Calibri"/>
              <w:b w:val="0"/>
              <w:bCs w:val="0"/>
              <w:color w:val="auto"/>
              <w:sz w:val="24"/>
              <w:szCs w:val="24"/>
            </w:rPr>
          </w:pPr>
          <w:r>
            <w:t>Table of Contents</w:t>
          </w:r>
        </w:p>
        <w:p w14:paraId="1A80E5AF" w14:textId="731A5A24" w:rsidR="00F400AE" w:rsidRDefault="00F35E89">
          <w:pPr>
            <w:pStyle w:val="TOC1"/>
            <w:tabs>
              <w:tab w:val="right" w:leader="dot" w:pos="9010"/>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15419034" w:history="1">
            <w:r w:rsidRPr="003D1FA8">
              <w:rPr>
                <w:rStyle w:val="Hyperlink"/>
                <w:noProof/>
              </w:rPr>
              <w:t>1. Introduction</w:t>
            </w:r>
            <w:r>
              <w:rPr>
                <w:noProof/>
                <w:webHidden/>
              </w:rPr>
              <w:tab/>
            </w:r>
            <w:r>
              <w:rPr>
                <w:noProof/>
                <w:webHidden/>
              </w:rPr>
              <w:fldChar w:fldCharType="begin"/>
            </w:r>
            <w:r>
              <w:rPr>
                <w:noProof/>
                <w:webHidden/>
              </w:rPr>
              <w:instrText xml:space="preserve"> PAGEREF _Toc15419034 \h </w:instrText>
            </w:r>
            <w:r>
              <w:rPr>
                <w:noProof/>
                <w:webHidden/>
              </w:rPr>
            </w:r>
            <w:r>
              <w:rPr>
                <w:noProof/>
                <w:webHidden/>
              </w:rPr>
              <w:fldChar w:fldCharType="separate"/>
            </w:r>
            <w:r>
              <w:rPr>
                <w:noProof/>
                <w:webHidden/>
              </w:rPr>
              <w:t>3</w:t>
            </w:r>
            <w:r>
              <w:rPr>
                <w:noProof/>
                <w:webHidden/>
              </w:rPr>
              <w:fldChar w:fldCharType="end"/>
            </w:r>
          </w:hyperlink>
        </w:p>
        <w:p w14:paraId="5DF82222" w14:textId="0565AFCF" w:rsidR="00F400AE" w:rsidRDefault="005B3234">
          <w:pPr>
            <w:pStyle w:val="TOC1"/>
            <w:tabs>
              <w:tab w:val="right" w:leader="dot" w:pos="9010"/>
            </w:tabs>
            <w:rPr>
              <w:rFonts w:eastAsiaTheme="minorEastAsia" w:cstheme="minorBidi"/>
              <w:b w:val="0"/>
              <w:bCs w:val="0"/>
              <w:i w:val="0"/>
              <w:iCs w:val="0"/>
              <w:noProof/>
              <w:lang w:eastAsia="en-GB"/>
            </w:rPr>
          </w:pPr>
          <w:hyperlink w:anchor="_Toc15419035" w:history="1">
            <w:r w:rsidR="00F35E89" w:rsidRPr="003D1FA8">
              <w:rPr>
                <w:rStyle w:val="Hyperlink"/>
                <w:rFonts w:ascii="Times New Roman" w:eastAsia="Times New Roman" w:hAnsi="Times New Roman" w:cs="Times New Roman"/>
                <w:noProof/>
              </w:rPr>
              <w:t>2. Theoretical Framework and Methodology</w:t>
            </w:r>
            <w:r w:rsidR="00F35E89">
              <w:rPr>
                <w:noProof/>
                <w:webHidden/>
              </w:rPr>
              <w:tab/>
            </w:r>
            <w:r w:rsidR="00F35E89">
              <w:rPr>
                <w:noProof/>
                <w:webHidden/>
              </w:rPr>
              <w:fldChar w:fldCharType="begin"/>
            </w:r>
            <w:r w:rsidR="00F35E89">
              <w:rPr>
                <w:noProof/>
                <w:webHidden/>
              </w:rPr>
              <w:instrText xml:space="preserve"> PAGEREF _Toc15419035 \h </w:instrText>
            </w:r>
            <w:r w:rsidR="00F35E89">
              <w:rPr>
                <w:noProof/>
                <w:webHidden/>
              </w:rPr>
            </w:r>
            <w:r w:rsidR="00F35E89">
              <w:rPr>
                <w:noProof/>
                <w:webHidden/>
              </w:rPr>
              <w:fldChar w:fldCharType="separate"/>
            </w:r>
            <w:r w:rsidR="00F35E89">
              <w:rPr>
                <w:noProof/>
                <w:webHidden/>
              </w:rPr>
              <w:t>5</w:t>
            </w:r>
            <w:r w:rsidR="00F35E89">
              <w:rPr>
                <w:noProof/>
                <w:webHidden/>
              </w:rPr>
              <w:fldChar w:fldCharType="end"/>
            </w:r>
          </w:hyperlink>
        </w:p>
        <w:p w14:paraId="13425359" w14:textId="27391B22" w:rsidR="00F400AE" w:rsidRDefault="005B3234">
          <w:pPr>
            <w:pStyle w:val="TOC2"/>
            <w:tabs>
              <w:tab w:val="right" w:leader="dot" w:pos="9010"/>
            </w:tabs>
            <w:rPr>
              <w:rFonts w:eastAsiaTheme="minorEastAsia" w:cstheme="minorBidi"/>
              <w:b w:val="0"/>
              <w:bCs w:val="0"/>
              <w:noProof/>
              <w:sz w:val="24"/>
              <w:szCs w:val="24"/>
              <w:lang w:eastAsia="en-GB"/>
            </w:rPr>
          </w:pPr>
          <w:hyperlink w:anchor="_Toc15419036" w:history="1">
            <w:r w:rsidR="00F35E89" w:rsidRPr="003D1FA8">
              <w:rPr>
                <w:rStyle w:val="Hyperlink"/>
                <w:noProof/>
              </w:rPr>
              <w:t>2.1 Performance Evaluation Methods</w:t>
            </w:r>
            <w:r w:rsidR="00F35E89">
              <w:rPr>
                <w:noProof/>
                <w:webHidden/>
              </w:rPr>
              <w:tab/>
            </w:r>
            <w:r w:rsidR="00F35E89">
              <w:rPr>
                <w:noProof/>
                <w:webHidden/>
              </w:rPr>
              <w:fldChar w:fldCharType="begin"/>
            </w:r>
            <w:r w:rsidR="00F35E89">
              <w:rPr>
                <w:noProof/>
                <w:webHidden/>
              </w:rPr>
              <w:instrText xml:space="preserve"> PAGEREF _Toc15419036 \h </w:instrText>
            </w:r>
            <w:r w:rsidR="00F35E89">
              <w:rPr>
                <w:noProof/>
                <w:webHidden/>
              </w:rPr>
            </w:r>
            <w:r w:rsidR="00F35E89">
              <w:rPr>
                <w:noProof/>
                <w:webHidden/>
              </w:rPr>
              <w:fldChar w:fldCharType="separate"/>
            </w:r>
            <w:r w:rsidR="00F35E89">
              <w:rPr>
                <w:noProof/>
                <w:webHidden/>
              </w:rPr>
              <w:t>5</w:t>
            </w:r>
            <w:r w:rsidR="00F35E89">
              <w:rPr>
                <w:noProof/>
                <w:webHidden/>
              </w:rPr>
              <w:fldChar w:fldCharType="end"/>
            </w:r>
          </w:hyperlink>
        </w:p>
        <w:p w14:paraId="72844928" w14:textId="42865900" w:rsidR="00F400AE" w:rsidRDefault="005B3234">
          <w:pPr>
            <w:pStyle w:val="TOC2"/>
            <w:tabs>
              <w:tab w:val="right" w:leader="dot" w:pos="9010"/>
            </w:tabs>
            <w:rPr>
              <w:rFonts w:eastAsiaTheme="minorEastAsia" w:cstheme="minorBidi"/>
              <w:b w:val="0"/>
              <w:bCs w:val="0"/>
              <w:noProof/>
              <w:sz w:val="24"/>
              <w:szCs w:val="24"/>
              <w:lang w:eastAsia="en-GB"/>
            </w:rPr>
          </w:pPr>
          <w:hyperlink w:anchor="_Toc15419037" w:history="1">
            <w:r w:rsidR="00F35E89" w:rsidRPr="003D1FA8">
              <w:rPr>
                <w:rStyle w:val="Hyperlink"/>
                <w:rFonts w:ascii="Times New Roman" w:hAnsi="Times New Roman" w:cs="Times New Roman"/>
                <w:noProof/>
              </w:rPr>
              <w:t>2.2 Value and Growth Stocks</w:t>
            </w:r>
            <w:r w:rsidR="00F35E89">
              <w:rPr>
                <w:noProof/>
                <w:webHidden/>
              </w:rPr>
              <w:tab/>
            </w:r>
            <w:r w:rsidR="00F35E89">
              <w:rPr>
                <w:noProof/>
                <w:webHidden/>
              </w:rPr>
              <w:fldChar w:fldCharType="begin"/>
            </w:r>
            <w:r w:rsidR="00F35E89">
              <w:rPr>
                <w:noProof/>
                <w:webHidden/>
              </w:rPr>
              <w:instrText xml:space="preserve"> PAGEREF _Toc15419037 \h </w:instrText>
            </w:r>
            <w:r w:rsidR="00F35E89">
              <w:rPr>
                <w:noProof/>
                <w:webHidden/>
              </w:rPr>
            </w:r>
            <w:r w:rsidR="00F35E89">
              <w:rPr>
                <w:noProof/>
                <w:webHidden/>
              </w:rPr>
              <w:fldChar w:fldCharType="separate"/>
            </w:r>
            <w:r w:rsidR="00F35E89">
              <w:rPr>
                <w:noProof/>
                <w:webHidden/>
              </w:rPr>
              <w:t>7</w:t>
            </w:r>
            <w:r w:rsidR="00F35E89">
              <w:rPr>
                <w:noProof/>
                <w:webHidden/>
              </w:rPr>
              <w:fldChar w:fldCharType="end"/>
            </w:r>
          </w:hyperlink>
        </w:p>
        <w:p w14:paraId="57F77CD7" w14:textId="46B097D1" w:rsidR="00F400AE" w:rsidRDefault="005B3234">
          <w:pPr>
            <w:pStyle w:val="TOC2"/>
            <w:tabs>
              <w:tab w:val="right" w:leader="dot" w:pos="9010"/>
            </w:tabs>
            <w:rPr>
              <w:rFonts w:eastAsiaTheme="minorEastAsia" w:cstheme="minorBidi"/>
              <w:b w:val="0"/>
              <w:bCs w:val="0"/>
              <w:noProof/>
              <w:sz w:val="24"/>
              <w:szCs w:val="24"/>
              <w:lang w:eastAsia="en-GB"/>
            </w:rPr>
          </w:pPr>
          <w:hyperlink w:anchor="_Toc15419038" w:history="1">
            <w:r w:rsidR="00F35E89" w:rsidRPr="003D1FA8">
              <w:rPr>
                <w:rStyle w:val="Hyperlink"/>
                <w:rFonts w:ascii="Times New Roman" w:hAnsi="Times New Roman" w:cs="Times New Roman"/>
                <w:noProof/>
              </w:rPr>
              <w:t>2.3 Fund Performance Characteristics</w:t>
            </w:r>
            <w:r w:rsidR="00F35E89">
              <w:rPr>
                <w:noProof/>
                <w:webHidden/>
              </w:rPr>
              <w:tab/>
            </w:r>
            <w:r w:rsidR="00F35E89">
              <w:rPr>
                <w:noProof/>
                <w:webHidden/>
              </w:rPr>
              <w:fldChar w:fldCharType="begin"/>
            </w:r>
            <w:r w:rsidR="00F35E89">
              <w:rPr>
                <w:noProof/>
                <w:webHidden/>
              </w:rPr>
              <w:instrText xml:space="preserve"> PAGEREF _Toc15419038 \h </w:instrText>
            </w:r>
            <w:r w:rsidR="00F35E89">
              <w:rPr>
                <w:noProof/>
                <w:webHidden/>
              </w:rPr>
            </w:r>
            <w:r w:rsidR="00F35E89">
              <w:rPr>
                <w:noProof/>
                <w:webHidden/>
              </w:rPr>
              <w:fldChar w:fldCharType="separate"/>
            </w:r>
            <w:r w:rsidR="00F35E89">
              <w:rPr>
                <w:noProof/>
                <w:webHidden/>
              </w:rPr>
              <w:t>8</w:t>
            </w:r>
            <w:r w:rsidR="00F35E89">
              <w:rPr>
                <w:noProof/>
                <w:webHidden/>
              </w:rPr>
              <w:fldChar w:fldCharType="end"/>
            </w:r>
          </w:hyperlink>
        </w:p>
        <w:p w14:paraId="4C7D20F1" w14:textId="37E18F52" w:rsidR="00F400AE" w:rsidRDefault="005B3234">
          <w:pPr>
            <w:pStyle w:val="TOC2"/>
            <w:tabs>
              <w:tab w:val="right" w:leader="dot" w:pos="9010"/>
            </w:tabs>
            <w:rPr>
              <w:rFonts w:eastAsiaTheme="minorEastAsia" w:cstheme="minorBidi"/>
              <w:b w:val="0"/>
              <w:bCs w:val="0"/>
              <w:noProof/>
              <w:sz w:val="24"/>
              <w:szCs w:val="24"/>
              <w:lang w:eastAsia="en-GB"/>
            </w:rPr>
          </w:pPr>
          <w:hyperlink w:anchor="_Toc15419039" w:history="1">
            <w:r w:rsidR="00F35E89" w:rsidRPr="003D1FA8">
              <w:rPr>
                <w:rStyle w:val="Hyperlink"/>
                <w:rFonts w:ascii="Times New Roman" w:hAnsi="Times New Roman" w:cs="Times New Roman"/>
                <w:noProof/>
              </w:rPr>
              <w:t>2.4 Model Selection</w:t>
            </w:r>
            <w:r w:rsidR="00F35E89">
              <w:rPr>
                <w:noProof/>
                <w:webHidden/>
              </w:rPr>
              <w:tab/>
            </w:r>
            <w:r w:rsidR="00F35E89">
              <w:rPr>
                <w:noProof/>
                <w:webHidden/>
              </w:rPr>
              <w:fldChar w:fldCharType="begin"/>
            </w:r>
            <w:r w:rsidR="00F35E89">
              <w:rPr>
                <w:noProof/>
                <w:webHidden/>
              </w:rPr>
              <w:instrText xml:space="preserve"> PAGEREF _Toc15419039 \h </w:instrText>
            </w:r>
            <w:r w:rsidR="00F35E89">
              <w:rPr>
                <w:noProof/>
                <w:webHidden/>
              </w:rPr>
            </w:r>
            <w:r w:rsidR="00F35E89">
              <w:rPr>
                <w:noProof/>
                <w:webHidden/>
              </w:rPr>
              <w:fldChar w:fldCharType="separate"/>
            </w:r>
            <w:r w:rsidR="00F35E89">
              <w:rPr>
                <w:noProof/>
                <w:webHidden/>
              </w:rPr>
              <w:t>9</w:t>
            </w:r>
            <w:r w:rsidR="00F35E89">
              <w:rPr>
                <w:noProof/>
                <w:webHidden/>
              </w:rPr>
              <w:fldChar w:fldCharType="end"/>
            </w:r>
          </w:hyperlink>
        </w:p>
        <w:p w14:paraId="77659969" w14:textId="22D07EF0" w:rsidR="00F400AE" w:rsidRDefault="005B3234">
          <w:pPr>
            <w:pStyle w:val="TOC1"/>
            <w:tabs>
              <w:tab w:val="right" w:leader="dot" w:pos="9010"/>
            </w:tabs>
            <w:rPr>
              <w:rFonts w:eastAsiaTheme="minorEastAsia" w:cstheme="minorBidi"/>
              <w:b w:val="0"/>
              <w:bCs w:val="0"/>
              <w:i w:val="0"/>
              <w:iCs w:val="0"/>
              <w:noProof/>
              <w:lang w:eastAsia="en-GB"/>
            </w:rPr>
          </w:pPr>
          <w:hyperlink w:anchor="_Toc15419040" w:history="1">
            <w:r w:rsidR="00F35E89" w:rsidRPr="003D1FA8">
              <w:rPr>
                <w:rStyle w:val="Hyperlink"/>
                <w:rFonts w:ascii="Times New Roman" w:eastAsia="Times New Roman" w:hAnsi="Times New Roman" w:cs="Times New Roman"/>
                <w:noProof/>
              </w:rPr>
              <w:t>3. Data</w:t>
            </w:r>
            <w:r w:rsidR="00F35E89">
              <w:rPr>
                <w:noProof/>
                <w:webHidden/>
              </w:rPr>
              <w:tab/>
            </w:r>
            <w:r w:rsidR="00F35E89">
              <w:rPr>
                <w:noProof/>
                <w:webHidden/>
              </w:rPr>
              <w:fldChar w:fldCharType="begin"/>
            </w:r>
            <w:r w:rsidR="00F35E89">
              <w:rPr>
                <w:noProof/>
                <w:webHidden/>
              </w:rPr>
              <w:instrText xml:space="preserve"> PAGEREF _Toc15419040 \h </w:instrText>
            </w:r>
            <w:r w:rsidR="00F35E89">
              <w:rPr>
                <w:noProof/>
                <w:webHidden/>
              </w:rPr>
            </w:r>
            <w:r w:rsidR="00F35E89">
              <w:rPr>
                <w:noProof/>
                <w:webHidden/>
              </w:rPr>
              <w:fldChar w:fldCharType="separate"/>
            </w:r>
            <w:r w:rsidR="00F35E89">
              <w:rPr>
                <w:noProof/>
                <w:webHidden/>
              </w:rPr>
              <w:t>10</w:t>
            </w:r>
            <w:r w:rsidR="00F35E89">
              <w:rPr>
                <w:noProof/>
                <w:webHidden/>
              </w:rPr>
              <w:fldChar w:fldCharType="end"/>
            </w:r>
          </w:hyperlink>
        </w:p>
        <w:p w14:paraId="0FBB4583" w14:textId="30A43B6B" w:rsidR="00F400AE" w:rsidRDefault="005B3234">
          <w:pPr>
            <w:pStyle w:val="TOC2"/>
            <w:tabs>
              <w:tab w:val="right" w:leader="dot" w:pos="9010"/>
            </w:tabs>
            <w:rPr>
              <w:rFonts w:eastAsiaTheme="minorEastAsia" w:cstheme="minorBidi"/>
              <w:b w:val="0"/>
              <w:bCs w:val="0"/>
              <w:noProof/>
              <w:sz w:val="24"/>
              <w:szCs w:val="24"/>
              <w:lang w:eastAsia="en-GB"/>
            </w:rPr>
          </w:pPr>
          <w:hyperlink w:anchor="_Toc15419041" w:history="1">
            <w:r w:rsidR="00F35E89" w:rsidRPr="003D1FA8">
              <w:rPr>
                <w:rStyle w:val="Hyperlink"/>
                <w:rFonts w:ascii="Times New Roman" w:hAnsi="Times New Roman" w:cs="Times New Roman"/>
                <w:noProof/>
              </w:rPr>
              <w:t>3.2 - Summary Statistics</w:t>
            </w:r>
            <w:r w:rsidR="00F35E89">
              <w:rPr>
                <w:noProof/>
                <w:webHidden/>
              </w:rPr>
              <w:tab/>
            </w:r>
            <w:r w:rsidR="00F35E89">
              <w:rPr>
                <w:noProof/>
                <w:webHidden/>
              </w:rPr>
              <w:fldChar w:fldCharType="begin"/>
            </w:r>
            <w:r w:rsidR="00F35E89">
              <w:rPr>
                <w:noProof/>
                <w:webHidden/>
              </w:rPr>
              <w:instrText xml:space="preserve"> PAGEREF _Toc15419041 \h </w:instrText>
            </w:r>
            <w:r w:rsidR="00F35E89">
              <w:rPr>
                <w:noProof/>
                <w:webHidden/>
              </w:rPr>
            </w:r>
            <w:r w:rsidR="00F35E89">
              <w:rPr>
                <w:noProof/>
                <w:webHidden/>
              </w:rPr>
              <w:fldChar w:fldCharType="separate"/>
            </w:r>
            <w:r w:rsidR="00F35E89">
              <w:rPr>
                <w:noProof/>
                <w:webHidden/>
              </w:rPr>
              <w:t>11</w:t>
            </w:r>
            <w:r w:rsidR="00F35E89">
              <w:rPr>
                <w:noProof/>
                <w:webHidden/>
              </w:rPr>
              <w:fldChar w:fldCharType="end"/>
            </w:r>
          </w:hyperlink>
        </w:p>
        <w:p w14:paraId="1E666984" w14:textId="5C19AA7B" w:rsidR="00F400AE" w:rsidRDefault="005B3234">
          <w:pPr>
            <w:pStyle w:val="TOC1"/>
            <w:tabs>
              <w:tab w:val="right" w:leader="dot" w:pos="9010"/>
            </w:tabs>
            <w:rPr>
              <w:rFonts w:eastAsiaTheme="minorEastAsia" w:cstheme="minorBidi"/>
              <w:b w:val="0"/>
              <w:bCs w:val="0"/>
              <w:i w:val="0"/>
              <w:iCs w:val="0"/>
              <w:noProof/>
              <w:lang w:eastAsia="en-GB"/>
            </w:rPr>
          </w:pPr>
          <w:hyperlink w:anchor="_Toc15419042" w:history="1">
            <w:r w:rsidR="00F35E89" w:rsidRPr="003D1FA8">
              <w:rPr>
                <w:rStyle w:val="Hyperlink"/>
                <w:noProof/>
              </w:rPr>
              <w:t>4. Results</w:t>
            </w:r>
            <w:r w:rsidR="00F35E89">
              <w:rPr>
                <w:noProof/>
                <w:webHidden/>
              </w:rPr>
              <w:tab/>
            </w:r>
            <w:r w:rsidR="00F35E89">
              <w:rPr>
                <w:noProof/>
                <w:webHidden/>
              </w:rPr>
              <w:fldChar w:fldCharType="begin"/>
            </w:r>
            <w:r w:rsidR="00F35E89">
              <w:rPr>
                <w:noProof/>
                <w:webHidden/>
              </w:rPr>
              <w:instrText xml:space="preserve"> PAGEREF _Toc15419042 \h </w:instrText>
            </w:r>
            <w:r w:rsidR="00F35E89">
              <w:rPr>
                <w:noProof/>
                <w:webHidden/>
              </w:rPr>
            </w:r>
            <w:r w:rsidR="00F35E89">
              <w:rPr>
                <w:noProof/>
                <w:webHidden/>
              </w:rPr>
              <w:fldChar w:fldCharType="separate"/>
            </w:r>
            <w:r w:rsidR="00F35E89">
              <w:rPr>
                <w:noProof/>
                <w:webHidden/>
              </w:rPr>
              <w:t>14</w:t>
            </w:r>
            <w:r w:rsidR="00F35E89">
              <w:rPr>
                <w:noProof/>
                <w:webHidden/>
              </w:rPr>
              <w:fldChar w:fldCharType="end"/>
            </w:r>
          </w:hyperlink>
        </w:p>
        <w:p w14:paraId="59EAA5E6" w14:textId="017A557F" w:rsidR="00F400AE" w:rsidRDefault="005B3234">
          <w:pPr>
            <w:pStyle w:val="TOC2"/>
            <w:tabs>
              <w:tab w:val="right" w:leader="dot" w:pos="9010"/>
            </w:tabs>
            <w:rPr>
              <w:rFonts w:eastAsiaTheme="minorEastAsia" w:cstheme="minorBidi"/>
              <w:b w:val="0"/>
              <w:bCs w:val="0"/>
              <w:noProof/>
              <w:sz w:val="24"/>
              <w:szCs w:val="24"/>
              <w:lang w:eastAsia="en-GB"/>
            </w:rPr>
          </w:pPr>
          <w:hyperlink w:anchor="_Toc15419043" w:history="1">
            <w:r w:rsidR="00F35E89" w:rsidRPr="003D1FA8">
              <w:rPr>
                <w:rStyle w:val="Hyperlink"/>
                <w:noProof/>
              </w:rPr>
              <w:t>4.1 Model Selection</w:t>
            </w:r>
            <w:r w:rsidR="00F35E89">
              <w:rPr>
                <w:noProof/>
                <w:webHidden/>
              </w:rPr>
              <w:tab/>
            </w:r>
            <w:r w:rsidR="00F35E89">
              <w:rPr>
                <w:noProof/>
                <w:webHidden/>
              </w:rPr>
              <w:fldChar w:fldCharType="begin"/>
            </w:r>
            <w:r w:rsidR="00F35E89">
              <w:rPr>
                <w:noProof/>
                <w:webHidden/>
              </w:rPr>
              <w:instrText xml:space="preserve"> PAGEREF _Toc15419043 \h </w:instrText>
            </w:r>
            <w:r w:rsidR="00F35E89">
              <w:rPr>
                <w:noProof/>
                <w:webHidden/>
              </w:rPr>
            </w:r>
            <w:r w:rsidR="00F35E89">
              <w:rPr>
                <w:noProof/>
                <w:webHidden/>
              </w:rPr>
              <w:fldChar w:fldCharType="separate"/>
            </w:r>
            <w:r w:rsidR="00F35E89">
              <w:rPr>
                <w:noProof/>
                <w:webHidden/>
              </w:rPr>
              <w:t>14</w:t>
            </w:r>
            <w:r w:rsidR="00F35E89">
              <w:rPr>
                <w:noProof/>
                <w:webHidden/>
              </w:rPr>
              <w:fldChar w:fldCharType="end"/>
            </w:r>
          </w:hyperlink>
        </w:p>
        <w:p w14:paraId="19EB4432" w14:textId="74292443" w:rsidR="00F400AE" w:rsidRDefault="005B3234">
          <w:pPr>
            <w:pStyle w:val="TOC2"/>
            <w:tabs>
              <w:tab w:val="right" w:leader="dot" w:pos="9010"/>
            </w:tabs>
            <w:rPr>
              <w:rFonts w:eastAsiaTheme="minorEastAsia" w:cstheme="minorBidi"/>
              <w:b w:val="0"/>
              <w:bCs w:val="0"/>
              <w:noProof/>
              <w:sz w:val="24"/>
              <w:szCs w:val="24"/>
              <w:lang w:eastAsia="en-GB"/>
            </w:rPr>
          </w:pPr>
          <w:hyperlink w:anchor="_Toc15419044" w:history="1">
            <w:r w:rsidR="00F35E89" w:rsidRPr="003D1FA8">
              <w:rPr>
                <w:rStyle w:val="Hyperlink"/>
                <w:noProof/>
              </w:rPr>
              <w:t>4.2 Performance Measurement</w:t>
            </w:r>
            <w:r w:rsidR="00F35E89">
              <w:rPr>
                <w:noProof/>
                <w:webHidden/>
              </w:rPr>
              <w:tab/>
            </w:r>
            <w:r w:rsidR="00F35E89">
              <w:rPr>
                <w:noProof/>
                <w:webHidden/>
              </w:rPr>
              <w:fldChar w:fldCharType="begin"/>
            </w:r>
            <w:r w:rsidR="00F35E89">
              <w:rPr>
                <w:noProof/>
                <w:webHidden/>
              </w:rPr>
              <w:instrText xml:space="preserve"> PAGEREF _Toc15419044 \h </w:instrText>
            </w:r>
            <w:r w:rsidR="00F35E89">
              <w:rPr>
                <w:noProof/>
                <w:webHidden/>
              </w:rPr>
            </w:r>
            <w:r w:rsidR="00F35E89">
              <w:rPr>
                <w:noProof/>
                <w:webHidden/>
              </w:rPr>
              <w:fldChar w:fldCharType="separate"/>
            </w:r>
            <w:r w:rsidR="00F35E89">
              <w:rPr>
                <w:noProof/>
                <w:webHidden/>
              </w:rPr>
              <w:t>14</w:t>
            </w:r>
            <w:r w:rsidR="00F35E89">
              <w:rPr>
                <w:noProof/>
                <w:webHidden/>
              </w:rPr>
              <w:fldChar w:fldCharType="end"/>
            </w:r>
          </w:hyperlink>
        </w:p>
        <w:p w14:paraId="71A3EB42" w14:textId="7324D117" w:rsidR="00F400AE" w:rsidRDefault="005B3234">
          <w:pPr>
            <w:pStyle w:val="TOC2"/>
            <w:tabs>
              <w:tab w:val="right" w:leader="dot" w:pos="9010"/>
            </w:tabs>
            <w:rPr>
              <w:rFonts w:eastAsiaTheme="minorEastAsia" w:cstheme="minorBidi"/>
              <w:b w:val="0"/>
              <w:bCs w:val="0"/>
              <w:noProof/>
              <w:sz w:val="24"/>
              <w:szCs w:val="24"/>
              <w:lang w:eastAsia="en-GB"/>
            </w:rPr>
          </w:pPr>
          <w:hyperlink w:anchor="_Toc15419045" w:history="1">
            <w:r w:rsidR="00F35E89" w:rsidRPr="003D1FA8">
              <w:rPr>
                <w:rStyle w:val="Hyperlink"/>
                <w:rFonts w:ascii="Times New Roman" w:hAnsi="Times New Roman" w:cs="Times New Roman"/>
                <w:noProof/>
              </w:rPr>
              <w:t>4.3 Fund Characteristics</w:t>
            </w:r>
            <w:r w:rsidR="00F35E89">
              <w:rPr>
                <w:noProof/>
                <w:webHidden/>
              </w:rPr>
              <w:tab/>
            </w:r>
            <w:r w:rsidR="00F35E89">
              <w:rPr>
                <w:noProof/>
                <w:webHidden/>
              </w:rPr>
              <w:fldChar w:fldCharType="begin"/>
            </w:r>
            <w:r w:rsidR="00F35E89">
              <w:rPr>
                <w:noProof/>
                <w:webHidden/>
              </w:rPr>
              <w:instrText xml:space="preserve"> PAGEREF _Toc15419045 \h </w:instrText>
            </w:r>
            <w:r w:rsidR="00F35E89">
              <w:rPr>
                <w:noProof/>
                <w:webHidden/>
              </w:rPr>
            </w:r>
            <w:r w:rsidR="00F35E89">
              <w:rPr>
                <w:noProof/>
                <w:webHidden/>
              </w:rPr>
              <w:fldChar w:fldCharType="separate"/>
            </w:r>
            <w:r w:rsidR="00F35E89">
              <w:rPr>
                <w:noProof/>
                <w:webHidden/>
              </w:rPr>
              <w:t>15</w:t>
            </w:r>
            <w:r w:rsidR="00F35E89">
              <w:rPr>
                <w:noProof/>
                <w:webHidden/>
              </w:rPr>
              <w:fldChar w:fldCharType="end"/>
            </w:r>
          </w:hyperlink>
        </w:p>
        <w:p w14:paraId="38852C8D" w14:textId="2B9C27E8" w:rsidR="00F400AE" w:rsidRDefault="005B3234">
          <w:pPr>
            <w:pStyle w:val="TOC1"/>
            <w:tabs>
              <w:tab w:val="right" w:leader="dot" w:pos="9010"/>
            </w:tabs>
            <w:rPr>
              <w:rFonts w:eastAsiaTheme="minorEastAsia" w:cstheme="minorBidi"/>
              <w:b w:val="0"/>
              <w:bCs w:val="0"/>
              <w:i w:val="0"/>
              <w:iCs w:val="0"/>
              <w:noProof/>
              <w:lang w:eastAsia="en-GB"/>
            </w:rPr>
          </w:pPr>
          <w:hyperlink w:anchor="_Toc15419046" w:history="1">
            <w:r w:rsidR="00F35E89" w:rsidRPr="003D1FA8">
              <w:rPr>
                <w:rStyle w:val="Hyperlink"/>
                <w:rFonts w:ascii="Times New Roman" w:hAnsi="Times New Roman" w:cs="Times New Roman"/>
                <w:noProof/>
              </w:rPr>
              <w:t>5. Discussion, Limitations and Further Research</w:t>
            </w:r>
            <w:r w:rsidR="00F35E89">
              <w:rPr>
                <w:noProof/>
                <w:webHidden/>
              </w:rPr>
              <w:tab/>
            </w:r>
            <w:r w:rsidR="00F35E89">
              <w:rPr>
                <w:noProof/>
                <w:webHidden/>
              </w:rPr>
              <w:fldChar w:fldCharType="begin"/>
            </w:r>
            <w:r w:rsidR="00F35E89">
              <w:rPr>
                <w:noProof/>
                <w:webHidden/>
              </w:rPr>
              <w:instrText xml:space="preserve"> PAGEREF _Toc15419046 \h </w:instrText>
            </w:r>
            <w:r w:rsidR="00F35E89">
              <w:rPr>
                <w:noProof/>
                <w:webHidden/>
              </w:rPr>
            </w:r>
            <w:r w:rsidR="00F35E89">
              <w:rPr>
                <w:noProof/>
                <w:webHidden/>
              </w:rPr>
              <w:fldChar w:fldCharType="separate"/>
            </w:r>
            <w:r w:rsidR="00F35E89">
              <w:rPr>
                <w:noProof/>
                <w:webHidden/>
              </w:rPr>
              <w:t>17</w:t>
            </w:r>
            <w:r w:rsidR="00F35E89">
              <w:rPr>
                <w:noProof/>
                <w:webHidden/>
              </w:rPr>
              <w:fldChar w:fldCharType="end"/>
            </w:r>
          </w:hyperlink>
        </w:p>
        <w:p w14:paraId="680AF483" w14:textId="30D14A6F" w:rsidR="00F400AE" w:rsidRDefault="005B3234">
          <w:pPr>
            <w:pStyle w:val="TOC2"/>
            <w:tabs>
              <w:tab w:val="right" w:leader="dot" w:pos="9010"/>
            </w:tabs>
            <w:rPr>
              <w:rFonts w:eastAsiaTheme="minorEastAsia" w:cstheme="minorBidi"/>
              <w:b w:val="0"/>
              <w:bCs w:val="0"/>
              <w:noProof/>
              <w:sz w:val="24"/>
              <w:szCs w:val="24"/>
              <w:lang w:eastAsia="en-GB"/>
            </w:rPr>
          </w:pPr>
          <w:hyperlink w:anchor="_Toc15419047" w:history="1">
            <w:r w:rsidR="00F35E89" w:rsidRPr="003D1FA8">
              <w:rPr>
                <w:rStyle w:val="Hyperlink"/>
                <w:rFonts w:ascii="Times New Roman" w:hAnsi="Times New Roman" w:cs="Times New Roman"/>
                <w:noProof/>
              </w:rPr>
              <w:t>5.1 Discussion</w:t>
            </w:r>
            <w:r w:rsidR="00F35E89">
              <w:rPr>
                <w:noProof/>
                <w:webHidden/>
              </w:rPr>
              <w:tab/>
            </w:r>
            <w:r w:rsidR="00F35E89">
              <w:rPr>
                <w:noProof/>
                <w:webHidden/>
              </w:rPr>
              <w:fldChar w:fldCharType="begin"/>
            </w:r>
            <w:r w:rsidR="00F35E89">
              <w:rPr>
                <w:noProof/>
                <w:webHidden/>
              </w:rPr>
              <w:instrText xml:space="preserve"> PAGEREF _Toc15419047 \h </w:instrText>
            </w:r>
            <w:r w:rsidR="00F35E89">
              <w:rPr>
                <w:noProof/>
                <w:webHidden/>
              </w:rPr>
            </w:r>
            <w:r w:rsidR="00F35E89">
              <w:rPr>
                <w:noProof/>
                <w:webHidden/>
              </w:rPr>
              <w:fldChar w:fldCharType="separate"/>
            </w:r>
            <w:r w:rsidR="00F35E89">
              <w:rPr>
                <w:noProof/>
                <w:webHidden/>
              </w:rPr>
              <w:t>17</w:t>
            </w:r>
            <w:r w:rsidR="00F35E89">
              <w:rPr>
                <w:noProof/>
                <w:webHidden/>
              </w:rPr>
              <w:fldChar w:fldCharType="end"/>
            </w:r>
          </w:hyperlink>
        </w:p>
        <w:p w14:paraId="075336E3" w14:textId="449E95DF" w:rsidR="00F400AE" w:rsidRDefault="005B3234">
          <w:pPr>
            <w:pStyle w:val="TOC2"/>
            <w:tabs>
              <w:tab w:val="right" w:leader="dot" w:pos="9010"/>
            </w:tabs>
            <w:rPr>
              <w:rFonts w:eastAsiaTheme="minorEastAsia" w:cstheme="minorBidi"/>
              <w:b w:val="0"/>
              <w:bCs w:val="0"/>
              <w:noProof/>
              <w:sz w:val="24"/>
              <w:szCs w:val="24"/>
              <w:lang w:eastAsia="en-GB"/>
            </w:rPr>
          </w:pPr>
          <w:hyperlink w:anchor="_Toc15419048" w:history="1">
            <w:r w:rsidR="00F35E89" w:rsidRPr="003D1FA8">
              <w:rPr>
                <w:rStyle w:val="Hyperlink"/>
                <w:rFonts w:ascii="Times New Roman" w:hAnsi="Times New Roman" w:cs="Times New Roman"/>
                <w:noProof/>
              </w:rPr>
              <w:t>5.2 Limitations and Further Research</w:t>
            </w:r>
            <w:r w:rsidR="00F35E89">
              <w:rPr>
                <w:noProof/>
                <w:webHidden/>
              </w:rPr>
              <w:tab/>
            </w:r>
            <w:r w:rsidR="00F35E89">
              <w:rPr>
                <w:noProof/>
                <w:webHidden/>
              </w:rPr>
              <w:fldChar w:fldCharType="begin"/>
            </w:r>
            <w:r w:rsidR="00F35E89">
              <w:rPr>
                <w:noProof/>
                <w:webHidden/>
              </w:rPr>
              <w:instrText xml:space="preserve"> PAGEREF _Toc15419048 \h </w:instrText>
            </w:r>
            <w:r w:rsidR="00F35E89">
              <w:rPr>
                <w:noProof/>
                <w:webHidden/>
              </w:rPr>
            </w:r>
            <w:r w:rsidR="00F35E89">
              <w:rPr>
                <w:noProof/>
                <w:webHidden/>
              </w:rPr>
              <w:fldChar w:fldCharType="separate"/>
            </w:r>
            <w:r w:rsidR="00F35E89">
              <w:rPr>
                <w:noProof/>
                <w:webHidden/>
              </w:rPr>
              <w:t>18</w:t>
            </w:r>
            <w:r w:rsidR="00F35E89">
              <w:rPr>
                <w:noProof/>
                <w:webHidden/>
              </w:rPr>
              <w:fldChar w:fldCharType="end"/>
            </w:r>
          </w:hyperlink>
        </w:p>
        <w:p w14:paraId="1E6D4828" w14:textId="511217C2" w:rsidR="00F400AE" w:rsidRDefault="005B3234">
          <w:pPr>
            <w:pStyle w:val="TOC1"/>
            <w:tabs>
              <w:tab w:val="right" w:leader="dot" w:pos="9010"/>
            </w:tabs>
            <w:rPr>
              <w:rFonts w:eastAsiaTheme="minorEastAsia" w:cstheme="minorBidi"/>
              <w:b w:val="0"/>
              <w:bCs w:val="0"/>
              <w:i w:val="0"/>
              <w:iCs w:val="0"/>
              <w:noProof/>
              <w:lang w:eastAsia="en-GB"/>
            </w:rPr>
          </w:pPr>
          <w:hyperlink w:anchor="_Toc15419049" w:history="1">
            <w:r w:rsidR="00F35E89" w:rsidRPr="003D1FA8">
              <w:rPr>
                <w:rStyle w:val="Hyperlink"/>
                <w:rFonts w:ascii="Times New Roman" w:hAnsi="Times New Roman" w:cs="Times New Roman"/>
                <w:noProof/>
              </w:rPr>
              <w:t>6. Conclusion</w:t>
            </w:r>
            <w:r w:rsidR="00F35E89">
              <w:rPr>
                <w:noProof/>
                <w:webHidden/>
              </w:rPr>
              <w:tab/>
            </w:r>
            <w:r w:rsidR="00F35E89">
              <w:rPr>
                <w:noProof/>
                <w:webHidden/>
              </w:rPr>
              <w:fldChar w:fldCharType="begin"/>
            </w:r>
            <w:r w:rsidR="00F35E89">
              <w:rPr>
                <w:noProof/>
                <w:webHidden/>
              </w:rPr>
              <w:instrText xml:space="preserve"> PAGEREF _Toc15419049 \h </w:instrText>
            </w:r>
            <w:r w:rsidR="00F35E89">
              <w:rPr>
                <w:noProof/>
                <w:webHidden/>
              </w:rPr>
            </w:r>
            <w:r w:rsidR="00F35E89">
              <w:rPr>
                <w:noProof/>
                <w:webHidden/>
              </w:rPr>
              <w:fldChar w:fldCharType="separate"/>
            </w:r>
            <w:r w:rsidR="00F35E89">
              <w:rPr>
                <w:noProof/>
                <w:webHidden/>
              </w:rPr>
              <w:t>19</w:t>
            </w:r>
            <w:r w:rsidR="00F35E89">
              <w:rPr>
                <w:noProof/>
                <w:webHidden/>
              </w:rPr>
              <w:fldChar w:fldCharType="end"/>
            </w:r>
          </w:hyperlink>
        </w:p>
        <w:p w14:paraId="6175E804" w14:textId="7AAF3960" w:rsidR="00F400AE" w:rsidRDefault="005B3234">
          <w:pPr>
            <w:pStyle w:val="TOC1"/>
            <w:tabs>
              <w:tab w:val="right" w:leader="dot" w:pos="9010"/>
            </w:tabs>
            <w:rPr>
              <w:rFonts w:eastAsiaTheme="minorEastAsia" w:cstheme="minorBidi"/>
              <w:b w:val="0"/>
              <w:bCs w:val="0"/>
              <w:i w:val="0"/>
              <w:iCs w:val="0"/>
              <w:noProof/>
              <w:lang w:eastAsia="en-GB"/>
            </w:rPr>
          </w:pPr>
          <w:hyperlink w:anchor="_Toc15419050" w:history="1">
            <w:r w:rsidR="00F35E89" w:rsidRPr="003D1FA8">
              <w:rPr>
                <w:rStyle w:val="Hyperlink"/>
                <w:noProof/>
              </w:rPr>
              <w:t>Appendix</w:t>
            </w:r>
            <w:r w:rsidR="00F35E89">
              <w:rPr>
                <w:noProof/>
                <w:webHidden/>
              </w:rPr>
              <w:tab/>
            </w:r>
            <w:r w:rsidR="00F35E89">
              <w:rPr>
                <w:noProof/>
                <w:webHidden/>
              </w:rPr>
              <w:fldChar w:fldCharType="begin"/>
            </w:r>
            <w:r w:rsidR="00F35E89">
              <w:rPr>
                <w:noProof/>
                <w:webHidden/>
              </w:rPr>
              <w:instrText xml:space="preserve"> PAGEREF _Toc15419050 \h </w:instrText>
            </w:r>
            <w:r w:rsidR="00F35E89">
              <w:rPr>
                <w:noProof/>
                <w:webHidden/>
              </w:rPr>
            </w:r>
            <w:r w:rsidR="00F35E89">
              <w:rPr>
                <w:noProof/>
                <w:webHidden/>
              </w:rPr>
              <w:fldChar w:fldCharType="separate"/>
            </w:r>
            <w:r w:rsidR="00F35E89">
              <w:rPr>
                <w:noProof/>
                <w:webHidden/>
              </w:rPr>
              <w:t>20</w:t>
            </w:r>
            <w:r w:rsidR="00F35E89">
              <w:rPr>
                <w:noProof/>
                <w:webHidden/>
              </w:rPr>
              <w:fldChar w:fldCharType="end"/>
            </w:r>
          </w:hyperlink>
        </w:p>
        <w:p w14:paraId="0352D838" w14:textId="33BE567B" w:rsidR="00F400AE" w:rsidRDefault="005B3234">
          <w:pPr>
            <w:pStyle w:val="TOC1"/>
            <w:tabs>
              <w:tab w:val="right" w:leader="dot" w:pos="9010"/>
            </w:tabs>
            <w:rPr>
              <w:rFonts w:eastAsiaTheme="minorEastAsia" w:cstheme="minorBidi"/>
              <w:b w:val="0"/>
              <w:bCs w:val="0"/>
              <w:i w:val="0"/>
              <w:iCs w:val="0"/>
              <w:noProof/>
              <w:lang w:eastAsia="en-GB"/>
            </w:rPr>
          </w:pPr>
          <w:hyperlink w:anchor="_Toc15419051" w:history="1">
            <w:r w:rsidR="00F35E89" w:rsidRPr="003D1FA8">
              <w:rPr>
                <w:rStyle w:val="Hyperlink"/>
                <w:noProof/>
              </w:rPr>
              <w:t>Bibliography</w:t>
            </w:r>
            <w:r w:rsidR="00F35E89">
              <w:rPr>
                <w:noProof/>
                <w:webHidden/>
              </w:rPr>
              <w:tab/>
            </w:r>
            <w:r w:rsidR="00F35E89">
              <w:rPr>
                <w:noProof/>
                <w:webHidden/>
              </w:rPr>
              <w:fldChar w:fldCharType="begin"/>
            </w:r>
            <w:r w:rsidR="00F35E89">
              <w:rPr>
                <w:noProof/>
                <w:webHidden/>
              </w:rPr>
              <w:instrText xml:space="preserve"> PAGEREF _Toc15419051 \h </w:instrText>
            </w:r>
            <w:r w:rsidR="00F35E89">
              <w:rPr>
                <w:noProof/>
                <w:webHidden/>
              </w:rPr>
            </w:r>
            <w:r w:rsidR="00F35E89">
              <w:rPr>
                <w:noProof/>
                <w:webHidden/>
              </w:rPr>
              <w:fldChar w:fldCharType="separate"/>
            </w:r>
            <w:r w:rsidR="00F35E89">
              <w:rPr>
                <w:noProof/>
                <w:webHidden/>
              </w:rPr>
              <w:t>20</w:t>
            </w:r>
            <w:r w:rsidR="00F35E89">
              <w:rPr>
                <w:noProof/>
                <w:webHidden/>
              </w:rPr>
              <w:fldChar w:fldCharType="end"/>
            </w:r>
          </w:hyperlink>
        </w:p>
        <w:p w14:paraId="19A30AA3" w14:textId="2CBAEF73" w:rsidR="003C584F" w:rsidRDefault="00F35E89">
          <w:r>
            <w:rPr>
              <w:b/>
              <w:bCs/>
              <w:noProof/>
            </w:rPr>
            <w:fldChar w:fldCharType="end"/>
          </w:r>
        </w:p>
      </w:sdtContent>
    </w:sdt>
    <w:p w14:paraId="68F32010" w14:textId="776D22DC" w:rsidR="00266AA7" w:rsidRPr="00A9082A" w:rsidRDefault="00266AA7" w:rsidP="00A9082A">
      <w:pPr>
        <w:pStyle w:val="TOCHeading"/>
      </w:pPr>
    </w:p>
    <w:p w14:paraId="1BE81DC4" w14:textId="32CAB11C" w:rsidR="00313FF9" w:rsidRDefault="00313FF9" w:rsidP="00476061">
      <w:pPr>
        <w:pBdr>
          <w:top w:val="nil"/>
          <w:left w:val="nil"/>
          <w:bottom w:val="nil"/>
          <w:right w:val="nil"/>
          <w:between w:val="nil"/>
        </w:pBdr>
        <w:spacing w:after="39" w:line="360" w:lineRule="auto"/>
        <w:rPr>
          <w:rFonts w:ascii="Times New Roman" w:hAnsi="Times New Roman" w:cs="Times New Roman"/>
        </w:rPr>
      </w:pPr>
    </w:p>
    <w:p w14:paraId="24F94EE6" w14:textId="0B548B39" w:rsidR="00313FF9" w:rsidRDefault="00313FF9" w:rsidP="00476061">
      <w:pPr>
        <w:pBdr>
          <w:top w:val="nil"/>
          <w:left w:val="nil"/>
          <w:bottom w:val="nil"/>
          <w:right w:val="nil"/>
          <w:between w:val="nil"/>
        </w:pBdr>
        <w:spacing w:after="39" w:line="360" w:lineRule="auto"/>
        <w:rPr>
          <w:rFonts w:ascii="Times New Roman" w:hAnsi="Times New Roman" w:cs="Times New Roman"/>
        </w:rPr>
      </w:pPr>
    </w:p>
    <w:p w14:paraId="456DCFFD" w14:textId="20D1054A" w:rsidR="00313FF9" w:rsidRDefault="00313FF9" w:rsidP="00476061">
      <w:pPr>
        <w:pBdr>
          <w:top w:val="nil"/>
          <w:left w:val="nil"/>
          <w:bottom w:val="nil"/>
          <w:right w:val="nil"/>
          <w:between w:val="nil"/>
        </w:pBdr>
        <w:spacing w:after="39" w:line="360" w:lineRule="auto"/>
        <w:rPr>
          <w:rFonts w:ascii="Times New Roman" w:hAnsi="Times New Roman" w:cs="Times New Roman"/>
        </w:rPr>
      </w:pPr>
    </w:p>
    <w:p w14:paraId="0DC49C56" w14:textId="4AAE486A" w:rsidR="00313FF9" w:rsidRDefault="00313FF9" w:rsidP="00476061">
      <w:pPr>
        <w:pBdr>
          <w:top w:val="nil"/>
          <w:left w:val="nil"/>
          <w:bottom w:val="nil"/>
          <w:right w:val="nil"/>
          <w:between w:val="nil"/>
        </w:pBdr>
        <w:spacing w:after="39" w:line="360" w:lineRule="auto"/>
        <w:rPr>
          <w:rFonts w:ascii="Times New Roman" w:hAnsi="Times New Roman" w:cs="Times New Roman"/>
        </w:rPr>
      </w:pPr>
    </w:p>
    <w:p w14:paraId="1B1CD4B0" w14:textId="3C183709" w:rsidR="00313FF9" w:rsidRDefault="00313FF9" w:rsidP="00476061">
      <w:pPr>
        <w:pBdr>
          <w:top w:val="nil"/>
          <w:left w:val="nil"/>
          <w:bottom w:val="nil"/>
          <w:right w:val="nil"/>
          <w:between w:val="nil"/>
        </w:pBdr>
        <w:spacing w:after="39" w:line="360" w:lineRule="auto"/>
        <w:rPr>
          <w:rFonts w:ascii="Times New Roman" w:hAnsi="Times New Roman" w:cs="Times New Roman"/>
        </w:rPr>
      </w:pPr>
    </w:p>
    <w:p w14:paraId="0804189C" w14:textId="2030BEF6" w:rsidR="00313FF9" w:rsidRDefault="00313FF9" w:rsidP="00476061">
      <w:pPr>
        <w:pBdr>
          <w:top w:val="nil"/>
          <w:left w:val="nil"/>
          <w:bottom w:val="nil"/>
          <w:right w:val="nil"/>
          <w:between w:val="nil"/>
        </w:pBdr>
        <w:spacing w:after="39" w:line="360" w:lineRule="auto"/>
        <w:rPr>
          <w:rFonts w:ascii="Times New Roman" w:hAnsi="Times New Roman" w:cs="Times New Roman"/>
        </w:rPr>
      </w:pPr>
    </w:p>
    <w:p w14:paraId="091AB63E" w14:textId="60CE17F4" w:rsidR="00313FF9" w:rsidRDefault="00313FF9" w:rsidP="00476061">
      <w:pPr>
        <w:pBdr>
          <w:top w:val="nil"/>
          <w:left w:val="nil"/>
          <w:bottom w:val="nil"/>
          <w:right w:val="nil"/>
          <w:between w:val="nil"/>
        </w:pBdr>
        <w:spacing w:after="39" w:line="360" w:lineRule="auto"/>
        <w:rPr>
          <w:rFonts w:ascii="Times New Roman" w:hAnsi="Times New Roman" w:cs="Times New Roman"/>
        </w:rPr>
      </w:pPr>
    </w:p>
    <w:p w14:paraId="5D79C4A7" w14:textId="237A32C8" w:rsidR="00313FF9" w:rsidRDefault="00313FF9" w:rsidP="00476061">
      <w:pPr>
        <w:pBdr>
          <w:top w:val="nil"/>
          <w:left w:val="nil"/>
          <w:bottom w:val="nil"/>
          <w:right w:val="nil"/>
          <w:between w:val="nil"/>
        </w:pBdr>
        <w:spacing w:after="39" w:line="360" w:lineRule="auto"/>
        <w:rPr>
          <w:rFonts w:ascii="Times New Roman" w:hAnsi="Times New Roman" w:cs="Times New Roman"/>
        </w:rPr>
      </w:pPr>
    </w:p>
    <w:p w14:paraId="7CE8F15A" w14:textId="0F7FF991" w:rsidR="00901642" w:rsidRDefault="00901642" w:rsidP="00B32FF9">
      <w:pPr>
        <w:pStyle w:val="Heading1"/>
        <w:rPr>
          <w:b/>
          <w:bCs/>
        </w:rPr>
      </w:pPr>
    </w:p>
    <w:p w14:paraId="3B95EA7F" w14:textId="77777777" w:rsidR="00901642" w:rsidRPr="00901642" w:rsidRDefault="00901642" w:rsidP="00901642"/>
    <w:p w14:paraId="51EB538E" w14:textId="2617DF94" w:rsidR="00B32FF9" w:rsidRPr="00B32FF9" w:rsidRDefault="00F35E89" w:rsidP="00B32FF9">
      <w:pPr>
        <w:pStyle w:val="Heading1"/>
        <w:rPr>
          <w:b/>
          <w:bCs/>
        </w:rPr>
      </w:pPr>
      <w:bookmarkStart w:id="1" w:name="_Toc15419034"/>
      <w:r w:rsidRPr="00B32FF9">
        <w:rPr>
          <w:b/>
          <w:bCs/>
        </w:rPr>
        <w:lastRenderedPageBreak/>
        <w:t>1. Introduction</w:t>
      </w:r>
      <w:bookmarkEnd w:id="1"/>
    </w:p>
    <w:p w14:paraId="5D555F67" w14:textId="77777777" w:rsidR="00B32FF9" w:rsidRPr="00B32FF9" w:rsidRDefault="00B32FF9" w:rsidP="00B32FF9"/>
    <w:p w14:paraId="680906A8" w14:textId="6E5EF718" w:rsidR="00FA6FFF" w:rsidRDefault="00F35E89" w:rsidP="00931741">
      <w:pPr>
        <w:pBdr>
          <w:top w:val="nil"/>
          <w:left w:val="nil"/>
          <w:bottom w:val="nil"/>
          <w:right w:val="nil"/>
          <w:between w:val="nil"/>
        </w:pBdr>
        <w:spacing w:after="39" w:line="360" w:lineRule="auto"/>
        <w:ind w:firstLine="720"/>
        <w:jc w:val="both"/>
        <w:rPr>
          <w:rFonts w:ascii="Times New Roman" w:eastAsia="Times New Roman" w:hAnsi="Times New Roman" w:cs="Times New Roman"/>
          <w:color w:val="000000"/>
        </w:rPr>
      </w:pPr>
      <w:r w:rsidRPr="00E841D5">
        <w:rPr>
          <w:rFonts w:ascii="Times New Roman" w:hAnsi="Times New Roman" w:cs="Times New Roman"/>
          <w:color w:val="111111"/>
          <w:shd w:val="clear" w:color="auto" w:fill="FFFFFF"/>
        </w:rPr>
        <w:t xml:space="preserve">A mutual fund is a professionally managed financial vehicle that pools money from many investors to invest </w:t>
      </w:r>
      <w:r w:rsidR="00C95360" w:rsidRPr="00E841D5">
        <w:rPr>
          <w:rFonts w:ascii="Times New Roman" w:hAnsi="Times New Roman" w:cs="Times New Roman"/>
          <w:color w:val="111111"/>
          <w:shd w:val="clear" w:color="auto" w:fill="FFFFFF"/>
        </w:rPr>
        <w:t xml:space="preserve">in </w:t>
      </w:r>
      <w:r w:rsidR="00C95360">
        <w:rPr>
          <w:rFonts w:ascii="Times New Roman" w:hAnsi="Times New Roman" w:cs="Times New Roman"/>
          <w:color w:val="111111"/>
          <w:shd w:val="clear" w:color="auto" w:fill="FFFFFF"/>
        </w:rPr>
        <w:t xml:space="preserve">various </w:t>
      </w:r>
      <w:r w:rsidRPr="00E841D5">
        <w:rPr>
          <w:rFonts w:ascii="Times New Roman" w:hAnsi="Times New Roman" w:cs="Times New Roman"/>
          <w:color w:val="111111"/>
          <w:shd w:val="clear" w:color="auto" w:fill="FFFFFF"/>
        </w:rPr>
        <w:t>securities</w:t>
      </w:r>
      <w:r w:rsidRPr="00E841D5">
        <w:rPr>
          <w:rFonts w:ascii="Arial" w:hAnsi="Arial" w:cs="Arial"/>
          <w:color w:val="111111"/>
          <w:sz w:val="26"/>
          <w:szCs w:val="26"/>
          <w:shd w:val="clear" w:color="auto" w:fill="FFFFFF"/>
        </w:rPr>
        <w:t>.</w:t>
      </w:r>
      <w:r>
        <w:rPr>
          <w:rFonts w:ascii="Arial" w:hAnsi="Arial" w:cs="Arial"/>
          <w:color w:val="111111"/>
          <w:sz w:val="26"/>
          <w:szCs w:val="26"/>
          <w:shd w:val="clear" w:color="auto" w:fill="FFFFFF"/>
        </w:rPr>
        <w:t xml:space="preserve"> </w:t>
      </w:r>
      <w:r w:rsidR="00134583">
        <w:rPr>
          <w:rFonts w:ascii="Times New Roman" w:eastAsia="Times New Roman" w:hAnsi="Times New Roman" w:cs="Times New Roman"/>
          <w:color w:val="000000"/>
        </w:rPr>
        <w:t>Mutual funds are known for their various benefits such</w:t>
      </w:r>
      <w:r w:rsidR="007530BC">
        <w:rPr>
          <w:rFonts w:ascii="Times New Roman" w:eastAsia="Times New Roman" w:hAnsi="Times New Roman" w:cs="Times New Roman"/>
          <w:color w:val="000000"/>
        </w:rPr>
        <w:t xml:space="preserve"> as</w:t>
      </w:r>
      <w:r w:rsidR="00134583">
        <w:rPr>
          <w:rFonts w:ascii="Times New Roman" w:eastAsia="Times New Roman" w:hAnsi="Times New Roman" w:cs="Times New Roman"/>
          <w:color w:val="000000"/>
        </w:rPr>
        <w:t xml:space="preserve"> low transaction costs</w:t>
      </w:r>
      <w:r w:rsidR="008E0E6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w:t>
      </w:r>
      <w:r w:rsidR="00E70D31">
        <w:rPr>
          <w:rFonts w:ascii="Times New Roman" w:eastAsia="Times New Roman" w:hAnsi="Times New Roman" w:cs="Times New Roman"/>
          <w:color w:val="000000"/>
        </w:rPr>
        <w:t>diversification and,</w:t>
      </w:r>
      <w:r w:rsidR="00C95360">
        <w:rPr>
          <w:rFonts w:ascii="Times New Roman" w:eastAsia="Times New Roman" w:hAnsi="Times New Roman" w:cs="Times New Roman"/>
          <w:color w:val="000000"/>
        </w:rPr>
        <w:t xml:space="preserve"> can be separated into actively managed funds or passive funds dependin</w:t>
      </w:r>
      <w:r w:rsidR="00931741">
        <w:rPr>
          <w:rFonts w:ascii="Times New Roman" w:eastAsia="Times New Roman" w:hAnsi="Times New Roman" w:cs="Times New Roman"/>
          <w:color w:val="000000"/>
        </w:rPr>
        <w:t xml:space="preserve">g on the professional expertise </w:t>
      </w:r>
      <w:r w:rsidR="007E7FBF">
        <w:rPr>
          <w:rFonts w:ascii="Times New Roman" w:eastAsia="Times New Roman" w:hAnsi="Times New Roman" w:cs="Times New Roman"/>
          <w:color w:val="000000"/>
        </w:rPr>
        <w:t>(Gruber, 1996)</w:t>
      </w:r>
      <w:r w:rsidR="00134583">
        <w:rPr>
          <w:rFonts w:ascii="Times New Roman" w:eastAsia="Times New Roman" w:hAnsi="Times New Roman" w:cs="Times New Roman"/>
          <w:color w:val="000000"/>
        </w:rPr>
        <w:t xml:space="preserve">. </w:t>
      </w:r>
      <w:r w:rsidR="00C95360">
        <w:rPr>
          <w:rFonts w:ascii="Times New Roman" w:eastAsia="Times New Roman" w:hAnsi="Times New Roman" w:cs="Times New Roman"/>
          <w:color w:val="000000"/>
        </w:rPr>
        <w:t>Additionally, d</w:t>
      </w:r>
      <w:r w:rsidR="00134583">
        <w:rPr>
          <w:rFonts w:ascii="Times New Roman" w:eastAsia="Times New Roman" w:hAnsi="Times New Roman" w:cs="Times New Roman"/>
          <w:color w:val="000000"/>
        </w:rPr>
        <w:t xml:space="preserve">ifferent </w:t>
      </w:r>
      <w:r w:rsidR="007E7FBF">
        <w:rPr>
          <w:rFonts w:ascii="Times New Roman" w:eastAsia="Times New Roman" w:hAnsi="Times New Roman" w:cs="Times New Roman"/>
          <w:color w:val="000000"/>
        </w:rPr>
        <w:t>types</w:t>
      </w:r>
      <w:r w:rsidR="0066404F">
        <w:rPr>
          <w:rFonts w:ascii="Times New Roman" w:eastAsia="Times New Roman" w:hAnsi="Times New Roman" w:cs="Times New Roman"/>
          <w:color w:val="000000"/>
        </w:rPr>
        <w:t xml:space="preserve"> of mutual </w:t>
      </w:r>
      <w:r w:rsidR="00931741">
        <w:rPr>
          <w:rFonts w:ascii="Times New Roman" w:eastAsia="Times New Roman" w:hAnsi="Times New Roman" w:cs="Times New Roman"/>
          <w:color w:val="000000"/>
        </w:rPr>
        <w:t>funds are</w:t>
      </w:r>
      <w:r w:rsidR="00C95360">
        <w:rPr>
          <w:rFonts w:ascii="Times New Roman" w:eastAsia="Times New Roman" w:hAnsi="Times New Roman" w:cs="Times New Roman"/>
          <w:color w:val="000000"/>
        </w:rPr>
        <w:t xml:space="preserve"> available </w:t>
      </w:r>
      <w:r w:rsidR="00931741">
        <w:rPr>
          <w:rFonts w:ascii="Times New Roman" w:eastAsia="Times New Roman" w:hAnsi="Times New Roman" w:cs="Times New Roman"/>
          <w:color w:val="000000"/>
        </w:rPr>
        <w:t xml:space="preserve">including </w:t>
      </w:r>
      <w:r w:rsidR="0066404F">
        <w:rPr>
          <w:rFonts w:ascii="Times New Roman" w:eastAsia="Times New Roman" w:hAnsi="Times New Roman" w:cs="Times New Roman"/>
          <w:color w:val="000000"/>
        </w:rPr>
        <w:t>funds that</w:t>
      </w:r>
      <w:r w:rsidR="00134583">
        <w:rPr>
          <w:rFonts w:ascii="Times New Roman" w:eastAsia="Times New Roman" w:hAnsi="Times New Roman" w:cs="Times New Roman"/>
          <w:color w:val="000000"/>
        </w:rPr>
        <w:t xml:space="preserve"> invest in equities, bond</w:t>
      </w:r>
      <w:r w:rsidR="0066404F">
        <w:rPr>
          <w:rFonts w:ascii="Times New Roman" w:eastAsia="Times New Roman" w:hAnsi="Times New Roman" w:cs="Times New Roman"/>
          <w:color w:val="000000"/>
        </w:rPr>
        <w:t>s,</w:t>
      </w:r>
      <w:r w:rsidR="00931741" w:rsidRPr="00931741">
        <w:rPr>
          <w:rFonts w:ascii="Times New Roman" w:eastAsia="Times New Roman" w:hAnsi="Times New Roman" w:cs="Times New Roman"/>
          <w:color w:val="000000"/>
        </w:rPr>
        <w:t xml:space="preserve"> </w:t>
      </w:r>
      <w:r w:rsidR="00931741">
        <w:rPr>
          <w:rFonts w:ascii="Times New Roman" w:eastAsia="Times New Roman" w:hAnsi="Times New Roman" w:cs="Times New Roman"/>
          <w:color w:val="000000"/>
        </w:rPr>
        <w:t>stocks,</w:t>
      </w:r>
      <w:r w:rsidR="0066404F">
        <w:rPr>
          <w:rFonts w:ascii="Times New Roman" w:eastAsia="Times New Roman" w:hAnsi="Times New Roman" w:cs="Times New Roman"/>
          <w:color w:val="000000"/>
        </w:rPr>
        <w:t xml:space="preserve"> real estate,</w:t>
      </w:r>
      <w:r w:rsidR="00C95360">
        <w:rPr>
          <w:rFonts w:ascii="Times New Roman" w:eastAsia="Times New Roman" w:hAnsi="Times New Roman" w:cs="Times New Roman"/>
          <w:color w:val="000000"/>
        </w:rPr>
        <w:t xml:space="preserve"> money market instruments, </w:t>
      </w:r>
      <w:r w:rsidR="0066404F">
        <w:rPr>
          <w:rFonts w:ascii="Times New Roman" w:eastAsia="Times New Roman" w:hAnsi="Times New Roman" w:cs="Times New Roman"/>
          <w:color w:val="000000"/>
        </w:rPr>
        <w:t>and funds that invest in than two</w:t>
      </w:r>
      <w:r w:rsidR="00931741">
        <w:rPr>
          <w:rFonts w:ascii="Times New Roman" w:eastAsia="Times New Roman" w:hAnsi="Times New Roman" w:cs="Times New Roman"/>
          <w:color w:val="000000"/>
        </w:rPr>
        <w:t xml:space="preserve"> or more</w:t>
      </w:r>
      <w:r w:rsidR="0066404F">
        <w:rPr>
          <w:rFonts w:ascii="Times New Roman" w:eastAsia="Times New Roman" w:hAnsi="Times New Roman" w:cs="Times New Roman"/>
          <w:color w:val="000000"/>
        </w:rPr>
        <w:t xml:space="preserve"> asset classes</w:t>
      </w:r>
      <w:r w:rsidR="00134583">
        <w:rPr>
          <w:rFonts w:ascii="Times New Roman" w:eastAsia="Times New Roman" w:hAnsi="Times New Roman" w:cs="Times New Roman"/>
          <w:color w:val="000000"/>
        </w:rPr>
        <w:t xml:space="preserve">. </w:t>
      </w:r>
      <w:r w:rsidR="00E7791A">
        <w:rPr>
          <w:rFonts w:ascii="Times New Roman" w:eastAsia="Times New Roman" w:hAnsi="Times New Roman" w:cs="Times New Roman"/>
          <w:color w:val="000000"/>
        </w:rPr>
        <w:t>Mutual funds are structure</w:t>
      </w:r>
      <w:r w:rsidR="007530BC">
        <w:rPr>
          <w:rFonts w:ascii="Times New Roman" w:eastAsia="Times New Roman" w:hAnsi="Times New Roman" w:cs="Times New Roman"/>
          <w:color w:val="000000"/>
        </w:rPr>
        <w:t>d</w:t>
      </w:r>
      <w:r w:rsidR="00134583">
        <w:rPr>
          <w:rFonts w:ascii="Times New Roman" w:eastAsia="Times New Roman" w:hAnsi="Times New Roman" w:cs="Times New Roman"/>
          <w:color w:val="000000"/>
        </w:rPr>
        <w:t xml:space="preserve"> </w:t>
      </w:r>
      <w:r w:rsidR="00931741">
        <w:rPr>
          <w:rFonts w:ascii="Times New Roman" w:eastAsia="Times New Roman" w:hAnsi="Times New Roman" w:cs="Times New Roman"/>
          <w:color w:val="000000"/>
        </w:rPr>
        <w:t>as open-end and closed-</w:t>
      </w:r>
      <w:r w:rsidR="00C95360">
        <w:rPr>
          <w:rFonts w:ascii="Times New Roman" w:eastAsia="Times New Roman" w:hAnsi="Times New Roman" w:cs="Times New Roman"/>
          <w:color w:val="000000"/>
        </w:rPr>
        <w:t>end funds</w:t>
      </w:r>
      <w:r w:rsidR="00134583">
        <w:rPr>
          <w:rFonts w:ascii="Times New Roman" w:eastAsia="Times New Roman" w:hAnsi="Times New Roman" w:cs="Times New Roman"/>
          <w:color w:val="000000"/>
        </w:rPr>
        <w:t>,</w:t>
      </w:r>
      <w:r w:rsidR="00C95360">
        <w:rPr>
          <w:rFonts w:ascii="Times New Roman" w:eastAsia="Times New Roman" w:hAnsi="Times New Roman" w:cs="Times New Roman"/>
          <w:color w:val="000000"/>
        </w:rPr>
        <w:t xml:space="preserve"> while the</w:t>
      </w:r>
      <w:r w:rsidR="00134583">
        <w:rPr>
          <w:rFonts w:ascii="Times New Roman" w:eastAsia="Times New Roman" w:hAnsi="Times New Roman" w:cs="Times New Roman"/>
          <w:color w:val="000000"/>
        </w:rPr>
        <w:t xml:space="preserve"> open-end funds</w:t>
      </w:r>
      <w:r w:rsidR="00C95360" w:rsidRPr="00C95360">
        <w:rPr>
          <w:rFonts w:ascii="Times New Roman" w:eastAsia="Times New Roman" w:hAnsi="Times New Roman" w:cs="Times New Roman"/>
          <w:color w:val="000000"/>
        </w:rPr>
        <w:t xml:space="preserve"> </w:t>
      </w:r>
      <w:r w:rsidR="00C95360">
        <w:rPr>
          <w:rFonts w:ascii="Times New Roman" w:eastAsia="Times New Roman" w:hAnsi="Times New Roman" w:cs="Times New Roman"/>
          <w:color w:val="000000"/>
        </w:rPr>
        <w:t xml:space="preserve">can issue an unlimited number of shares and are traded by their net asset </w:t>
      </w:r>
      <w:r w:rsidR="00931741">
        <w:rPr>
          <w:rFonts w:ascii="Times New Roman" w:eastAsia="Times New Roman" w:hAnsi="Times New Roman" w:cs="Times New Roman"/>
          <w:color w:val="000000"/>
        </w:rPr>
        <w:t xml:space="preserve">values; </w:t>
      </w:r>
      <w:r w:rsidR="00C95360">
        <w:rPr>
          <w:rFonts w:ascii="Times New Roman" w:eastAsia="Times New Roman" w:hAnsi="Times New Roman" w:cs="Times New Roman"/>
          <w:color w:val="000000"/>
        </w:rPr>
        <w:t>closed-end funds issue non-redeemable shares by IPOs</w:t>
      </w:r>
      <w:r w:rsidR="00931741">
        <w:rPr>
          <w:rFonts w:ascii="Times New Roman" w:eastAsia="Times New Roman" w:hAnsi="Times New Roman" w:cs="Times New Roman"/>
          <w:color w:val="000000"/>
        </w:rPr>
        <w:t>.</w:t>
      </w:r>
      <w:r w:rsidR="00134583">
        <w:rPr>
          <w:rFonts w:ascii="Times New Roman" w:eastAsia="Times New Roman" w:hAnsi="Times New Roman" w:cs="Times New Roman"/>
          <w:color w:val="000000"/>
        </w:rPr>
        <w:t xml:space="preserve"> </w:t>
      </w:r>
      <w:r w:rsidR="00C95360">
        <w:rPr>
          <w:rFonts w:ascii="Times New Roman" w:eastAsia="Times New Roman" w:hAnsi="Times New Roman" w:cs="Times New Roman"/>
          <w:color w:val="000000"/>
        </w:rPr>
        <w:t>These i</w:t>
      </w:r>
      <w:r w:rsidR="0066404F">
        <w:rPr>
          <w:rFonts w:ascii="Times New Roman" w:eastAsia="Times New Roman" w:hAnsi="Times New Roman" w:cs="Times New Roman"/>
          <w:color w:val="000000"/>
        </w:rPr>
        <w:t>ssued</w:t>
      </w:r>
      <w:r w:rsidR="00134583">
        <w:rPr>
          <w:rFonts w:ascii="Times New Roman" w:eastAsia="Times New Roman" w:hAnsi="Times New Roman" w:cs="Times New Roman"/>
          <w:color w:val="000000"/>
        </w:rPr>
        <w:t xml:space="preserve"> shares are</w:t>
      </w:r>
      <w:r w:rsidR="0066404F">
        <w:rPr>
          <w:rFonts w:ascii="Times New Roman" w:eastAsia="Times New Roman" w:hAnsi="Times New Roman" w:cs="Times New Roman"/>
          <w:color w:val="000000"/>
        </w:rPr>
        <w:t xml:space="preserve"> then</w:t>
      </w:r>
      <w:r w:rsidR="00134583">
        <w:rPr>
          <w:rFonts w:ascii="Times New Roman" w:eastAsia="Times New Roman" w:hAnsi="Times New Roman" w:cs="Times New Roman"/>
          <w:color w:val="000000"/>
        </w:rPr>
        <w:t xml:space="preserve"> traded in the stock exchanges</w:t>
      </w:r>
      <w:r w:rsidR="00931741">
        <w:rPr>
          <w:rFonts w:ascii="Times New Roman" w:eastAsia="Times New Roman" w:hAnsi="Times New Roman" w:cs="Times New Roman"/>
          <w:color w:val="000000"/>
        </w:rPr>
        <w:t xml:space="preserve"> while their</w:t>
      </w:r>
      <w:r w:rsidR="00134583">
        <w:rPr>
          <w:rFonts w:ascii="Times New Roman" w:eastAsia="Times New Roman" w:hAnsi="Times New Roman" w:cs="Times New Roman"/>
          <w:color w:val="000000"/>
        </w:rPr>
        <w:t xml:space="preserve"> </w:t>
      </w:r>
      <w:r w:rsidR="00134583">
        <w:rPr>
          <w:rFonts w:ascii="Times New Roman" w:eastAsia="Times New Roman" w:hAnsi="Times New Roman" w:cs="Times New Roman"/>
        </w:rPr>
        <w:t>price</w:t>
      </w:r>
      <w:r w:rsidR="00931741">
        <w:rPr>
          <w:rFonts w:ascii="Times New Roman" w:eastAsia="Times New Roman" w:hAnsi="Times New Roman" w:cs="Times New Roman"/>
        </w:rPr>
        <w:t>s are set</w:t>
      </w:r>
      <w:r w:rsidR="00134583">
        <w:rPr>
          <w:rFonts w:ascii="Times New Roman" w:eastAsia="Times New Roman" w:hAnsi="Times New Roman" w:cs="Times New Roman"/>
        </w:rPr>
        <w:t xml:space="preserve"> by demand and supply</w:t>
      </w:r>
      <w:r w:rsidR="00134583">
        <w:rPr>
          <w:rFonts w:ascii="Times New Roman" w:eastAsia="Times New Roman" w:hAnsi="Times New Roman" w:cs="Times New Roman"/>
          <w:color w:val="000000"/>
        </w:rPr>
        <w:t xml:space="preserve">. </w:t>
      </w:r>
    </w:p>
    <w:p w14:paraId="21FAD991" w14:textId="6C2430BA" w:rsidR="009553C1" w:rsidRDefault="00F35E89" w:rsidP="006E5583">
      <w:pPr>
        <w:pBdr>
          <w:top w:val="nil"/>
          <w:left w:val="nil"/>
          <w:bottom w:val="nil"/>
          <w:right w:val="nil"/>
          <w:between w:val="nil"/>
        </w:pBdr>
        <w:spacing w:after="39"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From 2011 to 2017 under </w:t>
      </w:r>
      <w:r w:rsidR="00C95360">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management </w:t>
      </w:r>
      <w:r w:rsidR="00E7791A">
        <w:rPr>
          <w:rFonts w:ascii="Times New Roman" w:eastAsia="Times New Roman" w:hAnsi="Times New Roman" w:cs="Times New Roman"/>
          <w:color w:val="000000"/>
        </w:rPr>
        <w:t xml:space="preserve">of </w:t>
      </w:r>
      <w:r>
        <w:rPr>
          <w:rFonts w:ascii="Times New Roman" w:eastAsia="Times New Roman" w:hAnsi="Times New Roman" w:cs="Times New Roman"/>
          <w:color w:val="000000"/>
        </w:rPr>
        <w:t>regulated open-end mutual</w:t>
      </w:r>
      <w:r w:rsidR="0066404F">
        <w:rPr>
          <w:rFonts w:ascii="Times New Roman" w:eastAsia="Times New Roman" w:hAnsi="Times New Roman" w:cs="Times New Roman"/>
          <w:color w:val="000000"/>
        </w:rPr>
        <w:t xml:space="preserve"> funds</w:t>
      </w:r>
      <w:r w:rsidR="00C95360">
        <w:rPr>
          <w:rFonts w:ascii="Times New Roman" w:eastAsia="Times New Roman" w:hAnsi="Times New Roman" w:cs="Times New Roman"/>
          <w:color w:val="000000"/>
        </w:rPr>
        <w:t>,</w:t>
      </w:r>
      <w:r w:rsidR="0066404F">
        <w:rPr>
          <w:rFonts w:ascii="Times New Roman" w:eastAsia="Times New Roman" w:hAnsi="Times New Roman" w:cs="Times New Roman"/>
          <w:color w:val="000000"/>
        </w:rPr>
        <w:t xml:space="preserve"> </w:t>
      </w:r>
      <w:r w:rsidR="00C95360">
        <w:rPr>
          <w:rFonts w:ascii="Times New Roman" w:eastAsia="Times New Roman" w:hAnsi="Times New Roman" w:cs="Times New Roman"/>
          <w:color w:val="000000"/>
        </w:rPr>
        <w:t xml:space="preserve">total net assets </w:t>
      </w:r>
      <w:r w:rsidR="0066404F">
        <w:rPr>
          <w:rFonts w:ascii="Times New Roman" w:eastAsia="Times New Roman" w:hAnsi="Times New Roman" w:cs="Times New Roman"/>
          <w:color w:val="000000"/>
        </w:rPr>
        <w:t>grew by 74.2 percent and</w:t>
      </w:r>
      <w:r>
        <w:rPr>
          <w:rFonts w:ascii="Times New Roman" w:eastAsia="Times New Roman" w:hAnsi="Times New Roman" w:cs="Times New Roman"/>
          <w:color w:val="000000"/>
        </w:rPr>
        <w:t xml:space="preserve"> reached a total value of 49.3 trillion US dollars</w:t>
      </w:r>
      <w:r w:rsidR="006A612D">
        <w:rPr>
          <w:rFonts w:ascii="Times New Roman" w:eastAsia="Times New Roman" w:hAnsi="Times New Roman" w:cs="Times New Roman"/>
          <w:color w:val="000000"/>
        </w:rPr>
        <w:t>. This amount</w:t>
      </w:r>
      <w:r w:rsidR="008144BF">
        <w:rPr>
          <w:rFonts w:ascii="Times New Roman" w:eastAsia="Times New Roman" w:hAnsi="Times New Roman" w:cs="Times New Roman"/>
          <w:color w:val="000000"/>
        </w:rPr>
        <w:t xml:space="preserve"> </w:t>
      </w:r>
      <w:r w:rsidR="00E7791A">
        <w:rPr>
          <w:rFonts w:ascii="Times New Roman" w:eastAsia="Times New Roman" w:hAnsi="Times New Roman" w:cs="Times New Roman"/>
          <w:color w:val="000000"/>
        </w:rPr>
        <w:t>was</w:t>
      </w:r>
      <w:r>
        <w:rPr>
          <w:rFonts w:ascii="Times New Roman" w:eastAsia="Times New Roman" w:hAnsi="Times New Roman" w:cs="Times New Roman"/>
          <w:color w:val="000000"/>
        </w:rPr>
        <w:t xml:space="preserve"> approximately 2.5 times higher than the GDP of United States of America</w:t>
      </w:r>
      <w:r w:rsidR="00931741">
        <w:rPr>
          <w:rFonts w:ascii="Times New Roman" w:eastAsia="Times New Roman" w:hAnsi="Times New Roman" w:cs="Times New Roman"/>
          <w:color w:val="000000"/>
        </w:rPr>
        <w:t xml:space="preserve"> (US)</w:t>
      </w:r>
      <w:r>
        <w:rPr>
          <w:rStyle w:val="FootnoteReference"/>
          <w:rFonts w:ascii="Times New Roman" w:eastAsia="Times New Roman" w:hAnsi="Times New Roman" w:cs="Times New Roman"/>
          <w:color w:val="000000"/>
        </w:rPr>
        <w:footnoteReference w:id="1"/>
      </w:r>
      <w:r>
        <w:rPr>
          <w:rFonts w:ascii="Times New Roman" w:eastAsia="Times New Roman" w:hAnsi="Times New Roman" w:cs="Times New Roman"/>
          <w:color w:val="000000"/>
        </w:rPr>
        <w:t>. At the end of 2017, the s</w:t>
      </w:r>
      <w:r>
        <w:rPr>
          <w:rFonts w:ascii="Times New Roman" w:eastAsia="Times New Roman" w:hAnsi="Times New Roman" w:cs="Times New Roman"/>
        </w:rPr>
        <w:t xml:space="preserve">hare of </w:t>
      </w:r>
      <w:r w:rsidR="00A85C0F">
        <w:rPr>
          <w:rFonts w:ascii="Times New Roman" w:eastAsia="Times New Roman" w:hAnsi="Times New Roman" w:cs="Times New Roman"/>
        </w:rPr>
        <w:t xml:space="preserve">the </w:t>
      </w:r>
      <w:r>
        <w:rPr>
          <w:rFonts w:ascii="Times New Roman" w:eastAsia="Times New Roman" w:hAnsi="Times New Roman" w:cs="Times New Roman"/>
        </w:rPr>
        <w:t>equity mutual funds amounted to 44.3 percent of all regulated open-end funds</w:t>
      </w:r>
      <w:r w:rsidR="00A85C0F">
        <w:rPr>
          <w:rFonts w:ascii="Times New Roman" w:eastAsia="Times New Roman" w:hAnsi="Times New Roman" w:cs="Times New Roman"/>
        </w:rPr>
        <w:t>,</w:t>
      </w:r>
      <w:r>
        <w:rPr>
          <w:rFonts w:ascii="Times New Roman" w:eastAsia="Times New Roman" w:hAnsi="Times New Roman" w:cs="Times New Roman"/>
        </w:rPr>
        <w:t xml:space="preserve"> making them the most popular mutual fund type. </w:t>
      </w:r>
      <w:r w:rsidR="00A85C0F">
        <w:rPr>
          <w:rFonts w:ascii="Times New Roman" w:eastAsia="Times New Roman" w:hAnsi="Times New Roman" w:cs="Times New Roman"/>
        </w:rPr>
        <w:t>Today, w</w:t>
      </w:r>
      <w:r>
        <w:rPr>
          <w:rFonts w:ascii="Times New Roman" w:eastAsia="Times New Roman" w:hAnsi="Times New Roman" w:cs="Times New Roman"/>
        </w:rPr>
        <w:t>ith their value amounting to 21.8 trillion dollars, the performance of equity mutual funds affects</w:t>
      </w:r>
      <w:r w:rsidR="0066404F">
        <w:rPr>
          <w:rFonts w:ascii="Times New Roman" w:eastAsia="Times New Roman" w:hAnsi="Times New Roman" w:cs="Times New Roman"/>
        </w:rPr>
        <w:t xml:space="preserve"> the </w:t>
      </w:r>
      <w:r w:rsidR="00E7791A">
        <w:rPr>
          <w:rFonts w:ascii="Times New Roman" w:eastAsia="Times New Roman" w:hAnsi="Times New Roman" w:cs="Times New Roman"/>
        </w:rPr>
        <w:t>wealth</w:t>
      </w:r>
      <w:r w:rsidR="0066404F">
        <w:rPr>
          <w:rFonts w:ascii="Times New Roman" w:eastAsia="Times New Roman" w:hAnsi="Times New Roman" w:cs="Times New Roman"/>
        </w:rPr>
        <w:t xml:space="preserve"> of</w:t>
      </w:r>
      <w:r>
        <w:rPr>
          <w:rFonts w:ascii="Times New Roman" w:eastAsia="Times New Roman" w:hAnsi="Times New Roman" w:cs="Times New Roman"/>
        </w:rPr>
        <w:t xml:space="preserve"> a </w:t>
      </w:r>
      <w:r w:rsidR="00E7791A">
        <w:rPr>
          <w:rFonts w:ascii="Times New Roman" w:eastAsia="Times New Roman" w:hAnsi="Times New Roman" w:cs="Times New Roman"/>
        </w:rPr>
        <w:t>vast</w:t>
      </w:r>
      <w:r>
        <w:rPr>
          <w:rFonts w:ascii="Times New Roman" w:eastAsia="Times New Roman" w:hAnsi="Times New Roman" w:cs="Times New Roman"/>
        </w:rPr>
        <w:t xml:space="preserve"> number of people</w:t>
      </w:r>
      <w:r w:rsidR="00E7791A">
        <w:rPr>
          <w:rFonts w:ascii="Times New Roman" w:eastAsia="Times New Roman" w:hAnsi="Times New Roman" w:cs="Times New Roman"/>
        </w:rPr>
        <w:t xml:space="preserve"> </w:t>
      </w:r>
      <w:r w:rsidR="0066404F">
        <w:rPr>
          <w:rFonts w:ascii="Times New Roman" w:eastAsia="Times New Roman" w:hAnsi="Times New Roman" w:cs="Times New Roman"/>
        </w:rPr>
        <w:t xml:space="preserve">all around </w:t>
      </w:r>
      <w:r>
        <w:rPr>
          <w:rFonts w:ascii="Times New Roman" w:eastAsia="Times New Roman" w:hAnsi="Times New Roman" w:cs="Times New Roman"/>
        </w:rPr>
        <w:t>the world</w:t>
      </w:r>
      <w:r w:rsidR="00BC01E5">
        <w:rPr>
          <w:rFonts w:ascii="Times New Roman" w:eastAsia="Times New Roman" w:hAnsi="Times New Roman" w:cs="Times New Roman"/>
        </w:rPr>
        <w:t>.</w:t>
      </w:r>
      <w:r>
        <w:rPr>
          <w:rFonts w:ascii="Times New Roman" w:eastAsia="Times New Roman" w:hAnsi="Times New Roman" w:cs="Times New Roman"/>
        </w:rPr>
        <w:t xml:space="preserve"> </w:t>
      </w:r>
      <w:r w:rsidR="00247058">
        <w:rPr>
          <w:rFonts w:ascii="Times New Roman" w:eastAsia="Times New Roman" w:hAnsi="Times New Roman" w:cs="Times New Roman"/>
        </w:rPr>
        <w:t>Therefore</w:t>
      </w:r>
      <w:r>
        <w:rPr>
          <w:rFonts w:ascii="Times New Roman" w:eastAsia="Times New Roman" w:hAnsi="Times New Roman" w:cs="Times New Roman"/>
        </w:rPr>
        <w:t>,</w:t>
      </w:r>
      <w:r w:rsidR="00BC01E5">
        <w:rPr>
          <w:rFonts w:ascii="Times New Roman" w:eastAsia="Times New Roman" w:hAnsi="Times New Roman" w:cs="Times New Roman"/>
        </w:rPr>
        <w:t xml:space="preserve"> </w:t>
      </w:r>
      <w:r w:rsidR="00A85C0F">
        <w:rPr>
          <w:rFonts w:ascii="Times New Roman" w:eastAsia="Times New Roman" w:hAnsi="Times New Roman" w:cs="Times New Roman"/>
        </w:rPr>
        <w:t xml:space="preserve">the main motivation of this thesis is to evaluate </w:t>
      </w:r>
      <w:r w:rsidR="00785933">
        <w:rPr>
          <w:rFonts w:ascii="Times New Roman" w:eastAsia="Times New Roman" w:hAnsi="Times New Roman" w:cs="Times New Roman"/>
        </w:rPr>
        <w:t>the performance</w:t>
      </w:r>
      <w:r w:rsidR="00BC01E5">
        <w:rPr>
          <w:rFonts w:ascii="Times New Roman" w:eastAsia="Times New Roman" w:hAnsi="Times New Roman" w:cs="Times New Roman"/>
        </w:rPr>
        <w:t xml:space="preserve"> of</w:t>
      </w:r>
      <w:r>
        <w:rPr>
          <w:rFonts w:ascii="Times New Roman" w:eastAsia="Times New Roman" w:hAnsi="Times New Roman" w:cs="Times New Roman"/>
        </w:rPr>
        <w:t xml:space="preserve"> mutual fund</w:t>
      </w:r>
      <w:r w:rsidR="00785933">
        <w:rPr>
          <w:rFonts w:ascii="Times New Roman" w:eastAsia="Times New Roman" w:hAnsi="Times New Roman" w:cs="Times New Roman"/>
        </w:rPr>
        <w:t>s</w:t>
      </w:r>
      <w:r>
        <w:rPr>
          <w:rFonts w:ascii="Times New Roman" w:eastAsia="Times New Roman" w:hAnsi="Times New Roman" w:cs="Times New Roman"/>
        </w:rPr>
        <w:t xml:space="preserve"> while </w:t>
      </w:r>
      <w:r w:rsidR="00A85C0F">
        <w:rPr>
          <w:rFonts w:ascii="Times New Roman" w:eastAsia="Times New Roman" w:hAnsi="Times New Roman" w:cs="Times New Roman"/>
        </w:rPr>
        <w:t>asking the</w:t>
      </w:r>
      <w:r w:rsidR="00240164">
        <w:rPr>
          <w:rFonts w:ascii="Times New Roman" w:eastAsia="Times New Roman" w:hAnsi="Times New Roman" w:cs="Times New Roman"/>
        </w:rPr>
        <w:t xml:space="preserve"> </w:t>
      </w:r>
      <w:r>
        <w:rPr>
          <w:rFonts w:ascii="Times New Roman" w:eastAsia="Times New Roman" w:hAnsi="Times New Roman" w:cs="Times New Roman"/>
        </w:rPr>
        <w:t>following</w:t>
      </w:r>
      <w:r w:rsidR="00A85C0F">
        <w:rPr>
          <w:rFonts w:ascii="Times New Roman" w:eastAsia="Times New Roman" w:hAnsi="Times New Roman" w:cs="Times New Roman"/>
        </w:rPr>
        <w:t xml:space="preserve"> question</w:t>
      </w:r>
      <w:r>
        <w:rPr>
          <w:rFonts w:ascii="Times New Roman" w:eastAsia="Times New Roman" w:hAnsi="Times New Roman" w:cs="Times New Roman"/>
        </w:rPr>
        <w:t>:</w:t>
      </w:r>
    </w:p>
    <w:p w14:paraId="5D88DBDE" w14:textId="77777777" w:rsidR="009553C1" w:rsidRDefault="009553C1" w:rsidP="00931741">
      <w:pPr>
        <w:pBdr>
          <w:top w:val="nil"/>
          <w:left w:val="nil"/>
          <w:bottom w:val="nil"/>
          <w:right w:val="nil"/>
          <w:between w:val="nil"/>
        </w:pBdr>
        <w:spacing w:after="39" w:line="360" w:lineRule="auto"/>
        <w:jc w:val="both"/>
        <w:rPr>
          <w:rFonts w:ascii="Times New Roman" w:eastAsia="Times New Roman" w:hAnsi="Times New Roman" w:cs="Times New Roman"/>
        </w:rPr>
      </w:pPr>
    </w:p>
    <w:p w14:paraId="3D514774" w14:textId="625FD480" w:rsidR="00FA6FFF" w:rsidRDefault="00F35E89" w:rsidP="009553C1">
      <w:pPr>
        <w:pBdr>
          <w:top w:val="nil"/>
          <w:left w:val="nil"/>
          <w:bottom w:val="nil"/>
          <w:right w:val="nil"/>
          <w:between w:val="nil"/>
        </w:pBdr>
        <w:spacing w:after="39" w:line="360" w:lineRule="auto"/>
        <w:jc w:val="center"/>
        <w:rPr>
          <w:rFonts w:ascii="Times New Roman" w:eastAsia="Times New Roman" w:hAnsi="Times New Roman" w:cs="Times New Roman"/>
          <w:i/>
          <w:iCs/>
        </w:rPr>
      </w:pPr>
      <w:r w:rsidRPr="009553C1">
        <w:rPr>
          <w:rFonts w:ascii="Times New Roman" w:eastAsia="Times New Roman" w:hAnsi="Times New Roman" w:cs="Times New Roman"/>
          <w:i/>
          <w:iCs/>
        </w:rPr>
        <w:t>“</w:t>
      </w:r>
      <w:r w:rsidR="00F9200F">
        <w:rPr>
          <w:rFonts w:ascii="Times New Roman" w:eastAsia="Times New Roman" w:hAnsi="Times New Roman" w:cs="Times New Roman"/>
          <w:i/>
          <w:iCs/>
        </w:rPr>
        <w:t>How do</w:t>
      </w:r>
      <w:r w:rsidR="00AD2C8F" w:rsidRPr="009553C1">
        <w:rPr>
          <w:rFonts w:ascii="Times New Roman" w:eastAsia="Times New Roman" w:hAnsi="Times New Roman" w:cs="Times New Roman"/>
          <w:i/>
          <w:iCs/>
        </w:rPr>
        <w:t xml:space="preserve"> actively managed</w:t>
      </w:r>
      <w:r w:rsidR="00BC01E5">
        <w:rPr>
          <w:rFonts w:ascii="Times New Roman" w:eastAsia="Times New Roman" w:hAnsi="Times New Roman" w:cs="Times New Roman"/>
          <w:i/>
          <w:iCs/>
        </w:rPr>
        <w:t xml:space="preserve"> domestic</w:t>
      </w:r>
      <w:r w:rsidR="00AD2C8F" w:rsidRPr="009553C1">
        <w:rPr>
          <w:rFonts w:ascii="Times New Roman" w:eastAsia="Times New Roman" w:hAnsi="Times New Roman" w:cs="Times New Roman"/>
          <w:i/>
          <w:iCs/>
        </w:rPr>
        <w:t xml:space="preserve"> equity mutual funds</w:t>
      </w:r>
      <w:r w:rsidRPr="009553C1">
        <w:rPr>
          <w:rFonts w:ascii="Times New Roman" w:eastAsia="Times New Roman" w:hAnsi="Times New Roman" w:cs="Times New Roman"/>
          <w:i/>
          <w:iCs/>
        </w:rPr>
        <w:t xml:space="preserve"> in Australia, France, India, Japan, </w:t>
      </w:r>
      <w:r w:rsidR="00821E93">
        <w:rPr>
          <w:rFonts w:ascii="Times New Roman" w:eastAsia="Times New Roman" w:hAnsi="Times New Roman" w:cs="Times New Roman"/>
          <w:i/>
          <w:iCs/>
        </w:rPr>
        <w:t xml:space="preserve">Norway, </w:t>
      </w:r>
      <w:r w:rsidRPr="009553C1">
        <w:rPr>
          <w:rFonts w:ascii="Times New Roman" w:eastAsia="Times New Roman" w:hAnsi="Times New Roman" w:cs="Times New Roman"/>
          <w:i/>
          <w:iCs/>
        </w:rPr>
        <w:t>Switzerland, the UK, and the US</w:t>
      </w:r>
      <w:r w:rsidR="00AD2C8F" w:rsidRPr="009553C1">
        <w:rPr>
          <w:rFonts w:ascii="Times New Roman" w:eastAsia="Times New Roman" w:hAnsi="Times New Roman" w:cs="Times New Roman"/>
          <w:i/>
          <w:iCs/>
        </w:rPr>
        <w:t xml:space="preserve"> </w:t>
      </w:r>
      <w:r w:rsidR="00F9200F">
        <w:rPr>
          <w:rFonts w:ascii="Times New Roman" w:eastAsia="Times New Roman" w:hAnsi="Times New Roman" w:cs="Times New Roman"/>
          <w:i/>
          <w:iCs/>
        </w:rPr>
        <w:t>perform compared to</w:t>
      </w:r>
      <w:r w:rsidR="00AD2C8F" w:rsidRPr="009553C1">
        <w:rPr>
          <w:rFonts w:ascii="Times New Roman" w:eastAsia="Times New Roman" w:hAnsi="Times New Roman" w:cs="Times New Roman"/>
          <w:i/>
          <w:iCs/>
        </w:rPr>
        <w:t xml:space="preserve"> their benchmarks</w:t>
      </w:r>
      <w:r w:rsidRPr="009553C1">
        <w:rPr>
          <w:rFonts w:ascii="Times New Roman" w:eastAsia="Times New Roman" w:hAnsi="Times New Roman" w:cs="Times New Roman"/>
          <w:i/>
          <w:iCs/>
        </w:rPr>
        <w:t xml:space="preserve"> </w:t>
      </w:r>
      <w:r w:rsidR="00BD4369">
        <w:rPr>
          <w:rFonts w:ascii="Times New Roman" w:eastAsia="Times New Roman" w:hAnsi="Times New Roman" w:cs="Times New Roman"/>
          <w:i/>
          <w:iCs/>
        </w:rPr>
        <w:t>between the years</w:t>
      </w:r>
      <w:r w:rsidRPr="009553C1">
        <w:rPr>
          <w:rFonts w:ascii="Times New Roman" w:eastAsia="Times New Roman" w:hAnsi="Times New Roman" w:cs="Times New Roman"/>
          <w:i/>
          <w:iCs/>
        </w:rPr>
        <w:t xml:space="preserve"> 2003 and 20</w:t>
      </w:r>
      <w:r w:rsidR="00CB42C9">
        <w:rPr>
          <w:rFonts w:ascii="Times New Roman" w:eastAsia="Times New Roman" w:hAnsi="Times New Roman" w:cs="Times New Roman"/>
          <w:i/>
          <w:iCs/>
        </w:rPr>
        <w:t>1</w:t>
      </w:r>
      <w:r w:rsidR="00BD4369">
        <w:rPr>
          <w:rFonts w:ascii="Times New Roman" w:eastAsia="Times New Roman" w:hAnsi="Times New Roman" w:cs="Times New Roman"/>
          <w:i/>
          <w:iCs/>
        </w:rPr>
        <w:t>8</w:t>
      </w:r>
      <w:r w:rsidR="00AD2C8F" w:rsidRPr="009553C1">
        <w:rPr>
          <w:rFonts w:ascii="Times New Roman" w:eastAsia="Times New Roman" w:hAnsi="Times New Roman" w:cs="Times New Roman"/>
          <w:i/>
          <w:iCs/>
        </w:rPr>
        <w:t>?</w:t>
      </w:r>
      <w:r w:rsidRPr="009553C1">
        <w:rPr>
          <w:rFonts w:ascii="Times New Roman" w:eastAsia="Times New Roman" w:hAnsi="Times New Roman" w:cs="Times New Roman"/>
          <w:i/>
          <w:iCs/>
        </w:rPr>
        <w:t>”</w:t>
      </w:r>
    </w:p>
    <w:p w14:paraId="6DE4B0F0" w14:textId="77777777" w:rsidR="00BC01E5" w:rsidRDefault="00BC01E5" w:rsidP="009553C1">
      <w:pPr>
        <w:pBdr>
          <w:top w:val="nil"/>
          <w:left w:val="nil"/>
          <w:bottom w:val="nil"/>
          <w:right w:val="nil"/>
          <w:between w:val="nil"/>
        </w:pBdr>
        <w:spacing w:after="39" w:line="360" w:lineRule="auto"/>
        <w:jc w:val="center"/>
        <w:rPr>
          <w:rFonts w:ascii="Times New Roman" w:eastAsia="Times New Roman" w:hAnsi="Times New Roman" w:cs="Times New Roman"/>
          <w:i/>
          <w:iCs/>
        </w:rPr>
      </w:pPr>
    </w:p>
    <w:p w14:paraId="2E49F085" w14:textId="7C6612AA" w:rsidR="00240164" w:rsidRPr="00DF343C" w:rsidRDefault="00F35E89" w:rsidP="00BC01E5">
      <w:pPr>
        <w:pBdr>
          <w:top w:val="nil"/>
          <w:left w:val="nil"/>
          <w:bottom w:val="nil"/>
          <w:right w:val="nil"/>
          <w:between w:val="nil"/>
        </w:pBdr>
        <w:spacing w:after="39" w:line="36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By comparing active mutual funds and their passive benchmarks, this thesis can be used as a guideline for small and individual equity investors. </w:t>
      </w:r>
      <w:r w:rsidR="007D5961" w:rsidRPr="00890910">
        <w:rPr>
          <w:rFonts w:ascii="Times New Roman" w:eastAsia="Times New Roman" w:hAnsi="Times New Roman" w:cs="Times New Roman"/>
        </w:rPr>
        <w:t>Accordingly, this re</w:t>
      </w:r>
      <w:r w:rsidR="00E33E47" w:rsidRPr="00890910">
        <w:rPr>
          <w:rFonts w:ascii="Times New Roman" w:eastAsia="Times New Roman" w:hAnsi="Times New Roman" w:cs="Times New Roman"/>
        </w:rPr>
        <w:t xml:space="preserve">search can help investors </w:t>
      </w:r>
      <w:r w:rsidR="000B03B2" w:rsidRPr="00890910">
        <w:rPr>
          <w:rFonts w:ascii="Times New Roman" w:eastAsia="Times New Roman" w:hAnsi="Times New Roman" w:cs="Times New Roman"/>
        </w:rPr>
        <w:t>to</w:t>
      </w:r>
      <w:r w:rsidR="00F518D7" w:rsidRPr="00890910">
        <w:rPr>
          <w:rFonts w:ascii="Times New Roman" w:eastAsia="Times New Roman" w:hAnsi="Times New Roman" w:cs="Times New Roman"/>
        </w:rPr>
        <w:t xml:space="preserve"> analyze the performance of active mutual funds in more detail and might assist them during their investment decisions’.</w:t>
      </w:r>
    </w:p>
    <w:p w14:paraId="7827D394" w14:textId="43E03DCA" w:rsidR="00867C92" w:rsidRPr="00E33E47" w:rsidRDefault="00F35E89" w:rsidP="00E33E47">
      <w:pPr>
        <w:pBdr>
          <w:top w:val="nil"/>
          <w:left w:val="nil"/>
          <w:bottom w:val="nil"/>
          <w:right w:val="nil"/>
          <w:between w:val="nil"/>
        </w:pBdr>
        <w:spacing w:after="39" w:line="360" w:lineRule="auto"/>
        <w:ind w:firstLine="720"/>
        <w:jc w:val="both"/>
        <w:rPr>
          <w:rFonts w:ascii="Times New Roman" w:eastAsia="Times New Roman" w:hAnsi="Times New Roman" w:cs="Times New Roman"/>
        </w:rPr>
      </w:pPr>
      <w:r>
        <w:rPr>
          <w:rFonts w:ascii="Times New Roman" w:eastAsia="Times New Roman" w:hAnsi="Times New Roman" w:cs="Times New Roman"/>
        </w:rPr>
        <w:t>Mutual funds’ performance was studied in detail in the last 50 years.</w:t>
      </w:r>
      <w:r w:rsidR="00134583">
        <w:rPr>
          <w:rFonts w:ascii="Times New Roman" w:eastAsia="Times New Roman" w:hAnsi="Times New Roman" w:cs="Times New Roman"/>
        </w:rPr>
        <w:t xml:space="preserve"> Jensen (1968) was </w:t>
      </w:r>
      <w:r w:rsidR="008458FE">
        <w:rPr>
          <w:rFonts w:ascii="Times New Roman" w:eastAsia="Times New Roman" w:hAnsi="Times New Roman" w:cs="Times New Roman"/>
        </w:rPr>
        <w:t>the</w:t>
      </w:r>
      <w:r w:rsidR="00134583">
        <w:rPr>
          <w:rFonts w:ascii="Times New Roman" w:eastAsia="Times New Roman" w:hAnsi="Times New Roman" w:cs="Times New Roman"/>
        </w:rPr>
        <w:t xml:space="preserve"> first among many to find that </w:t>
      </w:r>
      <w:r>
        <w:rPr>
          <w:rFonts w:ascii="Times New Roman" w:eastAsia="Times New Roman" w:hAnsi="Times New Roman" w:cs="Times New Roman"/>
        </w:rPr>
        <w:t xml:space="preserve">on average </w:t>
      </w:r>
      <w:r w:rsidR="00134583">
        <w:rPr>
          <w:rFonts w:ascii="Times New Roman" w:eastAsia="Times New Roman" w:hAnsi="Times New Roman" w:cs="Times New Roman"/>
        </w:rPr>
        <w:t>equity mutual funds</w:t>
      </w:r>
      <w:r w:rsidRPr="00E33E47">
        <w:rPr>
          <w:rFonts w:ascii="Times New Roman" w:eastAsia="Times New Roman" w:hAnsi="Times New Roman" w:cs="Times New Roman"/>
        </w:rPr>
        <w:t xml:space="preserve"> </w:t>
      </w:r>
      <w:r>
        <w:rPr>
          <w:rFonts w:ascii="Times New Roman" w:eastAsia="Times New Roman" w:hAnsi="Times New Roman" w:cs="Times New Roman"/>
        </w:rPr>
        <w:t>underperformed</w:t>
      </w:r>
      <w:r w:rsidR="00134583">
        <w:rPr>
          <w:rFonts w:ascii="Times New Roman" w:eastAsia="Times New Roman" w:hAnsi="Times New Roman" w:cs="Times New Roman"/>
        </w:rPr>
        <w:t xml:space="preserve"> their </w:t>
      </w:r>
      <w:r w:rsidR="00134583">
        <w:rPr>
          <w:rFonts w:ascii="Times New Roman" w:eastAsia="Times New Roman" w:hAnsi="Times New Roman" w:cs="Times New Roman"/>
        </w:rPr>
        <w:lastRenderedPageBreak/>
        <w:t>benchmarks</w:t>
      </w:r>
      <w:r>
        <w:rPr>
          <w:rFonts w:ascii="Times New Roman" w:eastAsia="Times New Roman" w:hAnsi="Times New Roman" w:cs="Times New Roman"/>
        </w:rPr>
        <w:t>.</w:t>
      </w:r>
      <w:r w:rsidRPr="00E33E47">
        <w:rPr>
          <w:rFonts w:ascii="Times New Roman" w:eastAsia="Times New Roman" w:hAnsi="Times New Roman" w:cs="Times New Roman"/>
        </w:rPr>
        <w:t xml:space="preserve"> </w:t>
      </w:r>
      <w:r>
        <w:rPr>
          <w:rFonts w:ascii="Times New Roman" w:eastAsia="Times New Roman" w:hAnsi="Times New Roman" w:cs="Times New Roman"/>
        </w:rPr>
        <w:t xml:space="preserve">Nearly 30 years later, </w:t>
      </w:r>
      <w:r w:rsidR="00134583">
        <w:rPr>
          <w:rFonts w:ascii="Times New Roman" w:eastAsia="Times New Roman" w:hAnsi="Times New Roman" w:cs="Times New Roman"/>
        </w:rPr>
        <w:t>Malkiel (1995</w:t>
      </w:r>
      <w:r w:rsidR="00134583">
        <w:rPr>
          <w:rFonts w:ascii="Times New Roman" w:eastAsia="Times New Roman" w:hAnsi="Times New Roman" w:cs="Times New Roman"/>
          <w:color w:val="000000"/>
        </w:rPr>
        <w:t>)</w:t>
      </w:r>
      <w:r w:rsidRPr="00E33E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supports the findings of Jensen</w:t>
      </w:r>
      <w:r w:rsidR="00134583">
        <w:rPr>
          <w:rFonts w:ascii="Times New Roman" w:eastAsia="Times New Roman" w:hAnsi="Times New Roman" w:cs="Times New Roman"/>
          <w:color w:val="000000"/>
        </w:rPr>
        <w:t xml:space="preserve"> on equity mutual fund performances </w:t>
      </w:r>
      <w:r w:rsidR="00C17B72">
        <w:rPr>
          <w:rFonts w:ascii="Times New Roman" w:eastAsia="Times New Roman" w:hAnsi="Times New Roman" w:cs="Times New Roman"/>
          <w:color w:val="000000"/>
        </w:rPr>
        <w:t>when evaluating the years between</w:t>
      </w:r>
      <w:r w:rsidR="00134583">
        <w:rPr>
          <w:rFonts w:ascii="Times New Roman" w:eastAsia="Times New Roman" w:hAnsi="Times New Roman" w:cs="Times New Roman"/>
          <w:color w:val="000000"/>
        </w:rPr>
        <w:t xml:space="preserve"> 1971 and 1991. </w:t>
      </w:r>
      <w:r w:rsidR="00134583" w:rsidRPr="000B03B2">
        <w:rPr>
          <w:rFonts w:ascii="Times New Roman" w:eastAsia="Times New Roman" w:hAnsi="Times New Roman" w:cs="Times New Roman"/>
          <w:color w:val="000000"/>
        </w:rPr>
        <w:t xml:space="preserve">Malkiel found that </w:t>
      </w:r>
      <w:r w:rsidR="00C17B72" w:rsidRPr="000B03B2">
        <w:rPr>
          <w:rFonts w:ascii="Times New Roman" w:eastAsia="Times New Roman" w:hAnsi="Times New Roman" w:cs="Times New Roman"/>
          <w:color w:val="000000"/>
        </w:rPr>
        <w:t xml:space="preserve">on average </w:t>
      </w:r>
      <w:r w:rsidR="00134583" w:rsidRPr="000B03B2">
        <w:rPr>
          <w:rFonts w:ascii="Times New Roman" w:eastAsia="Times New Roman" w:hAnsi="Times New Roman" w:cs="Times New Roman"/>
          <w:color w:val="000000"/>
        </w:rPr>
        <w:t>equity mutual funds underperform</w:t>
      </w:r>
      <w:r w:rsidR="006A612D" w:rsidRPr="000B03B2">
        <w:rPr>
          <w:rFonts w:ascii="Times New Roman" w:eastAsia="Times New Roman" w:hAnsi="Times New Roman" w:cs="Times New Roman"/>
          <w:color w:val="000000"/>
        </w:rPr>
        <w:t>ed</w:t>
      </w:r>
      <w:r w:rsidR="00A70E85" w:rsidRPr="000B03B2">
        <w:rPr>
          <w:rFonts w:ascii="Times New Roman" w:eastAsia="Times New Roman" w:hAnsi="Times New Roman" w:cs="Times New Roman"/>
          <w:color w:val="000000"/>
        </w:rPr>
        <w:t xml:space="preserve"> their benchmarks</w:t>
      </w:r>
      <w:r w:rsidR="00134583" w:rsidRPr="000B03B2">
        <w:rPr>
          <w:rFonts w:ascii="Times New Roman" w:eastAsia="Times New Roman" w:hAnsi="Times New Roman" w:cs="Times New Roman"/>
          <w:color w:val="000000"/>
        </w:rPr>
        <w:t xml:space="preserve"> gross of annual fees. </w:t>
      </w:r>
      <w:r w:rsidR="000B03B2">
        <w:rPr>
          <w:rFonts w:ascii="Times New Roman" w:eastAsia="Times New Roman" w:hAnsi="Times New Roman" w:cs="Times New Roman"/>
          <w:color w:val="000000"/>
        </w:rPr>
        <w:t>This was contradicting</w:t>
      </w:r>
      <w:r w:rsidR="00134583" w:rsidRPr="000B03B2">
        <w:rPr>
          <w:rFonts w:ascii="Times New Roman" w:eastAsia="Times New Roman" w:hAnsi="Times New Roman" w:cs="Times New Roman"/>
          <w:color w:val="000000"/>
        </w:rPr>
        <w:t xml:space="preserve"> Ippolito</w:t>
      </w:r>
      <w:r w:rsidR="000B03B2">
        <w:rPr>
          <w:rFonts w:ascii="Times New Roman" w:eastAsia="Times New Roman" w:hAnsi="Times New Roman" w:cs="Times New Roman"/>
          <w:color w:val="000000"/>
        </w:rPr>
        <w:t>’s</w:t>
      </w:r>
      <w:r w:rsidR="00134583" w:rsidRPr="000B03B2">
        <w:rPr>
          <w:rFonts w:ascii="Times New Roman" w:eastAsia="Times New Roman" w:hAnsi="Times New Roman" w:cs="Times New Roman"/>
          <w:color w:val="000000"/>
        </w:rPr>
        <w:t xml:space="preserve"> (1989)</w:t>
      </w:r>
      <w:r w:rsidR="000B03B2">
        <w:rPr>
          <w:rFonts w:ascii="Times New Roman" w:eastAsia="Times New Roman" w:hAnsi="Times New Roman" w:cs="Times New Roman"/>
          <w:color w:val="000000"/>
        </w:rPr>
        <w:t xml:space="preserve"> findings, indicating </w:t>
      </w:r>
      <w:r w:rsidR="00134583" w:rsidRPr="000B03B2">
        <w:rPr>
          <w:rFonts w:ascii="Times New Roman" w:eastAsia="Times New Roman" w:hAnsi="Times New Roman" w:cs="Times New Roman"/>
          <w:color w:val="000000"/>
        </w:rPr>
        <w:t xml:space="preserve">that mutual funds outperform their benchmarks net of all fees, excluding load charges. </w:t>
      </w:r>
    </w:p>
    <w:p w14:paraId="722F009C" w14:textId="574E7EE1" w:rsidR="00E436CC" w:rsidRDefault="00F35E89" w:rsidP="00E436CC">
      <w:pPr>
        <w:pBdr>
          <w:top w:val="nil"/>
          <w:left w:val="nil"/>
          <w:bottom w:val="nil"/>
          <w:right w:val="nil"/>
          <w:between w:val="nil"/>
        </w:pBdr>
        <w:spacing w:after="39"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B03B2">
        <w:rPr>
          <w:rFonts w:ascii="Times New Roman" w:eastAsia="Times New Roman" w:hAnsi="Times New Roman" w:cs="Times New Roman"/>
          <w:color w:val="000000"/>
        </w:rPr>
        <w:t xml:space="preserve">Later, </w:t>
      </w:r>
      <w:r>
        <w:rPr>
          <w:rFonts w:ascii="Times New Roman" w:eastAsia="Times New Roman" w:hAnsi="Times New Roman" w:cs="Times New Roman"/>
          <w:color w:val="000000"/>
        </w:rPr>
        <w:t>Carhart (199</w:t>
      </w:r>
      <w:r w:rsidR="00E3458A">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w:t>
      </w:r>
      <w:r w:rsidR="00C17B72">
        <w:rPr>
          <w:rFonts w:ascii="Times New Roman" w:eastAsia="Times New Roman" w:hAnsi="Times New Roman" w:cs="Times New Roman"/>
          <w:color w:val="000000"/>
        </w:rPr>
        <w:t>studied</w:t>
      </w:r>
      <w:r w:rsidR="00C17B72" w:rsidRPr="00C17B72">
        <w:rPr>
          <w:rFonts w:ascii="Times New Roman" w:eastAsia="Times New Roman" w:hAnsi="Times New Roman" w:cs="Times New Roman"/>
          <w:color w:val="000000"/>
        </w:rPr>
        <w:t xml:space="preserve"> </w:t>
      </w:r>
      <w:r w:rsidR="00C17B72">
        <w:rPr>
          <w:rFonts w:ascii="Times New Roman" w:eastAsia="Times New Roman" w:hAnsi="Times New Roman" w:cs="Times New Roman"/>
          <w:color w:val="000000"/>
        </w:rPr>
        <w:t xml:space="preserve">the performance of the equity mutual funds </w:t>
      </w:r>
      <w:r>
        <w:rPr>
          <w:rFonts w:ascii="Times New Roman" w:eastAsia="Times New Roman" w:hAnsi="Times New Roman" w:cs="Times New Roman"/>
          <w:color w:val="000000"/>
        </w:rPr>
        <w:t xml:space="preserve">with his </w:t>
      </w:r>
      <w:r w:rsidR="003468E5">
        <w:rPr>
          <w:rFonts w:ascii="Times New Roman" w:eastAsia="Times New Roman" w:hAnsi="Times New Roman" w:cs="Times New Roman"/>
          <w:color w:val="000000"/>
        </w:rPr>
        <w:t>four-factor</w:t>
      </w:r>
      <w:r>
        <w:rPr>
          <w:rFonts w:ascii="Times New Roman" w:eastAsia="Times New Roman" w:hAnsi="Times New Roman" w:cs="Times New Roman"/>
          <w:color w:val="000000"/>
        </w:rPr>
        <w:t xml:space="preserve"> model</w:t>
      </w:r>
      <w:r w:rsidR="00867C92">
        <w:rPr>
          <w:rFonts w:ascii="Times New Roman" w:eastAsia="Times New Roman" w:hAnsi="Times New Roman" w:cs="Times New Roman"/>
          <w:color w:val="000000"/>
        </w:rPr>
        <w:t>.</w:t>
      </w:r>
      <w:r w:rsidR="006A612D">
        <w:rPr>
          <w:rFonts w:ascii="Times New Roman" w:eastAsia="Times New Roman" w:hAnsi="Times New Roman" w:cs="Times New Roman"/>
          <w:color w:val="000000"/>
        </w:rPr>
        <w:t xml:space="preserve"> Like prior research</w:t>
      </w:r>
      <w:r w:rsidR="00C17B72">
        <w:rPr>
          <w:rFonts w:ascii="Times New Roman" w:eastAsia="Times New Roman" w:hAnsi="Times New Roman" w:cs="Times New Roman"/>
          <w:color w:val="000000"/>
        </w:rPr>
        <w:t xml:space="preserve"> of Malkiel and Jensen</w:t>
      </w:r>
      <w:r w:rsidR="006A612D">
        <w:rPr>
          <w:rFonts w:ascii="Times New Roman" w:eastAsia="Times New Roman" w:hAnsi="Times New Roman" w:cs="Times New Roman"/>
          <w:color w:val="000000"/>
        </w:rPr>
        <w:t>,</w:t>
      </w:r>
      <w:r w:rsidR="00867C92">
        <w:rPr>
          <w:rFonts w:ascii="Times New Roman" w:eastAsia="Times New Roman" w:hAnsi="Times New Roman" w:cs="Times New Roman"/>
          <w:color w:val="000000"/>
        </w:rPr>
        <w:t xml:space="preserve"> </w:t>
      </w:r>
      <w:r w:rsidR="00890910">
        <w:rPr>
          <w:rFonts w:ascii="Times New Roman" w:eastAsia="Times New Roman" w:hAnsi="Times New Roman" w:cs="Times New Roman"/>
          <w:color w:val="000000"/>
        </w:rPr>
        <w:t>Carhart’s</w:t>
      </w:r>
      <w:r w:rsidR="00867C92">
        <w:rPr>
          <w:rFonts w:ascii="Times New Roman" w:eastAsia="Times New Roman" w:hAnsi="Times New Roman" w:cs="Times New Roman"/>
          <w:color w:val="000000"/>
        </w:rPr>
        <w:t xml:space="preserve"> findings </w:t>
      </w:r>
      <w:r w:rsidR="006A612D">
        <w:rPr>
          <w:rFonts w:ascii="Times New Roman" w:eastAsia="Times New Roman" w:hAnsi="Times New Roman" w:cs="Times New Roman"/>
          <w:color w:val="000000"/>
        </w:rPr>
        <w:t>showed</w:t>
      </w:r>
      <w:r w:rsidR="00C17B72">
        <w:rPr>
          <w:rFonts w:ascii="Times New Roman" w:eastAsia="Times New Roman" w:hAnsi="Times New Roman" w:cs="Times New Roman"/>
          <w:color w:val="000000"/>
        </w:rPr>
        <w:t xml:space="preserve"> that</w:t>
      </w:r>
      <w:r w:rsidR="00867C92">
        <w:rPr>
          <w:rFonts w:ascii="Times New Roman" w:eastAsia="Times New Roman" w:hAnsi="Times New Roman" w:cs="Times New Roman"/>
          <w:color w:val="000000"/>
        </w:rPr>
        <w:t xml:space="preserve"> </w:t>
      </w:r>
      <w:r w:rsidR="00C17B72">
        <w:rPr>
          <w:rFonts w:ascii="Times New Roman" w:eastAsia="Times New Roman" w:hAnsi="Times New Roman" w:cs="Times New Roman"/>
          <w:color w:val="000000"/>
        </w:rPr>
        <w:t>actively managed mutual funds were underperforming</w:t>
      </w:r>
      <w:r w:rsidR="00890910">
        <w:rPr>
          <w:rFonts w:ascii="Times New Roman" w:eastAsia="Times New Roman" w:hAnsi="Times New Roman" w:cs="Times New Roman"/>
          <w:color w:val="000000"/>
        </w:rPr>
        <w:t xml:space="preserve"> their passive benchmarks</w:t>
      </w:r>
      <w:r w:rsidR="003C744D">
        <w:rPr>
          <w:rFonts w:ascii="Times New Roman" w:eastAsia="Times New Roman" w:hAnsi="Times New Roman" w:cs="Times New Roman"/>
          <w:color w:val="000000"/>
        </w:rPr>
        <w:t>.</w:t>
      </w:r>
    </w:p>
    <w:p w14:paraId="69BA2025" w14:textId="7B007E20" w:rsidR="00F00F19" w:rsidRDefault="00F35E89" w:rsidP="00353335">
      <w:pPr>
        <w:pBdr>
          <w:top w:val="nil"/>
          <w:left w:val="nil"/>
          <w:bottom w:val="nil"/>
          <w:right w:val="nil"/>
          <w:between w:val="nil"/>
        </w:pBdr>
        <w:spacing w:after="39"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Ferrei</w:t>
      </w:r>
      <w:r w:rsidR="00055F47">
        <w:rPr>
          <w:rFonts w:ascii="Times New Roman" w:eastAsia="Times New Roman" w:hAnsi="Times New Roman" w:cs="Times New Roman"/>
          <w:color w:val="000000"/>
        </w:rPr>
        <w:t>r</w:t>
      </w:r>
      <w:r>
        <w:rPr>
          <w:rFonts w:ascii="Times New Roman" w:eastAsia="Times New Roman" w:hAnsi="Times New Roman" w:cs="Times New Roman"/>
          <w:color w:val="000000"/>
        </w:rPr>
        <w:t>a</w:t>
      </w:r>
      <w:r w:rsidR="003C744D">
        <w:rPr>
          <w:rFonts w:ascii="Times New Roman" w:eastAsia="Times New Roman" w:hAnsi="Times New Roman" w:cs="Times New Roman"/>
          <w:color w:val="000000"/>
        </w:rPr>
        <w:t xml:space="preserve"> et al., 2013</w:t>
      </w:r>
      <w:r>
        <w:rPr>
          <w:rFonts w:ascii="Times New Roman" w:eastAsia="Times New Roman" w:hAnsi="Times New Roman" w:cs="Times New Roman"/>
          <w:color w:val="000000"/>
        </w:rPr>
        <w:t xml:space="preserve"> </w:t>
      </w:r>
      <w:r w:rsidR="003C744D">
        <w:rPr>
          <w:rFonts w:ascii="Times New Roman" w:eastAsia="Times New Roman" w:hAnsi="Times New Roman" w:cs="Times New Roman"/>
          <w:color w:val="000000"/>
        </w:rPr>
        <w:t>recently studied the performance of mutual funds by</w:t>
      </w:r>
      <w:r>
        <w:rPr>
          <w:rFonts w:ascii="Times New Roman" w:eastAsia="Times New Roman" w:hAnsi="Times New Roman" w:cs="Times New Roman"/>
          <w:color w:val="000000"/>
        </w:rPr>
        <w:t xml:space="preserve"> compari</w:t>
      </w:r>
      <w:r w:rsidR="003C744D">
        <w:rPr>
          <w:rFonts w:ascii="Times New Roman" w:eastAsia="Times New Roman" w:hAnsi="Times New Roman" w:cs="Times New Roman"/>
          <w:color w:val="000000"/>
        </w:rPr>
        <w:t xml:space="preserve">ng </w:t>
      </w:r>
      <w:r>
        <w:rPr>
          <w:rFonts w:ascii="Times New Roman" w:eastAsia="Times New Roman" w:hAnsi="Times New Roman" w:cs="Times New Roman"/>
          <w:color w:val="000000"/>
        </w:rPr>
        <w:t xml:space="preserve">mutual funds across 27 countries </w:t>
      </w:r>
      <w:r w:rsidR="00353335">
        <w:rPr>
          <w:rFonts w:ascii="Times New Roman" w:eastAsia="Times New Roman" w:hAnsi="Times New Roman" w:cs="Times New Roman"/>
          <w:color w:val="000000"/>
        </w:rPr>
        <w:t>including the years between</w:t>
      </w:r>
      <w:r>
        <w:rPr>
          <w:rFonts w:ascii="Times New Roman" w:eastAsia="Times New Roman" w:hAnsi="Times New Roman" w:cs="Times New Roman"/>
          <w:color w:val="000000"/>
        </w:rPr>
        <w:t xml:space="preserve"> 1997 and 2007. </w:t>
      </w:r>
      <w:r w:rsidR="00353335">
        <w:rPr>
          <w:rFonts w:ascii="Times New Roman" w:eastAsia="Times New Roman" w:hAnsi="Times New Roman" w:cs="Times New Roman"/>
          <w:color w:val="000000"/>
        </w:rPr>
        <w:t xml:space="preserve">Their paper is considered as one of the largest cross-country evaluation of mutual fund performance and the research consist of various evaluation models. </w:t>
      </w:r>
      <w:r w:rsidR="006A612D">
        <w:rPr>
          <w:rFonts w:ascii="Times New Roman" w:eastAsia="Times New Roman" w:hAnsi="Times New Roman" w:cs="Times New Roman"/>
          <w:color w:val="000000"/>
        </w:rPr>
        <w:t xml:space="preserve">Likewise, </w:t>
      </w:r>
      <w:r w:rsidR="009B4682">
        <w:rPr>
          <w:rFonts w:ascii="Times New Roman" w:eastAsia="Times New Roman" w:hAnsi="Times New Roman" w:cs="Times New Roman"/>
          <w:color w:val="000000"/>
        </w:rPr>
        <w:t>Ferrei</w:t>
      </w:r>
      <w:r w:rsidR="00055F47">
        <w:rPr>
          <w:rFonts w:ascii="Times New Roman" w:eastAsia="Times New Roman" w:hAnsi="Times New Roman" w:cs="Times New Roman"/>
          <w:color w:val="000000"/>
        </w:rPr>
        <w:t>r</w:t>
      </w:r>
      <w:r w:rsidR="009B4682">
        <w:rPr>
          <w:rFonts w:ascii="Times New Roman" w:eastAsia="Times New Roman" w:hAnsi="Times New Roman" w:cs="Times New Roman"/>
          <w:color w:val="000000"/>
        </w:rPr>
        <w:t xml:space="preserve">a </w:t>
      </w:r>
      <w:r w:rsidR="00353335">
        <w:rPr>
          <w:rFonts w:ascii="Times New Roman" w:eastAsia="Times New Roman" w:hAnsi="Times New Roman" w:cs="Times New Roman"/>
          <w:color w:val="000000"/>
        </w:rPr>
        <w:t xml:space="preserve">and colleagues also </w:t>
      </w:r>
      <w:r w:rsidR="006A612D">
        <w:rPr>
          <w:rFonts w:ascii="Times New Roman" w:eastAsia="Times New Roman" w:hAnsi="Times New Roman" w:cs="Times New Roman"/>
          <w:color w:val="000000"/>
        </w:rPr>
        <w:t>report</w:t>
      </w:r>
      <w:r w:rsidR="009B4682">
        <w:rPr>
          <w:rFonts w:ascii="Times New Roman" w:eastAsia="Times New Roman" w:hAnsi="Times New Roman" w:cs="Times New Roman"/>
          <w:color w:val="000000"/>
        </w:rPr>
        <w:t xml:space="preserve"> </w:t>
      </w:r>
      <w:r w:rsidR="00353335">
        <w:rPr>
          <w:rFonts w:ascii="Times New Roman" w:eastAsia="Times New Roman" w:hAnsi="Times New Roman" w:cs="Times New Roman"/>
          <w:color w:val="000000"/>
        </w:rPr>
        <w:t xml:space="preserve">that mutual funds during these selected years were </w:t>
      </w:r>
      <w:r w:rsidR="009B4682">
        <w:rPr>
          <w:rFonts w:ascii="Times New Roman" w:eastAsia="Times New Roman" w:hAnsi="Times New Roman" w:cs="Times New Roman"/>
          <w:color w:val="000000"/>
        </w:rPr>
        <w:t>underperform</w:t>
      </w:r>
      <w:r w:rsidR="00353335">
        <w:rPr>
          <w:rFonts w:ascii="Times New Roman" w:eastAsia="Times New Roman" w:hAnsi="Times New Roman" w:cs="Times New Roman"/>
          <w:color w:val="000000"/>
        </w:rPr>
        <w:t>ing</w:t>
      </w:r>
      <w:r w:rsidR="009B4682">
        <w:rPr>
          <w:rFonts w:ascii="Times New Roman" w:eastAsia="Times New Roman" w:hAnsi="Times New Roman" w:cs="Times New Roman"/>
          <w:color w:val="000000"/>
        </w:rPr>
        <w:t xml:space="preserve"> </w:t>
      </w:r>
      <w:r w:rsidR="00353335">
        <w:rPr>
          <w:rFonts w:ascii="Times New Roman" w:eastAsia="Times New Roman" w:hAnsi="Times New Roman" w:cs="Times New Roman"/>
          <w:color w:val="000000"/>
        </w:rPr>
        <w:t>both in the</w:t>
      </w:r>
      <w:r w:rsidR="006A612D">
        <w:rPr>
          <w:rFonts w:ascii="Times New Roman" w:eastAsia="Times New Roman" w:hAnsi="Times New Roman" w:cs="Times New Roman"/>
          <w:color w:val="000000"/>
        </w:rPr>
        <w:t xml:space="preserve"> US and</w:t>
      </w:r>
      <w:r w:rsidR="009B4682">
        <w:rPr>
          <w:rFonts w:ascii="Times New Roman" w:eastAsia="Times New Roman" w:hAnsi="Times New Roman" w:cs="Times New Roman"/>
          <w:color w:val="000000"/>
        </w:rPr>
        <w:t xml:space="preserve"> across the globe.</w:t>
      </w:r>
    </w:p>
    <w:p w14:paraId="461A63E6" w14:textId="29D3C2A2" w:rsidR="00877557" w:rsidRDefault="00F35E89" w:rsidP="00902519">
      <w:pPr>
        <w:pBdr>
          <w:top w:val="nil"/>
          <w:left w:val="nil"/>
          <w:bottom w:val="nil"/>
          <w:right w:val="nil"/>
          <w:between w:val="nil"/>
        </w:pBdr>
        <w:spacing w:after="39" w:line="360" w:lineRule="auto"/>
        <w:ind w:firstLine="720"/>
        <w:jc w:val="both"/>
        <w:rPr>
          <w:rFonts w:ascii="Times New Roman" w:eastAsia="Times New Roman" w:hAnsi="Times New Roman" w:cs="Times New Roman"/>
        </w:rPr>
      </w:pPr>
      <w:r>
        <w:rPr>
          <w:rFonts w:ascii="Times New Roman" w:eastAsia="Times New Roman" w:hAnsi="Times New Roman" w:cs="Times New Roman"/>
        </w:rPr>
        <w:t>The first focus of this thesis is</w:t>
      </w:r>
      <w:r w:rsidR="00E436CC" w:rsidRPr="00E436CC">
        <w:rPr>
          <w:rFonts w:ascii="Times New Roman" w:eastAsia="Times New Roman" w:hAnsi="Times New Roman" w:cs="Times New Roman"/>
        </w:rPr>
        <w:t xml:space="preserve"> </w:t>
      </w:r>
      <w:r w:rsidR="00697DA4">
        <w:rPr>
          <w:rFonts w:ascii="Times New Roman" w:eastAsia="Times New Roman" w:hAnsi="Times New Roman" w:cs="Times New Roman"/>
        </w:rPr>
        <w:t>to</w:t>
      </w:r>
      <w:r w:rsidR="00E436CC" w:rsidRPr="00E436CC">
        <w:rPr>
          <w:rFonts w:ascii="Times New Roman" w:eastAsia="Times New Roman" w:hAnsi="Times New Roman" w:cs="Times New Roman"/>
        </w:rPr>
        <w:t xml:space="preserve"> evaluat</w:t>
      </w:r>
      <w:r w:rsidR="00697DA4">
        <w:rPr>
          <w:rFonts w:ascii="Times New Roman" w:eastAsia="Times New Roman" w:hAnsi="Times New Roman" w:cs="Times New Roman"/>
        </w:rPr>
        <w:t>e</w:t>
      </w:r>
      <w:r w:rsidR="00E436CC" w:rsidRPr="00E436CC">
        <w:rPr>
          <w:rFonts w:ascii="Times New Roman" w:eastAsia="Times New Roman" w:hAnsi="Times New Roman" w:cs="Times New Roman"/>
        </w:rPr>
        <w:t xml:space="preserve"> </w:t>
      </w:r>
      <w:r w:rsidR="00697DA4">
        <w:rPr>
          <w:rFonts w:ascii="Times New Roman" w:eastAsia="Times New Roman" w:hAnsi="Times New Roman" w:cs="Times New Roman"/>
        </w:rPr>
        <w:t xml:space="preserve">the </w:t>
      </w:r>
      <w:r w:rsidR="00697DA4" w:rsidRPr="00E436CC">
        <w:rPr>
          <w:rFonts w:ascii="Times New Roman" w:eastAsia="Times New Roman" w:hAnsi="Times New Roman" w:cs="Times New Roman"/>
        </w:rPr>
        <w:t xml:space="preserve">equity mutual funds’ </w:t>
      </w:r>
      <w:r w:rsidR="00E436CC" w:rsidRPr="00E436CC">
        <w:rPr>
          <w:rFonts w:ascii="Times New Roman" w:eastAsia="Times New Roman" w:hAnsi="Times New Roman" w:cs="Times New Roman"/>
        </w:rPr>
        <w:t xml:space="preserve">performance in </w:t>
      </w:r>
      <w:r w:rsidR="00CB42C9">
        <w:rPr>
          <w:rFonts w:ascii="Times New Roman" w:eastAsia="Times New Roman" w:hAnsi="Times New Roman" w:cs="Times New Roman"/>
        </w:rPr>
        <w:t>8</w:t>
      </w:r>
      <w:r w:rsidR="00A65544">
        <w:rPr>
          <w:rFonts w:ascii="Times New Roman" w:eastAsia="Times New Roman" w:hAnsi="Times New Roman" w:cs="Times New Roman"/>
        </w:rPr>
        <w:t xml:space="preserve"> </w:t>
      </w:r>
      <w:r w:rsidR="00697DA4">
        <w:rPr>
          <w:rFonts w:ascii="Times New Roman" w:eastAsia="Times New Roman" w:hAnsi="Times New Roman" w:cs="Times New Roman"/>
        </w:rPr>
        <w:t>countries, including</w:t>
      </w:r>
      <w:r w:rsidR="00697DA4" w:rsidRPr="00697DA4">
        <w:rPr>
          <w:rFonts w:ascii="Times New Roman" w:eastAsia="Times New Roman" w:hAnsi="Times New Roman" w:cs="Times New Roman"/>
        </w:rPr>
        <w:t xml:space="preserve"> </w:t>
      </w:r>
      <w:r w:rsidR="00697DA4">
        <w:rPr>
          <w:rFonts w:ascii="Times New Roman" w:eastAsia="Times New Roman" w:hAnsi="Times New Roman" w:cs="Times New Roman"/>
        </w:rPr>
        <w:t>Australia, France, India, Japan, Norway, Switzerland,</w:t>
      </w:r>
      <w:r w:rsidR="00697DA4" w:rsidRPr="008D010E">
        <w:rPr>
          <w:rFonts w:ascii="Times New Roman" w:eastAsia="Times New Roman" w:hAnsi="Times New Roman" w:cs="Times New Roman"/>
        </w:rPr>
        <w:t xml:space="preserve"> the </w:t>
      </w:r>
      <w:r w:rsidR="00697DA4">
        <w:rPr>
          <w:rFonts w:ascii="Times New Roman" w:eastAsia="Times New Roman" w:hAnsi="Times New Roman" w:cs="Times New Roman"/>
        </w:rPr>
        <w:t xml:space="preserve">United Kingdom (UK) and the US </w:t>
      </w:r>
      <w:r w:rsidR="00E436CC" w:rsidRPr="00E436CC">
        <w:rPr>
          <w:rFonts w:ascii="Times New Roman" w:eastAsia="Times New Roman" w:hAnsi="Times New Roman" w:cs="Times New Roman"/>
        </w:rPr>
        <w:t>between the years of 20</w:t>
      </w:r>
      <w:r>
        <w:rPr>
          <w:rFonts w:ascii="Times New Roman" w:eastAsia="Times New Roman" w:hAnsi="Times New Roman" w:cs="Times New Roman"/>
        </w:rPr>
        <w:t>03</w:t>
      </w:r>
      <w:r w:rsidR="00697DA4">
        <w:rPr>
          <w:rFonts w:ascii="Times New Roman" w:eastAsia="Times New Roman" w:hAnsi="Times New Roman" w:cs="Times New Roman"/>
        </w:rPr>
        <w:t xml:space="preserve"> </w:t>
      </w:r>
      <w:r w:rsidR="00E70D31">
        <w:rPr>
          <w:rFonts w:ascii="Times New Roman" w:eastAsia="Times New Roman" w:hAnsi="Times New Roman" w:cs="Times New Roman"/>
        </w:rPr>
        <w:t>and 2018</w:t>
      </w:r>
      <w:r w:rsidR="00697DA4">
        <w:rPr>
          <w:rFonts w:ascii="Times New Roman" w:eastAsia="Times New Roman" w:hAnsi="Times New Roman" w:cs="Times New Roman"/>
        </w:rPr>
        <w:t>.</w:t>
      </w:r>
      <w:r w:rsidR="00902519">
        <w:rPr>
          <w:rFonts w:ascii="Times New Roman" w:eastAsia="Times New Roman" w:hAnsi="Times New Roman" w:cs="Times New Roman"/>
        </w:rPr>
        <w:t xml:space="preserve"> </w:t>
      </w:r>
      <w:r w:rsidR="00A65544">
        <w:rPr>
          <w:rFonts w:ascii="Times New Roman" w:eastAsia="Times New Roman" w:hAnsi="Times New Roman" w:cs="Times New Roman"/>
        </w:rPr>
        <w:t xml:space="preserve">Three </w:t>
      </w:r>
      <w:r w:rsidR="00E436CC">
        <w:rPr>
          <w:rFonts w:ascii="Times New Roman" w:eastAsia="Times New Roman" w:hAnsi="Times New Roman" w:cs="Times New Roman"/>
        </w:rPr>
        <w:t>separate</w:t>
      </w:r>
      <w:r w:rsidR="00A65544">
        <w:rPr>
          <w:rFonts w:ascii="Times New Roman" w:eastAsia="Times New Roman" w:hAnsi="Times New Roman" w:cs="Times New Roman"/>
        </w:rPr>
        <w:t xml:space="preserve"> models are </w:t>
      </w:r>
      <w:r w:rsidR="00456B7A">
        <w:rPr>
          <w:rFonts w:ascii="Times New Roman" w:eastAsia="Times New Roman" w:hAnsi="Times New Roman" w:cs="Times New Roman"/>
        </w:rPr>
        <w:t>used</w:t>
      </w:r>
      <w:r w:rsidR="00A65544">
        <w:rPr>
          <w:rFonts w:ascii="Times New Roman" w:eastAsia="Times New Roman" w:hAnsi="Times New Roman" w:cs="Times New Roman"/>
        </w:rPr>
        <w:t xml:space="preserve"> for the performance assessment. These models are </w:t>
      </w:r>
      <w:r w:rsidR="00E436CC">
        <w:rPr>
          <w:rFonts w:ascii="Times New Roman" w:eastAsia="Times New Roman" w:hAnsi="Times New Roman" w:cs="Times New Roman"/>
        </w:rPr>
        <w:t>CAPM</w:t>
      </w:r>
      <w:r w:rsidR="003468E5">
        <w:rPr>
          <w:rFonts w:ascii="Times New Roman" w:eastAsia="Times New Roman" w:hAnsi="Times New Roman" w:cs="Times New Roman"/>
        </w:rPr>
        <w:t xml:space="preserve"> developed by Sharpe (1964), Lintner (1965) and Jensen (1968)</w:t>
      </w:r>
      <w:r w:rsidR="00E436CC">
        <w:rPr>
          <w:rFonts w:ascii="Times New Roman" w:eastAsia="Times New Roman" w:hAnsi="Times New Roman" w:cs="Times New Roman"/>
        </w:rPr>
        <w:t>, the three-factor model of Fama and French</w:t>
      </w:r>
      <w:r w:rsidR="003468E5">
        <w:rPr>
          <w:rFonts w:ascii="Times New Roman" w:eastAsia="Times New Roman" w:hAnsi="Times New Roman" w:cs="Times New Roman"/>
        </w:rPr>
        <w:t xml:space="preserve"> (1993)</w:t>
      </w:r>
      <w:r w:rsidR="00E436CC">
        <w:rPr>
          <w:rFonts w:ascii="Times New Roman" w:eastAsia="Times New Roman" w:hAnsi="Times New Roman" w:cs="Times New Roman"/>
        </w:rPr>
        <w:t xml:space="preserve"> and four-factor model of Carhart</w:t>
      </w:r>
      <w:r w:rsidR="003468E5">
        <w:rPr>
          <w:rFonts w:ascii="Times New Roman" w:eastAsia="Times New Roman" w:hAnsi="Times New Roman" w:cs="Times New Roman"/>
        </w:rPr>
        <w:t xml:space="preserve"> (1997)</w:t>
      </w:r>
      <w:r w:rsidR="00A65544">
        <w:rPr>
          <w:rFonts w:ascii="Times New Roman" w:eastAsia="Times New Roman" w:hAnsi="Times New Roman" w:cs="Times New Roman"/>
        </w:rPr>
        <w:t>.</w:t>
      </w:r>
      <w:r>
        <w:rPr>
          <w:rFonts w:ascii="Times New Roman" w:eastAsia="Times New Roman" w:hAnsi="Times New Roman" w:cs="Times New Roman"/>
        </w:rPr>
        <w:t xml:space="preserve"> </w:t>
      </w:r>
      <w:r w:rsidR="00A70E85">
        <w:rPr>
          <w:rFonts w:ascii="Times New Roman" w:eastAsia="Times New Roman" w:hAnsi="Times New Roman" w:cs="Times New Roman"/>
        </w:rPr>
        <w:t>These models are explained in depth in section</w:t>
      </w:r>
      <w:r w:rsidR="00A70E85" w:rsidRPr="00A70E85">
        <w:rPr>
          <w:rFonts w:ascii="Times New Roman" w:eastAsia="Times New Roman" w:hAnsi="Times New Roman" w:cs="Times New Roman"/>
        </w:rPr>
        <w:t xml:space="preserve"> </w:t>
      </w:r>
      <w:r w:rsidR="00A70E85" w:rsidRPr="00A70E85">
        <w:rPr>
          <w:rFonts w:ascii="Times New Roman" w:eastAsia="Times New Roman" w:hAnsi="Times New Roman" w:cs="Times New Roman"/>
        </w:rPr>
        <w:fldChar w:fldCharType="begin"/>
      </w:r>
      <w:r w:rsidR="00A70E85" w:rsidRPr="00A70E85">
        <w:rPr>
          <w:rFonts w:ascii="Times New Roman" w:eastAsia="Times New Roman" w:hAnsi="Times New Roman" w:cs="Times New Roman"/>
        </w:rPr>
        <w:instrText xml:space="preserve"> REF _Ref15058680 \h  \* MERGEFORMAT </w:instrText>
      </w:r>
      <w:r w:rsidR="00A70E85" w:rsidRPr="00A70E85">
        <w:rPr>
          <w:rFonts w:ascii="Times New Roman" w:eastAsia="Times New Roman" w:hAnsi="Times New Roman" w:cs="Times New Roman"/>
        </w:rPr>
      </w:r>
      <w:r w:rsidR="00A70E85" w:rsidRPr="00A70E85">
        <w:rPr>
          <w:rFonts w:ascii="Times New Roman" w:eastAsia="Times New Roman" w:hAnsi="Times New Roman" w:cs="Times New Roman"/>
        </w:rPr>
        <w:fldChar w:fldCharType="separate"/>
      </w:r>
      <w:r w:rsidR="00A70E85" w:rsidRPr="00A70E85">
        <w:rPr>
          <w:rFonts w:ascii="Times New Roman" w:hAnsi="Times New Roman" w:cs="Times New Roman"/>
        </w:rPr>
        <w:t>2.1 Performance Evaluation Methods</w:t>
      </w:r>
      <w:r w:rsidR="00A70E85" w:rsidRPr="00A70E85">
        <w:rPr>
          <w:rFonts w:ascii="Times New Roman" w:eastAsia="Times New Roman" w:hAnsi="Times New Roman" w:cs="Times New Roman"/>
        </w:rPr>
        <w:fldChar w:fldCharType="end"/>
      </w:r>
      <w:r w:rsidR="00A70E85">
        <w:rPr>
          <w:rFonts w:ascii="Times New Roman" w:eastAsia="Times New Roman" w:hAnsi="Times New Roman" w:cs="Times New Roman"/>
        </w:rPr>
        <w:t>.</w:t>
      </w:r>
    </w:p>
    <w:p w14:paraId="005A7292" w14:textId="44456D16" w:rsidR="00040782" w:rsidRDefault="00F35E89" w:rsidP="00040782">
      <w:pPr>
        <w:pBdr>
          <w:top w:val="nil"/>
          <w:left w:val="nil"/>
          <w:bottom w:val="nil"/>
          <w:right w:val="nil"/>
          <w:between w:val="nil"/>
        </w:pBdr>
        <w:spacing w:after="39"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second focus of this thesis is </w:t>
      </w:r>
      <w:r w:rsidR="00456B7A">
        <w:rPr>
          <w:rFonts w:ascii="Times New Roman" w:eastAsia="Times New Roman" w:hAnsi="Times New Roman" w:cs="Times New Roman"/>
        </w:rPr>
        <w:t>to</w:t>
      </w:r>
      <w:r>
        <w:rPr>
          <w:rFonts w:ascii="Times New Roman" w:eastAsia="Times New Roman" w:hAnsi="Times New Roman" w:cs="Times New Roman"/>
        </w:rPr>
        <w:t xml:space="preserve"> evaluat</w:t>
      </w:r>
      <w:r w:rsidR="00456B7A">
        <w:rPr>
          <w:rFonts w:ascii="Times New Roman" w:eastAsia="Times New Roman" w:hAnsi="Times New Roman" w:cs="Times New Roman"/>
        </w:rPr>
        <w:t>e</w:t>
      </w:r>
      <w:r>
        <w:rPr>
          <w:rFonts w:ascii="Times New Roman" w:eastAsia="Times New Roman" w:hAnsi="Times New Roman" w:cs="Times New Roman"/>
        </w:rPr>
        <w:t xml:space="preserve"> </w:t>
      </w:r>
      <w:r w:rsidR="00456B7A">
        <w:rPr>
          <w:rFonts w:ascii="Times New Roman" w:eastAsia="Times New Roman" w:hAnsi="Times New Roman" w:cs="Times New Roman"/>
        </w:rPr>
        <w:t>the</w:t>
      </w:r>
      <w:r w:rsidR="00456B7A" w:rsidRPr="00456B7A">
        <w:rPr>
          <w:rFonts w:ascii="Times New Roman" w:eastAsia="Times New Roman" w:hAnsi="Times New Roman" w:cs="Times New Roman"/>
        </w:rPr>
        <w:t xml:space="preserve"> </w:t>
      </w:r>
      <w:r w:rsidR="00456B7A">
        <w:rPr>
          <w:rFonts w:ascii="Times New Roman" w:eastAsia="Times New Roman" w:hAnsi="Times New Roman" w:cs="Times New Roman"/>
        </w:rPr>
        <w:t>characteristics of US</w:t>
      </w:r>
      <w:r w:rsidR="00031359">
        <w:rPr>
          <w:rFonts w:ascii="Times New Roman" w:eastAsia="Times New Roman" w:hAnsi="Times New Roman" w:cs="Times New Roman"/>
        </w:rPr>
        <w:t>, Norwegian and Indian</w:t>
      </w:r>
      <w:r>
        <w:rPr>
          <w:rFonts w:ascii="Times New Roman" w:eastAsia="Times New Roman" w:hAnsi="Times New Roman" w:cs="Times New Roman"/>
        </w:rPr>
        <w:t xml:space="preserve"> equity mutual fu</w:t>
      </w:r>
      <w:r w:rsidR="00F743E0">
        <w:rPr>
          <w:rFonts w:ascii="Times New Roman" w:eastAsia="Times New Roman" w:hAnsi="Times New Roman" w:cs="Times New Roman"/>
        </w:rPr>
        <w:t>n</w:t>
      </w:r>
      <w:r>
        <w:rPr>
          <w:rFonts w:ascii="Times New Roman" w:eastAsia="Times New Roman" w:hAnsi="Times New Roman" w:cs="Times New Roman"/>
        </w:rPr>
        <w:t>d</w:t>
      </w:r>
      <w:r w:rsidR="00456B7A">
        <w:rPr>
          <w:rFonts w:ascii="Times New Roman" w:eastAsia="Times New Roman" w:hAnsi="Times New Roman" w:cs="Times New Roman"/>
        </w:rPr>
        <w:t>s</w:t>
      </w:r>
      <w:r>
        <w:rPr>
          <w:rFonts w:ascii="Times New Roman" w:eastAsia="Times New Roman" w:hAnsi="Times New Roman" w:cs="Times New Roman"/>
        </w:rPr>
        <w:t>.</w:t>
      </w:r>
      <w:r w:rsidR="00031359">
        <w:rPr>
          <w:rFonts w:ascii="Times New Roman" w:eastAsia="Times New Roman" w:hAnsi="Times New Roman" w:cs="Times New Roman"/>
        </w:rPr>
        <w:t xml:space="preserve"> The evaluation period for the </w:t>
      </w:r>
      <w:r w:rsidR="00456B7A">
        <w:rPr>
          <w:rFonts w:ascii="Times New Roman" w:eastAsia="Times New Roman" w:hAnsi="Times New Roman" w:cs="Times New Roman"/>
        </w:rPr>
        <w:t>US</w:t>
      </w:r>
      <w:r w:rsidR="00031359">
        <w:rPr>
          <w:rFonts w:ascii="Times New Roman" w:eastAsia="Times New Roman" w:hAnsi="Times New Roman" w:cs="Times New Roman"/>
        </w:rPr>
        <w:t xml:space="preserve"> and the Norwegian mutual funds is between the years of 2006 and 2018</w:t>
      </w:r>
      <w:r w:rsidR="00456B7A">
        <w:rPr>
          <w:rFonts w:ascii="Times New Roman" w:eastAsia="Times New Roman" w:hAnsi="Times New Roman" w:cs="Times New Roman"/>
        </w:rPr>
        <w:t>,</w:t>
      </w:r>
      <w:r w:rsidR="00031359">
        <w:rPr>
          <w:rFonts w:ascii="Times New Roman" w:eastAsia="Times New Roman" w:hAnsi="Times New Roman" w:cs="Times New Roman"/>
        </w:rPr>
        <w:t xml:space="preserve"> while the evaluation period for the Indian funds is between the years of</w:t>
      </w:r>
      <w:r>
        <w:rPr>
          <w:rFonts w:ascii="Times New Roman" w:eastAsia="Times New Roman" w:hAnsi="Times New Roman" w:cs="Times New Roman"/>
        </w:rPr>
        <w:t xml:space="preserve"> </w:t>
      </w:r>
      <w:r w:rsidR="00031359">
        <w:rPr>
          <w:rFonts w:ascii="Times New Roman" w:eastAsia="Times New Roman" w:hAnsi="Times New Roman" w:cs="Times New Roman"/>
        </w:rPr>
        <w:t>2009 and 2018.</w:t>
      </w:r>
      <w:r w:rsidR="00F743E0">
        <w:rPr>
          <w:rFonts w:ascii="Times New Roman" w:eastAsia="Times New Roman" w:hAnsi="Times New Roman" w:cs="Times New Roman"/>
        </w:rPr>
        <w:t xml:space="preserve"> The relationship between fund characteristics and fund performance was only carried out for the </w:t>
      </w:r>
      <w:r w:rsidR="00031359">
        <w:rPr>
          <w:rFonts w:ascii="Times New Roman" w:eastAsia="Times New Roman" w:hAnsi="Times New Roman" w:cs="Times New Roman"/>
        </w:rPr>
        <w:t>three aforementioned countries</w:t>
      </w:r>
      <w:r w:rsidR="00F743E0">
        <w:rPr>
          <w:rFonts w:ascii="Times New Roman" w:eastAsia="Times New Roman" w:hAnsi="Times New Roman" w:cs="Times New Roman"/>
        </w:rPr>
        <w:t xml:space="preserve"> since </w:t>
      </w:r>
      <w:r w:rsidR="00031359">
        <w:rPr>
          <w:rFonts w:ascii="Times New Roman" w:eastAsia="Times New Roman" w:hAnsi="Times New Roman" w:cs="Times New Roman"/>
        </w:rPr>
        <w:t xml:space="preserve">only </w:t>
      </w:r>
      <w:r w:rsidR="00456B7A">
        <w:rPr>
          <w:rFonts w:ascii="Times New Roman" w:eastAsia="Times New Roman" w:hAnsi="Times New Roman" w:cs="Times New Roman"/>
        </w:rPr>
        <w:t xml:space="preserve">these </w:t>
      </w:r>
      <w:r w:rsidR="00031359">
        <w:rPr>
          <w:rFonts w:ascii="Times New Roman" w:eastAsia="Times New Roman" w:hAnsi="Times New Roman" w:cs="Times New Roman"/>
        </w:rPr>
        <w:t xml:space="preserve">countries contain </w:t>
      </w:r>
      <w:r w:rsidR="00456B7A">
        <w:rPr>
          <w:rFonts w:ascii="Times New Roman" w:eastAsia="Times New Roman" w:hAnsi="Times New Roman" w:cs="Times New Roman"/>
        </w:rPr>
        <w:t>meaningful</w:t>
      </w:r>
      <w:r w:rsidR="00031359">
        <w:rPr>
          <w:rFonts w:ascii="Times New Roman" w:eastAsia="Times New Roman" w:hAnsi="Times New Roman" w:cs="Times New Roman"/>
        </w:rPr>
        <w:t xml:space="preserve"> information on mutual fund characteristics</w:t>
      </w:r>
      <w:r>
        <w:rPr>
          <w:rFonts w:ascii="Times New Roman" w:eastAsia="Times New Roman" w:hAnsi="Times New Roman" w:cs="Times New Roman"/>
        </w:rPr>
        <w:t xml:space="preserve">. </w:t>
      </w:r>
      <w:r w:rsidR="00456B7A">
        <w:rPr>
          <w:rFonts w:ascii="Times New Roman" w:eastAsia="Times New Roman" w:hAnsi="Times New Roman" w:cs="Times New Roman"/>
        </w:rPr>
        <w:t>Morningstar database was used to collect s</w:t>
      </w:r>
      <w:r w:rsidR="00E613EF">
        <w:rPr>
          <w:rFonts w:ascii="Times New Roman" w:eastAsia="Times New Roman" w:hAnsi="Times New Roman" w:cs="Times New Roman"/>
        </w:rPr>
        <w:t>urvivor-bias free m</w:t>
      </w:r>
      <w:r w:rsidR="00456B7A">
        <w:rPr>
          <w:rFonts w:ascii="Times New Roman" w:eastAsia="Times New Roman" w:hAnsi="Times New Roman" w:cs="Times New Roman"/>
        </w:rPr>
        <w:t>utual fund data</w:t>
      </w:r>
      <w:r>
        <w:rPr>
          <w:rFonts w:ascii="Times New Roman" w:eastAsia="Times New Roman" w:hAnsi="Times New Roman" w:cs="Times New Roman"/>
        </w:rPr>
        <w:t xml:space="preserve"> and </w:t>
      </w:r>
      <w:r w:rsidR="00456B7A">
        <w:rPr>
          <w:rFonts w:ascii="Times New Roman" w:eastAsia="Times New Roman" w:hAnsi="Times New Roman" w:cs="Times New Roman"/>
        </w:rPr>
        <w:t xml:space="preserve">the </w:t>
      </w:r>
      <w:r>
        <w:rPr>
          <w:rFonts w:ascii="Times New Roman" w:eastAsia="Times New Roman" w:hAnsi="Times New Roman" w:cs="Times New Roman"/>
        </w:rPr>
        <w:t xml:space="preserve">factor models were gathered from </w:t>
      </w:r>
      <w:r w:rsidR="00D031E4">
        <w:rPr>
          <w:rFonts w:ascii="Times New Roman" w:eastAsia="Times New Roman" w:hAnsi="Times New Roman" w:cs="Times New Roman"/>
        </w:rPr>
        <w:t>Kenneth R. French’s</w:t>
      </w:r>
      <w:r>
        <w:rPr>
          <w:rFonts w:ascii="Times New Roman" w:eastAsia="Times New Roman" w:hAnsi="Times New Roman" w:cs="Times New Roman"/>
        </w:rPr>
        <w:t xml:space="preserve"> database</w:t>
      </w:r>
      <w:r w:rsidR="00456B7A">
        <w:rPr>
          <w:rFonts w:ascii="Times New Roman" w:eastAsia="Times New Roman" w:hAnsi="Times New Roman" w:cs="Times New Roman"/>
        </w:rPr>
        <w:t xml:space="preserve"> and the</w:t>
      </w:r>
      <w:r>
        <w:rPr>
          <w:rFonts w:ascii="Times New Roman" w:eastAsia="Times New Roman" w:hAnsi="Times New Roman" w:cs="Times New Roman"/>
        </w:rPr>
        <w:t xml:space="preserve"> Indian Institutes of Management. </w:t>
      </w:r>
    </w:p>
    <w:p w14:paraId="03804A52" w14:textId="4EB56222" w:rsidR="00E613EF" w:rsidRDefault="00F35E89" w:rsidP="00E613EF">
      <w:pPr>
        <w:pBdr>
          <w:top w:val="nil"/>
          <w:left w:val="nil"/>
          <w:bottom w:val="nil"/>
          <w:right w:val="nil"/>
          <w:between w:val="nil"/>
        </w:pBdr>
        <w:spacing w:after="39" w:line="360" w:lineRule="auto"/>
        <w:ind w:firstLine="720"/>
        <w:jc w:val="both"/>
        <w:rPr>
          <w:rFonts w:ascii="Times New Roman" w:eastAsia="Times New Roman" w:hAnsi="Times New Roman" w:cs="Times New Roman"/>
        </w:rPr>
      </w:pPr>
      <w:r w:rsidRPr="002E0D57">
        <w:rPr>
          <w:rFonts w:ascii="Times New Roman" w:eastAsia="Times New Roman" w:hAnsi="Times New Roman" w:cs="Times New Roman"/>
        </w:rPr>
        <w:t xml:space="preserve">By evaluating the performance and characteristics of actively managed equity mutual funds, this </w:t>
      </w:r>
      <w:r w:rsidR="00E4050D">
        <w:rPr>
          <w:rFonts w:ascii="Times New Roman" w:eastAsia="Times New Roman" w:hAnsi="Times New Roman" w:cs="Times New Roman"/>
        </w:rPr>
        <w:t>thesis</w:t>
      </w:r>
      <w:r w:rsidRPr="002E0D57">
        <w:rPr>
          <w:rFonts w:ascii="Times New Roman" w:eastAsia="Times New Roman" w:hAnsi="Times New Roman" w:cs="Times New Roman"/>
        </w:rPr>
        <w:t xml:space="preserve"> presents up to date information </w:t>
      </w:r>
      <w:r w:rsidR="00E4050D">
        <w:rPr>
          <w:rFonts w:ascii="Times New Roman" w:eastAsia="Times New Roman" w:hAnsi="Times New Roman" w:cs="Times New Roman"/>
        </w:rPr>
        <w:t>on</w:t>
      </w:r>
      <w:r w:rsidRPr="002E0D57">
        <w:rPr>
          <w:rFonts w:ascii="Times New Roman" w:eastAsia="Times New Roman" w:hAnsi="Times New Roman" w:cs="Times New Roman"/>
        </w:rPr>
        <w:t xml:space="preserve"> the field of finance o</w:t>
      </w:r>
      <w:r w:rsidR="00E4050D">
        <w:rPr>
          <w:rFonts w:ascii="Times New Roman" w:eastAsia="Times New Roman" w:hAnsi="Times New Roman" w:cs="Times New Roman"/>
        </w:rPr>
        <w:t>ver these</w:t>
      </w:r>
      <w:r w:rsidRPr="002E0D57">
        <w:rPr>
          <w:rFonts w:ascii="Times New Roman" w:eastAsia="Times New Roman" w:hAnsi="Times New Roman" w:cs="Times New Roman"/>
        </w:rPr>
        <w:t xml:space="preserve"> selected countries. </w:t>
      </w:r>
    </w:p>
    <w:p w14:paraId="3B19B523" w14:textId="748CBB26" w:rsidR="00FA6FFF" w:rsidRDefault="00F35E89" w:rsidP="002A3E08">
      <w:pPr>
        <w:pBdr>
          <w:top w:val="nil"/>
          <w:left w:val="nil"/>
          <w:bottom w:val="nil"/>
          <w:right w:val="nil"/>
          <w:between w:val="nil"/>
        </w:pBdr>
        <w:spacing w:after="39" w:line="360" w:lineRule="auto"/>
        <w:ind w:firstLine="720"/>
        <w:jc w:val="both"/>
        <w:rPr>
          <w:rFonts w:ascii="Times New Roman" w:eastAsia="Times New Roman" w:hAnsi="Times New Roman" w:cs="Times New Roman"/>
        </w:rPr>
      </w:pPr>
      <w:r w:rsidRPr="00344FD1">
        <w:rPr>
          <w:rFonts w:ascii="Times New Roman" w:eastAsia="Times New Roman" w:hAnsi="Times New Roman" w:cs="Times New Roman"/>
        </w:rPr>
        <w:lastRenderedPageBreak/>
        <w:t>The rest</w:t>
      </w:r>
      <w:r w:rsidR="00902519" w:rsidRPr="00344FD1">
        <w:rPr>
          <w:rFonts w:ascii="Times New Roman" w:eastAsia="Times New Roman" w:hAnsi="Times New Roman" w:cs="Times New Roman"/>
        </w:rPr>
        <w:t xml:space="preserve"> of this </w:t>
      </w:r>
      <w:r w:rsidR="00A70E85" w:rsidRPr="00344FD1">
        <w:rPr>
          <w:rFonts w:ascii="Times New Roman" w:eastAsia="Times New Roman" w:hAnsi="Times New Roman" w:cs="Times New Roman"/>
        </w:rPr>
        <w:t>research</w:t>
      </w:r>
      <w:r w:rsidR="00902519" w:rsidRPr="00344FD1">
        <w:rPr>
          <w:rFonts w:ascii="Times New Roman" w:eastAsia="Times New Roman" w:hAnsi="Times New Roman" w:cs="Times New Roman"/>
        </w:rPr>
        <w:t xml:space="preserve"> is as</w:t>
      </w:r>
      <w:r w:rsidR="00A70E85" w:rsidRPr="00344FD1">
        <w:rPr>
          <w:rFonts w:ascii="Times New Roman" w:eastAsia="Times New Roman" w:hAnsi="Times New Roman" w:cs="Times New Roman"/>
        </w:rPr>
        <w:t xml:space="preserve"> the</w:t>
      </w:r>
      <w:r w:rsidR="00902519" w:rsidRPr="00344FD1">
        <w:rPr>
          <w:rFonts w:ascii="Times New Roman" w:eastAsia="Times New Roman" w:hAnsi="Times New Roman" w:cs="Times New Roman"/>
        </w:rPr>
        <w:t xml:space="preserve"> follow</w:t>
      </w:r>
      <w:r w:rsidR="00A70E85" w:rsidRPr="00344FD1">
        <w:rPr>
          <w:rFonts w:ascii="Times New Roman" w:eastAsia="Times New Roman" w:hAnsi="Times New Roman" w:cs="Times New Roman"/>
        </w:rPr>
        <w:t>ing</w:t>
      </w:r>
      <w:r w:rsidR="00344FD1" w:rsidRPr="00344FD1">
        <w:rPr>
          <w:rFonts w:ascii="Times New Roman" w:eastAsia="Times New Roman" w:hAnsi="Times New Roman" w:cs="Times New Roman"/>
        </w:rPr>
        <w:t>.</w:t>
      </w:r>
      <w:r w:rsidR="00902519" w:rsidRPr="00344FD1">
        <w:rPr>
          <w:rFonts w:ascii="Times New Roman" w:eastAsia="Times New Roman" w:hAnsi="Times New Roman" w:cs="Times New Roman"/>
        </w:rPr>
        <w:t xml:space="preserve"> </w:t>
      </w:r>
      <w:r w:rsidR="00344FD1" w:rsidRPr="00344FD1">
        <w:rPr>
          <w:rFonts w:ascii="Times New Roman" w:eastAsia="Times New Roman" w:hAnsi="Times New Roman" w:cs="Times New Roman"/>
        </w:rPr>
        <w:t>S</w:t>
      </w:r>
      <w:r w:rsidR="00902519" w:rsidRPr="00344FD1">
        <w:rPr>
          <w:rFonts w:ascii="Times New Roman" w:eastAsia="Times New Roman" w:hAnsi="Times New Roman" w:cs="Times New Roman"/>
        </w:rPr>
        <w:t>ection 2</w:t>
      </w:r>
      <w:r w:rsidR="00344FD1" w:rsidRPr="00344FD1">
        <w:rPr>
          <w:rFonts w:ascii="Times New Roman" w:eastAsia="Times New Roman" w:hAnsi="Times New Roman" w:cs="Times New Roman"/>
        </w:rPr>
        <w:t xml:space="preserve"> jointly discusses the</w:t>
      </w:r>
      <w:r w:rsidR="00902519" w:rsidRPr="00344FD1">
        <w:rPr>
          <w:rFonts w:ascii="Times New Roman" w:eastAsia="Times New Roman" w:hAnsi="Times New Roman" w:cs="Times New Roman"/>
        </w:rPr>
        <w:t xml:space="preserve"> theoretical framework and </w:t>
      </w:r>
      <w:r w:rsidR="008144BF" w:rsidRPr="00344FD1">
        <w:rPr>
          <w:rFonts w:ascii="Times New Roman" w:eastAsia="Times New Roman" w:hAnsi="Times New Roman" w:cs="Times New Roman"/>
        </w:rPr>
        <w:t>methodology</w:t>
      </w:r>
      <w:r w:rsidR="00902519" w:rsidRPr="00344FD1">
        <w:rPr>
          <w:rFonts w:ascii="Times New Roman" w:eastAsia="Times New Roman" w:hAnsi="Times New Roman" w:cs="Times New Roman"/>
        </w:rPr>
        <w:t>. Section 3</w:t>
      </w:r>
      <w:r w:rsidR="00344FD1" w:rsidRPr="00344FD1">
        <w:rPr>
          <w:rFonts w:ascii="Times New Roman" w:eastAsia="Times New Roman" w:hAnsi="Times New Roman" w:cs="Times New Roman"/>
        </w:rPr>
        <w:t xml:space="preserve"> describes</w:t>
      </w:r>
      <w:r w:rsidR="008144BF" w:rsidRPr="00344FD1">
        <w:rPr>
          <w:rFonts w:ascii="Times New Roman" w:eastAsia="Times New Roman" w:hAnsi="Times New Roman" w:cs="Times New Roman"/>
        </w:rPr>
        <w:t xml:space="preserve"> the</w:t>
      </w:r>
      <w:r w:rsidR="00902519" w:rsidRPr="00344FD1">
        <w:rPr>
          <w:rFonts w:ascii="Times New Roman" w:eastAsia="Times New Roman" w:hAnsi="Times New Roman" w:cs="Times New Roman"/>
        </w:rPr>
        <w:t xml:space="preserve"> data a</w:t>
      </w:r>
      <w:r w:rsidR="00344FD1" w:rsidRPr="00344FD1">
        <w:rPr>
          <w:rFonts w:ascii="Times New Roman" w:eastAsia="Times New Roman" w:hAnsi="Times New Roman" w:cs="Times New Roman"/>
        </w:rPr>
        <w:t>nd</w:t>
      </w:r>
      <w:r w:rsidR="00890910">
        <w:rPr>
          <w:rFonts w:ascii="Times New Roman" w:eastAsia="Times New Roman" w:hAnsi="Times New Roman" w:cs="Times New Roman"/>
        </w:rPr>
        <w:t>,</w:t>
      </w:r>
      <w:r w:rsidR="00902519" w:rsidRPr="00344FD1">
        <w:rPr>
          <w:rFonts w:ascii="Times New Roman" w:eastAsia="Times New Roman" w:hAnsi="Times New Roman" w:cs="Times New Roman"/>
        </w:rPr>
        <w:t xml:space="preserve"> </w:t>
      </w:r>
      <w:r w:rsidR="00344FD1" w:rsidRPr="00344FD1">
        <w:rPr>
          <w:rFonts w:ascii="Times New Roman" w:eastAsia="Times New Roman" w:hAnsi="Times New Roman" w:cs="Times New Roman"/>
        </w:rPr>
        <w:t>the</w:t>
      </w:r>
      <w:r w:rsidR="00902519" w:rsidRPr="00344FD1">
        <w:rPr>
          <w:rFonts w:ascii="Times New Roman" w:eastAsia="Times New Roman" w:hAnsi="Times New Roman" w:cs="Times New Roman"/>
        </w:rPr>
        <w:t xml:space="preserve"> data gathering and clearing procedures. </w:t>
      </w:r>
      <w:r w:rsidR="00344FD1" w:rsidRPr="00344FD1">
        <w:rPr>
          <w:rFonts w:ascii="Times New Roman" w:eastAsia="Times New Roman" w:hAnsi="Times New Roman" w:cs="Times New Roman"/>
        </w:rPr>
        <w:t>S</w:t>
      </w:r>
      <w:r w:rsidR="00902519" w:rsidRPr="00344FD1">
        <w:rPr>
          <w:rFonts w:ascii="Times New Roman" w:eastAsia="Times New Roman" w:hAnsi="Times New Roman" w:cs="Times New Roman"/>
        </w:rPr>
        <w:t xml:space="preserve">ection </w:t>
      </w:r>
      <w:r w:rsidR="008144BF" w:rsidRPr="00344FD1">
        <w:rPr>
          <w:rFonts w:ascii="Times New Roman" w:eastAsia="Times New Roman" w:hAnsi="Times New Roman" w:cs="Times New Roman"/>
        </w:rPr>
        <w:t>4</w:t>
      </w:r>
      <w:r w:rsidR="00344FD1" w:rsidRPr="00344FD1">
        <w:rPr>
          <w:rFonts w:ascii="Times New Roman" w:eastAsia="Times New Roman" w:hAnsi="Times New Roman" w:cs="Times New Roman"/>
        </w:rPr>
        <w:t xml:space="preserve"> presents</w:t>
      </w:r>
      <w:r w:rsidR="00902519" w:rsidRPr="00344FD1">
        <w:rPr>
          <w:rFonts w:ascii="Times New Roman" w:eastAsia="Times New Roman" w:hAnsi="Times New Roman" w:cs="Times New Roman"/>
        </w:rPr>
        <w:t xml:space="preserve"> the results</w:t>
      </w:r>
      <w:r w:rsidR="00344FD1" w:rsidRPr="00344FD1">
        <w:rPr>
          <w:rFonts w:ascii="Times New Roman" w:eastAsia="Times New Roman" w:hAnsi="Times New Roman" w:cs="Times New Roman"/>
        </w:rPr>
        <w:t>. Se</w:t>
      </w:r>
      <w:r w:rsidR="00411928" w:rsidRPr="00344FD1">
        <w:rPr>
          <w:rFonts w:ascii="Times New Roman" w:eastAsia="Times New Roman" w:hAnsi="Times New Roman" w:cs="Times New Roman"/>
        </w:rPr>
        <w:t>ction</w:t>
      </w:r>
      <w:r w:rsidR="00344FD1" w:rsidRPr="00344FD1">
        <w:rPr>
          <w:rFonts w:ascii="Times New Roman" w:eastAsia="Times New Roman" w:hAnsi="Times New Roman" w:cs="Times New Roman"/>
        </w:rPr>
        <w:t xml:space="preserve"> 5 discusses the</w:t>
      </w:r>
      <w:r w:rsidR="00411928" w:rsidRPr="00344FD1">
        <w:rPr>
          <w:rFonts w:ascii="Times New Roman" w:eastAsia="Times New Roman" w:hAnsi="Times New Roman" w:cs="Times New Roman"/>
        </w:rPr>
        <w:t xml:space="preserve"> </w:t>
      </w:r>
      <w:r w:rsidR="006A612D" w:rsidRPr="00344FD1">
        <w:rPr>
          <w:rFonts w:ascii="Times New Roman" w:eastAsia="Times New Roman" w:hAnsi="Times New Roman" w:cs="Times New Roman"/>
        </w:rPr>
        <w:t xml:space="preserve">results, the limitations and </w:t>
      </w:r>
      <w:r w:rsidR="00344FD1" w:rsidRPr="00344FD1">
        <w:rPr>
          <w:rFonts w:ascii="Times New Roman" w:eastAsia="Times New Roman" w:hAnsi="Times New Roman" w:cs="Times New Roman"/>
        </w:rPr>
        <w:t xml:space="preserve">the suggestions for </w:t>
      </w:r>
      <w:r w:rsidR="006A612D" w:rsidRPr="00344FD1">
        <w:rPr>
          <w:rFonts w:ascii="Times New Roman" w:eastAsia="Times New Roman" w:hAnsi="Times New Roman" w:cs="Times New Roman"/>
        </w:rPr>
        <w:t xml:space="preserve">future research. </w:t>
      </w:r>
      <w:r w:rsidR="00890910" w:rsidRPr="00344FD1">
        <w:rPr>
          <w:rFonts w:ascii="Times New Roman" w:eastAsia="Times New Roman" w:hAnsi="Times New Roman" w:cs="Times New Roman"/>
        </w:rPr>
        <w:t>Section 6</w:t>
      </w:r>
      <w:r w:rsidR="006A612D" w:rsidRPr="00344FD1">
        <w:rPr>
          <w:rFonts w:ascii="Times New Roman" w:eastAsia="Times New Roman" w:hAnsi="Times New Roman" w:cs="Times New Roman"/>
        </w:rPr>
        <w:t xml:space="preserve"> </w:t>
      </w:r>
      <w:r w:rsidR="00344FD1" w:rsidRPr="00344FD1">
        <w:rPr>
          <w:rFonts w:ascii="Times New Roman" w:eastAsia="Times New Roman" w:hAnsi="Times New Roman" w:cs="Times New Roman"/>
        </w:rPr>
        <w:t>concludes the research</w:t>
      </w:r>
      <w:r w:rsidR="006A612D" w:rsidRPr="00344FD1">
        <w:rPr>
          <w:rFonts w:ascii="Times New Roman" w:eastAsia="Times New Roman" w:hAnsi="Times New Roman" w:cs="Times New Roman"/>
        </w:rPr>
        <w:t>.</w:t>
      </w:r>
    </w:p>
    <w:p w14:paraId="0EF7D889" w14:textId="60A23BD0" w:rsidR="00BC5046" w:rsidRDefault="00F35E89" w:rsidP="00B32FF9">
      <w:pPr>
        <w:pStyle w:val="Heading1"/>
        <w:rPr>
          <w:rFonts w:ascii="Times New Roman" w:eastAsia="Times New Roman" w:hAnsi="Times New Roman" w:cs="Times New Roman"/>
          <w:b/>
        </w:rPr>
      </w:pPr>
      <w:bookmarkStart w:id="2" w:name="_Toc15419035"/>
      <w:r>
        <w:rPr>
          <w:rFonts w:ascii="Times New Roman" w:eastAsia="Times New Roman" w:hAnsi="Times New Roman" w:cs="Times New Roman"/>
          <w:b/>
        </w:rPr>
        <w:t>2. Theoretical Framework and Methodology</w:t>
      </w:r>
      <w:bookmarkEnd w:id="2"/>
    </w:p>
    <w:p w14:paraId="00EF883A" w14:textId="54B3659C" w:rsidR="001F5BED" w:rsidRDefault="001F5BED" w:rsidP="001F5BED"/>
    <w:p w14:paraId="014E048B" w14:textId="78119F34" w:rsidR="001F5BED" w:rsidRPr="001F5BED" w:rsidRDefault="00F35E89" w:rsidP="001F5BED">
      <w:pPr>
        <w:pStyle w:val="Heading2"/>
        <w:rPr>
          <w:b/>
          <w:bCs/>
        </w:rPr>
      </w:pPr>
      <w:bookmarkStart w:id="3" w:name="_Ref15058680"/>
      <w:bookmarkStart w:id="4" w:name="_Toc15419036"/>
      <w:r w:rsidRPr="001F5BED">
        <w:rPr>
          <w:b/>
          <w:bCs/>
        </w:rPr>
        <w:t>2.1 Performance Evaluation Methods</w:t>
      </w:r>
      <w:bookmarkEnd w:id="3"/>
      <w:bookmarkEnd w:id="4"/>
    </w:p>
    <w:p w14:paraId="12FCA455" w14:textId="77777777" w:rsidR="00B32FF9" w:rsidRPr="00B32FF9" w:rsidRDefault="00B32FF9" w:rsidP="00B32FF9"/>
    <w:p w14:paraId="074B3204" w14:textId="4C51D0D3" w:rsidR="00E4050D" w:rsidRDefault="00F35E89" w:rsidP="00E4050D">
      <w:pPr>
        <w:pBdr>
          <w:top w:val="nil"/>
          <w:left w:val="nil"/>
          <w:bottom w:val="nil"/>
          <w:right w:val="nil"/>
          <w:between w:val="nil"/>
        </w:pBdr>
        <w:spacing w:after="39" w:line="360" w:lineRule="auto"/>
        <w:ind w:firstLine="720"/>
        <w:jc w:val="both"/>
        <w:rPr>
          <w:rFonts w:ascii="Times New Roman" w:eastAsia="Times New Roman" w:hAnsi="Times New Roman" w:cs="Times New Roman"/>
          <w:color w:val="000000"/>
        </w:rPr>
      </w:pPr>
      <w:r w:rsidRPr="000C1B58">
        <w:rPr>
          <w:rFonts w:ascii="Times New Roman" w:eastAsia="Times New Roman" w:hAnsi="Times New Roman" w:cs="Times New Roman"/>
          <w:color w:val="000000"/>
        </w:rPr>
        <w:t>Jensen (1968) was</w:t>
      </w:r>
      <w:r>
        <w:rPr>
          <w:rFonts w:ascii="Times New Roman" w:eastAsia="Times New Roman" w:hAnsi="Times New Roman" w:cs="Times New Roman"/>
          <w:color w:val="000000"/>
        </w:rPr>
        <w:t xml:space="preserve"> one of</w:t>
      </w:r>
      <w:r w:rsidRPr="000C1B58">
        <w:rPr>
          <w:rFonts w:ascii="Times New Roman" w:eastAsia="Times New Roman" w:hAnsi="Times New Roman" w:cs="Times New Roman"/>
          <w:color w:val="000000"/>
        </w:rPr>
        <w:t xml:space="preserve"> the first</w:t>
      </w:r>
      <w:r>
        <w:rPr>
          <w:rFonts w:ascii="Times New Roman" w:eastAsia="Times New Roman" w:hAnsi="Times New Roman" w:cs="Times New Roman"/>
          <w:color w:val="000000"/>
        </w:rPr>
        <w:t xml:space="preserve"> economists to</w:t>
      </w:r>
      <w:r w:rsidRPr="000C1B58">
        <w:rPr>
          <w:rFonts w:ascii="Times New Roman" w:eastAsia="Times New Roman" w:hAnsi="Times New Roman" w:cs="Times New Roman"/>
          <w:color w:val="000000"/>
        </w:rPr>
        <w:t xml:space="preserve"> test the mutual fund performance </w:t>
      </w:r>
      <w:r>
        <w:rPr>
          <w:rFonts w:ascii="Times New Roman" w:eastAsia="Times New Roman" w:hAnsi="Times New Roman" w:cs="Times New Roman"/>
          <w:color w:val="000000"/>
        </w:rPr>
        <w:t>and</w:t>
      </w:r>
      <w:r w:rsidR="009012E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 order to achieve that, he developed</w:t>
      </w:r>
      <w:r w:rsidRPr="000C1B58">
        <w:rPr>
          <w:rFonts w:ascii="Times New Roman" w:eastAsia="Times New Roman" w:hAnsi="Times New Roman" w:cs="Times New Roman"/>
          <w:color w:val="000000"/>
        </w:rPr>
        <w:t xml:space="preserve"> </w:t>
      </w:r>
      <w:r w:rsidR="009012E3">
        <w:rPr>
          <w:rFonts w:ascii="Times New Roman" w:eastAsia="Times New Roman" w:hAnsi="Times New Roman" w:cs="Times New Roman"/>
          <w:color w:val="000000"/>
        </w:rPr>
        <w:t>the</w:t>
      </w:r>
      <w:r w:rsidRPr="000C1B58">
        <w:rPr>
          <w:rFonts w:ascii="Times New Roman" w:eastAsia="Times New Roman" w:hAnsi="Times New Roman" w:cs="Times New Roman"/>
          <w:color w:val="000000"/>
        </w:rPr>
        <w:t xml:space="preserve"> “Jensen’s Alpha”</w:t>
      </w:r>
      <w:r>
        <w:rPr>
          <w:rFonts w:ascii="Times New Roman" w:eastAsia="Times New Roman" w:hAnsi="Times New Roman" w:cs="Times New Roman"/>
          <w:color w:val="000000"/>
        </w:rPr>
        <w:t xml:space="preserve"> method</w:t>
      </w:r>
      <w:r w:rsidRPr="000C1B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0C1B58">
        <w:rPr>
          <w:rFonts w:ascii="Times New Roman" w:eastAsia="Times New Roman" w:hAnsi="Times New Roman" w:cs="Times New Roman"/>
          <w:color w:val="000000"/>
        </w:rPr>
        <w:t>Jensen extended the Capital Asset Pricing Model</w:t>
      </w:r>
      <w:r>
        <w:rPr>
          <w:rFonts w:ascii="Times New Roman" w:eastAsia="Times New Roman" w:hAnsi="Times New Roman" w:cs="Times New Roman"/>
          <w:color w:val="000000"/>
        </w:rPr>
        <w:t xml:space="preserve"> (CAPM)</w:t>
      </w:r>
      <w:r w:rsidRPr="000C1B58">
        <w:rPr>
          <w:rFonts w:ascii="Times New Roman" w:eastAsia="Times New Roman" w:hAnsi="Times New Roman" w:cs="Times New Roman"/>
          <w:color w:val="000000"/>
        </w:rPr>
        <w:t xml:space="preserve"> </w:t>
      </w:r>
      <w:r w:rsidR="009012E3">
        <w:rPr>
          <w:rFonts w:ascii="Times New Roman" w:eastAsia="Times New Roman" w:hAnsi="Times New Roman" w:cs="Times New Roman"/>
          <w:color w:val="000000"/>
        </w:rPr>
        <w:t>of</w:t>
      </w:r>
      <w:r w:rsidRPr="000C1B58">
        <w:rPr>
          <w:rFonts w:ascii="Times New Roman" w:eastAsia="Times New Roman" w:hAnsi="Times New Roman" w:cs="Times New Roman"/>
          <w:color w:val="000000"/>
        </w:rPr>
        <w:t xml:space="preserve"> Sharpe (196</w:t>
      </w:r>
      <w:r>
        <w:rPr>
          <w:rFonts w:ascii="Times New Roman" w:eastAsia="Times New Roman" w:hAnsi="Times New Roman" w:cs="Times New Roman"/>
          <w:color w:val="000000"/>
        </w:rPr>
        <w:t xml:space="preserve">4) </w:t>
      </w:r>
      <w:r w:rsidRPr="000C1B58">
        <w:rPr>
          <w:rFonts w:ascii="Times New Roman" w:eastAsia="Times New Roman" w:hAnsi="Times New Roman" w:cs="Times New Roman"/>
          <w:color w:val="000000"/>
        </w:rPr>
        <w:t>and Lintner (1965) by adding a new variable “</w:t>
      </w:r>
      <m:oMath>
        <m:r>
          <w:rPr>
            <w:rFonts w:ascii="Cambria Math" w:eastAsia="Times New Roman" w:hAnsi="Cambria Math" w:cs="Times New Roman"/>
            <w:color w:val="000000"/>
          </w:rPr>
          <m:t>α</m:t>
        </m:r>
      </m:oMath>
      <w:r w:rsidRPr="000C1B5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72C27" w:rsidRPr="000B03B2">
        <w:rPr>
          <w:rFonts w:ascii="Times New Roman" w:eastAsia="Times New Roman" w:hAnsi="Times New Roman" w:cs="Times New Roman"/>
          <w:color w:val="000000"/>
        </w:rPr>
        <w:t xml:space="preserve">In Jensen’s (1968) CAPM, alpha indicates the performance of the mutual fund manager. A </w:t>
      </w:r>
      <w:r w:rsidR="00A70E85" w:rsidRPr="000B03B2">
        <w:rPr>
          <w:rFonts w:ascii="Times New Roman" w:eastAsia="Times New Roman" w:hAnsi="Times New Roman" w:cs="Times New Roman"/>
          <w:color w:val="000000"/>
        </w:rPr>
        <w:t>positive alpha shows</w:t>
      </w:r>
      <w:r w:rsidR="00A72C27" w:rsidRPr="000B03B2">
        <w:rPr>
          <w:rFonts w:ascii="Times New Roman" w:eastAsia="Times New Roman" w:hAnsi="Times New Roman" w:cs="Times New Roman"/>
          <w:color w:val="000000"/>
        </w:rPr>
        <w:t xml:space="preserve"> that the manager was able to outperform the market</w:t>
      </w:r>
      <w:r w:rsidR="00A72C27" w:rsidRPr="00890910">
        <w:rPr>
          <w:rFonts w:ascii="Times New Roman" w:eastAsia="Times New Roman" w:hAnsi="Times New Roman" w:cs="Times New Roman"/>
          <w:color w:val="000000"/>
        </w:rPr>
        <w:t>.</w:t>
      </w:r>
    </w:p>
    <w:p w14:paraId="553AB0FF" w14:textId="7566E424" w:rsidR="00BC5046" w:rsidRDefault="00F35E89" w:rsidP="00E4050D">
      <w:pPr>
        <w:pBdr>
          <w:top w:val="nil"/>
          <w:left w:val="nil"/>
          <w:bottom w:val="nil"/>
          <w:right w:val="nil"/>
          <w:between w:val="nil"/>
        </w:pBdr>
        <w:spacing w:after="39" w:line="360" w:lineRule="auto"/>
        <w:ind w:firstLine="720"/>
        <w:jc w:val="both"/>
        <w:rPr>
          <w:rFonts w:ascii="Times New Roman" w:eastAsia="Times New Roman" w:hAnsi="Times New Roman" w:cs="Times New Roman"/>
          <w:color w:val="000000"/>
        </w:rPr>
      </w:pPr>
      <w:r w:rsidRPr="000C1B58">
        <w:rPr>
          <w:rFonts w:ascii="Times New Roman" w:eastAsia="Times New Roman" w:hAnsi="Times New Roman" w:cs="Times New Roman"/>
          <w:color w:val="000000"/>
        </w:rPr>
        <w:t xml:space="preserve">The full model </w:t>
      </w:r>
      <w:r>
        <w:rPr>
          <w:rFonts w:ascii="Times New Roman" w:eastAsia="Times New Roman" w:hAnsi="Times New Roman" w:cs="Times New Roman"/>
          <w:color w:val="000000"/>
        </w:rPr>
        <w:t>is shown below</w:t>
      </w:r>
      <w:r w:rsidRPr="000C1B58">
        <w:rPr>
          <w:rFonts w:ascii="Times New Roman" w:eastAsia="Times New Roman" w:hAnsi="Times New Roman" w:cs="Times New Roman"/>
          <w:color w:val="000000"/>
        </w:rPr>
        <w:t>:</w:t>
      </w:r>
    </w:p>
    <w:p w14:paraId="33ED9489" w14:textId="77777777" w:rsidR="006D0592" w:rsidRPr="000C1B58" w:rsidRDefault="006D0592" w:rsidP="00BC5046">
      <w:pPr>
        <w:pBdr>
          <w:top w:val="nil"/>
          <w:left w:val="nil"/>
          <w:bottom w:val="nil"/>
          <w:right w:val="nil"/>
          <w:between w:val="nil"/>
        </w:pBdr>
        <w:spacing w:after="39" w:line="360" w:lineRule="auto"/>
        <w:ind w:firstLine="720"/>
        <w:jc w:val="both"/>
        <w:rPr>
          <w:rFonts w:ascii="Times New Roman" w:eastAsia="Times New Roman" w:hAnsi="Times New Roman" w:cs="Times New Roman"/>
          <w:color w:val="000000"/>
        </w:rPr>
      </w:pPr>
    </w:p>
    <w:p w14:paraId="47A50D70" w14:textId="1AA49CB8" w:rsidR="00BC5046" w:rsidRDefault="005B3234" w:rsidP="006D0592">
      <w:pPr>
        <w:pStyle w:val="NormalWeb"/>
        <w:spacing w:before="0" w:beforeAutospacing="0" w:after="0" w:afterAutospacing="0" w:line="360" w:lineRule="auto"/>
        <w:jc w:val="right"/>
        <w:rPr>
          <w:rFonts w:ascii="Calibri" w:eastAsia="Calibri" w:hAnsi="Calibri" w:cs="Calibri"/>
          <w:color w:val="000000"/>
        </w:rPr>
      </w:pPr>
      <m:oMath>
        <m:sSub>
          <m:sSubPr>
            <m:ctrlPr>
              <w:rPr>
                <w:rFonts w:ascii="Cambria Math" w:hAnsi="Cambria Math"/>
                <w:i/>
                <w:color w:val="000000"/>
                <w:lang w:val="nl-NL"/>
              </w:rPr>
            </m:ctrlPr>
          </m:sSubPr>
          <m:e>
            <m:r>
              <w:rPr>
                <w:rFonts w:ascii="Cambria Math" w:hAnsi="Cambria Math"/>
                <w:color w:val="000000"/>
                <w:lang w:val="nl-NL"/>
              </w:rPr>
              <m:t>R</m:t>
            </m:r>
          </m:e>
          <m:sub>
            <m:r>
              <w:rPr>
                <w:rFonts w:ascii="Cambria Math" w:hAnsi="Cambria Math"/>
                <w:color w:val="000000"/>
                <w:lang w:val="nl-NL"/>
              </w:rPr>
              <m:t>jt</m:t>
            </m:r>
          </m:sub>
        </m:sSub>
        <m:r>
          <w:rPr>
            <w:rFonts w:ascii="Cambria Math" w:hAnsi="Cambria Math"/>
            <w:color w:val="000000"/>
          </w:rPr>
          <m:t>-</m:t>
        </m:r>
        <m:sSub>
          <m:sSubPr>
            <m:ctrlPr>
              <w:rPr>
                <w:rFonts w:ascii="Cambria Math" w:hAnsi="Cambria Math"/>
                <w:i/>
                <w:color w:val="000000"/>
                <w:lang w:val="nl-NL"/>
              </w:rPr>
            </m:ctrlPr>
          </m:sSubPr>
          <m:e>
            <m:r>
              <w:rPr>
                <w:rFonts w:ascii="Cambria Math" w:hAnsi="Cambria Math"/>
                <w:color w:val="000000"/>
                <w:lang w:val="nl-NL"/>
              </w:rPr>
              <m:t>R</m:t>
            </m:r>
          </m:e>
          <m:sub>
            <m:r>
              <w:rPr>
                <w:rFonts w:ascii="Cambria Math" w:hAnsi="Cambria Math"/>
                <w:color w:val="000000"/>
                <w:lang w:val="nl-NL"/>
              </w:rPr>
              <m:t>ft</m:t>
            </m:r>
          </m:sub>
        </m:sSub>
        <m:r>
          <w:rPr>
            <w:rFonts w:ascii="Cambria Math" w:hAnsi="Cambria Math"/>
            <w:color w:val="000000"/>
          </w:rPr>
          <m:t xml:space="preserve">= </m:t>
        </m:r>
        <m:sSub>
          <m:sSubPr>
            <m:ctrlPr>
              <w:rPr>
                <w:rFonts w:ascii="Cambria Math" w:hAnsi="Cambria Math"/>
                <w:i/>
                <w:color w:val="000000"/>
                <w:lang w:val="nl-NL"/>
              </w:rPr>
            </m:ctrlPr>
          </m:sSubPr>
          <m:e>
            <m:r>
              <w:rPr>
                <w:rFonts w:ascii="Cambria Math" w:hAnsi="Cambria Math"/>
                <w:color w:val="000000"/>
                <w:lang w:val="nl-NL"/>
              </w:rPr>
              <m:t>α</m:t>
            </m:r>
          </m:e>
          <m:sub>
            <m:r>
              <w:rPr>
                <w:rFonts w:ascii="Cambria Math" w:hAnsi="Cambria Math"/>
                <w:color w:val="000000"/>
                <w:lang w:val="nl-NL"/>
              </w:rPr>
              <m:t>j</m:t>
            </m:r>
          </m:sub>
        </m:sSub>
        <m:r>
          <w:rPr>
            <w:rFonts w:ascii="Cambria Math" w:hAnsi="Cambria Math"/>
            <w:color w:val="000000"/>
          </w:rPr>
          <m:t xml:space="preserve">+ </m:t>
        </m:r>
        <m:sSub>
          <m:sSubPr>
            <m:ctrlPr>
              <w:rPr>
                <w:rFonts w:ascii="Cambria Math" w:hAnsi="Cambria Math"/>
                <w:i/>
                <w:color w:val="000000"/>
                <w:lang w:val="nl-NL"/>
              </w:rPr>
            </m:ctrlPr>
          </m:sSubPr>
          <m:e>
            <m:r>
              <w:rPr>
                <w:rFonts w:ascii="Cambria Math" w:hAnsi="Cambria Math"/>
                <w:color w:val="000000"/>
                <w:lang w:val="nl-NL"/>
              </w:rPr>
              <m:t>β</m:t>
            </m:r>
          </m:e>
          <m:sub>
            <m:r>
              <w:rPr>
                <w:rFonts w:ascii="Cambria Math" w:hAnsi="Cambria Math"/>
                <w:color w:val="000000"/>
                <w:lang w:val="nl-NL"/>
              </w:rPr>
              <m:t>j</m:t>
            </m:r>
          </m:sub>
        </m:sSub>
        <m:d>
          <m:dPr>
            <m:begChr m:val="["/>
            <m:endChr m:val="]"/>
            <m:ctrlPr>
              <w:rPr>
                <w:rFonts w:ascii="Cambria Math" w:hAnsi="Cambria Math"/>
                <w:i/>
                <w:color w:val="000000"/>
                <w:lang w:val="nl-NL"/>
              </w:rPr>
            </m:ctrlPr>
          </m:dPr>
          <m:e>
            <m:sSub>
              <m:sSubPr>
                <m:ctrlPr>
                  <w:rPr>
                    <w:rFonts w:ascii="Cambria Math" w:hAnsi="Cambria Math"/>
                    <w:i/>
                    <w:color w:val="000000"/>
                    <w:lang w:val="nl-NL"/>
                  </w:rPr>
                </m:ctrlPr>
              </m:sSubPr>
              <m:e>
                <m:r>
                  <w:rPr>
                    <w:rFonts w:ascii="Cambria Math" w:hAnsi="Cambria Math"/>
                    <w:color w:val="000000"/>
                    <w:lang w:val="nl-NL"/>
                  </w:rPr>
                  <m:t>R</m:t>
                </m:r>
              </m:e>
              <m:sub>
                <m:r>
                  <w:rPr>
                    <w:rFonts w:ascii="Cambria Math" w:hAnsi="Cambria Math"/>
                    <w:color w:val="000000"/>
                    <w:lang w:val="nl-NL"/>
                  </w:rPr>
                  <m:t>Mt</m:t>
                </m:r>
              </m:sub>
            </m:sSub>
            <m:r>
              <w:rPr>
                <w:rFonts w:ascii="Cambria Math" w:hAnsi="Cambria Math"/>
                <w:color w:val="000000"/>
              </w:rPr>
              <m:t>-</m:t>
            </m:r>
            <m:sSub>
              <m:sSubPr>
                <m:ctrlPr>
                  <w:rPr>
                    <w:rFonts w:ascii="Cambria Math" w:hAnsi="Cambria Math"/>
                    <w:i/>
                    <w:color w:val="000000"/>
                    <w:lang w:val="nl-NL"/>
                  </w:rPr>
                </m:ctrlPr>
              </m:sSubPr>
              <m:e>
                <m:r>
                  <w:rPr>
                    <w:rFonts w:ascii="Cambria Math" w:hAnsi="Cambria Math"/>
                    <w:color w:val="000000"/>
                    <w:lang w:val="nl-NL"/>
                  </w:rPr>
                  <m:t>R</m:t>
                </m:r>
              </m:e>
              <m:sub>
                <m:r>
                  <w:rPr>
                    <w:rFonts w:ascii="Cambria Math" w:hAnsi="Cambria Math"/>
                    <w:color w:val="000000"/>
                    <w:lang w:val="nl-NL"/>
                  </w:rPr>
                  <m:t>ft</m:t>
                </m:r>
              </m:sub>
            </m:sSub>
          </m:e>
        </m:d>
        <m:r>
          <w:rPr>
            <w:rFonts w:ascii="Cambria Math" w:hAnsi="Cambria Math"/>
            <w:color w:val="000000"/>
          </w:rPr>
          <m:t>+</m:t>
        </m:r>
        <m:sSub>
          <m:sSubPr>
            <m:ctrlPr>
              <w:rPr>
                <w:rFonts w:ascii="Cambria Math" w:hAnsi="Cambria Math"/>
                <w:i/>
                <w:color w:val="000000"/>
                <w:lang w:val="nl-NL"/>
              </w:rPr>
            </m:ctrlPr>
          </m:sSubPr>
          <m:e>
            <m:r>
              <w:rPr>
                <w:rFonts w:ascii="Cambria Math" w:hAnsi="Cambria Math"/>
                <w:color w:val="000000"/>
                <w:lang w:val="nl-NL"/>
              </w:rPr>
              <m:t>υ</m:t>
            </m:r>
          </m:e>
          <m:sub>
            <m:r>
              <w:rPr>
                <w:rFonts w:ascii="Cambria Math" w:hAnsi="Cambria Math"/>
                <w:color w:val="000000"/>
                <w:lang w:val="nl-NL"/>
              </w:rPr>
              <m:t>jt</m:t>
            </m:r>
          </m:sub>
        </m:sSub>
      </m:oMath>
      <w:bookmarkStart w:id="5" w:name="_nkc9mxelcyrb" w:colFirst="0" w:colLast="0"/>
      <w:bookmarkEnd w:id="5"/>
      <w:r w:rsidR="0041365C" w:rsidRPr="0041365C">
        <w:rPr>
          <w:rFonts w:ascii="Calibri" w:eastAsia="Calibri" w:hAnsi="Calibri" w:cs="Calibri"/>
          <w:color w:val="000000"/>
        </w:rPr>
        <w:t xml:space="preserve"> </w:t>
      </w:r>
      <w:r w:rsidR="0041365C">
        <w:rPr>
          <w:rFonts w:ascii="Calibri" w:eastAsia="Calibri" w:hAnsi="Calibri" w:cs="Calibri"/>
          <w:color w:val="000000"/>
        </w:rPr>
        <w:t xml:space="preserve">                                        </w:t>
      </w:r>
      <w:r w:rsidR="0041365C" w:rsidRPr="0041365C">
        <w:rPr>
          <w:rFonts w:ascii="Calibri" w:eastAsia="Calibri" w:hAnsi="Calibri" w:cs="Calibri"/>
          <w:color w:val="000000"/>
        </w:rPr>
        <w:t>(1)</w:t>
      </w:r>
    </w:p>
    <w:p w14:paraId="381D0760" w14:textId="77777777" w:rsidR="006D0592" w:rsidRPr="0041365C" w:rsidRDefault="006D0592" w:rsidP="006D0592">
      <w:pPr>
        <w:pStyle w:val="NormalWeb"/>
        <w:spacing w:before="0" w:beforeAutospacing="0" w:after="0" w:afterAutospacing="0" w:line="360" w:lineRule="auto"/>
        <w:jc w:val="right"/>
        <w:rPr>
          <w:rFonts w:ascii="Calibri" w:eastAsia="Calibri" w:hAnsi="Calibri" w:cs="Calibri"/>
          <w:color w:val="000000"/>
        </w:rPr>
      </w:pPr>
    </w:p>
    <w:p w14:paraId="2201639F" w14:textId="2408D963" w:rsidR="006E5583" w:rsidRDefault="00F35E89" w:rsidP="006E5583">
      <w:pPr>
        <w:pBdr>
          <w:top w:val="nil"/>
          <w:left w:val="nil"/>
          <w:bottom w:val="nil"/>
          <w:right w:val="nil"/>
          <w:between w:val="nil"/>
        </w:pBdr>
        <w:spacing w:after="3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w:t>
      </w:r>
      <m:oMath>
        <m:r>
          <w:rPr>
            <w:rFonts w:ascii="Cambria Math" w:eastAsia="Times New Roman" w:hAnsi="Cambria Math" w:cs="Times New Roman"/>
            <w:color w:val="000000"/>
          </w:rPr>
          <m:t>(</m:t>
        </m:r>
        <m:sSub>
          <m:sSubPr>
            <m:ctrlPr>
              <w:rPr>
                <w:rFonts w:ascii="Cambria Math" w:eastAsia="Times New Roman" w:hAnsi="Cambria Math" w:cs="Times New Roman"/>
                <w:color w:val="000000"/>
              </w:rPr>
            </m:ctrlPr>
          </m:sSubPr>
          <m:e>
            <m:r>
              <w:rPr>
                <w:rFonts w:ascii="Cambria Math" w:eastAsia="Times New Roman" w:hAnsi="Cambria Math" w:cs="Times New Roman"/>
                <w:color w:val="000000"/>
              </w:rPr>
              <m:t>R</m:t>
            </m:r>
          </m:e>
          <m:sub>
            <m:r>
              <w:rPr>
                <w:rFonts w:ascii="Cambria Math" w:eastAsia="Times New Roman" w:hAnsi="Cambria Math" w:cs="Times New Roman"/>
                <w:color w:val="000000"/>
              </w:rPr>
              <m:t>jt</m:t>
            </m:r>
          </m:sub>
        </m:sSub>
      </m:oMath>
      <w:r w:rsidR="00E4050D">
        <w:rPr>
          <w:rFonts w:ascii="Times New Roman" w:eastAsia="Times New Roman" w:hAnsi="Times New Roman" w:cs="Times New Roman"/>
          <w:color w:val="000000"/>
        </w:rPr>
        <w:t xml:space="preserve">) </w:t>
      </w:r>
      <w:r w:rsidR="00134583" w:rsidRPr="000C1B58">
        <w:rPr>
          <w:rFonts w:ascii="Times New Roman" w:eastAsia="Times New Roman" w:hAnsi="Times New Roman" w:cs="Times New Roman"/>
          <w:color w:val="000000"/>
        </w:rPr>
        <w:t>is the return of the fund</w:t>
      </w:r>
      <w:r w:rsidR="00E4050D">
        <w:rPr>
          <w:rFonts w:ascii="Times New Roman" w:eastAsia="Times New Roman" w:hAnsi="Times New Roman" w:cs="Times New Roman"/>
          <w:color w:val="000000"/>
        </w:rPr>
        <w:t>,</w:t>
      </w:r>
      <w:r w:rsidR="00134583" w:rsidRPr="000C1B58">
        <w:rPr>
          <w:rFonts w:ascii="Times New Roman" w:eastAsia="Times New Roman" w:hAnsi="Times New Roman" w:cs="Times New Roman"/>
          <w:color w:val="000000"/>
        </w:rPr>
        <w:t xml:space="preserve"> </w:t>
      </w:r>
      <w:r w:rsidR="00E4050D">
        <w:rPr>
          <w:rFonts w:ascii="Times New Roman" w:eastAsia="Times New Roman" w:hAnsi="Times New Roman" w:cs="Times New Roman"/>
          <w:color w:val="000000"/>
        </w:rPr>
        <w:t>(</w:t>
      </w:r>
      <w:r w:rsidR="00134583" w:rsidRPr="000C1B58">
        <w:rPr>
          <w:rFonts w:ascii="Times New Roman" w:eastAsia="Times New Roman" w:hAnsi="Times New Roman" w:cs="Times New Roman"/>
          <w:color w:val="000000"/>
        </w:rPr>
        <w:t>j</w:t>
      </w:r>
      <w:r w:rsidR="00E4050D">
        <w:rPr>
          <w:rFonts w:ascii="Times New Roman" w:eastAsia="Times New Roman" w:hAnsi="Times New Roman" w:cs="Times New Roman"/>
          <w:color w:val="000000"/>
        </w:rPr>
        <w:t>)</w:t>
      </w:r>
      <w:r w:rsidR="00134583" w:rsidRPr="000C1B58">
        <w:rPr>
          <w:rFonts w:ascii="Times New Roman" w:eastAsia="Times New Roman" w:hAnsi="Times New Roman" w:cs="Times New Roman"/>
          <w:color w:val="000000"/>
        </w:rPr>
        <w:t xml:space="preserve"> at the time </w:t>
      </w:r>
      <w:r w:rsidR="00E4050D">
        <w:rPr>
          <w:rFonts w:ascii="Times New Roman" w:eastAsia="Times New Roman" w:hAnsi="Times New Roman" w:cs="Times New Roman"/>
          <w:color w:val="000000"/>
        </w:rPr>
        <w:t>(</w:t>
      </w:r>
      <w:r w:rsidR="00134583" w:rsidRPr="000C1B58">
        <w:rPr>
          <w:rFonts w:ascii="Times New Roman" w:eastAsia="Times New Roman" w:hAnsi="Times New Roman" w:cs="Times New Roman"/>
          <w:color w:val="000000"/>
        </w:rPr>
        <w:t>t</w:t>
      </w:r>
      <w:r w:rsidR="00E4050D">
        <w:rPr>
          <w:rFonts w:ascii="Times New Roman" w:eastAsia="Times New Roman" w:hAnsi="Times New Roman" w:cs="Times New Roman"/>
          <w:color w:val="000000"/>
        </w:rPr>
        <w:t>)</w:t>
      </w:r>
      <w:r w:rsidR="00134583" w:rsidRPr="000C1B58">
        <w:rPr>
          <w:rFonts w:ascii="Times New Roman" w:eastAsia="Times New Roman" w:hAnsi="Times New Roman" w:cs="Times New Roman"/>
          <w:color w:val="000000"/>
        </w:rPr>
        <w:t xml:space="preserve">. </w:t>
      </w:r>
      <w:r w:rsidR="00E4050D">
        <w:rPr>
          <w:rFonts w:ascii="Times New Roman" w:eastAsia="Times New Roman" w:hAnsi="Times New Roman" w:cs="Times New Roman"/>
          <w:color w:val="000000"/>
        </w:rPr>
        <w:t>(</w:t>
      </w:r>
      <m:oMath>
        <m:sSub>
          <m:sSubPr>
            <m:ctrlPr>
              <w:rPr>
                <w:rFonts w:ascii="Cambria Math" w:eastAsia="Times New Roman" w:hAnsi="Cambria Math" w:cs="Times New Roman"/>
                <w:color w:val="000000"/>
              </w:rPr>
            </m:ctrlPr>
          </m:sSubPr>
          <m:e>
            <m:r>
              <w:rPr>
                <w:rFonts w:ascii="Cambria Math" w:eastAsia="Times New Roman" w:hAnsi="Cambria Math" w:cs="Times New Roman"/>
                <w:color w:val="000000"/>
              </w:rPr>
              <m:t>R</m:t>
            </m:r>
          </m:e>
          <m:sub>
            <m:r>
              <w:rPr>
                <w:rFonts w:ascii="Cambria Math" w:eastAsia="Times New Roman" w:hAnsi="Cambria Math" w:cs="Times New Roman"/>
                <w:color w:val="000000"/>
              </w:rPr>
              <m:t>ft</m:t>
            </m:r>
          </m:sub>
        </m:sSub>
      </m:oMath>
      <w:r w:rsidR="00E4050D">
        <w:rPr>
          <w:rFonts w:ascii="Times New Roman" w:eastAsia="Times New Roman" w:hAnsi="Times New Roman" w:cs="Times New Roman"/>
          <w:color w:val="000000"/>
        </w:rPr>
        <w:t xml:space="preserve">) </w:t>
      </w:r>
      <w:r w:rsidR="00134583" w:rsidRPr="000C1B58">
        <w:rPr>
          <w:rFonts w:ascii="Times New Roman" w:eastAsia="Times New Roman" w:hAnsi="Times New Roman" w:cs="Times New Roman"/>
          <w:color w:val="000000"/>
        </w:rPr>
        <w:t xml:space="preserve">is the risk-free interest rate at time </w:t>
      </w:r>
      <w:r w:rsidR="00E4050D">
        <w:rPr>
          <w:rFonts w:ascii="Times New Roman" w:eastAsia="Times New Roman" w:hAnsi="Times New Roman" w:cs="Times New Roman"/>
          <w:color w:val="000000"/>
        </w:rPr>
        <w:t>(</w:t>
      </w:r>
      <w:r w:rsidR="00134583" w:rsidRPr="000C1B58">
        <w:rPr>
          <w:rFonts w:ascii="Times New Roman" w:eastAsia="Times New Roman" w:hAnsi="Times New Roman" w:cs="Times New Roman"/>
          <w:color w:val="000000"/>
        </w:rPr>
        <w:t>t</w:t>
      </w:r>
      <w:r w:rsidR="00E4050D">
        <w:rPr>
          <w:rFonts w:ascii="Times New Roman" w:eastAsia="Times New Roman" w:hAnsi="Times New Roman" w:cs="Times New Roman"/>
          <w:color w:val="000000"/>
        </w:rPr>
        <w:t>)</w:t>
      </w:r>
      <w:r>
        <w:rPr>
          <w:rFonts w:ascii="Times New Roman" w:eastAsia="Times New Roman" w:hAnsi="Times New Roman" w:cs="Times New Roman"/>
          <w:color w:val="000000"/>
        </w:rPr>
        <w:t>;</w:t>
      </w:r>
      <w:r w:rsidR="00134583" w:rsidRPr="000C1B58">
        <w:rPr>
          <w:rFonts w:ascii="Times New Roman" w:eastAsia="Times New Roman" w:hAnsi="Times New Roman" w:cs="Times New Roman"/>
          <w:color w:val="000000"/>
        </w:rPr>
        <w:t xml:space="preserve"> </w:t>
      </w:r>
      <w:r w:rsidR="00E4050D">
        <w:rPr>
          <w:rFonts w:ascii="Times New Roman" w:eastAsia="Times New Roman" w:hAnsi="Times New Roman" w:cs="Times New Roman"/>
          <w:color w:val="000000"/>
        </w:rPr>
        <w:t>(</w:t>
      </w:r>
      <m:oMath>
        <m:sSub>
          <m:sSubPr>
            <m:ctrlPr>
              <w:rPr>
                <w:rFonts w:ascii="Cambria Math" w:eastAsia="Times New Roman" w:hAnsi="Cambria Math" w:cs="Times New Roman"/>
                <w:color w:val="000000"/>
              </w:rPr>
            </m:ctrlPr>
          </m:sSubPr>
          <m:e>
            <m:r>
              <w:rPr>
                <w:rFonts w:ascii="Cambria Math" w:eastAsia="Times New Roman" w:hAnsi="Cambria Math" w:cs="Times New Roman"/>
                <w:color w:val="000000"/>
              </w:rPr>
              <m:t>α</m:t>
            </m:r>
          </m:e>
          <m:sub>
            <m:r>
              <w:rPr>
                <w:rFonts w:ascii="Cambria Math" w:eastAsia="Times New Roman" w:hAnsi="Cambria Math" w:cs="Times New Roman"/>
                <w:color w:val="000000"/>
              </w:rPr>
              <m:t>j</m:t>
            </m:r>
          </m:sub>
        </m:sSub>
      </m:oMath>
      <w:r w:rsidR="00E4050D">
        <w:rPr>
          <w:rFonts w:ascii="Times New Roman" w:eastAsia="Times New Roman" w:hAnsi="Times New Roman" w:cs="Times New Roman"/>
          <w:color w:val="000000"/>
        </w:rPr>
        <w:t xml:space="preserve">) </w:t>
      </w:r>
      <w:r w:rsidR="00134583" w:rsidRPr="000C1B58">
        <w:rPr>
          <w:rFonts w:ascii="Times New Roman" w:eastAsia="Times New Roman" w:hAnsi="Times New Roman" w:cs="Times New Roman"/>
          <w:color w:val="000000"/>
        </w:rPr>
        <w:t>is the return due to the ability of the fund manager</w:t>
      </w:r>
      <w:r>
        <w:rPr>
          <w:rFonts w:ascii="Times New Roman" w:eastAsia="Times New Roman" w:hAnsi="Times New Roman" w:cs="Times New Roman"/>
          <w:color w:val="000000"/>
        </w:rPr>
        <w:t>;</w:t>
      </w:r>
      <w:r w:rsidR="00134583" w:rsidRPr="000C1B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m:oMath>
        <m:sSub>
          <m:sSubPr>
            <m:ctrlPr>
              <w:rPr>
                <w:rFonts w:ascii="Cambria Math" w:eastAsia="Times New Roman" w:hAnsi="Cambria Math" w:cs="Times New Roman"/>
                <w:color w:val="000000"/>
              </w:rPr>
            </m:ctrlPr>
          </m:sSubPr>
          <m:e>
            <m:r>
              <w:rPr>
                <w:rFonts w:ascii="Cambria Math" w:eastAsia="Times New Roman" w:hAnsi="Cambria Math" w:cs="Times New Roman"/>
                <w:color w:val="000000"/>
              </w:rPr>
              <m:t>β</m:t>
            </m:r>
          </m:e>
          <m:sub>
            <m:r>
              <w:rPr>
                <w:rFonts w:ascii="Cambria Math" w:eastAsia="Times New Roman" w:hAnsi="Cambria Math" w:cs="Times New Roman"/>
                <w:color w:val="000000"/>
              </w:rPr>
              <m:t>j</m:t>
            </m:r>
          </m:sub>
        </m:sSub>
      </m:oMath>
      <w:r>
        <w:rPr>
          <w:rFonts w:ascii="Times New Roman" w:eastAsia="Times New Roman" w:hAnsi="Times New Roman" w:cs="Times New Roman"/>
          <w:color w:val="000000"/>
        </w:rPr>
        <w:t xml:space="preserve">) </w:t>
      </w:r>
      <w:r w:rsidR="00134583" w:rsidRPr="000C1B58">
        <w:rPr>
          <w:rFonts w:ascii="Times New Roman" w:eastAsia="Times New Roman" w:hAnsi="Times New Roman" w:cs="Times New Roman"/>
          <w:color w:val="000000"/>
        </w:rPr>
        <w:t>is the</w:t>
      </w:r>
      <w:r w:rsidR="00FF0AF4">
        <w:rPr>
          <w:rFonts w:ascii="Times New Roman" w:eastAsia="Times New Roman" w:hAnsi="Times New Roman" w:cs="Times New Roman"/>
          <w:color w:val="000000"/>
        </w:rPr>
        <w:t xml:space="preserve"> exposure to systematic risk</w:t>
      </w:r>
      <w:r w:rsidR="00134583" w:rsidRPr="000C1B58">
        <w:rPr>
          <w:rFonts w:ascii="Times New Roman" w:eastAsia="Times New Roman" w:hAnsi="Times New Roman" w:cs="Times New Roman"/>
          <w:color w:val="000000"/>
        </w:rPr>
        <w:t xml:space="preserve"> </w:t>
      </w:r>
      <w:r w:rsidR="00FF0AF4">
        <w:rPr>
          <w:rFonts w:ascii="Times New Roman" w:eastAsia="Times New Roman" w:hAnsi="Times New Roman" w:cs="Times New Roman"/>
          <w:color w:val="000000"/>
        </w:rPr>
        <w:t>by</w:t>
      </w:r>
      <w:r w:rsidR="00134583" w:rsidRPr="000C1B58">
        <w:rPr>
          <w:rFonts w:ascii="Times New Roman" w:eastAsia="Times New Roman" w:hAnsi="Times New Roman" w:cs="Times New Roman"/>
          <w:color w:val="000000"/>
        </w:rPr>
        <w:t xml:space="preserve"> portfolio </w:t>
      </w:r>
      <w:r>
        <w:rPr>
          <w:rFonts w:ascii="Times New Roman" w:eastAsia="Times New Roman" w:hAnsi="Times New Roman" w:cs="Times New Roman"/>
          <w:color w:val="000000"/>
        </w:rPr>
        <w:t>(</w:t>
      </w:r>
      <w:r w:rsidR="00134583" w:rsidRPr="000C1B58">
        <w:rPr>
          <w:rFonts w:ascii="Times New Roman" w:eastAsia="Times New Roman" w:hAnsi="Times New Roman" w:cs="Times New Roman"/>
          <w:color w:val="000000"/>
        </w:rPr>
        <w:t>j</w:t>
      </w:r>
      <w:r>
        <w:rPr>
          <w:rFonts w:ascii="Times New Roman" w:eastAsia="Times New Roman" w:hAnsi="Times New Roman" w:cs="Times New Roman"/>
          <w:color w:val="000000"/>
        </w:rPr>
        <w:t>); (</w:t>
      </w:r>
      <m:oMath>
        <m:sSub>
          <m:sSubPr>
            <m:ctrlPr>
              <w:rPr>
                <w:rFonts w:ascii="Cambria Math" w:eastAsia="Times New Roman" w:hAnsi="Cambria Math" w:cs="Times New Roman"/>
                <w:color w:val="000000"/>
              </w:rPr>
            </m:ctrlPr>
          </m:sSubPr>
          <m:e>
            <m:r>
              <w:rPr>
                <w:rFonts w:ascii="Cambria Math" w:eastAsia="Times New Roman" w:hAnsi="Cambria Math" w:cs="Times New Roman"/>
                <w:color w:val="000000"/>
              </w:rPr>
              <m:t>R</m:t>
            </m:r>
          </m:e>
          <m:sub>
            <m:r>
              <w:rPr>
                <w:rFonts w:ascii="Cambria Math" w:eastAsia="Times New Roman" w:hAnsi="Cambria Math" w:cs="Times New Roman"/>
                <w:color w:val="000000"/>
              </w:rPr>
              <m:t>Mt</m:t>
            </m:r>
          </m:sub>
        </m:sSub>
      </m:oMath>
      <w:r>
        <w:rPr>
          <w:rFonts w:ascii="Times New Roman" w:eastAsia="Times New Roman" w:hAnsi="Times New Roman" w:cs="Times New Roman"/>
          <w:color w:val="000000"/>
        </w:rPr>
        <w:t xml:space="preserve">) </w:t>
      </w:r>
      <w:r w:rsidR="00134583" w:rsidRPr="000C1B58">
        <w:rPr>
          <w:rFonts w:ascii="Times New Roman" w:eastAsia="Times New Roman" w:hAnsi="Times New Roman" w:cs="Times New Roman"/>
          <w:color w:val="000000"/>
        </w:rPr>
        <w:t>is</w:t>
      </w:r>
      <w:r w:rsidR="00134583">
        <w:rPr>
          <w:rFonts w:ascii="Times New Roman" w:eastAsia="Times New Roman" w:hAnsi="Times New Roman" w:cs="Times New Roman"/>
          <w:color w:val="000000"/>
        </w:rPr>
        <w:t xml:space="preserve"> the</w:t>
      </w:r>
      <w:r w:rsidR="00134583" w:rsidRPr="000C1B58">
        <w:rPr>
          <w:rFonts w:ascii="Times New Roman" w:eastAsia="Times New Roman" w:hAnsi="Times New Roman" w:cs="Times New Roman"/>
          <w:color w:val="000000"/>
        </w:rPr>
        <w:t xml:space="preserve"> market return at time </w:t>
      </w:r>
      <w:r>
        <w:rPr>
          <w:rFonts w:ascii="Times New Roman" w:eastAsia="Times New Roman" w:hAnsi="Times New Roman" w:cs="Times New Roman"/>
          <w:color w:val="000000"/>
        </w:rPr>
        <w:t>(</w:t>
      </w:r>
      <w:r w:rsidR="00134583" w:rsidRPr="000C1B58">
        <w:rPr>
          <w:rFonts w:ascii="Times New Roman" w:eastAsia="Times New Roman" w:hAnsi="Times New Roman" w:cs="Times New Roman"/>
          <w:color w:val="000000"/>
        </w:rPr>
        <w:t>t</w:t>
      </w:r>
      <w:r>
        <w:rPr>
          <w:rFonts w:ascii="Times New Roman" w:eastAsia="Times New Roman" w:hAnsi="Times New Roman" w:cs="Times New Roman"/>
          <w:color w:val="000000"/>
        </w:rPr>
        <w:t>) a</w:t>
      </w:r>
      <w:r w:rsidR="00134583" w:rsidRPr="000C1B58">
        <w:rPr>
          <w:rFonts w:ascii="Times New Roman" w:eastAsia="Times New Roman" w:hAnsi="Times New Roman" w:cs="Times New Roman"/>
          <w:color w:val="000000"/>
        </w:rPr>
        <w:t>n</w:t>
      </w:r>
      <w:r>
        <w:rPr>
          <w:rFonts w:ascii="Times New Roman" w:eastAsia="Times New Roman" w:hAnsi="Times New Roman" w:cs="Times New Roman"/>
          <w:color w:val="000000"/>
        </w:rPr>
        <w:t>d</w:t>
      </w:r>
      <w:r w:rsidR="00134583" w:rsidRPr="000C1B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m:oMath>
        <m:sSub>
          <m:sSubPr>
            <m:ctrlPr>
              <w:rPr>
                <w:rFonts w:ascii="Cambria Math" w:eastAsia="Times New Roman" w:hAnsi="Cambria Math" w:cs="Times New Roman"/>
                <w:color w:val="000000"/>
              </w:rPr>
            </m:ctrlPr>
          </m:sSubPr>
          <m:e>
            <m:r>
              <w:rPr>
                <w:rFonts w:ascii="Cambria Math" w:eastAsia="Times New Roman" w:hAnsi="Cambria Math" w:cs="Times New Roman"/>
                <w:color w:val="000000"/>
              </w:rPr>
              <m:t>υ</m:t>
            </m:r>
          </m:e>
          <m:sub>
            <m:r>
              <w:rPr>
                <w:rFonts w:ascii="Cambria Math" w:eastAsia="Times New Roman" w:hAnsi="Cambria Math" w:cs="Times New Roman"/>
                <w:color w:val="000000"/>
              </w:rPr>
              <m:t>jt</m:t>
            </m:r>
          </m:sub>
        </m:sSub>
        <m:r>
          <w:rPr>
            <w:rFonts w:ascii="Cambria Math" w:eastAsia="Times New Roman" w:hAnsi="Cambria Math" w:cs="Times New Roman"/>
            <w:color w:val="000000"/>
          </w:rPr>
          <m:t>)</m:t>
        </m:r>
      </m:oMath>
      <w:r w:rsidR="00134583" w:rsidRPr="000C1B58">
        <w:rPr>
          <w:rFonts w:ascii="Times New Roman" w:eastAsia="Times New Roman" w:hAnsi="Times New Roman" w:cs="Times New Roman"/>
          <w:color w:val="000000"/>
        </w:rPr>
        <w:t xml:space="preserve"> is the error term </w:t>
      </w:r>
      <m:oMath>
        <m:r>
          <w:rPr>
            <w:rFonts w:ascii="Cambria Math" w:eastAsia="Times New Roman" w:hAnsi="Cambria Math" w:cs="Times New Roman"/>
            <w:color w:val="000000"/>
          </w:rPr>
          <m:t>E</m:t>
        </m:r>
        <m:d>
          <m:dPr>
            <m:ctrlPr>
              <w:rPr>
                <w:rFonts w:ascii="Cambria Math" w:eastAsia="Times New Roman" w:hAnsi="Cambria Math" w:cs="Times New Roman"/>
                <w:color w:val="000000"/>
              </w:rPr>
            </m:ctrlPr>
          </m:dPr>
          <m:e>
            <m:sSub>
              <m:sSubPr>
                <m:ctrlPr>
                  <w:rPr>
                    <w:rFonts w:ascii="Cambria Math" w:eastAsia="Times New Roman" w:hAnsi="Cambria Math" w:cs="Times New Roman"/>
                    <w:color w:val="000000"/>
                  </w:rPr>
                </m:ctrlPr>
              </m:sSubPr>
              <m:e>
                <m:r>
                  <w:rPr>
                    <w:rFonts w:ascii="Cambria Math" w:eastAsia="Times New Roman" w:hAnsi="Cambria Math" w:cs="Times New Roman"/>
                    <w:color w:val="000000"/>
                  </w:rPr>
                  <m:t>υ</m:t>
                </m:r>
              </m:e>
              <m:sub>
                <m:r>
                  <w:rPr>
                    <w:rFonts w:ascii="Cambria Math" w:eastAsia="Times New Roman" w:hAnsi="Cambria Math" w:cs="Times New Roman"/>
                    <w:color w:val="000000"/>
                  </w:rPr>
                  <m:t>jt</m:t>
                </m:r>
              </m:sub>
            </m:sSub>
          </m:e>
        </m:d>
        <m:r>
          <m:rPr>
            <m:sty m:val="p"/>
          </m:rPr>
          <w:rPr>
            <w:rFonts w:ascii="Cambria Math" w:eastAsia="Times New Roman" w:hAnsi="Cambria Math" w:cs="Times New Roman"/>
            <w:color w:val="000000"/>
          </w:rPr>
          <m:t>=0</m:t>
        </m:r>
      </m:oMath>
      <w:r w:rsidR="00134583" w:rsidRPr="000C1B58">
        <w:rPr>
          <w:rFonts w:ascii="Times New Roman" w:eastAsia="Times New Roman" w:hAnsi="Times New Roman" w:cs="Times New Roman"/>
          <w:color w:val="000000"/>
        </w:rPr>
        <w:t>.</w:t>
      </w:r>
      <w:bookmarkStart w:id="6" w:name="_30j0zll" w:colFirst="0" w:colLast="0"/>
      <w:bookmarkEnd w:id="6"/>
    </w:p>
    <w:p w14:paraId="2A578DC0" w14:textId="6438D60A" w:rsidR="001742F0" w:rsidRDefault="00F35E89" w:rsidP="006E5583">
      <w:pPr>
        <w:pBdr>
          <w:top w:val="nil"/>
          <w:left w:val="nil"/>
          <w:bottom w:val="nil"/>
          <w:right w:val="nil"/>
          <w:between w:val="nil"/>
        </w:pBdr>
        <w:spacing w:after="39"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Jensen </w:t>
      </w:r>
      <w:r w:rsidR="00DE0855">
        <w:rPr>
          <w:rFonts w:ascii="Times New Roman" w:eastAsia="Times New Roman" w:hAnsi="Times New Roman" w:cs="Times New Roman"/>
          <w:color w:val="000000"/>
        </w:rPr>
        <w:t>observed</w:t>
      </w:r>
      <w:r>
        <w:rPr>
          <w:rFonts w:ascii="Times New Roman" w:eastAsia="Times New Roman" w:hAnsi="Times New Roman" w:cs="Times New Roman"/>
          <w:color w:val="000000"/>
        </w:rPr>
        <w:t xml:space="preserve"> that the mutual funds in </w:t>
      </w:r>
      <w:r w:rsidR="009012E3">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research were remarkably</w:t>
      </w:r>
      <w:r w:rsidR="009012E3">
        <w:rPr>
          <w:rFonts w:ascii="Times New Roman" w:eastAsia="Times New Roman" w:hAnsi="Times New Roman" w:cs="Times New Roman"/>
          <w:color w:val="000000"/>
        </w:rPr>
        <w:t xml:space="preserve"> more</w:t>
      </w:r>
      <w:r>
        <w:rPr>
          <w:rFonts w:ascii="Times New Roman" w:eastAsia="Times New Roman" w:hAnsi="Times New Roman" w:cs="Times New Roman"/>
          <w:color w:val="000000"/>
        </w:rPr>
        <w:t xml:space="preserve"> successful regarding diversification</w:t>
      </w:r>
      <w:r w:rsidR="00DE0855">
        <w:rPr>
          <w:rFonts w:ascii="Times New Roman" w:eastAsia="Times New Roman" w:hAnsi="Times New Roman" w:cs="Times New Roman"/>
          <w:color w:val="000000"/>
        </w:rPr>
        <w:t>. H</w:t>
      </w:r>
      <w:r>
        <w:rPr>
          <w:rFonts w:ascii="Times New Roman" w:eastAsia="Times New Roman" w:hAnsi="Times New Roman" w:cs="Times New Roman"/>
          <w:color w:val="000000"/>
        </w:rPr>
        <w:t>owever</w:t>
      </w:r>
      <w:r w:rsidR="00DE0855">
        <w:rPr>
          <w:rFonts w:ascii="Times New Roman" w:eastAsia="Times New Roman" w:hAnsi="Times New Roman" w:cs="Times New Roman"/>
          <w:color w:val="000000"/>
        </w:rPr>
        <w:t>, these</w:t>
      </w:r>
      <w:r>
        <w:rPr>
          <w:rFonts w:ascii="Times New Roman" w:eastAsia="Times New Roman" w:hAnsi="Times New Roman" w:cs="Times New Roman"/>
          <w:color w:val="000000"/>
        </w:rPr>
        <w:t xml:space="preserve"> mutual funds </w:t>
      </w:r>
      <w:r w:rsidR="00DE0855">
        <w:rPr>
          <w:rFonts w:ascii="Times New Roman" w:eastAsia="Times New Roman" w:hAnsi="Times New Roman" w:cs="Times New Roman"/>
          <w:color w:val="000000"/>
        </w:rPr>
        <w:t xml:space="preserve">could </w:t>
      </w:r>
      <w:r>
        <w:rPr>
          <w:rFonts w:ascii="Times New Roman" w:eastAsia="Times New Roman" w:hAnsi="Times New Roman" w:cs="Times New Roman"/>
          <w:color w:val="000000"/>
        </w:rPr>
        <w:t>not able to outperform</w:t>
      </w:r>
      <w:r w:rsidR="009012E3">
        <w:rPr>
          <w:rFonts w:ascii="Times New Roman" w:eastAsia="Times New Roman" w:hAnsi="Times New Roman" w:cs="Times New Roman"/>
          <w:color w:val="000000"/>
        </w:rPr>
        <w:t xml:space="preserve"> their benchmarks </w:t>
      </w:r>
      <w:r>
        <w:rPr>
          <w:rFonts w:ascii="Times New Roman" w:eastAsia="Times New Roman" w:hAnsi="Times New Roman" w:cs="Times New Roman"/>
          <w:color w:val="000000"/>
        </w:rPr>
        <w:t xml:space="preserve">even when considering gross of fees. </w:t>
      </w:r>
    </w:p>
    <w:p w14:paraId="7BE5C10F" w14:textId="58737E00" w:rsidR="00963761" w:rsidRDefault="00F35E89" w:rsidP="00F95948">
      <w:pPr>
        <w:pBdr>
          <w:top w:val="nil"/>
          <w:left w:val="nil"/>
          <w:bottom w:val="nil"/>
          <w:right w:val="nil"/>
          <w:between w:val="nil"/>
        </w:pBdr>
        <w:spacing w:after="39"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Similarly, </w:t>
      </w:r>
      <w:r w:rsidR="009012E3">
        <w:rPr>
          <w:rFonts w:ascii="Times New Roman" w:eastAsia="Times New Roman" w:hAnsi="Times New Roman" w:cs="Times New Roman"/>
          <w:color w:val="000000"/>
        </w:rPr>
        <w:t>Fama and French (1992)</w:t>
      </w:r>
      <w:r w:rsidR="00134583">
        <w:rPr>
          <w:rFonts w:ascii="Times New Roman" w:eastAsia="Times New Roman" w:hAnsi="Times New Roman" w:cs="Times New Roman"/>
          <w:color w:val="000000"/>
        </w:rPr>
        <w:t xml:space="preserve"> found that </w:t>
      </w:r>
      <w:r w:rsidR="007609B0">
        <w:rPr>
          <w:rFonts w:ascii="Times New Roman" w:eastAsia="Times New Roman" w:hAnsi="Times New Roman" w:cs="Times New Roman"/>
          <w:color w:val="000000"/>
        </w:rPr>
        <w:t>“</w:t>
      </w:r>
      <w:r w:rsidR="00134583">
        <w:rPr>
          <w:rFonts w:ascii="Times New Roman" w:eastAsia="Times New Roman" w:hAnsi="Times New Roman" w:cs="Times New Roman"/>
          <w:color w:val="000000"/>
        </w:rPr>
        <w:t>Beta</w:t>
      </w:r>
      <w:r w:rsidR="007609B0">
        <w:rPr>
          <w:rFonts w:ascii="Times New Roman" w:eastAsia="Times New Roman" w:hAnsi="Times New Roman" w:cs="Times New Roman"/>
          <w:color w:val="000000"/>
        </w:rPr>
        <w:t>”</w:t>
      </w:r>
      <w:r w:rsidR="00134583">
        <w:rPr>
          <w:rFonts w:ascii="Times New Roman" w:eastAsia="Times New Roman" w:hAnsi="Times New Roman" w:cs="Times New Roman"/>
          <w:color w:val="000000"/>
        </w:rPr>
        <w:t xml:space="preserve"> in</w:t>
      </w:r>
      <w:r w:rsidR="009012E3">
        <w:rPr>
          <w:rFonts w:ascii="Times New Roman" w:eastAsia="Times New Roman" w:hAnsi="Times New Roman" w:cs="Times New Roman"/>
          <w:color w:val="000000"/>
        </w:rPr>
        <w:t xml:space="preserve"> the</w:t>
      </w:r>
      <w:r w:rsidR="00134583">
        <w:rPr>
          <w:rFonts w:ascii="Times New Roman" w:eastAsia="Times New Roman" w:hAnsi="Times New Roman" w:cs="Times New Roman"/>
          <w:color w:val="000000"/>
        </w:rPr>
        <w:t xml:space="preserve"> Capital Asset Pricing Model had </w:t>
      </w:r>
      <w:r w:rsidR="009012E3">
        <w:rPr>
          <w:rFonts w:ascii="Times New Roman" w:eastAsia="Times New Roman" w:hAnsi="Times New Roman" w:cs="Times New Roman"/>
          <w:color w:val="000000"/>
        </w:rPr>
        <w:t>limit</w:t>
      </w:r>
      <w:r>
        <w:rPr>
          <w:rFonts w:ascii="Times New Roman" w:eastAsia="Times New Roman" w:hAnsi="Times New Roman" w:cs="Times New Roman"/>
          <w:color w:val="000000"/>
        </w:rPr>
        <w:t>ations due to the lack of</w:t>
      </w:r>
      <w:r w:rsidR="00FF6D03">
        <w:rPr>
          <w:rFonts w:ascii="Times New Roman" w:eastAsia="Times New Roman" w:hAnsi="Times New Roman" w:cs="Times New Roman"/>
          <w:color w:val="000000"/>
        </w:rPr>
        <w:t xml:space="preserve"> information on the average return.</w:t>
      </w:r>
      <w:r w:rsidR="004248C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They</w:t>
      </w:r>
      <w:r w:rsidR="004248C0">
        <w:rPr>
          <w:rFonts w:ascii="Times New Roman" w:eastAsia="Times New Roman" w:hAnsi="Times New Roman" w:cs="Times New Roman"/>
          <w:color w:val="000000"/>
        </w:rPr>
        <w:t xml:space="preserve"> </w:t>
      </w:r>
      <w:r w:rsidR="007609B0">
        <w:rPr>
          <w:rFonts w:ascii="Times New Roman" w:eastAsia="Times New Roman" w:hAnsi="Times New Roman" w:cs="Times New Roman"/>
          <w:color w:val="000000"/>
        </w:rPr>
        <w:t>demonstrated</w:t>
      </w:r>
      <w:r w:rsidR="004248C0">
        <w:rPr>
          <w:rFonts w:ascii="Times New Roman" w:eastAsia="Times New Roman" w:hAnsi="Times New Roman" w:cs="Times New Roman"/>
          <w:color w:val="000000"/>
        </w:rPr>
        <w:t xml:space="preserve"> that besides the market excess return, book-to-market ratio and the size of</w:t>
      </w:r>
      <w:r w:rsidR="009012E3">
        <w:rPr>
          <w:rFonts w:ascii="Times New Roman" w:eastAsia="Times New Roman" w:hAnsi="Times New Roman" w:cs="Times New Roman"/>
          <w:color w:val="000000"/>
        </w:rPr>
        <w:t xml:space="preserve"> the</w:t>
      </w:r>
      <w:r w:rsidR="004248C0">
        <w:rPr>
          <w:rFonts w:ascii="Times New Roman" w:eastAsia="Times New Roman" w:hAnsi="Times New Roman" w:cs="Times New Roman"/>
          <w:color w:val="000000"/>
        </w:rPr>
        <w:t xml:space="preserve"> stocks had significant explanatory power over returns on the cross-section. </w:t>
      </w:r>
      <w:r w:rsidR="00134583">
        <w:rPr>
          <w:rFonts w:ascii="Times New Roman" w:eastAsia="Times New Roman" w:hAnsi="Times New Roman" w:cs="Times New Roman"/>
          <w:color w:val="000000"/>
        </w:rPr>
        <w:t>Fama and French (1993) then constructed the three-factor model by adding two additional factors to the original CAPM</w:t>
      </w:r>
      <w:r w:rsidR="00F95948">
        <w:rPr>
          <w:rFonts w:ascii="Times New Roman" w:eastAsia="Times New Roman" w:hAnsi="Times New Roman" w:cs="Times New Roman"/>
          <w:color w:val="000000"/>
        </w:rPr>
        <w:t xml:space="preserve">. Their model is </w:t>
      </w:r>
      <w:r>
        <w:rPr>
          <w:rFonts w:ascii="Times New Roman" w:eastAsia="Times New Roman" w:hAnsi="Times New Roman" w:cs="Times New Roman"/>
          <w:color w:val="000000"/>
        </w:rPr>
        <w:t>shown below</w:t>
      </w:r>
      <w:r w:rsidR="00F95948">
        <w:rPr>
          <w:rFonts w:ascii="Times New Roman" w:eastAsia="Times New Roman" w:hAnsi="Times New Roman" w:cs="Times New Roman"/>
          <w:color w:val="000000"/>
        </w:rPr>
        <w:t>:</w:t>
      </w:r>
      <w:r w:rsidR="00134583">
        <w:rPr>
          <w:rFonts w:ascii="Times New Roman" w:eastAsia="Times New Roman" w:hAnsi="Times New Roman" w:cs="Times New Roman"/>
          <w:color w:val="000000"/>
        </w:rPr>
        <w:t xml:space="preserve"> </w:t>
      </w:r>
    </w:p>
    <w:p w14:paraId="6FA82CE0" w14:textId="77777777" w:rsidR="006D0592" w:rsidRDefault="006D0592" w:rsidP="006E5583">
      <w:pPr>
        <w:pBdr>
          <w:top w:val="nil"/>
          <w:left w:val="nil"/>
          <w:bottom w:val="nil"/>
          <w:right w:val="nil"/>
          <w:between w:val="nil"/>
        </w:pBdr>
        <w:spacing w:after="39" w:line="360" w:lineRule="auto"/>
        <w:ind w:firstLine="720"/>
        <w:jc w:val="both"/>
        <w:rPr>
          <w:rFonts w:ascii="Times New Roman" w:eastAsia="Times New Roman" w:hAnsi="Times New Roman" w:cs="Times New Roman"/>
          <w:color w:val="000000"/>
        </w:rPr>
      </w:pPr>
    </w:p>
    <w:p w14:paraId="183DEC72" w14:textId="21CE8CC1" w:rsidR="006D0592" w:rsidRDefault="00F35E89" w:rsidP="00963761">
      <w:pPr>
        <w:pBdr>
          <w:top w:val="nil"/>
          <w:left w:val="nil"/>
          <w:bottom w:val="nil"/>
          <w:right w:val="nil"/>
          <w:between w:val="nil"/>
        </w:pBdr>
        <w:spacing w:after="3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m:t>
            </m:r>
          </m:e>
          <m:sub>
            <m:r>
              <w:rPr>
                <w:rFonts w:ascii="Cambria Math" w:eastAsia="Times New Roman" w:hAnsi="Cambria Math" w:cs="Times New Roman"/>
                <w:color w:val="000000"/>
              </w:rPr>
              <m:t>it</m:t>
            </m:r>
          </m:sub>
        </m:sSub>
        <m:r>
          <w:rPr>
            <w:rFonts w:ascii="Cambria Math" w:eastAsia="Times New Roman" w:hAnsi="Cambria Math" w:cs="Times New Roman"/>
            <w:color w:val="000000"/>
          </w:rPr>
          <m:t xml:space="preserve"> -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m:t>
            </m:r>
          </m:e>
          <m:sub>
            <m:r>
              <w:rPr>
                <w:rFonts w:ascii="Cambria Math" w:eastAsia="Times New Roman" w:hAnsi="Cambria Math" w:cs="Times New Roman"/>
                <w:color w:val="000000"/>
              </w:rPr>
              <m:t>ft</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α</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β</m:t>
            </m:r>
          </m:e>
          <m:sub>
            <m:r>
              <w:rPr>
                <w:rFonts w:ascii="Cambria Math" w:eastAsia="Times New Roman" w:hAnsi="Cambria Math" w:cs="Times New Roman"/>
                <w:color w:val="000000"/>
              </w:rPr>
              <m:t>1</m:t>
            </m:r>
          </m:sub>
        </m:sSub>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m:t>
                </m:r>
              </m:e>
              <m:sub>
                <m:r>
                  <w:rPr>
                    <w:rFonts w:ascii="Cambria Math" w:eastAsia="Times New Roman" w:hAnsi="Cambria Math" w:cs="Times New Roman"/>
                    <w:color w:val="000000"/>
                  </w:rPr>
                  <m:t>Mt</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m:t>
                </m:r>
              </m:e>
              <m:sub>
                <m:r>
                  <w:rPr>
                    <w:rFonts w:ascii="Cambria Math" w:eastAsia="Times New Roman" w:hAnsi="Cambria Math" w:cs="Times New Roman"/>
                    <w:color w:val="000000"/>
                  </w:rPr>
                  <m:t>ft</m:t>
                </m:r>
              </m:sub>
            </m:sSub>
          </m:e>
        </m:d>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β</m:t>
            </m:r>
          </m:e>
          <m:sub>
            <m:r>
              <w:rPr>
                <w:rFonts w:ascii="Cambria Math" w:eastAsia="Times New Roman" w:hAnsi="Cambria Math" w:cs="Times New Roman"/>
                <w:color w:val="000000"/>
              </w:rPr>
              <m:t>2</m:t>
            </m:r>
          </m:sub>
        </m:sSub>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SMB</m:t>
                </m:r>
              </m:e>
              <m:sub>
                <m:r>
                  <w:rPr>
                    <w:rFonts w:ascii="Cambria Math" w:eastAsia="Times New Roman" w:hAnsi="Cambria Math" w:cs="Times New Roman"/>
                    <w:color w:val="000000"/>
                  </w:rPr>
                  <m:t>t</m:t>
                </m:r>
              </m:sub>
            </m:sSub>
          </m:e>
        </m:d>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β</m:t>
            </m:r>
          </m:e>
          <m:sub>
            <m:r>
              <w:rPr>
                <w:rFonts w:ascii="Cambria Math" w:eastAsia="Times New Roman" w:hAnsi="Cambria Math" w:cs="Times New Roman"/>
                <w:color w:val="000000"/>
              </w:rPr>
              <m:t>3</m:t>
            </m:r>
          </m:sub>
        </m:sSub>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HML</m:t>
                </m:r>
              </m:e>
              <m:sub>
                <m:r>
                  <w:rPr>
                    <w:rFonts w:ascii="Cambria Math" w:eastAsia="Times New Roman" w:hAnsi="Cambria Math" w:cs="Times New Roman"/>
                    <w:color w:val="000000"/>
                  </w:rPr>
                  <m:t>t</m:t>
                </m:r>
              </m:sub>
            </m:sSub>
          </m:e>
        </m:d>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ε</m:t>
            </m:r>
          </m:e>
          <m:sub>
            <m:r>
              <w:rPr>
                <w:rFonts w:ascii="Cambria Math" w:eastAsia="Times New Roman" w:hAnsi="Cambria Math" w:cs="Times New Roman"/>
                <w:color w:val="000000"/>
              </w:rPr>
              <m:t>t</m:t>
            </m:r>
          </m:sub>
        </m:sSub>
      </m:oMath>
      <w:r w:rsidR="0041365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41365C">
        <w:rPr>
          <w:rFonts w:ascii="Times New Roman" w:eastAsia="Times New Roman" w:hAnsi="Times New Roman" w:cs="Times New Roman"/>
          <w:color w:val="000000"/>
        </w:rPr>
        <w:t>(2)</w:t>
      </w:r>
    </w:p>
    <w:p w14:paraId="0BFA99DD" w14:textId="77777777" w:rsidR="006D0592" w:rsidRPr="00116EA9" w:rsidRDefault="006D0592" w:rsidP="00963761">
      <w:pPr>
        <w:pBdr>
          <w:top w:val="nil"/>
          <w:left w:val="nil"/>
          <w:bottom w:val="nil"/>
          <w:right w:val="nil"/>
          <w:between w:val="nil"/>
        </w:pBdr>
        <w:spacing w:after="39" w:line="360" w:lineRule="auto"/>
        <w:jc w:val="both"/>
        <w:rPr>
          <w:rFonts w:ascii="Times New Roman" w:eastAsia="Times New Roman" w:hAnsi="Times New Roman" w:cs="Times New Roman"/>
          <w:color w:val="000000"/>
        </w:rPr>
      </w:pPr>
    </w:p>
    <w:p w14:paraId="2C5584A4" w14:textId="3725DAB5" w:rsidR="00F95948" w:rsidRDefault="00F35E89" w:rsidP="006E5583">
      <w:pPr>
        <w:spacing w:line="360" w:lineRule="auto"/>
        <w:jc w:val="both"/>
        <w:rPr>
          <w:rFonts w:ascii="Times New Roman" w:hAnsi="Times New Roman" w:cs="Times New Roman"/>
        </w:rPr>
      </w:pPr>
      <w:r>
        <w:rPr>
          <w:rFonts w:ascii="Times New Roman" w:hAnsi="Times New Roman" w:cs="Times New Roman"/>
        </w:rPr>
        <w:t xml:space="preserve">Where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SMB</m:t>
            </m:r>
          </m:e>
          <m:sub>
            <m:r>
              <w:rPr>
                <w:rFonts w:ascii="Cambria Math" w:hAnsi="Cambria Math" w:cs="Times New Roman"/>
              </w:rPr>
              <m:t>t</m:t>
            </m:r>
          </m:sub>
        </m:sSub>
        <m:r>
          <w:rPr>
            <w:rFonts w:ascii="Cambria Math" w:hAnsi="Cambria Math" w:cs="Times New Roman"/>
          </w:rPr>
          <m:t>)</m:t>
        </m:r>
      </m:oMath>
      <w:r>
        <w:rPr>
          <w:rFonts w:ascii="Times New Roman" w:hAnsi="Times New Roman" w:cs="Times New Roman"/>
        </w:rPr>
        <w:t xml:space="preserve"> is the size premium and measures the difference between the return of small-sized a</w:t>
      </w:r>
      <w:r w:rsidR="00906DD5">
        <w:rPr>
          <w:rFonts w:ascii="Times New Roman" w:hAnsi="Times New Roman" w:cs="Times New Roman"/>
        </w:rPr>
        <w:t>nd big</w:t>
      </w:r>
      <w:r>
        <w:rPr>
          <w:rFonts w:ascii="Times New Roman" w:hAnsi="Times New Roman" w:cs="Times New Roman"/>
        </w:rPr>
        <w:t>-sized</w:t>
      </w:r>
      <w:r w:rsidR="00906DD5">
        <w:rPr>
          <w:rFonts w:ascii="Times New Roman" w:hAnsi="Times New Roman" w:cs="Times New Roman"/>
        </w:rPr>
        <w:t xml:space="preserve"> </w:t>
      </w:r>
      <w:r>
        <w:rPr>
          <w:rFonts w:ascii="Times New Roman" w:hAnsi="Times New Roman" w:cs="Times New Roman"/>
        </w:rPr>
        <w:t>portfolios</w:t>
      </w:r>
      <w:r w:rsidR="00906DD5">
        <w:rPr>
          <w:rFonts w:ascii="Times New Roman" w:hAnsi="Times New Roman" w:cs="Times New Roman"/>
        </w:rPr>
        <w:t xml:space="preserve"> at the time </w:t>
      </w:r>
      <w:r w:rsidR="00DE0855">
        <w:rPr>
          <w:rFonts w:ascii="Times New Roman" w:hAnsi="Times New Roman" w:cs="Times New Roman"/>
        </w:rPr>
        <w:t xml:space="preserve">(t) </w:t>
      </w:r>
      <w:r w:rsidR="007609B0">
        <w:rPr>
          <w:rFonts w:ascii="Times New Roman" w:hAnsi="Times New Roman" w:cs="Times New Roman"/>
        </w:rPr>
        <w:t>and</w:t>
      </w:r>
      <w:r>
        <w:rPr>
          <w:rFonts w:ascii="Times New Roman" w:hAnsi="Times New Roman" w:cs="Times New Roman"/>
        </w:rPr>
        <w:t xml:space="preserve"> </w:t>
      </w:r>
      <w:r w:rsidR="00DE0855">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HML</m:t>
            </m:r>
          </m:e>
          <m:sub>
            <m:r>
              <w:rPr>
                <w:rFonts w:ascii="Cambria Math" w:hAnsi="Cambria Math" w:cs="Times New Roman"/>
              </w:rPr>
              <m:t>t</m:t>
            </m:r>
          </m:sub>
        </m:sSub>
        <m:r>
          <w:rPr>
            <w:rFonts w:ascii="Cambria Math" w:hAnsi="Cambria Math" w:cs="Times New Roman"/>
          </w:rPr>
          <m:t>)</m:t>
        </m:r>
      </m:oMath>
      <w:r>
        <w:rPr>
          <w:rFonts w:ascii="Times New Roman" w:hAnsi="Times New Roman" w:cs="Times New Roman"/>
        </w:rPr>
        <w:t xml:space="preserve"> is the premium due to the difference in high book-to-market and low book to mark</w:t>
      </w:r>
      <w:r w:rsidR="00906DD5">
        <w:rPr>
          <w:rFonts w:ascii="Times New Roman" w:hAnsi="Times New Roman" w:cs="Times New Roman"/>
        </w:rPr>
        <w:t xml:space="preserve">et value </w:t>
      </w:r>
      <w:r>
        <w:rPr>
          <w:rFonts w:ascii="Times New Roman" w:hAnsi="Times New Roman" w:cs="Times New Roman"/>
        </w:rPr>
        <w:t>portfolios</w:t>
      </w:r>
      <w:r w:rsidR="00906DD5">
        <w:rPr>
          <w:rFonts w:ascii="Times New Roman" w:hAnsi="Times New Roman" w:cs="Times New Roman"/>
        </w:rPr>
        <w:t xml:space="preserve"> at the time </w:t>
      </w:r>
      <w:r w:rsidR="00DE0855">
        <w:rPr>
          <w:rFonts w:ascii="Times New Roman" w:hAnsi="Times New Roman" w:cs="Times New Roman"/>
        </w:rPr>
        <w:t>(</w:t>
      </w:r>
      <w:r w:rsidR="00906DD5">
        <w:rPr>
          <w:rFonts w:ascii="Times New Roman" w:hAnsi="Times New Roman" w:cs="Times New Roman"/>
        </w:rPr>
        <w:t>t</w:t>
      </w:r>
      <w:r w:rsidR="00DE0855">
        <w:rPr>
          <w:rFonts w:ascii="Times New Roman" w:hAnsi="Times New Roman" w:cs="Times New Roman"/>
        </w:rPr>
        <w:t>)</w:t>
      </w:r>
      <w:r w:rsidR="00906DD5">
        <w:rPr>
          <w:rFonts w:ascii="Times New Roman" w:hAnsi="Times New Roman" w:cs="Times New Roman"/>
        </w:rPr>
        <w:t>.</w:t>
      </w:r>
      <w:r w:rsidR="00D30584">
        <w:rPr>
          <w:rFonts w:ascii="Times New Roman" w:hAnsi="Times New Roman" w:cs="Times New Roman"/>
        </w:rPr>
        <w:t xml:space="preserve"> </w:t>
      </w:r>
      <w:r>
        <w:rPr>
          <w:rFonts w:ascii="Times New Roman" w:hAnsi="Times New Roman" w:cs="Times New Roman"/>
        </w:rPr>
        <w:t>Value and size portfolios are created with the following procedure:</w:t>
      </w:r>
    </w:p>
    <w:p w14:paraId="2081BD7A" w14:textId="25EDBC17" w:rsidR="003C5759" w:rsidRDefault="00F35E89" w:rsidP="006E5583">
      <w:pPr>
        <w:spacing w:line="360" w:lineRule="auto"/>
        <w:jc w:val="both"/>
        <w:rPr>
          <w:rFonts w:ascii="Times New Roman" w:hAnsi="Times New Roman" w:cs="Times New Roman"/>
        </w:rPr>
      </w:pPr>
      <w:r>
        <w:rPr>
          <w:rFonts w:ascii="Times New Roman" w:hAnsi="Times New Roman" w:cs="Times New Roman"/>
        </w:rPr>
        <w:t xml:space="preserve"> </w:t>
      </w:r>
    </w:p>
    <w:p w14:paraId="44937F0A" w14:textId="642674F2" w:rsidR="004248C0" w:rsidRDefault="00F35E89" w:rsidP="00D03379">
      <w:pPr>
        <w:spacing w:line="480" w:lineRule="auto"/>
        <w:jc w:val="center"/>
        <w:rPr>
          <w:rFonts w:ascii="Times New Roman" w:hAnsi="Times New Roman" w:cs="Times New Roman"/>
          <w:sz w:val="22"/>
          <w:szCs w:val="22"/>
        </w:rPr>
      </w:pPr>
      <w:r w:rsidRPr="004248C0">
        <w:rPr>
          <w:rFonts w:ascii="Times New Roman" w:hAnsi="Times New Roman" w:cs="Times New Roman"/>
          <w:sz w:val="22"/>
          <w:szCs w:val="22"/>
        </w:rPr>
        <w:t>SMB = 1/3 (Small Value+Small Blend+Small Growth) – 1/3 (Big Value +Big Blend+Big Growth)</w:t>
      </w:r>
    </w:p>
    <w:p w14:paraId="675EF14E" w14:textId="2C4EC325" w:rsidR="00972E38" w:rsidRDefault="00F35E89" w:rsidP="00972E38">
      <w:pPr>
        <w:spacing w:line="480" w:lineRule="auto"/>
        <w:jc w:val="center"/>
        <w:rPr>
          <w:rFonts w:ascii="Times New Roman" w:hAnsi="Times New Roman" w:cs="Times New Roman"/>
          <w:sz w:val="22"/>
          <w:szCs w:val="22"/>
        </w:rPr>
      </w:pPr>
      <w:r>
        <w:rPr>
          <w:rFonts w:ascii="Times New Roman" w:hAnsi="Times New Roman" w:cs="Times New Roman"/>
          <w:sz w:val="22"/>
          <w:szCs w:val="22"/>
        </w:rPr>
        <w:t>HML = 1/2 (Small Value + Big Value) – 1/2 (Small Growth + Big Growth)</w:t>
      </w:r>
    </w:p>
    <w:p w14:paraId="64A12367" w14:textId="77777777" w:rsidR="003C5759" w:rsidRDefault="003C5759" w:rsidP="00972E38">
      <w:pPr>
        <w:spacing w:line="480" w:lineRule="auto"/>
        <w:jc w:val="center"/>
        <w:rPr>
          <w:rFonts w:ascii="Times New Roman" w:hAnsi="Times New Roman" w:cs="Times New Roman"/>
          <w:sz w:val="22"/>
          <w:szCs w:val="22"/>
        </w:rPr>
      </w:pPr>
    </w:p>
    <w:p w14:paraId="177E34C4" w14:textId="08C5DDE9" w:rsidR="00963761" w:rsidRDefault="00F35E89" w:rsidP="002E03BF">
      <w:pPr>
        <w:spacing w:line="360" w:lineRule="auto"/>
        <w:jc w:val="both"/>
        <w:rPr>
          <w:rFonts w:ascii="Times New Roman" w:hAnsi="Times New Roman" w:cs="Times New Roman"/>
        </w:rPr>
      </w:pPr>
      <w:r>
        <w:rPr>
          <w:rFonts w:ascii="Times New Roman" w:hAnsi="Times New Roman" w:cs="Times New Roman"/>
        </w:rPr>
        <w:t xml:space="preserve">"Small" and "big" </w:t>
      </w:r>
      <w:r w:rsidR="00F95948">
        <w:rPr>
          <w:rFonts w:ascii="Times New Roman" w:hAnsi="Times New Roman" w:cs="Times New Roman"/>
        </w:rPr>
        <w:t>on</w:t>
      </w:r>
      <w:r>
        <w:rPr>
          <w:rFonts w:ascii="Times New Roman" w:hAnsi="Times New Roman" w:cs="Times New Roman"/>
        </w:rPr>
        <w:t xml:space="preserve"> the aforementioned equations</w:t>
      </w:r>
      <w:r w:rsidR="00154DB0" w:rsidRPr="00E431DB">
        <w:rPr>
          <w:rFonts w:ascii="Times New Roman" w:hAnsi="Times New Roman" w:cs="Times New Roman"/>
        </w:rPr>
        <w:t xml:space="preserve"> represents the </w:t>
      </w:r>
      <w:r w:rsidR="00F95948">
        <w:rPr>
          <w:rFonts w:ascii="Times New Roman" w:hAnsi="Times New Roman" w:cs="Times New Roman"/>
        </w:rPr>
        <w:t>market capitalizations</w:t>
      </w:r>
      <w:r w:rsidR="00154DB0" w:rsidRPr="00E431DB">
        <w:rPr>
          <w:rFonts w:ascii="Times New Roman" w:hAnsi="Times New Roman" w:cs="Times New Roman"/>
        </w:rPr>
        <w:t xml:space="preserve"> of the stocks in the portfolios. Stocks that have relatively high book-to-market ratios are considered as value stocks while</w:t>
      </w:r>
      <w:r w:rsidR="009012E3">
        <w:rPr>
          <w:rFonts w:ascii="Times New Roman" w:hAnsi="Times New Roman" w:cs="Times New Roman"/>
        </w:rPr>
        <w:t xml:space="preserve"> the</w:t>
      </w:r>
      <w:r w:rsidR="00154DB0" w:rsidRPr="00E431DB">
        <w:rPr>
          <w:rFonts w:ascii="Times New Roman" w:hAnsi="Times New Roman" w:cs="Times New Roman"/>
        </w:rPr>
        <w:t xml:space="preserve"> low book-to-market stocks represent the growth stocks</w:t>
      </w:r>
      <w:r w:rsidR="007609B0">
        <w:rPr>
          <w:rFonts w:ascii="Times New Roman" w:hAnsi="Times New Roman" w:cs="Times New Roman"/>
        </w:rPr>
        <w:t xml:space="preserve"> and</w:t>
      </w:r>
      <w:r w:rsidR="00154DB0" w:rsidRPr="00E431DB">
        <w:rPr>
          <w:rFonts w:ascii="Times New Roman" w:hAnsi="Times New Roman" w:cs="Times New Roman"/>
        </w:rPr>
        <w:t xml:space="preserve"> </w:t>
      </w:r>
      <w:r w:rsidR="007609B0">
        <w:rPr>
          <w:rFonts w:ascii="Times New Roman" w:hAnsi="Times New Roman" w:cs="Times New Roman"/>
        </w:rPr>
        <w:t>n</w:t>
      </w:r>
      <w:r w:rsidR="00E431DB" w:rsidRPr="00E431DB">
        <w:rPr>
          <w:rFonts w:ascii="Times New Roman" w:hAnsi="Times New Roman" w:cs="Times New Roman"/>
        </w:rPr>
        <w:t>eutral portfolios consist of value and growth stocks.</w:t>
      </w:r>
      <w:r w:rsidR="00906DD5">
        <w:rPr>
          <w:rFonts w:ascii="Times New Roman" w:hAnsi="Times New Roman" w:cs="Times New Roman"/>
        </w:rPr>
        <w:t xml:space="preserve"> </w:t>
      </w:r>
    </w:p>
    <w:p w14:paraId="67F93A8F" w14:textId="75A15869" w:rsidR="00F95948" w:rsidRDefault="00F35E89" w:rsidP="006E5583">
      <w:pPr>
        <w:spacing w:line="360" w:lineRule="auto"/>
        <w:ind w:firstLine="720"/>
        <w:jc w:val="both"/>
        <w:rPr>
          <w:rFonts w:ascii="Times New Roman" w:hAnsi="Times New Roman" w:cs="Times New Roman"/>
        </w:rPr>
      </w:pPr>
      <w:r>
        <w:rPr>
          <w:rFonts w:ascii="Times New Roman" w:hAnsi="Times New Roman" w:cs="Times New Roman"/>
        </w:rPr>
        <w:t>Hendricks</w:t>
      </w:r>
      <w:r w:rsidR="009E1F81">
        <w:rPr>
          <w:rFonts w:ascii="Times New Roman" w:hAnsi="Times New Roman" w:cs="Times New Roman"/>
        </w:rPr>
        <w:t>, Patel, and Zeckhauser (</w:t>
      </w:r>
      <w:r>
        <w:rPr>
          <w:rFonts w:ascii="Times New Roman" w:hAnsi="Times New Roman" w:cs="Times New Roman"/>
        </w:rPr>
        <w:t>1993</w:t>
      </w:r>
      <w:r w:rsidR="009E1F81">
        <w:rPr>
          <w:rFonts w:ascii="Times New Roman" w:hAnsi="Times New Roman" w:cs="Times New Roman"/>
        </w:rPr>
        <w:t>)</w:t>
      </w:r>
      <w:r w:rsidR="00134583" w:rsidRPr="00782AD5">
        <w:rPr>
          <w:rFonts w:ascii="Times New Roman" w:hAnsi="Times New Roman" w:cs="Times New Roman"/>
        </w:rPr>
        <w:t xml:space="preserve"> found that m</w:t>
      </w:r>
      <w:r>
        <w:rPr>
          <w:rFonts w:ascii="Times New Roman" w:hAnsi="Times New Roman" w:cs="Times New Roman"/>
        </w:rPr>
        <w:t>utual funds that performed well also</w:t>
      </w:r>
      <w:r w:rsidR="00134583" w:rsidRPr="00782AD5">
        <w:rPr>
          <w:rFonts w:ascii="Times New Roman" w:hAnsi="Times New Roman" w:cs="Times New Roman"/>
        </w:rPr>
        <w:t xml:space="preserve"> continued to perform </w:t>
      </w:r>
      <w:r>
        <w:rPr>
          <w:rFonts w:ascii="Times New Roman" w:hAnsi="Times New Roman" w:cs="Times New Roman"/>
        </w:rPr>
        <w:t>better</w:t>
      </w:r>
      <w:r w:rsidR="00134583" w:rsidRPr="00782AD5">
        <w:rPr>
          <w:rFonts w:ascii="Times New Roman" w:hAnsi="Times New Roman" w:cs="Times New Roman"/>
        </w:rPr>
        <w:t xml:space="preserve"> in the following year</w:t>
      </w:r>
      <w:r w:rsidR="008F0429">
        <w:rPr>
          <w:rFonts w:ascii="Times New Roman" w:hAnsi="Times New Roman" w:cs="Times New Roman"/>
        </w:rPr>
        <w:t>,</w:t>
      </w:r>
      <w:r w:rsidR="00134583" w:rsidRPr="00782AD5">
        <w:rPr>
          <w:rFonts w:ascii="Times New Roman" w:hAnsi="Times New Roman" w:cs="Times New Roman"/>
        </w:rPr>
        <w:t xml:space="preserve"> whereas mutual funds that performed relatively poor</w:t>
      </w:r>
      <w:r>
        <w:rPr>
          <w:rFonts w:ascii="Times New Roman" w:hAnsi="Times New Roman" w:cs="Times New Roman"/>
        </w:rPr>
        <w:t>er</w:t>
      </w:r>
      <w:r w:rsidR="00134583">
        <w:rPr>
          <w:rFonts w:ascii="Times New Roman" w:hAnsi="Times New Roman" w:cs="Times New Roman"/>
        </w:rPr>
        <w:t>,</w:t>
      </w:r>
      <w:r w:rsidR="009012E3">
        <w:rPr>
          <w:rFonts w:ascii="Times New Roman" w:hAnsi="Times New Roman" w:cs="Times New Roman"/>
        </w:rPr>
        <w:t xml:space="preserve"> </w:t>
      </w:r>
      <w:r w:rsidR="00134583" w:rsidRPr="00782AD5">
        <w:rPr>
          <w:rFonts w:ascii="Times New Roman" w:hAnsi="Times New Roman" w:cs="Times New Roman"/>
        </w:rPr>
        <w:t xml:space="preserve">continued to </w:t>
      </w:r>
      <w:r w:rsidR="00134583">
        <w:rPr>
          <w:rFonts w:ascii="Times New Roman" w:hAnsi="Times New Roman" w:cs="Times New Roman"/>
        </w:rPr>
        <w:t>perform</w:t>
      </w:r>
      <w:r>
        <w:rPr>
          <w:rFonts w:ascii="Times New Roman" w:hAnsi="Times New Roman" w:cs="Times New Roman"/>
        </w:rPr>
        <w:t xml:space="preserve"> poorly. He</w:t>
      </w:r>
      <w:r w:rsidR="009012E3">
        <w:rPr>
          <w:rFonts w:ascii="Times New Roman" w:hAnsi="Times New Roman" w:cs="Times New Roman"/>
        </w:rPr>
        <w:t xml:space="preserve"> named this phenomenon as </w:t>
      </w:r>
      <w:r>
        <w:rPr>
          <w:rFonts w:ascii="Times New Roman" w:hAnsi="Times New Roman" w:cs="Times New Roman"/>
        </w:rPr>
        <w:t>‘</w:t>
      </w:r>
      <w:r w:rsidR="009012E3" w:rsidRPr="005353F3">
        <w:rPr>
          <w:rFonts w:ascii="Times New Roman" w:hAnsi="Times New Roman" w:cs="Times New Roman"/>
          <w:i/>
        </w:rPr>
        <w:t>hot hands</w:t>
      </w:r>
      <w:r w:rsidRPr="005353F3">
        <w:rPr>
          <w:rFonts w:ascii="Times New Roman" w:hAnsi="Times New Roman" w:cs="Times New Roman"/>
          <w:i/>
        </w:rPr>
        <w:t>’</w:t>
      </w:r>
      <w:r w:rsidR="00134583" w:rsidRPr="00782AD5">
        <w:rPr>
          <w:rFonts w:ascii="Times New Roman" w:hAnsi="Times New Roman" w:cs="Times New Roman"/>
        </w:rPr>
        <w:t xml:space="preserve">. </w:t>
      </w:r>
      <w:r w:rsidR="008F0429">
        <w:rPr>
          <w:rFonts w:ascii="Times New Roman" w:hAnsi="Times New Roman" w:cs="Times New Roman"/>
        </w:rPr>
        <w:t xml:space="preserve">Later, </w:t>
      </w:r>
      <w:r w:rsidR="00134583" w:rsidRPr="00782AD5">
        <w:rPr>
          <w:rFonts w:ascii="Times New Roman" w:hAnsi="Times New Roman" w:cs="Times New Roman"/>
        </w:rPr>
        <w:t>Carhart</w:t>
      </w:r>
      <w:r w:rsidR="00134583">
        <w:rPr>
          <w:rFonts w:ascii="Times New Roman" w:hAnsi="Times New Roman" w:cs="Times New Roman"/>
        </w:rPr>
        <w:t xml:space="preserve"> (1997)</w:t>
      </w:r>
      <w:r w:rsidR="009012E3">
        <w:rPr>
          <w:rFonts w:ascii="Times New Roman" w:hAnsi="Times New Roman" w:cs="Times New Roman"/>
        </w:rPr>
        <w:t xml:space="preserve"> </w:t>
      </w:r>
      <w:r w:rsidR="00145CA6">
        <w:rPr>
          <w:rFonts w:ascii="Times New Roman" w:hAnsi="Times New Roman" w:cs="Times New Roman"/>
        </w:rPr>
        <w:t xml:space="preserve">linked </w:t>
      </w:r>
      <w:r w:rsidR="00CE001F">
        <w:rPr>
          <w:rFonts w:ascii="Times New Roman" w:hAnsi="Times New Roman" w:cs="Times New Roman"/>
        </w:rPr>
        <w:t>this</w:t>
      </w:r>
      <w:r w:rsidR="00134583">
        <w:rPr>
          <w:rFonts w:ascii="Times New Roman" w:hAnsi="Times New Roman" w:cs="Times New Roman"/>
        </w:rPr>
        <w:t xml:space="preserve"> </w:t>
      </w:r>
      <w:r w:rsidR="008F0429">
        <w:rPr>
          <w:rFonts w:ascii="Times New Roman" w:hAnsi="Times New Roman" w:cs="Times New Roman"/>
        </w:rPr>
        <w:t>phenomenon</w:t>
      </w:r>
      <w:r w:rsidR="00134583">
        <w:rPr>
          <w:rFonts w:ascii="Times New Roman" w:hAnsi="Times New Roman" w:cs="Times New Roman"/>
        </w:rPr>
        <w:t xml:space="preserve"> to Jegadeesh and Titman</w:t>
      </w:r>
      <w:r w:rsidR="00145CA6">
        <w:rPr>
          <w:rFonts w:ascii="Times New Roman" w:hAnsi="Times New Roman" w:cs="Times New Roman"/>
        </w:rPr>
        <w:t>’s (1993) price momentum effect.</w:t>
      </w:r>
      <w:r w:rsidR="00134583">
        <w:rPr>
          <w:rFonts w:ascii="Times New Roman" w:hAnsi="Times New Roman" w:cs="Times New Roman"/>
        </w:rPr>
        <w:t xml:space="preserve"> </w:t>
      </w:r>
      <w:r w:rsidR="00A261BE">
        <w:rPr>
          <w:rFonts w:ascii="Times New Roman" w:hAnsi="Times New Roman" w:cs="Times New Roman"/>
        </w:rPr>
        <w:t xml:space="preserve">According </w:t>
      </w:r>
      <w:r w:rsidR="002D2BB6">
        <w:rPr>
          <w:rFonts w:ascii="Times New Roman" w:hAnsi="Times New Roman" w:cs="Times New Roman"/>
        </w:rPr>
        <w:t>to Jegadeesh and Titman (1993)</w:t>
      </w:r>
      <w:r w:rsidR="00A261BE">
        <w:rPr>
          <w:rFonts w:ascii="Times New Roman" w:hAnsi="Times New Roman" w:cs="Times New Roman"/>
        </w:rPr>
        <w:t>,</w:t>
      </w:r>
      <w:r w:rsidR="002D2BB6">
        <w:rPr>
          <w:rFonts w:ascii="Times New Roman" w:hAnsi="Times New Roman" w:cs="Times New Roman"/>
        </w:rPr>
        <w:t xml:space="preserve"> stocks that performed well </w:t>
      </w:r>
      <w:r w:rsidR="009012E3">
        <w:rPr>
          <w:rFonts w:ascii="Times New Roman" w:hAnsi="Times New Roman" w:cs="Times New Roman"/>
        </w:rPr>
        <w:t>in the</w:t>
      </w:r>
      <w:r w:rsidR="00A261BE">
        <w:rPr>
          <w:rFonts w:ascii="Times New Roman" w:hAnsi="Times New Roman" w:cs="Times New Roman"/>
        </w:rPr>
        <w:t xml:space="preserve"> past 3 to 12 months</w:t>
      </w:r>
      <w:r w:rsidR="002D2BB6">
        <w:rPr>
          <w:rFonts w:ascii="Times New Roman" w:hAnsi="Times New Roman" w:cs="Times New Roman"/>
        </w:rPr>
        <w:t xml:space="preserve"> continue</w:t>
      </w:r>
      <w:r w:rsidR="009012E3">
        <w:rPr>
          <w:rFonts w:ascii="Times New Roman" w:hAnsi="Times New Roman" w:cs="Times New Roman"/>
        </w:rPr>
        <w:t>d</w:t>
      </w:r>
      <w:r w:rsidR="002D2BB6">
        <w:rPr>
          <w:rFonts w:ascii="Times New Roman" w:hAnsi="Times New Roman" w:cs="Times New Roman"/>
        </w:rPr>
        <w:t xml:space="preserve"> to perform relatively </w:t>
      </w:r>
      <w:r w:rsidR="008F0429">
        <w:rPr>
          <w:rFonts w:ascii="Times New Roman" w:hAnsi="Times New Roman" w:cs="Times New Roman"/>
        </w:rPr>
        <w:t>well</w:t>
      </w:r>
      <w:r w:rsidR="002D2BB6">
        <w:rPr>
          <w:rFonts w:ascii="Times New Roman" w:hAnsi="Times New Roman" w:cs="Times New Roman"/>
        </w:rPr>
        <w:t xml:space="preserve"> </w:t>
      </w:r>
      <w:r w:rsidR="009012E3">
        <w:rPr>
          <w:rFonts w:ascii="Times New Roman" w:hAnsi="Times New Roman" w:cs="Times New Roman"/>
        </w:rPr>
        <w:t>in the</w:t>
      </w:r>
      <w:r w:rsidR="002D2BB6">
        <w:rPr>
          <w:rFonts w:ascii="Times New Roman" w:hAnsi="Times New Roman" w:cs="Times New Roman"/>
        </w:rPr>
        <w:t xml:space="preserve"> following 3 to 12 months</w:t>
      </w:r>
      <w:r w:rsidR="008F0429">
        <w:rPr>
          <w:rFonts w:ascii="Times New Roman" w:hAnsi="Times New Roman" w:cs="Times New Roman"/>
        </w:rPr>
        <w:t>.</w:t>
      </w:r>
      <w:r w:rsidR="009012E3">
        <w:rPr>
          <w:rFonts w:ascii="Times New Roman" w:hAnsi="Times New Roman" w:cs="Times New Roman"/>
        </w:rPr>
        <w:t xml:space="preserve"> </w:t>
      </w:r>
      <w:r w:rsidR="00A261BE">
        <w:rPr>
          <w:rFonts w:ascii="Times New Roman" w:hAnsi="Times New Roman" w:cs="Times New Roman"/>
        </w:rPr>
        <w:t>Hot hands</w:t>
      </w:r>
      <w:r w:rsidR="009012E3">
        <w:rPr>
          <w:rFonts w:ascii="Times New Roman" w:hAnsi="Times New Roman" w:cs="Times New Roman"/>
        </w:rPr>
        <w:t xml:space="preserve"> were </w:t>
      </w:r>
      <w:r w:rsidR="008F0429">
        <w:rPr>
          <w:rFonts w:ascii="Times New Roman" w:hAnsi="Times New Roman" w:cs="Times New Roman"/>
        </w:rPr>
        <w:t xml:space="preserve">also </w:t>
      </w:r>
      <w:r w:rsidR="009012E3">
        <w:rPr>
          <w:rFonts w:ascii="Times New Roman" w:hAnsi="Times New Roman" w:cs="Times New Roman"/>
        </w:rPr>
        <w:t>observed for the stocks that performed poorly.</w:t>
      </w:r>
      <w:r w:rsidR="00CE001F">
        <w:rPr>
          <w:rFonts w:ascii="Times New Roman" w:hAnsi="Times New Roman" w:cs="Times New Roman"/>
        </w:rPr>
        <w:t xml:space="preserve"> </w:t>
      </w:r>
    </w:p>
    <w:p w14:paraId="5FBB0EE1" w14:textId="55DCE527" w:rsidR="00906DD5" w:rsidRDefault="00F35E89" w:rsidP="006E5583">
      <w:pPr>
        <w:spacing w:line="360" w:lineRule="auto"/>
        <w:ind w:firstLine="720"/>
        <w:jc w:val="both"/>
        <w:rPr>
          <w:rFonts w:ascii="Times New Roman" w:hAnsi="Times New Roman" w:cs="Times New Roman"/>
        </w:rPr>
      </w:pPr>
      <w:r>
        <w:rPr>
          <w:rFonts w:ascii="Times New Roman" w:hAnsi="Times New Roman" w:cs="Times New Roman"/>
        </w:rPr>
        <w:t>Since equity mutual funds are holding stocks that are affected by the momentum funds</w:t>
      </w:r>
      <w:r w:rsidR="00A261BE">
        <w:rPr>
          <w:rFonts w:ascii="Times New Roman" w:hAnsi="Times New Roman" w:cs="Times New Roman"/>
        </w:rPr>
        <w:t>, they</w:t>
      </w:r>
      <w:r>
        <w:rPr>
          <w:rFonts w:ascii="Times New Roman" w:hAnsi="Times New Roman" w:cs="Times New Roman"/>
        </w:rPr>
        <w:t xml:space="preserve"> </w:t>
      </w:r>
      <w:r w:rsidR="00A261BE">
        <w:rPr>
          <w:rFonts w:ascii="Times New Roman" w:hAnsi="Times New Roman" w:cs="Times New Roman"/>
        </w:rPr>
        <w:t xml:space="preserve">are also </w:t>
      </w:r>
      <w:r>
        <w:rPr>
          <w:rFonts w:ascii="Times New Roman" w:hAnsi="Times New Roman" w:cs="Times New Roman"/>
        </w:rPr>
        <w:t>likely</w:t>
      </w:r>
      <w:r w:rsidR="00A261BE">
        <w:rPr>
          <w:rFonts w:ascii="Times New Roman" w:hAnsi="Times New Roman" w:cs="Times New Roman"/>
        </w:rPr>
        <w:t xml:space="preserve"> to be</w:t>
      </w:r>
      <w:r>
        <w:rPr>
          <w:rFonts w:ascii="Times New Roman" w:hAnsi="Times New Roman" w:cs="Times New Roman"/>
        </w:rPr>
        <w:t xml:space="preserve"> affected by th</w:t>
      </w:r>
      <w:r w:rsidR="009012E3">
        <w:rPr>
          <w:rFonts w:ascii="Times New Roman" w:hAnsi="Times New Roman" w:cs="Times New Roman"/>
        </w:rPr>
        <w:t>is</w:t>
      </w:r>
      <w:r>
        <w:rPr>
          <w:rFonts w:ascii="Times New Roman" w:hAnsi="Times New Roman" w:cs="Times New Roman"/>
        </w:rPr>
        <w:t xml:space="preserve"> phenomenon</w:t>
      </w:r>
      <w:r w:rsidR="002D2BB6">
        <w:rPr>
          <w:rFonts w:ascii="Times New Roman" w:hAnsi="Times New Roman" w:cs="Times New Roman"/>
        </w:rPr>
        <w:t>.</w:t>
      </w:r>
      <w:r w:rsidR="00A261BE">
        <w:rPr>
          <w:rFonts w:ascii="Times New Roman" w:hAnsi="Times New Roman" w:cs="Times New Roman"/>
        </w:rPr>
        <w:t xml:space="preserve"> According to Jagadeesh and Titman (1993), there are t</w:t>
      </w:r>
      <w:r w:rsidR="001A38C8">
        <w:rPr>
          <w:rFonts w:ascii="Times New Roman" w:hAnsi="Times New Roman" w:cs="Times New Roman"/>
        </w:rPr>
        <w:t>wo possible explanations of the momentum effect</w:t>
      </w:r>
      <w:r w:rsidR="00A261BE">
        <w:rPr>
          <w:rFonts w:ascii="Times New Roman" w:hAnsi="Times New Roman" w:cs="Times New Roman"/>
        </w:rPr>
        <w:t>. These could</w:t>
      </w:r>
      <w:r w:rsidR="001A38C8">
        <w:rPr>
          <w:rFonts w:ascii="Times New Roman" w:hAnsi="Times New Roman" w:cs="Times New Roman"/>
        </w:rPr>
        <w:t xml:space="preserve"> </w:t>
      </w:r>
      <w:r w:rsidR="00A261BE">
        <w:rPr>
          <w:rFonts w:ascii="Times New Roman" w:hAnsi="Times New Roman" w:cs="Times New Roman"/>
        </w:rPr>
        <w:t>be summarized as</w:t>
      </w:r>
      <w:r w:rsidR="001A38C8">
        <w:rPr>
          <w:rFonts w:ascii="Times New Roman" w:hAnsi="Times New Roman" w:cs="Times New Roman"/>
        </w:rPr>
        <w:t xml:space="preserve"> the underreaction and the overreaction of investors to </w:t>
      </w:r>
      <w:r w:rsidR="00A261BE">
        <w:rPr>
          <w:rFonts w:ascii="Times New Roman" w:hAnsi="Times New Roman" w:cs="Times New Roman"/>
        </w:rPr>
        <w:t xml:space="preserve">the </w:t>
      </w:r>
      <w:r w:rsidR="001A38C8">
        <w:rPr>
          <w:rFonts w:ascii="Times New Roman" w:hAnsi="Times New Roman" w:cs="Times New Roman"/>
        </w:rPr>
        <w:t>newly released information</w:t>
      </w:r>
      <w:r>
        <w:rPr>
          <w:rFonts w:ascii="Times New Roman" w:hAnsi="Times New Roman" w:cs="Times New Roman"/>
        </w:rPr>
        <w:t>.</w:t>
      </w:r>
      <w:r w:rsidR="002D2BB6">
        <w:rPr>
          <w:rFonts w:ascii="Times New Roman" w:hAnsi="Times New Roman" w:cs="Times New Roman"/>
        </w:rPr>
        <w:t xml:space="preserve"> </w:t>
      </w:r>
      <w:r w:rsidR="009012E3">
        <w:rPr>
          <w:rFonts w:ascii="Times New Roman" w:hAnsi="Times New Roman" w:cs="Times New Roman"/>
        </w:rPr>
        <w:t>Later</w:t>
      </w:r>
      <w:r w:rsidR="00145CA6">
        <w:rPr>
          <w:rFonts w:ascii="Times New Roman" w:hAnsi="Times New Roman" w:cs="Times New Roman"/>
        </w:rPr>
        <w:t xml:space="preserve">, </w:t>
      </w:r>
      <w:r w:rsidR="00F2516E">
        <w:rPr>
          <w:rFonts w:ascii="Times New Roman" w:hAnsi="Times New Roman" w:cs="Times New Roman"/>
        </w:rPr>
        <w:t>Carhart</w:t>
      </w:r>
      <w:r w:rsidR="00785933">
        <w:rPr>
          <w:rFonts w:ascii="Times New Roman" w:hAnsi="Times New Roman" w:cs="Times New Roman"/>
        </w:rPr>
        <w:t xml:space="preserve"> (1997)</w:t>
      </w:r>
      <w:r w:rsidR="00F2516E">
        <w:rPr>
          <w:rFonts w:ascii="Times New Roman" w:hAnsi="Times New Roman" w:cs="Times New Roman"/>
        </w:rPr>
        <w:t xml:space="preserve"> expanded </w:t>
      </w:r>
      <w:r w:rsidR="00785933">
        <w:rPr>
          <w:rFonts w:ascii="Times New Roman" w:hAnsi="Times New Roman" w:cs="Times New Roman"/>
        </w:rPr>
        <w:t xml:space="preserve">the </w:t>
      </w:r>
      <w:r w:rsidR="00F2516E">
        <w:rPr>
          <w:rFonts w:ascii="Times New Roman" w:hAnsi="Times New Roman" w:cs="Times New Roman"/>
        </w:rPr>
        <w:t xml:space="preserve">Fama and French three-factor model by introducing an additional variable to </w:t>
      </w:r>
      <w:r w:rsidR="00145CA6">
        <w:rPr>
          <w:rFonts w:ascii="Times New Roman" w:hAnsi="Times New Roman" w:cs="Times New Roman"/>
        </w:rPr>
        <w:t>account for this</w:t>
      </w:r>
      <w:r w:rsidR="00F2516E">
        <w:rPr>
          <w:rFonts w:ascii="Times New Roman" w:hAnsi="Times New Roman" w:cs="Times New Roman"/>
        </w:rPr>
        <w:t xml:space="preserve"> one-year momentum effect:  </w:t>
      </w:r>
    </w:p>
    <w:p w14:paraId="2CFC0E88" w14:textId="77777777" w:rsidR="00D03379" w:rsidRDefault="00D03379" w:rsidP="006E5583">
      <w:pPr>
        <w:spacing w:line="360" w:lineRule="auto"/>
        <w:ind w:firstLine="720"/>
        <w:jc w:val="both"/>
        <w:rPr>
          <w:rFonts w:ascii="Times New Roman" w:hAnsi="Times New Roman" w:cs="Times New Roman"/>
        </w:rPr>
      </w:pPr>
    </w:p>
    <w:p w14:paraId="2636B91D" w14:textId="342EF24C" w:rsidR="0041365C" w:rsidRDefault="00F35E89" w:rsidP="0041365C">
      <w:pPr>
        <w:spacing w:line="360" w:lineRule="auto"/>
        <w:jc w:val="both"/>
        <w:rPr>
          <w:rFonts w:ascii="Times New Roman" w:hAnsi="Times New Roman" w:cs="Times New Roman"/>
          <w:color w:val="000000"/>
        </w:rPr>
      </w:pPr>
      <w:r>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ft</m:t>
            </m:r>
          </m:sub>
        </m:sSub>
        <m:r>
          <w:rPr>
            <w:rFonts w:ascii="Cambria Math" w:hAnsi="Cambria Math" w:cs="Times New Roman"/>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α</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e>
          <m:sub>
            <m:r>
              <w:rPr>
                <w:rFonts w:ascii="Cambria Math" w:eastAsia="Times New Roman" w:hAnsi="Cambria Math" w:cs="Times New Roman"/>
                <w:color w:val="000000"/>
              </w:rPr>
              <m:t>it</m:t>
            </m:r>
          </m:sub>
        </m:sSub>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RMRF</m:t>
                </m:r>
              </m:e>
              <m:sub>
                <m:r>
                  <w:rPr>
                    <w:rFonts w:ascii="Cambria Math" w:eastAsia="Times New Roman" w:hAnsi="Cambria Math" w:cs="Times New Roman"/>
                    <w:color w:val="000000"/>
                  </w:rPr>
                  <m:t>t</m:t>
                </m:r>
              </m:sub>
            </m:sSub>
          </m:e>
        </m:d>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s</m:t>
            </m:r>
          </m:e>
          <m:sub>
            <m:r>
              <w:rPr>
                <w:rFonts w:ascii="Cambria Math" w:eastAsia="Times New Roman" w:hAnsi="Cambria Math" w:cs="Times New Roman"/>
                <w:color w:val="000000"/>
              </w:rPr>
              <m:t>it</m:t>
            </m:r>
          </m:sub>
        </m:sSub>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SMB</m:t>
                </m:r>
              </m:e>
              <m:sub>
                <m:r>
                  <w:rPr>
                    <w:rFonts w:ascii="Cambria Math" w:eastAsia="Times New Roman" w:hAnsi="Cambria Math" w:cs="Times New Roman"/>
                    <w:color w:val="000000"/>
                  </w:rPr>
                  <m:t>t</m:t>
                </m:r>
              </m:sub>
            </m:sSub>
          </m:e>
        </m:d>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h</m:t>
            </m:r>
          </m:e>
          <m:sub>
            <m:r>
              <w:rPr>
                <w:rFonts w:ascii="Cambria Math" w:eastAsia="Times New Roman" w:hAnsi="Cambria Math" w:cs="Times New Roman"/>
                <w:color w:val="000000"/>
              </w:rPr>
              <m:t>it</m:t>
            </m:r>
          </m:sub>
        </m:sSub>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HML</m:t>
                </m:r>
              </m:e>
              <m:sub>
                <m:r>
                  <w:rPr>
                    <w:rFonts w:ascii="Cambria Math" w:eastAsia="Times New Roman" w:hAnsi="Cambria Math" w:cs="Times New Roman"/>
                    <w:color w:val="000000"/>
                  </w:rPr>
                  <m:t>t</m:t>
                </m:r>
              </m:sub>
            </m:sSub>
          </m:e>
        </m:d>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it</m:t>
            </m:r>
          </m:sub>
        </m:sSub>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MOM</m:t>
                </m:r>
              </m:e>
              <m:sub>
                <m:r>
                  <w:rPr>
                    <w:rFonts w:ascii="Cambria Math" w:eastAsia="Times New Roman" w:hAnsi="Cambria Math" w:cs="Times New Roman"/>
                    <w:color w:val="000000"/>
                  </w:rPr>
                  <m:t>t</m:t>
                </m:r>
              </m:sub>
            </m:sSub>
          </m:e>
        </m:d>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ε</m:t>
            </m:r>
          </m:e>
          <m:sub>
            <m:r>
              <w:rPr>
                <w:rFonts w:ascii="Cambria Math" w:eastAsia="Times New Roman" w:hAnsi="Cambria Math" w:cs="Times New Roman"/>
                <w:color w:val="000000"/>
              </w:rPr>
              <m:t>t</m:t>
            </m:r>
          </m:sub>
        </m:sSub>
      </m:oMath>
      <w:r>
        <w:rPr>
          <w:rFonts w:ascii="Times New Roman" w:hAnsi="Times New Roman" w:cs="Times New Roman"/>
          <w:color w:val="000000"/>
        </w:rPr>
        <w:t xml:space="preserve">  </w:t>
      </w:r>
      <w:r w:rsidR="00D03379">
        <w:rPr>
          <w:rFonts w:ascii="Times New Roman" w:hAnsi="Times New Roman" w:cs="Times New Roman"/>
          <w:color w:val="000000"/>
        </w:rPr>
        <w:t xml:space="preserve"> </w:t>
      </w:r>
      <w:r>
        <w:rPr>
          <w:rFonts w:ascii="Times New Roman" w:hAnsi="Times New Roman" w:cs="Times New Roman"/>
          <w:color w:val="000000"/>
        </w:rPr>
        <w:t>(3)</w:t>
      </w:r>
    </w:p>
    <w:p w14:paraId="243447B3" w14:textId="77777777" w:rsidR="00D03379" w:rsidRDefault="00D03379" w:rsidP="0041365C">
      <w:pPr>
        <w:spacing w:line="360" w:lineRule="auto"/>
        <w:jc w:val="both"/>
        <w:rPr>
          <w:rFonts w:ascii="Times New Roman" w:hAnsi="Times New Roman" w:cs="Times New Roman"/>
        </w:rPr>
      </w:pPr>
    </w:p>
    <w:p w14:paraId="6A30C592" w14:textId="6DBA4F13" w:rsidR="00DF62C8" w:rsidRDefault="00F35E89" w:rsidP="002D2BB6">
      <w:pPr>
        <w:spacing w:line="360" w:lineRule="auto"/>
        <w:jc w:val="both"/>
        <w:rPr>
          <w:rFonts w:ascii="Times New Roman" w:hAnsi="Times New Roman" w:cs="Times New Roman"/>
        </w:rPr>
      </w:pPr>
      <w:r>
        <w:rPr>
          <w:rFonts w:ascii="Times New Roman" w:hAnsi="Times New Roman" w:cs="Times New Roman"/>
        </w:rPr>
        <w:t xml:space="preserve">Where </w:t>
      </w:r>
      <w:r w:rsidR="00A261BE">
        <w:rPr>
          <w:rFonts w:ascii="Times New Roman" w:hAnsi="Times New Roman" w:cs="Times New Roman"/>
        </w:rPr>
        <w:t>(</w:t>
      </w:r>
      <w:r w:rsidR="000E3FF3">
        <w:rPr>
          <w:rFonts w:ascii="Times New Roman" w:hAnsi="Times New Roman" w:cs="Times New Roman"/>
        </w:rPr>
        <w:t>MOM</w:t>
      </w:r>
      <w:r w:rsidR="00A261BE">
        <w:rPr>
          <w:rFonts w:ascii="Times New Roman" w:hAnsi="Times New Roman" w:cs="Times New Roman"/>
        </w:rPr>
        <w:t>)</w:t>
      </w:r>
      <w:r>
        <w:rPr>
          <w:rFonts w:ascii="Times New Roman" w:hAnsi="Times New Roman" w:cs="Times New Roman"/>
        </w:rPr>
        <w:t xml:space="preserve"> is constructed by taking the difference of firms with 30 percent highest returns and 30 percent lowest returns on prior eleven months.</w:t>
      </w:r>
    </w:p>
    <w:p w14:paraId="5AF9CEA2" w14:textId="0B4641A9" w:rsidR="00031359" w:rsidRDefault="00F35E89" w:rsidP="002D2BB6">
      <w:pPr>
        <w:spacing w:line="360" w:lineRule="auto"/>
        <w:jc w:val="both"/>
        <w:rPr>
          <w:rFonts w:ascii="Times New Roman" w:hAnsi="Times New Roman" w:cs="Times New Roman"/>
        </w:rPr>
      </w:pPr>
      <w:r>
        <w:rPr>
          <w:rFonts w:ascii="Times New Roman" w:hAnsi="Times New Roman" w:cs="Times New Roman"/>
        </w:rPr>
        <w:tab/>
        <w:t xml:space="preserve">Moreover, the performance evaluation </w:t>
      </w:r>
      <w:r w:rsidR="00A261BE">
        <w:rPr>
          <w:rFonts w:ascii="Times New Roman" w:hAnsi="Times New Roman" w:cs="Times New Roman"/>
        </w:rPr>
        <w:t xml:space="preserve">of </w:t>
      </w:r>
      <w:r>
        <w:rPr>
          <w:rFonts w:ascii="Times New Roman" w:hAnsi="Times New Roman" w:cs="Times New Roman"/>
        </w:rPr>
        <w:t>the Europe</w:t>
      </w:r>
      <w:r w:rsidR="006E37AC">
        <w:rPr>
          <w:rFonts w:ascii="Times New Roman" w:hAnsi="Times New Roman" w:cs="Times New Roman"/>
        </w:rPr>
        <w:t>a</w:t>
      </w:r>
      <w:r>
        <w:rPr>
          <w:rFonts w:ascii="Times New Roman" w:hAnsi="Times New Roman" w:cs="Times New Roman"/>
        </w:rPr>
        <w:t xml:space="preserve">n mutual funds </w:t>
      </w:r>
      <w:r w:rsidR="00A261BE">
        <w:rPr>
          <w:rFonts w:ascii="Times New Roman" w:hAnsi="Times New Roman" w:cs="Times New Roman"/>
        </w:rPr>
        <w:t xml:space="preserve">between the years of 1991 and 1998 </w:t>
      </w:r>
      <w:r>
        <w:rPr>
          <w:rFonts w:ascii="Times New Roman" w:hAnsi="Times New Roman" w:cs="Times New Roman"/>
        </w:rPr>
        <w:t xml:space="preserve">was </w:t>
      </w:r>
      <w:r w:rsidR="00A261BE">
        <w:rPr>
          <w:rFonts w:ascii="Times New Roman" w:hAnsi="Times New Roman" w:cs="Times New Roman"/>
        </w:rPr>
        <w:t>performed</w:t>
      </w:r>
      <w:r>
        <w:rPr>
          <w:rFonts w:ascii="Times New Roman" w:hAnsi="Times New Roman" w:cs="Times New Roman"/>
        </w:rPr>
        <w:t xml:space="preserve"> by Otten and Bams </w:t>
      </w:r>
      <w:r w:rsidR="00A261BE">
        <w:rPr>
          <w:rFonts w:ascii="Times New Roman" w:hAnsi="Times New Roman" w:cs="Times New Roman"/>
        </w:rPr>
        <w:t xml:space="preserve">in </w:t>
      </w:r>
      <w:r>
        <w:rPr>
          <w:rFonts w:ascii="Times New Roman" w:hAnsi="Times New Roman" w:cs="Times New Roman"/>
        </w:rPr>
        <w:t xml:space="preserve">2002. </w:t>
      </w:r>
      <w:r w:rsidR="00044E88">
        <w:rPr>
          <w:rFonts w:ascii="Times New Roman" w:hAnsi="Times New Roman" w:cs="Times New Roman"/>
        </w:rPr>
        <w:t>Their s</w:t>
      </w:r>
      <w:r w:rsidR="006E37AC">
        <w:rPr>
          <w:rFonts w:ascii="Times New Roman" w:hAnsi="Times New Roman" w:cs="Times New Roman"/>
        </w:rPr>
        <w:t>ample</w:t>
      </w:r>
      <w:r w:rsidR="00A261BE">
        <w:rPr>
          <w:rFonts w:ascii="Times New Roman" w:hAnsi="Times New Roman" w:cs="Times New Roman"/>
        </w:rPr>
        <w:t xml:space="preserve"> size</w:t>
      </w:r>
      <w:r w:rsidR="006E37AC">
        <w:rPr>
          <w:rFonts w:ascii="Times New Roman" w:hAnsi="Times New Roman" w:cs="Times New Roman"/>
        </w:rPr>
        <w:t xml:space="preserve"> consist</w:t>
      </w:r>
      <w:r w:rsidR="00A261BE">
        <w:rPr>
          <w:rFonts w:ascii="Times New Roman" w:hAnsi="Times New Roman" w:cs="Times New Roman"/>
        </w:rPr>
        <w:t>ed</w:t>
      </w:r>
      <w:r w:rsidR="006E37AC">
        <w:rPr>
          <w:rFonts w:ascii="Times New Roman" w:hAnsi="Times New Roman" w:cs="Times New Roman"/>
        </w:rPr>
        <w:t xml:space="preserve"> of </w:t>
      </w:r>
      <w:r w:rsidR="006E37AC">
        <w:rPr>
          <w:rFonts w:ascii="Times New Roman" w:hAnsi="Times New Roman" w:cs="Times New Roman"/>
        </w:rPr>
        <w:lastRenderedPageBreak/>
        <w:t xml:space="preserve">506 open-ended domestic equity mutual funds from France, Germany, Italy, the Netherlands, and the UK. </w:t>
      </w:r>
      <w:r w:rsidR="00A261BE">
        <w:rPr>
          <w:rFonts w:ascii="Times New Roman" w:hAnsi="Times New Roman" w:cs="Times New Roman"/>
        </w:rPr>
        <w:t>They showed that</w:t>
      </w:r>
      <w:r w:rsidR="006E37AC">
        <w:rPr>
          <w:rFonts w:ascii="Times New Roman" w:hAnsi="Times New Roman" w:cs="Times New Roman"/>
        </w:rPr>
        <w:t xml:space="preserve"> on average</w:t>
      </w:r>
      <w:r w:rsidR="00A261BE">
        <w:rPr>
          <w:rFonts w:ascii="Times New Roman" w:hAnsi="Times New Roman" w:cs="Times New Roman"/>
        </w:rPr>
        <w:t>,</w:t>
      </w:r>
      <w:r w:rsidR="006E37AC">
        <w:rPr>
          <w:rFonts w:ascii="Times New Roman" w:hAnsi="Times New Roman" w:cs="Times New Roman"/>
        </w:rPr>
        <w:t xml:space="preserve"> the mutual funds in four of the five countries were able to </w:t>
      </w:r>
      <w:r w:rsidR="0087548A">
        <w:rPr>
          <w:rFonts w:ascii="Times New Roman" w:hAnsi="Times New Roman" w:cs="Times New Roman"/>
        </w:rPr>
        <w:t>show</w:t>
      </w:r>
      <w:r w:rsidR="006E37AC">
        <w:rPr>
          <w:rFonts w:ascii="Times New Roman" w:hAnsi="Times New Roman" w:cs="Times New Roman"/>
        </w:rPr>
        <w:t xml:space="preserve"> </w:t>
      </w:r>
      <w:r w:rsidR="0087548A">
        <w:rPr>
          <w:rFonts w:ascii="Times New Roman" w:hAnsi="Times New Roman" w:cs="Times New Roman"/>
        </w:rPr>
        <w:t xml:space="preserve">a positive performance </w:t>
      </w:r>
      <w:r w:rsidR="00A261BE">
        <w:rPr>
          <w:rFonts w:ascii="Times New Roman" w:hAnsi="Times New Roman" w:cs="Times New Roman"/>
        </w:rPr>
        <w:t xml:space="preserve">when </w:t>
      </w:r>
      <w:r w:rsidR="0087548A">
        <w:rPr>
          <w:rFonts w:ascii="Times New Roman" w:hAnsi="Times New Roman" w:cs="Times New Roman"/>
        </w:rPr>
        <w:t>compared to their benchmarks. However, only the results in the UK were significant.</w:t>
      </w:r>
    </w:p>
    <w:p w14:paraId="3B453AC8" w14:textId="77777777" w:rsidR="00901642" w:rsidRDefault="00901642" w:rsidP="002D2BB6">
      <w:pPr>
        <w:spacing w:line="360" w:lineRule="auto"/>
        <w:jc w:val="both"/>
        <w:rPr>
          <w:rFonts w:ascii="Times New Roman" w:hAnsi="Times New Roman" w:cs="Times New Roman"/>
        </w:rPr>
      </w:pPr>
    </w:p>
    <w:p w14:paraId="6FB6A44A" w14:textId="4DF45FA0" w:rsidR="00154DB0" w:rsidRPr="00154DB0" w:rsidRDefault="00F35E89" w:rsidP="00154DB0">
      <w:pPr>
        <w:pStyle w:val="Heading2"/>
        <w:rPr>
          <w:rFonts w:ascii="Times New Roman" w:hAnsi="Times New Roman" w:cs="Times New Roman"/>
          <w:b/>
          <w:bCs/>
        </w:rPr>
      </w:pPr>
      <w:bookmarkStart w:id="7" w:name="_Toc15419037"/>
      <w:r w:rsidRPr="00154DB0">
        <w:rPr>
          <w:rFonts w:ascii="Times New Roman" w:hAnsi="Times New Roman" w:cs="Times New Roman"/>
          <w:b/>
          <w:bCs/>
        </w:rPr>
        <w:t>2.2 Value and Growth Stocks</w:t>
      </w:r>
      <w:bookmarkEnd w:id="7"/>
    </w:p>
    <w:p w14:paraId="7A6676D1" w14:textId="060DCB92" w:rsidR="0019214F" w:rsidRDefault="0019214F" w:rsidP="00810507">
      <w:pPr>
        <w:pStyle w:val="Heading2"/>
        <w:spacing w:line="360" w:lineRule="auto"/>
        <w:rPr>
          <w:rFonts w:ascii="Times New Roman" w:hAnsi="Times New Roman" w:cs="Times New Roman"/>
          <w:b/>
          <w:bCs/>
        </w:rPr>
      </w:pPr>
    </w:p>
    <w:p w14:paraId="332EEB75" w14:textId="3EB1FF32" w:rsidR="009D09DA" w:rsidRPr="00D34F2C" w:rsidRDefault="00F35E89" w:rsidP="00F743E0">
      <w:pPr>
        <w:spacing w:line="360" w:lineRule="auto"/>
        <w:ind w:firstLine="720"/>
        <w:jc w:val="both"/>
        <w:rPr>
          <w:rFonts w:ascii="Times New Roman" w:hAnsi="Times New Roman"/>
        </w:rPr>
      </w:pPr>
      <w:r>
        <w:rPr>
          <w:rFonts w:ascii="Times New Roman" w:hAnsi="Times New Roman"/>
        </w:rPr>
        <w:t>Lakonishok, Shleifer and Vishny</w:t>
      </w:r>
      <w:r w:rsidR="00CE001F">
        <w:rPr>
          <w:rFonts w:ascii="Times New Roman" w:hAnsi="Times New Roman"/>
        </w:rPr>
        <w:t xml:space="preserve"> </w:t>
      </w:r>
      <w:r>
        <w:rPr>
          <w:rFonts w:ascii="Times New Roman" w:hAnsi="Times New Roman"/>
        </w:rPr>
        <w:t xml:space="preserve">(1994) define value stocks as </w:t>
      </w:r>
      <w:r w:rsidR="005A18A3">
        <w:rPr>
          <w:rFonts w:ascii="Times New Roman" w:hAnsi="Times New Roman"/>
        </w:rPr>
        <w:t>stocks with relatively low price to earnings ratios, relatively poor past performance in terms of returns</w:t>
      </w:r>
      <w:r w:rsidR="004F4FD0">
        <w:rPr>
          <w:rFonts w:ascii="Times New Roman" w:hAnsi="Times New Roman"/>
        </w:rPr>
        <w:t xml:space="preserve">. </w:t>
      </w:r>
      <w:r w:rsidR="00A70E85" w:rsidRPr="00EF061E">
        <w:rPr>
          <w:rFonts w:ascii="Times New Roman" w:hAnsi="Times New Roman"/>
        </w:rPr>
        <w:t xml:space="preserve">Value stocks are also defined </w:t>
      </w:r>
      <w:r w:rsidR="000B03B2" w:rsidRPr="00EF061E">
        <w:rPr>
          <w:rFonts w:ascii="Times New Roman" w:hAnsi="Times New Roman"/>
        </w:rPr>
        <w:t>as</w:t>
      </w:r>
      <w:r w:rsidR="005A18A3" w:rsidRPr="00EF061E">
        <w:rPr>
          <w:rFonts w:ascii="Times New Roman" w:hAnsi="Times New Roman"/>
        </w:rPr>
        <w:t xml:space="preserve"> low expected growth and</w:t>
      </w:r>
      <w:r w:rsidR="00A70E85" w:rsidRPr="00EF061E">
        <w:rPr>
          <w:rFonts w:ascii="Times New Roman" w:hAnsi="Times New Roman"/>
        </w:rPr>
        <w:t xml:space="preserve"> as</w:t>
      </w:r>
      <w:r w:rsidR="005A18A3" w:rsidRPr="00EF061E">
        <w:rPr>
          <w:rFonts w:ascii="Times New Roman" w:hAnsi="Times New Roman"/>
        </w:rPr>
        <w:t xml:space="preserve"> stocks that are contrary to naïve strategies.</w:t>
      </w:r>
      <w:r w:rsidR="000F6548">
        <w:rPr>
          <w:rFonts w:ascii="Times New Roman" w:hAnsi="Times New Roman"/>
        </w:rPr>
        <w:t xml:space="preserve"> With their 21 years of US stock data, </w:t>
      </w:r>
      <w:r w:rsidR="00CE001F">
        <w:rPr>
          <w:rFonts w:ascii="Times New Roman" w:hAnsi="Times New Roman"/>
        </w:rPr>
        <w:t>Lakonishok et al. (1994)</w:t>
      </w:r>
      <w:r w:rsidR="000F6548">
        <w:rPr>
          <w:rFonts w:ascii="Times New Roman" w:hAnsi="Times New Roman"/>
        </w:rPr>
        <w:t xml:space="preserve"> found that value stocks outperformed growth stocks</w:t>
      </w:r>
      <w:r w:rsidR="00715E69">
        <w:rPr>
          <w:rFonts w:ascii="Times New Roman" w:hAnsi="Times New Roman"/>
        </w:rPr>
        <w:t xml:space="preserve"> by 10.5 percent per year. Furthermore, their findings show that when value and growth portfolios are held for 5 years, the outperformance of value stocks reach 90 percent.</w:t>
      </w:r>
      <w:r w:rsidR="000F6548">
        <w:rPr>
          <w:rFonts w:ascii="Times New Roman" w:hAnsi="Times New Roman"/>
        </w:rPr>
        <w:t xml:space="preserve"> </w:t>
      </w:r>
      <w:r w:rsidR="00F47D69">
        <w:rPr>
          <w:rFonts w:ascii="Times New Roman" w:hAnsi="Times New Roman"/>
        </w:rPr>
        <w:t xml:space="preserve">Lakonishok et al. (1994) describe </w:t>
      </w:r>
      <w:r w:rsidR="005A18A3">
        <w:rPr>
          <w:rFonts w:ascii="Times New Roman" w:hAnsi="Times New Roman"/>
        </w:rPr>
        <w:t>the main reason for the undervaluation of these stocks according to lies in the mi</w:t>
      </w:r>
      <w:r w:rsidR="00F47D69">
        <w:rPr>
          <w:rFonts w:ascii="Times New Roman" w:hAnsi="Times New Roman"/>
        </w:rPr>
        <w:t>spricing of market participants; however,</w:t>
      </w:r>
      <w:r w:rsidR="005A18A3">
        <w:rPr>
          <w:rFonts w:ascii="Times New Roman" w:hAnsi="Times New Roman"/>
        </w:rPr>
        <w:t xml:space="preserve"> Fama and French</w:t>
      </w:r>
      <w:r w:rsidR="00350E61">
        <w:rPr>
          <w:rFonts w:ascii="Times New Roman" w:hAnsi="Times New Roman"/>
        </w:rPr>
        <w:t xml:space="preserve"> offer a risk-based explanation.</w:t>
      </w:r>
      <w:r w:rsidR="00715E69">
        <w:rPr>
          <w:rFonts w:ascii="Times New Roman" w:hAnsi="Times New Roman"/>
        </w:rPr>
        <w:t xml:space="preserve"> </w:t>
      </w:r>
      <w:r w:rsidR="00715E69" w:rsidRPr="00D34F2C">
        <w:rPr>
          <w:rFonts w:ascii="Times New Roman" w:hAnsi="Times New Roman"/>
        </w:rPr>
        <w:t>According to Fama and French (1992 and 1993), value stocks are riskier than the growth stock</w:t>
      </w:r>
      <w:r w:rsidR="00D0731B" w:rsidRPr="00D34F2C">
        <w:rPr>
          <w:rFonts w:ascii="Times New Roman" w:hAnsi="Times New Roman"/>
        </w:rPr>
        <w:t xml:space="preserve"> and the value premium is the compensation for that higher risk. T</w:t>
      </w:r>
      <w:r w:rsidR="00715E69" w:rsidRPr="00D34F2C">
        <w:rPr>
          <w:rFonts w:ascii="Times New Roman" w:hAnsi="Times New Roman"/>
        </w:rPr>
        <w:t>he value premium</w:t>
      </w:r>
      <w:r w:rsidR="00D0731B" w:rsidRPr="00D34F2C">
        <w:rPr>
          <w:rFonts w:ascii="Times New Roman" w:hAnsi="Times New Roman"/>
        </w:rPr>
        <w:t xml:space="preserve"> </w:t>
      </w:r>
      <w:r w:rsidR="00715E69" w:rsidRPr="00D34F2C">
        <w:rPr>
          <w:rFonts w:ascii="Times New Roman" w:hAnsi="Times New Roman"/>
        </w:rPr>
        <w:t xml:space="preserve">is the difference </w:t>
      </w:r>
      <w:r w:rsidR="00CE001F" w:rsidRPr="00D34F2C">
        <w:rPr>
          <w:rFonts w:ascii="Times New Roman" w:hAnsi="Times New Roman"/>
        </w:rPr>
        <w:t xml:space="preserve">between the </w:t>
      </w:r>
      <w:r w:rsidR="00D0731B" w:rsidRPr="00D34F2C">
        <w:rPr>
          <w:rFonts w:ascii="Times New Roman" w:hAnsi="Times New Roman"/>
        </w:rPr>
        <w:t xml:space="preserve">monetary </w:t>
      </w:r>
      <w:r w:rsidR="00CE001F" w:rsidRPr="00D34F2C">
        <w:rPr>
          <w:rFonts w:ascii="Times New Roman" w:hAnsi="Times New Roman"/>
        </w:rPr>
        <w:t xml:space="preserve">return of </w:t>
      </w:r>
      <w:r w:rsidR="00715E69" w:rsidRPr="00D34F2C">
        <w:rPr>
          <w:rFonts w:ascii="Times New Roman" w:hAnsi="Times New Roman"/>
        </w:rPr>
        <w:t>value stocks and growth stocks</w:t>
      </w:r>
      <w:r w:rsidR="00D0731B" w:rsidRPr="00D34F2C">
        <w:rPr>
          <w:rFonts w:ascii="Times New Roman" w:hAnsi="Times New Roman"/>
        </w:rPr>
        <w:t>.</w:t>
      </w:r>
    </w:p>
    <w:p w14:paraId="2C485C04" w14:textId="03A379D8" w:rsidR="00F7457C" w:rsidRDefault="00F35E89" w:rsidP="00F743E0">
      <w:pPr>
        <w:spacing w:line="360" w:lineRule="auto"/>
        <w:ind w:firstLine="720"/>
        <w:jc w:val="both"/>
        <w:rPr>
          <w:rFonts w:ascii="Times New Roman" w:hAnsi="Times New Roman"/>
        </w:rPr>
      </w:pPr>
      <w:r w:rsidRPr="00D34F2C">
        <w:rPr>
          <w:rFonts w:ascii="Times New Roman" w:hAnsi="Times New Roman"/>
        </w:rPr>
        <w:t>To summarize</w:t>
      </w:r>
      <w:r w:rsidR="006009FE" w:rsidRPr="00D34F2C">
        <w:rPr>
          <w:rFonts w:ascii="Times New Roman" w:hAnsi="Times New Roman"/>
        </w:rPr>
        <w:t>,</w:t>
      </w:r>
      <w:r w:rsidR="00F95948" w:rsidRPr="00D34F2C">
        <w:rPr>
          <w:rFonts w:ascii="Times New Roman" w:hAnsi="Times New Roman"/>
        </w:rPr>
        <w:t xml:space="preserve"> the</w:t>
      </w:r>
      <w:r w:rsidR="00D0731B" w:rsidRPr="00D34F2C">
        <w:rPr>
          <w:rFonts w:ascii="Times New Roman" w:hAnsi="Times New Roman"/>
        </w:rPr>
        <w:t xml:space="preserve"> monetary</w:t>
      </w:r>
      <w:r w:rsidR="00A72C27" w:rsidRPr="00D34F2C">
        <w:rPr>
          <w:rFonts w:ascii="Times New Roman" w:hAnsi="Times New Roman"/>
        </w:rPr>
        <w:t xml:space="preserve"> return on</w:t>
      </w:r>
      <w:r w:rsidR="00D0731B" w:rsidRPr="00D34F2C">
        <w:rPr>
          <w:rFonts w:ascii="Times New Roman" w:hAnsi="Times New Roman"/>
        </w:rPr>
        <w:t xml:space="preserve"> the</w:t>
      </w:r>
      <w:r w:rsidR="00F95948" w:rsidRPr="00D34F2C">
        <w:rPr>
          <w:rFonts w:ascii="Times New Roman" w:hAnsi="Times New Roman"/>
        </w:rPr>
        <w:t xml:space="preserve"> US</w:t>
      </w:r>
      <w:r w:rsidRPr="00D34F2C">
        <w:rPr>
          <w:rFonts w:ascii="Times New Roman" w:hAnsi="Times New Roman"/>
        </w:rPr>
        <w:t xml:space="preserve"> value stocks </w:t>
      </w:r>
      <w:r w:rsidR="00A72C27" w:rsidRPr="00D34F2C">
        <w:rPr>
          <w:rFonts w:ascii="Times New Roman" w:hAnsi="Times New Roman"/>
        </w:rPr>
        <w:t>was higher than the</w:t>
      </w:r>
      <w:r w:rsidRPr="00D34F2C">
        <w:rPr>
          <w:rFonts w:ascii="Times New Roman" w:hAnsi="Times New Roman"/>
        </w:rPr>
        <w:t xml:space="preserve"> growth stocks</w:t>
      </w:r>
      <w:r w:rsidR="00821D14">
        <w:rPr>
          <w:rFonts w:ascii="Times New Roman" w:hAnsi="Times New Roman"/>
        </w:rPr>
        <w:t>. And the reason</w:t>
      </w:r>
      <w:r w:rsidR="00EF061E" w:rsidRPr="00D34F2C">
        <w:rPr>
          <w:rFonts w:ascii="Times New Roman" w:hAnsi="Times New Roman"/>
        </w:rPr>
        <w:t xml:space="preserve"> </w:t>
      </w:r>
      <w:r w:rsidR="00821D14">
        <w:rPr>
          <w:rFonts w:ascii="Times New Roman" w:hAnsi="Times New Roman"/>
        </w:rPr>
        <w:t xml:space="preserve">is </w:t>
      </w:r>
      <w:r w:rsidR="00D34F2C" w:rsidRPr="00D34F2C">
        <w:rPr>
          <w:rFonts w:ascii="Times New Roman" w:hAnsi="Times New Roman"/>
        </w:rPr>
        <w:t>due to</w:t>
      </w:r>
      <w:r w:rsidRPr="00D34F2C">
        <w:rPr>
          <w:rFonts w:ascii="Times New Roman" w:hAnsi="Times New Roman"/>
        </w:rPr>
        <w:t xml:space="preserve"> the mispricing</w:t>
      </w:r>
      <w:r w:rsidR="00D34F2C">
        <w:rPr>
          <w:rFonts w:ascii="Times New Roman" w:hAnsi="Times New Roman"/>
        </w:rPr>
        <w:t xml:space="preserve"> of the value stocks</w:t>
      </w:r>
      <w:r w:rsidRPr="00D34F2C">
        <w:rPr>
          <w:rFonts w:ascii="Times New Roman" w:hAnsi="Times New Roman"/>
        </w:rPr>
        <w:t xml:space="preserve"> </w:t>
      </w:r>
      <w:r w:rsidR="00D34F2C">
        <w:rPr>
          <w:rFonts w:ascii="Times New Roman" w:hAnsi="Times New Roman"/>
        </w:rPr>
        <w:t>by</w:t>
      </w:r>
      <w:r w:rsidRPr="00D34F2C">
        <w:rPr>
          <w:rFonts w:ascii="Times New Roman" w:hAnsi="Times New Roman"/>
        </w:rPr>
        <w:t xml:space="preserve"> the market or</w:t>
      </w:r>
      <w:r w:rsidR="00D34F2C" w:rsidRPr="00D34F2C">
        <w:rPr>
          <w:rFonts w:ascii="Times New Roman" w:hAnsi="Times New Roman"/>
        </w:rPr>
        <w:t xml:space="preserve"> because of</w:t>
      </w:r>
      <w:r w:rsidR="00D0731B" w:rsidRPr="00D34F2C">
        <w:rPr>
          <w:rFonts w:ascii="Times New Roman" w:hAnsi="Times New Roman"/>
        </w:rPr>
        <w:t xml:space="preserve"> </w:t>
      </w:r>
      <w:r w:rsidRPr="00D34F2C">
        <w:rPr>
          <w:rFonts w:ascii="Times New Roman" w:hAnsi="Times New Roman"/>
        </w:rPr>
        <w:t>the</w:t>
      </w:r>
      <w:r w:rsidR="00616D07" w:rsidRPr="00D34F2C">
        <w:rPr>
          <w:rFonts w:ascii="Times New Roman" w:hAnsi="Times New Roman"/>
        </w:rPr>
        <w:t xml:space="preserve"> higher</w:t>
      </w:r>
      <w:r w:rsidRPr="00D34F2C">
        <w:rPr>
          <w:rFonts w:ascii="Times New Roman" w:hAnsi="Times New Roman"/>
        </w:rPr>
        <w:t xml:space="preserve"> risk</w:t>
      </w:r>
      <w:r w:rsidR="00821D14">
        <w:rPr>
          <w:rFonts w:ascii="Times New Roman" w:hAnsi="Times New Roman"/>
        </w:rPr>
        <w:t xml:space="preserve"> carried by the value stocks compared to growth stocks</w:t>
      </w:r>
      <w:r w:rsidRPr="00D34F2C">
        <w:rPr>
          <w:rFonts w:ascii="Times New Roman" w:hAnsi="Times New Roman"/>
        </w:rPr>
        <w:t>.</w:t>
      </w:r>
      <w:r w:rsidRPr="00F9200F">
        <w:rPr>
          <w:rFonts w:ascii="Times New Roman" w:hAnsi="Times New Roman"/>
        </w:rPr>
        <w:t xml:space="preserve"> </w:t>
      </w:r>
      <w:r w:rsidR="00F47D69">
        <w:rPr>
          <w:rFonts w:ascii="Times New Roman" w:hAnsi="Times New Roman"/>
        </w:rPr>
        <w:t>Therefore,</w:t>
      </w:r>
      <w:r w:rsidRPr="00F9200F">
        <w:rPr>
          <w:rFonts w:ascii="Times New Roman" w:hAnsi="Times New Roman"/>
        </w:rPr>
        <w:t xml:space="preserve"> </w:t>
      </w:r>
      <w:r w:rsidR="00F95948">
        <w:rPr>
          <w:rFonts w:ascii="Times New Roman" w:hAnsi="Times New Roman"/>
        </w:rPr>
        <w:t xml:space="preserve">one would expect a better performance </w:t>
      </w:r>
      <w:r w:rsidR="00617929">
        <w:rPr>
          <w:rFonts w:ascii="Times New Roman" w:hAnsi="Times New Roman"/>
        </w:rPr>
        <w:t xml:space="preserve">on average </w:t>
      </w:r>
      <w:r w:rsidR="00F95948">
        <w:rPr>
          <w:rFonts w:ascii="Times New Roman" w:hAnsi="Times New Roman"/>
        </w:rPr>
        <w:t>from value funds than growth funds.</w:t>
      </w:r>
    </w:p>
    <w:p w14:paraId="4626E7A0" w14:textId="4B454413" w:rsidR="00154DB0" w:rsidRDefault="00F35E89" w:rsidP="00F743E0">
      <w:pPr>
        <w:spacing w:line="360" w:lineRule="auto"/>
        <w:ind w:firstLine="720"/>
        <w:jc w:val="both"/>
        <w:rPr>
          <w:rFonts w:ascii="Times New Roman" w:hAnsi="Times New Roman"/>
        </w:rPr>
      </w:pPr>
      <w:r>
        <w:rPr>
          <w:rFonts w:ascii="Times New Roman" w:hAnsi="Times New Roman"/>
        </w:rPr>
        <w:t>Yet, t</w:t>
      </w:r>
      <w:r w:rsidR="00F2516E">
        <w:rPr>
          <w:rFonts w:ascii="Times New Roman" w:hAnsi="Times New Roman"/>
        </w:rPr>
        <w:t>he research of Chan</w:t>
      </w:r>
      <w:r w:rsidR="00957BA2">
        <w:rPr>
          <w:rFonts w:ascii="Times New Roman" w:hAnsi="Times New Roman"/>
        </w:rPr>
        <w:t>, Chen and Lakonishok</w:t>
      </w:r>
      <w:r w:rsidR="00617929">
        <w:rPr>
          <w:rFonts w:ascii="Times New Roman" w:hAnsi="Times New Roman"/>
        </w:rPr>
        <w:t xml:space="preserve"> </w:t>
      </w:r>
      <w:r w:rsidR="00957BA2">
        <w:rPr>
          <w:rFonts w:ascii="Times New Roman" w:hAnsi="Times New Roman"/>
        </w:rPr>
        <w:t>(</w:t>
      </w:r>
      <w:r w:rsidR="00617929">
        <w:rPr>
          <w:rFonts w:ascii="Times New Roman" w:hAnsi="Times New Roman"/>
        </w:rPr>
        <w:t>2004</w:t>
      </w:r>
      <w:r w:rsidR="00957BA2">
        <w:rPr>
          <w:rFonts w:ascii="Times New Roman" w:hAnsi="Times New Roman"/>
        </w:rPr>
        <w:t>)</w:t>
      </w:r>
      <w:r w:rsidR="00617929">
        <w:rPr>
          <w:rFonts w:ascii="Times New Roman" w:hAnsi="Times New Roman"/>
        </w:rPr>
        <w:t xml:space="preserve"> </w:t>
      </w:r>
      <w:r w:rsidR="00F2516E">
        <w:rPr>
          <w:rFonts w:ascii="Times New Roman" w:hAnsi="Times New Roman"/>
        </w:rPr>
        <w:t>on 3336 funds for 22 years indicates the opposite.</w:t>
      </w:r>
      <w:r w:rsidR="00EC3530">
        <w:rPr>
          <w:rFonts w:ascii="Times New Roman" w:hAnsi="Times New Roman"/>
        </w:rPr>
        <w:t xml:space="preserve"> Their results show that </w:t>
      </w:r>
      <w:r w:rsidR="00617929">
        <w:rPr>
          <w:rFonts w:ascii="Times New Roman" w:hAnsi="Times New Roman"/>
        </w:rPr>
        <w:t xml:space="preserve">yearly </w:t>
      </w:r>
      <w:r w:rsidR="00EC3530">
        <w:rPr>
          <w:rFonts w:ascii="Times New Roman" w:hAnsi="Times New Roman"/>
        </w:rPr>
        <w:t>on average</w:t>
      </w:r>
      <w:r w:rsidR="00617929">
        <w:rPr>
          <w:rFonts w:ascii="Times New Roman" w:hAnsi="Times New Roman"/>
        </w:rPr>
        <w:t>,</w:t>
      </w:r>
      <w:r w:rsidR="00EC3530">
        <w:rPr>
          <w:rFonts w:ascii="Times New Roman" w:hAnsi="Times New Roman"/>
        </w:rPr>
        <w:t xml:space="preserve"> growth managers performed 1.2 percent better than value managers</w:t>
      </w:r>
      <w:r w:rsidR="00F7457C">
        <w:rPr>
          <w:rFonts w:ascii="Times New Roman" w:hAnsi="Times New Roman"/>
        </w:rPr>
        <w:t xml:space="preserve">. </w:t>
      </w:r>
      <w:r w:rsidR="00617929">
        <w:rPr>
          <w:rFonts w:ascii="Times New Roman" w:hAnsi="Times New Roman"/>
        </w:rPr>
        <w:t>According to Chan and colleagues, o</w:t>
      </w:r>
      <w:r w:rsidR="00F7457C">
        <w:rPr>
          <w:rFonts w:ascii="Times New Roman" w:hAnsi="Times New Roman"/>
        </w:rPr>
        <w:t>ne of the reasons for the return differences among</w:t>
      </w:r>
      <w:r w:rsidR="00785933">
        <w:rPr>
          <w:rFonts w:ascii="Times New Roman" w:hAnsi="Times New Roman"/>
        </w:rPr>
        <w:t>st</w:t>
      </w:r>
      <w:r w:rsidR="00F7457C">
        <w:rPr>
          <w:rFonts w:ascii="Times New Roman" w:hAnsi="Times New Roman"/>
        </w:rPr>
        <w:t xml:space="preserve"> value managers and growth </w:t>
      </w:r>
      <w:r w:rsidR="00617929">
        <w:rPr>
          <w:rFonts w:ascii="Times New Roman" w:hAnsi="Times New Roman"/>
        </w:rPr>
        <w:t>depends</w:t>
      </w:r>
      <w:r w:rsidR="00F7457C">
        <w:rPr>
          <w:rFonts w:ascii="Times New Roman" w:hAnsi="Times New Roman"/>
        </w:rPr>
        <w:t xml:space="preserve"> on the agency or behavioral considerations. They </w:t>
      </w:r>
      <w:r w:rsidR="00785933">
        <w:rPr>
          <w:rFonts w:ascii="Times New Roman" w:hAnsi="Times New Roman"/>
        </w:rPr>
        <w:t>argue</w:t>
      </w:r>
      <w:r w:rsidR="00F7457C">
        <w:rPr>
          <w:rFonts w:ascii="Times New Roman" w:hAnsi="Times New Roman"/>
        </w:rPr>
        <w:t xml:space="preserve"> that value </w:t>
      </w:r>
      <w:r w:rsidR="00280590">
        <w:rPr>
          <w:rFonts w:ascii="Times New Roman" w:hAnsi="Times New Roman"/>
        </w:rPr>
        <w:t>manager</w:t>
      </w:r>
      <w:r w:rsidR="00617929">
        <w:rPr>
          <w:rFonts w:ascii="Times New Roman" w:hAnsi="Times New Roman"/>
        </w:rPr>
        <w:t>s</w:t>
      </w:r>
      <w:r w:rsidR="00F7457C">
        <w:rPr>
          <w:rFonts w:ascii="Times New Roman" w:hAnsi="Times New Roman"/>
        </w:rPr>
        <w:t xml:space="preserve"> that perform poorly are more likely to shift into growth strategies since growth strategies are easier to justify than value strategies</w:t>
      </w:r>
      <w:r w:rsidR="00617929">
        <w:rPr>
          <w:rFonts w:ascii="Times New Roman" w:hAnsi="Times New Roman"/>
        </w:rPr>
        <w:t>. A</w:t>
      </w:r>
      <w:r w:rsidR="00785933">
        <w:rPr>
          <w:rFonts w:ascii="Times New Roman" w:hAnsi="Times New Roman"/>
        </w:rPr>
        <w:t>t the same time</w:t>
      </w:r>
      <w:r w:rsidR="00617929">
        <w:rPr>
          <w:rFonts w:ascii="Times New Roman" w:hAnsi="Times New Roman"/>
        </w:rPr>
        <w:t>,</w:t>
      </w:r>
      <w:r w:rsidR="00280590">
        <w:rPr>
          <w:rFonts w:ascii="Times New Roman" w:hAnsi="Times New Roman"/>
        </w:rPr>
        <w:t xml:space="preserve"> </w:t>
      </w:r>
      <w:r w:rsidR="00F7457C">
        <w:rPr>
          <w:rFonts w:ascii="Times New Roman" w:hAnsi="Times New Roman"/>
        </w:rPr>
        <w:t>growth managers that perform poorly stick</w:t>
      </w:r>
      <w:r w:rsidR="00280590">
        <w:rPr>
          <w:rFonts w:ascii="Times New Roman" w:hAnsi="Times New Roman"/>
        </w:rPr>
        <w:t xml:space="preserve"> to growth strategies in the upcoming periods. </w:t>
      </w:r>
    </w:p>
    <w:p w14:paraId="2E0D33BE" w14:textId="382D5C2C" w:rsidR="00D34F2C" w:rsidRDefault="00F35E89" w:rsidP="00D34F2C">
      <w:r>
        <w:tab/>
      </w:r>
    </w:p>
    <w:p w14:paraId="3F35DB6D" w14:textId="7F536126" w:rsidR="00D34F2C" w:rsidRDefault="00D34F2C" w:rsidP="00D34F2C"/>
    <w:p w14:paraId="3CC2E86A" w14:textId="77777777" w:rsidR="00D34F2C" w:rsidRPr="00D34F2C" w:rsidRDefault="00D34F2C" w:rsidP="00D34F2C"/>
    <w:p w14:paraId="71D096D7" w14:textId="06D5F45C" w:rsidR="001F5BED" w:rsidRPr="0019214F" w:rsidRDefault="00F35E89" w:rsidP="00810507">
      <w:pPr>
        <w:pStyle w:val="Heading2"/>
        <w:spacing w:line="360" w:lineRule="auto"/>
        <w:rPr>
          <w:rFonts w:ascii="Times New Roman" w:hAnsi="Times New Roman" w:cs="Times New Roman"/>
          <w:b/>
          <w:bCs/>
        </w:rPr>
      </w:pPr>
      <w:bookmarkStart w:id="8" w:name="_Toc15419038"/>
      <w:r w:rsidRPr="000B03B2">
        <w:rPr>
          <w:rFonts w:ascii="Times New Roman" w:hAnsi="Times New Roman" w:cs="Times New Roman"/>
          <w:b/>
          <w:bCs/>
        </w:rPr>
        <w:lastRenderedPageBreak/>
        <w:t>2.3 Fund Performance Characteristics</w:t>
      </w:r>
      <w:bookmarkEnd w:id="8"/>
    </w:p>
    <w:p w14:paraId="76101776" w14:textId="5A002018" w:rsidR="0019214F" w:rsidRDefault="0019214F" w:rsidP="00810507">
      <w:pPr>
        <w:spacing w:line="360" w:lineRule="auto"/>
        <w:rPr>
          <w:rFonts w:ascii="Times New Roman" w:hAnsi="Times New Roman" w:cs="Times New Roman"/>
        </w:rPr>
      </w:pPr>
    </w:p>
    <w:p w14:paraId="261F126C" w14:textId="2D451809" w:rsidR="00E82381" w:rsidRDefault="00F35E89" w:rsidP="00607E2B">
      <w:pPr>
        <w:spacing w:line="360" w:lineRule="auto"/>
        <w:ind w:firstLine="720"/>
        <w:jc w:val="both"/>
        <w:rPr>
          <w:rFonts w:ascii="Times New Roman" w:hAnsi="Times New Roman" w:cs="Times New Roman"/>
        </w:rPr>
      </w:pPr>
      <w:r>
        <w:rPr>
          <w:rFonts w:ascii="Times New Roman" w:hAnsi="Times New Roman" w:cs="Times New Roman"/>
        </w:rPr>
        <w:t xml:space="preserve">Carhart (1997) </w:t>
      </w:r>
      <w:r w:rsidR="00785933">
        <w:rPr>
          <w:rFonts w:ascii="Times New Roman" w:hAnsi="Times New Roman" w:cs="Times New Roman"/>
        </w:rPr>
        <w:t>f</w:t>
      </w:r>
      <w:r w:rsidR="006009FE">
        <w:rPr>
          <w:rFonts w:ascii="Times New Roman" w:hAnsi="Times New Roman" w:cs="Times New Roman"/>
        </w:rPr>
        <w:t>ound</w:t>
      </w:r>
      <w:r>
        <w:rPr>
          <w:rFonts w:ascii="Times New Roman" w:hAnsi="Times New Roman" w:cs="Times New Roman"/>
        </w:rPr>
        <w:t xml:space="preserve"> a negative </w:t>
      </w:r>
      <w:r w:rsidR="00093E75">
        <w:rPr>
          <w:rFonts w:ascii="Times New Roman" w:hAnsi="Times New Roman" w:cs="Times New Roman"/>
        </w:rPr>
        <w:t>correlation</w:t>
      </w:r>
      <w:r>
        <w:rPr>
          <w:rFonts w:ascii="Times New Roman" w:hAnsi="Times New Roman" w:cs="Times New Roman"/>
        </w:rPr>
        <w:t xml:space="preserve"> between fund expense ratios, turnover ratios, and fund performance. Expense</w:t>
      </w:r>
      <w:r w:rsidR="00F95948">
        <w:rPr>
          <w:rFonts w:ascii="Times New Roman" w:hAnsi="Times New Roman" w:cs="Times New Roman"/>
        </w:rPr>
        <w:t>s</w:t>
      </w:r>
      <w:r>
        <w:rPr>
          <w:rFonts w:ascii="Times New Roman" w:hAnsi="Times New Roman" w:cs="Times New Roman"/>
        </w:rPr>
        <w:t xml:space="preserve"> of mutual funds include management </w:t>
      </w:r>
      <w:r w:rsidR="00093E75">
        <w:rPr>
          <w:rFonts w:ascii="Times New Roman" w:hAnsi="Times New Roman" w:cs="Times New Roman"/>
        </w:rPr>
        <w:t>fees,</w:t>
      </w:r>
      <w:r>
        <w:rPr>
          <w:rFonts w:ascii="Times New Roman" w:hAnsi="Times New Roman" w:cs="Times New Roman"/>
        </w:rPr>
        <w:t xml:space="preserve"> administrative fees, operating costs</w:t>
      </w:r>
      <w:r w:rsidR="00810507">
        <w:rPr>
          <w:rFonts w:ascii="Times New Roman" w:hAnsi="Times New Roman" w:cs="Times New Roman"/>
        </w:rPr>
        <w:t xml:space="preserve"> and 12b-1 fees</w:t>
      </w:r>
      <w:r w:rsidR="006009FE">
        <w:rPr>
          <w:rFonts w:ascii="Times New Roman" w:hAnsi="Times New Roman" w:cs="Times New Roman"/>
        </w:rPr>
        <w:t>. 12b-1 fees</w:t>
      </w:r>
      <w:r>
        <w:rPr>
          <w:rFonts w:ascii="Times New Roman" w:hAnsi="Times New Roman" w:cs="Times New Roman"/>
        </w:rPr>
        <w:t xml:space="preserve"> </w:t>
      </w:r>
      <w:r w:rsidR="00810507">
        <w:rPr>
          <w:rFonts w:ascii="Times New Roman" w:hAnsi="Times New Roman" w:cs="Times New Roman"/>
        </w:rPr>
        <w:t>consist of annual marketing and distribution costs.</w:t>
      </w:r>
      <w:r w:rsidR="00F95948">
        <w:rPr>
          <w:rFonts w:ascii="Times New Roman" w:hAnsi="Times New Roman" w:cs="Times New Roman"/>
        </w:rPr>
        <w:t xml:space="preserve"> Expense ratio is</w:t>
      </w:r>
      <w:r w:rsidR="009571AE">
        <w:rPr>
          <w:rFonts w:ascii="Times New Roman" w:hAnsi="Times New Roman" w:cs="Times New Roman"/>
        </w:rPr>
        <w:t xml:space="preserve"> calculated by dividing these expenses to the funds’ total net assets</w:t>
      </w:r>
      <w:r w:rsidR="00F95948">
        <w:rPr>
          <w:rFonts w:ascii="Times New Roman" w:hAnsi="Times New Roman" w:cs="Times New Roman"/>
        </w:rPr>
        <w:t>.</w:t>
      </w:r>
      <w:r w:rsidR="00810507">
        <w:rPr>
          <w:rFonts w:ascii="Times New Roman" w:hAnsi="Times New Roman" w:cs="Times New Roman"/>
        </w:rPr>
        <w:t xml:space="preserve"> Turnover ratios represent the trading activities of mutual funds and are calculated by taking the difference between the fund purchases and sales divided by total net assets.</w:t>
      </w:r>
    </w:p>
    <w:p w14:paraId="2F899C79" w14:textId="30784F3E" w:rsidR="00B53F6A" w:rsidRPr="00607E2B" w:rsidRDefault="00F35E89" w:rsidP="00607E2B">
      <w:pPr>
        <w:spacing w:line="360" w:lineRule="auto"/>
        <w:ind w:firstLine="720"/>
        <w:jc w:val="both"/>
        <w:rPr>
          <w:rFonts w:ascii="Times New Roman" w:hAnsi="Times New Roman" w:cs="Times New Roman"/>
          <w:sz w:val="21"/>
          <w:szCs w:val="28"/>
        </w:rPr>
      </w:pPr>
      <w:r w:rsidRPr="00A70E85">
        <w:rPr>
          <w:rFonts w:ascii="Times New Roman" w:hAnsi="Times New Roman" w:cs="Times New Roman"/>
        </w:rPr>
        <w:t>The findings</w:t>
      </w:r>
      <w:r w:rsidR="006009FE" w:rsidRPr="00A70E85">
        <w:rPr>
          <w:rFonts w:ascii="Times New Roman" w:hAnsi="Times New Roman" w:cs="Times New Roman"/>
        </w:rPr>
        <w:t xml:space="preserve"> of</w:t>
      </w:r>
      <w:r w:rsidR="00F2516E" w:rsidRPr="00A70E85">
        <w:rPr>
          <w:rFonts w:ascii="Times New Roman" w:hAnsi="Times New Roman" w:cs="Times New Roman"/>
        </w:rPr>
        <w:t xml:space="preserve"> Chen</w:t>
      </w:r>
      <w:r w:rsidR="009E1F81">
        <w:rPr>
          <w:rFonts w:ascii="Times New Roman" w:hAnsi="Times New Roman" w:cs="Times New Roman"/>
        </w:rPr>
        <w:t>, Hong, Ming and Kubik</w:t>
      </w:r>
      <w:r w:rsidR="002332E2" w:rsidRPr="00A70E85">
        <w:rPr>
          <w:rFonts w:ascii="Times New Roman" w:hAnsi="Times New Roman" w:cs="Times New Roman"/>
        </w:rPr>
        <w:t xml:space="preserve"> </w:t>
      </w:r>
      <w:r w:rsidR="00E70D31" w:rsidRPr="00A70E85">
        <w:rPr>
          <w:rFonts w:ascii="Times New Roman" w:hAnsi="Times New Roman" w:cs="Times New Roman"/>
        </w:rPr>
        <w:t>(</w:t>
      </w:r>
      <w:r w:rsidR="00093E75" w:rsidRPr="00A70E85">
        <w:rPr>
          <w:rFonts w:ascii="Times New Roman" w:hAnsi="Times New Roman" w:cs="Times New Roman"/>
        </w:rPr>
        <w:t>2004</w:t>
      </w:r>
      <w:r w:rsidR="00E70D31" w:rsidRPr="00A70E85">
        <w:rPr>
          <w:rFonts w:ascii="Times New Roman" w:hAnsi="Times New Roman" w:cs="Times New Roman"/>
        </w:rPr>
        <w:t>)</w:t>
      </w:r>
      <w:r w:rsidR="00F2516E" w:rsidRPr="00A70E85">
        <w:rPr>
          <w:rFonts w:ascii="Times New Roman" w:hAnsi="Times New Roman" w:cs="Times New Roman"/>
        </w:rPr>
        <w:t xml:space="preserve"> report diseconomies of scale for US mutual funds.</w:t>
      </w:r>
      <w:r w:rsidR="00F2516E">
        <w:rPr>
          <w:rFonts w:ascii="Times New Roman" w:hAnsi="Times New Roman" w:cs="Times New Roman"/>
        </w:rPr>
        <w:t xml:space="preserve"> According to </w:t>
      </w:r>
      <w:r w:rsidR="00093E75">
        <w:rPr>
          <w:rFonts w:ascii="Times New Roman" w:hAnsi="Times New Roman" w:cs="Times New Roman"/>
        </w:rPr>
        <w:t>the paper,</w:t>
      </w:r>
      <w:r w:rsidR="00F2516E">
        <w:rPr>
          <w:rFonts w:ascii="Times New Roman" w:hAnsi="Times New Roman" w:cs="Times New Roman"/>
        </w:rPr>
        <w:t xml:space="preserve"> the underlying reason for the negative effect of size on performance lies </w:t>
      </w:r>
      <w:r w:rsidR="00093E75">
        <w:rPr>
          <w:rFonts w:ascii="Times New Roman" w:hAnsi="Times New Roman" w:cs="Times New Roman"/>
        </w:rPr>
        <w:t>in</w:t>
      </w:r>
      <w:r w:rsidR="00F2516E">
        <w:rPr>
          <w:rFonts w:ascii="Times New Roman" w:hAnsi="Times New Roman" w:cs="Times New Roman"/>
        </w:rPr>
        <w:t xml:space="preserve"> the role of liquidity. Correspondingly,</w:t>
      </w:r>
      <w:r w:rsidR="00093E75">
        <w:rPr>
          <w:rFonts w:ascii="Times New Roman" w:hAnsi="Times New Roman" w:cs="Times New Roman"/>
        </w:rPr>
        <w:t xml:space="preserve"> Ferreria et al., 2013</w:t>
      </w:r>
      <w:r w:rsidR="00607E2B">
        <w:rPr>
          <w:rFonts w:ascii="Times New Roman" w:hAnsi="Times New Roman" w:cs="Times New Roman"/>
        </w:rPr>
        <w:t xml:space="preserve"> </w:t>
      </w:r>
      <w:r w:rsidR="00E82381">
        <w:rPr>
          <w:rFonts w:ascii="Times New Roman" w:hAnsi="Times New Roman" w:cs="Times New Roman"/>
        </w:rPr>
        <w:t xml:space="preserve">found a negative relationship between fund size and performance for </w:t>
      </w:r>
      <w:r w:rsidR="00F2516E">
        <w:rPr>
          <w:rFonts w:ascii="Times New Roman" w:hAnsi="Times New Roman" w:cs="Times New Roman"/>
        </w:rPr>
        <w:t>US</w:t>
      </w:r>
      <w:r w:rsidR="00E82381">
        <w:rPr>
          <w:rFonts w:ascii="Times New Roman" w:hAnsi="Times New Roman" w:cs="Times New Roman"/>
        </w:rPr>
        <w:t xml:space="preserve"> mutual funds and a positive relationship between non-us funds. Additionally, their findings </w:t>
      </w:r>
      <w:r w:rsidR="00F2516E">
        <w:rPr>
          <w:rFonts w:ascii="Times New Roman" w:hAnsi="Times New Roman" w:cs="Times New Roman"/>
        </w:rPr>
        <w:t>show</w:t>
      </w:r>
      <w:r w:rsidR="00E82381">
        <w:rPr>
          <w:rFonts w:ascii="Times New Roman" w:hAnsi="Times New Roman" w:cs="Times New Roman"/>
        </w:rPr>
        <w:t xml:space="preserve"> an insignificant effect of age fund on fund performance. </w:t>
      </w:r>
      <w:r w:rsidR="00607E2B">
        <w:rPr>
          <w:rFonts w:ascii="Times New Roman" w:hAnsi="Times New Roman" w:cs="Times New Roman"/>
        </w:rPr>
        <w:t xml:space="preserve">  </w:t>
      </w:r>
    </w:p>
    <w:p w14:paraId="5F178C8A" w14:textId="69A9937D" w:rsidR="003C5759" w:rsidRDefault="00F35E89" w:rsidP="00280590">
      <w:pPr>
        <w:spacing w:line="360" w:lineRule="auto"/>
        <w:ind w:firstLine="720"/>
        <w:jc w:val="both"/>
        <w:rPr>
          <w:rFonts w:ascii="Times New Roman" w:hAnsi="Times New Roman" w:cs="Times New Roman"/>
        </w:rPr>
      </w:pPr>
      <w:r>
        <w:rPr>
          <w:rFonts w:ascii="Times New Roman" w:hAnsi="Times New Roman" w:cs="Times New Roman"/>
        </w:rPr>
        <w:t>Tests performed in this paper include the evaluation of the relationship between mutual fund performance and mutual fund characteristics</w:t>
      </w:r>
      <w:r w:rsidR="0019214F" w:rsidRPr="0019214F">
        <w:rPr>
          <w:rFonts w:ascii="Times New Roman" w:hAnsi="Times New Roman" w:cs="Times New Roman"/>
        </w:rPr>
        <w:t xml:space="preserve">. The characteristics that are evaluated in this research are mutual fund expense </w:t>
      </w:r>
      <w:r w:rsidR="00607E2B" w:rsidRPr="0019214F">
        <w:rPr>
          <w:rFonts w:ascii="Times New Roman" w:hAnsi="Times New Roman" w:cs="Times New Roman"/>
        </w:rPr>
        <w:t>ratios, mutual</w:t>
      </w:r>
      <w:r w:rsidR="0019214F" w:rsidRPr="0019214F">
        <w:rPr>
          <w:rFonts w:ascii="Times New Roman" w:hAnsi="Times New Roman" w:cs="Times New Roman"/>
        </w:rPr>
        <w:t xml:space="preserve"> fund sizes, mutual fund ages, share turnover ratios and the investment style of the mutual funds.</w:t>
      </w:r>
      <w:r w:rsidR="00715E69">
        <w:rPr>
          <w:rFonts w:ascii="Times New Roman" w:hAnsi="Times New Roman" w:cs="Times New Roman"/>
        </w:rPr>
        <w:t xml:space="preserve"> </w:t>
      </w:r>
      <w:r w:rsidR="0019214F" w:rsidRPr="0019214F">
        <w:rPr>
          <w:rFonts w:ascii="Times New Roman" w:hAnsi="Times New Roman" w:cs="Times New Roman"/>
        </w:rPr>
        <w:t>To test the relationship between</w:t>
      </w:r>
      <w:r w:rsidR="006226A4">
        <w:rPr>
          <w:rFonts w:ascii="Times New Roman" w:hAnsi="Times New Roman" w:cs="Times New Roman"/>
        </w:rPr>
        <w:t xml:space="preserve"> fund</w:t>
      </w:r>
      <w:r w:rsidR="0019214F" w:rsidRPr="0019214F">
        <w:rPr>
          <w:rFonts w:ascii="Times New Roman" w:hAnsi="Times New Roman" w:cs="Times New Roman"/>
        </w:rPr>
        <w:t xml:space="preserve"> characteristics and the</w:t>
      </w:r>
      <w:r w:rsidR="006009FE">
        <w:rPr>
          <w:rFonts w:ascii="Times New Roman" w:hAnsi="Times New Roman" w:cs="Times New Roman"/>
        </w:rPr>
        <w:t xml:space="preserve"> mutual fund</w:t>
      </w:r>
      <w:r w:rsidR="0019214F" w:rsidRPr="0019214F">
        <w:rPr>
          <w:rFonts w:ascii="Times New Roman" w:hAnsi="Times New Roman" w:cs="Times New Roman"/>
        </w:rPr>
        <w:t xml:space="preserve"> performance</w:t>
      </w:r>
      <w:r w:rsidR="006009FE">
        <w:rPr>
          <w:rFonts w:ascii="Times New Roman" w:hAnsi="Times New Roman" w:cs="Times New Roman"/>
        </w:rPr>
        <w:t xml:space="preserve"> the</w:t>
      </w:r>
      <w:r w:rsidR="0019214F" w:rsidRPr="0019214F">
        <w:rPr>
          <w:rFonts w:ascii="Times New Roman" w:hAnsi="Times New Roman" w:cs="Times New Roman"/>
        </w:rPr>
        <w:t xml:space="preserve"> Fama-Mac</w:t>
      </w:r>
      <w:r w:rsidR="00B7465D">
        <w:rPr>
          <w:rFonts w:ascii="Times New Roman" w:hAnsi="Times New Roman" w:cs="Times New Roman"/>
        </w:rPr>
        <w:t>B</w:t>
      </w:r>
      <w:r w:rsidR="0019214F" w:rsidRPr="0019214F">
        <w:rPr>
          <w:rFonts w:ascii="Times New Roman" w:hAnsi="Times New Roman" w:cs="Times New Roman"/>
        </w:rPr>
        <w:t xml:space="preserve">eth (1973) method was employed. </w:t>
      </w:r>
    </w:p>
    <w:p w14:paraId="5D804864" w14:textId="2DAFAEF0" w:rsidR="00D8694A" w:rsidRDefault="00F35E89" w:rsidP="00280590">
      <w:pPr>
        <w:spacing w:line="360" w:lineRule="auto"/>
        <w:ind w:firstLine="720"/>
        <w:jc w:val="both"/>
        <w:rPr>
          <w:rFonts w:ascii="Times New Roman" w:hAnsi="Times New Roman" w:cs="Times New Roman"/>
        </w:rPr>
      </w:pPr>
      <w:r>
        <w:rPr>
          <w:rFonts w:ascii="Times New Roman" w:hAnsi="Times New Roman" w:cs="Times New Roman"/>
        </w:rPr>
        <w:t xml:space="preserve">The </w:t>
      </w:r>
      <w:r w:rsidR="00607E2B">
        <w:rPr>
          <w:rFonts w:ascii="Times New Roman" w:hAnsi="Times New Roman" w:cs="Times New Roman"/>
        </w:rPr>
        <w:t>Fama-Mac</w:t>
      </w:r>
      <w:r w:rsidR="00B7465D">
        <w:rPr>
          <w:rFonts w:ascii="Times New Roman" w:hAnsi="Times New Roman" w:cs="Times New Roman"/>
        </w:rPr>
        <w:t>B</w:t>
      </w:r>
      <w:r w:rsidR="00607E2B">
        <w:rPr>
          <w:rFonts w:ascii="Times New Roman" w:hAnsi="Times New Roman" w:cs="Times New Roman"/>
        </w:rPr>
        <w:t>eth</w:t>
      </w:r>
      <w:r w:rsidR="003C5759">
        <w:rPr>
          <w:rFonts w:ascii="Times New Roman" w:hAnsi="Times New Roman" w:cs="Times New Roman"/>
        </w:rPr>
        <w:t xml:space="preserve"> (1973) method</w:t>
      </w:r>
      <w:r w:rsidR="00607E2B">
        <w:rPr>
          <w:rFonts w:ascii="Times New Roman" w:hAnsi="Times New Roman" w:cs="Times New Roman"/>
        </w:rPr>
        <w:t xml:space="preserve"> consists of two-steps. In the first step, time-series regression</w:t>
      </w:r>
      <w:r w:rsidR="003D232B">
        <w:rPr>
          <w:rFonts w:ascii="Times New Roman" w:hAnsi="Times New Roman" w:cs="Times New Roman"/>
        </w:rPr>
        <w:t>s</w:t>
      </w:r>
      <w:r w:rsidR="00607E2B">
        <w:rPr>
          <w:rFonts w:ascii="Times New Roman" w:hAnsi="Times New Roman" w:cs="Times New Roman"/>
        </w:rPr>
        <w:t xml:space="preserve"> are run to find the</w:t>
      </w:r>
      <w:r w:rsidR="003C5759">
        <w:rPr>
          <w:rFonts w:ascii="Times New Roman" w:hAnsi="Times New Roman" w:cs="Times New Roman"/>
        </w:rPr>
        <w:t xml:space="preserve"> factor</w:t>
      </w:r>
      <w:r w:rsidR="003D232B">
        <w:rPr>
          <w:rFonts w:ascii="Times New Roman" w:hAnsi="Times New Roman" w:cs="Times New Roman"/>
        </w:rPr>
        <w:t xml:space="preserve"> betas. In this research</w:t>
      </w:r>
      <w:r w:rsidR="00F2516E">
        <w:rPr>
          <w:rFonts w:ascii="Times New Roman" w:hAnsi="Times New Roman" w:cs="Times New Roman"/>
        </w:rPr>
        <w:t>,</w:t>
      </w:r>
      <w:r w:rsidR="003D232B">
        <w:rPr>
          <w:rFonts w:ascii="Times New Roman" w:hAnsi="Times New Roman" w:cs="Times New Roman"/>
        </w:rPr>
        <w:t xml:space="preserve"> betas </w:t>
      </w:r>
      <w:r w:rsidR="00F2516E">
        <w:rPr>
          <w:rFonts w:ascii="Times New Roman" w:hAnsi="Times New Roman" w:cs="Times New Roman"/>
        </w:rPr>
        <w:t>denote</w:t>
      </w:r>
      <w:r w:rsidR="00607E2B">
        <w:rPr>
          <w:rFonts w:ascii="Times New Roman" w:hAnsi="Times New Roman" w:cs="Times New Roman"/>
        </w:rPr>
        <w:t xml:space="preserve"> </w:t>
      </w:r>
      <w:r w:rsidR="003D232B">
        <w:rPr>
          <w:rFonts w:ascii="Times New Roman" w:hAnsi="Times New Roman" w:cs="Times New Roman"/>
        </w:rPr>
        <w:t>the four</w:t>
      </w:r>
      <w:r w:rsidR="00607E2B">
        <w:rPr>
          <w:rFonts w:ascii="Times New Roman" w:hAnsi="Times New Roman" w:cs="Times New Roman"/>
        </w:rPr>
        <w:t>-factor</w:t>
      </w:r>
      <w:r w:rsidR="00867927">
        <w:rPr>
          <w:rFonts w:ascii="Times New Roman" w:hAnsi="Times New Roman" w:cs="Times New Roman"/>
        </w:rPr>
        <w:t xml:space="preserve"> model</w:t>
      </w:r>
      <w:r w:rsidR="00607E2B">
        <w:rPr>
          <w:rFonts w:ascii="Times New Roman" w:hAnsi="Times New Roman" w:cs="Times New Roman"/>
        </w:rPr>
        <w:t xml:space="preserve"> loadings</w:t>
      </w:r>
      <w:r w:rsidR="003D232B">
        <w:rPr>
          <w:rFonts w:ascii="Times New Roman" w:hAnsi="Times New Roman" w:cs="Times New Roman"/>
        </w:rPr>
        <w:t>. Then cross-sectional regression</w:t>
      </w:r>
      <w:r w:rsidR="00F2516E">
        <w:rPr>
          <w:rFonts w:ascii="Times New Roman" w:hAnsi="Times New Roman" w:cs="Times New Roman"/>
        </w:rPr>
        <w:t>s</w:t>
      </w:r>
      <w:r w:rsidR="003D232B">
        <w:rPr>
          <w:rFonts w:ascii="Times New Roman" w:hAnsi="Times New Roman" w:cs="Times New Roman"/>
        </w:rPr>
        <w:t xml:space="preserve"> are run </w:t>
      </w:r>
      <w:r w:rsidR="00F2516E">
        <w:rPr>
          <w:rFonts w:ascii="Times New Roman" w:hAnsi="Times New Roman" w:cs="Times New Roman"/>
        </w:rPr>
        <w:t>on actual returns against the factor loadings at each period to derive the risk premiums</w:t>
      </w:r>
      <w:r w:rsidR="006025A3">
        <w:rPr>
          <w:rFonts w:ascii="Times New Roman" w:hAnsi="Times New Roman" w:cs="Times New Roman"/>
        </w:rPr>
        <w:t xml:space="preserve"> and</w:t>
      </w:r>
      <w:r w:rsidR="00F2516E">
        <w:rPr>
          <w:rFonts w:ascii="Times New Roman" w:hAnsi="Times New Roman" w:cs="Times New Roman"/>
        </w:rPr>
        <w:t xml:space="preserve"> risk premiums </w:t>
      </w:r>
      <w:r>
        <w:rPr>
          <w:rFonts w:ascii="Times New Roman" w:hAnsi="Times New Roman" w:cs="Times New Roman"/>
        </w:rPr>
        <w:t>correspond to</w:t>
      </w:r>
      <w:r w:rsidR="00F2516E">
        <w:rPr>
          <w:rFonts w:ascii="Times New Roman" w:hAnsi="Times New Roman" w:cs="Times New Roman"/>
        </w:rPr>
        <w:t xml:space="preserve"> abnormal returns. After the cross-sectional regressions, the averages of the risk premiums are taken. The </w:t>
      </w:r>
      <w:r w:rsidR="00706B40">
        <w:rPr>
          <w:rFonts w:ascii="Times New Roman" w:hAnsi="Times New Roman" w:cs="Times New Roman"/>
        </w:rPr>
        <w:t>first model</w:t>
      </w:r>
      <w:r w:rsidR="00F2516E">
        <w:rPr>
          <w:rFonts w:ascii="Times New Roman" w:hAnsi="Times New Roman" w:cs="Times New Roman"/>
        </w:rPr>
        <w:t xml:space="preserve"> used </w:t>
      </w:r>
      <w:r w:rsidR="00706B40">
        <w:rPr>
          <w:rFonts w:ascii="Times New Roman" w:hAnsi="Times New Roman" w:cs="Times New Roman"/>
        </w:rPr>
        <w:t>for the</w:t>
      </w:r>
      <w:r w:rsidR="003C5759">
        <w:rPr>
          <w:rFonts w:ascii="Times New Roman" w:hAnsi="Times New Roman" w:cs="Times New Roman"/>
        </w:rPr>
        <w:t xml:space="preserve"> estimation of</w:t>
      </w:r>
      <w:r w:rsidR="00706B40">
        <w:rPr>
          <w:rFonts w:ascii="Times New Roman" w:hAnsi="Times New Roman" w:cs="Times New Roman"/>
        </w:rPr>
        <w:t xml:space="preserve"> abnormal return estimation is read as the following</w:t>
      </w:r>
      <w:r w:rsidR="00F2516E">
        <w:rPr>
          <w:rFonts w:ascii="Times New Roman" w:hAnsi="Times New Roman" w:cs="Times New Roman"/>
        </w:rPr>
        <w:t xml:space="preserve">: </w:t>
      </w:r>
    </w:p>
    <w:p w14:paraId="0BCACA1B" w14:textId="77777777" w:rsidR="00706B40" w:rsidRDefault="00706B40" w:rsidP="00B44E10">
      <w:pPr>
        <w:spacing w:line="360" w:lineRule="auto"/>
        <w:ind w:firstLine="720"/>
        <w:jc w:val="both"/>
        <w:rPr>
          <w:rFonts w:ascii="Times New Roman" w:hAnsi="Times New Roman" w:cs="Times New Roman"/>
        </w:rPr>
      </w:pPr>
    </w:p>
    <w:p w14:paraId="1D98642E" w14:textId="2D18789C" w:rsidR="00B44E10" w:rsidRDefault="005B3234" w:rsidP="00706B40">
      <w:pPr>
        <w:spacing w:line="360" w:lineRule="auto"/>
        <w:ind w:firstLine="72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ft</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1it-1</m:t>
            </m:r>
          </m:sub>
        </m:sSub>
        <m:r>
          <w:rPr>
            <w:rFonts w:ascii="Cambria Math" w:hAnsi="Cambria Math" w:cs="Times New Roman"/>
          </w:rPr>
          <m:t>RMRF-</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2it-1</m:t>
            </m:r>
          </m:sub>
        </m:sSub>
        <m:r>
          <w:rPr>
            <w:rFonts w:ascii="Cambria Math" w:hAnsi="Cambria Math" w:cs="Times New Roman"/>
          </w:rPr>
          <m:t xml:space="preserve">SMB- </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3it-1</m:t>
            </m:r>
          </m:sub>
        </m:sSub>
        <m:r>
          <w:rPr>
            <w:rFonts w:ascii="Cambria Math" w:hAnsi="Cambria Math" w:cs="Times New Roman"/>
          </w:rPr>
          <m:t xml:space="preserve">HML+ </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4it-1</m:t>
            </m:r>
          </m:sub>
        </m:sSub>
        <m:r>
          <w:rPr>
            <w:rFonts w:ascii="Cambria Math" w:hAnsi="Cambria Math" w:cs="Times New Roman"/>
          </w:rPr>
          <m:t>MOM</m:t>
        </m:r>
      </m:oMath>
      <w:r w:rsidR="00867927">
        <w:rPr>
          <w:rFonts w:ascii="Times New Roman" w:hAnsi="Times New Roman" w:cs="Times New Roman"/>
        </w:rPr>
        <w:t xml:space="preserve">         (4)</w:t>
      </w:r>
    </w:p>
    <w:p w14:paraId="1B018948" w14:textId="77777777" w:rsidR="00706B40" w:rsidRDefault="00706B40" w:rsidP="00706B40">
      <w:pPr>
        <w:spacing w:line="360" w:lineRule="auto"/>
        <w:ind w:firstLine="720"/>
        <w:jc w:val="center"/>
        <w:rPr>
          <w:rFonts w:ascii="Times New Roman" w:hAnsi="Times New Roman" w:cs="Times New Roman"/>
        </w:rPr>
      </w:pPr>
    </w:p>
    <w:p w14:paraId="0B9F262D" w14:textId="1F787A93" w:rsidR="00706B40" w:rsidRDefault="00F35E89" w:rsidP="00F74DCF">
      <w:pPr>
        <w:spacing w:line="360" w:lineRule="auto"/>
        <w:jc w:val="both"/>
        <w:rPr>
          <w:rFonts w:ascii="Times New Roman" w:hAnsi="Times New Roman" w:cs="Times New Roman"/>
        </w:rPr>
      </w:pPr>
      <w:r>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it)</m:t>
            </m:r>
          </m:sub>
        </m:sSub>
      </m:oMath>
      <w:r>
        <w:rPr>
          <w:rFonts w:ascii="Times New Roman" w:hAnsi="Times New Roman" w:cs="Times New Roman"/>
        </w:rPr>
        <w:t xml:space="preserve"> is the monthly abnormal return from the mutual fund at the time </w:t>
      </w:r>
      <w:r w:rsidR="006025A3">
        <w:rPr>
          <w:rFonts w:ascii="Times New Roman" w:hAnsi="Times New Roman" w:cs="Times New Roman"/>
        </w:rPr>
        <w:t>(</w:t>
      </w:r>
      <w:r>
        <w:rPr>
          <w:rFonts w:ascii="Times New Roman" w:hAnsi="Times New Roman" w:cs="Times New Roman"/>
        </w:rPr>
        <w:t>t</w:t>
      </w:r>
      <w:r w:rsidR="006025A3">
        <w:rPr>
          <w:rFonts w:ascii="Times New Roman" w:hAnsi="Times New Roman" w:cs="Times New Roman"/>
        </w:rPr>
        <w:t>)</w:t>
      </w:r>
      <w:r w:rsidR="003C5759">
        <w:rPr>
          <w:rFonts w:ascii="Times New Roman" w:hAnsi="Times New Roman" w:cs="Times New Roman"/>
        </w:rPr>
        <w:t xml:space="preserve"> of</w:t>
      </w:r>
      <w:r>
        <w:rPr>
          <w:rFonts w:ascii="Times New Roman" w:hAnsi="Times New Roman" w:cs="Times New Roman"/>
        </w:rPr>
        <w:t xml:space="preserve"> the estimated four-factor model.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 xml:space="preserve"> </m:t>
        </m:r>
      </m:oMath>
      <w:r>
        <w:rPr>
          <w:rFonts w:ascii="Times New Roman" w:hAnsi="Times New Roman" w:cs="Times New Roman"/>
        </w:rPr>
        <w:t xml:space="preserve">is the return of a mutual fund at the time </w:t>
      </w:r>
      <w:r w:rsidR="006025A3">
        <w:rPr>
          <w:rFonts w:ascii="Times New Roman" w:hAnsi="Times New Roman" w:cs="Times New Roman"/>
        </w:rPr>
        <w:t>(</w:t>
      </w:r>
      <w:r>
        <w:rPr>
          <w:rFonts w:ascii="Times New Roman" w:hAnsi="Times New Roman" w:cs="Times New Roman"/>
        </w:rPr>
        <w:t>t</w:t>
      </w:r>
      <w:r w:rsidR="006025A3">
        <w:rPr>
          <w:rFonts w:ascii="Times New Roman" w:hAnsi="Times New Roman" w:cs="Times New Roman"/>
        </w:rPr>
        <w:t>)</w:t>
      </w:r>
      <w:r>
        <w:rPr>
          <w:rFonts w:ascii="Times New Roman" w:hAnsi="Times New Roman" w:cs="Times New Roman"/>
        </w:rPr>
        <w:t xml:space="preserve">. </w:t>
      </w:r>
      <w:r w:rsidR="006025A3">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ft)</m:t>
            </m:r>
          </m:sub>
        </m:sSub>
      </m:oMath>
      <w:r>
        <w:rPr>
          <w:rFonts w:ascii="Times New Roman" w:hAnsi="Times New Roman" w:cs="Times New Roman"/>
        </w:rPr>
        <w:t xml:space="preserve"> is the return on a risk-free portfolio at the time </w:t>
      </w:r>
      <w:r w:rsidR="006025A3">
        <w:rPr>
          <w:rFonts w:ascii="Times New Roman" w:hAnsi="Times New Roman" w:cs="Times New Roman"/>
        </w:rPr>
        <w:t>(</w:t>
      </w:r>
      <w:r>
        <w:rPr>
          <w:rFonts w:ascii="Times New Roman" w:hAnsi="Times New Roman" w:cs="Times New Roman"/>
        </w:rPr>
        <w:t>t</w:t>
      </w:r>
      <w:r w:rsidR="006025A3">
        <w:rPr>
          <w:rFonts w:ascii="Times New Roman" w:hAnsi="Times New Roman" w:cs="Times New Roman"/>
        </w:rPr>
        <w:t>)</w:t>
      </w:r>
      <w:r>
        <w:rPr>
          <w:rFonts w:ascii="Times New Roman" w:hAnsi="Times New Roman" w:cs="Times New Roman"/>
        </w:rPr>
        <w:t>. And,</w:t>
      </w:r>
      <w:r w:rsidR="000E3FF3">
        <w:rPr>
          <w:rFonts w:ascii="Times New Roman" w:hAnsi="Times New Roman" w:cs="Times New Roman"/>
        </w:rPr>
        <w:t xml:space="preserve"> </w:t>
      </w:r>
      <w:r w:rsidR="006025A3">
        <w:rPr>
          <w:rFonts w:ascii="Times New Roman" w:hAnsi="Times New Roman" w:cs="Times New Roman"/>
        </w:rPr>
        <w:t>(</w:t>
      </w:r>
      <m:oMath>
        <m:acc>
          <m:accPr>
            <m:ctrlPr>
              <w:rPr>
                <w:rFonts w:ascii="Cambria Math" w:hAnsi="Cambria Math" w:cs="Times New Roman"/>
                <w:i/>
              </w:rPr>
            </m:ctrlPr>
          </m:accPr>
          <m:e>
            <m:r>
              <w:rPr>
                <w:rFonts w:ascii="Cambria Math" w:hAnsi="Cambria Math" w:cs="Times New Roman"/>
              </w:rPr>
              <m:t>β)</m:t>
            </m:r>
          </m:e>
        </m:acc>
      </m:oMath>
      <w:r>
        <w:rPr>
          <w:rFonts w:ascii="Times New Roman" w:hAnsi="Times New Roman" w:cs="Times New Roman"/>
        </w:rPr>
        <w:t xml:space="preserve">s’ are the 4-factor model loadings. The second model </w:t>
      </w:r>
      <w:r>
        <w:rPr>
          <w:rFonts w:ascii="Times New Roman" w:hAnsi="Times New Roman" w:cs="Times New Roman"/>
        </w:rPr>
        <w:lastRenderedPageBreak/>
        <w:t>which was used for the relationship between characteristics and the abnormal return is read as the following:</w:t>
      </w:r>
    </w:p>
    <w:p w14:paraId="5643CE70" w14:textId="77777777" w:rsidR="00280590" w:rsidRDefault="00280590" w:rsidP="00F74DCF">
      <w:pPr>
        <w:spacing w:line="360" w:lineRule="auto"/>
        <w:jc w:val="both"/>
        <w:rPr>
          <w:rFonts w:ascii="Times New Roman" w:hAnsi="Times New Roman" w:cs="Times New Roman"/>
        </w:rPr>
      </w:pPr>
    </w:p>
    <w:p w14:paraId="7EB17A35" w14:textId="28522CB9" w:rsidR="00706B40" w:rsidRDefault="00F35E89" w:rsidP="00706B40">
      <w:pPr>
        <w:spacing w:line="360" w:lineRule="auto"/>
        <w:rPr>
          <w:rFonts w:ascii="Times New Roman" w:hAnsi="Times New Roman" w:cs="Times New Roman"/>
        </w:rPr>
      </w:pP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r>
          <w:rPr>
            <w:rFonts w:ascii="Cambria Math" w:hAnsi="Cambria Math" w:cs="Times New Roman"/>
          </w:rPr>
          <m:t xml:space="preserve">    </m:t>
        </m:r>
      </m:oMath>
      <w:r w:rsidRPr="00706B40">
        <w:rPr>
          <w:rFonts w:ascii="Times New Roman" w:hAnsi="Times New Roman" w:cs="Times New Roman"/>
        </w:rPr>
        <w:t xml:space="preserve">                                     </w:t>
      </w:r>
      <w:r w:rsidR="00D03379">
        <w:rPr>
          <w:rFonts w:ascii="Times New Roman" w:hAnsi="Times New Roman" w:cs="Times New Roman"/>
        </w:rPr>
        <w:t xml:space="preserve"> </w:t>
      </w:r>
      <w:r w:rsidR="002E03BF">
        <w:rPr>
          <w:rFonts w:ascii="Times New Roman" w:hAnsi="Times New Roman" w:cs="Times New Roman"/>
        </w:rPr>
        <w:t xml:space="preserve">   </w:t>
      </w:r>
      <w:r w:rsidR="00D03379">
        <w:rPr>
          <w:rFonts w:ascii="Times New Roman" w:hAnsi="Times New Roman" w:cs="Times New Roman"/>
        </w:rPr>
        <w:t xml:space="preserve">   </w:t>
      </w:r>
      <w:r w:rsidRPr="00706B40">
        <w:rPr>
          <w:rFonts w:ascii="Times New Roman" w:hAnsi="Times New Roman" w:cs="Times New Roman"/>
        </w:rPr>
        <w:t>(</w:t>
      </w:r>
      <w:r>
        <w:rPr>
          <w:rFonts w:ascii="Times New Roman" w:hAnsi="Times New Roman" w:cs="Times New Roman"/>
        </w:rPr>
        <w:t>5)</w:t>
      </w:r>
    </w:p>
    <w:p w14:paraId="5923AF1E" w14:textId="77777777" w:rsidR="00280590" w:rsidRPr="00706B40" w:rsidRDefault="00280590" w:rsidP="00706B40">
      <w:pPr>
        <w:spacing w:line="360" w:lineRule="auto"/>
        <w:rPr>
          <w:rFonts w:ascii="Times New Roman" w:hAnsi="Times New Roman" w:cs="Times New Roman"/>
        </w:rPr>
      </w:pPr>
    </w:p>
    <w:p w14:paraId="661E751A" w14:textId="02F33CAC" w:rsidR="00B32FF9" w:rsidRDefault="00F35E89" w:rsidP="0072108D">
      <w:pPr>
        <w:spacing w:line="360" w:lineRule="auto"/>
        <w:jc w:val="both"/>
        <w:rPr>
          <w:rFonts w:ascii="Times New Roman" w:hAnsi="Times New Roman" w:cs="Times New Roman"/>
        </w:rPr>
      </w:pPr>
      <w:r>
        <w:rPr>
          <w:rFonts w:ascii="Times New Roman" w:hAnsi="Times New Roman" w:cs="Times New Roman"/>
        </w:rPr>
        <w:t xml:space="preserve">Where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it)</m:t>
            </m:r>
          </m:sub>
        </m:sSub>
      </m:oMath>
      <w:r>
        <w:rPr>
          <w:rFonts w:ascii="Times New Roman" w:hAnsi="Times New Roman" w:cs="Times New Roman"/>
        </w:rPr>
        <w:t xml:space="preserve"> denotes the estimated performance</w:t>
      </w:r>
      <w:r w:rsidR="003C5759">
        <w:rPr>
          <w:rFonts w:ascii="Times New Roman" w:hAnsi="Times New Roman" w:cs="Times New Roman"/>
        </w:rPr>
        <w:t xml:space="preserve"> variable alpha</w:t>
      </w:r>
      <w:r>
        <w:rPr>
          <w:rFonts w:ascii="Times New Roman" w:hAnsi="Times New Roman" w:cs="Times New Roman"/>
        </w:rPr>
        <w:t xml:space="preserve"> for the fund </w:t>
      </w:r>
      <w:r w:rsidR="006025A3">
        <w:rPr>
          <w:rFonts w:ascii="Times New Roman" w:hAnsi="Times New Roman" w:cs="Times New Roman"/>
        </w:rPr>
        <w:t>(</w:t>
      </w:r>
      <w:r>
        <w:rPr>
          <w:rFonts w:ascii="Times New Roman" w:hAnsi="Times New Roman" w:cs="Times New Roman"/>
        </w:rPr>
        <w:t>i</w:t>
      </w:r>
      <w:r w:rsidR="006025A3">
        <w:rPr>
          <w:rFonts w:ascii="Times New Roman" w:hAnsi="Times New Roman" w:cs="Times New Roman"/>
        </w:rPr>
        <w:t>)</w:t>
      </w:r>
      <w:r>
        <w:rPr>
          <w:rFonts w:ascii="Times New Roman" w:hAnsi="Times New Roman" w:cs="Times New Roman"/>
        </w:rPr>
        <w:t xml:space="preserve"> at the time </w:t>
      </w:r>
      <w:r w:rsidR="006025A3">
        <w:rPr>
          <w:rFonts w:ascii="Times New Roman" w:hAnsi="Times New Roman" w:cs="Times New Roman"/>
        </w:rPr>
        <w:t>(</w:t>
      </w:r>
      <w:r>
        <w:rPr>
          <w:rFonts w:ascii="Times New Roman" w:hAnsi="Times New Roman" w:cs="Times New Roman"/>
        </w:rPr>
        <w:t>t</w:t>
      </w:r>
      <w:r w:rsidR="006025A3">
        <w:rPr>
          <w:rFonts w:ascii="Times New Roman" w:hAnsi="Times New Roman" w:cs="Times New Roman"/>
        </w:rPr>
        <w:t>)</w:t>
      </w:r>
      <w:r>
        <w:rPr>
          <w:rFonts w:ascii="Times New Roman" w:hAnsi="Times New Roman" w:cs="Times New Roman"/>
        </w:rPr>
        <w:t xml:space="preserve"> and </w:t>
      </w:r>
      <w:r w:rsidR="006025A3">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oMath>
      <w:r>
        <w:rPr>
          <w:rFonts w:ascii="Times New Roman" w:hAnsi="Times New Roman" w:cs="Times New Roman"/>
        </w:rPr>
        <w:t xml:space="preserve"> denotes a firm characteristic for the fund </w:t>
      </w:r>
      <w:r w:rsidR="006025A3">
        <w:rPr>
          <w:rFonts w:ascii="Times New Roman" w:hAnsi="Times New Roman" w:cs="Times New Roman"/>
        </w:rPr>
        <w:t>(</w:t>
      </w:r>
      <w:r>
        <w:rPr>
          <w:rFonts w:ascii="Times New Roman" w:hAnsi="Times New Roman" w:cs="Times New Roman"/>
        </w:rPr>
        <w:t>i</w:t>
      </w:r>
      <w:r w:rsidR="006025A3">
        <w:rPr>
          <w:rFonts w:ascii="Times New Roman" w:hAnsi="Times New Roman" w:cs="Times New Roman"/>
        </w:rPr>
        <w:t>)</w:t>
      </w:r>
      <w:r>
        <w:rPr>
          <w:rFonts w:ascii="Times New Roman" w:hAnsi="Times New Roman" w:cs="Times New Roman"/>
        </w:rPr>
        <w:t xml:space="preserve"> at the time </w:t>
      </w:r>
      <w:r w:rsidR="006025A3">
        <w:rPr>
          <w:rFonts w:ascii="Times New Roman" w:hAnsi="Times New Roman" w:cs="Times New Roman"/>
        </w:rPr>
        <w:t>(</w:t>
      </w:r>
      <w:r>
        <w:rPr>
          <w:rFonts w:ascii="Times New Roman" w:hAnsi="Times New Roman" w:cs="Times New Roman"/>
        </w:rPr>
        <w:t>t</w:t>
      </w:r>
      <w:r w:rsidR="006025A3">
        <w:rPr>
          <w:rFonts w:ascii="Times New Roman" w:hAnsi="Times New Roman" w:cs="Times New Roman"/>
        </w:rPr>
        <w:t>)</w:t>
      </w:r>
      <w:r>
        <w:rPr>
          <w:rFonts w:ascii="Times New Roman" w:hAnsi="Times New Roman" w:cs="Times New Roman"/>
        </w:rPr>
        <w:t>. Additionally,</w:t>
      </w:r>
      <w:r w:rsidR="00A3140F">
        <w:rPr>
          <w:rFonts w:ascii="Times New Roman" w:hAnsi="Times New Roman" w:cs="Times New Roman"/>
        </w:rPr>
        <w:t xml:space="preserve"> in line with Carhart (1997),</w:t>
      </w:r>
      <w:r>
        <w:rPr>
          <w:rFonts w:ascii="Times New Roman" w:hAnsi="Times New Roman" w:cs="Times New Roman"/>
        </w:rPr>
        <w:t xml:space="preserve"> </w:t>
      </w:r>
      <w:r w:rsidR="00F06298">
        <w:rPr>
          <w:rFonts w:ascii="Times New Roman" w:hAnsi="Times New Roman" w:cs="Times New Roman"/>
        </w:rPr>
        <w:t>factor loadings were estimated over prior three year returns in order to lessen the effect of the look-ahead bias</w:t>
      </w:r>
      <w:r w:rsidR="00A3140F">
        <w:rPr>
          <w:rFonts w:ascii="Times New Roman" w:hAnsi="Times New Roman" w:cs="Times New Roman"/>
        </w:rPr>
        <w:t xml:space="preserve"> and the fund size was lagged 12 months to deal with possibly causality</w:t>
      </w:r>
      <w:r w:rsidR="00F06298">
        <w:rPr>
          <w:rFonts w:ascii="Times New Roman" w:hAnsi="Times New Roman" w:cs="Times New Roman"/>
        </w:rPr>
        <w:t xml:space="preserve">. </w:t>
      </w:r>
      <w:r w:rsidR="004F4FC4">
        <w:rPr>
          <w:rFonts w:ascii="Times New Roman" w:hAnsi="Times New Roman" w:cs="Times New Roman"/>
        </w:rPr>
        <w:t>Moreover,</w:t>
      </w:r>
      <w:r w:rsidR="0072108D">
        <w:rPr>
          <w:rFonts w:ascii="Times New Roman" w:hAnsi="Times New Roman" w:cs="Times New Roman"/>
        </w:rPr>
        <w:t xml:space="preserve"> to observe the differences in performances between mutual funds that invest in different investment styles</w:t>
      </w:r>
      <w:r w:rsidR="006025A3">
        <w:rPr>
          <w:rFonts w:ascii="Times New Roman" w:hAnsi="Times New Roman" w:cs="Times New Roman"/>
        </w:rPr>
        <w:t>,</w:t>
      </w:r>
      <w:r w:rsidR="004F4FC4">
        <w:rPr>
          <w:rFonts w:ascii="Times New Roman" w:hAnsi="Times New Roman" w:cs="Times New Roman"/>
        </w:rPr>
        <w:t xml:space="preserve"> three investment style dummies namely, Blend, Growth, and Value were created.</w:t>
      </w:r>
      <w:r w:rsidR="0072108D">
        <w:rPr>
          <w:rFonts w:ascii="Times New Roman" w:hAnsi="Times New Roman" w:cs="Times New Roman"/>
        </w:rPr>
        <w:t xml:space="preserve"> </w:t>
      </w:r>
    </w:p>
    <w:p w14:paraId="63E6AF68" w14:textId="77777777" w:rsidR="008A4060" w:rsidRPr="0019214F" w:rsidRDefault="008A4060" w:rsidP="0072108D">
      <w:pPr>
        <w:spacing w:line="360" w:lineRule="auto"/>
        <w:jc w:val="both"/>
        <w:rPr>
          <w:rFonts w:ascii="Times New Roman" w:hAnsi="Times New Roman" w:cs="Times New Roman"/>
        </w:rPr>
      </w:pPr>
    </w:p>
    <w:p w14:paraId="662460A0" w14:textId="62322762" w:rsidR="00B32FF9" w:rsidRPr="00B32FF9" w:rsidRDefault="00F35E89" w:rsidP="00B32FF9">
      <w:pPr>
        <w:pStyle w:val="Heading2"/>
        <w:rPr>
          <w:rFonts w:ascii="Times New Roman" w:hAnsi="Times New Roman" w:cs="Times New Roman"/>
          <w:b/>
          <w:bCs/>
        </w:rPr>
      </w:pPr>
      <w:bookmarkStart w:id="9" w:name="_Toc15419039"/>
      <w:r w:rsidRPr="00B32FF9">
        <w:rPr>
          <w:rFonts w:ascii="Times New Roman" w:hAnsi="Times New Roman" w:cs="Times New Roman"/>
          <w:b/>
          <w:bCs/>
        </w:rPr>
        <w:t>2.</w:t>
      </w:r>
      <w:r>
        <w:rPr>
          <w:rFonts w:ascii="Times New Roman" w:hAnsi="Times New Roman" w:cs="Times New Roman"/>
          <w:b/>
          <w:bCs/>
        </w:rPr>
        <w:t>4</w:t>
      </w:r>
      <w:r w:rsidRPr="00B32FF9">
        <w:rPr>
          <w:rFonts w:ascii="Times New Roman" w:hAnsi="Times New Roman" w:cs="Times New Roman"/>
          <w:b/>
          <w:bCs/>
        </w:rPr>
        <w:t xml:space="preserve"> Model Selection</w:t>
      </w:r>
      <w:bookmarkEnd w:id="9"/>
    </w:p>
    <w:p w14:paraId="567999C9" w14:textId="16E71D40" w:rsidR="008816C7" w:rsidRDefault="00F35E89" w:rsidP="00B32FF9">
      <w:pPr>
        <w:pStyle w:val="Heading2"/>
        <w:rPr>
          <w:rFonts w:ascii="Times New Roman" w:hAnsi="Times New Roman" w:cs="Times New Roman"/>
        </w:rPr>
      </w:pPr>
      <w:r>
        <w:rPr>
          <w:rFonts w:ascii="Times New Roman" w:hAnsi="Times New Roman" w:cs="Times New Roman"/>
        </w:rPr>
        <w:t xml:space="preserve"> </w:t>
      </w:r>
    </w:p>
    <w:p w14:paraId="120D9DD2" w14:textId="3165672C" w:rsidR="008816C7" w:rsidRPr="00EC587E" w:rsidRDefault="00F35E89" w:rsidP="00EC587E">
      <w:pPr>
        <w:spacing w:line="360" w:lineRule="auto"/>
        <w:ind w:firstLine="720"/>
        <w:jc w:val="both"/>
        <w:rPr>
          <w:rFonts w:ascii="Times New Roman" w:hAnsi="Times New Roman" w:cs="Times New Roman"/>
        </w:rPr>
      </w:pPr>
      <w:r w:rsidRPr="00DC2CE0">
        <w:rPr>
          <w:rFonts w:ascii="Times New Roman" w:hAnsi="Times New Roman" w:cs="Times New Roman"/>
        </w:rPr>
        <w:t xml:space="preserve">For each of the selected countries, CAPM, Fama and French three-factor model and Carhart four-factor models were employed and their Bayesian Information Criterion (BIC) values were </w:t>
      </w:r>
      <w:r w:rsidRPr="006025A3">
        <w:rPr>
          <w:rFonts w:ascii="Times New Roman" w:hAnsi="Times New Roman" w:cs="Times New Roman"/>
        </w:rPr>
        <w:t xml:space="preserve">gathered. Then, the BIC values of the models were compared to determine the model that carries the highest explanatory power. </w:t>
      </w:r>
      <w:r w:rsidR="00F2516E" w:rsidRPr="006025A3">
        <w:rPr>
          <w:rFonts w:ascii="Times New Roman" w:hAnsi="Times New Roman" w:cs="Times New Roman"/>
        </w:rPr>
        <w:t>BIC values</w:t>
      </w:r>
      <w:r w:rsidR="00887252" w:rsidRPr="006025A3">
        <w:rPr>
          <w:rFonts w:ascii="Times New Roman" w:hAnsi="Times New Roman" w:cs="Times New Roman"/>
        </w:rPr>
        <w:t xml:space="preserve"> of Schwarz (1978) </w:t>
      </w:r>
      <w:r w:rsidR="008458FE" w:rsidRPr="006025A3">
        <w:rPr>
          <w:rFonts w:ascii="Times New Roman" w:hAnsi="Times New Roman" w:cs="Times New Roman"/>
        </w:rPr>
        <w:t>are</w:t>
      </w:r>
      <w:r w:rsidR="00F2516E" w:rsidRPr="006025A3">
        <w:rPr>
          <w:rFonts w:ascii="Times New Roman" w:hAnsi="Times New Roman" w:cs="Times New Roman"/>
        </w:rPr>
        <w:t xml:space="preserve"> based on the likelihood function</w:t>
      </w:r>
      <w:r w:rsidR="008458FE" w:rsidRPr="006025A3">
        <w:rPr>
          <w:rFonts w:ascii="Times New Roman" w:hAnsi="Times New Roman" w:cs="Times New Roman"/>
        </w:rPr>
        <w:t xml:space="preserve"> </w:t>
      </w:r>
      <w:r w:rsidR="006E3D55" w:rsidRPr="006025A3">
        <w:rPr>
          <w:rFonts w:ascii="Times New Roman" w:hAnsi="Times New Roman" w:cs="Times New Roman"/>
        </w:rPr>
        <w:t>and</w:t>
      </w:r>
      <w:r w:rsidR="00F2516E" w:rsidRPr="006025A3">
        <w:rPr>
          <w:rFonts w:ascii="Times New Roman" w:hAnsi="Times New Roman" w:cs="Times New Roman"/>
        </w:rPr>
        <w:t xml:space="preserve"> serve as a criterion for model selection.</w:t>
      </w:r>
      <w:r w:rsidR="00C672A4" w:rsidRPr="006025A3">
        <w:rPr>
          <w:rFonts w:ascii="Times New Roman" w:hAnsi="Times New Roman" w:cs="Times New Roman"/>
        </w:rPr>
        <w:t xml:space="preserve"> </w:t>
      </w:r>
      <w:r w:rsidR="006E3D55" w:rsidRPr="006025A3">
        <w:rPr>
          <w:rFonts w:ascii="Times New Roman" w:hAnsi="Times New Roman" w:cs="Times New Roman"/>
        </w:rPr>
        <w:t>Thus, it is possible to observe if the new model with an added variable</w:t>
      </w:r>
      <w:r w:rsidR="002D2BB6" w:rsidRPr="006025A3">
        <w:rPr>
          <w:rFonts w:ascii="Times New Roman" w:hAnsi="Times New Roman" w:cs="Times New Roman"/>
        </w:rPr>
        <w:t xml:space="preserve">, such as Fama and French three-factor model compared to CAPM, </w:t>
      </w:r>
      <w:r w:rsidR="003C5759" w:rsidRPr="006025A3">
        <w:rPr>
          <w:rFonts w:ascii="Times New Roman" w:hAnsi="Times New Roman" w:cs="Times New Roman"/>
        </w:rPr>
        <w:t>adds</w:t>
      </w:r>
      <w:r w:rsidR="006E3D55" w:rsidRPr="006025A3">
        <w:rPr>
          <w:rFonts w:ascii="Times New Roman" w:hAnsi="Times New Roman" w:cs="Times New Roman"/>
        </w:rPr>
        <w:t xml:space="preserve"> significant explanatory power or </w:t>
      </w:r>
      <w:r w:rsidR="0027558C">
        <w:rPr>
          <w:rFonts w:ascii="Times New Roman" w:hAnsi="Times New Roman" w:cs="Times New Roman"/>
        </w:rPr>
        <w:t xml:space="preserve">if </w:t>
      </w:r>
      <w:r w:rsidR="006E3D55" w:rsidRPr="006025A3">
        <w:rPr>
          <w:rFonts w:ascii="Times New Roman" w:hAnsi="Times New Roman" w:cs="Times New Roman"/>
        </w:rPr>
        <w:t xml:space="preserve">a simpler model </w:t>
      </w:r>
      <w:r w:rsidR="003C5759" w:rsidRPr="006025A3">
        <w:rPr>
          <w:rFonts w:ascii="Times New Roman" w:hAnsi="Times New Roman" w:cs="Times New Roman"/>
        </w:rPr>
        <w:t>fits</w:t>
      </w:r>
      <w:r w:rsidR="006E3D55" w:rsidRPr="006025A3">
        <w:rPr>
          <w:rFonts w:ascii="Times New Roman" w:hAnsi="Times New Roman" w:cs="Times New Roman"/>
        </w:rPr>
        <w:t xml:space="preserve"> the data better. </w:t>
      </w:r>
      <w:r w:rsidR="00F2516E" w:rsidRPr="006025A3">
        <w:rPr>
          <w:rFonts w:ascii="Times New Roman" w:hAnsi="Times New Roman" w:cs="Times New Roman"/>
        </w:rPr>
        <w:t xml:space="preserve"> BIC value </w:t>
      </w:r>
      <w:r w:rsidR="0027558C">
        <w:rPr>
          <w:rFonts w:ascii="Times New Roman" w:hAnsi="Times New Roman" w:cs="Times New Roman"/>
        </w:rPr>
        <w:t>increases</w:t>
      </w:r>
      <w:r w:rsidR="00F2516E" w:rsidRPr="006025A3">
        <w:rPr>
          <w:rFonts w:ascii="Times New Roman" w:hAnsi="Times New Roman" w:cs="Times New Roman"/>
        </w:rPr>
        <w:t xml:space="preserve"> with the increasing </w:t>
      </w:r>
      <w:r w:rsidR="0027558C">
        <w:rPr>
          <w:rFonts w:ascii="Times New Roman" w:hAnsi="Times New Roman" w:cs="Times New Roman"/>
        </w:rPr>
        <w:t xml:space="preserve">number of explanatory variables and </w:t>
      </w:r>
      <w:r w:rsidR="00F2516E" w:rsidRPr="006025A3">
        <w:rPr>
          <w:rFonts w:ascii="Times New Roman" w:hAnsi="Times New Roman" w:cs="Times New Roman"/>
        </w:rPr>
        <w:t>with the variation in the dependent variable that is not explained</w:t>
      </w:r>
      <w:r w:rsidR="0027558C">
        <w:rPr>
          <w:rFonts w:ascii="Times New Roman" w:hAnsi="Times New Roman" w:cs="Times New Roman"/>
        </w:rPr>
        <w:t xml:space="preserve"> but </w:t>
      </w:r>
      <w:r w:rsidR="005536F9" w:rsidRPr="006025A3">
        <w:rPr>
          <w:rFonts w:ascii="Times New Roman" w:hAnsi="Times New Roman" w:cs="Times New Roman"/>
        </w:rPr>
        <w:t>decreases with a better fit</w:t>
      </w:r>
      <w:r w:rsidR="00F2516E" w:rsidRPr="006025A3">
        <w:rPr>
          <w:rFonts w:ascii="Times New Roman" w:hAnsi="Times New Roman" w:cs="Times New Roman"/>
        </w:rPr>
        <w:t>.</w:t>
      </w:r>
      <w:r w:rsidR="008458FE" w:rsidRPr="006025A3">
        <w:rPr>
          <w:rFonts w:ascii="Times New Roman" w:hAnsi="Times New Roman" w:cs="Times New Roman"/>
        </w:rPr>
        <w:t xml:space="preserve"> </w:t>
      </w:r>
      <w:r w:rsidR="005536F9" w:rsidRPr="006025A3">
        <w:rPr>
          <w:rFonts w:ascii="Times New Roman" w:hAnsi="Times New Roman" w:cs="Times New Roman"/>
        </w:rPr>
        <w:t>Accordingly</w:t>
      </w:r>
      <w:r w:rsidR="00F2516E" w:rsidRPr="006025A3">
        <w:rPr>
          <w:rFonts w:ascii="Times New Roman" w:hAnsi="Times New Roman" w:cs="Times New Roman"/>
        </w:rPr>
        <w:t>, the models with the lowest BIC values were chosen to explain the mutual fund performances.</w:t>
      </w:r>
      <w:r w:rsidR="00887252" w:rsidRPr="006025A3">
        <w:rPr>
          <w:rFonts w:ascii="Times New Roman" w:hAnsi="Times New Roman" w:cs="Times New Roman"/>
        </w:rPr>
        <w:t xml:space="preserve"> BIC model is read as the following:</w:t>
      </w:r>
      <w:r w:rsidR="00887252">
        <w:t xml:space="preserve"> </w:t>
      </w:r>
    </w:p>
    <w:p w14:paraId="2B44818E" w14:textId="77777777" w:rsidR="00CA526D" w:rsidRDefault="00CA526D" w:rsidP="0052737B">
      <w:pPr>
        <w:spacing w:line="360" w:lineRule="auto"/>
        <w:ind w:firstLine="720"/>
        <w:jc w:val="both"/>
      </w:pPr>
    </w:p>
    <w:p w14:paraId="5909D104" w14:textId="5C7A5135" w:rsidR="001F5BED" w:rsidRPr="00F74DCF" w:rsidRDefault="00F35E89" w:rsidP="00F74DCF">
      <w:pPr>
        <w:spacing w:line="360" w:lineRule="auto"/>
        <w:ind w:firstLine="720"/>
        <w:jc w:val="both"/>
      </w:pPr>
      <m:oMathPara>
        <m:oMath>
          <m:r>
            <w:rPr>
              <w:rFonts w:ascii="Cambria Math" w:hAnsi="Cambria Math"/>
            </w:rPr>
            <m:t>-2 ∙</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r>
                <w:rPr>
                  <w:rFonts w:ascii="Cambria Math" w:hAnsi="Cambria Math"/>
                </w:rPr>
                <m:t>p</m:t>
              </m:r>
            </m:e>
          </m:func>
          <m:d>
            <m:dPr>
              <m:ctrlPr>
                <w:rPr>
                  <w:rFonts w:ascii="Cambria Math" w:hAnsi="Cambria Math"/>
                  <w:i/>
                </w:rPr>
              </m:ctrlPr>
            </m:dPr>
            <m:e>
              <m:r>
                <w:rPr>
                  <w:rFonts w:ascii="Cambria Math" w:hAnsi="Cambria Math"/>
                </w:rPr>
                <m:t>x</m:t>
              </m:r>
            </m:e>
            <m:e>
              <m:r>
                <w:rPr>
                  <w:rFonts w:ascii="Cambria Math" w:hAnsi="Cambria Math"/>
                </w:rPr>
                <m:t>k</m:t>
              </m:r>
            </m:e>
          </m:d>
          <m:r>
            <w:rPr>
              <w:rFonts w:ascii="Cambria Math" w:hAnsi="Cambria Math"/>
            </w:rPr>
            <m:t xml:space="preserve"> ≈ BIC=-2</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L</m:t>
                  </m:r>
                </m:e>
              </m:d>
            </m:e>
          </m:func>
          <m:r>
            <w:rPr>
              <w:rFonts w:ascii="Cambria Math" w:hAnsi="Cambria Math"/>
            </w:rPr>
            <m:t>+k∙</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n</m:t>
                  </m:r>
                </m:e>
              </m:d>
            </m:e>
          </m:func>
          <m:r>
            <w:rPr>
              <w:rFonts w:ascii="Cambria Math" w:hAnsi="Cambria Math"/>
            </w:rPr>
            <m:t>)</m:t>
          </m:r>
        </m:oMath>
      </m:oMathPara>
    </w:p>
    <w:p w14:paraId="5B8A334C" w14:textId="77777777" w:rsidR="00F74DCF" w:rsidRPr="00F74DCF" w:rsidRDefault="00F74DCF" w:rsidP="00F74DCF">
      <w:pPr>
        <w:spacing w:line="360" w:lineRule="auto"/>
        <w:ind w:firstLine="720"/>
        <w:jc w:val="both"/>
      </w:pPr>
    </w:p>
    <w:p w14:paraId="47A1F5A7" w14:textId="39BC4399" w:rsidR="001F5BED" w:rsidRDefault="00F35E89" w:rsidP="00F74DCF">
      <w:pPr>
        <w:spacing w:line="360" w:lineRule="auto"/>
        <w:jc w:val="both"/>
        <w:rPr>
          <w:rFonts w:ascii="Times New Roman" w:hAnsi="Times New Roman"/>
        </w:rPr>
      </w:pPr>
      <w:r w:rsidRPr="00F74DCF">
        <w:rPr>
          <w:rFonts w:ascii="Times New Roman" w:hAnsi="Times New Roman"/>
        </w:rPr>
        <w:t xml:space="preserve">Where </w:t>
      </w:r>
      <w:r w:rsidR="0027558C">
        <w:rPr>
          <w:rFonts w:ascii="Times New Roman" w:hAnsi="Times New Roman"/>
        </w:rPr>
        <w:t>(</w:t>
      </w:r>
      <w:r w:rsidRPr="00F74DCF">
        <w:rPr>
          <w:rFonts w:ascii="Times New Roman" w:hAnsi="Times New Roman"/>
        </w:rPr>
        <w:t>x</w:t>
      </w:r>
      <w:r w:rsidR="0027558C">
        <w:rPr>
          <w:rFonts w:ascii="Times New Roman" w:hAnsi="Times New Roman"/>
        </w:rPr>
        <w:t>)</w:t>
      </w:r>
      <w:r w:rsidRPr="00F74DCF">
        <w:rPr>
          <w:rFonts w:ascii="Times New Roman" w:hAnsi="Times New Roman"/>
        </w:rPr>
        <w:t xml:space="preserve"> is the </w:t>
      </w:r>
      <w:r w:rsidR="00F74DCF" w:rsidRPr="00F74DCF">
        <w:rPr>
          <w:rFonts w:ascii="Times New Roman" w:hAnsi="Times New Roman"/>
        </w:rPr>
        <w:t>data,</w:t>
      </w:r>
      <w:r w:rsidRPr="00F74DCF">
        <w:rPr>
          <w:rFonts w:ascii="Times New Roman" w:hAnsi="Times New Roman"/>
        </w:rPr>
        <w:t xml:space="preserve"> which is being observed, </w:t>
      </w:r>
      <w:r w:rsidR="0027558C">
        <w:rPr>
          <w:rFonts w:ascii="Times New Roman" w:hAnsi="Times New Roman"/>
        </w:rPr>
        <w:t>(</w:t>
      </w:r>
      <w:r w:rsidRPr="00F74DCF">
        <w:rPr>
          <w:rFonts w:ascii="Times New Roman" w:hAnsi="Times New Roman"/>
        </w:rPr>
        <w:t>n</w:t>
      </w:r>
      <w:r w:rsidR="0027558C">
        <w:rPr>
          <w:rFonts w:ascii="Times New Roman" w:hAnsi="Times New Roman"/>
        </w:rPr>
        <w:t>)</w:t>
      </w:r>
      <w:r w:rsidRPr="00F74DCF">
        <w:rPr>
          <w:rFonts w:ascii="Times New Roman" w:hAnsi="Times New Roman"/>
        </w:rPr>
        <w:t xml:space="preserve"> is the number of observations, </w:t>
      </w:r>
      <w:r w:rsidR="0027558C">
        <w:rPr>
          <w:rFonts w:ascii="Times New Roman" w:hAnsi="Times New Roman"/>
        </w:rPr>
        <w:t>(</w:t>
      </w:r>
      <w:r w:rsidRPr="00F74DCF">
        <w:rPr>
          <w:rFonts w:ascii="Times New Roman" w:hAnsi="Times New Roman"/>
        </w:rPr>
        <w:t>k</w:t>
      </w:r>
      <w:r w:rsidR="0027558C">
        <w:rPr>
          <w:rFonts w:ascii="Times New Roman" w:hAnsi="Times New Roman"/>
        </w:rPr>
        <w:t>)</w:t>
      </w:r>
      <w:r w:rsidRPr="00F74DCF">
        <w:rPr>
          <w:rFonts w:ascii="Times New Roman" w:hAnsi="Times New Roman"/>
        </w:rPr>
        <w:t xml:space="preserve"> is the number </w:t>
      </w:r>
      <w:r w:rsidRPr="00EF061E">
        <w:rPr>
          <w:rFonts w:ascii="Times New Roman" w:hAnsi="Times New Roman"/>
        </w:rPr>
        <w:t xml:space="preserve">of </w:t>
      </w:r>
      <w:r w:rsidR="00344FD1" w:rsidRPr="00EF061E">
        <w:rPr>
          <w:rFonts w:ascii="Times New Roman" w:hAnsi="Times New Roman"/>
        </w:rPr>
        <w:t>independent variables</w:t>
      </w:r>
      <w:r w:rsidRPr="00EF061E">
        <w:rPr>
          <w:rFonts w:ascii="Times New Roman" w:hAnsi="Times New Roman"/>
        </w:rPr>
        <w:t xml:space="preserve"> in case</w:t>
      </w:r>
      <w:r w:rsidRPr="00F74DCF">
        <w:rPr>
          <w:rFonts w:ascii="Times New Roman" w:hAnsi="Times New Roman"/>
        </w:rPr>
        <w:t xml:space="preserve"> a linear regression model is employed</w:t>
      </w:r>
      <w:r w:rsidR="00F74DCF" w:rsidRPr="00F74DCF">
        <w:rPr>
          <w:rFonts w:ascii="Times New Roman" w:hAnsi="Times New Roman"/>
        </w:rPr>
        <w:t xml:space="preserve">, </w:t>
      </w:r>
      <m:oMath>
        <m:r>
          <w:rPr>
            <w:rFonts w:ascii="Cambria Math" w:hAnsi="Cambria Math"/>
          </w:rPr>
          <m:t>p</m:t>
        </m:r>
        <m:d>
          <m:dPr>
            <m:ctrlPr>
              <w:rPr>
                <w:rFonts w:ascii="Cambria Math" w:hAnsi="Cambria Math"/>
                <w:i/>
              </w:rPr>
            </m:ctrlPr>
          </m:dPr>
          <m:e>
            <m:r>
              <w:rPr>
                <w:rFonts w:ascii="Cambria Math" w:hAnsi="Cambria Math"/>
              </w:rPr>
              <m:t>x</m:t>
            </m:r>
          </m:e>
          <m:e>
            <m:r>
              <w:rPr>
                <w:rFonts w:ascii="Cambria Math" w:hAnsi="Cambria Math"/>
              </w:rPr>
              <m:t>k</m:t>
            </m:r>
          </m:e>
        </m:d>
      </m:oMath>
      <w:r w:rsidR="00F74DCF" w:rsidRPr="00F74DCF">
        <w:rPr>
          <w:rFonts w:ascii="Times New Roman" w:hAnsi="Times New Roman"/>
        </w:rPr>
        <w:t xml:space="preserve"> is the likelihood given the dataset and </w:t>
      </w:r>
      <w:r w:rsidR="0027558C">
        <w:rPr>
          <w:rFonts w:ascii="Times New Roman" w:hAnsi="Times New Roman"/>
        </w:rPr>
        <w:t>(</w:t>
      </w:r>
      <w:r w:rsidR="00F74DCF" w:rsidRPr="00F74DCF">
        <w:rPr>
          <w:rFonts w:ascii="Times New Roman" w:hAnsi="Times New Roman"/>
        </w:rPr>
        <w:t>L</w:t>
      </w:r>
      <w:r w:rsidR="0027558C">
        <w:rPr>
          <w:rFonts w:ascii="Times New Roman" w:hAnsi="Times New Roman"/>
        </w:rPr>
        <w:t>)</w:t>
      </w:r>
      <w:r w:rsidR="00F74DCF" w:rsidRPr="00F74DCF">
        <w:rPr>
          <w:rFonts w:ascii="Times New Roman" w:hAnsi="Times New Roman"/>
        </w:rPr>
        <w:t xml:space="preserve"> represents the maximum value of the likelihood function for the estimated model.</w:t>
      </w:r>
      <w:r w:rsidR="00031359">
        <w:rPr>
          <w:rFonts w:ascii="Times New Roman" w:hAnsi="Times New Roman"/>
        </w:rPr>
        <w:t xml:space="preserve"> </w:t>
      </w:r>
    </w:p>
    <w:p w14:paraId="7E7B2D5B" w14:textId="61DE7580" w:rsidR="00031359" w:rsidRPr="00901642" w:rsidRDefault="00F35E89" w:rsidP="00E613EF">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The research on explanatory power comparison among models was performed by Otten and Bams </w:t>
      </w:r>
      <w:r w:rsidR="0027558C">
        <w:rPr>
          <w:rFonts w:ascii="Times New Roman" w:hAnsi="Times New Roman" w:cs="Times New Roman"/>
        </w:rPr>
        <w:t>in 2004</w:t>
      </w:r>
      <w:r>
        <w:rPr>
          <w:rFonts w:ascii="Times New Roman" w:hAnsi="Times New Roman" w:cs="Times New Roman"/>
        </w:rPr>
        <w:t xml:space="preserve"> for the </w:t>
      </w:r>
      <w:r w:rsidR="0027558C">
        <w:rPr>
          <w:rFonts w:ascii="Times New Roman" w:hAnsi="Times New Roman" w:cs="Times New Roman"/>
        </w:rPr>
        <w:t>US</w:t>
      </w:r>
      <w:r>
        <w:rPr>
          <w:rFonts w:ascii="Times New Roman" w:hAnsi="Times New Roman" w:cs="Times New Roman"/>
        </w:rPr>
        <w:t xml:space="preserve"> for 38 years. They compared CAPM, the Fama, and French three-factor model and the Carhart four-factor model and found a higher explanatory power for Carhart four-factor model.</w:t>
      </w:r>
    </w:p>
    <w:p w14:paraId="3021E170" w14:textId="77777777" w:rsidR="001F5BED" w:rsidRPr="001F5BED" w:rsidRDefault="001F5BED" w:rsidP="001F5BED"/>
    <w:p w14:paraId="6CC78F22" w14:textId="1C9BD695" w:rsidR="00A65544" w:rsidRDefault="00F35E89" w:rsidP="00B32FF9">
      <w:pPr>
        <w:pStyle w:val="Heading1"/>
        <w:rPr>
          <w:rFonts w:ascii="Times New Roman" w:eastAsia="Times New Roman" w:hAnsi="Times New Roman" w:cs="Times New Roman"/>
          <w:b/>
          <w:bCs/>
        </w:rPr>
      </w:pPr>
      <w:bookmarkStart w:id="10" w:name="_Toc15419040"/>
      <w:r w:rsidRPr="00EF061E">
        <w:rPr>
          <w:rFonts w:ascii="Times New Roman" w:eastAsia="Times New Roman" w:hAnsi="Times New Roman" w:cs="Times New Roman"/>
          <w:b/>
          <w:bCs/>
        </w:rPr>
        <w:t>3. Data</w:t>
      </w:r>
      <w:bookmarkEnd w:id="10"/>
    </w:p>
    <w:p w14:paraId="2183E0A8" w14:textId="58296475" w:rsidR="00B32FF9" w:rsidRDefault="00B32FF9" w:rsidP="00B32FF9"/>
    <w:p w14:paraId="46FFB691" w14:textId="77777777" w:rsidR="00CA526D" w:rsidRPr="00B32FF9" w:rsidRDefault="00CA526D" w:rsidP="00B32FF9"/>
    <w:p w14:paraId="30AC439B" w14:textId="22D9EF30" w:rsidR="00204A5E" w:rsidRDefault="00F35E89" w:rsidP="006042D0">
      <w:pPr>
        <w:spacing w:line="360" w:lineRule="auto"/>
        <w:ind w:firstLine="720"/>
        <w:jc w:val="both"/>
        <w:rPr>
          <w:rFonts w:ascii="Times New Roman" w:hAnsi="Times New Roman" w:cs="Times New Roman"/>
        </w:rPr>
      </w:pPr>
      <w:r>
        <w:rPr>
          <w:rFonts w:ascii="Times New Roman" w:hAnsi="Times New Roman" w:cs="Times New Roman"/>
        </w:rPr>
        <w:t>Data for the mutual funds w</w:t>
      </w:r>
      <w:r w:rsidR="00EF061E">
        <w:rPr>
          <w:rFonts w:ascii="Times New Roman" w:hAnsi="Times New Roman" w:cs="Times New Roman"/>
        </w:rPr>
        <w:t xml:space="preserve">ere </w:t>
      </w:r>
      <w:r w:rsidR="00A65544" w:rsidRPr="00A65544">
        <w:rPr>
          <w:rFonts w:ascii="Times New Roman" w:hAnsi="Times New Roman" w:cs="Times New Roman"/>
        </w:rPr>
        <w:t>gathered</w:t>
      </w:r>
      <w:r w:rsidR="006009FE">
        <w:rPr>
          <w:rFonts w:ascii="Times New Roman" w:hAnsi="Times New Roman" w:cs="Times New Roman"/>
        </w:rPr>
        <w:t xml:space="preserve"> from</w:t>
      </w:r>
      <w:r w:rsidR="00A65544" w:rsidRPr="00A65544">
        <w:rPr>
          <w:rFonts w:ascii="Times New Roman" w:hAnsi="Times New Roman" w:cs="Times New Roman"/>
        </w:rPr>
        <w:t xml:space="preserve"> the Morningstar </w:t>
      </w:r>
      <w:r w:rsidR="00EF061E" w:rsidRPr="00A65544">
        <w:rPr>
          <w:rFonts w:ascii="Times New Roman" w:hAnsi="Times New Roman" w:cs="Times New Roman"/>
        </w:rPr>
        <w:t>database</w:t>
      </w:r>
      <w:r w:rsidR="00EF061E">
        <w:rPr>
          <w:rFonts w:ascii="Times New Roman" w:hAnsi="Times New Roman" w:cs="Times New Roman"/>
        </w:rPr>
        <w:t>, which was</w:t>
      </w:r>
      <w:r w:rsidR="00A65544" w:rsidRPr="00A65544">
        <w:rPr>
          <w:rFonts w:ascii="Times New Roman" w:hAnsi="Times New Roman" w:cs="Times New Roman"/>
        </w:rPr>
        <w:t xml:space="preserve"> founded in 1984</w:t>
      </w:r>
      <w:r w:rsidR="00EF061E">
        <w:rPr>
          <w:rFonts w:ascii="Times New Roman" w:hAnsi="Times New Roman" w:cs="Times New Roman"/>
        </w:rPr>
        <w:t xml:space="preserve"> and</w:t>
      </w:r>
      <w:r w:rsidR="00A65544" w:rsidRPr="00A65544">
        <w:rPr>
          <w:rFonts w:ascii="Times New Roman" w:hAnsi="Times New Roman" w:cs="Times New Roman"/>
        </w:rPr>
        <w:t xml:space="preserve"> contains information</w:t>
      </w:r>
      <w:r w:rsidR="00411928">
        <w:rPr>
          <w:rFonts w:ascii="Times New Roman" w:hAnsi="Times New Roman" w:cs="Times New Roman"/>
        </w:rPr>
        <w:t xml:space="preserve"> on</w:t>
      </w:r>
      <w:r w:rsidR="00A65544" w:rsidRPr="00A65544">
        <w:rPr>
          <w:rFonts w:ascii="Times New Roman" w:hAnsi="Times New Roman" w:cs="Times New Roman"/>
        </w:rPr>
        <w:t xml:space="preserve"> </w:t>
      </w:r>
      <w:r w:rsidR="00411928">
        <w:rPr>
          <w:rFonts w:ascii="Times New Roman" w:hAnsi="Times New Roman" w:cs="Times New Roman"/>
        </w:rPr>
        <w:t xml:space="preserve">various types of investments such as fixed </w:t>
      </w:r>
      <w:r w:rsidR="008A4060">
        <w:rPr>
          <w:rFonts w:ascii="Times New Roman" w:hAnsi="Times New Roman" w:cs="Times New Roman"/>
        </w:rPr>
        <w:t>income,</w:t>
      </w:r>
      <w:r w:rsidR="00EF061E" w:rsidRPr="00EF061E">
        <w:rPr>
          <w:rFonts w:ascii="Times New Roman" w:hAnsi="Times New Roman" w:cs="Times New Roman"/>
        </w:rPr>
        <w:t xml:space="preserve"> </w:t>
      </w:r>
      <w:r w:rsidR="00EF061E">
        <w:rPr>
          <w:rFonts w:ascii="Times New Roman" w:hAnsi="Times New Roman" w:cs="Times New Roman"/>
        </w:rPr>
        <w:t>equity and markets,</w:t>
      </w:r>
      <w:r w:rsidR="008A4060">
        <w:rPr>
          <w:rFonts w:ascii="Times New Roman" w:hAnsi="Times New Roman" w:cs="Times New Roman"/>
        </w:rPr>
        <w:t xml:space="preserve"> exchange</w:t>
      </w:r>
      <w:r w:rsidR="00411928">
        <w:rPr>
          <w:rFonts w:ascii="Times New Roman" w:hAnsi="Times New Roman" w:cs="Times New Roman"/>
        </w:rPr>
        <w:t>-traded funds</w:t>
      </w:r>
      <w:r w:rsidR="00EF061E">
        <w:rPr>
          <w:rFonts w:ascii="Times New Roman" w:hAnsi="Times New Roman" w:cs="Times New Roman"/>
        </w:rPr>
        <w:t xml:space="preserve"> </w:t>
      </w:r>
      <w:r w:rsidR="00411928">
        <w:rPr>
          <w:rFonts w:ascii="Times New Roman" w:hAnsi="Times New Roman" w:cs="Times New Roman"/>
        </w:rPr>
        <w:t xml:space="preserve">and mutual funds. Mutual fund data contains performance measures as well as firm characteristic values. </w:t>
      </w:r>
    </w:p>
    <w:p w14:paraId="6DC4B38E" w14:textId="554A9E2F" w:rsidR="00A65544" w:rsidRPr="00A65544" w:rsidRDefault="00F35E89" w:rsidP="006042D0">
      <w:pPr>
        <w:spacing w:line="360" w:lineRule="auto"/>
        <w:ind w:firstLine="720"/>
        <w:jc w:val="both"/>
        <w:rPr>
          <w:rFonts w:ascii="Times New Roman" w:hAnsi="Times New Roman" w:cs="Times New Roman"/>
        </w:rPr>
      </w:pPr>
      <w:r>
        <w:rPr>
          <w:rFonts w:ascii="Times New Roman" w:hAnsi="Times New Roman" w:cs="Times New Roman"/>
        </w:rPr>
        <w:t>Funds that perform poorly are likely to disappear or merge with other funds which create</w:t>
      </w:r>
      <w:r w:rsidR="009571AE">
        <w:rPr>
          <w:rFonts w:ascii="Times New Roman" w:hAnsi="Times New Roman" w:cs="Times New Roman"/>
        </w:rPr>
        <w:t>s a</w:t>
      </w:r>
      <w:r>
        <w:rPr>
          <w:rFonts w:ascii="Times New Roman" w:hAnsi="Times New Roman" w:cs="Times New Roman"/>
        </w:rPr>
        <w:t xml:space="preserve"> s</w:t>
      </w:r>
      <w:r w:rsidR="008137D6">
        <w:rPr>
          <w:rFonts w:ascii="Times New Roman" w:hAnsi="Times New Roman" w:cs="Times New Roman"/>
        </w:rPr>
        <w:t>urvivor bias</w:t>
      </w:r>
      <w:r>
        <w:rPr>
          <w:rFonts w:ascii="Times New Roman" w:hAnsi="Times New Roman" w:cs="Times New Roman"/>
        </w:rPr>
        <w:t xml:space="preserve">. </w:t>
      </w:r>
      <w:r w:rsidR="008A4060">
        <w:rPr>
          <w:rFonts w:ascii="Times New Roman" w:hAnsi="Times New Roman" w:cs="Times New Roman"/>
        </w:rPr>
        <w:t>U</w:t>
      </w:r>
      <w:r w:rsidR="008137D6">
        <w:rPr>
          <w:rFonts w:ascii="Times New Roman" w:hAnsi="Times New Roman" w:cs="Times New Roman"/>
        </w:rPr>
        <w:t>sing a database that contains only surviving firms</w:t>
      </w:r>
      <w:r>
        <w:rPr>
          <w:rFonts w:ascii="Times New Roman" w:hAnsi="Times New Roman" w:cs="Times New Roman"/>
        </w:rPr>
        <w:t xml:space="preserve"> results</w:t>
      </w:r>
      <w:r w:rsidR="008137D6">
        <w:rPr>
          <w:rFonts w:ascii="Times New Roman" w:hAnsi="Times New Roman" w:cs="Times New Roman"/>
        </w:rPr>
        <w:t xml:space="preserve"> </w:t>
      </w:r>
      <w:r>
        <w:rPr>
          <w:rFonts w:ascii="Times New Roman" w:hAnsi="Times New Roman" w:cs="Times New Roman"/>
        </w:rPr>
        <w:t>in</w:t>
      </w:r>
      <w:r w:rsidR="008137D6">
        <w:rPr>
          <w:rFonts w:ascii="Times New Roman" w:hAnsi="Times New Roman" w:cs="Times New Roman"/>
        </w:rPr>
        <w:t xml:space="preserve"> </w:t>
      </w:r>
      <w:r>
        <w:rPr>
          <w:rFonts w:ascii="Times New Roman" w:hAnsi="Times New Roman" w:cs="Times New Roman"/>
        </w:rPr>
        <w:t>the</w:t>
      </w:r>
      <w:r w:rsidR="008137D6">
        <w:rPr>
          <w:rFonts w:ascii="Times New Roman" w:hAnsi="Times New Roman" w:cs="Times New Roman"/>
        </w:rPr>
        <w:t xml:space="preserve"> overestimation of performance</w:t>
      </w:r>
      <w:r w:rsidR="006009FE">
        <w:rPr>
          <w:rFonts w:ascii="Times New Roman" w:hAnsi="Times New Roman" w:cs="Times New Roman"/>
        </w:rPr>
        <w:t>,</w:t>
      </w:r>
      <w:r w:rsidR="008A4060">
        <w:rPr>
          <w:rFonts w:ascii="Times New Roman" w:hAnsi="Times New Roman" w:cs="Times New Roman"/>
        </w:rPr>
        <w:t xml:space="preserve"> which according to Malkiel (1995) amounts to </w:t>
      </w:r>
      <w:r w:rsidR="00206EFA">
        <w:rPr>
          <w:rFonts w:ascii="Times New Roman" w:hAnsi="Times New Roman" w:cs="Times New Roman"/>
        </w:rPr>
        <w:t>approximately 150 basis points</w:t>
      </w:r>
      <w:r w:rsidR="008A4060">
        <w:rPr>
          <w:rFonts w:ascii="Times New Roman" w:hAnsi="Times New Roman" w:cs="Times New Roman"/>
        </w:rPr>
        <w:t xml:space="preserve">. One of the major benefits of </w:t>
      </w:r>
      <w:r>
        <w:rPr>
          <w:rFonts w:ascii="Times New Roman" w:hAnsi="Times New Roman" w:cs="Times New Roman"/>
        </w:rPr>
        <w:t>the Morningstar database</w:t>
      </w:r>
      <w:r w:rsidR="008A4060">
        <w:rPr>
          <w:rFonts w:ascii="Times New Roman" w:hAnsi="Times New Roman" w:cs="Times New Roman"/>
        </w:rPr>
        <w:t xml:space="preserve"> is that it</w:t>
      </w:r>
      <w:r w:rsidRPr="00A65544">
        <w:rPr>
          <w:rFonts w:ascii="Times New Roman" w:hAnsi="Times New Roman" w:cs="Times New Roman"/>
        </w:rPr>
        <w:t xml:space="preserve"> includes non-surviving</w:t>
      </w:r>
      <w:r w:rsidR="006009FE">
        <w:rPr>
          <w:rFonts w:ascii="Times New Roman" w:hAnsi="Times New Roman" w:cs="Times New Roman"/>
        </w:rPr>
        <w:t>,</w:t>
      </w:r>
      <w:r w:rsidRPr="00A65544">
        <w:rPr>
          <w:rFonts w:ascii="Times New Roman" w:hAnsi="Times New Roman" w:cs="Times New Roman"/>
        </w:rPr>
        <w:t xml:space="preserve"> as well as surviving funds in its scope which makes the database survivor bias-free.  </w:t>
      </w:r>
    </w:p>
    <w:p w14:paraId="4DF86E0C" w14:textId="110E078D" w:rsidR="0072108D" w:rsidRDefault="00F35E89" w:rsidP="00280590">
      <w:pPr>
        <w:spacing w:line="360" w:lineRule="auto"/>
        <w:ind w:firstLine="720"/>
        <w:jc w:val="both"/>
        <w:rPr>
          <w:rFonts w:ascii="Times New Roman" w:hAnsi="Times New Roman" w:cs="Times New Roman"/>
        </w:rPr>
      </w:pPr>
      <w:r w:rsidRPr="00A65544">
        <w:rPr>
          <w:rFonts w:ascii="Times New Roman" w:hAnsi="Times New Roman" w:cs="Times New Roman"/>
        </w:rPr>
        <w:t>During the</w:t>
      </w:r>
      <w:r w:rsidR="00FE0E98">
        <w:rPr>
          <w:rFonts w:ascii="Times New Roman" w:hAnsi="Times New Roman" w:cs="Times New Roman"/>
        </w:rPr>
        <w:t xml:space="preserve"> data</w:t>
      </w:r>
      <w:r w:rsidRPr="00A65544">
        <w:rPr>
          <w:rFonts w:ascii="Times New Roman" w:hAnsi="Times New Roman" w:cs="Times New Roman"/>
        </w:rPr>
        <w:t xml:space="preserve"> gathering process, a number of filters were employed. Initial</w:t>
      </w:r>
      <w:r w:rsidR="00DD0317">
        <w:rPr>
          <w:rFonts w:ascii="Times New Roman" w:hAnsi="Times New Roman" w:cs="Times New Roman"/>
        </w:rPr>
        <w:t>ly</w:t>
      </w:r>
      <w:r w:rsidRPr="00A65544">
        <w:rPr>
          <w:rFonts w:ascii="Times New Roman" w:hAnsi="Times New Roman" w:cs="Times New Roman"/>
        </w:rPr>
        <w:t xml:space="preserve">, </w:t>
      </w:r>
      <w:r w:rsidR="006009FE">
        <w:rPr>
          <w:rFonts w:ascii="Times New Roman" w:hAnsi="Times New Roman" w:cs="Times New Roman"/>
        </w:rPr>
        <w:t>the</w:t>
      </w:r>
      <w:r w:rsidRPr="00A65544">
        <w:rPr>
          <w:rFonts w:ascii="Times New Roman" w:hAnsi="Times New Roman" w:cs="Times New Roman"/>
        </w:rPr>
        <w:t xml:space="preserve"> </w:t>
      </w:r>
      <w:r w:rsidR="008A4060">
        <w:rPr>
          <w:rFonts w:ascii="Times New Roman" w:hAnsi="Times New Roman" w:cs="Times New Roman"/>
        </w:rPr>
        <w:t>domicile</w:t>
      </w:r>
      <w:r w:rsidRPr="00A65544">
        <w:rPr>
          <w:rFonts w:ascii="Times New Roman" w:hAnsi="Times New Roman" w:cs="Times New Roman"/>
        </w:rPr>
        <w:t xml:space="preserve"> and the global broad category group</w:t>
      </w:r>
      <w:r w:rsidR="00DD0317">
        <w:rPr>
          <w:rFonts w:ascii="Times New Roman" w:hAnsi="Times New Roman" w:cs="Times New Roman"/>
        </w:rPr>
        <w:t xml:space="preserve"> was filtered out</w:t>
      </w:r>
      <w:r w:rsidRPr="00A65544">
        <w:rPr>
          <w:rFonts w:ascii="Times New Roman" w:hAnsi="Times New Roman" w:cs="Times New Roman"/>
        </w:rPr>
        <w:t>. Since th</w:t>
      </w:r>
      <w:r w:rsidR="00F26DE5">
        <w:rPr>
          <w:rFonts w:ascii="Times New Roman" w:hAnsi="Times New Roman" w:cs="Times New Roman"/>
        </w:rPr>
        <w:t>e</w:t>
      </w:r>
      <w:r w:rsidRPr="00A65544">
        <w:rPr>
          <w:rFonts w:ascii="Times New Roman" w:hAnsi="Times New Roman" w:cs="Times New Roman"/>
        </w:rPr>
        <w:t xml:space="preserve"> thesis aims to evaluate the performance of equity mutual funds, </w:t>
      </w:r>
      <w:r w:rsidR="00DD0317">
        <w:rPr>
          <w:rFonts w:ascii="Times New Roman" w:hAnsi="Times New Roman" w:cs="Times New Roman"/>
        </w:rPr>
        <w:t xml:space="preserve">domicile </w:t>
      </w:r>
      <w:r w:rsidRPr="00A65544">
        <w:rPr>
          <w:rFonts w:ascii="Times New Roman" w:hAnsi="Times New Roman" w:cs="Times New Roman"/>
        </w:rPr>
        <w:t xml:space="preserve">and the </w:t>
      </w:r>
      <w:r w:rsidR="00DD0317">
        <w:rPr>
          <w:rFonts w:ascii="Times New Roman" w:hAnsi="Times New Roman" w:cs="Times New Roman"/>
        </w:rPr>
        <w:t xml:space="preserve">country of investment </w:t>
      </w:r>
      <w:r w:rsidRPr="00A65544">
        <w:rPr>
          <w:rFonts w:ascii="Times New Roman" w:hAnsi="Times New Roman" w:cs="Times New Roman"/>
        </w:rPr>
        <w:t>were taken as</w:t>
      </w:r>
      <w:r w:rsidR="00F00F19">
        <w:rPr>
          <w:rFonts w:ascii="Times New Roman" w:hAnsi="Times New Roman" w:cs="Times New Roman"/>
        </w:rPr>
        <w:t xml:space="preserve"> </w:t>
      </w:r>
      <w:r w:rsidR="00DD0317">
        <w:rPr>
          <w:rFonts w:ascii="Times New Roman" w:hAnsi="Times New Roman" w:cs="Times New Roman"/>
        </w:rPr>
        <w:t>identical</w:t>
      </w:r>
      <w:r w:rsidR="00F00F19">
        <w:rPr>
          <w:rFonts w:ascii="Times New Roman" w:hAnsi="Times New Roman" w:cs="Times New Roman"/>
        </w:rPr>
        <w:t xml:space="preserve"> </w:t>
      </w:r>
      <w:r w:rsidR="00F26DE5">
        <w:rPr>
          <w:rFonts w:ascii="Times New Roman" w:hAnsi="Times New Roman" w:cs="Times New Roman"/>
        </w:rPr>
        <w:t xml:space="preserve">and </w:t>
      </w:r>
      <w:r w:rsidRPr="00A65544">
        <w:rPr>
          <w:rFonts w:ascii="Times New Roman" w:hAnsi="Times New Roman" w:cs="Times New Roman"/>
        </w:rPr>
        <w:t xml:space="preserve">the global broad category group was </w:t>
      </w:r>
      <w:r w:rsidR="00DD0317">
        <w:rPr>
          <w:rFonts w:ascii="Times New Roman" w:hAnsi="Times New Roman" w:cs="Times New Roman"/>
        </w:rPr>
        <w:t>chosen</w:t>
      </w:r>
      <w:r w:rsidRPr="00A65544">
        <w:rPr>
          <w:rFonts w:ascii="Times New Roman" w:hAnsi="Times New Roman" w:cs="Times New Roman"/>
        </w:rPr>
        <w:t xml:space="preserve"> as equity. Closed-end funds, index funds, exchange-traded funds, </w:t>
      </w:r>
      <w:r w:rsidRPr="00890910">
        <w:rPr>
          <w:rFonts w:ascii="Times New Roman" w:hAnsi="Times New Roman" w:cs="Times New Roman"/>
        </w:rPr>
        <w:t>funds of funds</w:t>
      </w:r>
      <w:r w:rsidRPr="00A65544">
        <w:rPr>
          <w:rFonts w:ascii="Times New Roman" w:hAnsi="Times New Roman" w:cs="Times New Roman"/>
        </w:rPr>
        <w:t xml:space="preserve">, </w:t>
      </w:r>
      <w:r w:rsidR="008A4060">
        <w:rPr>
          <w:rFonts w:ascii="Times New Roman" w:hAnsi="Times New Roman" w:cs="Times New Roman"/>
        </w:rPr>
        <w:t>were excluded from the search results.</w:t>
      </w:r>
      <w:r w:rsidR="00BB1E35">
        <w:rPr>
          <w:rFonts w:ascii="Times New Roman" w:hAnsi="Times New Roman" w:cs="Times New Roman"/>
        </w:rPr>
        <w:t xml:space="preserve"> </w:t>
      </w:r>
      <w:r w:rsidRPr="00A65544">
        <w:rPr>
          <w:rFonts w:ascii="Times New Roman" w:hAnsi="Times New Roman" w:cs="Times New Roman"/>
        </w:rPr>
        <w:t xml:space="preserve"> </w:t>
      </w:r>
      <w:r w:rsidR="003B1B1A">
        <w:rPr>
          <w:rFonts w:ascii="Times New Roman" w:hAnsi="Times New Roman" w:cs="Times New Roman"/>
        </w:rPr>
        <w:t>Moreover, f</w:t>
      </w:r>
      <w:r w:rsidR="004B7AF9">
        <w:rPr>
          <w:rFonts w:ascii="Times New Roman" w:hAnsi="Times New Roman" w:cs="Times New Roman"/>
        </w:rPr>
        <w:t xml:space="preserve">unds with oldest share classes were gathered. </w:t>
      </w:r>
      <w:r w:rsidR="003B1B1A">
        <w:rPr>
          <w:rFonts w:ascii="Times New Roman" w:hAnsi="Times New Roman" w:cs="Times New Roman"/>
        </w:rPr>
        <w:t xml:space="preserve">Morningstar determines funds with the oldest shares to offer funds with the most appropriate performance comparison. </w:t>
      </w:r>
      <w:r w:rsidR="00DD0317">
        <w:rPr>
          <w:rFonts w:ascii="Times New Roman" w:hAnsi="Times New Roman" w:cs="Times New Roman"/>
        </w:rPr>
        <w:t>For</w:t>
      </w:r>
      <w:r w:rsidR="001937D9">
        <w:rPr>
          <w:rFonts w:ascii="Times New Roman" w:hAnsi="Times New Roman" w:cs="Times New Roman"/>
        </w:rPr>
        <w:t xml:space="preserve"> mutual fund</w:t>
      </w:r>
      <w:r w:rsidR="00DD0317">
        <w:rPr>
          <w:rFonts w:ascii="Times New Roman" w:hAnsi="Times New Roman" w:cs="Times New Roman"/>
        </w:rPr>
        <w:t xml:space="preserve"> </w:t>
      </w:r>
      <w:r w:rsidR="00F26DE5">
        <w:rPr>
          <w:rFonts w:ascii="Times New Roman" w:hAnsi="Times New Roman" w:cs="Times New Roman"/>
        </w:rPr>
        <w:t>performance</w:t>
      </w:r>
      <w:r w:rsidR="001937D9">
        <w:rPr>
          <w:rFonts w:ascii="Times New Roman" w:hAnsi="Times New Roman" w:cs="Times New Roman"/>
        </w:rPr>
        <w:t xml:space="preserve"> evaluation, monthly returns were collected.</w:t>
      </w:r>
      <w:r w:rsidR="00DD0317">
        <w:rPr>
          <w:rFonts w:ascii="Times New Roman" w:hAnsi="Times New Roman" w:cs="Times New Roman"/>
        </w:rPr>
        <w:t xml:space="preserve"> </w:t>
      </w:r>
      <w:r w:rsidR="001937D9">
        <w:rPr>
          <w:rFonts w:ascii="Times New Roman" w:hAnsi="Times New Roman" w:cs="Times New Roman"/>
        </w:rPr>
        <w:t xml:space="preserve">To test the relationship between fund performance and fund </w:t>
      </w:r>
      <w:r w:rsidR="00DD0317">
        <w:rPr>
          <w:rFonts w:ascii="Times New Roman" w:hAnsi="Times New Roman" w:cs="Times New Roman"/>
        </w:rPr>
        <w:t>characteristics</w:t>
      </w:r>
      <w:r w:rsidR="001937D9">
        <w:rPr>
          <w:rFonts w:ascii="Times New Roman" w:hAnsi="Times New Roman" w:cs="Times New Roman"/>
        </w:rPr>
        <w:t xml:space="preserve"> </w:t>
      </w:r>
      <w:r w:rsidRPr="00A65544">
        <w:rPr>
          <w:rFonts w:ascii="Times New Roman" w:hAnsi="Times New Roman" w:cs="Times New Roman"/>
        </w:rPr>
        <w:t xml:space="preserve">monthly </w:t>
      </w:r>
      <w:r w:rsidR="001937D9">
        <w:rPr>
          <w:rFonts w:ascii="Times New Roman" w:hAnsi="Times New Roman" w:cs="Times New Roman"/>
        </w:rPr>
        <w:t>total net assets</w:t>
      </w:r>
      <w:r w:rsidRPr="00A65544">
        <w:rPr>
          <w:rFonts w:ascii="Times New Roman" w:hAnsi="Times New Roman" w:cs="Times New Roman"/>
        </w:rPr>
        <w:t xml:space="preserve">, </w:t>
      </w:r>
      <w:r w:rsidR="00F00F19">
        <w:rPr>
          <w:rFonts w:ascii="Times New Roman" w:hAnsi="Times New Roman" w:cs="Times New Roman"/>
        </w:rPr>
        <w:t>expense ratios and the turnover ratios</w:t>
      </w:r>
      <w:r w:rsidR="00CB77A9">
        <w:rPr>
          <w:rFonts w:ascii="Times New Roman" w:hAnsi="Times New Roman" w:cs="Times New Roman"/>
        </w:rPr>
        <w:t xml:space="preserve"> </w:t>
      </w:r>
      <w:r w:rsidR="004B7AF9">
        <w:rPr>
          <w:rFonts w:ascii="Times New Roman" w:hAnsi="Times New Roman" w:cs="Times New Roman"/>
        </w:rPr>
        <w:t xml:space="preserve">of the funds </w:t>
      </w:r>
      <w:r w:rsidR="001937D9">
        <w:rPr>
          <w:rFonts w:ascii="Times New Roman" w:hAnsi="Times New Roman" w:cs="Times New Roman"/>
        </w:rPr>
        <w:t>were gathered. Total net assets represent the size of the fund and it is equal to total assets minus the liabilities of the fund. Expense ratios and turnover ratios are reported annually, however, Morningstar did not contain complete information on these variables for all of the sample countries.</w:t>
      </w:r>
    </w:p>
    <w:p w14:paraId="04AB8842" w14:textId="31C90F30" w:rsidR="00901642" w:rsidRDefault="00901642" w:rsidP="00AB420C">
      <w:pPr>
        <w:pStyle w:val="Heading2"/>
        <w:rPr>
          <w:rFonts w:ascii="Times New Roman" w:hAnsi="Times New Roman" w:cs="Times New Roman"/>
          <w:b/>
          <w:bCs/>
        </w:rPr>
      </w:pPr>
    </w:p>
    <w:p w14:paraId="12FB1501" w14:textId="7CDC6773" w:rsidR="00901642" w:rsidRDefault="00901642" w:rsidP="00901642"/>
    <w:p w14:paraId="56EDB420" w14:textId="0DF828CD" w:rsidR="009571AE" w:rsidRDefault="009571AE" w:rsidP="00AB420C">
      <w:pPr>
        <w:pStyle w:val="Heading2"/>
        <w:rPr>
          <w:rFonts w:ascii="Times New Roman" w:hAnsi="Times New Roman" w:cs="Times New Roman"/>
          <w:b/>
          <w:bCs/>
        </w:rPr>
      </w:pPr>
    </w:p>
    <w:p w14:paraId="1AEA9C21" w14:textId="7F5D4FAC" w:rsidR="009571AE" w:rsidRDefault="009571AE" w:rsidP="009571AE"/>
    <w:p w14:paraId="1AE14EA8" w14:textId="7A1002F6" w:rsidR="00B32FF9" w:rsidRPr="00AB420C" w:rsidRDefault="00F35E89" w:rsidP="00AB420C">
      <w:pPr>
        <w:pStyle w:val="Heading2"/>
        <w:rPr>
          <w:rFonts w:ascii="Times New Roman" w:hAnsi="Times New Roman" w:cs="Times New Roman"/>
          <w:b/>
          <w:bCs/>
        </w:rPr>
      </w:pPr>
      <w:bookmarkStart w:id="11" w:name="_Toc15419041"/>
      <w:r w:rsidRPr="00B32FF9">
        <w:rPr>
          <w:rFonts w:ascii="Times New Roman" w:hAnsi="Times New Roman" w:cs="Times New Roman"/>
          <w:b/>
          <w:bCs/>
        </w:rPr>
        <w:lastRenderedPageBreak/>
        <w:t>3.2 - Summary Statistics</w:t>
      </w:r>
      <w:bookmarkEnd w:id="11"/>
    </w:p>
    <w:p w14:paraId="09F882F6" w14:textId="77777777" w:rsidR="00AB420C" w:rsidRDefault="00AB420C" w:rsidP="00AB420C">
      <w:pPr>
        <w:spacing w:line="360" w:lineRule="auto"/>
        <w:jc w:val="both"/>
        <w:rPr>
          <w:rFonts w:ascii="Times New Roman" w:hAnsi="Times New Roman" w:cs="Times New Roman"/>
        </w:rPr>
      </w:pPr>
    </w:p>
    <w:p w14:paraId="7DC7CBD7" w14:textId="48C253DC" w:rsidR="008D010E" w:rsidRPr="00FD0426" w:rsidRDefault="00F35E89" w:rsidP="00A9082A">
      <w:pPr>
        <w:rPr>
          <w:rFonts w:ascii="Times New Roman" w:hAnsi="Times New Roman" w:cs="Times New Roman"/>
          <w:sz w:val="22"/>
          <w:szCs w:val="22"/>
        </w:rPr>
      </w:pPr>
      <w:bookmarkStart w:id="12" w:name="_Toc11766484"/>
      <w:r w:rsidRPr="00FD0426">
        <w:rPr>
          <w:rFonts w:ascii="Times New Roman" w:hAnsi="Times New Roman" w:cs="Times New Roman"/>
          <w:sz w:val="22"/>
          <w:szCs w:val="22"/>
        </w:rPr>
        <w:t>Table 1. Mutual Fund Data Overview</w:t>
      </w:r>
      <w:bookmarkEnd w:id="12"/>
    </w:p>
    <w:tbl>
      <w:tblPr>
        <w:tblStyle w:val="ListTable2-Accent1"/>
        <w:tblW w:w="5000" w:type="pct"/>
        <w:tblLook w:val="04A0" w:firstRow="1" w:lastRow="0" w:firstColumn="1" w:lastColumn="0" w:noHBand="0" w:noVBand="1"/>
      </w:tblPr>
      <w:tblGrid>
        <w:gridCol w:w="1232"/>
        <w:gridCol w:w="927"/>
        <w:gridCol w:w="927"/>
        <w:gridCol w:w="927"/>
        <w:gridCol w:w="928"/>
        <w:gridCol w:w="928"/>
        <w:gridCol w:w="1261"/>
        <w:gridCol w:w="929"/>
        <w:gridCol w:w="961"/>
      </w:tblGrid>
      <w:tr w:rsidR="00395699" w14:paraId="70BFFBAA" w14:textId="23A10CD0" w:rsidTr="0039569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000000" w:themeColor="text1"/>
              <w:bottom w:val="single" w:sz="4" w:space="0" w:color="000000" w:themeColor="text1"/>
            </w:tcBorders>
            <w:shd w:val="clear" w:color="auto" w:fill="auto"/>
            <w:vAlign w:val="bottom"/>
          </w:tcPr>
          <w:p w14:paraId="4E828589" w14:textId="51E9FFA5" w:rsidR="00951E0A" w:rsidRPr="00BD4369" w:rsidRDefault="00F35E89" w:rsidP="00790FC8">
            <w:pPr>
              <w:jc w:val="center"/>
              <w:rPr>
                <w:rFonts w:ascii="Times New Roman" w:hAnsi="Times New Roman" w:cs="Times New Roman"/>
                <w:sz w:val="20"/>
                <w:szCs w:val="20"/>
              </w:rPr>
            </w:pPr>
            <w:r w:rsidRPr="00BD4369">
              <w:rPr>
                <w:rFonts w:ascii="Times New Roman" w:hAnsi="Times New Roman" w:cs="Times New Roman"/>
                <w:b w:val="0"/>
                <w:bCs w:val="0"/>
                <w:sz w:val="20"/>
                <w:szCs w:val="20"/>
              </w:rPr>
              <w:t>Country</w:t>
            </w:r>
          </w:p>
        </w:tc>
        <w:tc>
          <w:tcPr>
            <w:tcW w:w="537" w:type="pct"/>
            <w:tcBorders>
              <w:top w:val="single" w:sz="4" w:space="0" w:color="000000" w:themeColor="text1"/>
              <w:bottom w:val="single" w:sz="4" w:space="0" w:color="000000" w:themeColor="text1"/>
            </w:tcBorders>
            <w:shd w:val="clear" w:color="auto" w:fill="auto"/>
            <w:vAlign w:val="bottom"/>
          </w:tcPr>
          <w:p w14:paraId="6A104C8F" w14:textId="779BAC9E"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Number</w:t>
            </w:r>
          </w:p>
          <w:p w14:paraId="0049B8D5" w14:textId="602F232D"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of Funds</w:t>
            </w:r>
          </w:p>
        </w:tc>
        <w:tc>
          <w:tcPr>
            <w:tcW w:w="537" w:type="pct"/>
            <w:tcBorders>
              <w:top w:val="single" w:sz="4" w:space="0" w:color="000000" w:themeColor="text1"/>
              <w:bottom w:val="single" w:sz="4" w:space="0" w:color="000000" w:themeColor="text1"/>
            </w:tcBorders>
            <w:shd w:val="clear" w:color="auto" w:fill="auto"/>
            <w:vAlign w:val="bottom"/>
          </w:tcPr>
          <w:p w14:paraId="5DA91D2E" w14:textId="7D574362"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Average Funds</w:t>
            </w:r>
          </w:p>
        </w:tc>
        <w:tc>
          <w:tcPr>
            <w:tcW w:w="537" w:type="pct"/>
            <w:tcBorders>
              <w:top w:val="single" w:sz="4" w:space="0" w:color="000000" w:themeColor="text1"/>
              <w:bottom w:val="single" w:sz="4" w:space="0" w:color="000000" w:themeColor="text1"/>
            </w:tcBorders>
            <w:shd w:val="clear" w:color="auto" w:fill="auto"/>
            <w:vAlign w:val="bottom"/>
          </w:tcPr>
          <w:p w14:paraId="2744719D" w14:textId="07E2EA62"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Average Monthly Return</w:t>
            </w:r>
          </w:p>
        </w:tc>
        <w:tc>
          <w:tcPr>
            <w:tcW w:w="537" w:type="pct"/>
            <w:tcBorders>
              <w:top w:val="single" w:sz="4" w:space="0" w:color="000000" w:themeColor="text1"/>
              <w:bottom w:val="single" w:sz="4" w:space="0" w:color="000000" w:themeColor="text1"/>
            </w:tcBorders>
            <w:shd w:val="clear" w:color="auto" w:fill="auto"/>
            <w:vAlign w:val="bottom"/>
          </w:tcPr>
          <w:p w14:paraId="07C74A4A" w14:textId="4EA7A5E9"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 xml:space="preserve">Average </w:t>
            </w:r>
            <w:r w:rsidR="000F5E11" w:rsidRPr="00BD4369">
              <w:rPr>
                <w:rFonts w:ascii="Times New Roman" w:hAnsi="Times New Roman" w:cs="Times New Roman"/>
                <w:b w:val="0"/>
                <w:bCs w:val="0"/>
                <w:sz w:val="20"/>
                <w:szCs w:val="20"/>
              </w:rPr>
              <w:t>TNA</w:t>
            </w:r>
            <w:r w:rsidRPr="00BD4369">
              <w:rPr>
                <w:rFonts w:ascii="Times New Roman" w:hAnsi="Times New Roman" w:cs="Times New Roman"/>
                <w:b w:val="0"/>
                <w:bCs w:val="0"/>
                <w:sz w:val="20"/>
                <w:szCs w:val="20"/>
              </w:rPr>
              <w:t xml:space="preserve"> </w:t>
            </w:r>
          </w:p>
        </w:tc>
        <w:tc>
          <w:tcPr>
            <w:tcW w:w="537" w:type="pct"/>
            <w:tcBorders>
              <w:top w:val="single" w:sz="4" w:space="0" w:color="000000" w:themeColor="text1"/>
              <w:bottom w:val="single" w:sz="4" w:space="0" w:color="000000" w:themeColor="text1"/>
            </w:tcBorders>
            <w:vAlign w:val="bottom"/>
          </w:tcPr>
          <w:p w14:paraId="0E470243" w14:textId="77777777"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Average</w:t>
            </w:r>
          </w:p>
          <w:p w14:paraId="552E8C0C" w14:textId="77777777"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Fund</w:t>
            </w:r>
          </w:p>
          <w:p w14:paraId="681979CB" w14:textId="75BF7BAD"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Age</w:t>
            </w:r>
          </w:p>
        </w:tc>
        <w:tc>
          <w:tcPr>
            <w:tcW w:w="537" w:type="pct"/>
            <w:tcBorders>
              <w:top w:val="single" w:sz="4" w:space="0" w:color="000000" w:themeColor="text1"/>
              <w:bottom w:val="single" w:sz="4" w:space="0" w:color="000000" w:themeColor="text1"/>
            </w:tcBorders>
            <w:shd w:val="clear" w:color="auto" w:fill="auto"/>
            <w:vAlign w:val="bottom"/>
          </w:tcPr>
          <w:p w14:paraId="26FA1282" w14:textId="2004F3C0"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Average Management Fee</w:t>
            </w:r>
          </w:p>
        </w:tc>
        <w:tc>
          <w:tcPr>
            <w:tcW w:w="537" w:type="pct"/>
            <w:tcBorders>
              <w:top w:val="single" w:sz="4" w:space="0" w:color="000000" w:themeColor="text1"/>
              <w:bottom w:val="single" w:sz="4" w:space="0" w:color="000000" w:themeColor="text1"/>
            </w:tcBorders>
            <w:shd w:val="clear" w:color="auto" w:fill="auto"/>
            <w:vAlign w:val="bottom"/>
          </w:tcPr>
          <w:p w14:paraId="0B88AC9F" w14:textId="004B38A7"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Expense</w:t>
            </w:r>
          </w:p>
          <w:p w14:paraId="53E1D836" w14:textId="4A67CF4D"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Ratio</w:t>
            </w:r>
          </w:p>
        </w:tc>
        <w:tc>
          <w:tcPr>
            <w:tcW w:w="534" w:type="pct"/>
            <w:tcBorders>
              <w:top w:val="single" w:sz="4" w:space="0" w:color="000000" w:themeColor="text1"/>
              <w:bottom w:val="single" w:sz="4" w:space="0" w:color="000000" w:themeColor="text1"/>
            </w:tcBorders>
            <w:shd w:val="clear" w:color="auto" w:fill="auto"/>
            <w:vAlign w:val="bottom"/>
          </w:tcPr>
          <w:p w14:paraId="7A909C1A" w14:textId="35972A1B" w:rsidR="00951E0A" w:rsidRPr="00BD4369" w:rsidRDefault="00F35E89" w:rsidP="00790F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b w:val="0"/>
                <w:bCs w:val="0"/>
                <w:sz w:val="20"/>
                <w:szCs w:val="20"/>
              </w:rPr>
              <w:t>Turnover Ratio</w:t>
            </w:r>
          </w:p>
        </w:tc>
      </w:tr>
      <w:tr w:rsidR="00395699" w14:paraId="23C93423" w14:textId="18C18164" w:rsidTr="00395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6" w:type="pct"/>
            <w:tcBorders>
              <w:top w:val="single" w:sz="4" w:space="0" w:color="000000" w:themeColor="text1"/>
              <w:bottom w:val="nil"/>
            </w:tcBorders>
            <w:shd w:val="clear" w:color="auto" w:fill="auto"/>
            <w:vAlign w:val="bottom"/>
          </w:tcPr>
          <w:p w14:paraId="1026AD4F" w14:textId="7A7EE2A4" w:rsidR="00951E0A" w:rsidRPr="00BD4369" w:rsidRDefault="00F35E89" w:rsidP="00790FC8">
            <w:pPr>
              <w:spacing w:line="360" w:lineRule="auto"/>
              <w:jc w:val="center"/>
              <w:rPr>
                <w:rFonts w:ascii="Times New Roman" w:hAnsi="Times New Roman" w:cs="Times New Roman"/>
                <w:sz w:val="20"/>
                <w:szCs w:val="20"/>
              </w:rPr>
            </w:pPr>
            <w:r w:rsidRPr="00BD4369">
              <w:rPr>
                <w:rFonts w:ascii="Times New Roman" w:hAnsi="Times New Roman" w:cs="Times New Roman"/>
                <w:b w:val="0"/>
                <w:bCs w:val="0"/>
                <w:sz w:val="20"/>
                <w:szCs w:val="20"/>
              </w:rPr>
              <w:t>Australia</w:t>
            </w:r>
          </w:p>
        </w:tc>
        <w:tc>
          <w:tcPr>
            <w:tcW w:w="537" w:type="pct"/>
            <w:tcBorders>
              <w:top w:val="single" w:sz="4" w:space="0" w:color="000000" w:themeColor="text1"/>
              <w:bottom w:val="nil"/>
            </w:tcBorders>
            <w:shd w:val="clear" w:color="auto" w:fill="auto"/>
            <w:vAlign w:val="bottom"/>
          </w:tcPr>
          <w:p w14:paraId="36D36F9D" w14:textId="7545805A"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252</w:t>
            </w:r>
          </w:p>
        </w:tc>
        <w:tc>
          <w:tcPr>
            <w:tcW w:w="537" w:type="pct"/>
            <w:tcBorders>
              <w:top w:val="single" w:sz="4" w:space="0" w:color="000000" w:themeColor="text1"/>
              <w:bottom w:val="nil"/>
            </w:tcBorders>
            <w:shd w:val="clear" w:color="auto" w:fill="auto"/>
            <w:vAlign w:val="bottom"/>
          </w:tcPr>
          <w:p w14:paraId="68B546BE" w14:textId="0670EB5A"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206</w:t>
            </w:r>
          </w:p>
        </w:tc>
        <w:tc>
          <w:tcPr>
            <w:tcW w:w="537" w:type="pct"/>
            <w:tcBorders>
              <w:top w:val="single" w:sz="4" w:space="0" w:color="000000" w:themeColor="text1"/>
              <w:bottom w:val="nil"/>
            </w:tcBorders>
            <w:shd w:val="clear" w:color="auto" w:fill="auto"/>
            <w:vAlign w:val="bottom"/>
          </w:tcPr>
          <w:p w14:paraId="686DB18D" w14:textId="3BD154F6"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1.05</w:t>
            </w:r>
          </w:p>
        </w:tc>
        <w:tc>
          <w:tcPr>
            <w:tcW w:w="537" w:type="pct"/>
            <w:tcBorders>
              <w:top w:val="single" w:sz="4" w:space="0" w:color="000000" w:themeColor="text1"/>
              <w:bottom w:val="nil"/>
            </w:tcBorders>
            <w:shd w:val="clear" w:color="auto" w:fill="auto"/>
            <w:vAlign w:val="bottom"/>
          </w:tcPr>
          <w:p w14:paraId="53414E0E" w14:textId="72D1CA29"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308.61</w:t>
            </w:r>
          </w:p>
        </w:tc>
        <w:tc>
          <w:tcPr>
            <w:tcW w:w="537" w:type="pct"/>
            <w:tcBorders>
              <w:top w:val="single" w:sz="4" w:space="0" w:color="000000" w:themeColor="text1"/>
              <w:bottom w:val="nil"/>
            </w:tcBorders>
            <w:shd w:val="clear" w:color="auto" w:fill="auto"/>
            <w:vAlign w:val="bottom"/>
          </w:tcPr>
          <w:p w14:paraId="398AC5DA" w14:textId="74EE4125"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16.5</w:t>
            </w:r>
          </w:p>
        </w:tc>
        <w:tc>
          <w:tcPr>
            <w:tcW w:w="537" w:type="pct"/>
            <w:tcBorders>
              <w:top w:val="single" w:sz="4" w:space="0" w:color="000000" w:themeColor="text1"/>
              <w:bottom w:val="nil"/>
            </w:tcBorders>
            <w:shd w:val="clear" w:color="auto" w:fill="auto"/>
            <w:vAlign w:val="bottom"/>
          </w:tcPr>
          <w:p w14:paraId="68BE0FFA" w14:textId="3AC7D2D6"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0.97</w:t>
            </w:r>
          </w:p>
        </w:tc>
        <w:tc>
          <w:tcPr>
            <w:tcW w:w="537" w:type="pct"/>
            <w:tcBorders>
              <w:top w:val="single" w:sz="4" w:space="0" w:color="000000" w:themeColor="text1"/>
              <w:bottom w:val="nil"/>
            </w:tcBorders>
            <w:shd w:val="clear" w:color="auto" w:fill="auto"/>
          </w:tcPr>
          <w:p w14:paraId="1D8773AE" w14:textId="6FE299F0"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1.47</w:t>
            </w:r>
          </w:p>
        </w:tc>
        <w:tc>
          <w:tcPr>
            <w:tcW w:w="534" w:type="pct"/>
            <w:tcBorders>
              <w:top w:val="single" w:sz="4" w:space="0" w:color="000000" w:themeColor="text1"/>
              <w:bottom w:val="nil"/>
            </w:tcBorders>
            <w:shd w:val="clear" w:color="auto" w:fill="auto"/>
          </w:tcPr>
          <w:p w14:paraId="5CA34604" w14:textId="3F27F19D"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52.22</w:t>
            </w:r>
          </w:p>
        </w:tc>
      </w:tr>
      <w:tr w:rsidR="00395699" w14:paraId="5D2B5C69" w14:textId="7EC1FD89" w:rsidTr="00395699">
        <w:trPr>
          <w:trHeight w:val="20"/>
        </w:trPr>
        <w:tc>
          <w:tcPr>
            <w:cnfStyle w:val="001000000000" w:firstRow="0" w:lastRow="0" w:firstColumn="1" w:lastColumn="0" w:oddVBand="0" w:evenVBand="0" w:oddHBand="0" w:evenHBand="0" w:firstRowFirstColumn="0" w:firstRowLastColumn="0" w:lastRowFirstColumn="0" w:lastRowLastColumn="0"/>
            <w:tcW w:w="706" w:type="pct"/>
            <w:tcBorders>
              <w:top w:val="nil"/>
              <w:bottom w:val="nil"/>
            </w:tcBorders>
            <w:shd w:val="clear" w:color="auto" w:fill="auto"/>
            <w:vAlign w:val="bottom"/>
          </w:tcPr>
          <w:p w14:paraId="78E1E147" w14:textId="6F9F6740" w:rsidR="00951E0A" w:rsidRPr="00BD4369" w:rsidRDefault="00F35E89" w:rsidP="00790FC8">
            <w:pPr>
              <w:spacing w:line="360" w:lineRule="auto"/>
              <w:jc w:val="center"/>
              <w:rPr>
                <w:rFonts w:ascii="Times New Roman" w:hAnsi="Times New Roman" w:cs="Times New Roman"/>
                <w:sz w:val="20"/>
                <w:szCs w:val="20"/>
              </w:rPr>
            </w:pPr>
            <w:r w:rsidRPr="00BD4369">
              <w:rPr>
                <w:rFonts w:ascii="Times New Roman" w:hAnsi="Times New Roman" w:cs="Times New Roman"/>
                <w:b w:val="0"/>
                <w:bCs w:val="0"/>
                <w:sz w:val="20"/>
                <w:szCs w:val="20"/>
              </w:rPr>
              <w:t>France</w:t>
            </w:r>
          </w:p>
        </w:tc>
        <w:tc>
          <w:tcPr>
            <w:tcW w:w="537" w:type="pct"/>
            <w:tcBorders>
              <w:top w:val="nil"/>
              <w:bottom w:val="nil"/>
            </w:tcBorders>
            <w:shd w:val="clear" w:color="auto" w:fill="auto"/>
            <w:vAlign w:val="bottom"/>
          </w:tcPr>
          <w:p w14:paraId="0C8C5456" w14:textId="3FE80524"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110</w:t>
            </w:r>
          </w:p>
        </w:tc>
        <w:tc>
          <w:tcPr>
            <w:tcW w:w="537" w:type="pct"/>
            <w:tcBorders>
              <w:top w:val="nil"/>
              <w:bottom w:val="nil"/>
            </w:tcBorders>
            <w:shd w:val="clear" w:color="auto" w:fill="auto"/>
            <w:vAlign w:val="bottom"/>
          </w:tcPr>
          <w:p w14:paraId="64BCDDA6" w14:textId="36003AEE"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103</w:t>
            </w:r>
          </w:p>
        </w:tc>
        <w:tc>
          <w:tcPr>
            <w:tcW w:w="537" w:type="pct"/>
            <w:tcBorders>
              <w:top w:val="nil"/>
              <w:bottom w:val="nil"/>
            </w:tcBorders>
            <w:shd w:val="clear" w:color="auto" w:fill="auto"/>
            <w:vAlign w:val="bottom"/>
          </w:tcPr>
          <w:p w14:paraId="7E8C1E50" w14:textId="0D67DE03"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0.72</w:t>
            </w:r>
          </w:p>
        </w:tc>
        <w:tc>
          <w:tcPr>
            <w:tcW w:w="537" w:type="pct"/>
            <w:tcBorders>
              <w:top w:val="nil"/>
              <w:bottom w:val="nil"/>
            </w:tcBorders>
            <w:shd w:val="clear" w:color="auto" w:fill="auto"/>
            <w:vAlign w:val="bottom"/>
          </w:tcPr>
          <w:p w14:paraId="6073D04E" w14:textId="5ACD3170"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256.37</w:t>
            </w:r>
          </w:p>
        </w:tc>
        <w:tc>
          <w:tcPr>
            <w:tcW w:w="537" w:type="pct"/>
            <w:tcBorders>
              <w:top w:val="nil"/>
              <w:bottom w:val="nil"/>
            </w:tcBorders>
            <w:shd w:val="clear" w:color="auto" w:fill="auto"/>
            <w:vAlign w:val="bottom"/>
          </w:tcPr>
          <w:p w14:paraId="578A76A6" w14:textId="55707181"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12.3</w:t>
            </w:r>
          </w:p>
        </w:tc>
        <w:tc>
          <w:tcPr>
            <w:tcW w:w="537" w:type="pct"/>
            <w:tcBorders>
              <w:top w:val="nil"/>
              <w:bottom w:val="nil"/>
            </w:tcBorders>
            <w:shd w:val="clear" w:color="auto" w:fill="auto"/>
            <w:vAlign w:val="bottom"/>
          </w:tcPr>
          <w:p w14:paraId="36CD3736" w14:textId="7EFCB58A"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1.64</w:t>
            </w:r>
          </w:p>
        </w:tc>
        <w:tc>
          <w:tcPr>
            <w:tcW w:w="537" w:type="pct"/>
            <w:tcBorders>
              <w:top w:val="nil"/>
              <w:bottom w:val="nil"/>
            </w:tcBorders>
            <w:shd w:val="clear" w:color="auto" w:fill="auto"/>
          </w:tcPr>
          <w:p w14:paraId="7309C09D" w14:textId="5C44A28A"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2.22</w:t>
            </w:r>
          </w:p>
        </w:tc>
        <w:tc>
          <w:tcPr>
            <w:tcW w:w="534" w:type="pct"/>
            <w:tcBorders>
              <w:top w:val="nil"/>
              <w:bottom w:val="nil"/>
            </w:tcBorders>
            <w:shd w:val="clear" w:color="auto" w:fill="auto"/>
          </w:tcPr>
          <w:p w14:paraId="1946E00D" w14:textId="77D1678B"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61.56</w:t>
            </w:r>
          </w:p>
        </w:tc>
      </w:tr>
      <w:tr w:rsidR="00395699" w14:paraId="781CBA6B" w14:textId="4F0E00CE" w:rsidTr="00395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6" w:type="pct"/>
            <w:tcBorders>
              <w:top w:val="nil"/>
              <w:bottom w:val="nil"/>
            </w:tcBorders>
            <w:shd w:val="clear" w:color="auto" w:fill="auto"/>
            <w:vAlign w:val="bottom"/>
          </w:tcPr>
          <w:p w14:paraId="6384FD43" w14:textId="77F2B35A" w:rsidR="00951E0A" w:rsidRPr="00BD4369" w:rsidRDefault="00F35E89" w:rsidP="00790FC8">
            <w:pPr>
              <w:spacing w:line="360" w:lineRule="auto"/>
              <w:jc w:val="center"/>
              <w:rPr>
                <w:rFonts w:ascii="Times New Roman" w:hAnsi="Times New Roman" w:cs="Times New Roman"/>
                <w:sz w:val="20"/>
                <w:szCs w:val="20"/>
              </w:rPr>
            </w:pPr>
            <w:r w:rsidRPr="00BD4369">
              <w:rPr>
                <w:rFonts w:ascii="Times New Roman" w:hAnsi="Times New Roman" w:cs="Times New Roman"/>
                <w:b w:val="0"/>
                <w:bCs w:val="0"/>
                <w:sz w:val="20"/>
                <w:szCs w:val="20"/>
              </w:rPr>
              <w:t>India</w:t>
            </w:r>
          </w:p>
        </w:tc>
        <w:tc>
          <w:tcPr>
            <w:tcW w:w="537" w:type="pct"/>
            <w:tcBorders>
              <w:top w:val="nil"/>
              <w:bottom w:val="nil"/>
            </w:tcBorders>
            <w:shd w:val="clear" w:color="auto" w:fill="auto"/>
            <w:vAlign w:val="bottom"/>
          </w:tcPr>
          <w:p w14:paraId="7FF4DA5D" w14:textId="74D8B595"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267</w:t>
            </w:r>
          </w:p>
        </w:tc>
        <w:tc>
          <w:tcPr>
            <w:tcW w:w="537" w:type="pct"/>
            <w:tcBorders>
              <w:top w:val="nil"/>
              <w:bottom w:val="nil"/>
            </w:tcBorders>
            <w:shd w:val="clear" w:color="auto" w:fill="auto"/>
            <w:vAlign w:val="bottom"/>
          </w:tcPr>
          <w:p w14:paraId="7CFD86CA" w14:textId="2060527A"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189</w:t>
            </w:r>
          </w:p>
        </w:tc>
        <w:tc>
          <w:tcPr>
            <w:tcW w:w="537" w:type="pct"/>
            <w:tcBorders>
              <w:top w:val="nil"/>
              <w:bottom w:val="nil"/>
            </w:tcBorders>
            <w:shd w:val="clear" w:color="auto" w:fill="auto"/>
            <w:vAlign w:val="bottom"/>
          </w:tcPr>
          <w:p w14:paraId="6F6A189E" w14:textId="3C900ADD"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1.63</w:t>
            </w:r>
          </w:p>
        </w:tc>
        <w:tc>
          <w:tcPr>
            <w:tcW w:w="537" w:type="pct"/>
            <w:tcBorders>
              <w:top w:val="nil"/>
              <w:bottom w:val="nil"/>
            </w:tcBorders>
            <w:shd w:val="clear" w:color="auto" w:fill="auto"/>
            <w:vAlign w:val="bottom"/>
          </w:tcPr>
          <w:p w14:paraId="543F68E6" w14:textId="5C0A12DC"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171.08</w:t>
            </w:r>
          </w:p>
        </w:tc>
        <w:tc>
          <w:tcPr>
            <w:tcW w:w="537" w:type="pct"/>
            <w:tcBorders>
              <w:top w:val="nil"/>
              <w:bottom w:val="nil"/>
            </w:tcBorders>
            <w:shd w:val="clear" w:color="auto" w:fill="auto"/>
            <w:vAlign w:val="bottom"/>
          </w:tcPr>
          <w:p w14:paraId="125F7C49" w14:textId="4451D72C"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12.8</w:t>
            </w:r>
          </w:p>
        </w:tc>
        <w:tc>
          <w:tcPr>
            <w:tcW w:w="537" w:type="pct"/>
            <w:tcBorders>
              <w:top w:val="nil"/>
              <w:bottom w:val="nil"/>
            </w:tcBorders>
            <w:shd w:val="clear" w:color="auto" w:fill="auto"/>
            <w:vAlign w:val="bottom"/>
          </w:tcPr>
          <w:p w14:paraId="1BA05FB1" w14:textId="488DF878"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1.09</w:t>
            </w:r>
          </w:p>
        </w:tc>
        <w:tc>
          <w:tcPr>
            <w:tcW w:w="537" w:type="pct"/>
            <w:tcBorders>
              <w:top w:val="nil"/>
              <w:bottom w:val="nil"/>
            </w:tcBorders>
            <w:shd w:val="clear" w:color="auto" w:fill="auto"/>
          </w:tcPr>
          <w:p w14:paraId="5DAA49CA" w14:textId="3B24D930"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2.50</w:t>
            </w:r>
          </w:p>
        </w:tc>
        <w:tc>
          <w:tcPr>
            <w:tcW w:w="534" w:type="pct"/>
            <w:tcBorders>
              <w:top w:val="nil"/>
              <w:bottom w:val="nil"/>
            </w:tcBorders>
            <w:shd w:val="clear" w:color="auto" w:fill="auto"/>
          </w:tcPr>
          <w:p w14:paraId="5217CA20" w14:textId="1F6F4781"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177.23</w:t>
            </w:r>
          </w:p>
        </w:tc>
      </w:tr>
      <w:tr w:rsidR="00395699" w14:paraId="539989D1" w14:textId="75B2110D" w:rsidTr="00395699">
        <w:trPr>
          <w:trHeight w:val="20"/>
        </w:trPr>
        <w:tc>
          <w:tcPr>
            <w:cnfStyle w:val="001000000000" w:firstRow="0" w:lastRow="0" w:firstColumn="1" w:lastColumn="0" w:oddVBand="0" w:evenVBand="0" w:oddHBand="0" w:evenHBand="0" w:firstRowFirstColumn="0" w:firstRowLastColumn="0" w:lastRowFirstColumn="0" w:lastRowLastColumn="0"/>
            <w:tcW w:w="706" w:type="pct"/>
            <w:tcBorders>
              <w:top w:val="nil"/>
              <w:bottom w:val="nil"/>
            </w:tcBorders>
            <w:shd w:val="clear" w:color="auto" w:fill="auto"/>
            <w:vAlign w:val="bottom"/>
          </w:tcPr>
          <w:p w14:paraId="01288BDE" w14:textId="4622229D" w:rsidR="00951E0A" w:rsidRPr="00BD4369" w:rsidRDefault="00F35E89" w:rsidP="00790FC8">
            <w:pPr>
              <w:spacing w:line="360" w:lineRule="auto"/>
              <w:jc w:val="center"/>
              <w:rPr>
                <w:rFonts w:ascii="Times New Roman" w:hAnsi="Times New Roman" w:cs="Times New Roman"/>
                <w:sz w:val="20"/>
                <w:szCs w:val="20"/>
              </w:rPr>
            </w:pPr>
            <w:r w:rsidRPr="00BD4369">
              <w:rPr>
                <w:rFonts w:ascii="Times New Roman" w:hAnsi="Times New Roman" w:cs="Times New Roman"/>
                <w:b w:val="0"/>
                <w:bCs w:val="0"/>
                <w:sz w:val="20"/>
                <w:szCs w:val="20"/>
              </w:rPr>
              <w:t>Japan</w:t>
            </w:r>
          </w:p>
        </w:tc>
        <w:tc>
          <w:tcPr>
            <w:tcW w:w="537" w:type="pct"/>
            <w:tcBorders>
              <w:top w:val="nil"/>
              <w:bottom w:val="nil"/>
            </w:tcBorders>
            <w:shd w:val="clear" w:color="auto" w:fill="auto"/>
            <w:vAlign w:val="bottom"/>
          </w:tcPr>
          <w:p w14:paraId="0B8A73D5" w14:textId="09826462"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602</w:t>
            </w:r>
          </w:p>
        </w:tc>
        <w:tc>
          <w:tcPr>
            <w:tcW w:w="537" w:type="pct"/>
            <w:tcBorders>
              <w:top w:val="nil"/>
              <w:bottom w:val="nil"/>
            </w:tcBorders>
            <w:shd w:val="clear" w:color="auto" w:fill="auto"/>
            <w:vAlign w:val="bottom"/>
          </w:tcPr>
          <w:p w14:paraId="2EA57836" w14:textId="2A48E318"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387</w:t>
            </w:r>
          </w:p>
        </w:tc>
        <w:tc>
          <w:tcPr>
            <w:tcW w:w="537" w:type="pct"/>
            <w:tcBorders>
              <w:top w:val="nil"/>
              <w:bottom w:val="nil"/>
            </w:tcBorders>
            <w:shd w:val="clear" w:color="auto" w:fill="auto"/>
            <w:vAlign w:val="bottom"/>
          </w:tcPr>
          <w:p w14:paraId="598A5DFD" w14:textId="2528F0AA"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0.66</w:t>
            </w:r>
          </w:p>
        </w:tc>
        <w:tc>
          <w:tcPr>
            <w:tcW w:w="537" w:type="pct"/>
            <w:tcBorders>
              <w:top w:val="nil"/>
              <w:bottom w:val="nil"/>
            </w:tcBorders>
            <w:shd w:val="clear" w:color="auto" w:fill="auto"/>
            <w:vAlign w:val="bottom"/>
          </w:tcPr>
          <w:p w14:paraId="2C448D50" w14:textId="1E6A65BB"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126.48</w:t>
            </w:r>
          </w:p>
        </w:tc>
        <w:tc>
          <w:tcPr>
            <w:tcW w:w="537" w:type="pct"/>
            <w:tcBorders>
              <w:top w:val="nil"/>
              <w:bottom w:val="nil"/>
            </w:tcBorders>
            <w:shd w:val="clear" w:color="auto" w:fill="auto"/>
            <w:vAlign w:val="bottom"/>
          </w:tcPr>
          <w:p w14:paraId="669C02FE" w14:textId="7C40DA6D"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11.7</w:t>
            </w:r>
          </w:p>
        </w:tc>
        <w:tc>
          <w:tcPr>
            <w:tcW w:w="537" w:type="pct"/>
            <w:tcBorders>
              <w:top w:val="nil"/>
              <w:bottom w:val="nil"/>
            </w:tcBorders>
            <w:shd w:val="clear" w:color="auto" w:fill="auto"/>
            <w:vAlign w:val="bottom"/>
          </w:tcPr>
          <w:p w14:paraId="45A590AB" w14:textId="5A199A80"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0.95</w:t>
            </w:r>
          </w:p>
        </w:tc>
        <w:tc>
          <w:tcPr>
            <w:tcW w:w="537" w:type="pct"/>
            <w:tcBorders>
              <w:top w:val="nil"/>
              <w:bottom w:val="nil"/>
            </w:tcBorders>
            <w:shd w:val="clear" w:color="auto" w:fill="auto"/>
          </w:tcPr>
          <w:p w14:paraId="361D3677" w14:textId="6AFDDE13"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1.7</w:t>
            </w:r>
            <w:r w:rsidR="00C50A0C">
              <w:rPr>
                <w:rFonts w:ascii="Times New Roman" w:hAnsi="Times New Roman" w:cs="Times New Roman"/>
                <w:sz w:val="20"/>
                <w:szCs w:val="20"/>
              </w:rPr>
              <w:t>0</w:t>
            </w:r>
          </w:p>
        </w:tc>
        <w:tc>
          <w:tcPr>
            <w:tcW w:w="534" w:type="pct"/>
            <w:tcBorders>
              <w:top w:val="nil"/>
              <w:bottom w:val="nil"/>
            </w:tcBorders>
            <w:shd w:val="clear" w:color="auto" w:fill="auto"/>
          </w:tcPr>
          <w:p w14:paraId="54FB7F23" w14:textId="41FCDC5C"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73.79</w:t>
            </w:r>
          </w:p>
        </w:tc>
      </w:tr>
      <w:tr w:rsidR="00395699" w14:paraId="087B0E96" w14:textId="77777777" w:rsidTr="00395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6" w:type="pct"/>
            <w:tcBorders>
              <w:top w:val="nil"/>
              <w:bottom w:val="nil"/>
            </w:tcBorders>
            <w:shd w:val="clear" w:color="auto" w:fill="auto"/>
            <w:vAlign w:val="bottom"/>
          </w:tcPr>
          <w:p w14:paraId="4506686E" w14:textId="343092CE" w:rsidR="00E939BC" w:rsidRPr="00BD4369" w:rsidRDefault="00F35E89" w:rsidP="00790FC8">
            <w:pPr>
              <w:spacing w:line="360" w:lineRule="auto"/>
              <w:jc w:val="center"/>
              <w:rPr>
                <w:rFonts w:ascii="Times New Roman" w:hAnsi="Times New Roman" w:cs="Times New Roman"/>
                <w:sz w:val="20"/>
                <w:szCs w:val="20"/>
              </w:rPr>
            </w:pPr>
            <w:r>
              <w:rPr>
                <w:rFonts w:ascii="Times New Roman" w:hAnsi="Times New Roman" w:cs="Times New Roman"/>
                <w:b w:val="0"/>
                <w:bCs w:val="0"/>
                <w:sz w:val="20"/>
                <w:szCs w:val="20"/>
              </w:rPr>
              <w:t>Norway</w:t>
            </w:r>
          </w:p>
        </w:tc>
        <w:tc>
          <w:tcPr>
            <w:tcW w:w="537" w:type="pct"/>
            <w:tcBorders>
              <w:top w:val="nil"/>
              <w:bottom w:val="nil"/>
            </w:tcBorders>
            <w:shd w:val="clear" w:color="auto" w:fill="auto"/>
            <w:vAlign w:val="bottom"/>
          </w:tcPr>
          <w:p w14:paraId="21E10EF7" w14:textId="4FCB798A" w:rsidR="00E939BC"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r w:rsidR="000F3651">
              <w:rPr>
                <w:rFonts w:ascii="Times New Roman" w:hAnsi="Times New Roman" w:cs="Times New Roman"/>
                <w:sz w:val="20"/>
                <w:szCs w:val="20"/>
              </w:rPr>
              <w:t>1</w:t>
            </w:r>
          </w:p>
        </w:tc>
        <w:tc>
          <w:tcPr>
            <w:tcW w:w="537" w:type="pct"/>
            <w:tcBorders>
              <w:top w:val="nil"/>
              <w:bottom w:val="nil"/>
            </w:tcBorders>
            <w:shd w:val="clear" w:color="auto" w:fill="auto"/>
            <w:vAlign w:val="bottom"/>
          </w:tcPr>
          <w:p w14:paraId="5207ECC0" w14:textId="6D5E99E1" w:rsidR="00E939BC"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w:t>
            </w:r>
          </w:p>
        </w:tc>
        <w:tc>
          <w:tcPr>
            <w:tcW w:w="537" w:type="pct"/>
            <w:tcBorders>
              <w:top w:val="nil"/>
              <w:bottom w:val="nil"/>
            </w:tcBorders>
            <w:shd w:val="clear" w:color="auto" w:fill="auto"/>
            <w:vAlign w:val="bottom"/>
          </w:tcPr>
          <w:p w14:paraId="1512657C" w14:textId="3CF2F761" w:rsidR="00E939BC"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r w:rsidR="00C50A0C">
              <w:rPr>
                <w:rFonts w:ascii="Times New Roman" w:hAnsi="Times New Roman" w:cs="Times New Roman"/>
                <w:sz w:val="20"/>
                <w:szCs w:val="20"/>
              </w:rPr>
              <w:t>9</w:t>
            </w:r>
          </w:p>
        </w:tc>
        <w:tc>
          <w:tcPr>
            <w:tcW w:w="537" w:type="pct"/>
            <w:tcBorders>
              <w:top w:val="nil"/>
              <w:bottom w:val="nil"/>
            </w:tcBorders>
            <w:shd w:val="clear" w:color="auto" w:fill="auto"/>
            <w:vAlign w:val="bottom"/>
          </w:tcPr>
          <w:p w14:paraId="7DCBF074" w14:textId="5F02C24E" w:rsidR="00E939BC"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r w:rsidR="000F3651">
              <w:rPr>
                <w:rFonts w:ascii="Times New Roman" w:hAnsi="Times New Roman" w:cs="Times New Roman"/>
                <w:sz w:val="20"/>
                <w:szCs w:val="20"/>
              </w:rPr>
              <w:t>20</w:t>
            </w:r>
            <w:r>
              <w:rPr>
                <w:rFonts w:ascii="Times New Roman" w:hAnsi="Times New Roman" w:cs="Times New Roman"/>
                <w:sz w:val="20"/>
                <w:szCs w:val="20"/>
              </w:rPr>
              <w:t>.21</w:t>
            </w:r>
          </w:p>
        </w:tc>
        <w:tc>
          <w:tcPr>
            <w:tcW w:w="537" w:type="pct"/>
            <w:tcBorders>
              <w:top w:val="nil"/>
              <w:bottom w:val="nil"/>
            </w:tcBorders>
            <w:shd w:val="clear" w:color="auto" w:fill="auto"/>
            <w:vAlign w:val="bottom"/>
          </w:tcPr>
          <w:p w14:paraId="13D48B01" w14:textId="06B18F83" w:rsidR="00E939BC"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537" w:type="pct"/>
            <w:tcBorders>
              <w:top w:val="nil"/>
              <w:bottom w:val="nil"/>
            </w:tcBorders>
            <w:shd w:val="clear" w:color="auto" w:fill="auto"/>
            <w:vAlign w:val="bottom"/>
          </w:tcPr>
          <w:p w14:paraId="5BE55863" w14:textId="7195D54B" w:rsidR="00E939BC"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w:t>
            </w:r>
          </w:p>
        </w:tc>
        <w:tc>
          <w:tcPr>
            <w:tcW w:w="537" w:type="pct"/>
            <w:tcBorders>
              <w:top w:val="nil"/>
              <w:bottom w:val="nil"/>
            </w:tcBorders>
            <w:shd w:val="clear" w:color="auto" w:fill="auto"/>
          </w:tcPr>
          <w:p w14:paraId="087CC28F" w14:textId="4B6E8C01" w:rsidR="00E939BC"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1.30</w:t>
            </w:r>
          </w:p>
        </w:tc>
        <w:tc>
          <w:tcPr>
            <w:tcW w:w="534" w:type="pct"/>
            <w:tcBorders>
              <w:top w:val="nil"/>
              <w:bottom w:val="nil"/>
            </w:tcBorders>
            <w:shd w:val="clear" w:color="auto" w:fill="auto"/>
          </w:tcPr>
          <w:p w14:paraId="35408D57" w14:textId="4CB7DA03" w:rsidR="00E939BC"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62.93</w:t>
            </w:r>
          </w:p>
        </w:tc>
      </w:tr>
      <w:tr w:rsidR="00395699" w14:paraId="604D273D" w14:textId="4F4944B2" w:rsidTr="00395699">
        <w:trPr>
          <w:trHeight w:val="20"/>
        </w:trPr>
        <w:tc>
          <w:tcPr>
            <w:cnfStyle w:val="001000000000" w:firstRow="0" w:lastRow="0" w:firstColumn="1" w:lastColumn="0" w:oddVBand="0" w:evenVBand="0" w:oddHBand="0" w:evenHBand="0" w:firstRowFirstColumn="0" w:firstRowLastColumn="0" w:lastRowFirstColumn="0" w:lastRowLastColumn="0"/>
            <w:tcW w:w="706" w:type="pct"/>
            <w:tcBorders>
              <w:top w:val="nil"/>
              <w:bottom w:val="nil"/>
            </w:tcBorders>
            <w:shd w:val="clear" w:color="auto" w:fill="auto"/>
            <w:vAlign w:val="bottom"/>
          </w:tcPr>
          <w:p w14:paraId="4448EED1" w14:textId="66296632" w:rsidR="00951E0A" w:rsidRPr="00BD4369" w:rsidRDefault="00F35E89" w:rsidP="00790FC8">
            <w:pPr>
              <w:spacing w:line="360" w:lineRule="auto"/>
              <w:jc w:val="center"/>
              <w:rPr>
                <w:rFonts w:ascii="Times New Roman" w:hAnsi="Times New Roman" w:cs="Times New Roman"/>
                <w:sz w:val="20"/>
                <w:szCs w:val="20"/>
              </w:rPr>
            </w:pPr>
            <w:r w:rsidRPr="00BD4369">
              <w:rPr>
                <w:rFonts w:ascii="Times New Roman" w:hAnsi="Times New Roman" w:cs="Times New Roman"/>
                <w:b w:val="0"/>
                <w:bCs w:val="0"/>
                <w:sz w:val="20"/>
                <w:szCs w:val="20"/>
              </w:rPr>
              <w:t>Switzerland</w:t>
            </w:r>
          </w:p>
        </w:tc>
        <w:tc>
          <w:tcPr>
            <w:tcW w:w="537" w:type="pct"/>
            <w:tcBorders>
              <w:top w:val="nil"/>
              <w:bottom w:val="nil"/>
            </w:tcBorders>
            <w:shd w:val="clear" w:color="auto" w:fill="auto"/>
            <w:vAlign w:val="bottom"/>
          </w:tcPr>
          <w:p w14:paraId="3CFEA43D" w14:textId="4A3FA6B4"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105</w:t>
            </w:r>
          </w:p>
        </w:tc>
        <w:tc>
          <w:tcPr>
            <w:tcW w:w="537" w:type="pct"/>
            <w:tcBorders>
              <w:top w:val="nil"/>
              <w:bottom w:val="nil"/>
            </w:tcBorders>
            <w:shd w:val="clear" w:color="auto" w:fill="auto"/>
            <w:vAlign w:val="bottom"/>
          </w:tcPr>
          <w:p w14:paraId="5A48F59F" w14:textId="493CE237"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72</w:t>
            </w:r>
          </w:p>
        </w:tc>
        <w:tc>
          <w:tcPr>
            <w:tcW w:w="537" w:type="pct"/>
            <w:tcBorders>
              <w:top w:val="nil"/>
              <w:bottom w:val="nil"/>
            </w:tcBorders>
            <w:shd w:val="clear" w:color="auto" w:fill="auto"/>
            <w:vAlign w:val="bottom"/>
          </w:tcPr>
          <w:p w14:paraId="0FEF899C" w14:textId="1D0169EA"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1.27</w:t>
            </w:r>
          </w:p>
        </w:tc>
        <w:tc>
          <w:tcPr>
            <w:tcW w:w="537" w:type="pct"/>
            <w:tcBorders>
              <w:top w:val="nil"/>
              <w:bottom w:val="nil"/>
            </w:tcBorders>
            <w:shd w:val="clear" w:color="auto" w:fill="auto"/>
            <w:vAlign w:val="bottom"/>
          </w:tcPr>
          <w:p w14:paraId="737EEA27" w14:textId="30806F6E"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307.60</w:t>
            </w:r>
          </w:p>
        </w:tc>
        <w:tc>
          <w:tcPr>
            <w:tcW w:w="537" w:type="pct"/>
            <w:tcBorders>
              <w:top w:val="nil"/>
              <w:bottom w:val="nil"/>
            </w:tcBorders>
            <w:shd w:val="clear" w:color="auto" w:fill="auto"/>
            <w:vAlign w:val="bottom"/>
          </w:tcPr>
          <w:p w14:paraId="4BD88971" w14:textId="0FF04E76"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w:t>
            </w:r>
            <w:r w:rsidR="00C50F92" w:rsidRPr="00BD4369">
              <w:rPr>
                <w:rFonts w:ascii="Times New Roman" w:hAnsi="Times New Roman" w:cs="Times New Roman"/>
                <w:sz w:val="20"/>
                <w:szCs w:val="20"/>
              </w:rPr>
              <w:t>3</w:t>
            </w:r>
            <w:r w:rsidRPr="00BD4369">
              <w:rPr>
                <w:rFonts w:ascii="Times New Roman" w:hAnsi="Times New Roman" w:cs="Times New Roman"/>
                <w:sz w:val="20"/>
                <w:szCs w:val="20"/>
              </w:rPr>
              <w:t>.</w:t>
            </w:r>
            <w:r w:rsidR="00E96E3B" w:rsidRPr="00BD4369">
              <w:rPr>
                <w:rFonts w:ascii="Times New Roman" w:hAnsi="Times New Roman" w:cs="Times New Roman"/>
                <w:sz w:val="20"/>
                <w:szCs w:val="20"/>
              </w:rPr>
              <w:t>8</w:t>
            </w:r>
          </w:p>
        </w:tc>
        <w:tc>
          <w:tcPr>
            <w:tcW w:w="537" w:type="pct"/>
            <w:tcBorders>
              <w:top w:val="nil"/>
              <w:bottom w:val="nil"/>
            </w:tcBorders>
            <w:shd w:val="clear" w:color="auto" w:fill="auto"/>
            <w:vAlign w:val="bottom"/>
          </w:tcPr>
          <w:p w14:paraId="0864348F" w14:textId="455363C4"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0.78</w:t>
            </w:r>
          </w:p>
        </w:tc>
        <w:tc>
          <w:tcPr>
            <w:tcW w:w="537" w:type="pct"/>
            <w:tcBorders>
              <w:top w:val="nil"/>
              <w:bottom w:val="nil"/>
            </w:tcBorders>
            <w:shd w:val="clear" w:color="auto" w:fill="auto"/>
          </w:tcPr>
          <w:p w14:paraId="69CC9C06" w14:textId="470E89C7"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1.18</w:t>
            </w:r>
          </w:p>
        </w:tc>
        <w:tc>
          <w:tcPr>
            <w:tcW w:w="534" w:type="pct"/>
            <w:tcBorders>
              <w:top w:val="nil"/>
              <w:bottom w:val="nil"/>
            </w:tcBorders>
            <w:shd w:val="clear" w:color="auto" w:fill="auto"/>
          </w:tcPr>
          <w:p w14:paraId="3ECB4AAC" w14:textId="50C16248"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39.12</w:t>
            </w:r>
          </w:p>
        </w:tc>
      </w:tr>
      <w:tr w:rsidR="00395699" w14:paraId="17411F7D" w14:textId="17FC8C11" w:rsidTr="00395699">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706" w:type="pct"/>
            <w:tcBorders>
              <w:top w:val="nil"/>
              <w:bottom w:val="nil"/>
            </w:tcBorders>
            <w:shd w:val="clear" w:color="auto" w:fill="auto"/>
            <w:vAlign w:val="bottom"/>
          </w:tcPr>
          <w:p w14:paraId="0AE74361" w14:textId="53B1DFC8" w:rsidR="00951E0A" w:rsidRPr="00BD4369" w:rsidRDefault="00F35E89" w:rsidP="00790FC8">
            <w:pPr>
              <w:spacing w:line="360" w:lineRule="auto"/>
              <w:jc w:val="center"/>
              <w:rPr>
                <w:rFonts w:ascii="Times New Roman" w:hAnsi="Times New Roman" w:cs="Times New Roman"/>
                <w:sz w:val="20"/>
                <w:szCs w:val="20"/>
              </w:rPr>
            </w:pPr>
            <w:r w:rsidRPr="00BD4369">
              <w:rPr>
                <w:rFonts w:ascii="Times New Roman" w:hAnsi="Times New Roman" w:cs="Times New Roman"/>
                <w:b w:val="0"/>
                <w:bCs w:val="0"/>
                <w:sz w:val="20"/>
                <w:szCs w:val="20"/>
              </w:rPr>
              <w:t>UK</w:t>
            </w:r>
          </w:p>
        </w:tc>
        <w:tc>
          <w:tcPr>
            <w:tcW w:w="537" w:type="pct"/>
            <w:tcBorders>
              <w:top w:val="nil"/>
              <w:bottom w:val="nil"/>
            </w:tcBorders>
            <w:shd w:val="clear" w:color="auto" w:fill="auto"/>
            <w:vAlign w:val="bottom"/>
          </w:tcPr>
          <w:p w14:paraId="65108926" w14:textId="4EE616BA"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291</w:t>
            </w:r>
          </w:p>
        </w:tc>
        <w:tc>
          <w:tcPr>
            <w:tcW w:w="537" w:type="pct"/>
            <w:tcBorders>
              <w:top w:val="nil"/>
              <w:bottom w:val="nil"/>
            </w:tcBorders>
            <w:shd w:val="clear" w:color="auto" w:fill="auto"/>
            <w:vAlign w:val="bottom"/>
          </w:tcPr>
          <w:p w14:paraId="75876D85" w14:textId="17C10250"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220</w:t>
            </w:r>
          </w:p>
        </w:tc>
        <w:tc>
          <w:tcPr>
            <w:tcW w:w="537" w:type="pct"/>
            <w:tcBorders>
              <w:top w:val="nil"/>
              <w:bottom w:val="nil"/>
            </w:tcBorders>
            <w:shd w:val="clear" w:color="auto" w:fill="auto"/>
            <w:vAlign w:val="bottom"/>
          </w:tcPr>
          <w:p w14:paraId="466A5763" w14:textId="3C03B6C5"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0.74</w:t>
            </w:r>
          </w:p>
        </w:tc>
        <w:tc>
          <w:tcPr>
            <w:tcW w:w="537" w:type="pct"/>
            <w:tcBorders>
              <w:top w:val="nil"/>
              <w:bottom w:val="nil"/>
            </w:tcBorders>
            <w:shd w:val="clear" w:color="auto" w:fill="auto"/>
            <w:vAlign w:val="bottom"/>
          </w:tcPr>
          <w:p w14:paraId="78A74FF9" w14:textId="73B23AAA"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703</w:t>
            </w:r>
            <w:r w:rsidR="00F2516E" w:rsidRPr="00BD4369">
              <w:rPr>
                <w:rFonts w:ascii="Times New Roman" w:hAnsi="Times New Roman" w:cs="Times New Roman"/>
                <w:sz w:val="20"/>
                <w:szCs w:val="20"/>
              </w:rPr>
              <w:t>.</w:t>
            </w:r>
            <w:r>
              <w:rPr>
                <w:rFonts w:ascii="Times New Roman" w:hAnsi="Times New Roman" w:cs="Times New Roman"/>
                <w:sz w:val="20"/>
                <w:szCs w:val="20"/>
              </w:rPr>
              <w:t>69</w:t>
            </w:r>
          </w:p>
        </w:tc>
        <w:tc>
          <w:tcPr>
            <w:tcW w:w="537" w:type="pct"/>
            <w:tcBorders>
              <w:top w:val="nil"/>
              <w:bottom w:val="nil"/>
            </w:tcBorders>
            <w:shd w:val="clear" w:color="auto" w:fill="auto"/>
            <w:vAlign w:val="bottom"/>
          </w:tcPr>
          <w:p w14:paraId="02C4EAE6" w14:textId="6542F4BA"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w:t>
            </w:r>
            <w:r w:rsidR="006E64F4">
              <w:rPr>
                <w:rFonts w:ascii="Times New Roman" w:hAnsi="Times New Roman" w:cs="Times New Roman"/>
                <w:sz w:val="20"/>
                <w:szCs w:val="20"/>
              </w:rPr>
              <w:t>8</w:t>
            </w:r>
            <w:r w:rsidRPr="00BD4369">
              <w:rPr>
                <w:rFonts w:ascii="Times New Roman" w:hAnsi="Times New Roman" w:cs="Times New Roman"/>
                <w:sz w:val="20"/>
                <w:szCs w:val="20"/>
              </w:rPr>
              <w:t>.</w:t>
            </w:r>
            <w:r w:rsidR="006E64F4">
              <w:rPr>
                <w:rFonts w:ascii="Times New Roman" w:hAnsi="Times New Roman" w:cs="Times New Roman"/>
                <w:sz w:val="20"/>
                <w:szCs w:val="20"/>
              </w:rPr>
              <w:t>1</w:t>
            </w:r>
          </w:p>
        </w:tc>
        <w:tc>
          <w:tcPr>
            <w:tcW w:w="537" w:type="pct"/>
            <w:tcBorders>
              <w:top w:val="nil"/>
              <w:bottom w:val="nil"/>
            </w:tcBorders>
            <w:shd w:val="clear" w:color="auto" w:fill="auto"/>
            <w:vAlign w:val="bottom"/>
          </w:tcPr>
          <w:p w14:paraId="66E6DC55" w14:textId="4604EFF7"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00F2516E" w:rsidRPr="00BD4369">
              <w:rPr>
                <w:rFonts w:ascii="Times New Roman" w:hAnsi="Times New Roman" w:cs="Times New Roman"/>
                <w:sz w:val="20"/>
                <w:szCs w:val="20"/>
              </w:rPr>
              <w:t>.</w:t>
            </w:r>
            <w:r>
              <w:rPr>
                <w:rFonts w:ascii="Times New Roman" w:hAnsi="Times New Roman" w:cs="Times New Roman"/>
                <w:sz w:val="20"/>
                <w:szCs w:val="20"/>
              </w:rPr>
              <w:t>98</w:t>
            </w:r>
          </w:p>
        </w:tc>
        <w:tc>
          <w:tcPr>
            <w:tcW w:w="537" w:type="pct"/>
            <w:tcBorders>
              <w:top w:val="nil"/>
              <w:bottom w:val="nil"/>
            </w:tcBorders>
            <w:shd w:val="clear" w:color="auto" w:fill="auto"/>
          </w:tcPr>
          <w:p w14:paraId="71FCECD3" w14:textId="0564C888"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1.3</w:t>
            </w:r>
            <w:r w:rsidR="006E64F4">
              <w:rPr>
                <w:rFonts w:ascii="Times New Roman" w:hAnsi="Times New Roman" w:cs="Times New Roman"/>
                <w:sz w:val="20"/>
                <w:szCs w:val="20"/>
              </w:rPr>
              <w:t>0</w:t>
            </w:r>
          </w:p>
        </w:tc>
        <w:tc>
          <w:tcPr>
            <w:tcW w:w="534" w:type="pct"/>
            <w:tcBorders>
              <w:top w:val="nil"/>
              <w:bottom w:val="nil"/>
            </w:tcBorders>
            <w:shd w:val="clear" w:color="auto" w:fill="auto"/>
          </w:tcPr>
          <w:p w14:paraId="56ECEBB2" w14:textId="58EB5047" w:rsidR="00951E0A" w:rsidRPr="00BD4369" w:rsidRDefault="00F35E89" w:rsidP="00790F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83</w:t>
            </w:r>
            <w:r w:rsidR="00F2516E" w:rsidRPr="00BD4369">
              <w:rPr>
                <w:rFonts w:ascii="Times New Roman" w:hAnsi="Times New Roman" w:cs="Times New Roman"/>
                <w:sz w:val="20"/>
                <w:szCs w:val="20"/>
              </w:rPr>
              <w:t>.</w:t>
            </w:r>
            <w:r>
              <w:rPr>
                <w:rFonts w:ascii="Times New Roman" w:hAnsi="Times New Roman" w:cs="Times New Roman"/>
                <w:sz w:val="20"/>
                <w:szCs w:val="20"/>
              </w:rPr>
              <w:t>2</w:t>
            </w:r>
            <w:r w:rsidR="00F2516E" w:rsidRPr="00BD4369">
              <w:rPr>
                <w:rFonts w:ascii="Times New Roman" w:hAnsi="Times New Roman" w:cs="Times New Roman"/>
                <w:sz w:val="20"/>
                <w:szCs w:val="20"/>
              </w:rPr>
              <w:t>3</w:t>
            </w:r>
          </w:p>
        </w:tc>
      </w:tr>
      <w:tr w:rsidR="00395699" w14:paraId="7AC6668C" w14:textId="5A1B02F3" w:rsidTr="00395699">
        <w:trPr>
          <w:trHeight w:val="20"/>
        </w:trPr>
        <w:tc>
          <w:tcPr>
            <w:cnfStyle w:val="001000000000" w:firstRow="0" w:lastRow="0" w:firstColumn="1" w:lastColumn="0" w:oddVBand="0" w:evenVBand="0" w:oddHBand="0" w:evenHBand="0" w:firstRowFirstColumn="0" w:firstRowLastColumn="0" w:lastRowFirstColumn="0" w:lastRowLastColumn="0"/>
            <w:tcW w:w="706" w:type="pct"/>
            <w:tcBorders>
              <w:top w:val="nil"/>
              <w:bottom w:val="single" w:sz="4" w:space="0" w:color="000000" w:themeColor="text1"/>
            </w:tcBorders>
            <w:shd w:val="clear" w:color="auto" w:fill="auto"/>
            <w:vAlign w:val="bottom"/>
          </w:tcPr>
          <w:p w14:paraId="3861B93B" w14:textId="4E83F9D9" w:rsidR="00951E0A" w:rsidRPr="00BD4369" w:rsidRDefault="00F35E89" w:rsidP="00790FC8">
            <w:pPr>
              <w:spacing w:line="360" w:lineRule="auto"/>
              <w:jc w:val="center"/>
              <w:rPr>
                <w:rFonts w:ascii="Times New Roman" w:hAnsi="Times New Roman" w:cs="Times New Roman"/>
                <w:sz w:val="20"/>
                <w:szCs w:val="20"/>
              </w:rPr>
            </w:pPr>
            <w:r w:rsidRPr="00BD4369">
              <w:rPr>
                <w:rFonts w:ascii="Times New Roman" w:hAnsi="Times New Roman" w:cs="Times New Roman"/>
                <w:b w:val="0"/>
                <w:bCs w:val="0"/>
                <w:sz w:val="20"/>
                <w:szCs w:val="20"/>
              </w:rPr>
              <w:t>US</w:t>
            </w:r>
          </w:p>
        </w:tc>
        <w:tc>
          <w:tcPr>
            <w:tcW w:w="537" w:type="pct"/>
            <w:tcBorders>
              <w:top w:val="nil"/>
              <w:bottom w:val="single" w:sz="4" w:space="0" w:color="000000" w:themeColor="text1"/>
            </w:tcBorders>
            <w:shd w:val="clear" w:color="auto" w:fill="auto"/>
            <w:vAlign w:val="bottom"/>
          </w:tcPr>
          <w:p w14:paraId="180BD677" w14:textId="7D36B920"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1081</w:t>
            </w:r>
          </w:p>
        </w:tc>
        <w:tc>
          <w:tcPr>
            <w:tcW w:w="537" w:type="pct"/>
            <w:tcBorders>
              <w:top w:val="nil"/>
              <w:bottom w:val="single" w:sz="4" w:space="0" w:color="000000" w:themeColor="text1"/>
            </w:tcBorders>
            <w:shd w:val="clear" w:color="auto" w:fill="auto"/>
            <w:vAlign w:val="bottom"/>
          </w:tcPr>
          <w:p w14:paraId="6B141ADB" w14:textId="3FBF314C"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1057</w:t>
            </w:r>
          </w:p>
        </w:tc>
        <w:tc>
          <w:tcPr>
            <w:tcW w:w="537" w:type="pct"/>
            <w:tcBorders>
              <w:top w:val="nil"/>
              <w:bottom w:val="single" w:sz="4" w:space="0" w:color="000000" w:themeColor="text1"/>
            </w:tcBorders>
            <w:shd w:val="clear" w:color="auto" w:fill="auto"/>
            <w:vAlign w:val="bottom"/>
          </w:tcPr>
          <w:p w14:paraId="192F5864" w14:textId="4E94CB49"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0.8</w:t>
            </w:r>
            <w:r w:rsidR="004C07E0">
              <w:rPr>
                <w:rFonts w:ascii="Times New Roman" w:hAnsi="Times New Roman" w:cs="Times New Roman"/>
                <w:sz w:val="20"/>
                <w:szCs w:val="20"/>
              </w:rPr>
              <w:t>2</w:t>
            </w:r>
          </w:p>
        </w:tc>
        <w:tc>
          <w:tcPr>
            <w:tcW w:w="537" w:type="pct"/>
            <w:tcBorders>
              <w:top w:val="nil"/>
              <w:bottom w:val="single" w:sz="4" w:space="0" w:color="000000" w:themeColor="text1"/>
            </w:tcBorders>
            <w:shd w:val="clear" w:color="auto" w:fill="auto"/>
            <w:vAlign w:val="bottom"/>
          </w:tcPr>
          <w:p w14:paraId="485EC0E8" w14:textId="3587166E"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2,246.12</w:t>
            </w:r>
          </w:p>
        </w:tc>
        <w:tc>
          <w:tcPr>
            <w:tcW w:w="537" w:type="pct"/>
            <w:tcBorders>
              <w:top w:val="nil"/>
              <w:bottom w:val="single" w:sz="4" w:space="0" w:color="000000" w:themeColor="text1"/>
            </w:tcBorders>
            <w:shd w:val="clear" w:color="auto" w:fill="auto"/>
            <w:vAlign w:val="bottom"/>
          </w:tcPr>
          <w:p w14:paraId="1FF8D1AF" w14:textId="568A920B"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25.2</w:t>
            </w:r>
          </w:p>
        </w:tc>
        <w:tc>
          <w:tcPr>
            <w:tcW w:w="537" w:type="pct"/>
            <w:tcBorders>
              <w:top w:val="nil"/>
              <w:bottom w:val="single" w:sz="4" w:space="0" w:color="000000" w:themeColor="text1"/>
            </w:tcBorders>
            <w:shd w:val="clear" w:color="auto" w:fill="auto"/>
            <w:vAlign w:val="bottom"/>
          </w:tcPr>
          <w:p w14:paraId="23EA2A87" w14:textId="55444617"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0.7</w:t>
            </w:r>
            <w:r w:rsidR="002171ED" w:rsidRPr="00BD4369">
              <w:rPr>
                <w:rFonts w:ascii="Times New Roman" w:hAnsi="Times New Roman" w:cs="Times New Roman"/>
                <w:sz w:val="20"/>
                <w:szCs w:val="20"/>
              </w:rPr>
              <w:t>0</w:t>
            </w:r>
          </w:p>
        </w:tc>
        <w:tc>
          <w:tcPr>
            <w:tcW w:w="537" w:type="pct"/>
            <w:tcBorders>
              <w:top w:val="nil"/>
              <w:bottom w:val="single" w:sz="4" w:space="0" w:color="000000" w:themeColor="text1"/>
            </w:tcBorders>
            <w:shd w:val="clear" w:color="auto" w:fill="auto"/>
          </w:tcPr>
          <w:p w14:paraId="7ABA8B30" w14:textId="7B591824"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1.08</w:t>
            </w:r>
          </w:p>
        </w:tc>
        <w:tc>
          <w:tcPr>
            <w:tcW w:w="534" w:type="pct"/>
            <w:tcBorders>
              <w:top w:val="nil"/>
              <w:bottom w:val="single" w:sz="4" w:space="0" w:color="000000" w:themeColor="text1"/>
            </w:tcBorders>
            <w:shd w:val="clear" w:color="auto" w:fill="auto"/>
          </w:tcPr>
          <w:p w14:paraId="32D4970C" w14:textId="45EF1E93" w:rsidR="00951E0A" w:rsidRPr="00BD4369" w:rsidRDefault="00F35E89" w:rsidP="00790F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4369">
              <w:rPr>
                <w:rFonts w:ascii="Times New Roman" w:hAnsi="Times New Roman" w:cs="Times New Roman"/>
                <w:sz w:val="20"/>
                <w:szCs w:val="20"/>
              </w:rPr>
              <w:t>68.12</w:t>
            </w:r>
          </w:p>
        </w:tc>
      </w:tr>
    </w:tbl>
    <w:p w14:paraId="1F47E6C0" w14:textId="4FFD2173" w:rsidR="003B1B1A" w:rsidRPr="00FD0426" w:rsidRDefault="00F35E89" w:rsidP="001240CC">
      <w:pPr>
        <w:jc w:val="both"/>
        <w:rPr>
          <w:rFonts w:ascii="Times New Roman" w:hAnsi="Times New Roman" w:cs="Times New Roman"/>
          <w:sz w:val="22"/>
          <w:szCs w:val="22"/>
        </w:rPr>
      </w:pPr>
      <w:r>
        <w:rPr>
          <w:rFonts w:ascii="Times New Roman" w:hAnsi="Times New Roman" w:cs="Times New Roman"/>
          <w:sz w:val="22"/>
          <w:szCs w:val="22"/>
        </w:rPr>
        <w:t xml:space="preserve">Table 1 reports summary statistics for the sample countries. </w:t>
      </w:r>
      <w:r w:rsidR="00134583" w:rsidRPr="00FD0426">
        <w:rPr>
          <w:rFonts w:ascii="Times New Roman" w:hAnsi="Times New Roman" w:cs="Times New Roman"/>
          <w:sz w:val="22"/>
          <w:szCs w:val="22"/>
        </w:rPr>
        <w:t>The number of funds represents the total number of funds in the dataset for a specific country between the years of 2003 and 2018. Average funds show the number of active funds among the total number of funds between 2003 and 2018. Average monthly return is</w:t>
      </w:r>
      <w:r w:rsidR="0058656C" w:rsidRPr="00FD0426">
        <w:rPr>
          <w:rFonts w:ascii="Times New Roman" w:hAnsi="Times New Roman" w:cs="Times New Roman"/>
          <w:sz w:val="22"/>
          <w:szCs w:val="22"/>
        </w:rPr>
        <w:t xml:space="preserve"> reported in percentage and</w:t>
      </w:r>
      <w:r w:rsidR="00134583" w:rsidRPr="00FD0426">
        <w:rPr>
          <w:rFonts w:ascii="Times New Roman" w:hAnsi="Times New Roman" w:cs="Times New Roman"/>
          <w:sz w:val="22"/>
          <w:szCs w:val="22"/>
        </w:rPr>
        <w:t xml:space="preserve"> gross of</w:t>
      </w:r>
      <w:r w:rsidR="0058656C" w:rsidRPr="00FD0426">
        <w:rPr>
          <w:rFonts w:ascii="Times New Roman" w:hAnsi="Times New Roman" w:cs="Times New Roman"/>
          <w:sz w:val="22"/>
          <w:szCs w:val="22"/>
        </w:rPr>
        <w:t xml:space="preserve"> </w:t>
      </w:r>
      <w:r w:rsidR="008B4E92">
        <w:rPr>
          <w:rFonts w:ascii="Times New Roman" w:hAnsi="Times New Roman" w:cs="Times New Roman"/>
          <w:sz w:val="22"/>
          <w:szCs w:val="22"/>
        </w:rPr>
        <w:t>fees</w:t>
      </w:r>
      <w:r w:rsidR="00134583" w:rsidRPr="00FD0426">
        <w:rPr>
          <w:rFonts w:ascii="Times New Roman" w:hAnsi="Times New Roman" w:cs="Times New Roman"/>
          <w:sz w:val="22"/>
          <w:szCs w:val="22"/>
        </w:rPr>
        <w:t>.</w:t>
      </w:r>
      <w:r w:rsidR="0058656C" w:rsidRPr="00FD0426">
        <w:rPr>
          <w:rFonts w:ascii="Times New Roman" w:hAnsi="Times New Roman" w:cs="Times New Roman"/>
          <w:sz w:val="22"/>
          <w:szCs w:val="22"/>
        </w:rPr>
        <w:t xml:space="preserve"> Average </w:t>
      </w:r>
      <w:r w:rsidR="000F5E11">
        <w:rPr>
          <w:rFonts w:ascii="Times New Roman" w:hAnsi="Times New Roman" w:cs="Times New Roman"/>
          <w:sz w:val="22"/>
          <w:szCs w:val="22"/>
        </w:rPr>
        <w:t>TNA is the total net assets</w:t>
      </w:r>
      <w:r w:rsidR="0058656C" w:rsidRPr="00FD0426">
        <w:rPr>
          <w:rFonts w:ascii="Times New Roman" w:hAnsi="Times New Roman" w:cs="Times New Roman"/>
          <w:sz w:val="22"/>
          <w:szCs w:val="22"/>
        </w:rPr>
        <w:t xml:space="preserve"> </w:t>
      </w:r>
      <w:r w:rsidR="00450869">
        <w:rPr>
          <w:rFonts w:ascii="Times New Roman" w:hAnsi="Times New Roman" w:cs="Times New Roman"/>
          <w:sz w:val="22"/>
          <w:szCs w:val="22"/>
        </w:rPr>
        <w:t>and is</w:t>
      </w:r>
      <w:r w:rsidR="0058656C" w:rsidRPr="00FD0426">
        <w:rPr>
          <w:rFonts w:ascii="Times New Roman" w:hAnsi="Times New Roman" w:cs="Times New Roman"/>
          <w:sz w:val="22"/>
          <w:szCs w:val="22"/>
        </w:rPr>
        <w:t xml:space="preserve"> in millions of US dollars.</w:t>
      </w:r>
      <w:r w:rsidR="00134583" w:rsidRPr="00FD0426">
        <w:rPr>
          <w:rFonts w:ascii="Times New Roman" w:hAnsi="Times New Roman" w:cs="Times New Roman"/>
          <w:sz w:val="22"/>
          <w:szCs w:val="22"/>
        </w:rPr>
        <w:t xml:space="preserve"> </w:t>
      </w:r>
      <w:r w:rsidR="0058656C" w:rsidRPr="00FD0426">
        <w:rPr>
          <w:rFonts w:ascii="Times New Roman" w:hAnsi="Times New Roman" w:cs="Times New Roman"/>
          <w:sz w:val="22"/>
          <w:szCs w:val="22"/>
        </w:rPr>
        <w:t>Average manage</w:t>
      </w:r>
      <w:r w:rsidR="008507E1" w:rsidRPr="00FD0426">
        <w:rPr>
          <w:rFonts w:ascii="Times New Roman" w:hAnsi="Times New Roman" w:cs="Times New Roman"/>
          <w:sz w:val="22"/>
          <w:szCs w:val="22"/>
        </w:rPr>
        <w:t>ment</w:t>
      </w:r>
      <w:r w:rsidR="0058656C" w:rsidRPr="00FD0426">
        <w:rPr>
          <w:rFonts w:ascii="Times New Roman" w:hAnsi="Times New Roman" w:cs="Times New Roman"/>
          <w:sz w:val="22"/>
          <w:szCs w:val="22"/>
        </w:rPr>
        <w:t xml:space="preserve"> fee</w:t>
      </w:r>
      <w:r w:rsidR="008507E1" w:rsidRPr="00FD0426">
        <w:rPr>
          <w:rFonts w:ascii="Times New Roman" w:hAnsi="Times New Roman" w:cs="Times New Roman"/>
          <w:sz w:val="22"/>
          <w:szCs w:val="22"/>
        </w:rPr>
        <w:t>, expense ratio and, turnover ratio</w:t>
      </w:r>
      <w:r w:rsidR="0058656C" w:rsidRPr="00FD0426">
        <w:rPr>
          <w:rFonts w:ascii="Times New Roman" w:hAnsi="Times New Roman" w:cs="Times New Roman"/>
          <w:sz w:val="22"/>
          <w:szCs w:val="22"/>
        </w:rPr>
        <w:t xml:space="preserve"> is in percentages</w:t>
      </w:r>
      <w:r w:rsidR="008507E1" w:rsidRPr="00FD0426">
        <w:rPr>
          <w:rFonts w:ascii="Times New Roman" w:hAnsi="Times New Roman" w:cs="Times New Roman"/>
          <w:sz w:val="22"/>
          <w:szCs w:val="22"/>
        </w:rPr>
        <w:t xml:space="preserve"> and reported annually</w:t>
      </w:r>
      <w:r w:rsidR="0058656C" w:rsidRPr="00FD0426">
        <w:rPr>
          <w:rFonts w:ascii="Times New Roman" w:hAnsi="Times New Roman" w:cs="Times New Roman"/>
          <w:sz w:val="22"/>
          <w:szCs w:val="22"/>
        </w:rPr>
        <w:t>.</w:t>
      </w:r>
      <w:r w:rsidR="00B770C2" w:rsidRPr="00FD0426">
        <w:rPr>
          <w:rFonts w:ascii="Times New Roman" w:hAnsi="Times New Roman" w:cs="Times New Roman"/>
          <w:sz w:val="22"/>
          <w:szCs w:val="22"/>
        </w:rPr>
        <w:t xml:space="preserve"> Average fund age is in years.</w:t>
      </w:r>
      <w:r w:rsidR="008507E1" w:rsidRPr="00FD0426">
        <w:rPr>
          <w:rFonts w:ascii="Times New Roman" w:hAnsi="Times New Roman" w:cs="Times New Roman"/>
          <w:sz w:val="22"/>
          <w:szCs w:val="22"/>
        </w:rPr>
        <w:t xml:space="preserve"> </w:t>
      </w:r>
      <w:r w:rsidR="00B555A4" w:rsidRPr="00FD0426">
        <w:rPr>
          <w:rFonts w:ascii="Times New Roman" w:hAnsi="Times New Roman" w:cs="Times New Roman"/>
          <w:sz w:val="22"/>
          <w:szCs w:val="22"/>
        </w:rPr>
        <w:t>Expense</w:t>
      </w:r>
      <w:r w:rsidR="009571AE">
        <w:rPr>
          <w:rFonts w:ascii="Times New Roman" w:hAnsi="Times New Roman" w:cs="Times New Roman"/>
          <w:sz w:val="22"/>
          <w:szCs w:val="22"/>
        </w:rPr>
        <w:t xml:space="preserve">s </w:t>
      </w:r>
      <w:r w:rsidR="00B555A4" w:rsidRPr="00FD0426">
        <w:rPr>
          <w:rFonts w:ascii="Times New Roman" w:hAnsi="Times New Roman" w:cs="Times New Roman"/>
          <w:sz w:val="22"/>
          <w:szCs w:val="22"/>
        </w:rPr>
        <w:t>contain 12b-1 fees, management, and administrative fees, operating costs and all other asset-based costs made by the fund.</w:t>
      </w:r>
      <w:r w:rsidR="009571AE">
        <w:rPr>
          <w:rFonts w:ascii="Times New Roman" w:hAnsi="Times New Roman" w:cs="Times New Roman"/>
          <w:sz w:val="22"/>
          <w:szCs w:val="22"/>
        </w:rPr>
        <w:t xml:space="preserve"> Expense ratio equals to expenses divided by TNA.</w:t>
      </w:r>
    </w:p>
    <w:p w14:paraId="02F1D83E" w14:textId="4DBA7450" w:rsidR="00AB420C" w:rsidRDefault="00AB420C" w:rsidP="00AB420C">
      <w:pPr>
        <w:spacing w:line="360" w:lineRule="auto"/>
        <w:jc w:val="both"/>
        <w:rPr>
          <w:rFonts w:ascii="Times New Roman" w:hAnsi="Times New Roman" w:cs="Times New Roman"/>
        </w:rPr>
      </w:pPr>
    </w:p>
    <w:p w14:paraId="79BA6646" w14:textId="2E23586F" w:rsidR="003C5759" w:rsidRDefault="00F35E89" w:rsidP="003C5759">
      <w:pPr>
        <w:spacing w:line="360" w:lineRule="auto"/>
        <w:ind w:firstLine="720"/>
        <w:jc w:val="both"/>
        <w:rPr>
          <w:rFonts w:ascii="Times New Roman" w:hAnsi="Times New Roman" w:cs="Times New Roman"/>
        </w:rPr>
      </w:pPr>
      <w:r w:rsidRPr="001240CC">
        <w:rPr>
          <w:rFonts w:ascii="Times New Roman" w:hAnsi="Times New Roman" w:cs="Times New Roman"/>
        </w:rPr>
        <w:t>Table 1 reports the summary statistics of the finalized data.</w:t>
      </w:r>
      <w:r w:rsidR="009571AE">
        <w:rPr>
          <w:rFonts w:ascii="Times New Roman" w:hAnsi="Times New Roman" w:cs="Times New Roman"/>
        </w:rPr>
        <w:t xml:space="preserve"> </w:t>
      </w:r>
      <w:r w:rsidRPr="001240CC">
        <w:rPr>
          <w:rFonts w:ascii="Times New Roman" w:hAnsi="Times New Roman" w:cs="Times New Roman"/>
        </w:rPr>
        <w:t xml:space="preserve">Finalized filtering resulted in a total of </w:t>
      </w:r>
      <w:r w:rsidR="008E4BE3">
        <w:rPr>
          <w:rFonts w:ascii="Times New Roman" w:hAnsi="Times New Roman" w:cs="Times New Roman"/>
        </w:rPr>
        <w:t>272</w:t>
      </w:r>
      <w:r w:rsidR="000F3651">
        <w:rPr>
          <w:rFonts w:ascii="Times New Roman" w:hAnsi="Times New Roman" w:cs="Times New Roman"/>
        </w:rPr>
        <w:t>6</w:t>
      </w:r>
      <w:r w:rsidRPr="001240CC">
        <w:rPr>
          <w:rFonts w:ascii="Times New Roman" w:hAnsi="Times New Roman" w:cs="Times New Roman"/>
        </w:rPr>
        <w:t xml:space="preserve"> funds. The </w:t>
      </w:r>
      <w:r w:rsidR="00F26DE5">
        <w:rPr>
          <w:rFonts w:ascii="Times New Roman" w:hAnsi="Times New Roman" w:cs="Times New Roman"/>
        </w:rPr>
        <w:t>US</w:t>
      </w:r>
      <w:r w:rsidRPr="001240CC">
        <w:rPr>
          <w:rFonts w:ascii="Times New Roman" w:hAnsi="Times New Roman" w:cs="Times New Roman"/>
        </w:rPr>
        <w:t xml:space="preserve"> has the </w:t>
      </w:r>
      <w:r>
        <w:rPr>
          <w:rFonts w:ascii="Times New Roman" w:hAnsi="Times New Roman" w:cs="Times New Roman"/>
        </w:rPr>
        <w:t>highest</w:t>
      </w:r>
      <w:r w:rsidRPr="001240CC">
        <w:rPr>
          <w:rFonts w:ascii="Times New Roman" w:hAnsi="Times New Roman" w:cs="Times New Roman"/>
        </w:rPr>
        <w:t xml:space="preserve"> number of funds and the </w:t>
      </w:r>
      <w:r>
        <w:rPr>
          <w:rFonts w:ascii="Times New Roman" w:hAnsi="Times New Roman" w:cs="Times New Roman"/>
        </w:rPr>
        <w:t>largest</w:t>
      </w:r>
      <w:r w:rsidRPr="001240CC">
        <w:rPr>
          <w:rFonts w:ascii="Times New Roman" w:hAnsi="Times New Roman" w:cs="Times New Roman"/>
        </w:rPr>
        <w:t xml:space="preserve"> average fund size. Average monthly returns are the highest in India whereas Japan has the highest difference between the total number of funds and the average number of funds in the dataset.</w:t>
      </w:r>
      <w:r>
        <w:rPr>
          <w:rFonts w:ascii="Times New Roman" w:hAnsi="Times New Roman" w:cs="Times New Roman"/>
        </w:rPr>
        <w:t xml:space="preserve"> </w:t>
      </w:r>
    </w:p>
    <w:p w14:paraId="31797634" w14:textId="02627638" w:rsidR="00AB420C" w:rsidRDefault="00F35E89" w:rsidP="00DF343C">
      <w:pPr>
        <w:spacing w:line="360" w:lineRule="auto"/>
        <w:ind w:firstLine="720"/>
        <w:jc w:val="both"/>
        <w:rPr>
          <w:rFonts w:ascii="Times New Roman" w:hAnsi="Times New Roman" w:cs="Times New Roman"/>
        </w:rPr>
      </w:pPr>
      <w:r w:rsidRPr="00A65544">
        <w:rPr>
          <w:rFonts w:ascii="Times New Roman" w:hAnsi="Times New Roman" w:cs="Times New Roman"/>
        </w:rPr>
        <w:t>Morningstar provides information on investment styles of equity</w:t>
      </w:r>
      <w:r w:rsidR="00F26DE5">
        <w:rPr>
          <w:rFonts w:ascii="Times New Roman" w:hAnsi="Times New Roman" w:cs="Times New Roman"/>
        </w:rPr>
        <w:t xml:space="preserve"> mutual funds under the section</w:t>
      </w:r>
      <w:r w:rsidRPr="00A65544">
        <w:rPr>
          <w:rFonts w:ascii="Times New Roman" w:hAnsi="Times New Roman" w:cs="Times New Roman"/>
        </w:rPr>
        <w:t xml:space="preserve"> equity styles. These indica</w:t>
      </w:r>
      <w:r w:rsidR="00F26DE5">
        <w:rPr>
          <w:rFonts w:ascii="Times New Roman" w:hAnsi="Times New Roman" w:cs="Times New Roman"/>
        </w:rPr>
        <w:t>te whether the funds are invested</w:t>
      </w:r>
      <w:r w:rsidRPr="00A65544">
        <w:rPr>
          <w:rFonts w:ascii="Times New Roman" w:hAnsi="Times New Roman" w:cs="Times New Roman"/>
        </w:rPr>
        <w:t xml:space="preserve"> in large, middle or small-sized equities and if these equities are ca</w:t>
      </w:r>
      <w:r w:rsidR="00F26DE5">
        <w:rPr>
          <w:rFonts w:ascii="Times New Roman" w:hAnsi="Times New Roman" w:cs="Times New Roman"/>
        </w:rPr>
        <w:t>tegorized with growth, value styles, value or a blend of growth</w:t>
      </w:r>
      <w:r w:rsidRPr="00A65544">
        <w:rPr>
          <w:rFonts w:ascii="Times New Roman" w:hAnsi="Times New Roman" w:cs="Times New Roman"/>
        </w:rPr>
        <w:t xml:space="preserve">. </w:t>
      </w:r>
      <w:r>
        <w:rPr>
          <w:rFonts w:ascii="Times New Roman" w:hAnsi="Times New Roman" w:cs="Times New Roman"/>
        </w:rPr>
        <w:t xml:space="preserve">Table </w:t>
      </w:r>
      <w:r w:rsidR="002D57E6">
        <w:rPr>
          <w:rFonts w:ascii="Times New Roman" w:hAnsi="Times New Roman" w:cs="Times New Roman"/>
        </w:rPr>
        <w:t>2</w:t>
      </w:r>
      <w:r>
        <w:rPr>
          <w:rFonts w:ascii="Times New Roman" w:hAnsi="Times New Roman" w:cs="Times New Roman"/>
        </w:rPr>
        <w:t xml:space="preserve"> shows the distribution of the funds across the investment styles </w:t>
      </w:r>
      <w:r w:rsidR="00F9200F">
        <w:rPr>
          <w:rFonts w:ascii="Times New Roman" w:hAnsi="Times New Roman" w:cs="Times New Roman"/>
        </w:rPr>
        <w:t>between</w:t>
      </w:r>
      <w:r>
        <w:rPr>
          <w:rFonts w:ascii="Times New Roman" w:hAnsi="Times New Roman" w:cs="Times New Roman"/>
        </w:rPr>
        <w:t xml:space="preserve"> the years of 2003 and 2018.  </w:t>
      </w:r>
      <w:bookmarkStart w:id="13" w:name="_Toc11766486"/>
    </w:p>
    <w:p w14:paraId="5285F73E" w14:textId="77777777" w:rsidR="00DF343C" w:rsidRDefault="00DF343C" w:rsidP="00A9082A">
      <w:pPr>
        <w:rPr>
          <w:rFonts w:ascii="Times New Roman" w:hAnsi="Times New Roman" w:cs="Times New Roman"/>
          <w:sz w:val="22"/>
          <w:szCs w:val="32"/>
        </w:rPr>
      </w:pPr>
    </w:p>
    <w:p w14:paraId="1B209641" w14:textId="77777777" w:rsidR="00DF343C" w:rsidRDefault="00DF343C" w:rsidP="00A9082A">
      <w:pPr>
        <w:rPr>
          <w:rFonts w:ascii="Times New Roman" w:hAnsi="Times New Roman" w:cs="Times New Roman"/>
          <w:sz w:val="22"/>
          <w:szCs w:val="32"/>
        </w:rPr>
      </w:pPr>
    </w:p>
    <w:p w14:paraId="0E2B61B1" w14:textId="77777777" w:rsidR="00DF343C" w:rsidRDefault="00DF343C" w:rsidP="00A9082A">
      <w:pPr>
        <w:rPr>
          <w:rFonts w:ascii="Times New Roman" w:hAnsi="Times New Roman" w:cs="Times New Roman"/>
          <w:sz w:val="22"/>
          <w:szCs w:val="32"/>
        </w:rPr>
      </w:pPr>
    </w:p>
    <w:p w14:paraId="52109081" w14:textId="77777777" w:rsidR="00DF343C" w:rsidRDefault="00DF343C" w:rsidP="00A9082A">
      <w:pPr>
        <w:rPr>
          <w:rFonts w:ascii="Times New Roman" w:hAnsi="Times New Roman" w:cs="Times New Roman"/>
          <w:sz w:val="22"/>
          <w:szCs w:val="32"/>
        </w:rPr>
      </w:pPr>
    </w:p>
    <w:p w14:paraId="58C950DC" w14:textId="77777777" w:rsidR="00DF343C" w:rsidRDefault="00DF343C" w:rsidP="00A9082A">
      <w:pPr>
        <w:rPr>
          <w:rFonts w:ascii="Times New Roman" w:hAnsi="Times New Roman" w:cs="Times New Roman"/>
          <w:sz w:val="22"/>
          <w:szCs w:val="32"/>
        </w:rPr>
      </w:pPr>
    </w:p>
    <w:p w14:paraId="4F56579B" w14:textId="77777777" w:rsidR="00DF343C" w:rsidRDefault="00DF343C" w:rsidP="00A9082A">
      <w:pPr>
        <w:rPr>
          <w:rFonts w:ascii="Times New Roman" w:hAnsi="Times New Roman" w:cs="Times New Roman"/>
          <w:sz w:val="22"/>
          <w:szCs w:val="32"/>
        </w:rPr>
      </w:pPr>
    </w:p>
    <w:p w14:paraId="42E08559" w14:textId="77777777" w:rsidR="00DF343C" w:rsidRDefault="00DF343C" w:rsidP="00A9082A">
      <w:pPr>
        <w:rPr>
          <w:rFonts w:ascii="Times New Roman" w:hAnsi="Times New Roman" w:cs="Times New Roman"/>
          <w:sz w:val="22"/>
          <w:szCs w:val="32"/>
        </w:rPr>
      </w:pPr>
    </w:p>
    <w:p w14:paraId="58275006" w14:textId="77777777" w:rsidR="00DF343C" w:rsidRDefault="00DF343C" w:rsidP="00A9082A">
      <w:pPr>
        <w:rPr>
          <w:rFonts w:ascii="Times New Roman" w:hAnsi="Times New Roman" w:cs="Times New Roman"/>
          <w:sz w:val="22"/>
          <w:szCs w:val="32"/>
        </w:rPr>
      </w:pPr>
    </w:p>
    <w:p w14:paraId="6790F4F1" w14:textId="77777777" w:rsidR="00DF343C" w:rsidRDefault="00DF343C" w:rsidP="00A9082A">
      <w:pPr>
        <w:rPr>
          <w:rFonts w:ascii="Times New Roman" w:hAnsi="Times New Roman" w:cs="Times New Roman"/>
          <w:sz w:val="22"/>
          <w:szCs w:val="32"/>
        </w:rPr>
      </w:pPr>
    </w:p>
    <w:p w14:paraId="24CA773D" w14:textId="77777777" w:rsidR="00DF343C" w:rsidRDefault="00DF343C" w:rsidP="00A9082A">
      <w:pPr>
        <w:rPr>
          <w:rFonts w:ascii="Times New Roman" w:hAnsi="Times New Roman" w:cs="Times New Roman"/>
          <w:sz w:val="22"/>
          <w:szCs w:val="32"/>
        </w:rPr>
      </w:pPr>
    </w:p>
    <w:p w14:paraId="5962DFC3" w14:textId="77777777" w:rsidR="00DF343C" w:rsidRDefault="00DF343C" w:rsidP="00A9082A">
      <w:pPr>
        <w:rPr>
          <w:rFonts w:ascii="Times New Roman" w:hAnsi="Times New Roman" w:cs="Times New Roman"/>
          <w:sz w:val="22"/>
          <w:szCs w:val="32"/>
        </w:rPr>
      </w:pPr>
    </w:p>
    <w:p w14:paraId="45629143" w14:textId="77777777" w:rsidR="00DF343C" w:rsidRDefault="00DF343C" w:rsidP="00A9082A">
      <w:pPr>
        <w:rPr>
          <w:rFonts w:ascii="Times New Roman" w:hAnsi="Times New Roman" w:cs="Times New Roman"/>
          <w:sz w:val="22"/>
          <w:szCs w:val="32"/>
        </w:rPr>
      </w:pPr>
    </w:p>
    <w:p w14:paraId="49370628" w14:textId="77777777" w:rsidR="00DF343C" w:rsidRDefault="00DF343C" w:rsidP="00A9082A">
      <w:pPr>
        <w:rPr>
          <w:rFonts w:ascii="Times New Roman" w:hAnsi="Times New Roman" w:cs="Times New Roman"/>
          <w:sz w:val="22"/>
          <w:szCs w:val="32"/>
        </w:rPr>
      </w:pPr>
    </w:p>
    <w:p w14:paraId="533FCEF2" w14:textId="716BA21C" w:rsidR="003737D4" w:rsidRPr="004D2210" w:rsidRDefault="00F35E89" w:rsidP="00A9082A">
      <w:pPr>
        <w:rPr>
          <w:rFonts w:ascii="Times New Roman" w:hAnsi="Times New Roman" w:cs="Times New Roman"/>
          <w:sz w:val="22"/>
          <w:szCs w:val="32"/>
        </w:rPr>
      </w:pPr>
      <w:r w:rsidRPr="004D2210">
        <w:rPr>
          <w:rFonts w:ascii="Times New Roman" w:hAnsi="Times New Roman" w:cs="Times New Roman"/>
          <w:sz w:val="22"/>
          <w:szCs w:val="32"/>
        </w:rPr>
        <w:lastRenderedPageBreak/>
        <w:t>Table 2</w:t>
      </w:r>
      <w:r w:rsidR="0030638C" w:rsidRPr="004D2210">
        <w:rPr>
          <w:rFonts w:ascii="Times New Roman" w:hAnsi="Times New Roman" w:cs="Times New Roman"/>
          <w:sz w:val="22"/>
          <w:szCs w:val="32"/>
        </w:rPr>
        <w:t>. Number of Funds per Investment Style</w:t>
      </w:r>
      <w:bookmarkEnd w:id="13"/>
    </w:p>
    <w:tbl>
      <w:tblPr>
        <w:tblStyle w:val="ListTable6Colorful-Accent1"/>
        <w:tblW w:w="5000" w:type="pct"/>
        <w:tblBorders>
          <w:top w:val="single" w:sz="4" w:space="0" w:color="000000" w:themeColor="text1"/>
          <w:bottom w:val="single" w:sz="4" w:space="0" w:color="000000" w:themeColor="text1"/>
        </w:tblBorders>
        <w:tblLook w:val="04A0" w:firstRow="1" w:lastRow="0" w:firstColumn="1" w:lastColumn="0" w:noHBand="0" w:noVBand="1"/>
      </w:tblPr>
      <w:tblGrid>
        <w:gridCol w:w="1382"/>
        <w:gridCol w:w="942"/>
        <w:gridCol w:w="1082"/>
        <w:gridCol w:w="943"/>
        <w:gridCol w:w="718"/>
        <w:gridCol w:w="858"/>
        <w:gridCol w:w="718"/>
        <w:gridCol w:w="801"/>
        <w:gridCol w:w="858"/>
        <w:gridCol w:w="718"/>
      </w:tblGrid>
      <w:tr w:rsidR="00395699" w14:paraId="4B19E02F" w14:textId="77777777" w:rsidTr="00395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tcBorders>
              <w:top w:val="single" w:sz="4" w:space="0" w:color="000000" w:themeColor="text1"/>
              <w:bottom w:val="single" w:sz="4" w:space="0" w:color="000000" w:themeColor="text1"/>
            </w:tcBorders>
            <w:shd w:val="clear" w:color="auto" w:fill="auto"/>
            <w:vAlign w:val="center"/>
          </w:tcPr>
          <w:p w14:paraId="2DEB7B35" w14:textId="0747B531" w:rsidR="00F55AFB" w:rsidRPr="002C198F" w:rsidRDefault="00F35E89" w:rsidP="00D63C96">
            <w:pPr>
              <w:spacing w:line="360" w:lineRule="auto"/>
              <w:jc w:val="center"/>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Name</w:t>
            </w:r>
          </w:p>
        </w:tc>
        <w:tc>
          <w:tcPr>
            <w:tcW w:w="529" w:type="pct"/>
            <w:tcBorders>
              <w:top w:val="single" w:sz="4" w:space="0" w:color="000000" w:themeColor="text1"/>
              <w:bottom w:val="single" w:sz="4" w:space="0" w:color="000000" w:themeColor="text1"/>
            </w:tcBorders>
            <w:shd w:val="clear" w:color="auto" w:fill="auto"/>
            <w:vAlign w:val="center"/>
          </w:tcPr>
          <w:p w14:paraId="3DE25FB8" w14:textId="3251B258" w:rsidR="00F55AFB"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Large Blend</w:t>
            </w:r>
          </w:p>
        </w:tc>
        <w:tc>
          <w:tcPr>
            <w:tcW w:w="606" w:type="pct"/>
            <w:tcBorders>
              <w:top w:val="single" w:sz="4" w:space="0" w:color="000000" w:themeColor="text1"/>
              <w:bottom w:val="single" w:sz="4" w:space="0" w:color="000000" w:themeColor="text1"/>
            </w:tcBorders>
            <w:shd w:val="clear" w:color="auto" w:fill="auto"/>
            <w:vAlign w:val="center"/>
          </w:tcPr>
          <w:p w14:paraId="307EE9EA" w14:textId="17CCD3D4" w:rsidR="00F55AFB"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Large Growth</w:t>
            </w:r>
          </w:p>
        </w:tc>
        <w:tc>
          <w:tcPr>
            <w:tcW w:w="529" w:type="pct"/>
            <w:tcBorders>
              <w:top w:val="single" w:sz="4" w:space="0" w:color="000000" w:themeColor="text1"/>
              <w:bottom w:val="single" w:sz="4" w:space="0" w:color="000000" w:themeColor="text1"/>
            </w:tcBorders>
            <w:shd w:val="clear" w:color="auto" w:fill="auto"/>
            <w:vAlign w:val="center"/>
          </w:tcPr>
          <w:p w14:paraId="0FE08835" w14:textId="2D2BE456" w:rsidR="00F55AFB"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Large Value</w:t>
            </w:r>
          </w:p>
        </w:tc>
        <w:tc>
          <w:tcPr>
            <w:tcW w:w="392" w:type="pct"/>
            <w:tcBorders>
              <w:top w:val="single" w:sz="4" w:space="0" w:color="000000" w:themeColor="text1"/>
              <w:bottom w:val="single" w:sz="4" w:space="0" w:color="000000" w:themeColor="text1"/>
            </w:tcBorders>
            <w:shd w:val="clear" w:color="auto" w:fill="auto"/>
            <w:vAlign w:val="center"/>
          </w:tcPr>
          <w:p w14:paraId="19133E7E" w14:textId="77777777" w:rsidR="00F55AFB"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Mid</w:t>
            </w:r>
          </w:p>
          <w:p w14:paraId="33D616B2" w14:textId="508E89E2" w:rsidR="003B1B1A"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Blend</w:t>
            </w:r>
          </w:p>
        </w:tc>
        <w:tc>
          <w:tcPr>
            <w:tcW w:w="469" w:type="pct"/>
            <w:tcBorders>
              <w:top w:val="single" w:sz="4" w:space="0" w:color="000000" w:themeColor="text1"/>
              <w:bottom w:val="single" w:sz="4" w:space="0" w:color="000000" w:themeColor="text1"/>
            </w:tcBorders>
            <w:shd w:val="clear" w:color="auto" w:fill="auto"/>
            <w:vAlign w:val="center"/>
          </w:tcPr>
          <w:p w14:paraId="074C7334" w14:textId="77777777" w:rsidR="00F55AFB"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Mid</w:t>
            </w:r>
          </w:p>
          <w:p w14:paraId="37318268" w14:textId="762DCD4F" w:rsidR="003B1B1A"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Growth</w:t>
            </w:r>
          </w:p>
        </w:tc>
        <w:tc>
          <w:tcPr>
            <w:tcW w:w="392" w:type="pct"/>
            <w:tcBorders>
              <w:top w:val="single" w:sz="4" w:space="0" w:color="000000" w:themeColor="text1"/>
              <w:bottom w:val="single" w:sz="4" w:space="0" w:color="000000" w:themeColor="text1"/>
            </w:tcBorders>
            <w:shd w:val="clear" w:color="auto" w:fill="auto"/>
            <w:vAlign w:val="center"/>
          </w:tcPr>
          <w:p w14:paraId="562A39F2" w14:textId="77777777" w:rsidR="00F55AFB"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Mid</w:t>
            </w:r>
          </w:p>
          <w:p w14:paraId="01649E29" w14:textId="23D26206" w:rsidR="003B1B1A"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Value</w:t>
            </w:r>
          </w:p>
        </w:tc>
        <w:tc>
          <w:tcPr>
            <w:tcW w:w="450" w:type="pct"/>
            <w:tcBorders>
              <w:top w:val="single" w:sz="4" w:space="0" w:color="000000" w:themeColor="text1"/>
              <w:bottom w:val="single" w:sz="4" w:space="0" w:color="000000" w:themeColor="text1"/>
            </w:tcBorders>
            <w:shd w:val="clear" w:color="auto" w:fill="auto"/>
            <w:vAlign w:val="center"/>
          </w:tcPr>
          <w:p w14:paraId="59074B7B" w14:textId="77777777" w:rsidR="00F55AFB"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Small</w:t>
            </w:r>
          </w:p>
          <w:p w14:paraId="0C143E39" w14:textId="5B6EAD02" w:rsidR="003B1B1A"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Blend</w:t>
            </w:r>
          </w:p>
        </w:tc>
        <w:tc>
          <w:tcPr>
            <w:tcW w:w="469" w:type="pct"/>
            <w:tcBorders>
              <w:top w:val="single" w:sz="4" w:space="0" w:color="000000" w:themeColor="text1"/>
              <w:bottom w:val="single" w:sz="4" w:space="0" w:color="000000" w:themeColor="text1"/>
            </w:tcBorders>
            <w:shd w:val="clear" w:color="auto" w:fill="auto"/>
            <w:vAlign w:val="center"/>
          </w:tcPr>
          <w:p w14:paraId="3FF01E5D" w14:textId="77777777" w:rsidR="00F55AFB"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Small</w:t>
            </w:r>
          </w:p>
          <w:p w14:paraId="7011C7F0" w14:textId="462D43C9" w:rsidR="003B1B1A"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Growth</w:t>
            </w:r>
          </w:p>
        </w:tc>
        <w:tc>
          <w:tcPr>
            <w:tcW w:w="392" w:type="pct"/>
            <w:tcBorders>
              <w:top w:val="single" w:sz="4" w:space="0" w:color="000000" w:themeColor="text1"/>
              <w:bottom w:val="single" w:sz="4" w:space="0" w:color="000000" w:themeColor="text1"/>
            </w:tcBorders>
            <w:shd w:val="clear" w:color="auto" w:fill="auto"/>
            <w:vAlign w:val="center"/>
          </w:tcPr>
          <w:p w14:paraId="2C2882B3" w14:textId="77777777" w:rsidR="003B1B1A"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Small</w:t>
            </w:r>
          </w:p>
          <w:p w14:paraId="7FA3D471" w14:textId="68E87DDE" w:rsidR="003B1B1A" w:rsidRPr="002C198F" w:rsidRDefault="00F35E89" w:rsidP="00D63C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Value</w:t>
            </w:r>
          </w:p>
        </w:tc>
      </w:tr>
      <w:tr w:rsidR="00395699" w14:paraId="2F047A39" w14:textId="77777777" w:rsidTr="0039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tcBorders>
              <w:top w:val="single" w:sz="4" w:space="0" w:color="000000" w:themeColor="text1"/>
            </w:tcBorders>
            <w:shd w:val="clear" w:color="auto" w:fill="auto"/>
            <w:vAlign w:val="center"/>
          </w:tcPr>
          <w:p w14:paraId="3ABA4750" w14:textId="292AC586" w:rsidR="00F55AFB" w:rsidRPr="002C198F" w:rsidRDefault="00F35E89" w:rsidP="00D63C96">
            <w:pPr>
              <w:spacing w:line="360" w:lineRule="auto"/>
              <w:jc w:val="center"/>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Australia</w:t>
            </w:r>
          </w:p>
        </w:tc>
        <w:tc>
          <w:tcPr>
            <w:tcW w:w="529" w:type="pct"/>
            <w:tcBorders>
              <w:top w:val="single" w:sz="4" w:space="0" w:color="000000" w:themeColor="text1"/>
            </w:tcBorders>
            <w:shd w:val="clear" w:color="auto" w:fill="auto"/>
            <w:vAlign w:val="center"/>
          </w:tcPr>
          <w:p w14:paraId="174E928B" w14:textId="5D420BDD" w:rsidR="00F55AF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68</w:t>
            </w:r>
          </w:p>
        </w:tc>
        <w:tc>
          <w:tcPr>
            <w:tcW w:w="606" w:type="pct"/>
            <w:tcBorders>
              <w:top w:val="single" w:sz="4" w:space="0" w:color="000000" w:themeColor="text1"/>
            </w:tcBorders>
            <w:shd w:val="clear" w:color="auto" w:fill="auto"/>
            <w:vAlign w:val="center"/>
          </w:tcPr>
          <w:p w14:paraId="3C58A71A" w14:textId="49CE1026" w:rsidR="00F55AF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48</w:t>
            </w:r>
          </w:p>
        </w:tc>
        <w:tc>
          <w:tcPr>
            <w:tcW w:w="529" w:type="pct"/>
            <w:tcBorders>
              <w:top w:val="single" w:sz="4" w:space="0" w:color="000000" w:themeColor="text1"/>
            </w:tcBorders>
            <w:shd w:val="clear" w:color="auto" w:fill="auto"/>
            <w:vAlign w:val="center"/>
          </w:tcPr>
          <w:p w14:paraId="300F6AA9" w14:textId="014E6D1B" w:rsidR="00F55AF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45</w:t>
            </w:r>
          </w:p>
        </w:tc>
        <w:tc>
          <w:tcPr>
            <w:tcW w:w="392" w:type="pct"/>
            <w:tcBorders>
              <w:top w:val="single" w:sz="4" w:space="0" w:color="000000" w:themeColor="text1"/>
            </w:tcBorders>
            <w:shd w:val="clear" w:color="auto" w:fill="auto"/>
            <w:vAlign w:val="center"/>
          </w:tcPr>
          <w:p w14:paraId="5A7BA38B" w14:textId="38BC5C7B" w:rsidR="00F55AF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16</w:t>
            </w:r>
          </w:p>
        </w:tc>
        <w:tc>
          <w:tcPr>
            <w:tcW w:w="469" w:type="pct"/>
            <w:tcBorders>
              <w:top w:val="single" w:sz="4" w:space="0" w:color="000000" w:themeColor="text1"/>
            </w:tcBorders>
            <w:shd w:val="clear" w:color="auto" w:fill="auto"/>
            <w:vAlign w:val="center"/>
          </w:tcPr>
          <w:p w14:paraId="543DF6A5" w14:textId="2D34B2F4" w:rsidR="00F55AF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12</w:t>
            </w:r>
          </w:p>
        </w:tc>
        <w:tc>
          <w:tcPr>
            <w:tcW w:w="392" w:type="pct"/>
            <w:tcBorders>
              <w:top w:val="single" w:sz="4" w:space="0" w:color="000000" w:themeColor="text1"/>
            </w:tcBorders>
            <w:shd w:val="clear" w:color="auto" w:fill="auto"/>
            <w:vAlign w:val="center"/>
          </w:tcPr>
          <w:p w14:paraId="682BE80A" w14:textId="59C1F888" w:rsidR="00F55AF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12</w:t>
            </w:r>
          </w:p>
        </w:tc>
        <w:tc>
          <w:tcPr>
            <w:tcW w:w="450" w:type="pct"/>
            <w:tcBorders>
              <w:top w:val="single" w:sz="4" w:space="0" w:color="000000" w:themeColor="text1"/>
            </w:tcBorders>
            <w:shd w:val="clear" w:color="auto" w:fill="auto"/>
            <w:vAlign w:val="center"/>
          </w:tcPr>
          <w:p w14:paraId="7771A823" w14:textId="01685499" w:rsidR="00F55AF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8</w:t>
            </w:r>
          </w:p>
        </w:tc>
        <w:tc>
          <w:tcPr>
            <w:tcW w:w="469" w:type="pct"/>
            <w:tcBorders>
              <w:top w:val="single" w:sz="4" w:space="0" w:color="000000" w:themeColor="text1"/>
            </w:tcBorders>
            <w:shd w:val="clear" w:color="auto" w:fill="auto"/>
            <w:vAlign w:val="center"/>
          </w:tcPr>
          <w:p w14:paraId="56225713" w14:textId="1A82273C" w:rsidR="00F55AF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26</w:t>
            </w:r>
          </w:p>
        </w:tc>
        <w:tc>
          <w:tcPr>
            <w:tcW w:w="392" w:type="pct"/>
            <w:tcBorders>
              <w:top w:val="single" w:sz="4" w:space="0" w:color="000000" w:themeColor="text1"/>
            </w:tcBorders>
            <w:shd w:val="clear" w:color="auto" w:fill="auto"/>
            <w:vAlign w:val="center"/>
          </w:tcPr>
          <w:p w14:paraId="5E4C451E" w14:textId="0E27DE60" w:rsidR="00F55AF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17</w:t>
            </w:r>
          </w:p>
        </w:tc>
      </w:tr>
      <w:tr w:rsidR="00395699" w14:paraId="69298DB4" w14:textId="77777777" w:rsidTr="00395699">
        <w:tc>
          <w:tcPr>
            <w:cnfStyle w:val="001000000000" w:firstRow="0" w:lastRow="0" w:firstColumn="1" w:lastColumn="0" w:oddVBand="0" w:evenVBand="0" w:oddHBand="0" w:evenHBand="0" w:firstRowFirstColumn="0" w:firstRowLastColumn="0" w:lastRowFirstColumn="0" w:lastRowLastColumn="0"/>
            <w:tcW w:w="773" w:type="pct"/>
            <w:shd w:val="clear" w:color="auto" w:fill="auto"/>
            <w:vAlign w:val="center"/>
          </w:tcPr>
          <w:p w14:paraId="59D1ACE1" w14:textId="09060887" w:rsidR="00F55AFB" w:rsidRPr="002C198F" w:rsidRDefault="00F35E89" w:rsidP="00D63C96">
            <w:pPr>
              <w:spacing w:line="360" w:lineRule="auto"/>
              <w:jc w:val="center"/>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France</w:t>
            </w:r>
          </w:p>
        </w:tc>
        <w:tc>
          <w:tcPr>
            <w:tcW w:w="529" w:type="pct"/>
            <w:shd w:val="clear" w:color="auto" w:fill="auto"/>
            <w:vAlign w:val="center"/>
          </w:tcPr>
          <w:p w14:paraId="5BE21B36" w14:textId="2A8AC2FC" w:rsidR="00F55AF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33</w:t>
            </w:r>
          </w:p>
        </w:tc>
        <w:tc>
          <w:tcPr>
            <w:tcW w:w="606" w:type="pct"/>
            <w:shd w:val="clear" w:color="auto" w:fill="auto"/>
            <w:vAlign w:val="center"/>
          </w:tcPr>
          <w:p w14:paraId="0C3AE0E7" w14:textId="2866FEEC" w:rsidR="00F55AF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19</w:t>
            </w:r>
          </w:p>
        </w:tc>
        <w:tc>
          <w:tcPr>
            <w:tcW w:w="529" w:type="pct"/>
            <w:shd w:val="clear" w:color="auto" w:fill="auto"/>
            <w:vAlign w:val="center"/>
          </w:tcPr>
          <w:p w14:paraId="49D2C22D" w14:textId="124E7CDD" w:rsidR="00F55AF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9</w:t>
            </w:r>
          </w:p>
        </w:tc>
        <w:tc>
          <w:tcPr>
            <w:tcW w:w="392" w:type="pct"/>
            <w:shd w:val="clear" w:color="auto" w:fill="auto"/>
            <w:vAlign w:val="center"/>
          </w:tcPr>
          <w:p w14:paraId="35702465" w14:textId="6818F34D" w:rsidR="00F55AF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6</w:t>
            </w:r>
          </w:p>
        </w:tc>
        <w:tc>
          <w:tcPr>
            <w:tcW w:w="469" w:type="pct"/>
            <w:shd w:val="clear" w:color="auto" w:fill="auto"/>
            <w:vAlign w:val="center"/>
          </w:tcPr>
          <w:p w14:paraId="2A310DAF" w14:textId="203ABE55" w:rsidR="00F55AF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13</w:t>
            </w:r>
          </w:p>
        </w:tc>
        <w:tc>
          <w:tcPr>
            <w:tcW w:w="392" w:type="pct"/>
            <w:shd w:val="clear" w:color="auto" w:fill="auto"/>
            <w:vAlign w:val="center"/>
          </w:tcPr>
          <w:p w14:paraId="36E6C7FE" w14:textId="08A48D83" w:rsidR="00F55AF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4</w:t>
            </w:r>
          </w:p>
        </w:tc>
        <w:tc>
          <w:tcPr>
            <w:tcW w:w="450" w:type="pct"/>
            <w:shd w:val="clear" w:color="auto" w:fill="auto"/>
            <w:vAlign w:val="center"/>
          </w:tcPr>
          <w:p w14:paraId="4E9337CF" w14:textId="2BD58AC5" w:rsidR="00F55AF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8</w:t>
            </w:r>
          </w:p>
        </w:tc>
        <w:tc>
          <w:tcPr>
            <w:tcW w:w="469" w:type="pct"/>
            <w:shd w:val="clear" w:color="auto" w:fill="auto"/>
            <w:vAlign w:val="center"/>
          </w:tcPr>
          <w:p w14:paraId="2C1D99CC" w14:textId="3A39798A" w:rsidR="00F55AF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17</w:t>
            </w:r>
          </w:p>
        </w:tc>
        <w:tc>
          <w:tcPr>
            <w:tcW w:w="392" w:type="pct"/>
            <w:shd w:val="clear" w:color="auto" w:fill="auto"/>
            <w:vAlign w:val="center"/>
          </w:tcPr>
          <w:p w14:paraId="00D0E68E" w14:textId="49F87208" w:rsidR="00F55AF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w:t>
            </w:r>
          </w:p>
        </w:tc>
      </w:tr>
      <w:tr w:rsidR="00395699" w14:paraId="4B3B97D9" w14:textId="77777777" w:rsidTr="0039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shd w:val="clear" w:color="auto" w:fill="auto"/>
            <w:vAlign w:val="center"/>
          </w:tcPr>
          <w:p w14:paraId="7A2E3477" w14:textId="4781E428" w:rsidR="00A104EB" w:rsidRPr="002C198F" w:rsidRDefault="00F35E89" w:rsidP="00D63C96">
            <w:pPr>
              <w:spacing w:line="360" w:lineRule="auto"/>
              <w:jc w:val="center"/>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India</w:t>
            </w:r>
          </w:p>
        </w:tc>
        <w:tc>
          <w:tcPr>
            <w:tcW w:w="529" w:type="pct"/>
            <w:shd w:val="clear" w:color="auto" w:fill="auto"/>
            <w:vAlign w:val="center"/>
          </w:tcPr>
          <w:p w14:paraId="599FAB1F" w14:textId="464AF8DA"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37</w:t>
            </w:r>
          </w:p>
        </w:tc>
        <w:tc>
          <w:tcPr>
            <w:tcW w:w="606" w:type="pct"/>
            <w:shd w:val="clear" w:color="auto" w:fill="auto"/>
            <w:vAlign w:val="center"/>
          </w:tcPr>
          <w:p w14:paraId="5D74A1B2" w14:textId="0D928D71"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173</w:t>
            </w:r>
          </w:p>
        </w:tc>
        <w:tc>
          <w:tcPr>
            <w:tcW w:w="529" w:type="pct"/>
            <w:shd w:val="clear" w:color="auto" w:fill="auto"/>
            <w:vAlign w:val="center"/>
          </w:tcPr>
          <w:p w14:paraId="5E6C16E8" w14:textId="69576B77"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5</w:t>
            </w:r>
          </w:p>
        </w:tc>
        <w:tc>
          <w:tcPr>
            <w:tcW w:w="392" w:type="pct"/>
            <w:shd w:val="clear" w:color="auto" w:fill="auto"/>
            <w:vAlign w:val="center"/>
          </w:tcPr>
          <w:p w14:paraId="73B7BC09" w14:textId="2A1EDAF3"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9</w:t>
            </w:r>
          </w:p>
        </w:tc>
        <w:tc>
          <w:tcPr>
            <w:tcW w:w="469" w:type="pct"/>
            <w:shd w:val="clear" w:color="auto" w:fill="auto"/>
            <w:vAlign w:val="center"/>
          </w:tcPr>
          <w:p w14:paraId="6AB5ABD7" w14:textId="39CE4EF1"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32</w:t>
            </w:r>
          </w:p>
        </w:tc>
        <w:tc>
          <w:tcPr>
            <w:tcW w:w="392" w:type="pct"/>
            <w:shd w:val="clear" w:color="auto" w:fill="auto"/>
            <w:vAlign w:val="center"/>
          </w:tcPr>
          <w:p w14:paraId="568E39A3" w14:textId="44815AA0"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2</w:t>
            </w:r>
          </w:p>
        </w:tc>
        <w:tc>
          <w:tcPr>
            <w:tcW w:w="450" w:type="pct"/>
            <w:shd w:val="clear" w:color="auto" w:fill="auto"/>
            <w:vAlign w:val="center"/>
          </w:tcPr>
          <w:p w14:paraId="2945F696" w14:textId="0077CAA5"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3</w:t>
            </w:r>
          </w:p>
        </w:tc>
        <w:tc>
          <w:tcPr>
            <w:tcW w:w="469" w:type="pct"/>
            <w:shd w:val="clear" w:color="auto" w:fill="auto"/>
            <w:vAlign w:val="center"/>
          </w:tcPr>
          <w:p w14:paraId="0B5F71C1" w14:textId="4A565605"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6</w:t>
            </w:r>
          </w:p>
        </w:tc>
        <w:tc>
          <w:tcPr>
            <w:tcW w:w="392" w:type="pct"/>
            <w:shd w:val="clear" w:color="auto" w:fill="auto"/>
            <w:vAlign w:val="center"/>
          </w:tcPr>
          <w:p w14:paraId="7C11A032" w14:textId="6D2ED9C0"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0</w:t>
            </w:r>
          </w:p>
        </w:tc>
      </w:tr>
      <w:tr w:rsidR="00395699" w14:paraId="31DBFA03" w14:textId="77777777" w:rsidTr="00395699">
        <w:tc>
          <w:tcPr>
            <w:cnfStyle w:val="001000000000" w:firstRow="0" w:lastRow="0" w:firstColumn="1" w:lastColumn="0" w:oddVBand="0" w:evenVBand="0" w:oddHBand="0" w:evenHBand="0" w:firstRowFirstColumn="0" w:firstRowLastColumn="0" w:lastRowFirstColumn="0" w:lastRowLastColumn="0"/>
            <w:tcW w:w="773" w:type="pct"/>
            <w:shd w:val="clear" w:color="auto" w:fill="auto"/>
            <w:vAlign w:val="center"/>
          </w:tcPr>
          <w:p w14:paraId="483D3912" w14:textId="5D1AA673" w:rsidR="00A104EB" w:rsidRPr="002C198F" w:rsidRDefault="00F35E89" w:rsidP="00D63C96">
            <w:pPr>
              <w:spacing w:line="360" w:lineRule="auto"/>
              <w:jc w:val="center"/>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Japan</w:t>
            </w:r>
          </w:p>
        </w:tc>
        <w:tc>
          <w:tcPr>
            <w:tcW w:w="529" w:type="pct"/>
            <w:shd w:val="clear" w:color="auto" w:fill="auto"/>
            <w:vAlign w:val="center"/>
          </w:tcPr>
          <w:p w14:paraId="6FC34E30" w14:textId="39649615"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114</w:t>
            </w:r>
          </w:p>
        </w:tc>
        <w:tc>
          <w:tcPr>
            <w:tcW w:w="606" w:type="pct"/>
            <w:shd w:val="clear" w:color="auto" w:fill="auto"/>
            <w:vAlign w:val="center"/>
          </w:tcPr>
          <w:p w14:paraId="329B81CC" w14:textId="62DE7CDE"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144</w:t>
            </w:r>
          </w:p>
        </w:tc>
        <w:tc>
          <w:tcPr>
            <w:tcW w:w="529" w:type="pct"/>
            <w:shd w:val="clear" w:color="auto" w:fill="auto"/>
            <w:vAlign w:val="center"/>
          </w:tcPr>
          <w:p w14:paraId="12CF3A6A" w14:textId="0C69374E"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74</w:t>
            </w:r>
          </w:p>
        </w:tc>
        <w:tc>
          <w:tcPr>
            <w:tcW w:w="392" w:type="pct"/>
            <w:shd w:val="clear" w:color="auto" w:fill="auto"/>
            <w:vAlign w:val="center"/>
          </w:tcPr>
          <w:p w14:paraId="3300BD0A" w14:textId="3B7B58F8"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49</w:t>
            </w:r>
          </w:p>
        </w:tc>
        <w:tc>
          <w:tcPr>
            <w:tcW w:w="469" w:type="pct"/>
            <w:shd w:val="clear" w:color="auto" w:fill="auto"/>
            <w:vAlign w:val="center"/>
          </w:tcPr>
          <w:p w14:paraId="3E60FBE1" w14:textId="0610ED53"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106</w:t>
            </w:r>
          </w:p>
        </w:tc>
        <w:tc>
          <w:tcPr>
            <w:tcW w:w="392" w:type="pct"/>
            <w:shd w:val="clear" w:color="auto" w:fill="auto"/>
            <w:vAlign w:val="center"/>
          </w:tcPr>
          <w:p w14:paraId="29ABB903" w14:textId="526D4AB7"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26</w:t>
            </w:r>
          </w:p>
        </w:tc>
        <w:tc>
          <w:tcPr>
            <w:tcW w:w="450" w:type="pct"/>
            <w:shd w:val="clear" w:color="auto" w:fill="auto"/>
            <w:vAlign w:val="center"/>
          </w:tcPr>
          <w:p w14:paraId="3BE56C80" w14:textId="45D825D9"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9</w:t>
            </w:r>
          </w:p>
        </w:tc>
        <w:tc>
          <w:tcPr>
            <w:tcW w:w="469" w:type="pct"/>
            <w:shd w:val="clear" w:color="auto" w:fill="auto"/>
            <w:vAlign w:val="center"/>
          </w:tcPr>
          <w:p w14:paraId="585BC3FF" w14:textId="1030C7BB"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70</w:t>
            </w:r>
          </w:p>
        </w:tc>
        <w:tc>
          <w:tcPr>
            <w:tcW w:w="392" w:type="pct"/>
            <w:shd w:val="clear" w:color="auto" w:fill="auto"/>
            <w:vAlign w:val="center"/>
          </w:tcPr>
          <w:p w14:paraId="6B803E1E" w14:textId="3A6B18DE"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10</w:t>
            </w:r>
          </w:p>
        </w:tc>
      </w:tr>
      <w:tr w:rsidR="00395699" w14:paraId="1057BC95" w14:textId="77777777" w:rsidTr="0039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shd w:val="clear" w:color="auto" w:fill="auto"/>
            <w:vAlign w:val="center"/>
          </w:tcPr>
          <w:p w14:paraId="2C48B8DA" w14:textId="12E34F8F" w:rsidR="00E939BC" w:rsidRPr="00E939BC" w:rsidRDefault="00F35E89" w:rsidP="00D63C96">
            <w:pPr>
              <w:spacing w:line="360" w:lineRule="auto"/>
              <w:jc w:val="center"/>
              <w:rPr>
                <w:rFonts w:ascii="Times New Roman" w:hAnsi="Times New Roman" w:cs="Times New Roman"/>
                <w:color w:val="000000" w:themeColor="text1"/>
                <w:sz w:val="21"/>
                <w:szCs w:val="21"/>
              </w:rPr>
            </w:pPr>
            <w:r w:rsidRPr="00E939BC">
              <w:rPr>
                <w:rFonts w:ascii="Times New Roman" w:hAnsi="Times New Roman" w:cs="Times New Roman"/>
                <w:b w:val="0"/>
                <w:bCs w:val="0"/>
                <w:color w:val="000000" w:themeColor="text1"/>
                <w:sz w:val="21"/>
                <w:szCs w:val="21"/>
              </w:rPr>
              <w:t>Norway</w:t>
            </w:r>
          </w:p>
        </w:tc>
        <w:tc>
          <w:tcPr>
            <w:tcW w:w="529" w:type="pct"/>
            <w:shd w:val="clear" w:color="auto" w:fill="auto"/>
            <w:vAlign w:val="center"/>
          </w:tcPr>
          <w:p w14:paraId="7CE84B93" w14:textId="51B32E97" w:rsidR="00E939BC" w:rsidRPr="00E939BC"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w:t>
            </w:r>
          </w:p>
        </w:tc>
        <w:tc>
          <w:tcPr>
            <w:tcW w:w="606" w:type="pct"/>
            <w:shd w:val="clear" w:color="auto" w:fill="auto"/>
            <w:vAlign w:val="center"/>
          </w:tcPr>
          <w:p w14:paraId="76A83212" w14:textId="620F272D" w:rsidR="00E939BC" w:rsidRPr="00E939BC"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w:t>
            </w:r>
          </w:p>
        </w:tc>
        <w:tc>
          <w:tcPr>
            <w:tcW w:w="529" w:type="pct"/>
            <w:shd w:val="clear" w:color="auto" w:fill="auto"/>
            <w:vAlign w:val="center"/>
          </w:tcPr>
          <w:p w14:paraId="2D95DD7E" w14:textId="7A5EDEC2" w:rsidR="00E939BC" w:rsidRPr="00E939BC"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w:t>
            </w:r>
          </w:p>
        </w:tc>
        <w:tc>
          <w:tcPr>
            <w:tcW w:w="392" w:type="pct"/>
            <w:shd w:val="clear" w:color="auto" w:fill="auto"/>
            <w:vAlign w:val="center"/>
          </w:tcPr>
          <w:p w14:paraId="695EF57A" w14:textId="4FAE7EB7" w:rsidR="00E939BC" w:rsidRPr="00E939BC"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r w:rsidR="000F3651">
              <w:rPr>
                <w:rFonts w:ascii="Times New Roman" w:hAnsi="Times New Roman" w:cs="Times New Roman"/>
                <w:color w:val="000000" w:themeColor="text1"/>
                <w:sz w:val="21"/>
                <w:szCs w:val="21"/>
              </w:rPr>
              <w:t>5</w:t>
            </w:r>
          </w:p>
        </w:tc>
        <w:tc>
          <w:tcPr>
            <w:tcW w:w="469" w:type="pct"/>
            <w:shd w:val="clear" w:color="auto" w:fill="auto"/>
            <w:vAlign w:val="center"/>
          </w:tcPr>
          <w:p w14:paraId="7AFC26D4" w14:textId="7F2E70D6" w:rsidR="00E939BC" w:rsidRPr="00E939BC"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w:t>
            </w:r>
          </w:p>
        </w:tc>
        <w:tc>
          <w:tcPr>
            <w:tcW w:w="392" w:type="pct"/>
            <w:shd w:val="clear" w:color="auto" w:fill="auto"/>
            <w:vAlign w:val="center"/>
          </w:tcPr>
          <w:p w14:paraId="366A873B" w14:textId="1D3DD34C" w:rsidR="00E939BC" w:rsidRPr="00E939BC"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w:t>
            </w:r>
          </w:p>
        </w:tc>
        <w:tc>
          <w:tcPr>
            <w:tcW w:w="450" w:type="pct"/>
            <w:shd w:val="clear" w:color="auto" w:fill="auto"/>
            <w:vAlign w:val="center"/>
          </w:tcPr>
          <w:p w14:paraId="2FD2B1C9" w14:textId="32AC7629" w:rsidR="00E939BC" w:rsidRPr="00E939BC"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w:t>
            </w:r>
          </w:p>
        </w:tc>
        <w:tc>
          <w:tcPr>
            <w:tcW w:w="469" w:type="pct"/>
            <w:shd w:val="clear" w:color="auto" w:fill="auto"/>
            <w:vAlign w:val="center"/>
          </w:tcPr>
          <w:p w14:paraId="40FB2D35" w14:textId="09FC649C" w:rsidR="00E939BC" w:rsidRPr="00E939BC"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w:t>
            </w:r>
          </w:p>
        </w:tc>
        <w:tc>
          <w:tcPr>
            <w:tcW w:w="392" w:type="pct"/>
            <w:shd w:val="clear" w:color="auto" w:fill="auto"/>
            <w:vAlign w:val="center"/>
          </w:tcPr>
          <w:p w14:paraId="7F022523" w14:textId="25E24A88" w:rsidR="00E939BC" w:rsidRPr="00E939BC"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w:t>
            </w:r>
          </w:p>
        </w:tc>
      </w:tr>
      <w:tr w:rsidR="00395699" w14:paraId="3B6A2839" w14:textId="77777777" w:rsidTr="00395699">
        <w:tc>
          <w:tcPr>
            <w:cnfStyle w:val="001000000000" w:firstRow="0" w:lastRow="0" w:firstColumn="1" w:lastColumn="0" w:oddVBand="0" w:evenVBand="0" w:oddHBand="0" w:evenHBand="0" w:firstRowFirstColumn="0" w:firstRowLastColumn="0" w:lastRowFirstColumn="0" w:lastRowLastColumn="0"/>
            <w:tcW w:w="773" w:type="pct"/>
            <w:tcBorders>
              <w:bottom w:val="nil"/>
            </w:tcBorders>
            <w:shd w:val="clear" w:color="auto" w:fill="auto"/>
            <w:vAlign w:val="center"/>
          </w:tcPr>
          <w:p w14:paraId="5F131B55" w14:textId="62707466" w:rsidR="00A104EB" w:rsidRPr="002C198F" w:rsidRDefault="00F35E89" w:rsidP="00D63C96">
            <w:pPr>
              <w:spacing w:line="360" w:lineRule="auto"/>
              <w:jc w:val="center"/>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Switzerland</w:t>
            </w:r>
          </w:p>
        </w:tc>
        <w:tc>
          <w:tcPr>
            <w:tcW w:w="529" w:type="pct"/>
            <w:tcBorders>
              <w:bottom w:val="nil"/>
            </w:tcBorders>
            <w:shd w:val="clear" w:color="auto" w:fill="auto"/>
            <w:vAlign w:val="center"/>
          </w:tcPr>
          <w:p w14:paraId="7B0C6856" w14:textId="6BEF0F01"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3</w:t>
            </w:r>
            <w:r w:rsidR="000F3651">
              <w:rPr>
                <w:rFonts w:ascii="Times New Roman" w:hAnsi="Times New Roman" w:cs="Times New Roman"/>
                <w:color w:val="auto"/>
                <w:sz w:val="21"/>
                <w:szCs w:val="21"/>
              </w:rPr>
              <w:t>1</w:t>
            </w:r>
          </w:p>
        </w:tc>
        <w:tc>
          <w:tcPr>
            <w:tcW w:w="606" w:type="pct"/>
            <w:tcBorders>
              <w:bottom w:val="nil"/>
            </w:tcBorders>
            <w:shd w:val="clear" w:color="auto" w:fill="auto"/>
            <w:vAlign w:val="center"/>
          </w:tcPr>
          <w:p w14:paraId="260BB0FE" w14:textId="268A7478"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37</w:t>
            </w:r>
          </w:p>
        </w:tc>
        <w:tc>
          <w:tcPr>
            <w:tcW w:w="529" w:type="pct"/>
            <w:tcBorders>
              <w:bottom w:val="nil"/>
            </w:tcBorders>
            <w:shd w:val="clear" w:color="auto" w:fill="auto"/>
            <w:vAlign w:val="center"/>
          </w:tcPr>
          <w:p w14:paraId="2991BC98" w14:textId="619FD6AB"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0</w:t>
            </w:r>
          </w:p>
        </w:tc>
        <w:tc>
          <w:tcPr>
            <w:tcW w:w="392" w:type="pct"/>
            <w:tcBorders>
              <w:bottom w:val="nil"/>
            </w:tcBorders>
            <w:shd w:val="clear" w:color="auto" w:fill="auto"/>
            <w:vAlign w:val="center"/>
          </w:tcPr>
          <w:p w14:paraId="56FCCF29" w14:textId="0672DF24"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2</w:t>
            </w:r>
          </w:p>
        </w:tc>
        <w:tc>
          <w:tcPr>
            <w:tcW w:w="469" w:type="pct"/>
            <w:tcBorders>
              <w:bottom w:val="nil"/>
            </w:tcBorders>
            <w:shd w:val="clear" w:color="auto" w:fill="auto"/>
            <w:vAlign w:val="center"/>
          </w:tcPr>
          <w:p w14:paraId="3BA43DB9" w14:textId="17A27312"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24</w:t>
            </w:r>
          </w:p>
        </w:tc>
        <w:tc>
          <w:tcPr>
            <w:tcW w:w="392" w:type="pct"/>
            <w:tcBorders>
              <w:bottom w:val="nil"/>
            </w:tcBorders>
            <w:shd w:val="clear" w:color="auto" w:fill="auto"/>
            <w:vAlign w:val="center"/>
          </w:tcPr>
          <w:p w14:paraId="26E0B647" w14:textId="55E1AF59"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2</w:t>
            </w:r>
          </w:p>
        </w:tc>
        <w:tc>
          <w:tcPr>
            <w:tcW w:w="450" w:type="pct"/>
            <w:tcBorders>
              <w:bottom w:val="nil"/>
            </w:tcBorders>
            <w:shd w:val="clear" w:color="auto" w:fill="auto"/>
            <w:vAlign w:val="center"/>
          </w:tcPr>
          <w:p w14:paraId="15BD93FE" w14:textId="31A33145"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4</w:t>
            </w:r>
          </w:p>
        </w:tc>
        <w:tc>
          <w:tcPr>
            <w:tcW w:w="469" w:type="pct"/>
            <w:tcBorders>
              <w:bottom w:val="nil"/>
            </w:tcBorders>
            <w:shd w:val="clear" w:color="auto" w:fill="auto"/>
            <w:vAlign w:val="center"/>
          </w:tcPr>
          <w:p w14:paraId="2C0690E4" w14:textId="01D210B2"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3</w:t>
            </w:r>
          </w:p>
        </w:tc>
        <w:tc>
          <w:tcPr>
            <w:tcW w:w="392" w:type="pct"/>
            <w:tcBorders>
              <w:bottom w:val="nil"/>
            </w:tcBorders>
            <w:shd w:val="clear" w:color="auto" w:fill="auto"/>
            <w:vAlign w:val="center"/>
          </w:tcPr>
          <w:p w14:paraId="24E334B7" w14:textId="0D69942A" w:rsidR="00A104EB" w:rsidRPr="002C198F" w:rsidRDefault="00F35E89" w:rsidP="00D63C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0</w:t>
            </w:r>
          </w:p>
        </w:tc>
      </w:tr>
      <w:tr w:rsidR="00395699" w14:paraId="3FDD7D94" w14:textId="77777777" w:rsidTr="0039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tcBorders>
              <w:top w:val="nil"/>
              <w:bottom w:val="nil"/>
            </w:tcBorders>
            <w:shd w:val="clear" w:color="auto" w:fill="auto"/>
            <w:vAlign w:val="center"/>
          </w:tcPr>
          <w:p w14:paraId="7295E114" w14:textId="596A973D" w:rsidR="00A104EB" w:rsidRPr="002C198F" w:rsidRDefault="00F35E89" w:rsidP="00D63C96">
            <w:pPr>
              <w:spacing w:line="360" w:lineRule="auto"/>
              <w:jc w:val="center"/>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UK</w:t>
            </w:r>
          </w:p>
        </w:tc>
        <w:tc>
          <w:tcPr>
            <w:tcW w:w="529" w:type="pct"/>
            <w:tcBorders>
              <w:top w:val="nil"/>
              <w:bottom w:val="nil"/>
            </w:tcBorders>
            <w:shd w:val="clear" w:color="auto" w:fill="auto"/>
            <w:vAlign w:val="center"/>
          </w:tcPr>
          <w:p w14:paraId="7AE8BC51" w14:textId="44D2C190"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48</w:t>
            </w:r>
          </w:p>
        </w:tc>
        <w:tc>
          <w:tcPr>
            <w:tcW w:w="606" w:type="pct"/>
            <w:tcBorders>
              <w:top w:val="nil"/>
              <w:bottom w:val="nil"/>
            </w:tcBorders>
            <w:shd w:val="clear" w:color="auto" w:fill="auto"/>
            <w:vAlign w:val="center"/>
          </w:tcPr>
          <w:p w14:paraId="4D8D5999" w14:textId="6458872E"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16</w:t>
            </w:r>
          </w:p>
        </w:tc>
        <w:tc>
          <w:tcPr>
            <w:tcW w:w="529" w:type="pct"/>
            <w:tcBorders>
              <w:top w:val="nil"/>
              <w:bottom w:val="nil"/>
            </w:tcBorders>
            <w:shd w:val="clear" w:color="auto" w:fill="auto"/>
            <w:vAlign w:val="center"/>
          </w:tcPr>
          <w:p w14:paraId="42B32B42" w14:textId="3346CFB2"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71</w:t>
            </w:r>
          </w:p>
        </w:tc>
        <w:tc>
          <w:tcPr>
            <w:tcW w:w="392" w:type="pct"/>
            <w:tcBorders>
              <w:top w:val="nil"/>
              <w:bottom w:val="nil"/>
            </w:tcBorders>
            <w:shd w:val="clear" w:color="auto" w:fill="auto"/>
            <w:vAlign w:val="center"/>
          </w:tcPr>
          <w:p w14:paraId="6E8F534C" w14:textId="3E9AAD4A"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22</w:t>
            </w:r>
          </w:p>
        </w:tc>
        <w:tc>
          <w:tcPr>
            <w:tcW w:w="469" w:type="pct"/>
            <w:tcBorders>
              <w:top w:val="nil"/>
              <w:bottom w:val="nil"/>
            </w:tcBorders>
            <w:shd w:val="clear" w:color="auto" w:fill="auto"/>
            <w:vAlign w:val="center"/>
          </w:tcPr>
          <w:p w14:paraId="0B7B8007" w14:textId="4EF6D09D"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32</w:t>
            </w:r>
          </w:p>
        </w:tc>
        <w:tc>
          <w:tcPr>
            <w:tcW w:w="392" w:type="pct"/>
            <w:tcBorders>
              <w:top w:val="nil"/>
              <w:bottom w:val="nil"/>
            </w:tcBorders>
            <w:shd w:val="clear" w:color="auto" w:fill="auto"/>
            <w:vAlign w:val="center"/>
          </w:tcPr>
          <w:p w14:paraId="1BEB31EF" w14:textId="6DAE03FA"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20</w:t>
            </w:r>
          </w:p>
        </w:tc>
        <w:tc>
          <w:tcPr>
            <w:tcW w:w="450" w:type="pct"/>
            <w:tcBorders>
              <w:top w:val="nil"/>
              <w:bottom w:val="nil"/>
            </w:tcBorders>
            <w:shd w:val="clear" w:color="auto" w:fill="auto"/>
            <w:vAlign w:val="center"/>
          </w:tcPr>
          <w:p w14:paraId="28E769CE" w14:textId="47DB9212"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16</w:t>
            </w:r>
          </w:p>
        </w:tc>
        <w:tc>
          <w:tcPr>
            <w:tcW w:w="469" w:type="pct"/>
            <w:tcBorders>
              <w:top w:val="nil"/>
              <w:bottom w:val="nil"/>
            </w:tcBorders>
            <w:shd w:val="clear" w:color="auto" w:fill="auto"/>
            <w:vAlign w:val="center"/>
          </w:tcPr>
          <w:p w14:paraId="4E8C3E54" w14:textId="4D7F86F1"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46</w:t>
            </w:r>
          </w:p>
        </w:tc>
        <w:tc>
          <w:tcPr>
            <w:tcW w:w="392" w:type="pct"/>
            <w:tcBorders>
              <w:top w:val="nil"/>
              <w:bottom w:val="nil"/>
            </w:tcBorders>
            <w:shd w:val="clear" w:color="auto" w:fill="auto"/>
            <w:vAlign w:val="center"/>
          </w:tcPr>
          <w:p w14:paraId="50D2BE5B" w14:textId="3068B38D" w:rsidR="00A104EB" w:rsidRPr="002C198F" w:rsidRDefault="00F35E89" w:rsidP="00D63C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7</w:t>
            </w:r>
          </w:p>
        </w:tc>
      </w:tr>
      <w:tr w:rsidR="00395699" w14:paraId="5CAFBA67" w14:textId="77777777" w:rsidTr="00395699">
        <w:tc>
          <w:tcPr>
            <w:cnfStyle w:val="001000000000" w:firstRow="0" w:lastRow="0" w:firstColumn="1" w:lastColumn="0" w:oddVBand="0" w:evenVBand="0" w:oddHBand="0" w:evenHBand="0" w:firstRowFirstColumn="0" w:firstRowLastColumn="0" w:lastRowFirstColumn="0" w:lastRowLastColumn="0"/>
            <w:tcW w:w="773" w:type="pct"/>
            <w:tcBorders>
              <w:top w:val="nil"/>
              <w:bottom w:val="single" w:sz="4" w:space="0" w:color="000000" w:themeColor="text1"/>
            </w:tcBorders>
            <w:shd w:val="clear" w:color="auto" w:fill="auto"/>
          </w:tcPr>
          <w:p w14:paraId="08FCE714" w14:textId="05371D80" w:rsidR="00A104EB" w:rsidRPr="002C198F" w:rsidRDefault="00F35E89" w:rsidP="00A104EB">
            <w:pPr>
              <w:spacing w:line="360" w:lineRule="auto"/>
              <w:jc w:val="center"/>
              <w:rPr>
                <w:rFonts w:ascii="Times New Roman" w:hAnsi="Times New Roman" w:cs="Times New Roman"/>
                <w:color w:val="auto"/>
                <w:sz w:val="21"/>
                <w:szCs w:val="21"/>
              </w:rPr>
            </w:pPr>
            <w:r w:rsidRPr="002C198F">
              <w:rPr>
                <w:rFonts w:ascii="Times New Roman" w:hAnsi="Times New Roman" w:cs="Times New Roman"/>
                <w:b w:val="0"/>
                <w:bCs w:val="0"/>
                <w:color w:val="auto"/>
                <w:sz w:val="21"/>
                <w:szCs w:val="21"/>
              </w:rPr>
              <w:t>US</w:t>
            </w:r>
          </w:p>
        </w:tc>
        <w:tc>
          <w:tcPr>
            <w:tcW w:w="529" w:type="pct"/>
            <w:tcBorders>
              <w:top w:val="nil"/>
              <w:bottom w:val="single" w:sz="4" w:space="0" w:color="000000" w:themeColor="text1"/>
            </w:tcBorders>
            <w:shd w:val="clear" w:color="auto" w:fill="auto"/>
          </w:tcPr>
          <w:p w14:paraId="69398CBB" w14:textId="7B329796" w:rsidR="00A104EB" w:rsidRPr="002C198F" w:rsidRDefault="00F35E89" w:rsidP="00A104E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133</w:t>
            </w:r>
          </w:p>
        </w:tc>
        <w:tc>
          <w:tcPr>
            <w:tcW w:w="606" w:type="pct"/>
            <w:tcBorders>
              <w:top w:val="nil"/>
              <w:bottom w:val="single" w:sz="4" w:space="0" w:color="000000" w:themeColor="text1"/>
            </w:tcBorders>
            <w:shd w:val="clear" w:color="auto" w:fill="auto"/>
          </w:tcPr>
          <w:p w14:paraId="5FD8D10D" w14:textId="5EEE5B50" w:rsidR="00A104EB" w:rsidRPr="002C198F" w:rsidRDefault="00F35E89" w:rsidP="00A104E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257</w:t>
            </w:r>
          </w:p>
        </w:tc>
        <w:tc>
          <w:tcPr>
            <w:tcW w:w="529" w:type="pct"/>
            <w:tcBorders>
              <w:top w:val="nil"/>
              <w:bottom w:val="single" w:sz="4" w:space="0" w:color="000000" w:themeColor="text1"/>
            </w:tcBorders>
            <w:shd w:val="clear" w:color="auto" w:fill="auto"/>
          </w:tcPr>
          <w:p w14:paraId="1BD8C7E0" w14:textId="7931F5C8" w:rsidR="00A104EB" w:rsidRPr="002C198F" w:rsidRDefault="00F35E89" w:rsidP="00A104E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195</w:t>
            </w:r>
          </w:p>
        </w:tc>
        <w:tc>
          <w:tcPr>
            <w:tcW w:w="392" w:type="pct"/>
            <w:tcBorders>
              <w:top w:val="nil"/>
              <w:bottom w:val="single" w:sz="4" w:space="0" w:color="000000" w:themeColor="text1"/>
            </w:tcBorders>
            <w:shd w:val="clear" w:color="auto" w:fill="auto"/>
          </w:tcPr>
          <w:p w14:paraId="6678A248" w14:textId="0CAF052D" w:rsidR="00A104EB" w:rsidRPr="002C198F" w:rsidRDefault="00F35E89" w:rsidP="00A104E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47</w:t>
            </w:r>
          </w:p>
        </w:tc>
        <w:tc>
          <w:tcPr>
            <w:tcW w:w="469" w:type="pct"/>
            <w:tcBorders>
              <w:top w:val="nil"/>
              <w:bottom w:val="single" w:sz="4" w:space="0" w:color="000000" w:themeColor="text1"/>
            </w:tcBorders>
            <w:shd w:val="clear" w:color="auto" w:fill="auto"/>
          </w:tcPr>
          <w:p w14:paraId="3CF6900E" w14:textId="31664B37" w:rsidR="00A104EB" w:rsidRPr="002C198F" w:rsidRDefault="00F35E89" w:rsidP="00A104E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143</w:t>
            </w:r>
          </w:p>
        </w:tc>
        <w:tc>
          <w:tcPr>
            <w:tcW w:w="392" w:type="pct"/>
            <w:tcBorders>
              <w:top w:val="nil"/>
              <w:bottom w:val="single" w:sz="4" w:space="0" w:color="000000" w:themeColor="text1"/>
            </w:tcBorders>
            <w:shd w:val="clear" w:color="auto" w:fill="auto"/>
          </w:tcPr>
          <w:p w14:paraId="5A013224" w14:textId="3C605BD7" w:rsidR="00A104EB" w:rsidRPr="002C198F" w:rsidRDefault="00F35E89" w:rsidP="00A104E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63</w:t>
            </w:r>
          </w:p>
        </w:tc>
        <w:tc>
          <w:tcPr>
            <w:tcW w:w="450" w:type="pct"/>
            <w:tcBorders>
              <w:top w:val="nil"/>
              <w:bottom w:val="single" w:sz="4" w:space="0" w:color="000000" w:themeColor="text1"/>
            </w:tcBorders>
            <w:shd w:val="clear" w:color="auto" w:fill="auto"/>
          </w:tcPr>
          <w:p w14:paraId="7AED6CBC" w14:textId="57B01F4C" w:rsidR="00A104EB" w:rsidRPr="002C198F" w:rsidRDefault="00F35E89" w:rsidP="00A104E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81</w:t>
            </w:r>
          </w:p>
        </w:tc>
        <w:tc>
          <w:tcPr>
            <w:tcW w:w="469" w:type="pct"/>
            <w:tcBorders>
              <w:top w:val="nil"/>
              <w:bottom w:val="single" w:sz="4" w:space="0" w:color="000000" w:themeColor="text1"/>
            </w:tcBorders>
            <w:shd w:val="clear" w:color="auto" w:fill="auto"/>
          </w:tcPr>
          <w:p w14:paraId="01716A74" w14:textId="1AAD786F" w:rsidR="00A104EB" w:rsidRPr="002C198F" w:rsidRDefault="00F35E89" w:rsidP="00A104E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97</w:t>
            </w:r>
          </w:p>
        </w:tc>
        <w:tc>
          <w:tcPr>
            <w:tcW w:w="392" w:type="pct"/>
            <w:tcBorders>
              <w:top w:val="nil"/>
              <w:bottom w:val="single" w:sz="4" w:space="0" w:color="000000" w:themeColor="text1"/>
            </w:tcBorders>
            <w:shd w:val="clear" w:color="auto" w:fill="auto"/>
          </w:tcPr>
          <w:p w14:paraId="770D84E2" w14:textId="0BF1FB4A" w:rsidR="00A104EB" w:rsidRPr="002C198F" w:rsidRDefault="00F35E89" w:rsidP="00A104E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2C198F">
              <w:rPr>
                <w:rFonts w:ascii="Times New Roman" w:hAnsi="Times New Roman" w:cs="Times New Roman"/>
                <w:color w:val="auto"/>
                <w:sz w:val="21"/>
                <w:szCs w:val="21"/>
              </w:rPr>
              <w:t>65</w:t>
            </w:r>
          </w:p>
        </w:tc>
      </w:tr>
    </w:tbl>
    <w:p w14:paraId="5170AB8D" w14:textId="5F98A152" w:rsidR="008D010E" w:rsidRPr="00BD4369" w:rsidRDefault="00F35E89" w:rsidP="00E613EF">
      <w:pPr>
        <w:jc w:val="both"/>
        <w:rPr>
          <w:rFonts w:ascii="Times New Roman" w:hAnsi="Times New Roman" w:cs="Times New Roman"/>
          <w:sz w:val="22"/>
          <w:szCs w:val="32"/>
        </w:rPr>
      </w:pPr>
      <w:bookmarkStart w:id="14" w:name="_Toc11766487"/>
      <w:r w:rsidRPr="00BD4369">
        <w:rPr>
          <w:rFonts w:ascii="Times New Roman" w:hAnsi="Times New Roman" w:cs="Times New Roman"/>
          <w:sz w:val="22"/>
          <w:szCs w:val="32"/>
        </w:rPr>
        <w:t xml:space="preserve">Table 2 reports the distribution of funds relative to their investment styles. </w:t>
      </w:r>
      <w:bookmarkEnd w:id="14"/>
      <w:r w:rsidR="0072108D" w:rsidRPr="00BD4369">
        <w:rPr>
          <w:rFonts w:ascii="Times New Roman" w:hAnsi="Times New Roman" w:cs="Times New Roman"/>
          <w:sz w:val="22"/>
          <w:szCs w:val="32"/>
        </w:rPr>
        <w:t>Large, mid and small represents the averages sizes of stocks held by the mutual funds. Growth, Value, and Blend represent the characteristics of the stocks held by the mutual funds.</w:t>
      </w:r>
    </w:p>
    <w:p w14:paraId="0BA56675" w14:textId="22A3595A" w:rsidR="00AB420C" w:rsidRDefault="00AB420C" w:rsidP="00AB420C">
      <w:pPr>
        <w:pBdr>
          <w:top w:val="nil"/>
          <w:left w:val="nil"/>
          <w:bottom w:val="nil"/>
          <w:right w:val="nil"/>
          <w:between w:val="nil"/>
        </w:pBdr>
        <w:spacing w:after="39" w:line="360" w:lineRule="auto"/>
        <w:ind w:firstLine="720"/>
        <w:jc w:val="both"/>
        <w:rPr>
          <w:rFonts w:ascii="Times New Roman" w:eastAsia="Times New Roman" w:hAnsi="Times New Roman" w:cs="Times New Roman"/>
          <w:szCs w:val="28"/>
        </w:rPr>
      </w:pPr>
    </w:p>
    <w:p w14:paraId="2F35C8B7" w14:textId="615790AB" w:rsidR="002D57E6" w:rsidRDefault="00F35E89" w:rsidP="008B3964">
      <w:pPr>
        <w:spacing w:line="360" w:lineRule="auto"/>
        <w:ind w:firstLine="720"/>
        <w:jc w:val="both"/>
        <w:rPr>
          <w:rFonts w:ascii="Times New Roman" w:hAnsi="Times New Roman" w:cs="Times New Roman"/>
        </w:rPr>
      </w:pPr>
      <w:r>
        <w:rPr>
          <w:rFonts w:ascii="Times New Roman" w:hAnsi="Times New Roman" w:cs="Times New Roman"/>
        </w:rPr>
        <w:t>Furthermore, Fama and French</w:t>
      </w:r>
      <w:r w:rsidR="00F26DE5">
        <w:rPr>
          <w:rFonts w:ascii="Times New Roman" w:hAnsi="Times New Roman" w:cs="Times New Roman"/>
        </w:rPr>
        <w:t>’s</w:t>
      </w:r>
      <w:r>
        <w:rPr>
          <w:rFonts w:ascii="Times New Roman" w:hAnsi="Times New Roman" w:cs="Times New Roman"/>
        </w:rPr>
        <w:t xml:space="preserve"> three factors and the momentum factor of Carhart were gathered from Kenneth R. French data library. The data library contains information on the factors starting from 1927 </w:t>
      </w:r>
      <w:r w:rsidR="00193E2A">
        <w:rPr>
          <w:rFonts w:ascii="Times New Roman" w:hAnsi="Times New Roman" w:cs="Times New Roman"/>
        </w:rPr>
        <w:t>to</w:t>
      </w:r>
      <w:r>
        <w:rPr>
          <w:rFonts w:ascii="Times New Roman" w:hAnsi="Times New Roman" w:cs="Times New Roman"/>
        </w:rPr>
        <w:t xml:space="preserve"> the present.</w:t>
      </w:r>
      <w:r w:rsidR="00D0731B">
        <w:rPr>
          <w:rFonts w:ascii="Times New Roman" w:hAnsi="Times New Roman" w:cs="Times New Roman"/>
        </w:rPr>
        <w:t xml:space="preserve"> </w:t>
      </w:r>
      <w:r w:rsidR="00D0731B" w:rsidRPr="00B360F7">
        <w:rPr>
          <w:rFonts w:ascii="Times New Roman" w:hAnsi="Times New Roman" w:cs="Times New Roman"/>
        </w:rPr>
        <w:t>The</w:t>
      </w:r>
      <w:r w:rsidR="00B360F7">
        <w:rPr>
          <w:rFonts w:ascii="Times New Roman" w:hAnsi="Times New Roman" w:cs="Times New Roman"/>
        </w:rPr>
        <w:t>se</w:t>
      </w:r>
      <w:r w:rsidR="00D0731B" w:rsidRPr="00B360F7">
        <w:rPr>
          <w:rFonts w:ascii="Times New Roman" w:hAnsi="Times New Roman" w:cs="Times New Roman"/>
        </w:rPr>
        <w:t xml:space="preserve"> factors are </w:t>
      </w:r>
      <w:r w:rsidR="00B360F7">
        <w:rPr>
          <w:rFonts w:ascii="Times New Roman" w:hAnsi="Times New Roman" w:cs="Times New Roman"/>
        </w:rPr>
        <w:t>reported</w:t>
      </w:r>
      <w:r w:rsidR="00D0731B" w:rsidRPr="00B360F7">
        <w:rPr>
          <w:rFonts w:ascii="Times New Roman" w:hAnsi="Times New Roman" w:cs="Times New Roman"/>
        </w:rPr>
        <w:t xml:space="preserve"> as country-specific and territory-specific.</w:t>
      </w:r>
      <w:r w:rsidRPr="00B360F7">
        <w:rPr>
          <w:rFonts w:ascii="Times New Roman" w:hAnsi="Times New Roman" w:cs="Times New Roman"/>
        </w:rPr>
        <w:t xml:space="preserve"> </w:t>
      </w:r>
      <w:r w:rsidR="00D0731B" w:rsidRPr="00B360F7">
        <w:rPr>
          <w:rFonts w:ascii="Times New Roman" w:hAnsi="Times New Roman" w:cs="Times New Roman"/>
        </w:rPr>
        <w:t>The c</w:t>
      </w:r>
      <w:r w:rsidRPr="00B360F7">
        <w:rPr>
          <w:rFonts w:ascii="Times New Roman" w:hAnsi="Times New Roman" w:cs="Times New Roman"/>
        </w:rPr>
        <w:t xml:space="preserve">ountry-specific factors </w:t>
      </w:r>
      <w:r w:rsidR="00890910" w:rsidRPr="00B360F7">
        <w:rPr>
          <w:rFonts w:ascii="Times New Roman" w:hAnsi="Times New Roman" w:cs="Times New Roman"/>
        </w:rPr>
        <w:t>are formed</w:t>
      </w:r>
      <w:r w:rsidRPr="00B360F7">
        <w:rPr>
          <w:rFonts w:ascii="Times New Roman" w:hAnsi="Times New Roman" w:cs="Times New Roman"/>
        </w:rPr>
        <w:t xml:space="preserve"> only</w:t>
      </w:r>
      <w:r w:rsidR="00890910" w:rsidRPr="00B360F7">
        <w:rPr>
          <w:rFonts w:ascii="Times New Roman" w:hAnsi="Times New Roman" w:cs="Times New Roman"/>
        </w:rPr>
        <w:t xml:space="preserve"> for</w:t>
      </w:r>
      <w:r w:rsidRPr="00B360F7">
        <w:rPr>
          <w:rFonts w:ascii="Times New Roman" w:hAnsi="Times New Roman" w:cs="Times New Roman"/>
        </w:rPr>
        <w:t xml:space="preserve"> Japan and the</w:t>
      </w:r>
      <w:r w:rsidR="00D0731B" w:rsidRPr="00B360F7">
        <w:rPr>
          <w:rFonts w:ascii="Times New Roman" w:hAnsi="Times New Roman" w:cs="Times New Roman"/>
        </w:rPr>
        <w:t xml:space="preserve"> US.</w:t>
      </w:r>
      <w:r w:rsidR="00890910" w:rsidRPr="00B360F7">
        <w:rPr>
          <w:rFonts w:ascii="Times New Roman" w:hAnsi="Times New Roman" w:cs="Times New Roman"/>
        </w:rPr>
        <w:t xml:space="preserve"> </w:t>
      </w:r>
      <w:r w:rsidR="00D0731B" w:rsidRPr="00B360F7">
        <w:rPr>
          <w:rFonts w:ascii="Times New Roman" w:hAnsi="Times New Roman" w:cs="Times New Roman"/>
        </w:rPr>
        <w:t>The territory-specific</w:t>
      </w:r>
      <w:r w:rsidRPr="00B360F7">
        <w:rPr>
          <w:rFonts w:ascii="Times New Roman" w:hAnsi="Times New Roman" w:cs="Times New Roman"/>
        </w:rPr>
        <w:t xml:space="preserve"> factors</w:t>
      </w:r>
      <w:r w:rsidR="00D0731B" w:rsidRPr="00B360F7">
        <w:rPr>
          <w:rFonts w:ascii="Times New Roman" w:hAnsi="Times New Roman" w:cs="Times New Roman"/>
        </w:rPr>
        <w:t xml:space="preserve"> are formed for </w:t>
      </w:r>
      <w:r w:rsidRPr="00B360F7">
        <w:rPr>
          <w:rFonts w:ascii="Times New Roman" w:hAnsi="Times New Roman" w:cs="Times New Roman"/>
        </w:rPr>
        <w:t>Europe</w:t>
      </w:r>
      <w:r w:rsidR="00D0731B" w:rsidRPr="00B360F7">
        <w:rPr>
          <w:rFonts w:ascii="Times New Roman" w:hAnsi="Times New Roman" w:cs="Times New Roman"/>
        </w:rPr>
        <w:t>an</w:t>
      </w:r>
      <w:r w:rsidR="00224D61" w:rsidRPr="00B360F7">
        <w:rPr>
          <w:rFonts w:ascii="Times New Roman" w:hAnsi="Times New Roman" w:cs="Times New Roman"/>
        </w:rPr>
        <w:t xml:space="preserve"> </w:t>
      </w:r>
      <w:r w:rsidRPr="00B360F7">
        <w:rPr>
          <w:rFonts w:ascii="Times New Roman" w:hAnsi="Times New Roman" w:cs="Times New Roman"/>
        </w:rPr>
        <w:t>and Asia</w:t>
      </w:r>
      <w:r w:rsidR="00890910" w:rsidRPr="00B360F7">
        <w:rPr>
          <w:rFonts w:ascii="Times New Roman" w:hAnsi="Times New Roman" w:cs="Times New Roman"/>
        </w:rPr>
        <w:t>-</w:t>
      </w:r>
      <w:r w:rsidR="00224D61" w:rsidRPr="00B360F7">
        <w:rPr>
          <w:rFonts w:ascii="Times New Roman" w:hAnsi="Times New Roman" w:cs="Times New Roman"/>
        </w:rPr>
        <w:t>Pacific</w:t>
      </w:r>
      <w:r w:rsidR="00D0731B" w:rsidRPr="00B360F7">
        <w:rPr>
          <w:rFonts w:ascii="Times New Roman" w:hAnsi="Times New Roman" w:cs="Times New Roman"/>
        </w:rPr>
        <w:t xml:space="preserve"> countries</w:t>
      </w:r>
      <w:r w:rsidRPr="00B360F7">
        <w:rPr>
          <w:rFonts w:ascii="Times New Roman" w:hAnsi="Times New Roman" w:cs="Times New Roman"/>
        </w:rPr>
        <w:t>.</w:t>
      </w:r>
      <w:r>
        <w:rPr>
          <w:rFonts w:ascii="Times New Roman" w:hAnsi="Times New Roman" w:cs="Times New Roman"/>
        </w:rPr>
        <w:t xml:space="preserve"> Europe factors include France, </w:t>
      </w:r>
      <w:r w:rsidR="001747BE">
        <w:rPr>
          <w:rFonts w:ascii="Times New Roman" w:hAnsi="Times New Roman" w:cs="Times New Roman"/>
        </w:rPr>
        <w:t xml:space="preserve">Norway, </w:t>
      </w:r>
      <w:r>
        <w:rPr>
          <w:rFonts w:ascii="Times New Roman" w:hAnsi="Times New Roman" w:cs="Times New Roman"/>
        </w:rPr>
        <w:t>Switzerland, and the UK while Asia</w:t>
      </w:r>
      <w:r w:rsidR="00890910">
        <w:rPr>
          <w:rFonts w:ascii="Times New Roman" w:hAnsi="Times New Roman" w:cs="Times New Roman"/>
        </w:rPr>
        <w:t>-Pacific</w:t>
      </w:r>
      <w:r>
        <w:rPr>
          <w:rFonts w:ascii="Times New Roman" w:hAnsi="Times New Roman" w:cs="Times New Roman"/>
        </w:rPr>
        <w:t xml:space="preserve"> factors include Australia but exclude Japan and India. European factors are used as a proxy for the evaluation of European countries </w:t>
      </w:r>
      <w:r w:rsidR="00193E2A">
        <w:rPr>
          <w:rFonts w:ascii="Times New Roman" w:hAnsi="Times New Roman" w:cs="Times New Roman"/>
        </w:rPr>
        <w:t>mentioned above</w:t>
      </w:r>
      <w:r>
        <w:rPr>
          <w:rFonts w:ascii="Times New Roman" w:hAnsi="Times New Roman" w:cs="Times New Roman"/>
        </w:rPr>
        <w:t xml:space="preserve"> and Asia factors are used as a proxy for the evaluation of Australia</w:t>
      </w:r>
      <w:r w:rsidR="00193E2A">
        <w:rPr>
          <w:rFonts w:ascii="Times New Roman" w:hAnsi="Times New Roman" w:cs="Times New Roman"/>
        </w:rPr>
        <w:t>n</w:t>
      </w:r>
      <w:r>
        <w:rPr>
          <w:rFonts w:ascii="Times New Roman" w:hAnsi="Times New Roman" w:cs="Times New Roman"/>
        </w:rPr>
        <w:t xml:space="preserve"> returns. Factors for the evaluation of Indian mutual funds </w:t>
      </w:r>
      <w:r w:rsidR="00DF343C">
        <w:rPr>
          <w:rFonts w:ascii="Times New Roman" w:hAnsi="Times New Roman" w:cs="Times New Roman"/>
        </w:rPr>
        <w:t>were</w:t>
      </w:r>
      <w:r>
        <w:rPr>
          <w:rFonts w:ascii="Times New Roman" w:hAnsi="Times New Roman" w:cs="Times New Roman"/>
        </w:rPr>
        <w:t xml:space="preserve"> taken from </w:t>
      </w:r>
      <w:r w:rsidR="00193E2A">
        <w:rPr>
          <w:rFonts w:ascii="Times New Roman" w:hAnsi="Times New Roman" w:cs="Times New Roman"/>
        </w:rPr>
        <w:t>the</w:t>
      </w:r>
      <w:r>
        <w:rPr>
          <w:rFonts w:ascii="Times New Roman" w:hAnsi="Times New Roman" w:cs="Times New Roman"/>
        </w:rPr>
        <w:t xml:space="preserve"> Indian Institutes of Management, Ahmedabad and it </w:t>
      </w:r>
      <w:r w:rsidR="00193E2A">
        <w:rPr>
          <w:rFonts w:ascii="Times New Roman" w:hAnsi="Times New Roman" w:cs="Times New Roman"/>
        </w:rPr>
        <w:t>was</w:t>
      </w:r>
      <w:r>
        <w:rPr>
          <w:rFonts w:ascii="Times New Roman" w:hAnsi="Times New Roman" w:cs="Times New Roman"/>
        </w:rPr>
        <w:t xml:space="preserve"> first used in the work of Agarwalla and Varma (2013). The data library consists of the 4 factors in the Indian equity markets starting from 1993 </w:t>
      </w:r>
      <w:r w:rsidR="00193E2A">
        <w:rPr>
          <w:rFonts w:ascii="Times New Roman" w:hAnsi="Times New Roman" w:cs="Times New Roman"/>
        </w:rPr>
        <w:t>to</w:t>
      </w:r>
      <w:r>
        <w:rPr>
          <w:rFonts w:ascii="Times New Roman" w:hAnsi="Times New Roman" w:cs="Times New Roman"/>
        </w:rPr>
        <w:t xml:space="preserve"> </w:t>
      </w:r>
      <w:r w:rsidR="00193E2A">
        <w:rPr>
          <w:rFonts w:ascii="Times New Roman" w:hAnsi="Times New Roman" w:cs="Times New Roman"/>
        </w:rPr>
        <w:t>date</w:t>
      </w:r>
      <w:r>
        <w:rPr>
          <w:rFonts w:ascii="Times New Roman" w:hAnsi="Times New Roman" w:cs="Times New Roman"/>
        </w:rPr>
        <w:t xml:space="preserve">. </w:t>
      </w:r>
      <w:bookmarkStart w:id="15" w:name="_Toc11766490"/>
    </w:p>
    <w:p w14:paraId="12E09BB7" w14:textId="73E731E0" w:rsidR="00D34F2C" w:rsidRPr="00B360F7" w:rsidRDefault="00F35E89" w:rsidP="00224D61">
      <w:pPr>
        <w:pBdr>
          <w:top w:val="nil"/>
          <w:left w:val="nil"/>
          <w:bottom w:val="nil"/>
          <w:right w:val="nil"/>
          <w:between w:val="nil"/>
        </w:pBdr>
        <w:spacing w:after="39" w:line="360" w:lineRule="auto"/>
        <w:ind w:firstLine="720"/>
        <w:jc w:val="both"/>
        <w:rPr>
          <w:rFonts w:ascii="Times New Roman" w:hAnsi="Times New Roman" w:cs="Times New Roman"/>
        </w:rPr>
      </w:pPr>
      <w:r w:rsidRPr="00B360F7">
        <w:rPr>
          <w:rFonts w:ascii="Times New Roman" w:eastAsia="Times New Roman" w:hAnsi="Times New Roman" w:cs="Times New Roman"/>
          <w:szCs w:val="28"/>
        </w:rPr>
        <w:t xml:space="preserve">Table 3 reports the summary statistics and cross-correlations for the factor portfolio variables. </w:t>
      </w:r>
      <w:r w:rsidRPr="00B360F7">
        <w:rPr>
          <w:rFonts w:ascii="Times New Roman" w:hAnsi="Times New Roman" w:cs="Times New Roman"/>
        </w:rPr>
        <w:t xml:space="preserve">Low correlation among the factor variables </w:t>
      </w:r>
      <w:r w:rsidR="00DF343C" w:rsidRPr="00B360F7">
        <w:rPr>
          <w:rFonts w:ascii="Times New Roman" w:hAnsi="Times New Roman" w:cs="Times New Roman"/>
        </w:rPr>
        <w:t>indicates</w:t>
      </w:r>
      <w:r w:rsidRPr="00B360F7">
        <w:rPr>
          <w:rFonts w:ascii="Times New Roman" w:hAnsi="Times New Roman" w:cs="Times New Roman"/>
        </w:rPr>
        <w:t xml:space="preserve"> that the multicollinearity among</w:t>
      </w:r>
      <w:r w:rsidR="00DF343C" w:rsidRPr="00B360F7">
        <w:rPr>
          <w:rFonts w:ascii="Times New Roman" w:hAnsi="Times New Roman" w:cs="Times New Roman"/>
        </w:rPr>
        <w:t xml:space="preserve"> </w:t>
      </w:r>
      <w:r w:rsidR="00B360F7" w:rsidRPr="00B360F7">
        <w:rPr>
          <w:rFonts w:ascii="Times New Roman" w:hAnsi="Times New Roman" w:cs="Times New Roman"/>
        </w:rPr>
        <w:t>these</w:t>
      </w:r>
      <w:r w:rsidRPr="00B360F7">
        <w:rPr>
          <w:rFonts w:ascii="Times New Roman" w:hAnsi="Times New Roman" w:cs="Times New Roman"/>
        </w:rPr>
        <w:t xml:space="preserve"> variables is not significant. </w:t>
      </w:r>
      <w:r w:rsidR="00DF343C" w:rsidRPr="00B360F7">
        <w:rPr>
          <w:rFonts w:ascii="Times New Roman" w:hAnsi="Times New Roman" w:cs="Times New Roman"/>
        </w:rPr>
        <w:t>To</w:t>
      </w:r>
      <w:r w:rsidRPr="00B360F7">
        <w:rPr>
          <w:rFonts w:ascii="Times New Roman" w:hAnsi="Times New Roman" w:cs="Times New Roman"/>
        </w:rPr>
        <w:t xml:space="preserve"> ensure the multicollinearity </w:t>
      </w:r>
      <w:r w:rsidR="00DF343C" w:rsidRPr="00B360F7">
        <w:rPr>
          <w:rFonts w:ascii="Times New Roman" w:hAnsi="Times New Roman" w:cs="Times New Roman"/>
        </w:rPr>
        <w:t>did</w:t>
      </w:r>
      <w:r w:rsidRPr="00B360F7">
        <w:rPr>
          <w:rFonts w:ascii="Times New Roman" w:hAnsi="Times New Roman" w:cs="Times New Roman"/>
        </w:rPr>
        <w:t xml:space="preserve"> not possess any issues, multicollinearity among the factors was tested with collinearity diagnostics tests. These tests</w:t>
      </w:r>
      <w:r w:rsidR="00DF343C" w:rsidRPr="00B360F7">
        <w:rPr>
          <w:rFonts w:ascii="Times New Roman" w:hAnsi="Times New Roman" w:cs="Times New Roman"/>
        </w:rPr>
        <w:t xml:space="preserve"> across panel</w:t>
      </w:r>
      <w:r w:rsidRPr="00B360F7">
        <w:rPr>
          <w:rFonts w:ascii="Times New Roman" w:hAnsi="Times New Roman" w:cs="Times New Roman"/>
        </w:rPr>
        <w:t xml:space="preserve"> sets </w:t>
      </w:r>
      <w:r w:rsidR="00DF343C" w:rsidRPr="00B360F7">
        <w:rPr>
          <w:rFonts w:ascii="Times New Roman" w:hAnsi="Times New Roman" w:cs="Times New Roman"/>
        </w:rPr>
        <w:t>showed</w:t>
      </w:r>
      <w:r w:rsidRPr="00B360F7">
        <w:rPr>
          <w:rFonts w:ascii="Times New Roman" w:hAnsi="Times New Roman" w:cs="Times New Roman"/>
        </w:rPr>
        <w:t xml:space="preserve"> that the factors did not pose any significant collinearity problem. </w:t>
      </w:r>
      <w:r w:rsidR="00224D61" w:rsidRPr="00B360F7">
        <w:rPr>
          <w:rFonts w:ascii="Times New Roman" w:hAnsi="Times New Roman" w:cs="Times New Roman"/>
        </w:rPr>
        <w:t xml:space="preserve"> </w:t>
      </w:r>
    </w:p>
    <w:p w14:paraId="25F61D4F" w14:textId="22772ED3" w:rsidR="00DF343C" w:rsidRPr="00D34F2C" w:rsidRDefault="00F35E89" w:rsidP="00D34F2C">
      <w:pPr>
        <w:pBdr>
          <w:top w:val="nil"/>
          <w:left w:val="nil"/>
          <w:bottom w:val="nil"/>
          <w:right w:val="nil"/>
          <w:between w:val="nil"/>
        </w:pBdr>
        <w:spacing w:after="39" w:line="360" w:lineRule="auto"/>
        <w:ind w:firstLine="720"/>
        <w:jc w:val="both"/>
        <w:rPr>
          <w:rFonts w:ascii="Times New Roman" w:eastAsia="Times New Roman" w:hAnsi="Times New Roman" w:cs="Times New Roman"/>
          <w:szCs w:val="28"/>
        </w:rPr>
      </w:pPr>
      <w:r w:rsidRPr="00B360F7">
        <w:rPr>
          <w:rFonts w:ascii="Times New Roman" w:hAnsi="Times New Roman" w:cs="Times New Roman"/>
        </w:rPr>
        <w:t>Furthermore, a high standard deviation of the factors returns were observed. The high standard deviation of the factor variables and the low correlation across them indicates that the substantial variation of time-series data can be explained by the factor variables. Corresponding variance inflation factors for multicollinearity tests can be found in table 6 of the appendix.</w:t>
      </w:r>
      <w:r>
        <w:rPr>
          <w:rFonts w:ascii="Times New Roman" w:hAnsi="Times New Roman" w:cs="Times New Roman"/>
        </w:rPr>
        <w:t xml:space="preserve"> </w:t>
      </w:r>
    </w:p>
    <w:p w14:paraId="35B6A86F" w14:textId="6A7256EC" w:rsidR="0052737B" w:rsidRPr="00CA526D" w:rsidRDefault="00F35E89" w:rsidP="00901642">
      <w:pPr>
        <w:pBdr>
          <w:top w:val="nil"/>
          <w:left w:val="nil"/>
          <w:bottom w:val="nil"/>
          <w:right w:val="nil"/>
          <w:between w:val="nil"/>
        </w:pBdr>
        <w:spacing w:after="39"/>
        <w:jc w:val="both"/>
        <w:rPr>
          <w:rFonts w:ascii="Times New Roman" w:eastAsia="Times New Roman" w:hAnsi="Times New Roman" w:cs="Times New Roman"/>
          <w:szCs w:val="28"/>
        </w:rPr>
      </w:pPr>
      <w:r w:rsidRPr="00FD0426">
        <w:rPr>
          <w:rFonts w:ascii="Times New Roman" w:hAnsi="Times New Roman" w:cs="Times New Roman"/>
          <w:sz w:val="22"/>
          <w:szCs w:val="22"/>
        </w:rPr>
        <w:lastRenderedPageBreak/>
        <w:t xml:space="preserve">Table </w:t>
      </w:r>
      <w:bookmarkEnd w:id="15"/>
      <w:r w:rsidR="0056363E" w:rsidRPr="00FD0426">
        <w:rPr>
          <w:rFonts w:ascii="Times New Roman" w:hAnsi="Times New Roman" w:cs="Times New Roman"/>
          <w:sz w:val="22"/>
          <w:szCs w:val="22"/>
        </w:rPr>
        <w:t>3</w:t>
      </w:r>
      <w:r w:rsidR="00D03379">
        <w:rPr>
          <w:rFonts w:ascii="Times New Roman" w:hAnsi="Times New Roman" w:cs="Times New Roman"/>
          <w:sz w:val="22"/>
          <w:szCs w:val="22"/>
        </w:rPr>
        <w:t xml:space="preserve">: </w:t>
      </w:r>
      <w:r w:rsidR="00D03379" w:rsidRPr="00FD0426">
        <w:rPr>
          <w:rFonts w:ascii="Times New Roman" w:hAnsi="Times New Roman" w:cs="Times New Roman"/>
          <w:color w:val="000000" w:themeColor="text1"/>
          <w:sz w:val="22"/>
          <w:szCs w:val="22"/>
        </w:rPr>
        <w:t xml:space="preserve">Summary Statistics </w:t>
      </w:r>
      <w:r w:rsidR="00821E93">
        <w:rPr>
          <w:rFonts w:ascii="Times New Roman" w:hAnsi="Times New Roman" w:cs="Times New Roman"/>
          <w:color w:val="000000" w:themeColor="text1"/>
          <w:sz w:val="22"/>
          <w:szCs w:val="22"/>
        </w:rPr>
        <w:t>of the</w:t>
      </w:r>
      <w:r w:rsidR="00D03379" w:rsidRPr="00FD0426">
        <w:rPr>
          <w:rFonts w:ascii="Times New Roman" w:hAnsi="Times New Roman" w:cs="Times New Roman"/>
          <w:color w:val="000000" w:themeColor="text1"/>
          <w:sz w:val="22"/>
          <w:szCs w:val="22"/>
        </w:rPr>
        <w:t xml:space="preserve"> factor</w:t>
      </w:r>
      <w:r w:rsidR="00821E93">
        <w:rPr>
          <w:rFonts w:ascii="Times New Roman" w:hAnsi="Times New Roman" w:cs="Times New Roman"/>
          <w:color w:val="000000" w:themeColor="text1"/>
          <w:sz w:val="22"/>
          <w:szCs w:val="22"/>
        </w:rPr>
        <w:t xml:space="preserve"> portfolios</w:t>
      </w:r>
    </w:p>
    <w:p w14:paraId="3881BA11" w14:textId="73244EEB" w:rsidR="00313FF9" w:rsidRPr="00FD0426" w:rsidRDefault="00F35E89" w:rsidP="00A9082A">
      <w:pPr>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Panel A: US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1164"/>
        <w:gridCol w:w="857"/>
        <w:gridCol w:w="1514"/>
        <w:gridCol w:w="1182"/>
        <w:gridCol w:w="972"/>
        <w:gridCol w:w="1007"/>
        <w:gridCol w:w="1093"/>
      </w:tblGrid>
      <w:tr w:rsidR="00395699" w14:paraId="518422B9" w14:textId="77777777" w:rsidTr="004D2210">
        <w:tc>
          <w:tcPr>
            <w:tcW w:w="683" w:type="pct"/>
          </w:tcPr>
          <w:p w14:paraId="0B4DC561" w14:textId="1E10B335" w:rsidR="00945750" w:rsidRPr="00FD0426" w:rsidRDefault="00945750" w:rsidP="00416BFB">
            <w:pPr>
              <w:spacing w:line="360" w:lineRule="auto"/>
              <w:jc w:val="both"/>
              <w:rPr>
                <w:rFonts w:ascii="Times New Roman" w:hAnsi="Times New Roman" w:cs="Times New Roman"/>
                <w:color w:val="000000" w:themeColor="text1"/>
                <w:sz w:val="22"/>
                <w:szCs w:val="22"/>
              </w:rPr>
            </w:pPr>
          </w:p>
        </w:tc>
        <w:tc>
          <w:tcPr>
            <w:tcW w:w="645" w:type="pct"/>
          </w:tcPr>
          <w:p w14:paraId="4199C792" w14:textId="2C379E5E" w:rsidR="00945750"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Mean</w:t>
            </w:r>
          </w:p>
        </w:tc>
        <w:tc>
          <w:tcPr>
            <w:tcW w:w="475" w:type="pct"/>
          </w:tcPr>
          <w:p w14:paraId="438A01C2" w14:textId="5ABE450B" w:rsidR="00945750"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Std</w:t>
            </w:r>
          </w:p>
        </w:tc>
        <w:tc>
          <w:tcPr>
            <w:tcW w:w="839" w:type="pct"/>
          </w:tcPr>
          <w:p w14:paraId="20724186" w14:textId="52BFAFDD" w:rsidR="00945750"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t-stat</w:t>
            </w:r>
            <w:r w:rsidR="00266AA7" w:rsidRPr="00FD0426">
              <w:rPr>
                <w:rFonts w:ascii="Times New Roman" w:hAnsi="Times New Roman" w:cs="Times New Roman"/>
                <w:color w:val="000000" w:themeColor="text1"/>
                <w:sz w:val="22"/>
                <w:szCs w:val="22"/>
              </w:rPr>
              <w:t xml:space="preserve"> for</w:t>
            </w:r>
          </w:p>
        </w:tc>
        <w:tc>
          <w:tcPr>
            <w:tcW w:w="2358" w:type="pct"/>
            <w:gridSpan w:val="4"/>
            <w:tcBorders>
              <w:top w:val="single" w:sz="4" w:space="0" w:color="auto"/>
              <w:bottom w:val="single" w:sz="4" w:space="0" w:color="auto"/>
            </w:tcBorders>
          </w:tcPr>
          <w:p w14:paraId="526A4273" w14:textId="028B54E8" w:rsidR="00945750" w:rsidRPr="00FD0426" w:rsidRDefault="00F35E89" w:rsidP="00945750">
            <w:pPr>
              <w:spacing w:line="360" w:lineRule="auto"/>
              <w:jc w:val="center"/>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Cross-Correlations</w:t>
            </w:r>
          </w:p>
        </w:tc>
      </w:tr>
      <w:tr w:rsidR="00395699" w14:paraId="1433F534" w14:textId="77777777" w:rsidTr="004D2210">
        <w:tc>
          <w:tcPr>
            <w:tcW w:w="683" w:type="pct"/>
            <w:tcBorders>
              <w:bottom w:val="single" w:sz="4" w:space="0" w:color="auto"/>
            </w:tcBorders>
          </w:tcPr>
          <w:p w14:paraId="104BCA6F" w14:textId="5A60D9A8" w:rsidR="00945750"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Factors</w:t>
            </w:r>
          </w:p>
        </w:tc>
        <w:tc>
          <w:tcPr>
            <w:tcW w:w="645" w:type="pct"/>
            <w:tcBorders>
              <w:bottom w:val="single" w:sz="4" w:space="0" w:color="auto"/>
            </w:tcBorders>
          </w:tcPr>
          <w:p w14:paraId="46A1C630" w14:textId="52A04D73" w:rsidR="00945750"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Return</w:t>
            </w:r>
          </w:p>
        </w:tc>
        <w:tc>
          <w:tcPr>
            <w:tcW w:w="475" w:type="pct"/>
            <w:tcBorders>
              <w:bottom w:val="single" w:sz="4" w:space="0" w:color="auto"/>
            </w:tcBorders>
          </w:tcPr>
          <w:p w14:paraId="473CEC50" w14:textId="4F560EE1" w:rsidR="00945750"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Dev</w:t>
            </w:r>
          </w:p>
        </w:tc>
        <w:tc>
          <w:tcPr>
            <w:tcW w:w="839" w:type="pct"/>
            <w:tcBorders>
              <w:bottom w:val="single" w:sz="4" w:space="0" w:color="auto"/>
            </w:tcBorders>
          </w:tcPr>
          <w:p w14:paraId="0742A0D8" w14:textId="4FF7427E" w:rsidR="004F0402"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Mean</w:t>
            </w:r>
            <w:r w:rsidR="00313FF9" w:rsidRPr="00FD0426">
              <w:rPr>
                <w:rFonts w:ascii="Times New Roman" w:hAnsi="Times New Roman" w:cs="Times New Roman"/>
                <w:color w:val="000000" w:themeColor="text1"/>
                <w:sz w:val="22"/>
                <w:szCs w:val="22"/>
              </w:rPr>
              <w:t xml:space="preserve"> </w:t>
            </w:r>
            <w:r w:rsidRPr="00FD0426">
              <w:rPr>
                <w:rFonts w:ascii="Times New Roman" w:hAnsi="Times New Roman" w:cs="Times New Roman"/>
                <w:color w:val="000000" w:themeColor="text1"/>
                <w:sz w:val="22"/>
                <w:szCs w:val="22"/>
              </w:rPr>
              <w:t>=</w:t>
            </w:r>
            <w:r w:rsidR="00313FF9" w:rsidRPr="00FD0426">
              <w:rPr>
                <w:rFonts w:ascii="Times New Roman" w:hAnsi="Times New Roman" w:cs="Times New Roman"/>
                <w:color w:val="000000" w:themeColor="text1"/>
                <w:sz w:val="22"/>
                <w:szCs w:val="22"/>
              </w:rPr>
              <w:t xml:space="preserve"> </w:t>
            </w:r>
            <w:r w:rsidRPr="00FD0426">
              <w:rPr>
                <w:rFonts w:ascii="Times New Roman" w:hAnsi="Times New Roman" w:cs="Times New Roman"/>
                <w:color w:val="000000" w:themeColor="text1"/>
                <w:sz w:val="22"/>
                <w:szCs w:val="22"/>
              </w:rPr>
              <w:t>0</w:t>
            </w:r>
          </w:p>
        </w:tc>
        <w:tc>
          <w:tcPr>
            <w:tcW w:w="655" w:type="pct"/>
            <w:tcBorders>
              <w:top w:val="single" w:sz="4" w:space="0" w:color="auto"/>
              <w:bottom w:val="single" w:sz="4" w:space="0" w:color="auto"/>
            </w:tcBorders>
          </w:tcPr>
          <w:p w14:paraId="2221218A" w14:textId="1479D57D" w:rsidR="00945750"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RMRF</w:t>
            </w:r>
          </w:p>
        </w:tc>
        <w:tc>
          <w:tcPr>
            <w:tcW w:w="539" w:type="pct"/>
            <w:tcBorders>
              <w:top w:val="single" w:sz="4" w:space="0" w:color="auto"/>
              <w:bottom w:val="single" w:sz="4" w:space="0" w:color="auto"/>
            </w:tcBorders>
          </w:tcPr>
          <w:p w14:paraId="6C105EE8" w14:textId="6B4D986F" w:rsidR="00945750"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SMB</w:t>
            </w:r>
          </w:p>
        </w:tc>
        <w:tc>
          <w:tcPr>
            <w:tcW w:w="558" w:type="pct"/>
            <w:tcBorders>
              <w:top w:val="single" w:sz="4" w:space="0" w:color="auto"/>
              <w:bottom w:val="single" w:sz="4" w:space="0" w:color="auto"/>
            </w:tcBorders>
          </w:tcPr>
          <w:p w14:paraId="4B15D7D3" w14:textId="7684EF51" w:rsidR="00945750"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HML</w:t>
            </w:r>
          </w:p>
        </w:tc>
        <w:tc>
          <w:tcPr>
            <w:tcW w:w="607" w:type="pct"/>
            <w:tcBorders>
              <w:top w:val="single" w:sz="4" w:space="0" w:color="auto"/>
              <w:bottom w:val="single" w:sz="4" w:space="0" w:color="auto"/>
            </w:tcBorders>
          </w:tcPr>
          <w:p w14:paraId="2005A913" w14:textId="1E058318" w:rsidR="00945750" w:rsidRPr="00FD0426" w:rsidRDefault="00F35E89" w:rsidP="00416BFB">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MOM</w:t>
            </w:r>
          </w:p>
        </w:tc>
      </w:tr>
      <w:tr w:rsidR="00395699" w14:paraId="01230C49" w14:textId="77777777" w:rsidTr="004D2210">
        <w:tc>
          <w:tcPr>
            <w:tcW w:w="683" w:type="pct"/>
            <w:tcBorders>
              <w:top w:val="single" w:sz="4" w:space="0" w:color="auto"/>
            </w:tcBorders>
          </w:tcPr>
          <w:p w14:paraId="28528151" w14:textId="690926F3"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RMRF</w:t>
            </w:r>
          </w:p>
        </w:tc>
        <w:tc>
          <w:tcPr>
            <w:tcW w:w="645" w:type="pct"/>
            <w:tcBorders>
              <w:top w:val="single" w:sz="4" w:space="0" w:color="auto"/>
            </w:tcBorders>
          </w:tcPr>
          <w:p w14:paraId="0037C776" w14:textId="228BA1E3"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0.74</w:t>
            </w:r>
          </w:p>
        </w:tc>
        <w:tc>
          <w:tcPr>
            <w:tcW w:w="475" w:type="pct"/>
            <w:tcBorders>
              <w:top w:val="single" w:sz="4" w:space="0" w:color="auto"/>
            </w:tcBorders>
          </w:tcPr>
          <w:p w14:paraId="76EBB4D5" w14:textId="25B90475"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3.99</w:t>
            </w:r>
          </w:p>
        </w:tc>
        <w:tc>
          <w:tcPr>
            <w:tcW w:w="839" w:type="pct"/>
            <w:tcBorders>
              <w:top w:val="single" w:sz="4" w:space="0" w:color="auto"/>
            </w:tcBorders>
          </w:tcPr>
          <w:p w14:paraId="4B854DB6" w14:textId="7D843376"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2.55</w:t>
            </w:r>
          </w:p>
        </w:tc>
        <w:tc>
          <w:tcPr>
            <w:tcW w:w="655" w:type="pct"/>
            <w:tcBorders>
              <w:top w:val="single" w:sz="4" w:space="0" w:color="auto"/>
            </w:tcBorders>
          </w:tcPr>
          <w:p w14:paraId="54030A6B" w14:textId="3B7CA647"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1.00</w:t>
            </w:r>
          </w:p>
        </w:tc>
        <w:tc>
          <w:tcPr>
            <w:tcW w:w="539" w:type="pct"/>
            <w:tcBorders>
              <w:top w:val="single" w:sz="4" w:space="0" w:color="auto"/>
            </w:tcBorders>
          </w:tcPr>
          <w:p w14:paraId="13B399C5" w14:textId="77777777" w:rsidR="00945750" w:rsidRPr="00FD0426" w:rsidRDefault="00945750" w:rsidP="00945750">
            <w:pPr>
              <w:spacing w:line="360" w:lineRule="auto"/>
              <w:jc w:val="both"/>
              <w:rPr>
                <w:rFonts w:ascii="Times New Roman" w:hAnsi="Times New Roman" w:cs="Times New Roman"/>
                <w:color w:val="000000" w:themeColor="text1"/>
                <w:sz w:val="22"/>
                <w:szCs w:val="22"/>
              </w:rPr>
            </w:pPr>
          </w:p>
        </w:tc>
        <w:tc>
          <w:tcPr>
            <w:tcW w:w="558" w:type="pct"/>
            <w:tcBorders>
              <w:top w:val="single" w:sz="4" w:space="0" w:color="auto"/>
            </w:tcBorders>
          </w:tcPr>
          <w:p w14:paraId="6C1EC772" w14:textId="77777777" w:rsidR="00945750" w:rsidRPr="00FD0426" w:rsidRDefault="00945750" w:rsidP="00945750">
            <w:pPr>
              <w:spacing w:line="360" w:lineRule="auto"/>
              <w:jc w:val="both"/>
              <w:rPr>
                <w:rFonts w:ascii="Times New Roman" w:hAnsi="Times New Roman" w:cs="Times New Roman"/>
                <w:color w:val="000000" w:themeColor="text1"/>
                <w:sz w:val="22"/>
                <w:szCs w:val="22"/>
              </w:rPr>
            </w:pPr>
          </w:p>
        </w:tc>
        <w:tc>
          <w:tcPr>
            <w:tcW w:w="607" w:type="pct"/>
            <w:tcBorders>
              <w:top w:val="single" w:sz="4" w:space="0" w:color="auto"/>
            </w:tcBorders>
          </w:tcPr>
          <w:p w14:paraId="73D6590C" w14:textId="77777777" w:rsidR="00945750" w:rsidRPr="00FD0426" w:rsidRDefault="00945750" w:rsidP="00945750">
            <w:pPr>
              <w:spacing w:line="360" w:lineRule="auto"/>
              <w:jc w:val="both"/>
              <w:rPr>
                <w:rFonts w:ascii="Times New Roman" w:hAnsi="Times New Roman" w:cs="Times New Roman"/>
                <w:color w:val="000000" w:themeColor="text1"/>
                <w:sz w:val="22"/>
                <w:szCs w:val="22"/>
              </w:rPr>
            </w:pPr>
          </w:p>
        </w:tc>
      </w:tr>
      <w:tr w:rsidR="00395699" w14:paraId="2BF0F5C6" w14:textId="77777777" w:rsidTr="004D2210">
        <w:tc>
          <w:tcPr>
            <w:tcW w:w="683" w:type="pct"/>
            <w:tcBorders>
              <w:bottom w:val="nil"/>
            </w:tcBorders>
          </w:tcPr>
          <w:p w14:paraId="389B07CA" w14:textId="12FEBA4E"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SMB</w:t>
            </w:r>
          </w:p>
        </w:tc>
        <w:tc>
          <w:tcPr>
            <w:tcW w:w="645" w:type="pct"/>
            <w:tcBorders>
              <w:bottom w:val="nil"/>
            </w:tcBorders>
          </w:tcPr>
          <w:p w14:paraId="2E869DDC" w14:textId="48E8FB5E"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0.17</w:t>
            </w:r>
          </w:p>
        </w:tc>
        <w:tc>
          <w:tcPr>
            <w:tcW w:w="475" w:type="pct"/>
            <w:tcBorders>
              <w:bottom w:val="nil"/>
            </w:tcBorders>
          </w:tcPr>
          <w:p w14:paraId="7D62DF2E" w14:textId="3BFAD70B"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2.32</w:t>
            </w:r>
          </w:p>
        </w:tc>
        <w:tc>
          <w:tcPr>
            <w:tcW w:w="839" w:type="pct"/>
            <w:tcBorders>
              <w:bottom w:val="nil"/>
            </w:tcBorders>
          </w:tcPr>
          <w:p w14:paraId="5518D4E1" w14:textId="692DC089"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1.02</w:t>
            </w:r>
          </w:p>
        </w:tc>
        <w:tc>
          <w:tcPr>
            <w:tcW w:w="655" w:type="pct"/>
            <w:tcBorders>
              <w:bottom w:val="nil"/>
            </w:tcBorders>
          </w:tcPr>
          <w:p w14:paraId="34ABAE9B" w14:textId="05D2CA14"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0.37</w:t>
            </w:r>
          </w:p>
        </w:tc>
        <w:tc>
          <w:tcPr>
            <w:tcW w:w="539" w:type="pct"/>
            <w:tcBorders>
              <w:bottom w:val="nil"/>
            </w:tcBorders>
          </w:tcPr>
          <w:p w14:paraId="3956353E" w14:textId="560D144E"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1.00</w:t>
            </w:r>
          </w:p>
        </w:tc>
        <w:tc>
          <w:tcPr>
            <w:tcW w:w="558" w:type="pct"/>
            <w:tcBorders>
              <w:bottom w:val="nil"/>
            </w:tcBorders>
          </w:tcPr>
          <w:p w14:paraId="3B45698F" w14:textId="77777777" w:rsidR="00945750" w:rsidRPr="00FD0426" w:rsidRDefault="00945750" w:rsidP="00945750">
            <w:pPr>
              <w:spacing w:line="360" w:lineRule="auto"/>
              <w:jc w:val="both"/>
              <w:rPr>
                <w:rFonts w:ascii="Times New Roman" w:hAnsi="Times New Roman" w:cs="Times New Roman"/>
                <w:color w:val="000000" w:themeColor="text1"/>
                <w:sz w:val="22"/>
                <w:szCs w:val="22"/>
              </w:rPr>
            </w:pPr>
          </w:p>
        </w:tc>
        <w:tc>
          <w:tcPr>
            <w:tcW w:w="607" w:type="pct"/>
            <w:tcBorders>
              <w:bottom w:val="nil"/>
            </w:tcBorders>
          </w:tcPr>
          <w:p w14:paraId="70EF6B36" w14:textId="77777777" w:rsidR="00945750" w:rsidRPr="00FD0426" w:rsidRDefault="00945750" w:rsidP="00945750">
            <w:pPr>
              <w:spacing w:line="360" w:lineRule="auto"/>
              <w:jc w:val="both"/>
              <w:rPr>
                <w:rFonts w:ascii="Times New Roman" w:hAnsi="Times New Roman" w:cs="Times New Roman"/>
                <w:color w:val="000000" w:themeColor="text1"/>
                <w:sz w:val="22"/>
                <w:szCs w:val="22"/>
              </w:rPr>
            </w:pPr>
          </w:p>
        </w:tc>
      </w:tr>
      <w:tr w:rsidR="00395699" w14:paraId="21385AA2" w14:textId="77777777" w:rsidTr="004D2210">
        <w:tc>
          <w:tcPr>
            <w:tcW w:w="683" w:type="pct"/>
            <w:tcBorders>
              <w:top w:val="nil"/>
              <w:bottom w:val="nil"/>
            </w:tcBorders>
          </w:tcPr>
          <w:p w14:paraId="561169D8" w14:textId="5BC0AD71"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HML</w:t>
            </w:r>
          </w:p>
        </w:tc>
        <w:tc>
          <w:tcPr>
            <w:tcW w:w="645" w:type="pct"/>
            <w:tcBorders>
              <w:top w:val="nil"/>
              <w:bottom w:val="nil"/>
            </w:tcBorders>
          </w:tcPr>
          <w:p w14:paraId="75167728" w14:textId="0BF0E599"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-0.01</w:t>
            </w:r>
          </w:p>
        </w:tc>
        <w:tc>
          <w:tcPr>
            <w:tcW w:w="475" w:type="pct"/>
            <w:tcBorders>
              <w:top w:val="nil"/>
              <w:bottom w:val="nil"/>
            </w:tcBorders>
          </w:tcPr>
          <w:p w14:paraId="79E624C0" w14:textId="1E635E51"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2.44</w:t>
            </w:r>
          </w:p>
        </w:tc>
        <w:tc>
          <w:tcPr>
            <w:tcW w:w="839" w:type="pct"/>
            <w:tcBorders>
              <w:top w:val="nil"/>
              <w:bottom w:val="nil"/>
            </w:tcBorders>
          </w:tcPr>
          <w:p w14:paraId="0D1CD742" w14:textId="49C726B4"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-0.03</w:t>
            </w:r>
          </w:p>
        </w:tc>
        <w:tc>
          <w:tcPr>
            <w:tcW w:w="655" w:type="pct"/>
            <w:tcBorders>
              <w:top w:val="nil"/>
              <w:bottom w:val="nil"/>
            </w:tcBorders>
          </w:tcPr>
          <w:p w14:paraId="267ABC0C" w14:textId="7611B740"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0.2</w:t>
            </w:r>
            <w:r w:rsidR="004B4F91" w:rsidRPr="00FD0426">
              <w:rPr>
                <w:rFonts w:ascii="Times New Roman" w:eastAsia="Times New Roman" w:hAnsi="Times New Roman" w:cs="Times New Roman"/>
                <w:color w:val="000000" w:themeColor="text1"/>
                <w:sz w:val="22"/>
                <w:szCs w:val="22"/>
              </w:rPr>
              <w:t>5</w:t>
            </w:r>
          </w:p>
        </w:tc>
        <w:tc>
          <w:tcPr>
            <w:tcW w:w="539" w:type="pct"/>
            <w:tcBorders>
              <w:top w:val="nil"/>
              <w:bottom w:val="nil"/>
            </w:tcBorders>
          </w:tcPr>
          <w:p w14:paraId="4D8CCD42" w14:textId="19F3A02E"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0.1</w:t>
            </w:r>
            <w:r w:rsidR="004B4F91" w:rsidRPr="00FD0426">
              <w:rPr>
                <w:rFonts w:ascii="Times New Roman" w:eastAsia="Times New Roman" w:hAnsi="Times New Roman" w:cs="Times New Roman"/>
                <w:color w:val="000000" w:themeColor="text1"/>
                <w:sz w:val="22"/>
                <w:szCs w:val="22"/>
              </w:rPr>
              <w:t>1</w:t>
            </w:r>
          </w:p>
        </w:tc>
        <w:tc>
          <w:tcPr>
            <w:tcW w:w="558" w:type="pct"/>
            <w:tcBorders>
              <w:top w:val="nil"/>
              <w:bottom w:val="nil"/>
            </w:tcBorders>
          </w:tcPr>
          <w:p w14:paraId="2DAB3FF5" w14:textId="53CF62C5"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1.00</w:t>
            </w:r>
          </w:p>
        </w:tc>
        <w:tc>
          <w:tcPr>
            <w:tcW w:w="607" w:type="pct"/>
            <w:tcBorders>
              <w:top w:val="nil"/>
              <w:bottom w:val="nil"/>
            </w:tcBorders>
          </w:tcPr>
          <w:p w14:paraId="1DC171D3" w14:textId="77777777" w:rsidR="00945750" w:rsidRPr="00FD0426" w:rsidRDefault="00945750" w:rsidP="00945750">
            <w:pPr>
              <w:spacing w:line="360" w:lineRule="auto"/>
              <w:jc w:val="both"/>
              <w:rPr>
                <w:rFonts w:ascii="Times New Roman" w:hAnsi="Times New Roman" w:cs="Times New Roman"/>
                <w:color w:val="000000" w:themeColor="text1"/>
                <w:sz w:val="22"/>
                <w:szCs w:val="22"/>
              </w:rPr>
            </w:pPr>
          </w:p>
        </w:tc>
      </w:tr>
      <w:tr w:rsidR="00395699" w14:paraId="466013AC" w14:textId="77777777" w:rsidTr="004D2210">
        <w:tc>
          <w:tcPr>
            <w:tcW w:w="683" w:type="pct"/>
            <w:tcBorders>
              <w:top w:val="nil"/>
            </w:tcBorders>
          </w:tcPr>
          <w:p w14:paraId="09F9CE6C" w14:textId="3122E919"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MOM</w:t>
            </w:r>
          </w:p>
        </w:tc>
        <w:tc>
          <w:tcPr>
            <w:tcW w:w="645" w:type="pct"/>
            <w:tcBorders>
              <w:top w:val="nil"/>
            </w:tcBorders>
          </w:tcPr>
          <w:p w14:paraId="4F70C958" w14:textId="45F21ADF"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0.02</w:t>
            </w:r>
          </w:p>
        </w:tc>
        <w:tc>
          <w:tcPr>
            <w:tcW w:w="475" w:type="pct"/>
            <w:tcBorders>
              <w:top w:val="nil"/>
            </w:tcBorders>
          </w:tcPr>
          <w:p w14:paraId="34E91314" w14:textId="33DC126B"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4.36</w:t>
            </w:r>
          </w:p>
        </w:tc>
        <w:tc>
          <w:tcPr>
            <w:tcW w:w="839" w:type="pct"/>
            <w:tcBorders>
              <w:top w:val="nil"/>
            </w:tcBorders>
          </w:tcPr>
          <w:p w14:paraId="6C8DC57F" w14:textId="32300F31"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0.06</w:t>
            </w:r>
          </w:p>
        </w:tc>
        <w:tc>
          <w:tcPr>
            <w:tcW w:w="655" w:type="pct"/>
            <w:tcBorders>
              <w:top w:val="nil"/>
            </w:tcBorders>
          </w:tcPr>
          <w:p w14:paraId="15DE942C" w14:textId="1DE61C22"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-0.32</w:t>
            </w:r>
          </w:p>
        </w:tc>
        <w:tc>
          <w:tcPr>
            <w:tcW w:w="539" w:type="pct"/>
            <w:tcBorders>
              <w:top w:val="nil"/>
            </w:tcBorders>
          </w:tcPr>
          <w:p w14:paraId="16E7195A" w14:textId="7731997E"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-0.0</w:t>
            </w:r>
            <w:r w:rsidR="004B4F91" w:rsidRPr="00FD0426">
              <w:rPr>
                <w:rFonts w:ascii="Times New Roman" w:eastAsia="Times New Roman" w:hAnsi="Times New Roman" w:cs="Times New Roman"/>
                <w:color w:val="000000" w:themeColor="text1"/>
                <w:sz w:val="22"/>
                <w:szCs w:val="22"/>
              </w:rPr>
              <w:t>7</w:t>
            </w:r>
          </w:p>
        </w:tc>
        <w:tc>
          <w:tcPr>
            <w:tcW w:w="558" w:type="pct"/>
            <w:tcBorders>
              <w:top w:val="nil"/>
            </w:tcBorders>
          </w:tcPr>
          <w:p w14:paraId="3AC46278" w14:textId="0D0D3B65"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-0.39</w:t>
            </w:r>
          </w:p>
        </w:tc>
        <w:tc>
          <w:tcPr>
            <w:tcW w:w="607" w:type="pct"/>
            <w:tcBorders>
              <w:top w:val="nil"/>
            </w:tcBorders>
          </w:tcPr>
          <w:p w14:paraId="1B026818" w14:textId="0E3CF6A9" w:rsidR="00945750" w:rsidRPr="00FD0426" w:rsidRDefault="00F35E89" w:rsidP="0094575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1.00</w:t>
            </w:r>
          </w:p>
        </w:tc>
      </w:tr>
    </w:tbl>
    <w:p w14:paraId="588068C1" w14:textId="378812D2" w:rsidR="003B778B" w:rsidRPr="00FD0426" w:rsidRDefault="00F35E89" w:rsidP="00A9082A">
      <w:pPr>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Panel B: Europe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
        <w:gridCol w:w="1148"/>
        <w:gridCol w:w="1147"/>
        <w:gridCol w:w="1147"/>
        <w:gridCol w:w="987"/>
        <w:gridCol w:w="1147"/>
        <w:gridCol w:w="1147"/>
        <w:gridCol w:w="1149"/>
      </w:tblGrid>
      <w:tr w:rsidR="00395699" w14:paraId="4715091D" w14:textId="77777777" w:rsidTr="00313FF9">
        <w:tc>
          <w:tcPr>
            <w:tcW w:w="636" w:type="pct"/>
            <w:tcBorders>
              <w:top w:val="single" w:sz="4" w:space="0" w:color="auto"/>
              <w:bottom w:val="nil"/>
            </w:tcBorders>
          </w:tcPr>
          <w:p w14:paraId="6B978976" w14:textId="77206FF4"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 xml:space="preserve"> </w:t>
            </w:r>
          </w:p>
        </w:tc>
        <w:tc>
          <w:tcPr>
            <w:tcW w:w="636" w:type="pct"/>
            <w:tcBorders>
              <w:top w:val="single" w:sz="4" w:space="0" w:color="auto"/>
              <w:bottom w:val="nil"/>
            </w:tcBorders>
          </w:tcPr>
          <w:p w14:paraId="2F815D11" w14:textId="7D85A05E"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Mean</w:t>
            </w:r>
          </w:p>
        </w:tc>
        <w:tc>
          <w:tcPr>
            <w:tcW w:w="636" w:type="pct"/>
            <w:tcBorders>
              <w:top w:val="single" w:sz="4" w:space="0" w:color="auto"/>
              <w:bottom w:val="nil"/>
            </w:tcBorders>
          </w:tcPr>
          <w:p w14:paraId="10DC2FEB" w14:textId="28560BAE"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Std</w:t>
            </w:r>
          </w:p>
        </w:tc>
        <w:tc>
          <w:tcPr>
            <w:tcW w:w="636" w:type="pct"/>
            <w:tcBorders>
              <w:top w:val="single" w:sz="4" w:space="0" w:color="auto"/>
              <w:bottom w:val="nil"/>
            </w:tcBorders>
          </w:tcPr>
          <w:p w14:paraId="6A26FC92" w14:textId="3B3291B7"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t-stat for</w:t>
            </w:r>
          </w:p>
        </w:tc>
        <w:tc>
          <w:tcPr>
            <w:tcW w:w="2456" w:type="pct"/>
            <w:gridSpan w:val="4"/>
            <w:tcBorders>
              <w:top w:val="single" w:sz="4" w:space="0" w:color="auto"/>
              <w:bottom w:val="single" w:sz="4" w:space="0" w:color="auto"/>
            </w:tcBorders>
          </w:tcPr>
          <w:p w14:paraId="74B461B3" w14:textId="77777777" w:rsidR="00945750" w:rsidRPr="00FD0426" w:rsidRDefault="00F35E89" w:rsidP="009262A5">
            <w:pPr>
              <w:spacing w:line="360" w:lineRule="auto"/>
              <w:jc w:val="center"/>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Cross-Correlations</w:t>
            </w:r>
          </w:p>
        </w:tc>
      </w:tr>
      <w:tr w:rsidR="00395699" w14:paraId="1842762F" w14:textId="77777777" w:rsidTr="00313FF9">
        <w:tc>
          <w:tcPr>
            <w:tcW w:w="636" w:type="pct"/>
            <w:tcBorders>
              <w:top w:val="nil"/>
              <w:bottom w:val="single" w:sz="4" w:space="0" w:color="auto"/>
            </w:tcBorders>
          </w:tcPr>
          <w:p w14:paraId="0D0B6565" w14:textId="3EA5AD85"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Factors</w:t>
            </w:r>
          </w:p>
        </w:tc>
        <w:tc>
          <w:tcPr>
            <w:tcW w:w="636" w:type="pct"/>
            <w:tcBorders>
              <w:top w:val="nil"/>
              <w:bottom w:val="single" w:sz="4" w:space="0" w:color="auto"/>
            </w:tcBorders>
          </w:tcPr>
          <w:p w14:paraId="093D8E97" w14:textId="471654CA"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Return</w:t>
            </w:r>
          </w:p>
        </w:tc>
        <w:tc>
          <w:tcPr>
            <w:tcW w:w="636" w:type="pct"/>
            <w:tcBorders>
              <w:top w:val="nil"/>
              <w:bottom w:val="single" w:sz="4" w:space="0" w:color="auto"/>
            </w:tcBorders>
          </w:tcPr>
          <w:p w14:paraId="1993E17E" w14:textId="5B3D7A3A"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Dev</w:t>
            </w:r>
          </w:p>
        </w:tc>
        <w:tc>
          <w:tcPr>
            <w:tcW w:w="636" w:type="pct"/>
            <w:tcBorders>
              <w:top w:val="nil"/>
              <w:bottom w:val="single" w:sz="4" w:space="0" w:color="auto"/>
            </w:tcBorders>
          </w:tcPr>
          <w:p w14:paraId="593E5FCF" w14:textId="76C5A7E7"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Mean = 0</w:t>
            </w:r>
          </w:p>
        </w:tc>
        <w:tc>
          <w:tcPr>
            <w:tcW w:w="547" w:type="pct"/>
            <w:tcBorders>
              <w:top w:val="single" w:sz="4" w:space="0" w:color="auto"/>
              <w:bottom w:val="single" w:sz="4" w:space="0" w:color="auto"/>
            </w:tcBorders>
          </w:tcPr>
          <w:p w14:paraId="48EE7B83" w14:textId="77777777"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RMRF</w:t>
            </w:r>
          </w:p>
        </w:tc>
        <w:tc>
          <w:tcPr>
            <w:tcW w:w="636" w:type="pct"/>
            <w:tcBorders>
              <w:top w:val="single" w:sz="4" w:space="0" w:color="auto"/>
              <w:bottom w:val="single" w:sz="4" w:space="0" w:color="auto"/>
            </w:tcBorders>
          </w:tcPr>
          <w:p w14:paraId="00053F57" w14:textId="77777777"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SMB</w:t>
            </w:r>
          </w:p>
        </w:tc>
        <w:tc>
          <w:tcPr>
            <w:tcW w:w="636" w:type="pct"/>
            <w:tcBorders>
              <w:top w:val="single" w:sz="4" w:space="0" w:color="auto"/>
              <w:bottom w:val="single" w:sz="4" w:space="0" w:color="auto"/>
            </w:tcBorders>
          </w:tcPr>
          <w:p w14:paraId="645B8B8D" w14:textId="77777777"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HML</w:t>
            </w:r>
          </w:p>
        </w:tc>
        <w:tc>
          <w:tcPr>
            <w:tcW w:w="636" w:type="pct"/>
            <w:tcBorders>
              <w:top w:val="single" w:sz="4" w:space="0" w:color="auto"/>
              <w:bottom w:val="single" w:sz="4" w:space="0" w:color="auto"/>
            </w:tcBorders>
          </w:tcPr>
          <w:p w14:paraId="27057ABD" w14:textId="77777777" w:rsidR="00945750" w:rsidRPr="00FD0426" w:rsidRDefault="00F35E89" w:rsidP="009262A5">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MOM</w:t>
            </w:r>
          </w:p>
        </w:tc>
      </w:tr>
      <w:tr w:rsidR="00395699" w14:paraId="4A32F26C" w14:textId="77777777" w:rsidTr="00313FF9">
        <w:tc>
          <w:tcPr>
            <w:tcW w:w="636" w:type="pct"/>
            <w:tcBorders>
              <w:top w:val="single" w:sz="4" w:space="0" w:color="auto"/>
            </w:tcBorders>
          </w:tcPr>
          <w:p w14:paraId="78FF7F8B" w14:textId="77777777"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RMRF</w:t>
            </w:r>
          </w:p>
        </w:tc>
        <w:tc>
          <w:tcPr>
            <w:tcW w:w="636" w:type="pct"/>
            <w:tcBorders>
              <w:top w:val="single" w:sz="4" w:space="0" w:color="auto"/>
            </w:tcBorders>
          </w:tcPr>
          <w:p w14:paraId="7CCCE9D5" w14:textId="6DE81D41"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0.67</w:t>
            </w:r>
          </w:p>
        </w:tc>
        <w:tc>
          <w:tcPr>
            <w:tcW w:w="636" w:type="pct"/>
            <w:tcBorders>
              <w:top w:val="single" w:sz="4" w:space="0" w:color="auto"/>
            </w:tcBorders>
          </w:tcPr>
          <w:p w14:paraId="5C3397C6" w14:textId="4089EE26"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5.19</w:t>
            </w:r>
          </w:p>
        </w:tc>
        <w:tc>
          <w:tcPr>
            <w:tcW w:w="636" w:type="pct"/>
            <w:tcBorders>
              <w:top w:val="single" w:sz="4" w:space="0" w:color="auto"/>
            </w:tcBorders>
          </w:tcPr>
          <w:p w14:paraId="42526976" w14:textId="0ECD9B29"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1.78</w:t>
            </w:r>
          </w:p>
        </w:tc>
        <w:tc>
          <w:tcPr>
            <w:tcW w:w="547" w:type="pct"/>
            <w:tcBorders>
              <w:top w:val="single" w:sz="4" w:space="0" w:color="auto"/>
            </w:tcBorders>
          </w:tcPr>
          <w:p w14:paraId="6EA4A83C" w14:textId="1E5B2F4B"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1.00</w:t>
            </w:r>
          </w:p>
        </w:tc>
        <w:tc>
          <w:tcPr>
            <w:tcW w:w="636" w:type="pct"/>
            <w:tcBorders>
              <w:top w:val="single" w:sz="4" w:space="0" w:color="auto"/>
            </w:tcBorders>
          </w:tcPr>
          <w:p w14:paraId="3DD6F3DE" w14:textId="77777777" w:rsidR="006042D0" w:rsidRPr="00FD0426" w:rsidRDefault="006042D0" w:rsidP="006042D0">
            <w:pPr>
              <w:spacing w:line="360" w:lineRule="auto"/>
              <w:jc w:val="both"/>
              <w:rPr>
                <w:rFonts w:ascii="Times New Roman" w:hAnsi="Times New Roman" w:cs="Times New Roman"/>
                <w:color w:val="000000" w:themeColor="text1"/>
                <w:sz w:val="22"/>
                <w:szCs w:val="22"/>
              </w:rPr>
            </w:pPr>
          </w:p>
        </w:tc>
        <w:tc>
          <w:tcPr>
            <w:tcW w:w="636" w:type="pct"/>
            <w:tcBorders>
              <w:top w:val="single" w:sz="4" w:space="0" w:color="auto"/>
            </w:tcBorders>
          </w:tcPr>
          <w:p w14:paraId="7A565F0A" w14:textId="77777777" w:rsidR="006042D0" w:rsidRPr="00FD0426" w:rsidRDefault="006042D0" w:rsidP="006042D0">
            <w:pPr>
              <w:spacing w:line="360" w:lineRule="auto"/>
              <w:jc w:val="both"/>
              <w:rPr>
                <w:rFonts w:ascii="Times New Roman" w:hAnsi="Times New Roman" w:cs="Times New Roman"/>
                <w:color w:val="000000" w:themeColor="text1"/>
                <w:sz w:val="22"/>
                <w:szCs w:val="22"/>
              </w:rPr>
            </w:pPr>
          </w:p>
        </w:tc>
        <w:tc>
          <w:tcPr>
            <w:tcW w:w="636" w:type="pct"/>
            <w:tcBorders>
              <w:top w:val="single" w:sz="4" w:space="0" w:color="auto"/>
            </w:tcBorders>
          </w:tcPr>
          <w:p w14:paraId="5E890934" w14:textId="77777777" w:rsidR="006042D0" w:rsidRPr="00FD0426" w:rsidRDefault="006042D0" w:rsidP="006042D0">
            <w:pPr>
              <w:spacing w:line="360" w:lineRule="auto"/>
              <w:jc w:val="both"/>
              <w:rPr>
                <w:rFonts w:ascii="Times New Roman" w:hAnsi="Times New Roman" w:cs="Times New Roman"/>
                <w:color w:val="000000" w:themeColor="text1"/>
                <w:sz w:val="22"/>
                <w:szCs w:val="22"/>
              </w:rPr>
            </w:pPr>
          </w:p>
        </w:tc>
      </w:tr>
      <w:tr w:rsidR="00395699" w14:paraId="644409E3" w14:textId="77777777" w:rsidTr="00313FF9">
        <w:tc>
          <w:tcPr>
            <w:tcW w:w="636" w:type="pct"/>
          </w:tcPr>
          <w:p w14:paraId="1F8AED9B" w14:textId="77777777"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SMB</w:t>
            </w:r>
          </w:p>
        </w:tc>
        <w:tc>
          <w:tcPr>
            <w:tcW w:w="636" w:type="pct"/>
          </w:tcPr>
          <w:p w14:paraId="2FCA1B04" w14:textId="10DA6B35"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0.19</w:t>
            </w:r>
          </w:p>
        </w:tc>
        <w:tc>
          <w:tcPr>
            <w:tcW w:w="636" w:type="pct"/>
          </w:tcPr>
          <w:p w14:paraId="777B3BC5" w14:textId="78D711DE"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1.79</w:t>
            </w:r>
          </w:p>
        </w:tc>
        <w:tc>
          <w:tcPr>
            <w:tcW w:w="636" w:type="pct"/>
          </w:tcPr>
          <w:p w14:paraId="4DB0F42B" w14:textId="4BEDE6D0"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1.50</w:t>
            </w:r>
          </w:p>
        </w:tc>
        <w:tc>
          <w:tcPr>
            <w:tcW w:w="547" w:type="pct"/>
          </w:tcPr>
          <w:p w14:paraId="1893FC5A" w14:textId="661925B3"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-0.02</w:t>
            </w:r>
          </w:p>
        </w:tc>
        <w:tc>
          <w:tcPr>
            <w:tcW w:w="636" w:type="pct"/>
          </w:tcPr>
          <w:p w14:paraId="0044BD4D" w14:textId="2B320FB6"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1.00</w:t>
            </w:r>
          </w:p>
        </w:tc>
        <w:tc>
          <w:tcPr>
            <w:tcW w:w="636" w:type="pct"/>
          </w:tcPr>
          <w:p w14:paraId="681ED3B7" w14:textId="77777777" w:rsidR="006042D0" w:rsidRPr="00FD0426" w:rsidRDefault="006042D0" w:rsidP="006042D0">
            <w:pPr>
              <w:spacing w:line="360" w:lineRule="auto"/>
              <w:jc w:val="both"/>
              <w:rPr>
                <w:rFonts w:ascii="Times New Roman" w:hAnsi="Times New Roman" w:cs="Times New Roman"/>
                <w:color w:val="000000" w:themeColor="text1"/>
                <w:sz w:val="22"/>
                <w:szCs w:val="22"/>
              </w:rPr>
            </w:pPr>
          </w:p>
        </w:tc>
        <w:tc>
          <w:tcPr>
            <w:tcW w:w="636" w:type="pct"/>
          </w:tcPr>
          <w:p w14:paraId="01ACFBC9" w14:textId="77777777" w:rsidR="006042D0" w:rsidRPr="00FD0426" w:rsidRDefault="006042D0" w:rsidP="006042D0">
            <w:pPr>
              <w:spacing w:line="360" w:lineRule="auto"/>
              <w:jc w:val="both"/>
              <w:rPr>
                <w:rFonts w:ascii="Times New Roman" w:hAnsi="Times New Roman" w:cs="Times New Roman"/>
                <w:color w:val="000000" w:themeColor="text1"/>
                <w:sz w:val="22"/>
                <w:szCs w:val="22"/>
              </w:rPr>
            </w:pPr>
          </w:p>
        </w:tc>
      </w:tr>
      <w:tr w:rsidR="00395699" w14:paraId="2EE42C33" w14:textId="77777777" w:rsidTr="00313FF9">
        <w:tc>
          <w:tcPr>
            <w:tcW w:w="636" w:type="pct"/>
          </w:tcPr>
          <w:p w14:paraId="213C2854" w14:textId="77777777"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HML</w:t>
            </w:r>
          </w:p>
        </w:tc>
        <w:tc>
          <w:tcPr>
            <w:tcW w:w="636" w:type="pct"/>
          </w:tcPr>
          <w:p w14:paraId="1BE3E759" w14:textId="6178D6BC"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0.11</w:t>
            </w:r>
          </w:p>
        </w:tc>
        <w:tc>
          <w:tcPr>
            <w:tcW w:w="636" w:type="pct"/>
          </w:tcPr>
          <w:p w14:paraId="112F0A17" w14:textId="270F0E8C"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2.12</w:t>
            </w:r>
          </w:p>
        </w:tc>
        <w:tc>
          <w:tcPr>
            <w:tcW w:w="636" w:type="pct"/>
          </w:tcPr>
          <w:p w14:paraId="54A2D624" w14:textId="779F2D18"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0.71</w:t>
            </w:r>
          </w:p>
        </w:tc>
        <w:tc>
          <w:tcPr>
            <w:tcW w:w="547" w:type="pct"/>
          </w:tcPr>
          <w:p w14:paraId="05FE0F5A" w14:textId="6A105A88"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0.4</w:t>
            </w:r>
            <w:r w:rsidR="004B4F91" w:rsidRPr="00FD0426">
              <w:rPr>
                <w:rFonts w:ascii="Times New Roman" w:eastAsia="Times New Roman" w:hAnsi="Times New Roman" w:cs="Times New Roman"/>
                <w:color w:val="000000" w:themeColor="text1"/>
                <w:sz w:val="22"/>
                <w:szCs w:val="22"/>
              </w:rPr>
              <w:t>9</w:t>
            </w:r>
          </w:p>
        </w:tc>
        <w:tc>
          <w:tcPr>
            <w:tcW w:w="636" w:type="pct"/>
          </w:tcPr>
          <w:p w14:paraId="7E9FB53A" w14:textId="1EEEF3E8"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-0.03</w:t>
            </w:r>
          </w:p>
        </w:tc>
        <w:tc>
          <w:tcPr>
            <w:tcW w:w="636" w:type="pct"/>
          </w:tcPr>
          <w:p w14:paraId="4FF8617D" w14:textId="3A918D30"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1.00</w:t>
            </w:r>
          </w:p>
        </w:tc>
        <w:tc>
          <w:tcPr>
            <w:tcW w:w="636" w:type="pct"/>
          </w:tcPr>
          <w:p w14:paraId="06C0D626" w14:textId="77777777" w:rsidR="006042D0" w:rsidRPr="00FD0426" w:rsidRDefault="006042D0" w:rsidP="006042D0">
            <w:pPr>
              <w:spacing w:line="360" w:lineRule="auto"/>
              <w:jc w:val="both"/>
              <w:rPr>
                <w:rFonts w:ascii="Times New Roman" w:hAnsi="Times New Roman" w:cs="Times New Roman"/>
                <w:color w:val="000000" w:themeColor="text1"/>
                <w:sz w:val="22"/>
                <w:szCs w:val="22"/>
              </w:rPr>
            </w:pPr>
          </w:p>
        </w:tc>
      </w:tr>
      <w:tr w:rsidR="00395699" w14:paraId="0EFD6F0E" w14:textId="77777777" w:rsidTr="00313FF9">
        <w:tc>
          <w:tcPr>
            <w:tcW w:w="636" w:type="pct"/>
          </w:tcPr>
          <w:p w14:paraId="02806371" w14:textId="77777777"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MOM</w:t>
            </w:r>
          </w:p>
        </w:tc>
        <w:tc>
          <w:tcPr>
            <w:tcW w:w="636" w:type="pct"/>
          </w:tcPr>
          <w:p w14:paraId="1273A166" w14:textId="03491E72"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0.69</w:t>
            </w:r>
          </w:p>
        </w:tc>
        <w:tc>
          <w:tcPr>
            <w:tcW w:w="636" w:type="pct"/>
          </w:tcPr>
          <w:p w14:paraId="79037423" w14:textId="2DB659A6"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3.70</w:t>
            </w:r>
          </w:p>
        </w:tc>
        <w:tc>
          <w:tcPr>
            <w:tcW w:w="636" w:type="pct"/>
          </w:tcPr>
          <w:p w14:paraId="148B4865" w14:textId="055707D2"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2.59</w:t>
            </w:r>
          </w:p>
        </w:tc>
        <w:tc>
          <w:tcPr>
            <w:tcW w:w="547" w:type="pct"/>
          </w:tcPr>
          <w:p w14:paraId="3E6510E6" w14:textId="35FA0819"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-0.42</w:t>
            </w:r>
          </w:p>
        </w:tc>
        <w:tc>
          <w:tcPr>
            <w:tcW w:w="636" w:type="pct"/>
          </w:tcPr>
          <w:p w14:paraId="464628F6" w14:textId="58B1E763"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-0.02</w:t>
            </w:r>
          </w:p>
        </w:tc>
        <w:tc>
          <w:tcPr>
            <w:tcW w:w="636" w:type="pct"/>
          </w:tcPr>
          <w:p w14:paraId="0C9E444E" w14:textId="524875FF"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-0.4</w:t>
            </w:r>
            <w:r w:rsidR="004B4F91" w:rsidRPr="00FD0426">
              <w:rPr>
                <w:rFonts w:ascii="Times New Roman" w:eastAsia="Times New Roman" w:hAnsi="Times New Roman" w:cs="Times New Roman"/>
                <w:color w:val="000000" w:themeColor="text1"/>
                <w:sz w:val="22"/>
                <w:szCs w:val="22"/>
              </w:rPr>
              <w:t>4</w:t>
            </w:r>
          </w:p>
        </w:tc>
        <w:tc>
          <w:tcPr>
            <w:tcW w:w="636" w:type="pct"/>
          </w:tcPr>
          <w:p w14:paraId="2EAF1D22" w14:textId="7CE23CA1" w:rsidR="006042D0" w:rsidRPr="00FD0426" w:rsidRDefault="00F35E89" w:rsidP="006042D0">
            <w:pPr>
              <w:spacing w:line="360" w:lineRule="auto"/>
              <w:jc w:val="both"/>
              <w:rPr>
                <w:rFonts w:ascii="Times New Roman" w:hAnsi="Times New Roman" w:cs="Times New Roman"/>
                <w:color w:val="000000" w:themeColor="text1"/>
                <w:sz w:val="22"/>
                <w:szCs w:val="22"/>
              </w:rPr>
            </w:pPr>
            <w:r w:rsidRPr="00FD0426">
              <w:rPr>
                <w:rFonts w:ascii="Times New Roman" w:eastAsia="Times New Roman" w:hAnsi="Times New Roman" w:cs="Times New Roman"/>
                <w:color w:val="000000" w:themeColor="text1"/>
                <w:sz w:val="22"/>
                <w:szCs w:val="22"/>
              </w:rPr>
              <w:t>1.00</w:t>
            </w:r>
          </w:p>
        </w:tc>
      </w:tr>
    </w:tbl>
    <w:p w14:paraId="0E8337D3" w14:textId="59AF2DC4" w:rsidR="003B778B" w:rsidRPr="00FD0426" w:rsidRDefault="00F35E89" w:rsidP="00A9082A">
      <w:pPr>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Panel C: India</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
        <w:gridCol w:w="1148"/>
        <w:gridCol w:w="1147"/>
        <w:gridCol w:w="1147"/>
        <w:gridCol w:w="987"/>
        <w:gridCol w:w="1147"/>
        <w:gridCol w:w="1147"/>
        <w:gridCol w:w="1149"/>
      </w:tblGrid>
      <w:tr w:rsidR="00395699" w14:paraId="20DA6EF0" w14:textId="77777777" w:rsidTr="00313FF9">
        <w:tc>
          <w:tcPr>
            <w:tcW w:w="636" w:type="pct"/>
          </w:tcPr>
          <w:p w14:paraId="0A21AC13" w14:textId="2215DEC7" w:rsidR="00945750" w:rsidRPr="00FD0426" w:rsidRDefault="00945750" w:rsidP="009262A5">
            <w:pPr>
              <w:spacing w:line="360" w:lineRule="auto"/>
              <w:jc w:val="both"/>
              <w:rPr>
                <w:rFonts w:ascii="Times New Roman" w:hAnsi="Times New Roman" w:cs="Times New Roman"/>
                <w:sz w:val="22"/>
                <w:szCs w:val="22"/>
              </w:rPr>
            </w:pPr>
          </w:p>
        </w:tc>
        <w:tc>
          <w:tcPr>
            <w:tcW w:w="636" w:type="pct"/>
          </w:tcPr>
          <w:p w14:paraId="48D31C16" w14:textId="3CC2D9D2"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Mean</w:t>
            </w:r>
          </w:p>
        </w:tc>
        <w:tc>
          <w:tcPr>
            <w:tcW w:w="636" w:type="pct"/>
          </w:tcPr>
          <w:p w14:paraId="65E940E5" w14:textId="6437838B"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Std</w:t>
            </w:r>
          </w:p>
        </w:tc>
        <w:tc>
          <w:tcPr>
            <w:tcW w:w="636" w:type="pct"/>
          </w:tcPr>
          <w:p w14:paraId="406B8747" w14:textId="1FE550A2"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t-stat for</w:t>
            </w:r>
          </w:p>
        </w:tc>
        <w:tc>
          <w:tcPr>
            <w:tcW w:w="2456" w:type="pct"/>
            <w:gridSpan w:val="4"/>
            <w:tcBorders>
              <w:top w:val="single" w:sz="4" w:space="0" w:color="auto"/>
              <w:bottom w:val="single" w:sz="4" w:space="0" w:color="auto"/>
            </w:tcBorders>
          </w:tcPr>
          <w:p w14:paraId="783192D2" w14:textId="77777777" w:rsidR="00945750" w:rsidRPr="00FD0426" w:rsidRDefault="00F35E89" w:rsidP="009262A5">
            <w:pPr>
              <w:spacing w:line="360" w:lineRule="auto"/>
              <w:jc w:val="center"/>
              <w:rPr>
                <w:rFonts w:ascii="Times New Roman" w:hAnsi="Times New Roman" w:cs="Times New Roman"/>
                <w:sz w:val="22"/>
                <w:szCs w:val="22"/>
              </w:rPr>
            </w:pPr>
            <w:r w:rsidRPr="00FD0426">
              <w:rPr>
                <w:rFonts w:ascii="Times New Roman" w:hAnsi="Times New Roman" w:cs="Times New Roman"/>
                <w:sz w:val="22"/>
                <w:szCs w:val="22"/>
              </w:rPr>
              <w:t>Cross-Correlations</w:t>
            </w:r>
          </w:p>
        </w:tc>
      </w:tr>
      <w:tr w:rsidR="00395699" w14:paraId="353A9E2D" w14:textId="77777777" w:rsidTr="00313FF9">
        <w:tc>
          <w:tcPr>
            <w:tcW w:w="636" w:type="pct"/>
            <w:tcBorders>
              <w:bottom w:val="single" w:sz="4" w:space="0" w:color="auto"/>
            </w:tcBorders>
          </w:tcPr>
          <w:p w14:paraId="76DEAF59" w14:textId="6559B1A0"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Factors</w:t>
            </w:r>
          </w:p>
        </w:tc>
        <w:tc>
          <w:tcPr>
            <w:tcW w:w="636" w:type="pct"/>
            <w:tcBorders>
              <w:bottom w:val="single" w:sz="4" w:space="0" w:color="auto"/>
            </w:tcBorders>
          </w:tcPr>
          <w:p w14:paraId="57F9D215" w14:textId="42319BA4"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Return</w:t>
            </w:r>
          </w:p>
        </w:tc>
        <w:tc>
          <w:tcPr>
            <w:tcW w:w="636" w:type="pct"/>
            <w:tcBorders>
              <w:bottom w:val="single" w:sz="4" w:space="0" w:color="auto"/>
            </w:tcBorders>
          </w:tcPr>
          <w:p w14:paraId="25FD4712" w14:textId="239E329E"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Dev</w:t>
            </w:r>
          </w:p>
        </w:tc>
        <w:tc>
          <w:tcPr>
            <w:tcW w:w="636" w:type="pct"/>
            <w:tcBorders>
              <w:bottom w:val="single" w:sz="4" w:space="0" w:color="auto"/>
            </w:tcBorders>
          </w:tcPr>
          <w:p w14:paraId="009C5669" w14:textId="606BD383"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Mean = 0</w:t>
            </w:r>
          </w:p>
        </w:tc>
        <w:tc>
          <w:tcPr>
            <w:tcW w:w="547" w:type="pct"/>
            <w:tcBorders>
              <w:top w:val="single" w:sz="4" w:space="0" w:color="auto"/>
              <w:bottom w:val="single" w:sz="4" w:space="0" w:color="auto"/>
            </w:tcBorders>
          </w:tcPr>
          <w:p w14:paraId="08AB9798" w14:textId="77777777"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RMRF</w:t>
            </w:r>
          </w:p>
        </w:tc>
        <w:tc>
          <w:tcPr>
            <w:tcW w:w="636" w:type="pct"/>
            <w:tcBorders>
              <w:top w:val="single" w:sz="4" w:space="0" w:color="auto"/>
              <w:bottom w:val="single" w:sz="4" w:space="0" w:color="auto"/>
            </w:tcBorders>
          </w:tcPr>
          <w:p w14:paraId="39E36475" w14:textId="77777777"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SMB</w:t>
            </w:r>
          </w:p>
        </w:tc>
        <w:tc>
          <w:tcPr>
            <w:tcW w:w="636" w:type="pct"/>
            <w:tcBorders>
              <w:top w:val="single" w:sz="4" w:space="0" w:color="auto"/>
              <w:bottom w:val="single" w:sz="4" w:space="0" w:color="auto"/>
            </w:tcBorders>
          </w:tcPr>
          <w:p w14:paraId="6391B15C" w14:textId="77777777"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HML</w:t>
            </w:r>
          </w:p>
        </w:tc>
        <w:tc>
          <w:tcPr>
            <w:tcW w:w="636" w:type="pct"/>
            <w:tcBorders>
              <w:top w:val="single" w:sz="4" w:space="0" w:color="auto"/>
              <w:bottom w:val="single" w:sz="4" w:space="0" w:color="auto"/>
            </w:tcBorders>
          </w:tcPr>
          <w:p w14:paraId="674DF847" w14:textId="77777777"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MOM</w:t>
            </w:r>
          </w:p>
        </w:tc>
      </w:tr>
      <w:tr w:rsidR="00395699" w14:paraId="16BCBEF7" w14:textId="77777777" w:rsidTr="00313FF9">
        <w:tc>
          <w:tcPr>
            <w:tcW w:w="636" w:type="pct"/>
            <w:tcBorders>
              <w:top w:val="single" w:sz="4" w:space="0" w:color="auto"/>
            </w:tcBorders>
          </w:tcPr>
          <w:p w14:paraId="68C3F2DA" w14:textId="77777777"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RMRF</w:t>
            </w:r>
          </w:p>
        </w:tc>
        <w:tc>
          <w:tcPr>
            <w:tcW w:w="636" w:type="pct"/>
            <w:tcBorders>
              <w:top w:val="single" w:sz="4" w:space="0" w:color="auto"/>
            </w:tcBorders>
          </w:tcPr>
          <w:p w14:paraId="404879D3" w14:textId="535FCB5B"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1.15</w:t>
            </w:r>
          </w:p>
        </w:tc>
        <w:tc>
          <w:tcPr>
            <w:tcW w:w="636" w:type="pct"/>
            <w:tcBorders>
              <w:top w:val="single" w:sz="4" w:space="0" w:color="auto"/>
            </w:tcBorders>
          </w:tcPr>
          <w:p w14:paraId="37766B52" w14:textId="70CC6B1C"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7.26</w:t>
            </w:r>
          </w:p>
        </w:tc>
        <w:tc>
          <w:tcPr>
            <w:tcW w:w="636" w:type="pct"/>
            <w:tcBorders>
              <w:top w:val="single" w:sz="4" w:space="0" w:color="auto"/>
            </w:tcBorders>
          </w:tcPr>
          <w:p w14:paraId="54FFF032" w14:textId="67F5CEFE"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2.19</w:t>
            </w:r>
          </w:p>
        </w:tc>
        <w:tc>
          <w:tcPr>
            <w:tcW w:w="547" w:type="pct"/>
            <w:tcBorders>
              <w:top w:val="single" w:sz="4" w:space="0" w:color="auto"/>
            </w:tcBorders>
          </w:tcPr>
          <w:p w14:paraId="79AE8BF9" w14:textId="3C0D5BDA"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1.0000</w:t>
            </w:r>
          </w:p>
        </w:tc>
        <w:tc>
          <w:tcPr>
            <w:tcW w:w="636" w:type="pct"/>
            <w:tcBorders>
              <w:top w:val="single" w:sz="4" w:space="0" w:color="auto"/>
            </w:tcBorders>
          </w:tcPr>
          <w:p w14:paraId="383CB92F" w14:textId="77777777" w:rsidR="00945750" w:rsidRPr="00FD0426" w:rsidRDefault="00945750" w:rsidP="00945750">
            <w:pPr>
              <w:spacing w:line="360" w:lineRule="auto"/>
              <w:jc w:val="both"/>
              <w:rPr>
                <w:rFonts w:ascii="Times New Roman" w:hAnsi="Times New Roman" w:cs="Times New Roman"/>
                <w:sz w:val="22"/>
                <w:szCs w:val="22"/>
              </w:rPr>
            </w:pPr>
          </w:p>
        </w:tc>
        <w:tc>
          <w:tcPr>
            <w:tcW w:w="636" w:type="pct"/>
            <w:tcBorders>
              <w:top w:val="single" w:sz="4" w:space="0" w:color="auto"/>
            </w:tcBorders>
          </w:tcPr>
          <w:p w14:paraId="0C98FEF1" w14:textId="77777777" w:rsidR="00945750" w:rsidRPr="00FD0426" w:rsidRDefault="00945750" w:rsidP="00945750">
            <w:pPr>
              <w:spacing w:line="360" w:lineRule="auto"/>
              <w:jc w:val="both"/>
              <w:rPr>
                <w:rFonts w:ascii="Times New Roman" w:hAnsi="Times New Roman" w:cs="Times New Roman"/>
                <w:sz w:val="22"/>
                <w:szCs w:val="22"/>
              </w:rPr>
            </w:pPr>
          </w:p>
        </w:tc>
        <w:tc>
          <w:tcPr>
            <w:tcW w:w="636" w:type="pct"/>
            <w:tcBorders>
              <w:top w:val="single" w:sz="4" w:space="0" w:color="auto"/>
            </w:tcBorders>
          </w:tcPr>
          <w:p w14:paraId="6479263C" w14:textId="77777777" w:rsidR="00945750" w:rsidRPr="00FD0426" w:rsidRDefault="00945750" w:rsidP="00945750">
            <w:pPr>
              <w:spacing w:line="360" w:lineRule="auto"/>
              <w:jc w:val="both"/>
              <w:rPr>
                <w:rFonts w:ascii="Times New Roman" w:hAnsi="Times New Roman" w:cs="Times New Roman"/>
                <w:sz w:val="22"/>
                <w:szCs w:val="22"/>
              </w:rPr>
            </w:pPr>
          </w:p>
        </w:tc>
      </w:tr>
      <w:tr w:rsidR="00395699" w14:paraId="497B6E40" w14:textId="77777777" w:rsidTr="00313FF9">
        <w:tc>
          <w:tcPr>
            <w:tcW w:w="636" w:type="pct"/>
          </w:tcPr>
          <w:p w14:paraId="61F6C42C" w14:textId="77777777"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SMB</w:t>
            </w:r>
          </w:p>
        </w:tc>
        <w:tc>
          <w:tcPr>
            <w:tcW w:w="636" w:type="pct"/>
          </w:tcPr>
          <w:p w14:paraId="52D0BFE6" w14:textId="5948D148"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0.49</w:t>
            </w:r>
          </w:p>
        </w:tc>
        <w:tc>
          <w:tcPr>
            <w:tcW w:w="636" w:type="pct"/>
          </w:tcPr>
          <w:p w14:paraId="2D5EB452" w14:textId="360A2151"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4.67</w:t>
            </w:r>
          </w:p>
        </w:tc>
        <w:tc>
          <w:tcPr>
            <w:tcW w:w="636" w:type="pct"/>
          </w:tcPr>
          <w:p w14:paraId="2538787F" w14:textId="23E8A038"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1.44</w:t>
            </w:r>
          </w:p>
        </w:tc>
        <w:tc>
          <w:tcPr>
            <w:tcW w:w="547" w:type="pct"/>
          </w:tcPr>
          <w:p w14:paraId="0273574A" w14:textId="678996CE"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0.1520</w:t>
            </w:r>
          </w:p>
        </w:tc>
        <w:tc>
          <w:tcPr>
            <w:tcW w:w="636" w:type="pct"/>
          </w:tcPr>
          <w:p w14:paraId="1DE8595F" w14:textId="246B4A29"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w:t>
            </w:r>
          </w:p>
        </w:tc>
        <w:tc>
          <w:tcPr>
            <w:tcW w:w="636" w:type="pct"/>
          </w:tcPr>
          <w:p w14:paraId="75B960C9" w14:textId="77777777" w:rsidR="00945750" w:rsidRPr="00FD0426" w:rsidRDefault="00945750" w:rsidP="00945750">
            <w:pPr>
              <w:spacing w:line="360" w:lineRule="auto"/>
              <w:jc w:val="both"/>
              <w:rPr>
                <w:rFonts w:ascii="Times New Roman" w:hAnsi="Times New Roman" w:cs="Times New Roman"/>
                <w:sz w:val="22"/>
                <w:szCs w:val="22"/>
              </w:rPr>
            </w:pPr>
          </w:p>
        </w:tc>
        <w:tc>
          <w:tcPr>
            <w:tcW w:w="636" w:type="pct"/>
          </w:tcPr>
          <w:p w14:paraId="63C2F69A" w14:textId="77777777" w:rsidR="00945750" w:rsidRPr="00FD0426" w:rsidRDefault="00945750" w:rsidP="00945750">
            <w:pPr>
              <w:spacing w:line="360" w:lineRule="auto"/>
              <w:jc w:val="both"/>
              <w:rPr>
                <w:rFonts w:ascii="Times New Roman" w:hAnsi="Times New Roman" w:cs="Times New Roman"/>
                <w:sz w:val="22"/>
                <w:szCs w:val="22"/>
              </w:rPr>
            </w:pPr>
          </w:p>
        </w:tc>
      </w:tr>
      <w:tr w:rsidR="00395699" w14:paraId="0CA81883" w14:textId="77777777" w:rsidTr="00313FF9">
        <w:tc>
          <w:tcPr>
            <w:tcW w:w="636" w:type="pct"/>
          </w:tcPr>
          <w:p w14:paraId="1F417434" w14:textId="77777777"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HML</w:t>
            </w:r>
          </w:p>
        </w:tc>
        <w:tc>
          <w:tcPr>
            <w:tcW w:w="636" w:type="pct"/>
          </w:tcPr>
          <w:p w14:paraId="2D13B866" w14:textId="751FC365"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0.88</w:t>
            </w:r>
          </w:p>
        </w:tc>
        <w:tc>
          <w:tcPr>
            <w:tcW w:w="636" w:type="pct"/>
          </w:tcPr>
          <w:p w14:paraId="6895DBCC" w14:textId="7BE51551"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6.31</w:t>
            </w:r>
          </w:p>
        </w:tc>
        <w:tc>
          <w:tcPr>
            <w:tcW w:w="636" w:type="pct"/>
          </w:tcPr>
          <w:p w14:paraId="581E0A88" w14:textId="78B7A7E7"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1.83</w:t>
            </w:r>
          </w:p>
        </w:tc>
        <w:tc>
          <w:tcPr>
            <w:tcW w:w="547" w:type="pct"/>
          </w:tcPr>
          <w:p w14:paraId="1386F30D" w14:textId="4308BAE5"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0.4125</w:t>
            </w:r>
          </w:p>
        </w:tc>
        <w:tc>
          <w:tcPr>
            <w:tcW w:w="636" w:type="pct"/>
          </w:tcPr>
          <w:p w14:paraId="3B2705ED" w14:textId="40F6BF47"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0.4845</w:t>
            </w:r>
          </w:p>
        </w:tc>
        <w:tc>
          <w:tcPr>
            <w:tcW w:w="636" w:type="pct"/>
          </w:tcPr>
          <w:p w14:paraId="631B2485" w14:textId="5514E9B3"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w:t>
            </w:r>
          </w:p>
        </w:tc>
        <w:tc>
          <w:tcPr>
            <w:tcW w:w="636" w:type="pct"/>
          </w:tcPr>
          <w:p w14:paraId="2354F0D6" w14:textId="77777777" w:rsidR="00945750" w:rsidRPr="00FD0426" w:rsidRDefault="00945750" w:rsidP="00945750">
            <w:pPr>
              <w:spacing w:line="360" w:lineRule="auto"/>
              <w:jc w:val="both"/>
              <w:rPr>
                <w:rFonts w:ascii="Times New Roman" w:hAnsi="Times New Roman" w:cs="Times New Roman"/>
                <w:sz w:val="22"/>
                <w:szCs w:val="22"/>
              </w:rPr>
            </w:pPr>
          </w:p>
        </w:tc>
      </w:tr>
      <w:tr w:rsidR="00395699" w14:paraId="7A8784EF" w14:textId="77777777" w:rsidTr="00313FF9">
        <w:tc>
          <w:tcPr>
            <w:tcW w:w="636" w:type="pct"/>
          </w:tcPr>
          <w:p w14:paraId="27C11A1B" w14:textId="77777777"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MOM</w:t>
            </w:r>
          </w:p>
        </w:tc>
        <w:tc>
          <w:tcPr>
            <w:tcW w:w="636" w:type="pct"/>
          </w:tcPr>
          <w:p w14:paraId="36134059" w14:textId="18269C94"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1.51</w:t>
            </w:r>
          </w:p>
        </w:tc>
        <w:tc>
          <w:tcPr>
            <w:tcW w:w="636" w:type="pct"/>
          </w:tcPr>
          <w:p w14:paraId="1B985533" w14:textId="43C91FC0"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5.94</w:t>
            </w:r>
          </w:p>
        </w:tc>
        <w:tc>
          <w:tcPr>
            <w:tcW w:w="636" w:type="pct"/>
          </w:tcPr>
          <w:p w14:paraId="3E094837" w14:textId="1B02F395"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3.51</w:t>
            </w:r>
          </w:p>
        </w:tc>
        <w:tc>
          <w:tcPr>
            <w:tcW w:w="547" w:type="pct"/>
          </w:tcPr>
          <w:p w14:paraId="052432C9" w14:textId="1E5648E1"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-0.2615</w:t>
            </w:r>
          </w:p>
        </w:tc>
        <w:tc>
          <w:tcPr>
            <w:tcW w:w="636" w:type="pct"/>
          </w:tcPr>
          <w:p w14:paraId="58BD0376" w14:textId="6F3692D6"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-0.1246</w:t>
            </w:r>
          </w:p>
        </w:tc>
        <w:tc>
          <w:tcPr>
            <w:tcW w:w="636" w:type="pct"/>
          </w:tcPr>
          <w:p w14:paraId="663AB9C7" w14:textId="1BAC174D"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-0.2077</w:t>
            </w:r>
          </w:p>
        </w:tc>
        <w:tc>
          <w:tcPr>
            <w:tcW w:w="636" w:type="pct"/>
          </w:tcPr>
          <w:p w14:paraId="75F6076B" w14:textId="3406ACAE" w:rsidR="00945750" w:rsidRPr="00FD0426" w:rsidRDefault="00F35E89" w:rsidP="0094575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w:t>
            </w:r>
          </w:p>
        </w:tc>
      </w:tr>
    </w:tbl>
    <w:p w14:paraId="5C7A16D7" w14:textId="66659EE1" w:rsidR="003B778B" w:rsidRPr="00FD0426" w:rsidRDefault="00F35E89" w:rsidP="00A9082A">
      <w:pPr>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Panel D: Asia</w:t>
      </w:r>
    </w:p>
    <w:tbl>
      <w:tblPr>
        <w:tblStyle w:val="TableGrid"/>
        <w:tblW w:w="5000" w:type="pct"/>
        <w:tblLook w:val="04A0" w:firstRow="1" w:lastRow="0" w:firstColumn="1" w:lastColumn="0" w:noHBand="0" w:noVBand="1"/>
      </w:tblPr>
      <w:tblGrid>
        <w:gridCol w:w="1148"/>
        <w:gridCol w:w="1148"/>
        <w:gridCol w:w="1147"/>
        <w:gridCol w:w="1147"/>
        <w:gridCol w:w="987"/>
        <w:gridCol w:w="1147"/>
        <w:gridCol w:w="1147"/>
        <w:gridCol w:w="1149"/>
      </w:tblGrid>
      <w:tr w:rsidR="00395699" w14:paraId="0DE6692E" w14:textId="77777777" w:rsidTr="00313FF9">
        <w:tc>
          <w:tcPr>
            <w:tcW w:w="636" w:type="pct"/>
            <w:tcBorders>
              <w:top w:val="single" w:sz="4" w:space="0" w:color="auto"/>
              <w:left w:val="nil"/>
              <w:bottom w:val="nil"/>
              <w:right w:val="nil"/>
            </w:tcBorders>
          </w:tcPr>
          <w:p w14:paraId="3C03C8C6" w14:textId="54B63EF2" w:rsidR="00945750" w:rsidRPr="00FD0426" w:rsidRDefault="00945750" w:rsidP="009262A5">
            <w:pPr>
              <w:spacing w:line="360" w:lineRule="auto"/>
              <w:jc w:val="both"/>
              <w:rPr>
                <w:rFonts w:ascii="Times New Roman" w:hAnsi="Times New Roman" w:cs="Times New Roman"/>
                <w:sz w:val="22"/>
                <w:szCs w:val="22"/>
              </w:rPr>
            </w:pPr>
          </w:p>
        </w:tc>
        <w:tc>
          <w:tcPr>
            <w:tcW w:w="636" w:type="pct"/>
            <w:tcBorders>
              <w:top w:val="single" w:sz="4" w:space="0" w:color="auto"/>
              <w:left w:val="nil"/>
              <w:bottom w:val="nil"/>
              <w:right w:val="nil"/>
            </w:tcBorders>
          </w:tcPr>
          <w:p w14:paraId="783A28D2" w14:textId="2DCDC659"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Mean</w:t>
            </w:r>
          </w:p>
        </w:tc>
        <w:tc>
          <w:tcPr>
            <w:tcW w:w="636" w:type="pct"/>
            <w:tcBorders>
              <w:top w:val="single" w:sz="4" w:space="0" w:color="auto"/>
              <w:left w:val="nil"/>
              <w:bottom w:val="nil"/>
              <w:right w:val="nil"/>
            </w:tcBorders>
          </w:tcPr>
          <w:p w14:paraId="6A3CF8C6" w14:textId="09625FCC"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Std</w:t>
            </w:r>
          </w:p>
        </w:tc>
        <w:tc>
          <w:tcPr>
            <w:tcW w:w="636" w:type="pct"/>
            <w:tcBorders>
              <w:top w:val="single" w:sz="4" w:space="0" w:color="auto"/>
              <w:left w:val="nil"/>
              <w:bottom w:val="nil"/>
              <w:right w:val="nil"/>
            </w:tcBorders>
          </w:tcPr>
          <w:p w14:paraId="4020A0C4" w14:textId="21106BA7"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t-stat for</w:t>
            </w:r>
          </w:p>
        </w:tc>
        <w:tc>
          <w:tcPr>
            <w:tcW w:w="2456" w:type="pct"/>
            <w:gridSpan w:val="4"/>
            <w:tcBorders>
              <w:left w:val="nil"/>
              <w:bottom w:val="single" w:sz="4" w:space="0" w:color="auto"/>
              <w:right w:val="nil"/>
            </w:tcBorders>
          </w:tcPr>
          <w:p w14:paraId="3EC45B11" w14:textId="77777777" w:rsidR="00945750" w:rsidRPr="00FD0426" w:rsidRDefault="00F35E89" w:rsidP="009262A5">
            <w:pPr>
              <w:spacing w:line="360" w:lineRule="auto"/>
              <w:jc w:val="center"/>
              <w:rPr>
                <w:rFonts w:ascii="Times New Roman" w:hAnsi="Times New Roman" w:cs="Times New Roman"/>
                <w:sz w:val="22"/>
                <w:szCs w:val="22"/>
              </w:rPr>
            </w:pPr>
            <w:r w:rsidRPr="00FD0426">
              <w:rPr>
                <w:rFonts w:ascii="Times New Roman" w:hAnsi="Times New Roman" w:cs="Times New Roman"/>
                <w:sz w:val="22"/>
                <w:szCs w:val="22"/>
              </w:rPr>
              <w:t>Cross-Correlations</w:t>
            </w:r>
          </w:p>
        </w:tc>
      </w:tr>
      <w:tr w:rsidR="00395699" w14:paraId="59A3A496" w14:textId="77777777" w:rsidTr="00313FF9">
        <w:tc>
          <w:tcPr>
            <w:tcW w:w="636" w:type="pct"/>
            <w:tcBorders>
              <w:top w:val="nil"/>
              <w:left w:val="nil"/>
              <w:bottom w:val="single" w:sz="4" w:space="0" w:color="auto"/>
              <w:right w:val="nil"/>
            </w:tcBorders>
          </w:tcPr>
          <w:p w14:paraId="5B5DC08F" w14:textId="4428A9EF"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Factors</w:t>
            </w:r>
          </w:p>
        </w:tc>
        <w:tc>
          <w:tcPr>
            <w:tcW w:w="636" w:type="pct"/>
            <w:tcBorders>
              <w:top w:val="nil"/>
              <w:left w:val="nil"/>
              <w:bottom w:val="single" w:sz="4" w:space="0" w:color="auto"/>
              <w:right w:val="nil"/>
            </w:tcBorders>
          </w:tcPr>
          <w:p w14:paraId="36B1064A" w14:textId="24C6610B"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Return</w:t>
            </w:r>
          </w:p>
        </w:tc>
        <w:tc>
          <w:tcPr>
            <w:tcW w:w="636" w:type="pct"/>
            <w:tcBorders>
              <w:top w:val="nil"/>
              <w:left w:val="nil"/>
              <w:bottom w:val="single" w:sz="4" w:space="0" w:color="auto"/>
              <w:right w:val="nil"/>
            </w:tcBorders>
          </w:tcPr>
          <w:p w14:paraId="404B24A4" w14:textId="019D26A8"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Dev</w:t>
            </w:r>
          </w:p>
        </w:tc>
        <w:tc>
          <w:tcPr>
            <w:tcW w:w="636" w:type="pct"/>
            <w:tcBorders>
              <w:top w:val="nil"/>
              <w:left w:val="nil"/>
              <w:bottom w:val="single" w:sz="4" w:space="0" w:color="auto"/>
              <w:right w:val="nil"/>
            </w:tcBorders>
          </w:tcPr>
          <w:p w14:paraId="1DC986AA" w14:textId="56151395"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Mean = 0</w:t>
            </w:r>
          </w:p>
        </w:tc>
        <w:tc>
          <w:tcPr>
            <w:tcW w:w="547" w:type="pct"/>
            <w:tcBorders>
              <w:top w:val="single" w:sz="4" w:space="0" w:color="auto"/>
              <w:left w:val="nil"/>
              <w:bottom w:val="single" w:sz="4" w:space="0" w:color="auto"/>
              <w:right w:val="nil"/>
            </w:tcBorders>
          </w:tcPr>
          <w:p w14:paraId="573FEE7D" w14:textId="77777777"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RMRF</w:t>
            </w:r>
          </w:p>
        </w:tc>
        <w:tc>
          <w:tcPr>
            <w:tcW w:w="636" w:type="pct"/>
            <w:tcBorders>
              <w:top w:val="single" w:sz="4" w:space="0" w:color="auto"/>
              <w:left w:val="nil"/>
              <w:bottom w:val="single" w:sz="4" w:space="0" w:color="auto"/>
              <w:right w:val="nil"/>
            </w:tcBorders>
          </w:tcPr>
          <w:p w14:paraId="4AAD1D3B" w14:textId="77777777"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SMB</w:t>
            </w:r>
          </w:p>
        </w:tc>
        <w:tc>
          <w:tcPr>
            <w:tcW w:w="636" w:type="pct"/>
            <w:tcBorders>
              <w:top w:val="single" w:sz="4" w:space="0" w:color="auto"/>
              <w:left w:val="nil"/>
              <w:bottom w:val="single" w:sz="4" w:space="0" w:color="auto"/>
              <w:right w:val="nil"/>
            </w:tcBorders>
          </w:tcPr>
          <w:p w14:paraId="6E4748E2" w14:textId="77777777"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HML</w:t>
            </w:r>
          </w:p>
        </w:tc>
        <w:tc>
          <w:tcPr>
            <w:tcW w:w="636" w:type="pct"/>
            <w:tcBorders>
              <w:top w:val="single" w:sz="4" w:space="0" w:color="auto"/>
              <w:left w:val="nil"/>
              <w:bottom w:val="single" w:sz="4" w:space="0" w:color="auto"/>
              <w:right w:val="nil"/>
            </w:tcBorders>
          </w:tcPr>
          <w:p w14:paraId="3FC3E7E2" w14:textId="77777777" w:rsidR="0094575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MOM</w:t>
            </w:r>
          </w:p>
        </w:tc>
      </w:tr>
      <w:tr w:rsidR="00395699" w14:paraId="12192B33" w14:textId="77777777" w:rsidTr="00313FF9">
        <w:tc>
          <w:tcPr>
            <w:tcW w:w="636" w:type="pct"/>
            <w:tcBorders>
              <w:top w:val="single" w:sz="4" w:space="0" w:color="auto"/>
              <w:left w:val="nil"/>
              <w:bottom w:val="nil"/>
              <w:right w:val="nil"/>
            </w:tcBorders>
          </w:tcPr>
          <w:p w14:paraId="23FD35BF" w14:textId="7777777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RMRF</w:t>
            </w:r>
          </w:p>
        </w:tc>
        <w:tc>
          <w:tcPr>
            <w:tcW w:w="636" w:type="pct"/>
            <w:tcBorders>
              <w:top w:val="single" w:sz="4" w:space="0" w:color="auto"/>
              <w:left w:val="nil"/>
              <w:bottom w:val="nil"/>
              <w:right w:val="nil"/>
            </w:tcBorders>
          </w:tcPr>
          <w:p w14:paraId="440395F6" w14:textId="2DD699E4"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0.91</w:t>
            </w:r>
          </w:p>
        </w:tc>
        <w:tc>
          <w:tcPr>
            <w:tcW w:w="636" w:type="pct"/>
            <w:tcBorders>
              <w:top w:val="single" w:sz="4" w:space="0" w:color="auto"/>
              <w:left w:val="nil"/>
              <w:bottom w:val="nil"/>
              <w:right w:val="nil"/>
            </w:tcBorders>
          </w:tcPr>
          <w:p w14:paraId="589CD356" w14:textId="444F37D6"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5.59</w:t>
            </w:r>
          </w:p>
        </w:tc>
        <w:tc>
          <w:tcPr>
            <w:tcW w:w="636" w:type="pct"/>
            <w:tcBorders>
              <w:top w:val="single" w:sz="4" w:space="0" w:color="auto"/>
              <w:left w:val="nil"/>
              <w:bottom w:val="nil"/>
              <w:right w:val="nil"/>
            </w:tcBorders>
          </w:tcPr>
          <w:p w14:paraId="13646356" w14:textId="2972822D"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2.26</w:t>
            </w:r>
          </w:p>
        </w:tc>
        <w:tc>
          <w:tcPr>
            <w:tcW w:w="547" w:type="pct"/>
            <w:tcBorders>
              <w:top w:val="single" w:sz="4" w:space="0" w:color="auto"/>
              <w:left w:val="nil"/>
              <w:bottom w:val="nil"/>
              <w:right w:val="nil"/>
            </w:tcBorders>
          </w:tcPr>
          <w:p w14:paraId="0D438C99" w14:textId="7C01C95F"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1.0000</w:t>
            </w:r>
          </w:p>
        </w:tc>
        <w:tc>
          <w:tcPr>
            <w:tcW w:w="636" w:type="pct"/>
            <w:tcBorders>
              <w:top w:val="single" w:sz="4" w:space="0" w:color="auto"/>
              <w:left w:val="nil"/>
              <w:bottom w:val="nil"/>
              <w:right w:val="nil"/>
            </w:tcBorders>
          </w:tcPr>
          <w:p w14:paraId="73757F74" w14:textId="77777777" w:rsidR="006042D0" w:rsidRPr="00FD0426" w:rsidRDefault="006042D0" w:rsidP="006042D0">
            <w:pPr>
              <w:spacing w:line="360" w:lineRule="auto"/>
              <w:jc w:val="both"/>
              <w:rPr>
                <w:rFonts w:ascii="Times New Roman" w:hAnsi="Times New Roman" w:cs="Times New Roman"/>
                <w:sz w:val="22"/>
                <w:szCs w:val="22"/>
              </w:rPr>
            </w:pPr>
          </w:p>
        </w:tc>
        <w:tc>
          <w:tcPr>
            <w:tcW w:w="636" w:type="pct"/>
            <w:tcBorders>
              <w:top w:val="single" w:sz="4" w:space="0" w:color="auto"/>
              <w:left w:val="nil"/>
              <w:bottom w:val="nil"/>
              <w:right w:val="nil"/>
            </w:tcBorders>
          </w:tcPr>
          <w:p w14:paraId="7DA775FB" w14:textId="77777777" w:rsidR="006042D0" w:rsidRPr="00FD0426" w:rsidRDefault="006042D0" w:rsidP="006042D0">
            <w:pPr>
              <w:spacing w:line="360" w:lineRule="auto"/>
              <w:jc w:val="both"/>
              <w:rPr>
                <w:rFonts w:ascii="Times New Roman" w:hAnsi="Times New Roman" w:cs="Times New Roman"/>
                <w:sz w:val="22"/>
                <w:szCs w:val="22"/>
              </w:rPr>
            </w:pPr>
          </w:p>
        </w:tc>
        <w:tc>
          <w:tcPr>
            <w:tcW w:w="636" w:type="pct"/>
            <w:tcBorders>
              <w:top w:val="single" w:sz="4" w:space="0" w:color="auto"/>
              <w:left w:val="nil"/>
              <w:bottom w:val="nil"/>
              <w:right w:val="nil"/>
            </w:tcBorders>
          </w:tcPr>
          <w:p w14:paraId="1C660D4E" w14:textId="77777777" w:rsidR="006042D0" w:rsidRPr="00FD0426" w:rsidRDefault="006042D0" w:rsidP="006042D0">
            <w:pPr>
              <w:spacing w:line="360" w:lineRule="auto"/>
              <w:jc w:val="both"/>
              <w:rPr>
                <w:rFonts w:ascii="Times New Roman" w:hAnsi="Times New Roman" w:cs="Times New Roman"/>
                <w:sz w:val="22"/>
                <w:szCs w:val="22"/>
              </w:rPr>
            </w:pPr>
          </w:p>
        </w:tc>
      </w:tr>
      <w:tr w:rsidR="00395699" w14:paraId="01DEE1ED" w14:textId="77777777" w:rsidTr="00313FF9">
        <w:tc>
          <w:tcPr>
            <w:tcW w:w="636" w:type="pct"/>
            <w:tcBorders>
              <w:top w:val="nil"/>
              <w:left w:val="nil"/>
              <w:bottom w:val="nil"/>
              <w:right w:val="nil"/>
            </w:tcBorders>
          </w:tcPr>
          <w:p w14:paraId="6A9B1067" w14:textId="7777777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SMB</w:t>
            </w:r>
          </w:p>
        </w:tc>
        <w:tc>
          <w:tcPr>
            <w:tcW w:w="636" w:type="pct"/>
            <w:tcBorders>
              <w:top w:val="nil"/>
              <w:left w:val="nil"/>
              <w:bottom w:val="nil"/>
              <w:right w:val="nil"/>
            </w:tcBorders>
          </w:tcPr>
          <w:p w14:paraId="59D12731" w14:textId="59C3527E"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-0.17</w:t>
            </w:r>
          </w:p>
        </w:tc>
        <w:tc>
          <w:tcPr>
            <w:tcW w:w="636" w:type="pct"/>
            <w:tcBorders>
              <w:top w:val="nil"/>
              <w:left w:val="nil"/>
              <w:bottom w:val="nil"/>
              <w:right w:val="nil"/>
            </w:tcBorders>
          </w:tcPr>
          <w:p w14:paraId="47D97298" w14:textId="2396CC3C"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2.67</w:t>
            </w:r>
          </w:p>
        </w:tc>
        <w:tc>
          <w:tcPr>
            <w:tcW w:w="636" w:type="pct"/>
            <w:tcBorders>
              <w:top w:val="nil"/>
              <w:left w:val="nil"/>
              <w:bottom w:val="nil"/>
              <w:right w:val="nil"/>
            </w:tcBorders>
          </w:tcPr>
          <w:p w14:paraId="7C0E0B5B" w14:textId="01D20151"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-0.88</w:t>
            </w:r>
          </w:p>
        </w:tc>
        <w:tc>
          <w:tcPr>
            <w:tcW w:w="547" w:type="pct"/>
            <w:tcBorders>
              <w:top w:val="nil"/>
              <w:left w:val="nil"/>
              <w:bottom w:val="nil"/>
              <w:right w:val="nil"/>
            </w:tcBorders>
          </w:tcPr>
          <w:p w14:paraId="41D68F9B" w14:textId="6B9740E3"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0.2026</w:t>
            </w:r>
          </w:p>
        </w:tc>
        <w:tc>
          <w:tcPr>
            <w:tcW w:w="636" w:type="pct"/>
            <w:tcBorders>
              <w:top w:val="nil"/>
              <w:left w:val="nil"/>
              <w:bottom w:val="nil"/>
              <w:right w:val="nil"/>
            </w:tcBorders>
          </w:tcPr>
          <w:p w14:paraId="5F4FF65D" w14:textId="24A13C94"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w:t>
            </w:r>
          </w:p>
        </w:tc>
        <w:tc>
          <w:tcPr>
            <w:tcW w:w="636" w:type="pct"/>
            <w:tcBorders>
              <w:top w:val="nil"/>
              <w:left w:val="nil"/>
              <w:bottom w:val="nil"/>
              <w:right w:val="nil"/>
            </w:tcBorders>
          </w:tcPr>
          <w:p w14:paraId="19AB2B73" w14:textId="77777777" w:rsidR="006042D0" w:rsidRPr="00FD0426" w:rsidRDefault="006042D0" w:rsidP="006042D0">
            <w:pPr>
              <w:spacing w:line="360" w:lineRule="auto"/>
              <w:jc w:val="both"/>
              <w:rPr>
                <w:rFonts w:ascii="Times New Roman" w:hAnsi="Times New Roman" w:cs="Times New Roman"/>
                <w:sz w:val="22"/>
                <w:szCs w:val="22"/>
              </w:rPr>
            </w:pPr>
          </w:p>
        </w:tc>
        <w:tc>
          <w:tcPr>
            <w:tcW w:w="636" w:type="pct"/>
            <w:tcBorders>
              <w:top w:val="nil"/>
              <w:left w:val="nil"/>
              <w:bottom w:val="nil"/>
              <w:right w:val="nil"/>
            </w:tcBorders>
          </w:tcPr>
          <w:p w14:paraId="56AE9033" w14:textId="77777777" w:rsidR="006042D0" w:rsidRPr="00FD0426" w:rsidRDefault="006042D0" w:rsidP="006042D0">
            <w:pPr>
              <w:spacing w:line="360" w:lineRule="auto"/>
              <w:jc w:val="both"/>
              <w:rPr>
                <w:rFonts w:ascii="Times New Roman" w:hAnsi="Times New Roman" w:cs="Times New Roman"/>
                <w:sz w:val="22"/>
                <w:szCs w:val="22"/>
              </w:rPr>
            </w:pPr>
          </w:p>
        </w:tc>
      </w:tr>
      <w:tr w:rsidR="00395699" w14:paraId="1DF4D027" w14:textId="77777777" w:rsidTr="00313FF9">
        <w:tc>
          <w:tcPr>
            <w:tcW w:w="636" w:type="pct"/>
            <w:tcBorders>
              <w:top w:val="nil"/>
              <w:left w:val="nil"/>
              <w:bottom w:val="nil"/>
              <w:right w:val="nil"/>
            </w:tcBorders>
          </w:tcPr>
          <w:p w14:paraId="5E8DFC11" w14:textId="7777777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HML</w:t>
            </w:r>
          </w:p>
        </w:tc>
        <w:tc>
          <w:tcPr>
            <w:tcW w:w="636" w:type="pct"/>
            <w:tcBorders>
              <w:top w:val="nil"/>
              <w:left w:val="nil"/>
              <w:bottom w:val="nil"/>
              <w:right w:val="nil"/>
            </w:tcBorders>
          </w:tcPr>
          <w:p w14:paraId="080BF026" w14:textId="64F431E0"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0.44</w:t>
            </w:r>
          </w:p>
        </w:tc>
        <w:tc>
          <w:tcPr>
            <w:tcW w:w="636" w:type="pct"/>
            <w:tcBorders>
              <w:top w:val="nil"/>
              <w:left w:val="nil"/>
              <w:bottom w:val="nil"/>
              <w:right w:val="nil"/>
            </w:tcBorders>
          </w:tcPr>
          <w:p w14:paraId="4D088F5C" w14:textId="55826AD5"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2.43</w:t>
            </w:r>
          </w:p>
        </w:tc>
        <w:tc>
          <w:tcPr>
            <w:tcW w:w="636" w:type="pct"/>
            <w:tcBorders>
              <w:top w:val="nil"/>
              <w:left w:val="nil"/>
              <w:bottom w:val="nil"/>
              <w:right w:val="nil"/>
            </w:tcBorders>
          </w:tcPr>
          <w:p w14:paraId="5C70A70B" w14:textId="09197AE0"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2.51</w:t>
            </w:r>
          </w:p>
        </w:tc>
        <w:tc>
          <w:tcPr>
            <w:tcW w:w="547" w:type="pct"/>
            <w:tcBorders>
              <w:top w:val="nil"/>
              <w:left w:val="nil"/>
              <w:bottom w:val="nil"/>
              <w:right w:val="nil"/>
            </w:tcBorders>
          </w:tcPr>
          <w:p w14:paraId="68C53D0A" w14:textId="589DB3D5"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-0.1100</w:t>
            </w:r>
          </w:p>
        </w:tc>
        <w:tc>
          <w:tcPr>
            <w:tcW w:w="636" w:type="pct"/>
            <w:tcBorders>
              <w:top w:val="nil"/>
              <w:left w:val="nil"/>
              <w:bottom w:val="nil"/>
              <w:right w:val="nil"/>
            </w:tcBorders>
          </w:tcPr>
          <w:p w14:paraId="71C3A5FC" w14:textId="3508E9D1"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-0.0489</w:t>
            </w:r>
          </w:p>
        </w:tc>
        <w:tc>
          <w:tcPr>
            <w:tcW w:w="636" w:type="pct"/>
            <w:tcBorders>
              <w:top w:val="nil"/>
              <w:left w:val="nil"/>
              <w:bottom w:val="nil"/>
              <w:right w:val="nil"/>
            </w:tcBorders>
          </w:tcPr>
          <w:p w14:paraId="79C3B053" w14:textId="31FEBEEF"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w:t>
            </w:r>
          </w:p>
        </w:tc>
        <w:tc>
          <w:tcPr>
            <w:tcW w:w="636" w:type="pct"/>
            <w:tcBorders>
              <w:top w:val="nil"/>
              <w:left w:val="nil"/>
              <w:bottom w:val="nil"/>
              <w:right w:val="nil"/>
            </w:tcBorders>
          </w:tcPr>
          <w:p w14:paraId="6350630D" w14:textId="77777777" w:rsidR="006042D0" w:rsidRPr="00FD0426" w:rsidRDefault="006042D0" w:rsidP="006042D0">
            <w:pPr>
              <w:spacing w:line="360" w:lineRule="auto"/>
              <w:jc w:val="both"/>
              <w:rPr>
                <w:rFonts w:ascii="Times New Roman" w:hAnsi="Times New Roman" w:cs="Times New Roman"/>
                <w:sz w:val="22"/>
                <w:szCs w:val="22"/>
              </w:rPr>
            </w:pPr>
          </w:p>
        </w:tc>
      </w:tr>
      <w:tr w:rsidR="00395699" w14:paraId="4E2D81EF" w14:textId="77777777" w:rsidTr="00313FF9">
        <w:tc>
          <w:tcPr>
            <w:tcW w:w="636" w:type="pct"/>
            <w:tcBorders>
              <w:top w:val="nil"/>
              <w:left w:val="nil"/>
              <w:right w:val="nil"/>
            </w:tcBorders>
          </w:tcPr>
          <w:p w14:paraId="53E22742" w14:textId="7777777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MOM</w:t>
            </w:r>
          </w:p>
        </w:tc>
        <w:tc>
          <w:tcPr>
            <w:tcW w:w="636" w:type="pct"/>
            <w:tcBorders>
              <w:top w:val="nil"/>
              <w:left w:val="nil"/>
              <w:right w:val="nil"/>
            </w:tcBorders>
          </w:tcPr>
          <w:p w14:paraId="2608E692" w14:textId="24CCA79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0.80</w:t>
            </w:r>
          </w:p>
        </w:tc>
        <w:tc>
          <w:tcPr>
            <w:tcW w:w="636" w:type="pct"/>
            <w:tcBorders>
              <w:top w:val="nil"/>
              <w:left w:val="nil"/>
              <w:right w:val="nil"/>
            </w:tcBorders>
          </w:tcPr>
          <w:p w14:paraId="3E822F7A" w14:textId="254A563A"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3.44</w:t>
            </w:r>
          </w:p>
        </w:tc>
        <w:tc>
          <w:tcPr>
            <w:tcW w:w="636" w:type="pct"/>
            <w:tcBorders>
              <w:top w:val="nil"/>
              <w:left w:val="nil"/>
              <w:right w:val="nil"/>
            </w:tcBorders>
          </w:tcPr>
          <w:p w14:paraId="23643D41" w14:textId="03A6C6D2"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3.22</w:t>
            </w:r>
          </w:p>
        </w:tc>
        <w:tc>
          <w:tcPr>
            <w:tcW w:w="547" w:type="pct"/>
            <w:tcBorders>
              <w:top w:val="nil"/>
              <w:left w:val="nil"/>
              <w:right w:val="nil"/>
            </w:tcBorders>
          </w:tcPr>
          <w:p w14:paraId="578EA999" w14:textId="14EF9FA8"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-0.0529</w:t>
            </w:r>
          </w:p>
        </w:tc>
        <w:tc>
          <w:tcPr>
            <w:tcW w:w="636" w:type="pct"/>
            <w:tcBorders>
              <w:top w:val="nil"/>
              <w:left w:val="nil"/>
              <w:right w:val="nil"/>
            </w:tcBorders>
          </w:tcPr>
          <w:p w14:paraId="170D3B42" w14:textId="47CCB8C9"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-0.0467</w:t>
            </w:r>
          </w:p>
        </w:tc>
        <w:tc>
          <w:tcPr>
            <w:tcW w:w="636" w:type="pct"/>
            <w:tcBorders>
              <w:top w:val="nil"/>
              <w:left w:val="nil"/>
              <w:right w:val="nil"/>
            </w:tcBorders>
          </w:tcPr>
          <w:p w14:paraId="71A7234C" w14:textId="13D9DF2C"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-0.0166</w:t>
            </w:r>
          </w:p>
        </w:tc>
        <w:tc>
          <w:tcPr>
            <w:tcW w:w="636" w:type="pct"/>
            <w:tcBorders>
              <w:top w:val="nil"/>
              <w:left w:val="nil"/>
              <w:right w:val="nil"/>
            </w:tcBorders>
          </w:tcPr>
          <w:p w14:paraId="34021006" w14:textId="285360E5"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w:t>
            </w:r>
          </w:p>
        </w:tc>
      </w:tr>
    </w:tbl>
    <w:p w14:paraId="54129E5E" w14:textId="67B456DE" w:rsidR="003B778B" w:rsidRPr="00FD0426" w:rsidRDefault="00F35E89" w:rsidP="00A9082A">
      <w:pPr>
        <w:rPr>
          <w:rFonts w:ascii="Times New Roman" w:hAnsi="Times New Roman" w:cs="Times New Roman"/>
          <w:color w:val="000000" w:themeColor="text1"/>
          <w:sz w:val="22"/>
          <w:szCs w:val="22"/>
        </w:rPr>
      </w:pPr>
      <w:r w:rsidRPr="00FD0426">
        <w:rPr>
          <w:rFonts w:ascii="Times New Roman" w:hAnsi="Times New Roman" w:cs="Times New Roman"/>
          <w:color w:val="000000" w:themeColor="text1"/>
          <w:sz w:val="22"/>
          <w:szCs w:val="22"/>
        </w:rPr>
        <w:t>Panel E: Japan</w:t>
      </w:r>
    </w:p>
    <w:tbl>
      <w:tblPr>
        <w:tblStyle w:val="TableGrid"/>
        <w:tblW w:w="5000" w:type="pct"/>
        <w:tblLook w:val="04A0" w:firstRow="1" w:lastRow="0" w:firstColumn="1" w:lastColumn="0" w:noHBand="0" w:noVBand="1"/>
      </w:tblPr>
      <w:tblGrid>
        <w:gridCol w:w="1148"/>
        <w:gridCol w:w="1148"/>
        <w:gridCol w:w="1147"/>
        <w:gridCol w:w="1147"/>
        <w:gridCol w:w="987"/>
        <w:gridCol w:w="1147"/>
        <w:gridCol w:w="1147"/>
        <w:gridCol w:w="1149"/>
      </w:tblGrid>
      <w:tr w:rsidR="00395699" w14:paraId="6564E070" w14:textId="77777777" w:rsidTr="00A9082A">
        <w:tc>
          <w:tcPr>
            <w:tcW w:w="636" w:type="pct"/>
            <w:tcBorders>
              <w:top w:val="single" w:sz="4" w:space="0" w:color="auto"/>
              <w:left w:val="nil"/>
              <w:bottom w:val="nil"/>
              <w:right w:val="nil"/>
            </w:tcBorders>
          </w:tcPr>
          <w:p w14:paraId="1A78B7EF" w14:textId="64C76A69" w:rsidR="006042D0" w:rsidRPr="00FD0426" w:rsidRDefault="006042D0" w:rsidP="009262A5">
            <w:pPr>
              <w:spacing w:line="360" w:lineRule="auto"/>
              <w:jc w:val="both"/>
              <w:rPr>
                <w:rFonts w:ascii="Times New Roman" w:hAnsi="Times New Roman" w:cs="Times New Roman"/>
                <w:sz w:val="22"/>
                <w:szCs w:val="22"/>
              </w:rPr>
            </w:pPr>
          </w:p>
        </w:tc>
        <w:tc>
          <w:tcPr>
            <w:tcW w:w="636" w:type="pct"/>
            <w:tcBorders>
              <w:top w:val="single" w:sz="4" w:space="0" w:color="auto"/>
              <w:left w:val="nil"/>
              <w:bottom w:val="nil"/>
              <w:right w:val="nil"/>
            </w:tcBorders>
          </w:tcPr>
          <w:p w14:paraId="243503F3" w14:textId="78985C0A"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Mean</w:t>
            </w:r>
          </w:p>
        </w:tc>
        <w:tc>
          <w:tcPr>
            <w:tcW w:w="636" w:type="pct"/>
            <w:tcBorders>
              <w:top w:val="single" w:sz="4" w:space="0" w:color="auto"/>
              <w:left w:val="nil"/>
              <w:bottom w:val="nil"/>
              <w:right w:val="nil"/>
            </w:tcBorders>
          </w:tcPr>
          <w:p w14:paraId="20E536A1" w14:textId="2710B2B8"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Std</w:t>
            </w:r>
          </w:p>
        </w:tc>
        <w:tc>
          <w:tcPr>
            <w:tcW w:w="636" w:type="pct"/>
            <w:tcBorders>
              <w:top w:val="single" w:sz="4" w:space="0" w:color="auto"/>
              <w:left w:val="nil"/>
              <w:bottom w:val="nil"/>
              <w:right w:val="nil"/>
            </w:tcBorders>
          </w:tcPr>
          <w:p w14:paraId="146D7E8E" w14:textId="20A31C7B"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t-stat for</w:t>
            </w:r>
          </w:p>
        </w:tc>
        <w:tc>
          <w:tcPr>
            <w:tcW w:w="2456" w:type="pct"/>
            <w:gridSpan w:val="4"/>
            <w:tcBorders>
              <w:top w:val="single" w:sz="4" w:space="0" w:color="auto"/>
              <w:left w:val="nil"/>
              <w:bottom w:val="single" w:sz="4" w:space="0" w:color="auto"/>
              <w:right w:val="nil"/>
            </w:tcBorders>
          </w:tcPr>
          <w:p w14:paraId="479CCCAD" w14:textId="77777777" w:rsidR="006042D0" w:rsidRPr="00FD0426" w:rsidRDefault="00F35E89" w:rsidP="009262A5">
            <w:pPr>
              <w:spacing w:line="360" w:lineRule="auto"/>
              <w:jc w:val="center"/>
              <w:rPr>
                <w:rFonts w:ascii="Times New Roman" w:hAnsi="Times New Roman" w:cs="Times New Roman"/>
                <w:sz w:val="22"/>
                <w:szCs w:val="22"/>
              </w:rPr>
            </w:pPr>
            <w:r w:rsidRPr="00FD0426">
              <w:rPr>
                <w:rFonts w:ascii="Times New Roman" w:hAnsi="Times New Roman" w:cs="Times New Roman"/>
                <w:sz w:val="22"/>
                <w:szCs w:val="22"/>
              </w:rPr>
              <w:t>Cross-Correlations</w:t>
            </w:r>
          </w:p>
        </w:tc>
      </w:tr>
      <w:tr w:rsidR="00395699" w14:paraId="54C78E5A" w14:textId="77777777" w:rsidTr="00273919">
        <w:tc>
          <w:tcPr>
            <w:tcW w:w="636" w:type="pct"/>
            <w:tcBorders>
              <w:top w:val="nil"/>
              <w:left w:val="nil"/>
              <w:bottom w:val="single" w:sz="4" w:space="0" w:color="auto"/>
              <w:right w:val="nil"/>
            </w:tcBorders>
          </w:tcPr>
          <w:p w14:paraId="6A030F7D" w14:textId="05C4438D"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Factors</w:t>
            </w:r>
          </w:p>
        </w:tc>
        <w:tc>
          <w:tcPr>
            <w:tcW w:w="636" w:type="pct"/>
            <w:tcBorders>
              <w:top w:val="nil"/>
              <w:left w:val="nil"/>
              <w:bottom w:val="single" w:sz="4" w:space="0" w:color="auto"/>
              <w:right w:val="nil"/>
            </w:tcBorders>
          </w:tcPr>
          <w:p w14:paraId="12761058" w14:textId="57E805F3"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Return</w:t>
            </w:r>
          </w:p>
        </w:tc>
        <w:tc>
          <w:tcPr>
            <w:tcW w:w="636" w:type="pct"/>
            <w:tcBorders>
              <w:top w:val="nil"/>
              <w:left w:val="nil"/>
              <w:bottom w:val="single" w:sz="4" w:space="0" w:color="auto"/>
              <w:right w:val="nil"/>
            </w:tcBorders>
          </w:tcPr>
          <w:p w14:paraId="565DC2F4" w14:textId="1C11DB51"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Dev</w:t>
            </w:r>
          </w:p>
        </w:tc>
        <w:tc>
          <w:tcPr>
            <w:tcW w:w="636" w:type="pct"/>
            <w:tcBorders>
              <w:top w:val="nil"/>
              <w:left w:val="nil"/>
              <w:bottom w:val="single" w:sz="4" w:space="0" w:color="auto"/>
              <w:right w:val="nil"/>
            </w:tcBorders>
          </w:tcPr>
          <w:p w14:paraId="660CF350" w14:textId="68A4F9D9"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Mean = 0</w:t>
            </w:r>
          </w:p>
        </w:tc>
        <w:tc>
          <w:tcPr>
            <w:tcW w:w="547" w:type="pct"/>
            <w:tcBorders>
              <w:top w:val="single" w:sz="4" w:space="0" w:color="auto"/>
              <w:left w:val="nil"/>
              <w:bottom w:val="single" w:sz="4" w:space="0" w:color="auto"/>
              <w:right w:val="nil"/>
            </w:tcBorders>
          </w:tcPr>
          <w:p w14:paraId="19DF3AC0" w14:textId="77777777"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RMRF</w:t>
            </w:r>
          </w:p>
        </w:tc>
        <w:tc>
          <w:tcPr>
            <w:tcW w:w="636" w:type="pct"/>
            <w:tcBorders>
              <w:top w:val="single" w:sz="4" w:space="0" w:color="auto"/>
              <w:left w:val="nil"/>
              <w:bottom w:val="single" w:sz="4" w:space="0" w:color="auto"/>
              <w:right w:val="nil"/>
            </w:tcBorders>
          </w:tcPr>
          <w:p w14:paraId="23DDA6CD" w14:textId="77777777"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SMB</w:t>
            </w:r>
          </w:p>
        </w:tc>
        <w:tc>
          <w:tcPr>
            <w:tcW w:w="636" w:type="pct"/>
            <w:tcBorders>
              <w:top w:val="single" w:sz="4" w:space="0" w:color="auto"/>
              <w:left w:val="nil"/>
              <w:bottom w:val="single" w:sz="4" w:space="0" w:color="auto"/>
              <w:right w:val="nil"/>
            </w:tcBorders>
          </w:tcPr>
          <w:p w14:paraId="0954D227" w14:textId="77777777"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HML</w:t>
            </w:r>
          </w:p>
        </w:tc>
        <w:tc>
          <w:tcPr>
            <w:tcW w:w="637" w:type="pct"/>
            <w:tcBorders>
              <w:top w:val="single" w:sz="4" w:space="0" w:color="auto"/>
              <w:left w:val="nil"/>
              <w:bottom w:val="single" w:sz="4" w:space="0" w:color="auto"/>
              <w:right w:val="nil"/>
            </w:tcBorders>
          </w:tcPr>
          <w:p w14:paraId="160EE72E" w14:textId="77777777" w:rsidR="006042D0" w:rsidRPr="00FD0426" w:rsidRDefault="00F35E89" w:rsidP="009262A5">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MOM</w:t>
            </w:r>
          </w:p>
        </w:tc>
      </w:tr>
      <w:tr w:rsidR="00395699" w14:paraId="22B83628" w14:textId="77777777" w:rsidTr="00273919">
        <w:tc>
          <w:tcPr>
            <w:tcW w:w="636" w:type="pct"/>
            <w:tcBorders>
              <w:top w:val="single" w:sz="4" w:space="0" w:color="auto"/>
              <w:left w:val="nil"/>
              <w:bottom w:val="nil"/>
              <w:right w:val="nil"/>
            </w:tcBorders>
          </w:tcPr>
          <w:p w14:paraId="06ACE6D8" w14:textId="7777777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RMRF</w:t>
            </w:r>
          </w:p>
        </w:tc>
        <w:tc>
          <w:tcPr>
            <w:tcW w:w="636" w:type="pct"/>
            <w:tcBorders>
              <w:top w:val="single" w:sz="4" w:space="0" w:color="auto"/>
              <w:left w:val="nil"/>
              <w:bottom w:val="nil"/>
              <w:right w:val="nil"/>
            </w:tcBorders>
          </w:tcPr>
          <w:p w14:paraId="32209F45" w14:textId="0F4F45C2"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0.39</w:t>
            </w:r>
          </w:p>
        </w:tc>
        <w:tc>
          <w:tcPr>
            <w:tcW w:w="636" w:type="pct"/>
            <w:tcBorders>
              <w:top w:val="single" w:sz="4" w:space="0" w:color="auto"/>
              <w:left w:val="nil"/>
              <w:bottom w:val="nil"/>
              <w:right w:val="nil"/>
            </w:tcBorders>
          </w:tcPr>
          <w:p w14:paraId="288AF9C0" w14:textId="22E8E25C"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4.20</w:t>
            </w:r>
          </w:p>
        </w:tc>
        <w:tc>
          <w:tcPr>
            <w:tcW w:w="636" w:type="pct"/>
            <w:tcBorders>
              <w:top w:val="single" w:sz="4" w:space="0" w:color="auto"/>
              <w:left w:val="nil"/>
              <w:bottom w:val="nil"/>
              <w:right w:val="nil"/>
            </w:tcBorders>
          </w:tcPr>
          <w:p w14:paraId="769C12DD" w14:textId="79DB043E"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1.70</w:t>
            </w:r>
          </w:p>
        </w:tc>
        <w:tc>
          <w:tcPr>
            <w:tcW w:w="547" w:type="pct"/>
            <w:tcBorders>
              <w:top w:val="single" w:sz="4" w:space="0" w:color="auto"/>
              <w:left w:val="nil"/>
              <w:bottom w:val="nil"/>
              <w:right w:val="nil"/>
            </w:tcBorders>
          </w:tcPr>
          <w:p w14:paraId="5C8C9980" w14:textId="5E7E7D9C"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1.0000</w:t>
            </w:r>
          </w:p>
        </w:tc>
        <w:tc>
          <w:tcPr>
            <w:tcW w:w="636" w:type="pct"/>
            <w:tcBorders>
              <w:top w:val="single" w:sz="4" w:space="0" w:color="auto"/>
              <w:left w:val="nil"/>
              <w:bottom w:val="nil"/>
              <w:right w:val="nil"/>
            </w:tcBorders>
          </w:tcPr>
          <w:p w14:paraId="18E9AF06" w14:textId="77777777" w:rsidR="006042D0" w:rsidRPr="00FD0426" w:rsidRDefault="006042D0" w:rsidP="006042D0">
            <w:pPr>
              <w:spacing w:line="360" w:lineRule="auto"/>
              <w:jc w:val="both"/>
              <w:rPr>
                <w:rFonts w:ascii="Times New Roman" w:hAnsi="Times New Roman" w:cs="Times New Roman"/>
                <w:sz w:val="22"/>
                <w:szCs w:val="22"/>
              </w:rPr>
            </w:pPr>
          </w:p>
        </w:tc>
        <w:tc>
          <w:tcPr>
            <w:tcW w:w="636" w:type="pct"/>
            <w:tcBorders>
              <w:top w:val="single" w:sz="4" w:space="0" w:color="auto"/>
              <w:left w:val="nil"/>
              <w:bottom w:val="nil"/>
              <w:right w:val="nil"/>
            </w:tcBorders>
          </w:tcPr>
          <w:p w14:paraId="57EC45C1" w14:textId="77777777" w:rsidR="006042D0" w:rsidRPr="00FD0426" w:rsidRDefault="006042D0" w:rsidP="006042D0">
            <w:pPr>
              <w:spacing w:line="360" w:lineRule="auto"/>
              <w:jc w:val="both"/>
              <w:rPr>
                <w:rFonts w:ascii="Times New Roman" w:hAnsi="Times New Roman" w:cs="Times New Roman"/>
                <w:sz w:val="22"/>
                <w:szCs w:val="22"/>
              </w:rPr>
            </w:pPr>
          </w:p>
        </w:tc>
        <w:tc>
          <w:tcPr>
            <w:tcW w:w="637" w:type="pct"/>
            <w:tcBorders>
              <w:top w:val="single" w:sz="4" w:space="0" w:color="auto"/>
              <w:left w:val="nil"/>
              <w:bottom w:val="nil"/>
              <w:right w:val="nil"/>
            </w:tcBorders>
          </w:tcPr>
          <w:p w14:paraId="1E3CEF62" w14:textId="77777777" w:rsidR="006042D0" w:rsidRPr="00FD0426" w:rsidRDefault="006042D0" w:rsidP="006042D0">
            <w:pPr>
              <w:spacing w:line="360" w:lineRule="auto"/>
              <w:jc w:val="both"/>
              <w:rPr>
                <w:rFonts w:ascii="Times New Roman" w:hAnsi="Times New Roman" w:cs="Times New Roman"/>
                <w:sz w:val="22"/>
                <w:szCs w:val="22"/>
              </w:rPr>
            </w:pPr>
          </w:p>
        </w:tc>
      </w:tr>
      <w:tr w:rsidR="00395699" w14:paraId="7BE468EA" w14:textId="77777777" w:rsidTr="00273919">
        <w:tc>
          <w:tcPr>
            <w:tcW w:w="636" w:type="pct"/>
            <w:tcBorders>
              <w:top w:val="nil"/>
              <w:left w:val="nil"/>
              <w:bottom w:val="nil"/>
              <w:right w:val="nil"/>
            </w:tcBorders>
          </w:tcPr>
          <w:p w14:paraId="10024ED0" w14:textId="7777777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SMB</w:t>
            </w:r>
          </w:p>
        </w:tc>
        <w:tc>
          <w:tcPr>
            <w:tcW w:w="636" w:type="pct"/>
            <w:tcBorders>
              <w:top w:val="nil"/>
              <w:left w:val="nil"/>
              <w:bottom w:val="nil"/>
              <w:right w:val="nil"/>
            </w:tcBorders>
          </w:tcPr>
          <w:p w14:paraId="43963078" w14:textId="51D4D8F2"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0.28</w:t>
            </w:r>
          </w:p>
        </w:tc>
        <w:tc>
          <w:tcPr>
            <w:tcW w:w="636" w:type="pct"/>
            <w:tcBorders>
              <w:top w:val="nil"/>
              <w:left w:val="nil"/>
              <w:bottom w:val="nil"/>
              <w:right w:val="nil"/>
            </w:tcBorders>
          </w:tcPr>
          <w:p w14:paraId="73CE3A31" w14:textId="669AB810"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2.52</w:t>
            </w:r>
          </w:p>
        </w:tc>
        <w:tc>
          <w:tcPr>
            <w:tcW w:w="636" w:type="pct"/>
            <w:tcBorders>
              <w:top w:val="nil"/>
              <w:left w:val="nil"/>
              <w:bottom w:val="nil"/>
              <w:right w:val="nil"/>
            </w:tcBorders>
          </w:tcPr>
          <w:p w14:paraId="499B5865" w14:textId="671FEB1A"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2.05</w:t>
            </w:r>
          </w:p>
        </w:tc>
        <w:tc>
          <w:tcPr>
            <w:tcW w:w="547" w:type="pct"/>
            <w:tcBorders>
              <w:top w:val="nil"/>
              <w:left w:val="nil"/>
              <w:bottom w:val="nil"/>
              <w:right w:val="nil"/>
            </w:tcBorders>
          </w:tcPr>
          <w:p w14:paraId="679AF86D" w14:textId="3044D5D4"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0.0021</w:t>
            </w:r>
          </w:p>
        </w:tc>
        <w:tc>
          <w:tcPr>
            <w:tcW w:w="636" w:type="pct"/>
            <w:tcBorders>
              <w:top w:val="nil"/>
              <w:left w:val="nil"/>
              <w:bottom w:val="nil"/>
              <w:right w:val="nil"/>
            </w:tcBorders>
          </w:tcPr>
          <w:p w14:paraId="3F39505B" w14:textId="3C3A4532"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w:t>
            </w:r>
          </w:p>
        </w:tc>
        <w:tc>
          <w:tcPr>
            <w:tcW w:w="636" w:type="pct"/>
            <w:tcBorders>
              <w:top w:val="nil"/>
              <w:left w:val="nil"/>
              <w:bottom w:val="nil"/>
              <w:right w:val="nil"/>
            </w:tcBorders>
          </w:tcPr>
          <w:p w14:paraId="14CC75F9" w14:textId="77777777" w:rsidR="006042D0" w:rsidRPr="00FD0426" w:rsidRDefault="006042D0" w:rsidP="006042D0">
            <w:pPr>
              <w:spacing w:line="360" w:lineRule="auto"/>
              <w:jc w:val="both"/>
              <w:rPr>
                <w:rFonts w:ascii="Times New Roman" w:hAnsi="Times New Roman" w:cs="Times New Roman"/>
                <w:sz w:val="22"/>
                <w:szCs w:val="22"/>
              </w:rPr>
            </w:pPr>
          </w:p>
        </w:tc>
        <w:tc>
          <w:tcPr>
            <w:tcW w:w="637" w:type="pct"/>
            <w:tcBorders>
              <w:top w:val="nil"/>
              <w:left w:val="nil"/>
              <w:bottom w:val="nil"/>
              <w:right w:val="nil"/>
            </w:tcBorders>
          </w:tcPr>
          <w:p w14:paraId="02D68CCE" w14:textId="77777777" w:rsidR="006042D0" w:rsidRPr="00FD0426" w:rsidRDefault="006042D0" w:rsidP="006042D0">
            <w:pPr>
              <w:spacing w:line="360" w:lineRule="auto"/>
              <w:jc w:val="both"/>
              <w:rPr>
                <w:rFonts w:ascii="Times New Roman" w:hAnsi="Times New Roman" w:cs="Times New Roman"/>
                <w:sz w:val="22"/>
                <w:szCs w:val="22"/>
              </w:rPr>
            </w:pPr>
          </w:p>
        </w:tc>
      </w:tr>
      <w:tr w:rsidR="00395699" w14:paraId="5A8F6365" w14:textId="77777777" w:rsidTr="00273919">
        <w:tc>
          <w:tcPr>
            <w:tcW w:w="636" w:type="pct"/>
            <w:tcBorders>
              <w:top w:val="nil"/>
              <w:left w:val="nil"/>
              <w:bottom w:val="nil"/>
              <w:right w:val="nil"/>
            </w:tcBorders>
          </w:tcPr>
          <w:p w14:paraId="0499CE0D" w14:textId="7777777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HML</w:t>
            </w:r>
          </w:p>
        </w:tc>
        <w:tc>
          <w:tcPr>
            <w:tcW w:w="636" w:type="pct"/>
            <w:tcBorders>
              <w:top w:val="nil"/>
              <w:left w:val="nil"/>
              <w:bottom w:val="nil"/>
              <w:right w:val="nil"/>
            </w:tcBorders>
          </w:tcPr>
          <w:p w14:paraId="1B8288A4" w14:textId="1961F54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0.20</w:t>
            </w:r>
          </w:p>
        </w:tc>
        <w:tc>
          <w:tcPr>
            <w:tcW w:w="636" w:type="pct"/>
            <w:tcBorders>
              <w:top w:val="nil"/>
              <w:left w:val="nil"/>
              <w:bottom w:val="nil"/>
              <w:right w:val="nil"/>
            </w:tcBorders>
          </w:tcPr>
          <w:p w14:paraId="79C0ACBA" w14:textId="7A7FA1BC"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2.49</w:t>
            </w:r>
          </w:p>
        </w:tc>
        <w:tc>
          <w:tcPr>
            <w:tcW w:w="636" w:type="pct"/>
            <w:tcBorders>
              <w:top w:val="nil"/>
              <w:left w:val="nil"/>
              <w:bottom w:val="nil"/>
              <w:right w:val="nil"/>
            </w:tcBorders>
          </w:tcPr>
          <w:p w14:paraId="6FAF61C4" w14:textId="5E793034"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1.51</w:t>
            </w:r>
          </w:p>
        </w:tc>
        <w:tc>
          <w:tcPr>
            <w:tcW w:w="547" w:type="pct"/>
            <w:tcBorders>
              <w:top w:val="nil"/>
              <w:left w:val="nil"/>
              <w:bottom w:val="nil"/>
              <w:right w:val="nil"/>
            </w:tcBorders>
          </w:tcPr>
          <w:p w14:paraId="36468255" w14:textId="40EFD480"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-0.1493</w:t>
            </w:r>
          </w:p>
        </w:tc>
        <w:tc>
          <w:tcPr>
            <w:tcW w:w="636" w:type="pct"/>
            <w:tcBorders>
              <w:top w:val="nil"/>
              <w:left w:val="nil"/>
              <w:bottom w:val="nil"/>
              <w:right w:val="nil"/>
            </w:tcBorders>
          </w:tcPr>
          <w:p w14:paraId="4A02C088" w14:textId="6E28BE00"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-0.3732</w:t>
            </w:r>
          </w:p>
        </w:tc>
        <w:tc>
          <w:tcPr>
            <w:tcW w:w="636" w:type="pct"/>
            <w:tcBorders>
              <w:top w:val="nil"/>
              <w:left w:val="nil"/>
              <w:bottom w:val="nil"/>
              <w:right w:val="nil"/>
            </w:tcBorders>
          </w:tcPr>
          <w:p w14:paraId="66A11073" w14:textId="2E9E26D5"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w:t>
            </w:r>
          </w:p>
        </w:tc>
        <w:tc>
          <w:tcPr>
            <w:tcW w:w="637" w:type="pct"/>
            <w:tcBorders>
              <w:top w:val="nil"/>
              <w:left w:val="nil"/>
              <w:bottom w:val="nil"/>
              <w:right w:val="nil"/>
            </w:tcBorders>
          </w:tcPr>
          <w:p w14:paraId="4C00ECF5" w14:textId="77777777" w:rsidR="006042D0" w:rsidRPr="00FD0426" w:rsidRDefault="006042D0" w:rsidP="006042D0">
            <w:pPr>
              <w:spacing w:line="360" w:lineRule="auto"/>
              <w:jc w:val="both"/>
              <w:rPr>
                <w:rFonts w:ascii="Times New Roman" w:hAnsi="Times New Roman" w:cs="Times New Roman"/>
                <w:sz w:val="22"/>
                <w:szCs w:val="22"/>
              </w:rPr>
            </w:pPr>
          </w:p>
        </w:tc>
      </w:tr>
      <w:tr w:rsidR="00395699" w14:paraId="74D4C826" w14:textId="77777777" w:rsidTr="00273919">
        <w:tc>
          <w:tcPr>
            <w:tcW w:w="636" w:type="pct"/>
            <w:tcBorders>
              <w:top w:val="nil"/>
              <w:left w:val="nil"/>
              <w:bottom w:val="single" w:sz="4" w:space="0" w:color="auto"/>
              <w:right w:val="nil"/>
            </w:tcBorders>
          </w:tcPr>
          <w:p w14:paraId="49E50537" w14:textId="7777777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MOM</w:t>
            </w:r>
          </w:p>
        </w:tc>
        <w:tc>
          <w:tcPr>
            <w:tcW w:w="636" w:type="pct"/>
            <w:tcBorders>
              <w:top w:val="nil"/>
              <w:left w:val="nil"/>
              <w:bottom w:val="single" w:sz="4" w:space="0" w:color="auto"/>
              <w:right w:val="nil"/>
            </w:tcBorders>
          </w:tcPr>
          <w:p w14:paraId="7205DB8E" w14:textId="08E6F552"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0.06</w:t>
            </w:r>
          </w:p>
        </w:tc>
        <w:tc>
          <w:tcPr>
            <w:tcW w:w="636" w:type="pct"/>
            <w:tcBorders>
              <w:top w:val="nil"/>
              <w:left w:val="nil"/>
              <w:bottom w:val="single" w:sz="4" w:space="0" w:color="auto"/>
              <w:right w:val="nil"/>
            </w:tcBorders>
          </w:tcPr>
          <w:p w14:paraId="65C4C8D9" w14:textId="274738C8"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3.57</w:t>
            </w:r>
          </w:p>
        </w:tc>
        <w:tc>
          <w:tcPr>
            <w:tcW w:w="636" w:type="pct"/>
            <w:tcBorders>
              <w:top w:val="nil"/>
              <w:left w:val="nil"/>
              <w:bottom w:val="single" w:sz="4" w:space="0" w:color="auto"/>
              <w:right w:val="nil"/>
            </w:tcBorders>
          </w:tcPr>
          <w:p w14:paraId="495A2D2F" w14:textId="5EC04105"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hAnsi="Times New Roman" w:cs="Times New Roman"/>
                <w:sz w:val="22"/>
                <w:szCs w:val="22"/>
              </w:rPr>
              <w:t>0.30</w:t>
            </w:r>
          </w:p>
        </w:tc>
        <w:tc>
          <w:tcPr>
            <w:tcW w:w="547" w:type="pct"/>
            <w:tcBorders>
              <w:top w:val="nil"/>
              <w:left w:val="nil"/>
              <w:bottom w:val="single" w:sz="4" w:space="0" w:color="auto"/>
              <w:right w:val="nil"/>
            </w:tcBorders>
          </w:tcPr>
          <w:p w14:paraId="238443AF" w14:textId="5372184D"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-0.0731</w:t>
            </w:r>
          </w:p>
        </w:tc>
        <w:tc>
          <w:tcPr>
            <w:tcW w:w="636" w:type="pct"/>
            <w:tcBorders>
              <w:top w:val="nil"/>
              <w:left w:val="nil"/>
              <w:bottom w:val="single" w:sz="4" w:space="0" w:color="auto"/>
              <w:right w:val="nil"/>
            </w:tcBorders>
          </w:tcPr>
          <w:p w14:paraId="242561B9" w14:textId="3DC9C0E9"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-0.0842</w:t>
            </w:r>
          </w:p>
        </w:tc>
        <w:tc>
          <w:tcPr>
            <w:tcW w:w="636" w:type="pct"/>
            <w:tcBorders>
              <w:top w:val="nil"/>
              <w:left w:val="nil"/>
              <w:bottom w:val="single" w:sz="4" w:space="0" w:color="auto"/>
              <w:right w:val="nil"/>
            </w:tcBorders>
          </w:tcPr>
          <w:p w14:paraId="4922C52E" w14:textId="48BC3A97"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-0.0337</w:t>
            </w:r>
          </w:p>
        </w:tc>
        <w:tc>
          <w:tcPr>
            <w:tcW w:w="637" w:type="pct"/>
            <w:tcBorders>
              <w:top w:val="nil"/>
              <w:left w:val="nil"/>
              <w:bottom w:val="single" w:sz="4" w:space="0" w:color="auto"/>
              <w:right w:val="nil"/>
            </w:tcBorders>
          </w:tcPr>
          <w:p w14:paraId="55F360C8" w14:textId="1315E219" w:rsidR="006042D0" w:rsidRPr="00FD0426" w:rsidRDefault="00F35E89" w:rsidP="006042D0">
            <w:pPr>
              <w:spacing w:line="360" w:lineRule="auto"/>
              <w:jc w:val="both"/>
              <w:rPr>
                <w:rFonts w:ascii="Times New Roman" w:hAnsi="Times New Roman" w:cs="Times New Roman"/>
                <w:sz w:val="22"/>
                <w:szCs w:val="22"/>
              </w:rPr>
            </w:pPr>
            <w:r w:rsidRPr="00FD0426">
              <w:rPr>
                <w:rFonts w:ascii="Times New Roman" w:eastAsia="Times New Roman" w:hAnsi="Times New Roman" w:cs="Times New Roman"/>
                <w:sz w:val="22"/>
                <w:szCs w:val="22"/>
              </w:rPr>
              <w:t>1.000</w:t>
            </w:r>
          </w:p>
        </w:tc>
      </w:tr>
    </w:tbl>
    <w:p w14:paraId="513B7725" w14:textId="7C79FA7D" w:rsidR="00DF343C" w:rsidRPr="00821D14" w:rsidRDefault="00F35E89" w:rsidP="00821D14">
      <w:pPr>
        <w:jc w:val="both"/>
        <w:rPr>
          <w:rFonts w:ascii="Times New Roman" w:eastAsia="Times New Roman" w:hAnsi="Times New Roman" w:cs="Times New Roman"/>
          <w:sz w:val="22"/>
          <w:szCs w:val="22"/>
        </w:rPr>
      </w:pPr>
      <w:r w:rsidRPr="00FD0426">
        <w:rPr>
          <w:rFonts w:ascii="Times New Roman" w:hAnsi="Times New Roman" w:cs="Times New Roman"/>
          <w:sz w:val="22"/>
          <w:szCs w:val="22"/>
        </w:rPr>
        <w:t xml:space="preserve">RMRF is the market return minus one-month US Treasury Bill. </w:t>
      </w:r>
      <w:r w:rsidRPr="00FD0426">
        <w:rPr>
          <w:rFonts w:ascii="Times New Roman" w:eastAsia="Times New Roman" w:hAnsi="Times New Roman" w:cs="Times New Roman"/>
          <w:sz w:val="22"/>
          <w:szCs w:val="22"/>
        </w:rPr>
        <w:t>SMB and HML are the returns from the Fama</w:t>
      </w:r>
      <w:r w:rsidR="00D95713">
        <w:rPr>
          <w:rFonts w:ascii="Times New Roman" w:eastAsia="Times New Roman" w:hAnsi="Times New Roman" w:cs="Times New Roman"/>
          <w:sz w:val="22"/>
          <w:szCs w:val="22"/>
        </w:rPr>
        <w:t xml:space="preserve"> and</w:t>
      </w:r>
      <w:r w:rsidRPr="00FD0426">
        <w:rPr>
          <w:rFonts w:ascii="Times New Roman" w:eastAsia="Times New Roman" w:hAnsi="Times New Roman" w:cs="Times New Roman"/>
          <w:sz w:val="22"/>
          <w:szCs w:val="22"/>
        </w:rPr>
        <w:t xml:space="preserve"> French size and book to market equity portfolios. MOM is the one-year return from Fama</w:t>
      </w:r>
      <w:r w:rsidR="00D95713">
        <w:rPr>
          <w:rFonts w:ascii="Times New Roman" w:eastAsia="Times New Roman" w:hAnsi="Times New Roman" w:cs="Times New Roman"/>
          <w:sz w:val="22"/>
          <w:szCs w:val="22"/>
        </w:rPr>
        <w:t xml:space="preserve"> and</w:t>
      </w:r>
      <w:r w:rsidRPr="00FD0426">
        <w:rPr>
          <w:rFonts w:ascii="Times New Roman" w:eastAsia="Times New Roman" w:hAnsi="Times New Roman" w:cs="Times New Roman"/>
          <w:sz w:val="22"/>
          <w:szCs w:val="22"/>
        </w:rPr>
        <w:t xml:space="preserve"> French momentum portfolios.</w:t>
      </w:r>
    </w:p>
    <w:p w14:paraId="35AECD98" w14:textId="012E059F" w:rsidR="00F87388" w:rsidRDefault="00F35E89" w:rsidP="00B32FF9">
      <w:pPr>
        <w:pStyle w:val="Heading1"/>
        <w:rPr>
          <w:b/>
          <w:bCs/>
        </w:rPr>
      </w:pPr>
      <w:bookmarkStart w:id="16" w:name="_Toc15419042"/>
      <w:r w:rsidRPr="00B32FF9">
        <w:rPr>
          <w:b/>
          <w:bCs/>
        </w:rPr>
        <w:lastRenderedPageBreak/>
        <w:t>4. Results</w:t>
      </w:r>
      <w:bookmarkEnd w:id="16"/>
    </w:p>
    <w:p w14:paraId="765F9BF7" w14:textId="77777777" w:rsidR="00B32FF9" w:rsidRPr="00B32FF9" w:rsidRDefault="00B32FF9" w:rsidP="00B32FF9"/>
    <w:p w14:paraId="54C765D9" w14:textId="65C74C3E" w:rsidR="00C77FC1" w:rsidRDefault="00F35E89" w:rsidP="00B32FF9">
      <w:pPr>
        <w:pStyle w:val="Heading2"/>
        <w:rPr>
          <w:b/>
          <w:bCs/>
        </w:rPr>
      </w:pPr>
      <w:bookmarkStart w:id="17" w:name="_Toc15419043"/>
      <w:r w:rsidRPr="00B32FF9">
        <w:rPr>
          <w:b/>
          <w:bCs/>
        </w:rPr>
        <w:t>4.1 Model Selection</w:t>
      </w:r>
      <w:bookmarkEnd w:id="17"/>
    </w:p>
    <w:p w14:paraId="29C4C5FC" w14:textId="77777777" w:rsidR="007667F3" w:rsidRPr="007667F3" w:rsidRDefault="007667F3" w:rsidP="007667F3"/>
    <w:p w14:paraId="17E5A4A9" w14:textId="15A8904C" w:rsidR="00E3081E" w:rsidRPr="00D95713" w:rsidRDefault="00F35E89" w:rsidP="0087548A">
      <w:pPr>
        <w:spacing w:line="360" w:lineRule="auto"/>
        <w:ind w:firstLine="720"/>
        <w:jc w:val="both"/>
        <w:rPr>
          <w:rFonts w:ascii="Times New Roman" w:hAnsi="Times New Roman" w:cs="Times New Roman"/>
        </w:rPr>
      </w:pPr>
      <w:r w:rsidRPr="00D95713">
        <w:rPr>
          <w:rFonts w:ascii="Times New Roman" w:hAnsi="Times New Roman" w:cs="Times New Roman"/>
        </w:rPr>
        <w:t>Comparison of</w:t>
      </w:r>
      <w:r w:rsidR="007667F3" w:rsidRPr="00D95713">
        <w:rPr>
          <w:rFonts w:ascii="Times New Roman" w:hAnsi="Times New Roman" w:cs="Times New Roman"/>
        </w:rPr>
        <w:t xml:space="preserve"> reported</w:t>
      </w:r>
      <w:r w:rsidRPr="00D95713">
        <w:rPr>
          <w:rFonts w:ascii="Times New Roman" w:hAnsi="Times New Roman" w:cs="Times New Roman"/>
        </w:rPr>
        <w:t xml:space="preserve"> BIC values is shown in table </w:t>
      </w:r>
      <w:r w:rsidR="00920379" w:rsidRPr="00D95713">
        <w:rPr>
          <w:rFonts w:ascii="Times New Roman" w:hAnsi="Times New Roman" w:cs="Times New Roman"/>
        </w:rPr>
        <w:t>6</w:t>
      </w:r>
      <w:r w:rsidRPr="00D95713">
        <w:rPr>
          <w:rFonts w:ascii="Times New Roman" w:hAnsi="Times New Roman" w:cs="Times New Roman"/>
        </w:rPr>
        <w:t xml:space="preserve"> </w:t>
      </w:r>
      <w:r w:rsidR="00677EF8" w:rsidRPr="00D95713">
        <w:rPr>
          <w:rFonts w:ascii="Times New Roman" w:hAnsi="Times New Roman" w:cs="Times New Roman"/>
        </w:rPr>
        <w:t>of</w:t>
      </w:r>
      <w:r w:rsidRPr="00D95713">
        <w:rPr>
          <w:rFonts w:ascii="Times New Roman" w:hAnsi="Times New Roman" w:cs="Times New Roman"/>
        </w:rPr>
        <w:t xml:space="preserve"> the appendix.</w:t>
      </w:r>
      <w:r w:rsidR="007667F3" w:rsidRPr="00D95713">
        <w:rPr>
          <w:rFonts w:ascii="Times New Roman" w:hAnsi="Times New Roman" w:cs="Times New Roman"/>
        </w:rPr>
        <w:t xml:space="preserve"> Carhart four-factor model is indeed the superior explanatory model in all </w:t>
      </w:r>
      <w:r w:rsidR="00CB42C9" w:rsidRPr="00D95713">
        <w:rPr>
          <w:rFonts w:ascii="Times New Roman" w:hAnsi="Times New Roman" w:cs="Times New Roman"/>
        </w:rPr>
        <w:t>8 of the</w:t>
      </w:r>
      <w:r w:rsidR="007667F3" w:rsidRPr="00D95713">
        <w:rPr>
          <w:rFonts w:ascii="Times New Roman" w:hAnsi="Times New Roman" w:cs="Times New Roman"/>
        </w:rPr>
        <w:t xml:space="preserve"> countries</w:t>
      </w:r>
      <w:r w:rsidR="005B7F0F" w:rsidRPr="00D95713">
        <w:rPr>
          <w:rFonts w:ascii="Times New Roman" w:hAnsi="Times New Roman" w:cs="Times New Roman"/>
        </w:rPr>
        <w:t xml:space="preserve">. </w:t>
      </w:r>
      <w:r w:rsidR="007667F3" w:rsidRPr="00D95713">
        <w:rPr>
          <w:rFonts w:ascii="Times New Roman" w:hAnsi="Times New Roman" w:cs="Times New Roman"/>
        </w:rPr>
        <w:t>BIC values indicate that inclusion of Fama</w:t>
      </w:r>
      <w:r w:rsidR="00F508D1" w:rsidRPr="00D95713">
        <w:rPr>
          <w:rFonts w:ascii="Times New Roman" w:hAnsi="Times New Roman" w:cs="Times New Roman"/>
        </w:rPr>
        <w:t xml:space="preserve"> and</w:t>
      </w:r>
      <w:r w:rsidR="007667F3" w:rsidRPr="00D95713">
        <w:rPr>
          <w:rFonts w:ascii="Times New Roman" w:hAnsi="Times New Roman" w:cs="Times New Roman"/>
        </w:rPr>
        <w:t xml:space="preserve"> French size and value factors increase the explanatory power of CAPM greatly. </w:t>
      </w:r>
      <w:r w:rsidR="00E613EF" w:rsidRPr="00D95713">
        <w:rPr>
          <w:rFonts w:ascii="Times New Roman" w:hAnsi="Times New Roman" w:cs="Times New Roman"/>
        </w:rPr>
        <w:t>On the other hand, BIC values showed that the Carhart four-factor model adds smaller explanatory power to Fama and French three-factor model th</w:t>
      </w:r>
      <w:r w:rsidR="00747068" w:rsidRPr="00D95713">
        <w:rPr>
          <w:rFonts w:ascii="Times New Roman" w:hAnsi="Times New Roman" w:cs="Times New Roman"/>
        </w:rPr>
        <w:t>a</w:t>
      </w:r>
      <w:r w:rsidR="00E613EF" w:rsidRPr="00D95713">
        <w:rPr>
          <w:rFonts w:ascii="Times New Roman" w:hAnsi="Times New Roman" w:cs="Times New Roman"/>
        </w:rPr>
        <w:t>n the Fama and French three-actor model adds to the CAPM.</w:t>
      </w:r>
    </w:p>
    <w:p w14:paraId="656CFE51" w14:textId="77777777" w:rsidR="00901642" w:rsidRPr="0087548A" w:rsidRDefault="00901642" w:rsidP="0087548A">
      <w:pPr>
        <w:spacing w:line="360" w:lineRule="auto"/>
        <w:ind w:firstLine="720"/>
        <w:jc w:val="both"/>
        <w:rPr>
          <w:color w:val="FF0000"/>
        </w:rPr>
      </w:pPr>
    </w:p>
    <w:p w14:paraId="15499F1D" w14:textId="21655001" w:rsidR="00B32FF9" w:rsidRDefault="00F35E89" w:rsidP="00B32FF9">
      <w:pPr>
        <w:pStyle w:val="Heading2"/>
        <w:rPr>
          <w:b/>
          <w:bCs/>
        </w:rPr>
      </w:pPr>
      <w:bookmarkStart w:id="18" w:name="_Toc15419044"/>
      <w:r w:rsidRPr="00B32FF9">
        <w:rPr>
          <w:b/>
          <w:bCs/>
        </w:rPr>
        <w:t xml:space="preserve">4.2 </w:t>
      </w:r>
      <w:r>
        <w:rPr>
          <w:b/>
          <w:bCs/>
        </w:rPr>
        <w:t>Performance Measurement</w:t>
      </w:r>
      <w:bookmarkEnd w:id="18"/>
    </w:p>
    <w:p w14:paraId="46BB0364" w14:textId="77777777" w:rsidR="00901642" w:rsidRPr="00901642" w:rsidRDefault="00901642" w:rsidP="00901642"/>
    <w:p w14:paraId="68F5CADE" w14:textId="77777777" w:rsidR="00F87388" w:rsidRPr="00F87388" w:rsidRDefault="00F87388" w:rsidP="00F87388">
      <w:pPr>
        <w:ind w:firstLine="720"/>
      </w:pPr>
    </w:p>
    <w:p w14:paraId="2B572703" w14:textId="356CD9A4" w:rsidR="00CF205B" w:rsidRDefault="00F35E89" w:rsidP="00CF205B">
      <w:pPr>
        <w:spacing w:line="360" w:lineRule="auto"/>
        <w:ind w:firstLine="720"/>
        <w:jc w:val="both"/>
        <w:rPr>
          <w:rFonts w:ascii="Times New Roman" w:hAnsi="Times New Roman" w:cs="Times New Roman"/>
        </w:rPr>
      </w:pPr>
      <w:r w:rsidRPr="00CC7810">
        <w:rPr>
          <w:rFonts w:ascii="Times New Roman" w:hAnsi="Times New Roman" w:cs="Times New Roman"/>
        </w:rPr>
        <w:t xml:space="preserve">Table 4 </w:t>
      </w:r>
      <w:r w:rsidR="00DA630E" w:rsidRPr="00CC7810">
        <w:rPr>
          <w:rFonts w:ascii="Times New Roman" w:hAnsi="Times New Roman" w:cs="Times New Roman"/>
        </w:rPr>
        <w:t>reports</w:t>
      </w:r>
      <w:r w:rsidRPr="00CC7810">
        <w:rPr>
          <w:rFonts w:ascii="Times New Roman" w:hAnsi="Times New Roman" w:cs="Times New Roman"/>
        </w:rPr>
        <w:t xml:space="preserve"> the</w:t>
      </w:r>
      <w:r w:rsidR="00DA630E" w:rsidRPr="00CC7810">
        <w:rPr>
          <w:rFonts w:ascii="Times New Roman" w:hAnsi="Times New Roman" w:cs="Times New Roman"/>
        </w:rPr>
        <w:t xml:space="preserve"> </w:t>
      </w:r>
      <w:r w:rsidR="007D0343">
        <w:rPr>
          <w:rFonts w:ascii="Times New Roman" w:hAnsi="Times New Roman" w:cs="Times New Roman"/>
        </w:rPr>
        <w:t>ordinary least squares regression</w:t>
      </w:r>
      <w:r w:rsidR="00D84271">
        <w:rPr>
          <w:rFonts w:ascii="Times New Roman" w:hAnsi="Times New Roman" w:cs="Times New Roman"/>
        </w:rPr>
        <w:t xml:space="preserve"> (OLS)</w:t>
      </w:r>
      <w:r w:rsidRPr="00CC7810">
        <w:rPr>
          <w:rFonts w:ascii="Times New Roman" w:hAnsi="Times New Roman" w:cs="Times New Roman"/>
        </w:rPr>
        <w:t xml:space="preserve"> results</w:t>
      </w:r>
      <w:r w:rsidR="00DA630E" w:rsidRPr="00CC7810">
        <w:rPr>
          <w:rFonts w:ascii="Times New Roman" w:hAnsi="Times New Roman" w:cs="Times New Roman"/>
        </w:rPr>
        <w:t xml:space="preserve"> </w:t>
      </w:r>
      <w:r w:rsidR="00821E93">
        <w:rPr>
          <w:rFonts w:ascii="Times New Roman" w:hAnsi="Times New Roman" w:cs="Times New Roman"/>
        </w:rPr>
        <w:t>for mutual fund</w:t>
      </w:r>
      <w:r w:rsidR="00DA630E" w:rsidRPr="00CC7810">
        <w:rPr>
          <w:rFonts w:ascii="Times New Roman" w:hAnsi="Times New Roman" w:cs="Times New Roman"/>
        </w:rPr>
        <w:t xml:space="preserve"> alphas as well as the factor coefficients</w:t>
      </w:r>
      <w:r w:rsidRPr="00CC7810">
        <w:rPr>
          <w:rFonts w:ascii="Times New Roman" w:hAnsi="Times New Roman" w:cs="Times New Roman"/>
        </w:rPr>
        <w:t>.</w:t>
      </w:r>
      <w:r w:rsidR="00D84271">
        <w:rPr>
          <w:rFonts w:ascii="Times New Roman" w:hAnsi="Times New Roman" w:cs="Times New Roman"/>
        </w:rPr>
        <w:t xml:space="preserve"> White-test for </w:t>
      </w:r>
      <w:r w:rsidR="00792DD4">
        <w:rPr>
          <w:rFonts w:ascii="Times New Roman" w:hAnsi="Times New Roman" w:cs="Times New Roman"/>
        </w:rPr>
        <w:t>heteroskedasticity</w:t>
      </w:r>
      <w:r w:rsidR="00D84271">
        <w:rPr>
          <w:rFonts w:ascii="Times New Roman" w:hAnsi="Times New Roman" w:cs="Times New Roman"/>
        </w:rPr>
        <w:t xml:space="preserve"> was performed for each of the </w:t>
      </w:r>
      <w:r w:rsidR="00CB42C9">
        <w:rPr>
          <w:rFonts w:ascii="Times New Roman" w:hAnsi="Times New Roman" w:cs="Times New Roman"/>
        </w:rPr>
        <w:t>8</w:t>
      </w:r>
      <w:r w:rsidR="00D84271">
        <w:rPr>
          <w:rFonts w:ascii="Times New Roman" w:hAnsi="Times New Roman" w:cs="Times New Roman"/>
        </w:rPr>
        <w:t xml:space="preserve"> countries of the dataset and the null hypothesis was rejected for all</w:t>
      </w:r>
      <w:r w:rsidR="00CB42C9">
        <w:rPr>
          <w:rFonts w:ascii="Times New Roman" w:hAnsi="Times New Roman" w:cs="Times New Roman"/>
        </w:rPr>
        <w:t xml:space="preserve"> of the</w:t>
      </w:r>
      <w:r w:rsidR="00D84271">
        <w:rPr>
          <w:rFonts w:ascii="Times New Roman" w:hAnsi="Times New Roman" w:cs="Times New Roman"/>
        </w:rPr>
        <w:t xml:space="preserve"> countries. </w:t>
      </w:r>
      <w:r w:rsidR="00792DD4">
        <w:rPr>
          <w:rFonts w:ascii="Times New Roman" w:hAnsi="Times New Roman" w:cs="Times New Roman"/>
        </w:rPr>
        <w:t xml:space="preserve">The null hypothesis of white-test indicates homoskedasticity while the alternative hypothesis indicates an unrestricted heteroskedasticity. In order to deal with heteroskedasticity, robust OLS regressions were used.  </w:t>
      </w:r>
    </w:p>
    <w:p w14:paraId="7DD9A81B" w14:textId="6FE41823" w:rsidR="001747BE" w:rsidRDefault="00F35E89" w:rsidP="00FE5810">
      <w:pPr>
        <w:spacing w:line="360" w:lineRule="auto"/>
        <w:ind w:firstLine="720"/>
        <w:jc w:val="both"/>
        <w:rPr>
          <w:rFonts w:ascii="Times New Roman" w:hAnsi="Times New Roman" w:cs="Times New Roman"/>
        </w:rPr>
      </w:pPr>
      <w:r>
        <w:rPr>
          <w:rFonts w:ascii="Times New Roman" w:hAnsi="Times New Roman" w:cs="Times New Roman"/>
        </w:rPr>
        <w:t xml:space="preserve">OLS results </w:t>
      </w:r>
      <w:r w:rsidR="006D1D3B">
        <w:rPr>
          <w:rFonts w:ascii="Times New Roman" w:hAnsi="Times New Roman" w:cs="Times New Roman"/>
        </w:rPr>
        <w:t>reveal</w:t>
      </w:r>
      <w:r w:rsidR="00792DD4">
        <w:rPr>
          <w:rFonts w:ascii="Times New Roman" w:hAnsi="Times New Roman" w:cs="Times New Roman"/>
        </w:rPr>
        <w:t>, on average,</w:t>
      </w:r>
      <w:r w:rsidR="006D1D3B">
        <w:rPr>
          <w:rFonts w:ascii="Times New Roman" w:hAnsi="Times New Roman" w:cs="Times New Roman"/>
        </w:rPr>
        <w:t xml:space="preserve"> </w:t>
      </w:r>
      <w:r>
        <w:rPr>
          <w:rFonts w:ascii="Times New Roman" w:hAnsi="Times New Roman" w:cs="Times New Roman"/>
        </w:rPr>
        <w:t xml:space="preserve">an </w:t>
      </w:r>
      <w:r w:rsidR="009A52CC">
        <w:rPr>
          <w:rFonts w:ascii="Times New Roman" w:hAnsi="Times New Roman" w:cs="Times New Roman"/>
        </w:rPr>
        <w:t>overperformance</w:t>
      </w:r>
      <w:r>
        <w:rPr>
          <w:rFonts w:ascii="Times New Roman" w:hAnsi="Times New Roman" w:cs="Times New Roman"/>
        </w:rPr>
        <w:t xml:space="preserve"> of mutual funds relative to their benchmarks. Mutual fund alphas of France are not statistically significantly different from zero. </w:t>
      </w:r>
      <w:r w:rsidR="00792DD4">
        <w:rPr>
          <w:rFonts w:ascii="Times New Roman" w:hAnsi="Times New Roman" w:cs="Times New Roman"/>
        </w:rPr>
        <w:t xml:space="preserve">Thus, </w:t>
      </w:r>
      <w:r>
        <w:rPr>
          <w:rFonts w:ascii="Times New Roman" w:hAnsi="Times New Roman" w:cs="Times New Roman"/>
        </w:rPr>
        <w:t>on</w:t>
      </w:r>
      <w:r w:rsidR="00792DD4">
        <w:rPr>
          <w:rFonts w:ascii="Times New Roman" w:hAnsi="Times New Roman" w:cs="Times New Roman"/>
        </w:rPr>
        <w:t xml:space="preserve"> average</w:t>
      </w:r>
      <w:r>
        <w:rPr>
          <w:rFonts w:ascii="Times New Roman" w:hAnsi="Times New Roman" w:cs="Times New Roman"/>
        </w:rPr>
        <w:t xml:space="preserve">, </w:t>
      </w:r>
      <w:r w:rsidR="00792DD4">
        <w:rPr>
          <w:rFonts w:ascii="Times New Roman" w:hAnsi="Times New Roman" w:cs="Times New Roman"/>
        </w:rPr>
        <w:t>French mutual fund</w:t>
      </w:r>
      <w:r>
        <w:rPr>
          <w:rFonts w:ascii="Times New Roman" w:hAnsi="Times New Roman" w:cs="Times New Roman"/>
        </w:rPr>
        <w:t>s</w:t>
      </w:r>
      <w:r w:rsidR="00792DD4">
        <w:rPr>
          <w:rFonts w:ascii="Times New Roman" w:hAnsi="Times New Roman" w:cs="Times New Roman"/>
        </w:rPr>
        <w:t xml:space="preserve"> </w:t>
      </w:r>
      <w:r>
        <w:rPr>
          <w:rFonts w:ascii="Times New Roman" w:hAnsi="Times New Roman" w:cs="Times New Roman"/>
        </w:rPr>
        <w:t>of</w:t>
      </w:r>
      <w:r w:rsidR="00792DD4">
        <w:rPr>
          <w:rFonts w:ascii="Times New Roman" w:hAnsi="Times New Roman" w:cs="Times New Roman"/>
        </w:rPr>
        <w:t xml:space="preserve"> the dataset </w:t>
      </w:r>
      <w:r>
        <w:rPr>
          <w:rFonts w:ascii="Times New Roman" w:hAnsi="Times New Roman" w:cs="Times New Roman"/>
        </w:rPr>
        <w:t>were</w:t>
      </w:r>
      <w:r w:rsidR="00792DD4">
        <w:rPr>
          <w:rFonts w:ascii="Times New Roman" w:hAnsi="Times New Roman" w:cs="Times New Roman"/>
        </w:rPr>
        <w:t xml:space="preserve"> not able to beat </w:t>
      </w:r>
      <w:r>
        <w:rPr>
          <w:rFonts w:ascii="Times New Roman" w:hAnsi="Times New Roman" w:cs="Times New Roman"/>
        </w:rPr>
        <w:t>their</w:t>
      </w:r>
      <w:r w:rsidR="00792DD4">
        <w:rPr>
          <w:rFonts w:ascii="Times New Roman" w:hAnsi="Times New Roman" w:cs="Times New Roman"/>
        </w:rPr>
        <w:t xml:space="preserve"> benchmark</w:t>
      </w:r>
      <w:r>
        <w:rPr>
          <w:rFonts w:ascii="Times New Roman" w:hAnsi="Times New Roman" w:cs="Times New Roman"/>
        </w:rPr>
        <w:t>s</w:t>
      </w:r>
      <w:r w:rsidR="00792DD4">
        <w:rPr>
          <w:rFonts w:ascii="Times New Roman" w:hAnsi="Times New Roman" w:cs="Times New Roman"/>
        </w:rPr>
        <w:t>.</w:t>
      </w:r>
      <w:r w:rsidR="00055F47">
        <w:rPr>
          <w:rFonts w:ascii="Times New Roman" w:hAnsi="Times New Roman" w:cs="Times New Roman"/>
        </w:rPr>
        <w:t xml:space="preserve"> Indian fund managers appear to beat their benchmarks by 50 basis points on average.</w:t>
      </w:r>
      <w:r w:rsidR="00657F06">
        <w:rPr>
          <w:rFonts w:ascii="Times New Roman" w:hAnsi="Times New Roman" w:cs="Times New Roman"/>
        </w:rPr>
        <w:t xml:space="preserve"> </w:t>
      </w:r>
      <w:r w:rsidR="00055F47">
        <w:rPr>
          <w:rFonts w:ascii="Times New Roman" w:hAnsi="Times New Roman" w:cs="Times New Roman"/>
        </w:rPr>
        <w:t xml:space="preserve"> Furthermore,</w:t>
      </w:r>
      <w:r w:rsidR="00792DD4">
        <w:rPr>
          <w:rFonts w:ascii="Times New Roman" w:hAnsi="Times New Roman" w:cs="Times New Roman"/>
        </w:rPr>
        <w:t xml:space="preserve"> </w:t>
      </w:r>
      <w:r w:rsidR="00055F47">
        <w:rPr>
          <w:rFonts w:ascii="Times New Roman" w:hAnsi="Times New Roman" w:cs="Times New Roman"/>
        </w:rPr>
        <w:t>t</w:t>
      </w:r>
      <w:r w:rsidR="00792DD4">
        <w:rPr>
          <w:rFonts w:ascii="Times New Roman" w:hAnsi="Times New Roman" w:cs="Times New Roman"/>
        </w:rPr>
        <w:t xml:space="preserve">he effects of </w:t>
      </w:r>
      <w:r w:rsidR="00F508D1">
        <w:rPr>
          <w:rFonts w:ascii="Times New Roman" w:hAnsi="Times New Roman" w:cs="Times New Roman"/>
        </w:rPr>
        <w:t>Fama and French three factors and Carhart</w:t>
      </w:r>
      <w:r w:rsidR="00792DD4">
        <w:rPr>
          <w:rFonts w:ascii="Times New Roman" w:hAnsi="Times New Roman" w:cs="Times New Roman"/>
        </w:rPr>
        <w:t xml:space="preserve"> </w:t>
      </w:r>
      <w:r w:rsidR="00F508D1">
        <w:rPr>
          <w:rFonts w:ascii="Times New Roman" w:hAnsi="Times New Roman" w:cs="Times New Roman"/>
        </w:rPr>
        <w:t>momentum factor</w:t>
      </w:r>
      <w:r w:rsidR="00792DD4">
        <w:rPr>
          <w:rFonts w:ascii="Times New Roman" w:hAnsi="Times New Roman" w:cs="Times New Roman"/>
        </w:rPr>
        <w:t xml:space="preserve"> on mutual fund returns are statistically significantly different than zero</w:t>
      </w:r>
      <w:r w:rsidR="006A3524">
        <w:rPr>
          <w:rFonts w:ascii="Times New Roman" w:hAnsi="Times New Roman" w:cs="Times New Roman"/>
        </w:rPr>
        <w:t xml:space="preserve"> in all </w:t>
      </w:r>
      <w:r>
        <w:rPr>
          <w:rFonts w:ascii="Times New Roman" w:hAnsi="Times New Roman" w:cs="Times New Roman"/>
        </w:rPr>
        <w:t xml:space="preserve">of the </w:t>
      </w:r>
      <w:r w:rsidR="006A3524">
        <w:rPr>
          <w:rFonts w:ascii="Times New Roman" w:hAnsi="Times New Roman" w:cs="Times New Roman"/>
        </w:rPr>
        <w:t>countries</w:t>
      </w:r>
      <w:r>
        <w:rPr>
          <w:rFonts w:ascii="Times New Roman" w:hAnsi="Times New Roman" w:cs="Times New Roman"/>
        </w:rPr>
        <w:t xml:space="preserve"> except for India.</w:t>
      </w:r>
      <w:r w:rsidR="00FE5810">
        <w:rPr>
          <w:rFonts w:ascii="Times New Roman" w:hAnsi="Times New Roman" w:cs="Times New Roman"/>
        </w:rPr>
        <w:t xml:space="preserve"> </w:t>
      </w:r>
    </w:p>
    <w:p w14:paraId="612BE533" w14:textId="23A1AD7C" w:rsidR="000F5E11" w:rsidRDefault="00F35E89" w:rsidP="00FE5810">
      <w:pPr>
        <w:spacing w:line="360" w:lineRule="auto"/>
        <w:ind w:firstLine="720"/>
        <w:jc w:val="both"/>
        <w:rPr>
          <w:rFonts w:ascii="Times New Roman" w:hAnsi="Times New Roman" w:cs="Times New Roman"/>
        </w:rPr>
      </w:pPr>
      <w:r>
        <w:rPr>
          <w:rFonts w:ascii="Times New Roman" w:hAnsi="Times New Roman" w:cs="Times New Roman"/>
        </w:rPr>
        <w:t>The effect of</w:t>
      </w:r>
      <w:r w:rsidR="00657F06">
        <w:rPr>
          <w:rFonts w:ascii="Times New Roman" w:hAnsi="Times New Roman" w:cs="Times New Roman"/>
        </w:rPr>
        <w:t xml:space="preserve"> the</w:t>
      </w:r>
      <w:r>
        <w:rPr>
          <w:rFonts w:ascii="Times New Roman" w:hAnsi="Times New Roman" w:cs="Times New Roman"/>
        </w:rPr>
        <w:t xml:space="preserve"> size portfolios, with 60 and 54 basis points, appear </w:t>
      </w:r>
      <w:r w:rsidR="00657F06">
        <w:rPr>
          <w:rFonts w:ascii="Times New Roman" w:hAnsi="Times New Roman" w:cs="Times New Roman"/>
        </w:rPr>
        <w:t>significantly</w:t>
      </w:r>
      <w:r>
        <w:rPr>
          <w:rFonts w:ascii="Times New Roman" w:hAnsi="Times New Roman" w:cs="Times New Roman"/>
        </w:rPr>
        <w:t xml:space="preserve"> </w:t>
      </w:r>
      <w:r w:rsidR="00657F06">
        <w:rPr>
          <w:rFonts w:ascii="Times New Roman" w:hAnsi="Times New Roman" w:cs="Times New Roman"/>
        </w:rPr>
        <w:t>positive</w:t>
      </w:r>
      <w:r>
        <w:rPr>
          <w:rFonts w:ascii="Times New Roman" w:hAnsi="Times New Roman" w:cs="Times New Roman"/>
        </w:rPr>
        <w:t xml:space="preserve"> in Norway and the UK. Additionally, the effect of value portfolios on returns is significantly negative for Australia. </w:t>
      </w:r>
      <w:r w:rsidR="00055F47">
        <w:rPr>
          <w:rFonts w:ascii="Times New Roman" w:hAnsi="Times New Roman" w:cs="Times New Roman"/>
        </w:rPr>
        <w:t>Moreover</w:t>
      </w:r>
      <w:r w:rsidR="00FE5810">
        <w:rPr>
          <w:rFonts w:ascii="Times New Roman" w:hAnsi="Times New Roman" w:cs="Times New Roman"/>
        </w:rPr>
        <w:t xml:space="preserve">, </w:t>
      </w:r>
      <w:r w:rsidR="00055F47">
        <w:rPr>
          <w:rFonts w:ascii="Times New Roman" w:hAnsi="Times New Roman" w:cs="Times New Roman"/>
        </w:rPr>
        <w:t>high</w:t>
      </w:r>
      <w:r w:rsidR="00FE5810">
        <w:rPr>
          <w:rFonts w:ascii="Times New Roman" w:hAnsi="Times New Roman" w:cs="Times New Roman"/>
        </w:rPr>
        <w:t xml:space="preserve"> R</w:t>
      </w:r>
      <w:r w:rsidR="00FE5810">
        <w:rPr>
          <w:rFonts w:ascii="Times New Roman" w:hAnsi="Times New Roman" w:cs="Times New Roman"/>
          <w:vertAlign w:val="superscript"/>
        </w:rPr>
        <w:t>2</w:t>
      </w:r>
      <w:r w:rsidR="00FE5810">
        <w:rPr>
          <w:rFonts w:ascii="Times New Roman" w:hAnsi="Times New Roman" w:cs="Times New Roman"/>
        </w:rPr>
        <w:t xml:space="preserve"> values are observed</w:t>
      </w:r>
      <w:r w:rsidR="00F2516E">
        <w:rPr>
          <w:rFonts w:ascii="Times New Roman" w:hAnsi="Times New Roman" w:cs="Times New Roman"/>
        </w:rPr>
        <w:t xml:space="preserve"> in all of the countries</w:t>
      </w:r>
      <w:r w:rsidR="00FE5810">
        <w:rPr>
          <w:rFonts w:ascii="Times New Roman" w:hAnsi="Times New Roman" w:cs="Times New Roman"/>
        </w:rPr>
        <w:t xml:space="preserve"> except for Japan</w:t>
      </w:r>
      <w:r>
        <w:rPr>
          <w:rFonts w:ascii="Times New Roman" w:hAnsi="Times New Roman" w:cs="Times New Roman"/>
        </w:rPr>
        <w:t>, Norway</w:t>
      </w:r>
      <w:r w:rsidR="00FE5810">
        <w:rPr>
          <w:rFonts w:ascii="Times New Roman" w:hAnsi="Times New Roman" w:cs="Times New Roman"/>
        </w:rPr>
        <w:t>, and Switzerland.</w:t>
      </w:r>
    </w:p>
    <w:p w14:paraId="6B6DEE65" w14:textId="735F99F1" w:rsidR="00901642" w:rsidRDefault="00901642" w:rsidP="00FE5810">
      <w:pPr>
        <w:spacing w:line="360" w:lineRule="auto"/>
        <w:ind w:firstLine="720"/>
        <w:jc w:val="both"/>
        <w:rPr>
          <w:rFonts w:ascii="Times New Roman" w:hAnsi="Times New Roman" w:cs="Times New Roman"/>
        </w:rPr>
      </w:pPr>
    </w:p>
    <w:p w14:paraId="35A19921" w14:textId="137C5418" w:rsidR="00901642" w:rsidRDefault="00901642" w:rsidP="00FE5810">
      <w:pPr>
        <w:spacing w:line="360" w:lineRule="auto"/>
        <w:ind w:firstLine="720"/>
        <w:jc w:val="both"/>
        <w:rPr>
          <w:rFonts w:ascii="Times New Roman" w:hAnsi="Times New Roman" w:cs="Times New Roman"/>
        </w:rPr>
      </w:pPr>
    </w:p>
    <w:p w14:paraId="23B2CCAD" w14:textId="1D62C5EB" w:rsidR="00901642" w:rsidRDefault="00901642" w:rsidP="00FE5810">
      <w:pPr>
        <w:spacing w:line="360" w:lineRule="auto"/>
        <w:ind w:firstLine="720"/>
        <w:jc w:val="both"/>
        <w:rPr>
          <w:rFonts w:ascii="Times New Roman" w:hAnsi="Times New Roman" w:cs="Times New Roman"/>
        </w:rPr>
      </w:pPr>
    </w:p>
    <w:p w14:paraId="765DD6D6" w14:textId="77777777" w:rsidR="002F4B93" w:rsidRDefault="002F4B93" w:rsidP="00CA526D">
      <w:pPr>
        <w:jc w:val="both"/>
        <w:rPr>
          <w:rFonts w:ascii="Times New Roman" w:hAnsi="Times New Roman" w:cs="Times New Roman"/>
          <w:sz w:val="22"/>
          <w:szCs w:val="22"/>
        </w:rPr>
      </w:pPr>
    </w:p>
    <w:p w14:paraId="73B60C06" w14:textId="5BDC0D9A" w:rsidR="000C587D" w:rsidRPr="002565C8" w:rsidRDefault="00F35E89" w:rsidP="00CA526D">
      <w:pPr>
        <w:jc w:val="both"/>
        <w:rPr>
          <w:rFonts w:ascii="Times New Roman" w:hAnsi="Times New Roman" w:cs="Times New Roman"/>
        </w:rPr>
      </w:pPr>
      <w:r w:rsidRPr="00FD0426">
        <w:rPr>
          <w:rFonts w:ascii="Times New Roman" w:hAnsi="Times New Roman" w:cs="Times New Roman"/>
          <w:sz w:val="22"/>
          <w:szCs w:val="22"/>
        </w:rPr>
        <w:lastRenderedPageBreak/>
        <w:t xml:space="preserve">Table 4: Ordinary Least Squares (OLS) Regression Results and Alphas for </w:t>
      </w:r>
      <w:r w:rsidR="00CB42C9">
        <w:rPr>
          <w:rFonts w:ascii="Times New Roman" w:hAnsi="Times New Roman" w:cs="Times New Roman"/>
          <w:sz w:val="22"/>
          <w:szCs w:val="22"/>
        </w:rPr>
        <w:t>the sample</w:t>
      </w:r>
      <w:r w:rsidRPr="00FD0426">
        <w:rPr>
          <w:rFonts w:ascii="Times New Roman" w:hAnsi="Times New Roman" w:cs="Times New Roman"/>
          <w:sz w:val="22"/>
          <w:szCs w:val="22"/>
        </w:rPr>
        <w:t xml:space="preserve"> countries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473"/>
        <w:gridCol w:w="951"/>
        <w:gridCol w:w="705"/>
        <w:gridCol w:w="1001"/>
        <w:gridCol w:w="1001"/>
        <w:gridCol w:w="1001"/>
        <w:gridCol w:w="1001"/>
        <w:gridCol w:w="916"/>
        <w:gridCol w:w="269"/>
        <w:gridCol w:w="702"/>
      </w:tblGrid>
      <w:tr w:rsidR="00395699" w14:paraId="4156588C" w14:textId="77777777" w:rsidTr="000C587D">
        <w:tc>
          <w:tcPr>
            <w:tcW w:w="816" w:type="pct"/>
            <w:tcBorders>
              <w:top w:val="single" w:sz="4" w:space="0" w:color="auto"/>
              <w:left w:val="nil"/>
              <w:bottom w:val="nil"/>
            </w:tcBorders>
          </w:tcPr>
          <w:p w14:paraId="02E0C663" w14:textId="77777777" w:rsidR="000C587D" w:rsidRPr="00FD0426" w:rsidRDefault="000C587D" w:rsidP="00BB2B17">
            <w:pPr>
              <w:rPr>
                <w:rFonts w:ascii="Times New Roman" w:hAnsi="Times New Roman" w:cs="Times New Roman"/>
                <w:sz w:val="21"/>
                <w:szCs w:val="21"/>
              </w:rPr>
            </w:pPr>
          </w:p>
          <w:p w14:paraId="04278588" w14:textId="77777777" w:rsidR="000C587D" w:rsidRPr="00FD0426" w:rsidRDefault="000C587D" w:rsidP="00BB2B17">
            <w:pPr>
              <w:rPr>
                <w:rFonts w:ascii="Times New Roman" w:hAnsi="Times New Roman" w:cs="Times New Roman"/>
                <w:sz w:val="21"/>
                <w:szCs w:val="21"/>
              </w:rPr>
            </w:pPr>
          </w:p>
        </w:tc>
        <w:tc>
          <w:tcPr>
            <w:tcW w:w="527" w:type="pct"/>
            <w:tcBorders>
              <w:top w:val="single" w:sz="4" w:space="0" w:color="auto"/>
              <w:bottom w:val="nil"/>
            </w:tcBorders>
          </w:tcPr>
          <w:p w14:paraId="7B3A6369" w14:textId="77777777" w:rsidR="000C587D" w:rsidRPr="00FD0426" w:rsidRDefault="00F35E89" w:rsidP="00BB2B17">
            <w:pPr>
              <w:rPr>
                <w:rFonts w:ascii="Times New Roman" w:hAnsi="Times New Roman" w:cs="Times New Roman"/>
                <w:sz w:val="21"/>
                <w:szCs w:val="21"/>
              </w:rPr>
            </w:pPr>
            <w:r w:rsidRPr="00FD0426">
              <w:rPr>
                <w:rFonts w:ascii="Times New Roman" w:hAnsi="Times New Roman" w:cs="Times New Roman"/>
                <w:sz w:val="21"/>
                <w:szCs w:val="21"/>
              </w:rPr>
              <w:t xml:space="preserve"> </w:t>
            </w:r>
          </w:p>
          <w:p w14:paraId="0A049C0A"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Mean</w:t>
            </w:r>
          </w:p>
        </w:tc>
        <w:tc>
          <w:tcPr>
            <w:tcW w:w="391" w:type="pct"/>
            <w:tcBorders>
              <w:top w:val="single" w:sz="4" w:space="0" w:color="auto"/>
              <w:bottom w:val="nil"/>
            </w:tcBorders>
          </w:tcPr>
          <w:p w14:paraId="6DE2DB5C" w14:textId="77777777" w:rsidR="000C587D" w:rsidRPr="00FD0426" w:rsidRDefault="000C587D" w:rsidP="00BB2B17">
            <w:pPr>
              <w:jc w:val="center"/>
              <w:rPr>
                <w:rFonts w:ascii="Times New Roman" w:hAnsi="Times New Roman" w:cs="Times New Roman"/>
                <w:sz w:val="21"/>
                <w:szCs w:val="21"/>
              </w:rPr>
            </w:pPr>
          </w:p>
          <w:p w14:paraId="33064D50"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Std</w:t>
            </w:r>
          </w:p>
        </w:tc>
        <w:tc>
          <w:tcPr>
            <w:tcW w:w="2728" w:type="pct"/>
            <w:gridSpan w:val="5"/>
            <w:tcBorders>
              <w:top w:val="single" w:sz="4" w:space="0" w:color="auto"/>
              <w:bottom w:val="single" w:sz="4" w:space="0" w:color="000000" w:themeColor="text1"/>
            </w:tcBorders>
          </w:tcPr>
          <w:p w14:paraId="13D0B754"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Carhart 4</w:t>
            </w:r>
          </w:p>
          <w:p w14:paraId="4915CD02"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Factor Model OLS Estimates</w:t>
            </w:r>
          </w:p>
        </w:tc>
        <w:tc>
          <w:tcPr>
            <w:tcW w:w="149" w:type="pct"/>
            <w:tcBorders>
              <w:top w:val="single" w:sz="4" w:space="0" w:color="auto"/>
              <w:bottom w:val="nil"/>
            </w:tcBorders>
          </w:tcPr>
          <w:p w14:paraId="6466A81B" w14:textId="77777777" w:rsidR="000C587D" w:rsidRPr="00FD0426" w:rsidRDefault="000C587D" w:rsidP="00BB2B17">
            <w:pPr>
              <w:jc w:val="center"/>
              <w:rPr>
                <w:rFonts w:ascii="Times New Roman" w:hAnsi="Times New Roman" w:cs="Times New Roman"/>
                <w:sz w:val="21"/>
                <w:szCs w:val="21"/>
              </w:rPr>
            </w:pPr>
          </w:p>
        </w:tc>
        <w:tc>
          <w:tcPr>
            <w:tcW w:w="389" w:type="pct"/>
            <w:tcBorders>
              <w:top w:val="single" w:sz="4" w:space="0" w:color="auto"/>
              <w:bottom w:val="nil"/>
              <w:right w:val="nil"/>
            </w:tcBorders>
          </w:tcPr>
          <w:p w14:paraId="514C009B" w14:textId="77777777" w:rsidR="000C587D" w:rsidRPr="00FD0426" w:rsidRDefault="000C587D" w:rsidP="00BB2B17">
            <w:pPr>
              <w:jc w:val="center"/>
              <w:rPr>
                <w:rFonts w:ascii="Times New Roman" w:hAnsi="Times New Roman" w:cs="Times New Roman"/>
                <w:sz w:val="21"/>
                <w:szCs w:val="21"/>
              </w:rPr>
            </w:pPr>
          </w:p>
          <w:p w14:paraId="6BC00A41"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Adj</w:t>
            </w:r>
          </w:p>
        </w:tc>
      </w:tr>
      <w:tr w:rsidR="00395699" w14:paraId="7B271212" w14:textId="77777777" w:rsidTr="000C587D">
        <w:tc>
          <w:tcPr>
            <w:tcW w:w="816" w:type="pct"/>
            <w:tcBorders>
              <w:top w:val="nil"/>
              <w:left w:val="nil"/>
              <w:bottom w:val="single" w:sz="4" w:space="0" w:color="auto"/>
            </w:tcBorders>
          </w:tcPr>
          <w:p w14:paraId="288FD34B" w14:textId="77777777" w:rsidR="000C587D" w:rsidRPr="00FD0426" w:rsidRDefault="00F35E89" w:rsidP="00BB2B17">
            <w:pPr>
              <w:rPr>
                <w:rFonts w:ascii="Times New Roman" w:hAnsi="Times New Roman" w:cs="Times New Roman"/>
                <w:sz w:val="21"/>
                <w:szCs w:val="21"/>
              </w:rPr>
            </w:pPr>
            <w:r w:rsidRPr="00FD0426">
              <w:rPr>
                <w:rFonts w:ascii="Times New Roman" w:hAnsi="Times New Roman" w:cs="Times New Roman"/>
                <w:sz w:val="21"/>
                <w:szCs w:val="21"/>
              </w:rPr>
              <w:t>Country</w:t>
            </w:r>
          </w:p>
        </w:tc>
        <w:tc>
          <w:tcPr>
            <w:tcW w:w="527" w:type="pct"/>
            <w:tcBorders>
              <w:top w:val="nil"/>
              <w:bottom w:val="single" w:sz="4" w:space="0" w:color="auto"/>
            </w:tcBorders>
          </w:tcPr>
          <w:p w14:paraId="30A9B552"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Return</w:t>
            </w:r>
          </w:p>
        </w:tc>
        <w:tc>
          <w:tcPr>
            <w:tcW w:w="391" w:type="pct"/>
            <w:tcBorders>
              <w:top w:val="nil"/>
              <w:bottom w:val="single" w:sz="4" w:space="0" w:color="auto"/>
            </w:tcBorders>
          </w:tcPr>
          <w:p w14:paraId="799DD2CB"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Dev</w:t>
            </w:r>
          </w:p>
        </w:tc>
        <w:tc>
          <w:tcPr>
            <w:tcW w:w="555" w:type="pct"/>
            <w:tcBorders>
              <w:top w:val="single" w:sz="4" w:space="0" w:color="000000" w:themeColor="text1"/>
              <w:bottom w:val="single" w:sz="4" w:space="0" w:color="auto"/>
            </w:tcBorders>
          </w:tcPr>
          <w:p w14:paraId="36ACA4F1"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alpha</w:t>
            </w:r>
          </w:p>
        </w:tc>
        <w:tc>
          <w:tcPr>
            <w:tcW w:w="555" w:type="pct"/>
            <w:tcBorders>
              <w:top w:val="single" w:sz="4" w:space="0" w:color="000000" w:themeColor="text1"/>
              <w:bottom w:val="single" w:sz="4" w:space="0" w:color="auto"/>
            </w:tcBorders>
          </w:tcPr>
          <w:p w14:paraId="18407A4F"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RMRF</w:t>
            </w:r>
          </w:p>
        </w:tc>
        <w:tc>
          <w:tcPr>
            <w:tcW w:w="555" w:type="pct"/>
            <w:tcBorders>
              <w:top w:val="single" w:sz="4" w:space="0" w:color="000000" w:themeColor="text1"/>
              <w:bottom w:val="single" w:sz="4" w:space="0" w:color="auto"/>
            </w:tcBorders>
          </w:tcPr>
          <w:p w14:paraId="7CA0EA7C"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SMB</w:t>
            </w:r>
          </w:p>
        </w:tc>
        <w:tc>
          <w:tcPr>
            <w:tcW w:w="555" w:type="pct"/>
            <w:tcBorders>
              <w:top w:val="single" w:sz="4" w:space="0" w:color="000000" w:themeColor="text1"/>
              <w:bottom w:val="single" w:sz="4" w:space="0" w:color="auto"/>
            </w:tcBorders>
          </w:tcPr>
          <w:p w14:paraId="44508351"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HML</w:t>
            </w:r>
          </w:p>
        </w:tc>
        <w:tc>
          <w:tcPr>
            <w:tcW w:w="508" w:type="pct"/>
            <w:tcBorders>
              <w:top w:val="single" w:sz="4" w:space="0" w:color="000000" w:themeColor="text1"/>
              <w:bottom w:val="single" w:sz="4" w:space="0" w:color="auto"/>
            </w:tcBorders>
          </w:tcPr>
          <w:p w14:paraId="5FCAA665"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MOM</w:t>
            </w:r>
          </w:p>
        </w:tc>
        <w:tc>
          <w:tcPr>
            <w:tcW w:w="149" w:type="pct"/>
            <w:tcBorders>
              <w:top w:val="nil"/>
              <w:bottom w:val="single" w:sz="4" w:space="0" w:color="auto"/>
            </w:tcBorders>
          </w:tcPr>
          <w:p w14:paraId="7C5E6713" w14:textId="77777777" w:rsidR="000C587D" w:rsidRPr="00FD0426" w:rsidRDefault="000C587D" w:rsidP="00BB2B17">
            <w:pPr>
              <w:rPr>
                <w:rFonts w:ascii="Times New Roman" w:hAnsi="Times New Roman" w:cs="Times New Roman"/>
                <w:sz w:val="21"/>
                <w:szCs w:val="21"/>
              </w:rPr>
            </w:pPr>
          </w:p>
        </w:tc>
        <w:tc>
          <w:tcPr>
            <w:tcW w:w="389" w:type="pct"/>
            <w:tcBorders>
              <w:top w:val="nil"/>
              <w:bottom w:val="single" w:sz="4" w:space="0" w:color="auto"/>
              <w:right w:val="nil"/>
            </w:tcBorders>
          </w:tcPr>
          <w:p w14:paraId="4CA543CE" w14:textId="77777777" w:rsidR="000C587D" w:rsidRPr="00FD0426" w:rsidRDefault="00F35E89" w:rsidP="00BB2B17">
            <w:pPr>
              <w:jc w:val="center"/>
              <w:rPr>
                <w:rFonts w:ascii="Times New Roman" w:hAnsi="Times New Roman" w:cs="Times New Roman"/>
                <w:sz w:val="21"/>
                <w:szCs w:val="21"/>
              </w:rPr>
            </w:pPr>
            <w:r w:rsidRPr="00FD0426">
              <w:rPr>
                <w:rFonts w:ascii="Times New Roman" w:hAnsi="Times New Roman" w:cs="Times New Roman"/>
                <w:sz w:val="21"/>
                <w:szCs w:val="21"/>
              </w:rPr>
              <w:t>R2</w:t>
            </w:r>
          </w:p>
        </w:tc>
      </w:tr>
      <w:tr w:rsidR="00395699" w14:paraId="7F8D804B" w14:textId="77777777" w:rsidTr="00920379">
        <w:tc>
          <w:tcPr>
            <w:tcW w:w="816" w:type="pct"/>
            <w:tcBorders>
              <w:top w:val="single" w:sz="4" w:space="0" w:color="auto"/>
              <w:left w:val="nil"/>
              <w:bottom w:val="nil"/>
            </w:tcBorders>
          </w:tcPr>
          <w:p w14:paraId="6A29F836" w14:textId="3A9109F1" w:rsidR="00920379" w:rsidRPr="00FD0426" w:rsidRDefault="00F35E89" w:rsidP="00920379">
            <w:pPr>
              <w:rPr>
                <w:rFonts w:ascii="Times New Roman" w:hAnsi="Times New Roman" w:cs="Times New Roman"/>
                <w:sz w:val="21"/>
                <w:szCs w:val="21"/>
              </w:rPr>
            </w:pPr>
            <w:r w:rsidRPr="00FD0426">
              <w:rPr>
                <w:rFonts w:ascii="Times New Roman" w:hAnsi="Times New Roman" w:cs="Times New Roman"/>
                <w:sz w:val="21"/>
                <w:szCs w:val="21"/>
              </w:rPr>
              <w:t>Australia</w:t>
            </w:r>
          </w:p>
        </w:tc>
        <w:tc>
          <w:tcPr>
            <w:tcW w:w="527" w:type="pct"/>
            <w:tcBorders>
              <w:top w:val="single" w:sz="4" w:space="0" w:color="auto"/>
              <w:bottom w:val="nil"/>
            </w:tcBorders>
          </w:tcPr>
          <w:p w14:paraId="672427F3" w14:textId="69373113"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1.05</w:t>
            </w:r>
          </w:p>
        </w:tc>
        <w:tc>
          <w:tcPr>
            <w:tcW w:w="391" w:type="pct"/>
            <w:tcBorders>
              <w:top w:val="single" w:sz="4" w:space="0" w:color="auto"/>
              <w:bottom w:val="nil"/>
            </w:tcBorders>
          </w:tcPr>
          <w:p w14:paraId="711D8A8A" w14:textId="05628D88"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6.15</w:t>
            </w:r>
          </w:p>
        </w:tc>
        <w:tc>
          <w:tcPr>
            <w:tcW w:w="555" w:type="pct"/>
            <w:tcBorders>
              <w:top w:val="single" w:sz="4" w:space="0" w:color="auto"/>
              <w:bottom w:val="nil"/>
            </w:tcBorders>
          </w:tcPr>
          <w:p w14:paraId="30DC55E7"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 xml:space="preserve">0.27 </w:t>
            </w:r>
          </w:p>
          <w:p w14:paraId="1558B43D" w14:textId="0FD83AF0"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(17.36)</w:t>
            </w:r>
          </w:p>
        </w:tc>
        <w:tc>
          <w:tcPr>
            <w:tcW w:w="555" w:type="pct"/>
            <w:tcBorders>
              <w:top w:val="single" w:sz="4" w:space="0" w:color="auto"/>
              <w:bottom w:val="nil"/>
            </w:tcBorders>
          </w:tcPr>
          <w:p w14:paraId="7559CF9E"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1.03</w:t>
            </w:r>
          </w:p>
          <w:p w14:paraId="0707556A" w14:textId="117ED6B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(32.08)</w:t>
            </w:r>
          </w:p>
        </w:tc>
        <w:tc>
          <w:tcPr>
            <w:tcW w:w="555" w:type="pct"/>
            <w:tcBorders>
              <w:top w:val="single" w:sz="4" w:space="0" w:color="auto"/>
              <w:bottom w:val="nil"/>
            </w:tcBorders>
          </w:tcPr>
          <w:p w14:paraId="49FFD6C3"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-0.11</w:t>
            </w:r>
          </w:p>
          <w:p w14:paraId="3F648166" w14:textId="76DEDE1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(-17.47)</w:t>
            </w:r>
          </w:p>
        </w:tc>
        <w:tc>
          <w:tcPr>
            <w:tcW w:w="555" w:type="pct"/>
            <w:tcBorders>
              <w:top w:val="single" w:sz="4" w:space="0" w:color="auto"/>
              <w:bottom w:val="nil"/>
            </w:tcBorders>
          </w:tcPr>
          <w:p w14:paraId="5EFAFDBB"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-0.50</w:t>
            </w:r>
          </w:p>
          <w:p w14:paraId="0DC5013F" w14:textId="5DE4E5FE"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(-7.81)</w:t>
            </w:r>
          </w:p>
        </w:tc>
        <w:tc>
          <w:tcPr>
            <w:tcW w:w="508" w:type="pct"/>
            <w:tcBorders>
              <w:top w:val="single" w:sz="4" w:space="0" w:color="auto"/>
              <w:bottom w:val="nil"/>
            </w:tcBorders>
          </w:tcPr>
          <w:p w14:paraId="3158332A"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-0.02</w:t>
            </w:r>
          </w:p>
          <w:p w14:paraId="59CD8389" w14:textId="1FAFAFB2"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(3.97)</w:t>
            </w:r>
          </w:p>
        </w:tc>
        <w:tc>
          <w:tcPr>
            <w:tcW w:w="149" w:type="pct"/>
            <w:tcBorders>
              <w:top w:val="single" w:sz="4" w:space="0" w:color="auto"/>
              <w:bottom w:val="nil"/>
            </w:tcBorders>
          </w:tcPr>
          <w:p w14:paraId="3C3BFAB5" w14:textId="77777777" w:rsidR="00920379" w:rsidRPr="00FD0426" w:rsidRDefault="00920379" w:rsidP="00920379">
            <w:pPr>
              <w:jc w:val="center"/>
              <w:rPr>
                <w:rFonts w:ascii="Times New Roman" w:hAnsi="Times New Roman" w:cs="Times New Roman"/>
                <w:sz w:val="21"/>
                <w:szCs w:val="21"/>
              </w:rPr>
            </w:pPr>
          </w:p>
        </w:tc>
        <w:tc>
          <w:tcPr>
            <w:tcW w:w="389" w:type="pct"/>
            <w:tcBorders>
              <w:top w:val="single" w:sz="4" w:space="0" w:color="auto"/>
              <w:bottom w:val="nil"/>
              <w:right w:val="nil"/>
            </w:tcBorders>
          </w:tcPr>
          <w:p w14:paraId="640DC6B9" w14:textId="31F4068C"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0.83</w:t>
            </w:r>
          </w:p>
        </w:tc>
      </w:tr>
      <w:tr w:rsidR="00395699" w14:paraId="37BC6662" w14:textId="77777777" w:rsidTr="00920379">
        <w:tc>
          <w:tcPr>
            <w:tcW w:w="816" w:type="pct"/>
            <w:tcBorders>
              <w:top w:val="nil"/>
              <w:left w:val="nil"/>
              <w:bottom w:val="nil"/>
            </w:tcBorders>
          </w:tcPr>
          <w:p w14:paraId="7840684B" w14:textId="629823AF" w:rsidR="00920379" w:rsidRPr="00FD0426" w:rsidRDefault="00F35E89" w:rsidP="00920379">
            <w:pPr>
              <w:rPr>
                <w:rFonts w:ascii="Times New Roman" w:hAnsi="Times New Roman" w:cs="Times New Roman"/>
                <w:sz w:val="21"/>
                <w:szCs w:val="21"/>
              </w:rPr>
            </w:pPr>
            <w:r w:rsidRPr="00FD0426">
              <w:rPr>
                <w:rFonts w:ascii="Times New Roman" w:hAnsi="Times New Roman" w:cs="Times New Roman"/>
                <w:sz w:val="21"/>
                <w:szCs w:val="21"/>
              </w:rPr>
              <w:t>France</w:t>
            </w:r>
          </w:p>
        </w:tc>
        <w:tc>
          <w:tcPr>
            <w:tcW w:w="527" w:type="pct"/>
            <w:tcBorders>
              <w:top w:val="nil"/>
              <w:bottom w:val="nil"/>
            </w:tcBorders>
          </w:tcPr>
          <w:p w14:paraId="59EDF078" w14:textId="019DEBFC"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0.72</w:t>
            </w:r>
          </w:p>
        </w:tc>
        <w:tc>
          <w:tcPr>
            <w:tcW w:w="391" w:type="pct"/>
            <w:tcBorders>
              <w:top w:val="nil"/>
              <w:bottom w:val="nil"/>
            </w:tcBorders>
          </w:tcPr>
          <w:p w14:paraId="182F02BD" w14:textId="2272DC3E"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5.83</w:t>
            </w:r>
          </w:p>
        </w:tc>
        <w:tc>
          <w:tcPr>
            <w:tcW w:w="555" w:type="pct"/>
            <w:tcBorders>
              <w:top w:val="nil"/>
              <w:bottom w:val="nil"/>
            </w:tcBorders>
          </w:tcPr>
          <w:p w14:paraId="2B780B1F"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-0.02</w:t>
            </w:r>
          </w:p>
          <w:p w14:paraId="5E88C9A6" w14:textId="374F6603"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(-1.39)</w:t>
            </w:r>
          </w:p>
        </w:tc>
        <w:tc>
          <w:tcPr>
            <w:tcW w:w="555" w:type="pct"/>
            <w:tcBorders>
              <w:top w:val="nil"/>
              <w:bottom w:val="nil"/>
            </w:tcBorders>
          </w:tcPr>
          <w:p w14:paraId="7C0956B1"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1.03</w:t>
            </w:r>
          </w:p>
          <w:p w14:paraId="40ACDFF6" w14:textId="0D4FC57B"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(38.11)</w:t>
            </w:r>
          </w:p>
        </w:tc>
        <w:tc>
          <w:tcPr>
            <w:tcW w:w="555" w:type="pct"/>
            <w:tcBorders>
              <w:top w:val="nil"/>
              <w:bottom w:val="nil"/>
            </w:tcBorders>
          </w:tcPr>
          <w:p w14:paraId="4857B8DB"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0.19</w:t>
            </w:r>
          </w:p>
          <w:p w14:paraId="4318C778" w14:textId="685B73BC"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(19.32)</w:t>
            </w:r>
          </w:p>
        </w:tc>
        <w:tc>
          <w:tcPr>
            <w:tcW w:w="555" w:type="pct"/>
            <w:tcBorders>
              <w:top w:val="nil"/>
              <w:bottom w:val="nil"/>
            </w:tcBorders>
          </w:tcPr>
          <w:p w14:paraId="1773ECC2"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0.10</w:t>
            </w:r>
          </w:p>
          <w:p w14:paraId="28A91E09" w14:textId="554E92CF"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(11.87)</w:t>
            </w:r>
          </w:p>
        </w:tc>
        <w:tc>
          <w:tcPr>
            <w:tcW w:w="508" w:type="pct"/>
            <w:tcBorders>
              <w:top w:val="nil"/>
              <w:bottom w:val="nil"/>
            </w:tcBorders>
          </w:tcPr>
          <w:p w14:paraId="42630237"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0.01</w:t>
            </w:r>
          </w:p>
          <w:p w14:paraId="7AF21822" w14:textId="6B58CAD9"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(2.13)</w:t>
            </w:r>
          </w:p>
        </w:tc>
        <w:tc>
          <w:tcPr>
            <w:tcW w:w="149" w:type="pct"/>
            <w:tcBorders>
              <w:top w:val="nil"/>
              <w:bottom w:val="nil"/>
            </w:tcBorders>
          </w:tcPr>
          <w:p w14:paraId="3494BA87" w14:textId="77777777" w:rsidR="00920379" w:rsidRPr="00FD0426" w:rsidRDefault="00920379" w:rsidP="00920379">
            <w:pPr>
              <w:jc w:val="center"/>
              <w:rPr>
                <w:rFonts w:ascii="Times New Roman" w:hAnsi="Times New Roman" w:cs="Times New Roman"/>
                <w:sz w:val="21"/>
                <w:szCs w:val="21"/>
              </w:rPr>
            </w:pPr>
          </w:p>
        </w:tc>
        <w:tc>
          <w:tcPr>
            <w:tcW w:w="389" w:type="pct"/>
            <w:tcBorders>
              <w:top w:val="nil"/>
              <w:bottom w:val="nil"/>
              <w:right w:val="nil"/>
            </w:tcBorders>
          </w:tcPr>
          <w:p w14:paraId="48C48F5B" w14:textId="486AE2FD"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0.88</w:t>
            </w:r>
          </w:p>
        </w:tc>
      </w:tr>
      <w:tr w:rsidR="00395699" w14:paraId="5DA0BBF8" w14:textId="77777777" w:rsidTr="00920379">
        <w:tc>
          <w:tcPr>
            <w:tcW w:w="816" w:type="pct"/>
            <w:tcBorders>
              <w:top w:val="nil"/>
              <w:left w:val="nil"/>
            </w:tcBorders>
          </w:tcPr>
          <w:p w14:paraId="24ED2D62" w14:textId="77777777" w:rsidR="00920379" w:rsidRPr="00FD0426" w:rsidRDefault="00F35E89" w:rsidP="00920379">
            <w:pPr>
              <w:rPr>
                <w:rFonts w:ascii="Times New Roman" w:hAnsi="Times New Roman" w:cs="Times New Roman"/>
                <w:sz w:val="21"/>
                <w:szCs w:val="21"/>
              </w:rPr>
            </w:pPr>
            <w:r w:rsidRPr="00FD0426">
              <w:rPr>
                <w:rFonts w:ascii="Times New Roman" w:hAnsi="Times New Roman" w:cs="Times New Roman"/>
                <w:sz w:val="21"/>
                <w:szCs w:val="21"/>
              </w:rPr>
              <w:t>India</w:t>
            </w:r>
          </w:p>
        </w:tc>
        <w:tc>
          <w:tcPr>
            <w:tcW w:w="527" w:type="pct"/>
            <w:tcBorders>
              <w:top w:val="nil"/>
            </w:tcBorders>
          </w:tcPr>
          <w:p w14:paraId="39F2D15C"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1.63</w:t>
            </w:r>
          </w:p>
        </w:tc>
        <w:tc>
          <w:tcPr>
            <w:tcW w:w="391" w:type="pct"/>
            <w:tcBorders>
              <w:top w:val="nil"/>
            </w:tcBorders>
          </w:tcPr>
          <w:p w14:paraId="33567836"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8.11</w:t>
            </w:r>
          </w:p>
        </w:tc>
        <w:tc>
          <w:tcPr>
            <w:tcW w:w="555" w:type="pct"/>
            <w:tcBorders>
              <w:top w:val="nil"/>
            </w:tcBorders>
          </w:tcPr>
          <w:p w14:paraId="174E7587"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0.50</w:t>
            </w:r>
          </w:p>
          <w:p w14:paraId="37FF8194"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(24.41)</w:t>
            </w:r>
          </w:p>
        </w:tc>
        <w:tc>
          <w:tcPr>
            <w:tcW w:w="555" w:type="pct"/>
            <w:tcBorders>
              <w:top w:val="nil"/>
            </w:tcBorders>
          </w:tcPr>
          <w:p w14:paraId="601AD3D2"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1.05</w:t>
            </w:r>
          </w:p>
          <w:p w14:paraId="003CFCF4"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(41.56)</w:t>
            </w:r>
          </w:p>
        </w:tc>
        <w:tc>
          <w:tcPr>
            <w:tcW w:w="555" w:type="pct"/>
            <w:tcBorders>
              <w:top w:val="nil"/>
            </w:tcBorders>
          </w:tcPr>
          <w:p w14:paraId="3EC0D211"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-0.01</w:t>
            </w:r>
          </w:p>
          <w:p w14:paraId="06479D37"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(-1.58)</w:t>
            </w:r>
          </w:p>
        </w:tc>
        <w:tc>
          <w:tcPr>
            <w:tcW w:w="555" w:type="pct"/>
            <w:tcBorders>
              <w:top w:val="nil"/>
            </w:tcBorders>
          </w:tcPr>
          <w:p w14:paraId="0466E9FA"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0.01</w:t>
            </w:r>
          </w:p>
          <w:p w14:paraId="7B2AC8A0"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(0.66)</w:t>
            </w:r>
          </w:p>
        </w:tc>
        <w:tc>
          <w:tcPr>
            <w:tcW w:w="508" w:type="pct"/>
            <w:tcBorders>
              <w:top w:val="nil"/>
            </w:tcBorders>
          </w:tcPr>
          <w:p w14:paraId="335F93CB"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-0.07</w:t>
            </w:r>
          </w:p>
          <w:p w14:paraId="74B59B59"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(-14.71)</w:t>
            </w:r>
          </w:p>
        </w:tc>
        <w:tc>
          <w:tcPr>
            <w:tcW w:w="149" w:type="pct"/>
            <w:tcBorders>
              <w:top w:val="nil"/>
            </w:tcBorders>
          </w:tcPr>
          <w:p w14:paraId="7615A5E8" w14:textId="77777777" w:rsidR="00920379" w:rsidRPr="00FD0426" w:rsidRDefault="00920379" w:rsidP="00920379">
            <w:pPr>
              <w:jc w:val="center"/>
              <w:rPr>
                <w:rFonts w:ascii="Times New Roman" w:hAnsi="Times New Roman" w:cs="Times New Roman"/>
                <w:sz w:val="21"/>
                <w:szCs w:val="21"/>
              </w:rPr>
            </w:pPr>
          </w:p>
        </w:tc>
        <w:tc>
          <w:tcPr>
            <w:tcW w:w="389" w:type="pct"/>
            <w:tcBorders>
              <w:top w:val="nil"/>
              <w:right w:val="nil"/>
            </w:tcBorders>
          </w:tcPr>
          <w:p w14:paraId="378AA9CC"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0.82</w:t>
            </w:r>
          </w:p>
        </w:tc>
      </w:tr>
      <w:tr w:rsidR="00395699" w14:paraId="2FD37CA0" w14:textId="77777777" w:rsidTr="000C587D">
        <w:tc>
          <w:tcPr>
            <w:tcW w:w="816" w:type="pct"/>
            <w:tcBorders>
              <w:left w:val="nil"/>
            </w:tcBorders>
          </w:tcPr>
          <w:p w14:paraId="7A57F028" w14:textId="77777777" w:rsidR="00920379" w:rsidRPr="00FD0426" w:rsidRDefault="00F35E89" w:rsidP="00920379">
            <w:pPr>
              <w:rPr>
                <w:rFonts w:ascii="Times New Roman" w:hAnsi="Times New Roman" w:cs="Times New Roman"/>
                <w:sz w:val="21"/>
                <w:szCs w:val="21"/>
              </w:rPr>
            </w:pPr>
            <w:r w:rsidRPr="00FD0426">
              <w:rPr>
                <w:rFonts w:ascii="Times New Roman" w:hAnsi="Times New Roman" w:cs="Times New Roman"/>
                <w:sz w:val="21"/>
                <w:szCs w:val="21"/>
              </w:rPr>
              <w:t>Japan</w:t>
            </w:r>
          </w:p>
          <w:p w14:paraId="1AA53149" w14:textId="77777777" w:rsidR="00920379" w:rsidRPr="00FD0426" w:rsidRDefault="00920379" w:rsidP="00920379">
            <w:pPr>
              <w:rPr>
                <w:rFonts w:ascii="Times New Roman" w:hAnsi="Times New Roman" w:cs="Times New Roman"/>
                <w:sz w:val="21"/>
                <w:szCs w:val="21"/>
              </w:rPr>
            </w:pPr>
          </w:p>
        </w:tc>
        <w:tc>
          <w:tcPr>
            <w:tcW w:w="527" w:type="pct"/>
          </w:tcPr>
          <w:p w14:paraId="4E606FA5"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0.66</w:t>
            </w:r>
          </w:p>
        </w:tc>
        <w:tc>
          <w:tcPr>
            <w:tcW w:w="391" w:type="pct"/>
          </w:tcPr>
          <w:p w14:paraId="64A7FAA2"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4.83</w:t>
            </w:r>
          </w:p>
        </w:tc>
        <w:tc>
          <w:tcPr>
            <w:tcW w:w="555" w:type="pct"/>
          </w:tcPr>
          <w:p w14:paraId="1B47160F"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0.07</w:t>
            </w:r>
          </w:p>
          <w:p w14:paraId="112604EF"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(8.35)</w:t>
            </w:r>
          </w:p>
        </w:tc>
        <w:tc>
          <w:tcPr>
            <w:tcW w:w="555" w:type="pct"/>
          </w:tcPr>
          <w:p w14:paraId="7A98033C"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1.00</w:t>
            </w:r>
          </w:p>
          <w:p w14:paraId="34C120C4"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(36.59)</w:t>
            </w:r>
          </w:p>
        </w:tc>
        <w:tc>
          <w:tcPr>
            <w:tcW w:w="555" w:type="pct"/>
          </w:tcPr>
          <w:p w14:paraId="7012BE5D"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0.18</w:t>
            </w:r>
          </w:p>
          <w:p w14:paraId="1A1DFAB6"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(5.81)</w:t>
            </w:r>
          </w:p>
        </w:tc>
        <w:tc>
          <w:tcPr>
            <w:tcW w:w="555" w:type="pct"/>
          </w:tcPr>
          <w:p w14:paraId="0B27D496"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-0.10</w:t>
            </w:r>
          </w:p>
          <w:p w14:paraId="12134860"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(-22.70)</w:t>
            </w:r>
          </w:p>
        </w:tc>
        <w:tc>
          <w:tcPr>
            <w:tcW w:w="508" w:type="pct"/>
          </w:tcPr>
          <w:p w14:paraId="08CC421A"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0.01</w:t>
            </w:r>
          </w:p>
          <w:p w14:paraId="1F108DE7"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(3.09)</w:t>
            </w:r>
          </w:p>
        </w:tc>
        <w:tc>
          <w:tcPr>
            <w:tcW w:w="149" w:type="pct"/>
          </w:tcPr>
          <w:p w14:paraId="5920A212" w14:textId="77777777" w:rsidR="00920379" w:rsidRPr="00FD0426" w:rsidRDefault="00920379" w:rsidP="00920379">
            <w:pPr>
              <w:jc w:val="center"/>
              <w:rPr>
                <w:rFonts w:ascii="Times New Roman" w:hAnsi="Times New Roman" w:cs="Times New Roman"/>
                <w:sz w:val="21"/>
                <w:szCs w:val="21"/>
              </w:rPr>
            </w:pPr>
          </w:p>
        </w:tc>
        <w:tc>
          <w:tcPr>
            <w:tcW w:w="389" w:type="pct"/>
            <w:tcBorders>
              <w:right w:val="nil"/>
            </w:tcBorders>
          </w:tcPr>
          <w:p w14:paraId="53F66D7F"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0.75</w:t>
            </w:r>
          </w:p>
        </w:tc>
      </w:tr>
      <w:tr w:rsidR="00395699" w14:paraId="407684A4" w14:textId="77777777" w:rsidTr="000C587D">
        <w:tc>
          <w:tcPr>
            <w:tcW w:w="816" w:type="pct"/>
            <w:tcBorders>
              <w:left w:val="nil"/>
            </w:tcBorders>
          </w:tcPr>
          <w:p w14:paraId="6405C6AF" w14:textId="08A86199" w:rsidR="00A4679F" w:rsidRPr="00FD0426" w:rsidRDefault="00F35E89" w:rsidP="00920379">
            <w:pPr>
              <w:rPr>
                <w:rFonts w:ascii="Times New Roman" w:hAnsi="Times New Roman" w:cs="Times New Roman"/>
                <w:sz w:val="21"/>
                <w:szCs w:val="21"/>
              </w:rPr>
            </w:pPr>
            <w:r>
              <w:rPr>
                <w:rFonts w:ascii="Times New Roman" w:hAnsi="Times New Roman" w:cs="Times New Roman"/>
                <w:sz w:val="21"/>
                <w:szCs w:val="21"/>
              </w:rPr>
              <w:t>Norway</w:t>
            </w:r>
          </w:p>
        </w:tc>
        <w:tc>
          <w:tcPr>
            <w:tcW w:w="527" w:type="pct"/>
          </w:tcPr>
          <w:p w14:paraId="4CA41D10" w14:textId="5F51BDC8" w:rsidR="00A4679F" w:rsidRPr="00FD0426" w:rsidRDefault="00F35E89" w:rsidP="00920379">
            <w:pPr>
              <w:jc w:val="center"/>
              <w:rPr>
                <w:rFonts w:ascii="Times New Roman" w:hAnsi="Times New Roman" w:cs="Times New Roman"/>
                <w:sz w:val="21"/>
                <w:szCs w:val="21"/>
              </w:rPr>
            </w:pPr>
            <w:r>
              <w:rPr>
                <w:rFonts w:ascii="Times New Roman" w:hAnsi="Times New Roman" w:cs="Times New Roman"/>
                <w:sz w:val="21"/>
                <w:szCs w:val="21"/>
              </w:rPr>
              <w:t>1.19</w:t>
            </w:r>
          </w:p>
        </w:tc>
        <w:tc>
          <w:tcPr>
            <w:tcW w:w="391" w:type="pct"/>
          </w:tcPr>
          <w:p w14:paraId="4EFBC175" w14:textId="2EACB9A4" w:rsidR="00A4679F" w:rsidRPr="00FD0426" w:rsidRDefault="00F35E89" w:rsidP="00920379">
            <w:pPr>
              <w:jc w:val="center"/>
              <w:rPr>
                <w:rFonts w:ascii="Times New Roman" w:hAnsi="Times New Roman" w:cs="Times New Roman"/>
                <w:sz w:val="21"/>
                <w:szCs w:val="21"/>
              </w:rPr>
            </w:pPr>
            <w:r>
              <w:rPr>
                <w:rFonts w:ascii="Times New Roman" w:hAnsi="Times New Roman" w:cs="Times New Roman"/>
                <w:sz w:val="21"/>
                <w:szCs w:val="21"/>
              </w:rPr>
              <w:t>7.5</w:t>
            </w:r>
            <w:r w:rsidR="000F3651">
              <w:rPr>
                <w:rFonts w:ascii="Times New Roman" w:hAnsi="Times New Roman" w:cs="Times New Roman"/>
                <w:sz w:val="21"/>
                <w:szCs w:val="21"/>
              </w:rPr>
              <w:t>3</w:t>
            </w:r>
          </w:p>
        </w:tc>
        <w:tc>
          <w:tcPr>
            <w:tcW w:w="555" w:type="pct"/>
          </w:tcPr>
          <w:p w14:paraId="0FCC4338" w14:textId="77777777" w:rsidR="00A4679F" w:rsidRDefault="00F35E89" w:rsidP="00920379">
            <w:pPr>
              <w:jc w:val="center"/>
              <w:rPr>
                <w:rFonts w:ascii="Times New Roman" w:hAnsi="Times New Roman" w:cs="Times New Roman"/>
                <w:sz w:val="21"/>
                <w:szCs w:val="21"/>
              </w:rPr>
            </w:pPr>
            <w:r>
              <w:rPr>
                <w:rFonts w:ascii="Times New Roman" w:hAnsi="Times New Roman" w:cs="Times New Roman"/>
                <w:sz w:val="21"/>
                <w:szCs w:val="21"/>
              </w:rPr>
              <w:t>0.22</w:t>
            </w:r>
          </w:p>
          <w:p w14:paraId="2B398CC2" w14:textId="0F9338E6" w:rsidR="00A4679F" w:rsidRPr="00FD0426" w:rsidRDefault="00F35E89" w:rsidP="00920379">
            <w:pPr>
              <w:jc w:val="center"/>
              <w:rPr>
                <w:rFonts w:ascii="Times New Roman" w:hAnsi="Times New Roman" w:cs="Times New Roman"/>
                <w:sz w:val="21"/>
                <w:szCs w:val="21"/>
              </w:rPr>
            </w:pPr>
            <w:r>
              <w:rPr>
                <w:rFonts w:ascii="Times New Roman" w:hAnsi="Times New Roman" w:cs="Times New Roman"/>
                <w:sz w:val="21"/>
                <w:szCs w:val="21"/>
              </w:rPr>
              <w:t>(</w:t>
            </w:r>
            <w:r w:rsidR="000F3651">
              <w:rPr>
                <w:rFonts w:ascii="Times New Roman" w:hAnsi="Times New Roman" w:cs="Times New Roman"/>
                <w:sz w:val="21"/>
                <w:szCs w:val="21"/>
              </w:rPr>
              <w:t>4</w:t>
            </w:r>
            <w:r>
              <w:rPr>
                <w:rFonts w:ascii="Times New Roman" w:hAnsi="Times New Roman" w:cs="Times New Roman"/>
                <w:sz w:val="21"/>
                <w:szCs w:val="21"/>
              </w:rPr>
              <w:t>.</w:t>
            </w:r>
            <w:r w:rsidR="000F3651">
              <w:rPr>
                <w:rFonts w:ascii="Times New Roman" w:hAnsi="Times New Roman" w:cs="Times New Roman"/>
                <w:sz w:val="21"/>
                <w:szCs w:val="21"/>
              </w:rPr>
              <w:t>07</w:t>
            </w:r>
            <w:r>
              <w:rPr>
                <w:rFonts w:ascii="Times New Roman" w:hAnsi="Times New Roman" w:cs="Times New Roman"/>
                <w:sz w:val="21"/>
                <w:szCs w:val="21"/>
              </w:rPr>
              <w:t>)</w:t>
            </w:r>
          </w:p>
        </w:tc>
        <w:tc>
          <w:tcPr>
            <w:tcW w:w="555" w:type="pct"/>
          </w:tcPr>
          <w:p w14:paraId="7C436FDD" w14:textId="77777777" w:rsidR="00A4679F" w:rsidRDefault="00F35E89" w:rsidP="00920379">
            <w:pPr>
              <w:jc w:val="center"/>
              <w:rPr>
                <w:rFonts w:ascii="Times New Roman" w:hAnsi="Times New Roman" w:cs="Times New Roman"/>
                <w:sz w:val="21"/>
                <w:szCs w:val="21"/>
              </w:rPr>
            </w:pPr>
            <w:r>
              <w:rPr>
                <w:rFonts w:ascii="Times New Roman" w:hAnsi="Times New Roman" w:cs="Times New Roman"/>
                <w:sz w:val="21"/>
                <w:szCs w:val="21"/>
              </w:rPr>
              <w:t>1.31</w:t>
            </w:r>
          </w:p>
          <w:p w14:paraId="59D9AD7D" w14:textId="3E5C7A18" w:rsidR="00A4679F" w:rsidRPr="00FD0426" w:rsidRDefault="00F35E89" w:rsidP="00920379">
            <w:pPr>
              <w:jc w:val="center"/>
              <w:rPr>
                <w:rFonts w:ascii="Times New Roman" w:hAnsi="Times New Roman" w:cs="Times New Roman"/>
                <w:sz w:val="21"/>
                <w:szCs w:val="21"/>
              </w:rPr>
            </w:pPr>
            <w:r>
              <w:rPr>
                <w:rFonts w:ascii="Times New Roman" w:hAnsi="Times New Roman" w:cs="Times New Roman"/>
                <w:sz w:val="21"/>
                <w:szCs w:val="21"/>
              </w:rPr>
              <w:t>(52.15</w:t>
            </w:r>
          </w:p>
        </w:tc>
        <w:tc>
          <w:tcPr>
            <w:tcW w:w="555" w:type="pct"/>
          </w:tcPr>
          <w:p w14:paraId="137FCC29" w14:textId="1BFB1443" w:rsidR="00A4679F" w:rsidRDefault="00F35E89" w:rsidP="00920379">
            <w:pPr>
              <w:jc w:val="center"/>
              <w:rPr>
                <w:rFonts w:ascii="Times New Roman" w:hAnsi="Times New Roman" w:cs="Times New Roman"/>
                <w:sz w:val="21"/>
                <w:szCs w:val="21"/>
              </w:rPr>
            </w:pPr>
            <w:r>
              <w:rPr>
                <w:rFonts w:ascii="Times New Roman" w:hAnsi="Times New Roman" w:cs="Times New Roman"/>
                <w:sz w:val="21"/>
                <w:szCs w:val="21"/>
              </w:rPr>
              <w:t>0.</w:t>
            </w:r>
            <w:r w:rsidR="00AB6DE6">
              <w:rPr>
                <w:rFonts w:ascii="Times New Roman" w:hAnsi="Times New Roman" w:cs="Times New Roman"/>
                <w:sz w:val="21"/>
                <w:szCs w:val="21"/>
              </w:rPr>
              <w:t>59</w:t>
            </w:r>
          </w:p>
          <w:p w14:paraId="0EE18B66" w14:textId="6A1F475E" w:rsidR="00A4679F" w:rsidRPr="00FD0426" w:rsidRDefault="00F35E89" w:rsidP="00920379">
            <w:pPr>
              <w:jc w:val="center"/>
              <w:rPr>
                <w:rFonts w:ascii="Times New Roman" w:hAnsi="Times New Roman" w:cs="Times New Roman"/>
                <w:sz w:val="21"/>
                <w:szCs w:val="21"/>
              </w:rPr>
            </w:pPr>
            <w:r>
              <w:rPr>
                <w:rFonts w:ascii="Times New Roman" w:hAnsi="Times New Roman" w:cs="Times New Roman"/>
                <w:sz w:val="21"/>
                <w:szCs w:val="21"/>
              </w:rPr>
              <w:t>(17.39)</w:t>
            </w:r>
          </w:p>
        </w:tc>
        <w:tc>
          <w:tcPr>
            <w:tcW w:w="555" w:type="pct"/>
          </w:tcPr>
          <w:p w14:paraId="732C2249" w14:textId="16C7C50E" w:rsidR="00A4679F" w:rsidRDefault="00F35E89" w:rsidP="00920379">
            <w:pPr>
              <w:jc w:val="center"/>
              <w:rPr>
                <w:rFonts w:ascii="Times New Roman" w:hAnsi="Times New Roman" w:cs="Times New Roman"/>
                <w:sz w:val="21"/>
                <w:szCs w:val="21"/>
              </w:rPr>
            </w:pPr>
            <w:r>
              <w:rPr>
                <w:rFonts w:ascii="Times New Roman" w:hAnsi="Times New Roman" w:cs="Times New Roman"/>
                <w:sz w:val="21"/>
                <w:szCs w:val="21"/>
              </w:rPr>
              <w:t>-0.0</w:t>
            </w:r>
            <w:r w:rsidR="00AB6DE6">
              <w:rPr>
                <w:rFonts w:ascii="Times New Roman" w:hAnsi="Times New Roman" w:cs="Times New Roman"/>
                <w:sz w:val="21"/>
                <w:szCs w:val="21"/>
              </w:rPr>
              <w:t>4</w:t>
            </w:r>
          </w:p>
          <w:p w14:paraId="7DAD8C9C" w14:textId="5CBA0FB9" w:rsidR="00A4679F" w:rsidRPr="00FD0426" w:rsidRDefault="00F35E89" w:rsidP="00920379">
            <w:pPr>
              <w:jc w:val="center"/>
              <w:rPr>
                <w:rFonts w:ascii="Times New Roman" w:hAnsi="Times New Roman" w:cs="Times New Roman"/>
                <w:sz w:val="21"/>
                <w:szCs w:val="21"/>
              </w:rPr>
            </w:pPr>
            <w:r>
              <w:rPr>
                <w:rFonts w:ascii="Times New Roman" w:hAnsi="Times New Roman" w:cs="Times New Roman"/>
                <w:sz w:val="21"/>
                <w:szCs w:val="21"/>
              </w:rPr>
              <w:t>(-</w:t>
            </w:r>
            <w:r w:rsidR="000F3651">
              <w:rPr>
                <w:rFonts w:ascii="Times New Roman" w:hAnsi="Times New Roman" w:cs="Times New Roman"/>
                <w:sz w:val="21"/>
                <w:szCs w:val="21"/>
              </w:rPr>
              <w:t>1.21</w:t>
            </w:r>
            <w:r>
              <w:rPr>
                <w:rFonts w:ascii="Times New Roman" w:hAnsi="Times New Roman" w:cs="Times New Roman"/>
                <w:sz w:val="21"/>
                <w:szCs w:val="21"/>
              </w:rPr>
              <w:t>)</w:t>
            </w:r>
          </w:p>
        </w:tc>
        <w:tc>
          <w:tcPr>
            <w:tcW w:w="508" w:type="pct"/>
          </w:tcPr>
          <w:p w14:paraId="4469A09E" w14:textId="77777777" w:rsidR="00A4679F" w:rsidRDefault="00F35E89" w:rsidP="00920379">
            <w:pPr>
              <w:jc w:val="center"/>
              <w:rPr>
                <w:rFonts w:ascii="Times New Roman" w:hAnsi="Times New Roman" w:cs="Times New Roman"/>
                <w:sz w:val="21"/>
                <w:szCs w:val="21"/>
              </w:rPr>
            </w:pPr>
            <w:r>
              <w:rPr>
                <w:rFonts w:ascii="Times New Roman" w:hAnsi="Times New Roman" w:cs="Times New Roman"/>
                <w:sz w:val="21"/>
                <w:szCs w:val="21"/>
              </w:rPr>
              <w:t>0.07</w:t>
            </w:r>
          </w:p>
          <w:p w14:paraId="05F84498" w14:textId="74BBF5ED" w:rsidR="00A4679F" w:rsidRPr="00FD0426" w:rsidRDefault="00F35E89" w:rsidP="00920379">
            <w:pPr>
              <w:jc w:val="center"/>
              <w:rPr>
                <w:rFonts w:ascii="Times New Roman" w:hAnsi="Times New Roman" w:cs="Times New Roman"/>
                <w:sz w:val="21"/>
                <w:szCs w:val="21"/>
              </w:rPr>
            </w:pPr>
            <w:r>
              <w:rPr>
                <w:rFonts w:ascii="Times New Roman" w:hAnsi="Times New Roman" w:cs="Times New Roman"/>
                <w:sz w:val="21"/>
                <w:szCs w:val="21"/>
              </w:rPr>
              <w:t>(4.93)</w:t>
            </w:r>
          </w:p>
        </w:tc>
        <w:tc>
          <w:tcPr>
            <w:tcW w:w="149" w:type="pct"/>
          </w:tcPr>
          <w:p w14:paraId="206C41E1" w14:textId="77777777" w:rsidR="00A4679F" w:rsidRPr="00FD0426" w:rsidRDefault="00A4679F" w:rsidP="00920379">
            <w:pPr>
              <w:jc w:val="center"/>
              <w:rPr>
                <w:rFonts w:ascii="Times New Roman" w:hAnsi="Times New Roman" w:cs="Times New Roman"/>
                <w:sz w:val="21"/>
                <w:szCs w:val="21"/>
              </w:rPr>
            </w:pPr>
          </w:p>
        </w:tc>
        <w:tc>
          <w:tcPr>
            <w:tcW w:w="389" w:type="pct"/>
            <w:tcBorders>
              <w:right w:val="nil"/>
            </w:tcBorders>
          </w:tcPr>
          <w:p w14:paraId="7428133A" w14:textId="3380BDCD" w:rsidR="00A4679F" w:rsidRPr="00FD0426" w:rsidRDefault="00F35E89" w:rsidP="00920379">
            <w:pPr>
              <w:jc w:val="center"/>
              <w:rPr>
                <w:rFonts w:ascii="Times New Roman" w:hAnsi="Times New Roman" w:cs="Times New Roman"/>
                <w:sz w:val="21"/>
                <w:szCs w:val="21"/>
              </w:rPr>
            </w:pPr>
            <w:r>
              <w:rPr>
                <w:rFonts w:ascii="Times New Roman" w:hAnsi="Times New Roman" w:cs="Times New Roman"/>
                <w:sz w:val="21"/>
                <w:szCs w:val="21"/>
              </w:rPr>
              <w:t>0.7</w:t>
            </w:r>
            <w:r w:rsidR="000F3651">
              <w:rPr>
                <w:rFonts w:ascii="Times New Roman" w:hAnsi="Times New Roman" w:cs="Times New Roman"/>
                <w:sz w:val="21"/>
                <w:szCs w:val="21"/>
              </w:rPr>
              <w:t>8</w:t>
            </w:r>
          </w:p>
        </w:tc>
      </w:tr>
      <w:tr w:rsidR="00395699" w14:paraId="2229D334" w14:textId="77777777" w:rsidTr="000C587D">
        <w:tc>
          <w:tcPr>
            <w:tcW w:w="816" w:type="pct"/>
            <w:tcBorders>
              <w:left w:val="nil"/>
            </w:tcBorders>
          </w:tcPr>
          <w:p w14:paraId="43E2CB90" w14:textId="77777777" w:rsidR="00920379" w:rsidRPr="00FD0426" w:rsidRDefault="00F35E89" w:rsidP="00920379">
            <w:pPr>
              <w:rPr>
                <w:rFonts w:ascii="Times New Roman" w:hAnsi="Times New Roman" w:cs="Times New Roman"/>
                <w:sz w:val="21"/>
                <w:szCs w:val="21"/>
              </w:rPr>
            </w:pPr>
            <w:r w:rsidRPr="00FD0426">
              <w:rPr>
                <w:rFonts w:ascii="Times New Roman" w:hAnsi="Times New Roman" w:cs="Times New Roman"/>
                <w:sz w:val="21"/>
                <w:szCs w:val="21"/>
              </w:rPr>
              <w:t>Switzerland</w:t>
            </w:r>
          </w:p>
        </w:tc>
        <w:tc>
          <w:tcPr>
            <w:tcW w:w="527" w:type="pct"/>
          </w:tcPr>
          <w:p w14:paraId="6EA81B9E"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1.27</w:t>
            </w:r>
          </w:p>
        </w:tc>
        <w:tc>
          <w:tcPr>
            <w:tcW w:w="391" w:type="pct"/>
          </w:tcPr>
          <w:p w14:paraId="4238611A"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4.73</w:t>
            </w:r>
          </w:p>
        </w:tc>
        <w:tc>
          <w:tcPr>
            <w:tcW w:w="555" w:type="pct"/>
          </w:tcPr>
          <w:p w14:paraId="07F20115"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0.26</w:t>
            </w:r>
          </w:p>
          <w:p w14:paraId="6A2045EA"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(12.22)</w:t>
            </w:r>
          </w:p>
        </w:tc>
        <w:tc>
          <w:tcPr>
            <w:tcW w:w="555" w:type="pct"/>
          </w:tcPr>
          <w:p w14:paraId="73270031"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0.87</w:t>
            </w:r>
          </w:p>
          <w:p w14:paraId="3A3F3E01"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(27.47)</w:t>
            </w:r>
          </w:p>
        </w:tc>
        <w:tc>
          <w:tcPr>
            <w:tcW w:w="555" w:type="pct"/>
          </w:tcPr>
          <w:p w14:paraId="273A7CEA"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0.13</w:t>
            </w:r>
          </w:p>
          <w:p w14:paraId="09D6DA9A"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(10.39)</w:t>
            </w:r>
          </w:p>
        </w:tc>
        <w:tc>
          <w:tcPr>
            <w:tcW w:w="555" w:type="pct"/>
          </w:tcPr>
          <w:p w14:paraId="128D0543"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-0.17</w:t>
            </w:r>
          </w:p>
          <w:p w14:paraId="470FA179"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(-16.39)</w:t>
            </w:r>
          </w:p>
        </w:tc>
        <w:tc>
          <w:tcPr>
            <w:tcW w:w="508" w:type="pct"/>
          </w:tcPr>
          <w:p w14:paraId="3DB27965" w14:textId="1D364BA1" w:rsidR="00920379" w:rsidRPr="00FD0426" w:rsidRDefault="00F35E89" w:rsidP="00920379">
            <w:pPr>
              <w:jc w:val="center"/>
              <w:rPr>
                <w:rFonts w:ascii="Times New Roman" w:hAnsi="Times New Roman" w:cs="Times New Roman"/>
                <w:sz w:val="21"/>
                <w:szCs w:val="21"/>
              </w:rPr>
            </w:pPr>
            <w:r>
              <w:rPr>
                <w:rFonts w:ascii="Times New Roman" w:hAnsi="Times New Roman" w:cs="Times New Roman"/>
                <w:sz w:val="21"/>
                <w:szCs w:val="21"/>
              </w:rPr>
              <w:t>5</w:t>
            </w:r>
            <w:r w:rsidR="00F2516E" w:rsidRPr="00FD0426">
              <w:rPr>
                <w:rFonts w:ascii="Times New Roman" w:hAnsi="Times New Roman" w:cs="Times New Roman"/>
                <w:sz w:val="21"/>
                <w:szCs w:val="21"/>
              </w:rPr>
              <w:t>.</w:t>
            </w:r>
            <w:r>
              <w:rPr>
                <w:rFonts w:ascii="Times New Roman" w:hAnsi="Times New Roman" w:cs="Times New Roman"/>
                <w:sz w:val="21"/>
                <w:szCs w:val="21"/>
              </w:rPr>
              <w:t>22</w:t>
            </w:r>
          </w:p>
          <w:p w14:paraId="02E7FAC0"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(7.94)</w:t>
            </w:r>
          </w:p>
        </w:tc>
        <w:tc>
          <w:tcPr>
            <w:tcW w:w="149" w:type="pct"/>
          </w:tcPr>
          <w:p w14:paraId="188B502C" w14:textId="77777777" w:rsidR="00920379" w:rsidRPr="00FD0426" w:rsidRDefault="00920379" w:rsidP="00920379">
            <w:pPr>
              <w:jc w:val="center"/>
              <w:rPr>
                <w:rFonts w:ascii="Times New Roman" w:hAnsi="Times New Roman" w:cs="Times New Roman"/>
                <w:sz w:val="21"/>
                <w:szCs w:val="21"/>
              </w:rPr>
            </w:pPr>
          </w:p>
        </w:tc>
        <w:tc>
          <w:tcPr>
            <w:tcW w:w="389" w:type="pct"/>
            <w:tcBorders>
              <w:right w:val="nil"/>
            </w:tcBorders>
          </w:tcPr>
          <w:p w14:paraId="338F7936"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0.78</w:t>
            </w:r>
          </w:p>
        </w:tc>
      </w:tr>
      <w:tr w:rsidR="00395699" w14:paraId="09271242" w14:textId="77777777" w:rsidTr="000C587D">
        <w:trPr>
          <w:trHeight w:val="79"/>
        </w:trPr>
        <w:tc>
          <w:tcPr>
            <w:tcW w:w="816" w:type="pct"/>
            <w:tcBorders>
              <w:left w:val="nil"/>
            </w:tcBorders>
          </w:tcPr>
          <w:p w14:paraId="3998296A" w14:textId="5649EA12" w:rsidR="00920379" w:rsidRPr="00FD0426" w:rsidRDefault="00F35E89" w:rsidP="00920379">
            <w:pPr>
              <w:rPr>
                <w:rFonts w:ascii="Times New Roman" w:hAnsi="Times New Roman" w:cs="Times New Roman"/>
                <w:sz w:val="21"/>
                <w:szCs w:val="21"/>
                <w:highlight w:val="yellow"/>
              </w:rPr>
            </w:pPr>
            <w:r w:rsidRPr="00FD0426">
              <w:rPr>
                <w:rFonts w:ascii="Times New Roman" w:hAnsi="Times New Roman" w:cs="Times New Roman"/>
                <w:sz w:val="21"/>
                <w:szCs w:val="21"/>
              </w:rPr>
              <w:t>UK</w:t>
            </w:r>
          </w:p>
        </w:tc>
        <w:tc>
          <w:tcPr>
            <w:tcW w:w="527" w:type="pct"/>
          </w:tcPr>
          <w:p w14:paraId="1D7991D7" w14:textId="531615E8"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w:t>
            </w:r>
            <w:r w:rsidR="006405DD">
              <w:rPr>
                <w:rFonts w:ascii="Times New Roman" w:hAnsi="Times New Roman" w:cs="Times New Roman"/>
                <w:sz w:val="21"/>
                <w:szCs w:val="21"/>
              </w:rPr>
              <w:t>6</w:t>
            </w:r>
            <w:r w:rsidRPr="00FD0426">
              <w:rPr>
                <w:rFonts w:ascii="Times New Roman" w:hAnsi="Times New Roman" w:cs="Times New Roman"/>
                <w:sz w:val="21"/>
                <w:szCs w:val="21"/>
              </w:rPr>
              <w:t>4</w:t>
            </w:r>
          </w:p>
        </w:tc>
        <w:tc>
          <w:tcPr>
            <w:tcW w:w="391" w:type="pct"/>
          </w:tcPr>
          <w:p w14:paraId="5BDC9FC6"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5.21</w:t>
            </w:r>
          </w:p>
        </w:tc>
        <w:tc>
          <w:tcPr>
            <w:tcW w:w="555" w:type="pct"/>
          </w:tcPr>
          <w:p w14:paraId="39EA5163" w14:textId="147A9A49"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w:t>
            </w:r>
            <w:r w:rsidR="006405DD">
              <w:rPr>
                <w:rFonts w:ascii="Times New Roman" w:hAnsi="Times New Roman" w:cs="Times New Roman"/>
                <w:sz w:val="21"/>
                <w:szCs w:val="21"/>
              </w:rPr>
              <w:t>10</w:t>
            </w:r>
          </w:p>
          <w:p w14:paraId="6D41105D" w14:textId="75EE0DED"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w:t>
            </w:r>
            <w:r w:rsidR="006405DD">
              <w:rPr>
                <w:rFonts w:ascii="Times New Roman" w:hAnsi="Times New Roman" w:cs="Times New Roman"/>
                <w:sz w:val="21"/>
                <w:szCs w:val="21"/>
              </w:rPr>
              <w:t>6</w:t>
            </w:r>
            <w:r w:rsidRPr="00FD0426">
              <w:rPr>
                <w:rFonts w:ascii="Times New Roman" w:hAnsi="Times New Roman" w:cs="Times New Roman"/>
                <w:sz w:val="21"/>
                <w:szCs w:val="21"/>
              </w:rPr>
              <w:t>.</w:t>
            </w:r>
            <w:r w:rsidR="006405DD">
              <w:rPr>
                <w:rFonts w:ascii="Times New Roman" w:hAnsi="Times New Roman" w:cs="Times New Roman"/>
                <w:sz w:val="21"/>
                <w:szCs w:val="21"/>
              </w:rPr>
              <w:t>85</w:t>
            </w:r>
            <w:r w:rsidRPr="00FD0426">
              <w:rPr>
                <w:rFonts w:ascii="Times New Roman" w:hAnsi="Times New Roman" w:cs="Times New Roman"/>
                <w:sz w:val="21"/>
                <w:szCs w:val="21"/>
              </w:rPr>
              <w:t>)</w:t>
            </w:r>
          </w:p>
        </w:tc>
        <w:tc>
          <w:tcPr>
            <w:tcW w:w="555" w:type="pct"/>
          </w:tcPr>
          <w:p w14:paraId="741DB1F9" w14:textId="46F66B83"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0.9</w:t>
            </w:r>
            <w:r w:rsidR="006405DD">
              <w:rPr>
                <w:rFonts w:ascii="Times New Roman" w:hAnsi="Times New Roman" w:cs="Times New Roman"/>
                <w:sz w:val="21"/>
                <w:szCs w:val="21"/>
              </w:rPr>
              <w:t>1</w:t>
            </w:r>
          </w:p>
          <w:p w14:paraId="324196C4" w14:textId="3DFC47CF"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w:t>
            </w:r>
            <w:r w:rsidR="006405DD">
              <w:rPr>
                <w:rFonts w:ascii="Times New Roman" w:hAnsi="Times New Roman" w:cs="Times New Roman"/>
                <w:sz w:val="21"/>
                <w:szCs w:val="21"/>
              </w:rPr>
              <w:t>32</w:t>
            </w:r>
            <w:r w:rsidRPr="00FD0426">
              <w:rPr>
                <w:rFonts w:ascii="Times New Roman" w:hAnsi="Times New Roman" w:cs="Times New Roman"/>
                <w:sz w:val="21"/>
                <w:szCs w:val="21"/>
              </w:rPr>
              <w:t>.8</w:t>
            </w:r>
            <w:r w:rsidR="006405DD">
              <w:rPr>
                <w:rFonts w:ascii="Times New Roman" w:hAnsi="Times New Roman" w:cs="Times New Roman"/>
                <w:sz w:val="21"/>
                <w:szCs w:val="21"/>
              </w:rPr>
              <w:t>5</w:t>
            </w:r>
            <w:r w:rsidRPr="00FD0426">
              <w:rPr>
                <w:rFonts w:ascii="Times New Roman" w:hAnsi="Times New Roman" w:cs="Times New Roman"/>
                <w:sz w:val="21"/>
                <w:szCs w:val="21"/>
              </w:rPr>
              <w:t>)</w:t>
            </w:r>
          </w:p>
        </w:tc>
        <w:tc>
          <w:tcPr>
            <w:tcW w:w="555" w:type="pct"/>
          </w:tcPr>
          <w:p w14:paraId="1941BA0B" w14:textId="29E111B0"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w:t>
            </w:r>
            <w:r w:rsidR="006405DD">
              <w:rPr>
                <w:rFonts w:ascii="Times New Roman" w:hAnsi="Times New Roman" w:cs="Times New Roman"/>
                <w:sz w:val="21"/>
                <w:szCs w:val="21"/>
              </w:rPr>
              <w:t>54</w:t>
            </w:r>
          </w:p>
          <w:p w14:paraId="098AED80" w14:textId="728F3F84"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w:t>
            </w:r>
            <w:r w:rsidR="006405DD">
              <w:rPr>
                <w:rFonts w:ascii="Times New Roman" w:hAnsi="Times New Roman" w:cs="Times New Roman"/>
                <w:sz w:val="21"/>
                <w:szCs w:val="21"/>
              </w:rPr>
              <w:t>12</w:t>
            </w:r>
            <w:r w:rsidRPr="00FD0426">
              <w:rPr>
                <w:rFonts w:ascii="Times New Roman" w:hAnsi="Times New Roman" w:cs="Times New Roman"/>
                <w:sz w:val="21"/>
                <w:szCs w:val="21"/>
              </w:rPr>
              <w:t>.74)</w:t>
            </w:r>
          </w:p>
        </w:tc>
        <w:tc>
          <w:tcPr>
            <w:tcW w:w="555" w:type="pct"/>
          </w:tcPr>
          <w:p w14:paraId="31C5EF23" w14:textId="1A3B135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w:t>
            </w:r>
            <w:r w:rsidR="006405DD">
              <w:rPr>
                <w:rFonts w:ascii="Times New Roman" w:hAnsi="Times New Roman" w:cs="Times New Roman"/>
                <w:sz w:val="21"/>
                <w:szCs w:val="21"/>
              </w:rPr>
              <w:t>21</w:t>
            </w:r>
          </w:p>
          <w:p w14:paraId="1173EEEE" w14:textId="2795CEAA"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w:t>
            </w:r>
            <w:r w:rsidR="006405DD">
              <w:rPr>
                <w:rFonts w:ascii="Times New Roman" w:hAnsi="Times New Roman" w:cs="Times New Roman"/>
                <w:sz w:val="21"/>
                <w:szCs w:val="21"/>
              </w:rPr>
              <w:t>7</w:t>
            </w:r>
            <w:r w:rsidRPr="00FD0426">
              <w:rPr>
                <w:rFonts w:ascii="Times New Roman" w:hAnsi="Times New Roman" w:cs="Times New Roman"/>
                <w:sz w:val="21"/>
                <w:szCs w:val="21"/>
              </w:rPr>
              <w:t>.24)</w:t>
            </w:r>
          </w:p>
        </w:tc>
        <w:tc>
          <w:tcPr>
            <w:tcW w:w="508" w:type="pct"/>
          </w:tcPr>
          <w:p w14:paraId="27A1D271" w14:textId="3A220119"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w:t>
            </w:r>
            <w:r w:rsidR="006405DD">
              <w:rPr>
                <w:rFonts w:ascii="Times New Roman" w:hAnsi="Times New Roman" w:cs="Times New Roman"/>
                <w:sz w:val="21"/>
                <w:szCs w:val="21"/>
              </w:rPr>
              <w:t>7</w:t>
            </w:r>
          </w:p>
          <w:p w14:paraId="0612F273" w14:textId="44B8A1B9"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w:t>
            </w:r>
            <w:r w:rsidR="006405DD">
              <w:rPr>
                <w:rFonts w:ascii="Times New Roman" w:hAnsi="Times New Roman" w:cs="Times New Roman"/>
                <w:sz w:val="21"/>
                <w:szCs w:val="21"/>
              </w:rPr>
              <w:t>4</w:t>
            </w:r>
            <w:r w:rsidRPr="00FD0426">
              <w:rPr>
                <w:rFonts w:ascii="Times New Roman" w:hAnsi="Times New Roman" w:cs="Times New Roman"/>
                <w:sz w:val="21"/>
                <w:szCs w:val="21"/>
              </w:rPr>
              <w:t>.</w:t>
            </w:r>
            <w:r w:rsidR="006405DD">
              <w:rPr>
                <w:rFonts w:ascii="Times New Roman" w:hAnsi="Times New Roman" w:cs="Times New Roman"/>
                <w:sz w:val="21"/>
                <w:szCs w:val="21"/>
              </w:rPr>
              <w:t>53</w:t>
            </w:r>
            <w:r w:rsidRPr="00FD0426">
              <w:rPr>
                <w:rFonts w:ascii="Times New Roman" w:hAnsi="Times New Roman" w:cs="Times New Roman"/>
                <w:sz w:val="21"/>
                <w:szCs w:val="21"/>
              </w:rPr>
              <w:t>)</w:t>
            </w:r>
          </w:p>
        </w:tc>
        <w:tc>
          <w:tcPr>
            <w:tcW w:w="149" w:type="pct"/>
          </w:tcPr>
          <w:p w14:paraId="1FEBDE80" w14:textId="77777777" w:rsidR="00920379" w:rsidRPr="00FD0426" w:rsidRDefault="00920379" w:rsidP="00920379">
            <w:pPr>
              <w:jc w:val="center"/>
              <w:rPr>
                <w:rFonts w:ascii="Times New Roman" w:hAnsi="Times New Roman" w:cs="Times New Roman"/>
                <w:sz w:val="21"/>
                <w:szCs w:val="21"/>
              </w:rPr>
            </w:pPr>
          </w:p>
        </w:tc>
        <w:tc>
          <w:tcPr>
            <w:tcW w:w="389" w:type="pct"/>
            <w:tcBorders>
              <w:right w:val="nil"/>
            </w:tcBorders>
          </w:tcPr>
          <w:p w14:paraId="36C39B3C" w14:textId="2F5C62C6"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0.8</w:t>
            </w:r>
            <w:r w:rsidR="006405DD">
              <w:rPr>
                <w:rFonts w:ascii="Times New Roman" w:hAnsi="Times New Roman" w:cs="Times New Roman"/>
                <w:sz w:val="21"/>
                <w:szCs w:val="21"/>
              </w:rPr>
              <w:t>1</w:t>
            </w:r>
          </w:p>
        </w:tc>
      </w:tr>
      <w:tr w:rsidR="00395699" w14:paraId="38F8048D" w14:textId="77777777" w:rsidTr="000C587D">
        <w:trPr>
          <w:trHeight w:val="137"/>
        </w:trPr>
        <w:tc>
          <w:tcPr>
            <w:tcW w:w="816" w:type="pct"/>
            <w:tcBorders>
              <w:left w:val="nil"/>
              <w:bottom w:val="single" w:sz="4" w:space="0" w:color="auto"/>
            </w:tcBorders>
            <w:shd w:val="clear" w:color="auto" w:fill="auto"/>
          </w:tcPr>
          <w:p w14:paraId="3AF43010" w14:textId="1052DCD3" w:rsidR="00920379" w:rsidRPr="00FD0426" w:rsidRDefault="00F35E89" w:rsidP="00920379">
            <w:pPr>
              <w:rPr>
                <w:rFonts w:ascii="Times New Roman" w:hAnsi="Times New Roman" w:cs="Times New Roman"/>
                <w:sz w:val="21"/>
                <w:szCs w:val="21"/>
              </w:rPr>
            </w:pPr>
            <w:r w:rsidRPr="00FD0426">
              <w:rPr>
                <w:rFonts w:ascii="Times New Roman" w:hAnsi="Times New Roman" w:cs="Times New Roman"/>
                <w:sz w:val="21"/>
                <w:szCs w:val="21"/>
              </w:rPr>
              <w:t>US</w:t>
            </w:r>
          </w:p>
        </w:tc>
        <w:tc>
          <w:tcPr>
            <w:tcW w:w="527" w:type="pct"/>
            <w:tcBorders>
              <w:bottom w:val="single" w:sz="4" w:space="0" w:color="auto"/>
            </w:tcBorders>
            <w:shd w:val="clear" w:color="auto" w:fill="auto"/>
          </w:tcPr>
          <w:p w14:paraId="44E4B798"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0.83</w:t>
            </w:r>
          </w:p>
        </w:tc>
        <w:tc>
          <w:tcPr>
            <w:tcW w:w="391" w:type="pct"/>
            <w:tcBorders>
              <w:bottom w:val="single" w:sz="4" w:space="0" w:color="auto"/>
            </w:tcBorders>
            <w:shd w:val="clear" w:color="auto" w:fill="auto"/>
          </w:tcPr>
          <w:p w14:paraId="15641DA2"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4.58</w:t>
            </w:r>
          </w:p>
        </w:tc>
        <w:tc>
          <w:tcPr>
            <w:tcW w:w="555" w:type="pct"/>
            <w:tcBorders>
              <w:bottom w:val="single" w:sz="4" w:space="0" w:color="auto"/>
            </w:tcBorders>
            <w:shd w:val="clear" w:color="auto" w:fill="auto"/>
          </w:tcPr>
          <w:p w14:paraId="3CD19A68"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0.05</w:t>
            </w:r>
          </w:p>
          <w:p w14:paraId="501D575B"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(11.60)</w:t>
            </w:r>
          </w:p>
        </w:tc>
        <w:tc>
          <w:tcPr>
            <w:tcW w:w="555" w:type="pct"/>
            <w:tcBorders>
              <w:bottom w:val="single" w:sz="4" w:space="0" w:color="auto"/>
            </w:tcBorders>
            <w:shd w:val="clear" w:color="auto" w:fill="auto"/>
          </w:tcPr>
          <w:p w14:paraId="10AD1428"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1.00</w:t>
            </w:r>
          </w:p>
          <w:p w14:paraId="5AEAEAB1"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(72.26)</w:t>
            </w:r>
          </w:p>
        </w:tc>
        <w:tc>
          <w:tcPr>
            <w:tcW w:w="555" w:type="pct"/>
            <w:tcBorders>
              <w:bottom w:val="single" w:sz="4" w:space="0" w:color="auto"/>
            </w:tcBorders>
            <w:shd w:val="clear" w:color="auto" w:fill="auto"/>
          </w:tcPr>
          <w:p w14:paraId="013A6FEE"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0.25</w:t>
            </w:r>
          </w:p>
          <w:p w14:paraId="39E4B8F4" w14:textId="717C62AF"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(21.18)</w:t>
            </w:r>
          </w:p>
        </w:tc>
        <w:tc>
          <w:tcPr>
            <w:tcW w:w="555" w:type="pct"/>
            <w:tcBorders>
              <w:bottom w:val="single" w:sz="4" w:space="0" w:color="auto"/>
            </w:tcBorders>
            <w:shd w:val="clear" w:color="auto" w:fill="auto"/>
          </w:tcPr>
          <w:p w14:paraId="16984B07"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-0.02</w:t>
            </w:r>
          </w:p>
          <w:p w14:paraId="6B82F713"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(-8.03)</w:t>
            </w:r>
          </w:p>
        </w:tc>
        <w:tc>
          <w:tcPr>
            <w:tcW w:w="508" w:type="pct"/>
            <w:tcBorders>
              <w:bottom w:val="single" w:sz="4" w:space="0" w:color="auto"/>
            </w:tcBorders>
            <w:shd w:val="clear" w:color="auto" w:fill="auto"/>
          </w:tcPr>
          <w:p w14:paraId="1A4D8233"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-0.01</w:t>
            </w:r>
          </w:p>
          <w:p w14:paraId="2A88A064"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(-1.85)</w:t>
            </w:r>
          </w:p>
        </w:tc>
        <w:tc>
          <w:tcPr>
            <w:tcW w:w="149" w:type="pct"/>
            <w:tcBorders>
              <w:bottom w:val="single" w:sz="4" w:space="0" w:color="auto"/>
            </w:tcBorders>
            <w:shd w:val="clear" w:color="auto" w:fill="auto"/>
          </w:tcPr>
          <w:p w14:paraId="567DE934" w14:textId="77777777" w:rsidR="00920379" w:rsidRPr="00FD0426" w:rsidRDefault="00920379" w:rsidP="00920379">
            <w:pPr>
              <w:jc w:val="center"/>
              <w:rPr>
                <w:rFonts w:ascii="Times New Roman" w:hAnsi="Times New Roman" w:cs="Times New Roman"/>
                <w:sz w:val="21"/>
                <w:szCs w:val="21"/>
              </w:rPr>
            </w:pPr>
          </w:p>
        </w:tc>
        <w:tc>
          <w:tcPr>
            <w:tcW w:w="389" w:type="pct"/>
            <w:tcBorders>
              <w:bottom w:val="single" w:sz="4" w:space="0" w:color="auto"/>
              <w:right w:val="nil"/>
            </w:tcBorders>
          </w:tcPr>
          <w:p w14:paraId="376857AB" w14:textId="77777777" w:rsidR="00920379" w:rsidRPr="00FD0426" w:rsidRDefault="00F35E89" w:rsidP="00920379">
            <w:pPr>
              <w:jc w:val="center"/>
              <w:rPr>
                <w:rFonts w:ascii="Times New Roman" w:hAnsi="Times New Roman" w:cs="Times New Roman"/>
                <w:sz w:val="21"/>
                <w:szCs w:val="21"/>
              </w:rPr>
            </w:pPr>
            <w:r w:rsidRPr="00FD0426">
              <w:rPr>
                <w:rFonts w:ascii="Times New Roman" w:hAnsi="Times New Roman" w:cs="Times New Roman"/>
                <w:sz w:val="21"/>
                <w:szCs w:val="21"/>
              </w:rPr>
              <w:t>0.86</w:t>
            </w:r>
          </w:p>
        </w:tc>
      </w:tr>
    </w:tbl>
    <w:p w14:paraId="070EC4A0" w14:textId="6C3C8325" w:rsidR="000C587D" w:rsidRPr="00E7038F" w:rsidRDefault="00F35E89" w:rsidP="00206EFA">
      <w:pPr>
        <w:jc w:val="both"/>
        <w:rPr>
          <w:rFonts w:ascii="Times New Roman" w:hAnsi="Times New Roman" w:cs="Times New Roman"/>
          <w:sz w:val="22"/>
          <w:szCs w:val="22"/>
        </w:rPr>
      </w:pPr>
      <w:r w:rsidRPr="00E7038F">
        <w:rPr>
          <w:rFonts w:ascii="Times New Roman" w:hAnsi="Times New Roman" w:cs="Times New Roman"/>
          <w:sz w:val="22"/>
          <w:szCs w:val="22"/>
        </w:rPr>
        <w:t>Table 4 reports the Ordinary Least Squares (OLS) regression</w:t>
      </w:r>
      <w:r>
        <w:rPr>
          <w:rFonts w:ascii="Times New Roman" w:hAnsi="Times New Roman" w:cs="Times New Roman"/>
          <w:sz w:val="22"/>
          <w:szCs w:val="22"/>
        </w:rPr>
        <w:t xml:space="preserve"> robust</w:t>
      </w:r>
      <w:r w:rsidRPr="00E7038F">
        <w:rPr>
          <w:rFonts w:ascii="Times New Roman" w:hAnsi="Times New Roman" w:cs="Times New Roman"/>
          <w:sz w:val="22"/>
          <w:szCs w:val="22"/>
        </w:rPr>
        <w:t xml:space="preserve"> results for the </w:t>
      </w:r>
      <w:r w:rsidR="004C07E0">
        <w:rPr>
          <w:rFonts w:ascii="Times New Roman" w:hAnsi="Times New Roman" w:cs="Times New Roman"/>
          <w:sz w:val="22"/>
          <w:szCs w:val="22"/>
        </w:rPr>
        <w:t>sample</w:t>
      </w:r>
      <w:r w:rsidRPr="00E7038F">
        <w:rPr>
          <w:rFonts w:ascii="Times New Roman" w:hAnsi="Times New Roman" w:cs="Times New Roman"/>
          <w:sz w:val="22"/>
          <w:szCs w:val="22"/>
        </w:rPr>
        <w:t xml:space="preserve"> countries </w:t>
      </w:r>
      <w:r w:rsidR="00F9200F">
        <w:rPr>
          <w:rFonts w:ascii="Times New Roman" w:hAnsi="Times New Roman" w:cs="Times New Roman"/>
          <w:sz w:val="22"/>
          <w:szCs w:val="22"/>
        </w:rPr>
        <w:t>between</w:t>
      </w:r>
      <w:r w:rsidRPr="00E7038F">
        <w:rPr>
          <w:rFonts w:ascii="Times New Roman" w:hAnsi="Times New Roman" w:cs="Times New Roman"/>
          <w:sz w:val="22"/>
          <w:szCs w:val="22"/>
        </w:rPr>
        <w:t xml:space="preserve"> the years 2003 and 2018.</w:t>
      </w:r>
      <w:r>
        <w:rPr>
          <w:rFonts w:ascii="Times New Roman" w:hAnsi="Times New Roman" w:cs="Times New Roman"/>
          <w:sz w:val="22"/>
          <w:szCs w:val="22"/>
        </w:rPr>
        <w:t xml:space="preserve"> </w:t>
      </w:r>
      <w:r w:rsidRPr="00E7038F">
        <w:rPr>
          <w:rFonts w:ascii="Times New Roman" w:hAnsi="Times New Roman" w:cs="Times New Roman"/>
          <w:sz w:val="22"/>
          <w:szCs w:val="22"/>
        </w:rPr>
        <w:t>The dependent variable is the monthly fund return. Mean return is the average mutual fund return for the underlying country. Alpha is the fund return gross of management fees.</w:t>
      </w:r>
      <w:r>
        <w:rPr>
          <w:rFonts w:ascii="Times New Roman" w:hAnsi="Times New Roman" w:cs="Times New Roman"/>
          <w:sz w:val="22"/>
          <w:szCs w:val="22"/>
        </w:rPr>
        <w:t xml:space="preserve"> An alpha significantly greater than 0 is an indicator that relative countries mutual funds on average beat the market.</w:t>
      </w:r>
      <w:r w:rsidRPr="00E7038F">
        <w:rPr>
          <w:rFonts w:ascii="Times New Roman" w:hAnsi="Times New Roman" w:cs="Times New Roman"/>
          <w:sz w:val="22"/>
          <w:szCs w:val="22"/>
        </w:rPr>
        <w:t xml:space="preserve"> RMRF is the factor mimicking portfolio for </w:t>
      </w:r>
      <w:r w:rsidR="00E613EF">
        <w:rPr>
          <w:rFonts w:ascii="Times New Roman" w:hAnsi="Times New Roman" w:cs="Times New Roman"/>
          <w:sz w:val="22"/>
          <w:szCs w:val="22"/>
        </w:rPr>
        <w:t>the</w:t>
      </w:r>
      <w:r w:rsidRPr="00E7038F">
        <w:rPr>
          <w:rFonts w:ascii="Times New Roman" w:hAnsi="Times New Roman" w:cs="Times New Roman"/>
          <w:sz w:val="22"/>
          <w:szCs w:val="22"/>
        </w:rPr>
        <w:t xml:space="preserve"> excess market return. SMB is the average return </w:t>
      </w:r>
      <w:r w:rsidR="00E613EF">
        <w:rPr>
          <w:rFonts w:ascii="Times New Roman" w:hAnsi="Times New Roman" w:cs="Times New Roman"/>
          <w:sz w:val="22"/>
          <w:szCs w:val="22"/>
        </w:rPr>
        <w:t>from</w:t>
      </w:r>
      <w:r w:rsidRPr="00E7038F">
        <w:rPr>
          <w:rFonts w:ascii="Times New Roman" w:hAnsi="Times New Roman" w:cs="Times New Roman"/>
          <w:sz w:val="22"/>
          <w:szCs w:val="22"/>
        </w:rPr>
        <w:t xml:space="preserve"> the difference between three small and three large-sized portfolios. HML is the average return </w:t>
      </w:r>
      <w:r w:rsidR="00E613EF">
        <w:rPr>
          <w:rFonts w:ascii="Times New Roman" w:hAnsi="Times New Roman" w:cs="Times New Roman"/>
          <w:sz w:val="22"/>
          <w:szCs w:val="22"/>
        </w:rPr>
        <w:t>from</w:t>
      </w:r>
      <w:r w:rsidRPr="00E7038F">
        <w:rPr>
          <w:rFonts w:ascii="Times New Roman" w:hAnsi="Times New Roman" w:cs="Times New Roman"/>
          <w:sz w:val="22"/>
          <w:szCs w:val="22"/>
        </w:rPr>
        <w:t xml:space="preserve"> the difference between two high book-to-market and two low book-to-market portfolios. MOM is the average return between the prior year</w:t>
      </w:r>
      <w:r w:rsidR="00E613EF">
        <w:rPr>
          <w:rFonts w:ascii="Times New Roman" w:hAnsi="Times New Roman" w:cs="Times New Roman"/>
          <w:sz w:val="22"/>
          <w:szCs w:val="22"/>
        </w:rPr>
        <w:t>’</w:t>
      </w:r>
      <w:r w:rsidRPr="00E7038F">
        <w:rPr>
          <w:rFonts w:ascii="Times New Roman" w:hAnsi="Times New Roman" w:cs="Times New Roman"/>
          <w:sz w:val="22"/>
          <w:szCs w:val="22"/>
        </w:rPr>
        <w:t xml:space="preserve">s winning and losing stocks. Numbers in the brackets </w:t>
      </w:r>
      <w:r>
        <w:rPr>
          <w:rFonts w:ascii="Times New Roman" w:hAnsi="Times New Roman" w:cs="Times New Roman"/>
          <w:sz w:val="22"/>
          <w:szCs w:val="22"/>
        </w:rPr>
        <w:t>represent</w:t>
      </w:r>
      <w:r w:rsidRPr="00E7038F">
        <w:rPr>
          <w:rFonts w:ascii="Times New Roman" w:hAnsi="Times New Roman" w:cs="Times New Roman"/>
          <w:sz w:val="22"/>
          <w:szCs w:val="22"/>
        </w:rPr>
        <w:t xml:space="preserve"> the t-statistics values.</w:t>
      </w:r>
      <w:r w:rsidR="00E3458A">
        <w:rPr>
          <w:rFonts w:ascii="Times New Roman" w:hAnsi="Times New Roman" w:cs="Times New Roman"/>
          <w:sz w:val="22"/>
          <w:szCs w:val="22"/>
        </w:rPr>
        <w:t xml:space="preserve"> </w:t>
      </w:r>
    </w:p>
    <w:p w14:paraId="7C1D5D55" w14:textId="77777777" w:rsidR="00D03379" w:rsidRDefault="00D03379" w:rsidP="00206EFA">
      <w:pPr>
        <w:pStyle w:val="Heading2"/>
        <w:spacing w:line="360" w:lineRule="auto"/>
        <w:rPr>
          <w:rFonts w:ascii="Times New Roman" w:hAnsi="Times New Roman" w:cs="Times New Roman"/>
          <w:b/>
          <w:bCs/>
        </w:rPr>
      </w:pPr>
    </w:p>
    <w:p w14:paraId="5C6CC815" w14:textId="65F17B8A" w:rsidR="001F5BED" w:rsidRPr="001F5BED" w:rsidRDefault="00F35E89" w:rsidP="00206EFA">
      <w:pPr>
        <w:pStyle w:val="Heading2"/>
        <w:spacing w:line="360" w:lineRule="auto"/>
        <w:rPr>
          <w:rFonts w:ascii="Times New Roman" w:hAnsi="Times New Roman" w:cs="Times New Roman"/>
          <w:b/>
          <w:bCs/>
        </w:rPr>
      </w:pPr>
      <w:bookmarkStart w:id="19" w:name="_Toc15419045"/>
      <w:r w:rsidRPr="001F5BED">
        <w:rPr>
          <w:rFonts w:ascii="Times New Roman" w:hAnsi="Times New Roman" w:cs="Times New Roman"/>
          <w:b/>
          <w:bCs/>
        </w:rPr>
        <w:t>4.3 F</w:t>
      </w:r>
      <w:r w:rsidR="0019214F">
        <w:rPr>
          <w:rFonts w:ascii="Times New Roman" w:hAnsi="Times New Roman" w:cs="Times New Roman"/>
          <w:b/>
          <w:bCs/>
        </w:rPr>
        <w:t>und</w:t>
      </w:r>
      <w:r w:rsidRPr="001F5BED">
        <w:rPr>
          <w:rFonts w:ascii="Times New Roman" w:hAnsi="Times New Roman" w:cs="Times New Roman"/>
          <w:b/>
          <w:bCs/>
        </w:rPr>
        <w:t xml:space="preserve"> Characteristics</w:t>
      </w:r>
      <w:bookmarkEnd w:id="19"/>
      <w:r w:rsidR="00CE6C1D">
        <w:rPr>
          <w:rFonts w:ascii="Times New Roman" w:hAnsi="Times New Roman" w:cs="Times New Roman"/>
          <w:b/>
          <w:bCs/>
        </w:rPr>
        <w:t xml:space="preserve"> </w:t>
      </w:r>
    </w:p>
    <w:p w14:paraId="68460C38" w14:textId="44753FC3" w:rsidR="00B32FF9" w:rsidRDefault="00B32FF9" w:rsidP="00B32FF9">
      <w:pPr>
        <w:rPr>
          <w:noProof/>
        </w:rPr>
      </w:pPr>
      <w:bookmarkStart w:id="20" w:name="_Toc11766488"/>
    </w:p>
    <w:p w14:paraId="1BDE776F" w14:textId="0C2A6092" w:rsidR="00604AFF" w:rsidRDefault="00F35E89" w:rsidP="0087548A">
      <w:pPr>
        <w:spacing w:line="360" w:lineRule="auto"/>
        <w:ind w:firstLine="720"/>
        <w:jc w:val="both"/>
        <w:rPr>
          <w:rFonts w:ascii="Times New Roman" w:hAnsi="Times New Roman" w:cs="Times New Roman"/>
        </w:rPr>
      </w:pPr>
      <w:r>
        <w:rPr>
          <w:rFonts w:ascii="Times New Roman" w:hAnsi="Times New Roman" w:cs="Times New Roman"/>
        </w:rPr>
        <w:t xml:space="preserve">The relationship between fund characteristics and fund performance was investigated using Fama-MacBeth (1973) cross-sectional regressions. Regressions were run only for the countries </w:t>
      </w:r>
      <w:r w:rsidR="00042A50">
        <w:rPr>
          <w:rFonts w:ascii="Times New Roman" w:hAnsi="Times New Roman" w:cs="Times New Roman"/>
        </w:rPr>
        <w:t>with feasible information on mutual fund characteristics</w:t>
      </w:r>
      <w:r>
        <w:rPr>
          <w:rFonts w:ascii="Times New Roman" w:hAnsi="Times New Roman" w:cs="Times New Roman"/>
        </w:rPr>
        <w:t>.</w:t>
      </w:r>
      <w:r w:rsidR="00042A50">
        <w:rPr>
          <w:rFonts w:ascii="Times New Roman" w:hAnsi="Times New Roman" w:cs="Times New Roman"/>
        </w:rPr>
        <w:t xml:space="preserve"> </w:t>
      </w:r>
      <w:r>
        <w:rPr>
          <w:rFonts w:ascii="Times New Roman" w:hAnsi="Times New Roman" w:cs="Times New Roman"/>
        </w:rPr>
        <w:t>These countries were the US, Norway, and India</w:t>
      </w:r>
      <w:r w:rsidR="00042A50">
        <w:rPr>
          <w:rFonts w:ascii="Times New Roman" w:hAnsi="Times New Roman" w:cs="Times New Roman"/>
        </w:rPr>
        <w:t>.</w:t>
      </w:r>
      <w:r>
        <w:rPr>
          <w:rFonts w:ascii="Times New Roman" w:hAnsi="Times New Roman" w:cs="Times New Roman"/>
        </w:rPr>
        <w:t xml:space="preserve"> </w:t>
      </w:r>
      <w:r w:rsidR="00042A50">
        <w:rPr>
          <w:rFonts w:ascii="Times New Roman" w:hAnsi="Times New Roman" w:cs="Times New Roman"/>
        </w:rPr>
        <w:t xml:space="preserve"> Feasibility of the data is further discussed in section</w:t>
      </w:r>
      <w:r>
        <w:rPr>
          <w:rFonts w:ascii="Times New Roman" w:hAnsi="Times New Roman" w:cs="Times New Roman"/>
        </w:rPr>
        <w:t xml:space="preserve"> </w:t>
      </w:r>
      <w:r w:rsidRPr="00604AFF">
        <w:rPr>
          <w:rFonts w:ascii="Times New Roman" w:hAnsi="Times New Roman" w:cs="Times New Roman"/>
        </w:rPr>
        <w:fldChar w:fldCharType="begin"/>
      </w:r>
      <w:r w:rsidRPr="00604AFF">
        <w:rPr>
          <w:rFonts w:ascii="Times New Roman" w:hAnsi="Times New Roman" w:cs="Times New Roman"/>
        </w:rPr>
        <w:instrText xml:space="preserve"> REF _Ref14910523 \h  \* MERGEFORMAT </w:instrText>
      </w:r>
      <w:r w:rsidRPr="00604AFF">
        <w:rPr>
          <w:rFonts w:ascii="Times New Roman" w:hAnsi="Times New Roman" w:cs="Times New Roman"/>
        </w:rPr>
      </w:r>
      <w:r w:rsidRPr="00604AFF">
        <w:rPr>
          <w:rFonts w:ascii="Times New Roman" w:hAnsi="Times New Roman" w:cs="Times New Roman"/>
        </w:rPr>
        <w:fldChar w:fldCharType="separate"/>
      </w:r>
      <w:r w:rsidRPr="00604AFF">
        <w:rPr>
          <w:rFonts w:ascii="Times New Roman" w:hAnsi="Times New Roman" w:cs="Times New Roman"/>
        </w:rPr>
        <w:t>5.2 Limitations and Further Research</w:t>
      </w:r>
      <w:r w:rsidRPr="00604AFF">
        <w:rPr>
          <w:rFonts w:ascii="Times New Roman" w:hAnsi="Times New Roman" w:cs="Times New Roman"/>
        </w:rPr>
        <w:fldChar w:fldCharType="end"/>
      </w:r>
      <w:r w:rsidR="00042A50" w:rsidRPr="00604AFF">
        <w:rPr>
          <w:rFonts w:ascii="Times New Roman" w:hAnsi="Times New Roman" w:cs="Times New Roman"/>
        </w:rPr>
        <w:t>.</w:t>
      </w:r>
      <w:r>
        <w:rPr>
          <w:rFonts w:ascii="Times New Roman" w:hAnsi="Times New Roman" w:cs="Times New Roman"/>
        </w:rPr>
        <w:t xml:space="preserve"> </w:t>
      </w:r>
    </w:p>
    <w:p w14:paraId="512665EC" w14:textId="50095016" w:rsidR="00D03379" w:rsidRDefault="00F35E89" w:rsidP="00AB420C">
      <w:pPr>
        <w:spacing w:line="360" w:lineRule="auto"/>
        <w:ind w:firstLine="720"/>
        <w:jc w:val="both"/>
        <w:rPr>
          <w:rFonts w:ascii="Times New Roman" w:hAnsi="Times New Roman" w:cs="Times New Roman"/>
        </w:rPr>
      </w:pPr>
      <w:r>
        <w:rPr>
          <w:rFonts w:ascii="Times New Roman" w:hAnsi="Times New Roman" w:cs="Times New Roman"/>
        </w:rPr>
        <w:t xml:space="preserve"> </w:t>
      </w:r>
      <w:r w:rsidR="00DB2CD0">
        <w:rPr>
          <w:rFonts w:ascii="Times New Roman" w:hAnsi="Times New Roman" w:cs="Times New Roman"/>
        </w:rPr>
        <w:t xml:space="preserve">Mutual fund performance corresponds to </w:t>
      </w:r>
      <w:r w:rsidR="003B2D82">
        <w:rPr>
          <w:rFonts w:ascii="Times New Roman" w:hAnsi="Times New Roman" w:cs="Times New Roman"/>
        </w:rPr>
        <w:t>one-month</w:t>
      </w:r>
      <w:r w:rsidR="00DB2CD0">
        <w:rPr>
          <w:rFonts w:ascii="Times New Roman" w:hAnsi="Times New Roman" w:cs="Times New Roman"/>
        </w:rPr>
        <w:t xml:space="preserve"> mutual fund alpha.</w:t>
      </w:r>
      <w:r w:rsidR="00E16BBE">
        <w:rPr>
          <w:rFonts w:ascii="Times New Roman" w:hAnsi="Times New Roman" w:cs="Times New Roman"/>
        </w:rPr>
        <w:t xml:space="preserve"> </w:t>
      </w:r>
      <w:r w:rsidR="00DB2CD0">
        <w:rPr>
          <w:rFonts w:ascii="Times New Roman" w:hAnsi="Times New Roman" w:cs="Times New Roman"/>
        </w:rPr>
        <w:t xml:space="preserve">On </w:t>
      </w:r>
      <w:r w:rsidR="00A725B1">
        <w:rPr>
          <w:rFonts w:ascii="Times New Roman" w:hAnsi="Times New Roman" w:cs="Times New Roman"/>
        </w:rPr>
        <w:t>average</w:t>
      </w:r>
      <w:r w:rsidR="00DB2CD0">
        <w:rPr>
          <w:rFonts w:ascii="Times New Roman" w:hAnsi="Times New Roman" w:cs="Times New Roman"/>
        </w:rPr>
        <w:t>,</w:t>
      </w:r>
      <w:r w:rsidR="0087548A">
        <w:rPr>
          <w:rFonts w:ascii="Times New Roman" w:hAnsi="Times New Roman" w:cs="Times New Roman"/>
        </w:rPr>
        <w:t xml:space="preserve"> for the US,</w:t>
      </w:r>
      <w:r w:rsidR="00A725B1">
        <w:rPr>
          <w:rFonts w:ascii="Times New Roman" w:hAnsi="Times New Roman" w:cs="Times New Roman"/>
        </w:rPr>
        <w:t xml:space="preserve"> a one percent increase in</w:t>
      </w:r>
      <w:r w:rsidR="00181135">
        <w:rPr>
          <w:rFonts w:ascii="Times New Roman" w:hAnsi="Times New Roman" w:cs="Times New Roman"/>
        </w:rPr>
        <w:t xml:space="preserve"> </w:t>
      </w:r>
      <w:r w:rsidR="00C22ABD">
        <w:rPr>
          <w:rFonts w:ascii="Times New Roman" w:hAnsi="Times New Roman" w:cs="Times New Roman"/>
        </w:rPr>
        <w:t>the</w:t>
      </w:r>
      <w:r w:rsidR="00181135">
        <w:rPr>
          <w:rFonts w:ascii="Times New Roman" w:hAnsi="Times New Roman" w:cs="Times New Roman"/>
        </w:rPr>
        <w:t xml:space="preserve"> </w:t>
      </w:r>
      <w:r w:rsidR="00A725B1">
        <w:rPr>
          <w:rFonts w:ascii="Times New Roman" w:hAnsi="Times New Roman" w:cs="Times New Roman"/>
        </w:rPr>
        <w:t>fund size on prior 12 months results in</w:t>
      </w:r>
      <w:r w:rsidR="006009FE">
        <w:rPr>
          <w:rFonts w:ascii="Times New Roman" w:hAnsi="Times New Roman" w:cs="Times New Roman"/>
        </w:rPr>
        <w:t xml:space="preserve"> a</w:t>
      </w:r>
      <w:r w:rsidR="00A725B1">
        <w:rPr>
          <w:rFonts w:ascii="Times New Roman" w:hAnsi="Times New Roman" w:cs="Times New Roman"/>
        </w:rPr>
        <w:t xml:space="preserve"> </w:t>
      </w:r>
      <w:r w:rsidR="00BF3D0F">
        <w:rPr>
          <w:rFonts w:ascii="Times New Roman" w:hAnsi="Times New Roman" w:cs="Times New Roman"/>
        </w:rPr>
        <w:t>3.</w:t>
      </w:r>
      <w:r w:rsidR="00B35553">
        <w:rPr>
          <w:rFonts w:ascii="Times New Roman" w:hAnsi="Times New Roman" w:cs="Times New Roman"/>
        </w:rPr>
        <w:t>13</w:t>
      </w:r>
      <w:r w:rsidR="00BF3D0F">
        <w:rPr>
          <w:rFonts w:ascii="Times New Roman" w:hAnsi="Times New Roman" w:cs="Times New Roman"/>
        </w:rPr>
        <w:t xml:space="preserve"> basis points decrease in</w:t>
      </w:r>
      <w:r w:rsidR="00C22ABD">
        <w:rPr>
          <w:rFonts w:ascii="Times New Roman" w:hAnsi="Times New Roman" w:cs="Times New Roman"/>
        </w:rPr>
        <w:t xml:space="preserve"> the</w:t>
      </w:r>
      <w:r w:rsidR="00BF3D0F">
        <w:rPr>
          <w:rFonts w:ascii="Times New Roman" w:hAnsi="Times New Roman" w:cs="Times New Roman"/>
        </w:rPr>
        <w:t xml:space="preserve"> mutual fund performance. Likewise, on average a one percent increase in</w:t>
      </w:r>
      <w:r w:rsidR="00C22ABD">
        <w:rPr>
          <w:rFonts w:ascii="Times New Roman" w:hAnsi="Times New Roman" w:cs="Times New Roman"/>
        </w:rPr>
        <w:t xml:space="preserve"> the</w:t>
      </w:r>
      <w:r w:rsidR="00BF3D0F">
        <w:rPr>
          <w:rFonts w:ascii="Times New Roman" w:hAnsi="Times New Roman" w:cs="Times New Roman"/>
        </w:rPr>
        <w:t xml:space="preserve"> expense ratio decreases</w:t>
      </w:r>
      <w:r w:rsidR="00C22ABD">
        <w:rPr>
          <w:rFonts w:ascii="Times New Roman" w:hAnsi="Times New Roman" w:cs="Times New Roman"/>
        </w:rPr>
        <w:t xml:space="preserve"> the</w:t>
      </w:r>
      <w:r w:rsidR="00BF3D0F">
        <w:rPr>
          <w:rFonts w:ascii="Times New Roman" w:hAnsi="Times New Roman" w:cs="Times New Roman"/>
        </w:rPr>
        <w:t xml:space="preserve"> fund performance by 7.6 basis points</w:t>
      </w:r>
      <w:r w:rsidR="00657F06">
        <w:rPr>
          <w:rFonts w:ascii="Times New Roman" w:hAnsi="Times New Roman" w:cs="Times New Roman"/>
        </w:rPr>
        <w:t>. Furthermore,</w:t>
      </w:r>
      <w:r w:rsidR="00DB2CD0">
        <w:rPr>
          <w:rFonts w:ascii="Times New Roman" w:hAnsi="Times New Roman" w:cs="Times New Roman"/>
        </w:rPr>
        <w:t xml:space="preserve"> a one percent increase in</w:t>
      </w:r>
      <w:r w:rsidR="00C22ABD">
        <w:rPr>
          <w:rFonts w:ascii="Times New Roman" w:hAnsi="Times New Roman" w:cs="Times New Roman"/>
        </w:rPr>
        <w:t xml:space="preserve"> the</w:t>
      </w:r>
      <w:r w:rsidR="00DB2CD0">
        <w:rPr>
          <w:rFonts w:ascii="Times New Roman" w:hAnsi="Times New Roman" w:cs="Times New Roman"/>
        </w:rPr>
        <w:t xml:space="preserve"> turnover ratio decreases</w:t>
      </w:r>
      <w:r w:rsidR="00C22ABD">
        <w:rPr>
          <w:rFonts w:ascii="Times New Roman" w:hAnsi="Times New Roman" w:cs="Times New Roman"/>
        </w:rPr>
        <w:t xml:space="preserve"> the fund performance</w:t>
      </w:r>
      <w:r w:rsidR="00DB2CD0">
        <w:rPr>
          <w:rFonts w:ascii="Times New Roman" w:hAnsi="Times New Roman" w:cs="Times New Roman"/>
        </w:rPr>
        <w:t xml:space="preserve"> by 0.</w:t>
      </w:r>
      <w:r w:rsidR="009A52CC">
        <w:rPr>
          <w:rFonts w:ascii="Times New Roman" w:hAnsi="Times New Roman" w:cs="Times New Roman"/>
        </w:rPr>
        <w:t>0</w:t>
      </w:r>
      <w:r w:rsidR="00DB2CD0">
        <w:rPr>
          <w:rFonts w:ascii="Times New Roman" w:hAnsi="Times New Roman" w:cs="Times New Roman"/>
        </w:rPr>
        <w:t>6 basis points</w:t>
      </w:r>
      <w:r w:rsidR="00BF3D0F">
        <w:rPr>
          <w:rFonts w:ascii="Times New Roman" w:hAnsi="Times New Roman" w:cs="Times New Roman"/>
        </w:rPr>
        <w:t>.</w:t>
      </w:r>
      <w:r w:rsidR="00183DA2">
        <w:rPr>
          <w:rFonts w:ascii="Times New Roman" w:hAnsi="Times New Roman" w:cs="Times New Roman"/>
        </w:rPr>
        <w:t xml:space="preserve"> </w:t>
      </w:r>
      <w:r w:rsidR="00F2516E">
        <w:rPr>
          <w:rFonts w:ascii="Times New Roman" w:hAnsi="Times New Roman" w:cs="Times New Roman"/>
        </w:rPr>
        <w:t>The results show that</w:t>
      </w:r>
      <w:r w:rsidR="00F2516E" w:rsidRPr="004F4FC4">
        <w:rPr>
          <w:rFonts w:ascii="Times New Roman" w:hAnsi="Times New Roman" w:cs="Times New Roman"/>
        </w:rPr>
        <w:t xml:space="preserve"> the effect of value strategies on fund performance is not </w:t>
      </w:r>
      <w:r w:rsidR="00C22ABD">
        <w:rPr>
          <w:rFonts w:ascii="Times New Roman" w:hAnsi="Times New Roman" w:cs="Times New Roman"/>
        </w:rPr>
        <w:t>significantly different</w:t>
      </w:r>
      <w:r w:rsidR="00F2516E" w:rsidRPr="004F4FC4">
        <w:rPr>
          <w:rFonts w:ascii="Times New Roman" w:hAnsi="Times New Roman" w:cs="Times New Roman"/>
        </w:rPr>
        <w:t xml:space="preserve"> from zero while the effect of growth strategies results in an increase in mutual fund performance by 15 basis points. </w:t>
      </w:r>
    </w:p>
    <w:p w14:paraId="05B834B8" w14:textId="5F68D205" w:rsidR="008E4BE3" w:rsidRDefault="00F35E89" w:rsidP="00AB420C">
      <w:pPr>
        <w:spacing w:line="360" w:lineRule="auto"/>
        <w:ind w:firstLine="720"/>
        <w:jc w:val="both"/>
        <w:rPr>
          <w:rFonts w:ascii="Times New Roman" w:hAnsi="Times New Roman" w:cs="Times New Roman"/>
        </w:rPr>
      </w:pPr>
      <w:r>
        <w:rPr>
          <w:rFonts w:ascii="Times New Roman" w:hAnsi="Times New Roman" w:cs="Times New Roman"/>
        </w:rPr>
        <w:lastRenderedPageBreak/>
        <w:t>Information</w:t>
      </w:r>
      <w:r w:rsidR="006D7870">
        <w:rPr>
          <w:rFonts w:ascii="Times New Roman" w:hAnsi="Times New Roman" w:cs="Times New Roman"/>
        </w:rPr>
        <w:t xml:space="preserve"> on fund </w:t>
      </w:r>
      <w:r>
        <w:rPr>
          <w:rFonts w:ascii="Times New Roman" w:hAnsi="Times New Roman" w:cs="Times New Roman"/>
        </w:rPr>
        <w:t>characteristic</w:t>
      </w:r>
      <w:r w:rsidR="006D7870">
        <w:rPr>
          <w:rFonts w:ascii="Times New Roman" w:hAnsi="Times New Roman" w:cs="Times New Roman"/>
        </w:rPr>
        <w:t xml:space="preserve"> variables was not available for every mutual fund</w:t>
      </w:r>
      <w:r>
        <w:rPr>
          <w:rFonts w:ascii="Times New Roman" w:hAnsi="Times New Roman" w:cs="Times New Roman"/>
        </w:rPr>
        <w:t xml:space="preserve"> </w:t>
      </w:r>
      <w:r w:rsidR="006D7870">
        <w:rPr>
          <w:rFonts w:ascii="Times New Roman" w:hAnsi="Times New Roman" w:cs="Times New Roman"/>
        </w:rPr>
        <w:t>in</w:t>
      </w:r>
      <w:r>
        <w:rPr>
          <w:rFonts w:ascii="Times New Roman" w:hAnsi="Times New Roman" w:cs="Times New Roman"/>
        </w:rPr>
        <w:t xml:space="preserve"> the India</w:t>
      </w:r>
      <w:r w:rsidR="006D7870">
        <w:rPr>
          <w:rFonts w:ascii="Times New Roman" w:hAnsi="Times New Roman" w:cs="Times New Roman"/>
        </w:rPr>
        <w:t>n sample</w:t>
      </w:r>
      <w:r>
        <w:rPr>
          <w:rFonts w:ascii="Times New Roman" w:hAnsi="Times New Roman" w:cs="Times New Roman"/>
        </w:rPr>
        <w:t>. These funds with missing or inconsistent information on characteristic</w:t>
      </w:r>
      <w:r w:rsidR="006D7870">
        <w:rPr>
          <w:rFonts w:ascii="Times New Roman" w:hAnsi="Times New Roman" w:cs="Times New Roman"/>
        </w:rPr>
        <w:t xml:space="preserve"> variables</w:t>
      </w:r>
      <w:r>
        <w:rPr>
          <w:rFonts w:ascii="Times New Roman" w:hAnsi="Times New Roman" w:cs="Times New Roman"/>
        </w:rPr>
        <w:t xml:space="preserve"> were dropped from the sample </w:t>
      </w:r>
      <w:r w:rsidR="006D7870">
        <w:rPr>
          <w:rFonts w:ascii="Times New Roman" w:hAnsi="Times New Roman" w:cs="Times New Roman"/>
        </w:rPr>
        <w:t>prior to</w:t>
      </w:r>
      <w:r>
        <w:rPr>
          <w:rFonts w:ascii="Times New Roman" w:hAnsi="Times New Roman" w:cs="Times New Roman"/>
        </w:rPr>
        <w:t xml:space="preserve"> the Fama-Macbeth (1973) regressions. Additionally, the information on </w:t>
      </w:r>
      <w:r w:rsidR="00AA463A">
        <w:rPr>
          <w:rFonts w:ascii="Times New Roman" w:hAnsi="Times New Roman" w:cs="Times New Roman"/>
        </w:rPr>
        <w:t>expense ratios and turnover ratios</w:t>
      </w:r>
      <w:r w:rsidR="00271D37">
        <w:rPr>
          <w:rFonts w:ascii="Times New Roman" w:hAnsi="Times New Roman" w:cs="Times New Roman"/>
        </w:rPr>
        <w:t xml:space="preserve"> for India</w:t>
      </w:r>
      <w:r w:rsidR="00AA463A">
        <w:rPr>
          <w:rFonts w:ascii="Times New Roman" w:hAnsi="Times New Roman" w:cs="Times New Roman"/>
        </w:rPr>
        <w:t xml:space="preserve"> are presented for 2006 and onwards. Thus, the test period for India was set between 2009 and 2018. </w:t>
      </w:r>
    </w:p>
    <w:p w14:paraId="69AA5F0E" w14:textId="2AB7211B" w:rsidR="00FE7060" w:rsidRDefault="00F35E89" w:rsidP="00AB420C">
      <w:pPr>
        <w:spacing w:line="360" w:lineRule="auto"/>
        <w:ind w:firstLine="720"/>
        <w:jc w:val="both"/>
        <w:rPr>
          <w:rFonts w:ascii="Times New Roman" w:hAnsi="Times New Roman" w:cs="Times New Roman"/>
        </w:rPr>
      </w:pPr>
      <w:r>
        <w:rPr>
          <w:rFonts w:ascii="Times New Roman" w:hAnsi="Times New Roman" w:cs="Times New Roman"/>
        </w:rPr>
        <w:t>Results for India show a significantly negative relationship between fund size and fund performance. On average a one percent increase in an Indian fund size corresponds to a 4.2 basis points decrease on performance. Additionally, on average, a one percent increase in the expense ratio corresponds to 32 basis points of increase in fund performance. And, a one percent increase in turnover ratio corresponds to 0.2 basis points of decrease in fund performance. Similar to the US, and Norway, the effect of age on mutual fund performance is not significantly different from zero in India.</w:t>
      </w:r>
    </w:p>
    <w:p w14:paraId="7EE4A37B" w14:textId="77777777" w:rsidR="00AB6DE6" w:rsidRPr="00AB420C" w:rsidRDefault="00AB6DE6" w:rsidP="00AB420C">
      <w:pPr>
        <w:spacing w:line="360" w:lineRule="auto"/>
        <w:ind w:firstLine="720"/>
        <w:jc w:val="both"/>
        <w:rPr>
          <w:rFonts w:ascii="Times New Roman" w:hAnsi="Times New Roman" w:cs="Times New Roman"/>
        </w:rPr>
      </w:pPr>
    </w:p>
    <w:p w14:paraId="18E33791" w14:textId="72EB8A52" w:rsidR="00877557" w:rsidRDefault="00F35E89" w:rsidP="00B32FF9">
      <w:pPr>
        <w:rPr>
          <w:rFonts w:ascii="Times New Roman" w:hAnsi="Times New Roman" w:cs="Times New Roman"/>
          <w:sz w:val="22"/>
          <w:szCs w:val="22"/>
        </w:rPr>
      </w:pPr>
      <w:r>
        <w:rPr>
          <w:rFonts w:ascii="Times New Roman" w:hAnsi="Times New Roman" w:cs="Times New Roman"/>
          <w:sz w:val="22"/>
          <w:szCs w:val="22"/>
        </w:rPr>
        <w:t xml:space="preserve">Table 5: </w:t>
      </w:r>
      <w:r w:rsidR="00867484">
        <w:rPr>
          <w:rFonts w:ascii="Times New Roman" w:hAnsi="Times New Roman" w:cs="Times New Roman"/>
          <w:sz w:val="22"/>
          <w:szCs w:val="22"/>
        </w:rPr>
        <w:t>Cross-Sectional Regressions on Mutual Fund Characteristics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2146"/>
        <w:gridCol w:w="2145"/>
        <w:gridCol w:w="2143"/>
      </w:tblGrid>
      <w:tr w:rsidR="00395699" w14:paraId="588D4D45" w14:textId="2D42A647" w:rsidTr="008B3964">
        <w:trPr>
          <w:jc w:val="center"/>
        </w:trPr>
        <w:tc>
          <w:tcPr>
            <w:tcW w:w="1433" w:type="pct"/>
            <w:tcBorders>
              <w:top w:val="single" w:sz="4" w:space="0" w:color="auto"/>
              <w:bottom w:val="single" w:sz="4" w:space="0" w:color="auto"/>
            </w:tcBorders>
            <w:vAlign w:val="bottom"/>
          </w:tcPr>
          <w:p w14:paraId="59DFBE04" w14:textId="5EA429A2" w:rsidR="008B3964" w:rsidRDefault="00F35E89" w:rsidP="00877557">
            <w:pPr>
              <w:rPr>
                <w:rFonts w:ascii="Times New Roman" w:hAnsi="Times New Roman" w:cs="Times New Roman"/>
                <w:sz w:val="22"/>
                <w:szCs w:val="22"/>
              </w:rPr>
            </w:pPr>
            <w:r w:rsidRPr="0047040E">
              <w:rPr>
                <w:rFonts w:ascii="Times New Roman" w:hAnsi="Times New Roman" w:cs="Times New Roman"/>
                <w:sz w:val="21"/>
                <w:szCs w:val="21"/>
              </w:rPr>
              <w:t>Variable</w:t>
            </w:r>
          </w:p>
        </w:tc>
        <w:tc>
          <w:tcPr>
            <w:tcW w:w="1189" w:type="pct"/>
            <w:tcBorders>
              <w:top w:val="single" w:sz="4" w:space="0" w:color="auto"/>
              <w:bottom w:val="single" w:sz="4" w:space="0" w:color="auto"/>
            </w:tcBorders>
            <w:vAlign w:val="bottom"/>
          </w:tcPr>
          <w:p w14:paraId="5CA6289F" w14:textId="0E1E4459" w:rsidR="008B3964" w:rsidRDefault="00F35E89" w:rsidP="00206EFA">
            <w:pPr>
              <w:jc w:val="center"/>
              <w:rPr>
                <w:rFonts w:ascii="Times New Roman" w:hAnsi="Times New Roman" w:cs="Times New Roman"/>
                <w:sz w:val="22"/>
                <w:szCs w:val="22"/>
              </w:rPr>
            </w:pPr>
            <w:r w:rsidRPr="009D3BD5">
              <w:rPr>
                <w:rFonts w:ascii="Times New Roman" w:hAnsi="Times New Roman" w:cs="Times New Roman"/>
                <w:sz w:val="21"/>
                <w:szCs w:val="21"/>
              </w:rPr>
              <w:t>US</w:t>
            </w:r>
          </w:p>
        </w:tc>
        <w:tc>
          <w:tcPr>
            <w:tcW w:w="1189" w:type="pct"/>
            <w:tcBorders>
              <w:top w:val="single" w:sz="4" w:space="0" w:color="auto"/>
              <w:bottom w:val="single" w:sz="4" w:space="0" w:color="auto"/>
            </w:tcBorders>
          </w:tcPr>
          <w:p w14:paraId="46E5A6FD" w14:textId="39DCED87" w:rsidR="008B3964" w:rsidRPr="009D3BD5" w:rsidRDefault="00F35E89" w:rsidP="00206EFA">
            <w:pPr>
              <w:jc w:val="center"/>
              <w:rPr>
                <w:rFonts w:ascii="Times New Roman" w:hAnsi="Times New Roman" w:cs="Times New Roman"/>
                <w:sz w:val="21"/>
                <w:szCs w:val="21"/>
              </w:rPr>
            </w:pPr>
            <w:r>
              <w:rPr>
                <w:rFonts w:ascii="Times New Roman" w:hAnsi="Times New Roman" w:cs="Times New Roman"/>
                <w:sz w:val="21"/>
                <w:szCs w:val="21"/>
              </w:rPr>
              <w:t>India</w:t>
            </w:r>
          </w:p>
        </w:tc>
        <w:tc>
          <w:tcPr>
            <w:tcW w:w="1188" w:type="pct"/>
            <w:tcBorders>
              <w:top w:val="single" w:sz="4" w:space="0" w:color="auto"/>
              <w:bottom w:val="single" w:sz="4" w:space="0" w:color="auto"/>
            </w:tcBorders>
          </w:tcPr>
          <w:p w14:paraId="2B8938E7" w14:textId="466C182B" w:rsidR="008B3964" w:rsidRDefault="00F35E89" w:rsidP="00206EFA">
            <w:pPr>
              <w:jc w:val="center"/>
              <w:rPr>
                <w:rFonts w:ascii="Times New Roman" w:hAnsi="Times New Roman" w:cs="Times New Roman"/>
                <w:sz w:val="21"/>
                <w:szCs w:val="21"/>
              </w:rPr>
            </w:pPr>
            <w:r>
              <w:rPr>
                <w:rFonts w:ascii="Times New Roman" w:hAnsi="Times New Roman" w:cs="Times New Roman"/>
                <w:sz w:val="21"/>
                <w:szCs w:val="21"/>
              </w:rPr>
              <w:t>Norway</w:t>
            </w:r>
          </w:p>
        </w:tc>
      </w:tr>
      <w:tr w:rsidR="00395699" w14:paraId="27F3E148" w14:textId="3363AF34" w:rsidTr="008B3964">
        <w:trPr>
          <w:jc w:val="center"/>
        </w:trPr>
        <w:tc>
          <w:tcPr>
            <w:tcW w:w="1433" w:type="pct"/>
            <w:tcBorders>
              <w:top w:val="single" w:sz="4" w:space="0" w:color="auto"/>
            </w:tcBorders>
            <w:vAlign w:val="center"/>
          </w:tcPr>
          <w:p w14:paraId="73299F72" w14:textId="1C835307" w:rsidR="008B3964" w:rsidRDefault="00F35E89" w:rsidP="00206EFA">
            <w:pPr>
              <w:rPr>
                <w:rFonts w:ascii="Times New Roman" w:hAnsi="Times New Roman" w:cs="Times New Roman"/>
                <w:sz w:val="22"/>
                <w:szCs w:val="22"/>
              </w:rPr>
            </w:pPr>
            <w:r>
              <w:rPr>
                <w:rFonts w:ascii="Times New Roman" w:hAnsi="Times New Roman" w:cs="Times New Roman"/>
                <w:sz w:val="21"/>
                <w:szCs w:val="21"/>
              </w:rPr>
              <w:t>TNA (Log) (t-1)</w:t>
            </w:r>
          </w:p>
        </w:tc>
        <w:tc>
          <w:tcPr>
            <w:tcW w:w="1189" w:type="pct"/>
            <w:tcBorders>
              <w:top w:val="single" w:sz="4" w:space="0" w:color="auto"/>
            </w:tcBorders>
            <w:vAlign w:val="center"/>
          </w:tcPr>
          <w:p w14:paraId="2F5C024B" w14:textId="695BD949"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w:t>
            </w:r>
            <w:r w:rsidRPr="009D3BD5">
              <w:rPr>
                <w:rFonts w:ascii="Times New Roman" w:hAnsi="Times New Roman" w:cs="Times New Roman"/>
                <w:sz w:val="21"/>
                <w:szCs w:val="21"/>
              </w:rPr>
              <w:t>0.0</w:t>
            </w:r>
            <w:r>
              <w:rPr>
                <w:rFonts w:ascii="Times New Roman" w:hAnsi="Times New Roman" w:cs="Times New Roman"/>
                <w:sz w:val="21"/>
                <w:szCs w:val="21"/>
              </w:rPr>
              <w:t>313</w:t>
            </w:r>
          </w:p>
          <w:p w14:paraId="2CB1B4A4" w14:textId="28A26B36" w:rsidR="008B3964" w:rsidRPr="00877557" w:rsidRDefault="00F35E89" w:rsidP="00877557">
            <w:pPr>
              <w:jc w:val="center"/>
              <w:rPr>
                <w:rFonts w:ascii="Times New Roman" w:hAnsi="Times New Roman" w:cs="Times New Roman"/>
                <w:sz w:val="21"/>
                <w:szCs w:val="21"/>
              </w:rPr>
            </w:pPr>
            <w:r>
              <w:rPr>
                <w:rFonts w:ascii="Times New Roman" w:hAnsi="Times New Roman" w:cs="Times New Roman"/>
                <w:sz w:val="21"/>
                <w:szCs w:val="21"/>
              </w:rPr>
              <w:t>(-5.66)</w:t>
            </w:r>
          </w:p>
        </w:tc>
        <w:tc>
          <w:tcPr>
            <w:tcW w:w="1189" w:type="pct"/>
            <w:tcBorders>
              <w:top w:val="single" w:sz="4" w:space="0" w:color="auto"/>
            </w:tcBorders>
          </w:tcPr>
          <w:p w14:paraId="753082BF" w14:textId="77777777"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-0.0421</w:t>
            </w:r>
          </w:p>
          <w:p w14:paraId="12D7820A" w14:textId="0C0647E0"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(-1.77)</w:t>
            </w:r>
          </w:p>
        </w:tc>
        <w:tc>
          <w:tcPr>
            <w:tcW w:w="1188" w:type="pct"/>
            <w:tcBorders>
              <w:top w:val="single" w:sz="4" w:space="0" w:color="auto"/>
            </w:tcBorders>
          </w:tcPr>
          <w:p w14:paraId="40259146" w14:textId="77777777"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-0.1534</w:t>
            </w:r>
          </w:p>
          <w:p w14:paraId="48F0FC23" w14:textId="140C7975"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(-1.99)</w:t>
            </w:r>
          </w:p>
        </w:tc>
      </w:tr>
      <w:tr w:rsidR="00395699" w14:paraId="019E9548" w14:textId="0499F940" w:rsidTr="008B3964">
        <w:trPr>
          <w:jc w:val="center"/>
        </w:trPr>
        <w:tc>
          <w:tcPr>
            <w:tcW w:w="1433" w:type="pct"/>
            <w:vAlign w:val="center"/>
          </w:tcPr>
          <w:p w14:paraId="31808B52" w14:textId="0A6D714D" w:rsidR="008B3964" w:rsidRDefault="00F35E89" w:rsidP="00206EFA">
            <w:pPr>
              <w:rPr>
                <w:rFonts w:ascii="Times New Roman" w:hAnsi="Times New Roman" w:cs="Times New Roman"/>
                <w:sz w:val="22"/>
                <w:szCs w:val="22"/>
              </w:rPr>
            </w:pPr>
            <w:r w:rsidRPr="0047040E">
              <w:rPr>
                <w:rFonts w:ascii="Times New Roman" w:hAnsi="Times New Roman" w:cs="Times New Roman"/>
                <w:sz w:val="21"/>
                <w:szCs w:val="21"/>
              </w:rPr>
              <w:t>Expense Ratio</w:t>
            </w:r>
            <w:r>
              <w:rPr>
                <w:rFonts w:ascii="Times New Roman" w:hAnsi="Times New Roman" w:cs="Times New Roman"/>
                <w:sz w:val="21"/>
                <w:szCs w:val="21"/>
              </w:rPr>
              <w:t xml:space="preserve"> (t-1)</w:t>
            </w:r>
          </w:p>
        </w:tc>
        <w:tc>
          <w:tcPr>
            <w:tcW w:w="1189" w:type="pct"/>
            <w:vAlign w:val="center"/>
          </w:tcPr>
          <w:p w14:paraId="2893005C" w14:textId="29AA3590"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-0.0805</w:t>
            </w:r>
          </w:p>
          <w:p w14:paraId="1BA403AA" w14:textId="2EF738DD" w:rsidR="008B3964" w:rsidRPr="00877557" w:rsidRDefault="00F35E89" w:rsidP="00877557">
            <w:pPr>
              <w:jc w:val="center"/>
              <w:rPr>
                <w:rFonts w:ascii="Times New Roman" w:hAnsi="Times New Roman" w:cs="Times New Roman"/>
                <w:sz w:val="21"/>
                <w:szCs w:val="21"/>
              </w:rPr>
            </w:pPr>
            <w:r>
              <w:rPr>
                <w:rFonts w:ascii="Times New Roman" w:hAnsi="Times New Roman" w:cs="Times New Roman"/>
                <w:sz w:val="21"/>
                <w:szCs w:val="21"/>
              </w:rPr>
              <w:t>(-3.08)</w:t>
            </w:r>
          </w:p>
        </w:tc>
        <w:tc>
          <w:tcPr>
            <w:tcW w:w="1189" w:type="pct"/>
          </w:tcPr>
          <w:p w14:paraId="3BC75DAB" w14:textId="77777777"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0.3192</w:t>
            </w:r>
          </w:p>
          <w:p w14:paraId="725EB5C9" w14:textId="455E4130" w:rsidR="008B3964" w:rsidRDefault="00F35E89" w:rsidP="00E3093A">
            <w:pPr>
              <w:jc w:val="center"/>
              <w:rPr>
                <w:rFonts w:ascii="Times New Roman" w:hAnsi="Times New Roman" w:cs="Times New Roman"/>
                <w:sz w:val="21"/>
                <w:szCs w:val="21"/>
              </w:rPr>
            </w:pPr>
            <w:r>
              <w:rPr>
                <w:rFonts w:ascii="Times New Roman" w:hAnsi="Times New Roman" w:cs="Times New Roman"/>
                <w:sz w:val="21"/>
                <w:szCs w:val="21"/>
              </w:rPr>
              <w:t>(3.22)</w:t>
            </w:r>
          </w:p>
        </w:tc>
        <w:tc>
          <w:tcPr>
            <w:tcW w:w="1188" w:type="pct"/>
          </w:tcPr>
          <w:p w14:paraId="2B30BF2F" w14:textId="77777777"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-0.2774</w:t>
            </w:r>
          </w:p>
          <w:p w14:paraId="51DD4066" w14:textId="61BC0E96"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(-1.29)</w:t>
            </w:r>
          </w:p>
        </w:tc>
      </w:tr>
      <w:tr w:rsidR="00395699" w14:paraId="6AE149AD" w14:textId="5799F7D6" w:rsidTr="008B3964">
        <w:trPr>
          <w:jc w:val="center"/>
        </w:trPr>
        <w:tc>
          <w:tcPr>
            <w:tcW w:w="1433" w:type="pct"/>
            <w:vAlign w:val="center"/>
          </w:tcPr>
          <w:p w14:paraId="730A993D" w14:textId="554C8C78" w:rsidR="008B3964" w:rsidRDefault="00F35E89" w:rsidP="00206EFA">
            <w:pPr>
              <w:rPr>
                <w:rFonts w:ascii="Times New Roman" w:hAnsi="Times New Roman" w:cs="Times New Roman"/>
                <w:sz w:val="22"/>
                <w:szCs w:val="22"/>
              </w:rPr>
            </w:pPr>
            <w:r w:rsidRPr="0047040E">
              <w:rPr>
                <w:rFonts w:ascii="Times New Roman" w:hAnsi="Times New Roman" w:cs="Times New Roman"/>
                <w:sz w:val="21"/>
                <w:szCs w:val="21"/>
              </w:rPr>
              <w:t>Turnover Ratio</w:t>
            </w:r>
            <w:r>
              <w:rPr>
                <w:rFonts w:ascii="Times New Roman" w:hAnsi="Times New Roman" w:cs="Times New Roman"/>
                <w:sz w:val="21"/>
                <w:szCs w:val="21"/>
              </w:rPr>
              <w:t xml:space="preserve"> (t-1)</w:t>
            </w:r>
          </w:p>
        </w:tc>
        <w:tc>
          <w:tcPr>
            <w:tcW w:w="1189" w:type="pct"/>
            <w:vAlign w:val="center"/>
          </w:tcPr>
          <w:p w14:paraId="790B67BF" w14:textId="0145D046" w:rsidR="008B3964" w:rsidRDefault="00F35E89" w:rsidP="0029696E">
            <w:pPr>
              <w:jc w:val="center"/>
              <w:rPr>
                <w:rFonts w:ascii="Times New Roman" w:hAnsi="Times New Roman" w:cs="Times New Roman"/>
                <w:sz w:val="22"/>
                <w:szCs w:val="22"/>
              </w:rPr>
            </w:pPr>
            <w:r>
              <w:rPr>
                <w:rFonts w:ascii="Times New Roman" w:hAnsi="Times New Roman" w:cs="Times New Roman"/>
                <w:sz w:val="22"/>
                <w:szCs w:val="22"/>
              </w:rPr>
              <w:t>0.0003</w:t>
            </w:r>
          </w:p>
          <w:p w14:paraId="44B2FFFF" w14:textId="12465484" w:rsidR="008B3964" w:rsidRDefault="00F35E89" w:rsidP="0029696E">
            <w:pPr>
              <w:jc w:val="center"/>
              <w:rPr>
                <w:rFonts w:ascii="Times New Roman" w:hAnsi="Times New Roman" w:cs="Times New Roman"/>
                <w:sz w:val="22"/>
                <w:szCs w:val="22"/>
              </w:rPr>
            </w:pPr>
            <w:r>
              <w:rPr>
                <w:rFonts w:ascii="Times New Roman" w:hAnsi="Times New Roman" w:cs="Times New Roman"/>
                <w:sz w:val="22"/>
                <w:szCs w:val="22"/>
              </w:rPr>
              <w:t>(2.18)</w:t>
            </w:r>
          </w:p>
        </w:tc>
        <w:tc>
          <w:tcPr>
            <w:tcW w:w="1189" w:type="pct"/>
          </w:tcPr>
          <w:p w14:paraId="33FCB45C" w14:textId="77777777" w:rsidR="008B3964" w:rsidRDefault="00F35E89" w:rsidP="0029696E">
            <w:pPr>
              <w:jc w:val="center"/>
              <w:rPr>
                <w:rFonts w:ascii="Times New Roman" w:hAnsi="Times New Roman" w:cs="Times New Roman"/>
                <w:sz w:val="22"/>
                <w:szCs w:val="22"/>
              </w:rPr>
            </w:pPr>
            <w:r>
              <w:rPr>
                <w:rFonts w:ascii="Times New Roman" w:hAnsi="Times New Roman" w:cs="Times New Roman"/>
                <w:sz w:val="22"/>
                <w:szCs w:val="22"/>
              </w:rPr>
              <w:t>-0.0002</w:t>
            </w:r>
          </w:p>
          <w:p w14:paraId="20BBDA76" w14:textId="45BE8FDE" w:rsidR="008B3964" w:rsidRDefault="00F35E89" w:rsidP="00E3093A">
            <w:pPr>
              <w:jc w:val="center"/>
              <w:rPr>
                <w:rFonts w:ascii="Times New Roman" w:hAnsi="Times New Roman" w:cs="Times New Roman"/>
                <w:sz w:val="22"/>
                <w:szCs w:val="22"/>
              </w:rPr>
            </w:pPr>
            <w:r>
              <w:rPr>
                <w:rFonts w:ascii="Times New Roman" w:hAnsi="Times New Roman" w:cs="Times New Roman"/>
                <w:sz w:val="22"/>
                <w:szCs w:val="22"/>
              </w:rPr>
              <w:t>(-3.46)</w:t>
            </w:r>
          </w:p>
        </w:tc>
        <w:tc>
          <w:tcPr>
            <w:tcW w:w="1188" w:type="pct"/>
          </w:tcPr>
          <w:p w14:paraId="0855304C" w14:textId="77777777" w:rsidR="008B3964" w:rsidRDefault="00F35E89" w:rsidP="0029696E">
            <w:pPr>
              <w:jc w:val="center"/>
              <w:rPr>
                <w:rFonts w:ascii="Times New Roman" w:hAnsi="Times New Roman" w:cs="Times New Roman"/>
                <w:sz w:val="22"/>
                <w:szCs w:val="22"/>
              </w:rPr>
            </w:pPr>
            <w:r>
              <w:rPr>
                <w:rFonts w:ascii="Times New Roman" w:hAnsi="Times New Roman" w:cs="Times New Roman"/>
                <w:sz w:val="22"/>
                <w:szCs w:val="22"/>
              </w:rPr>
              <w:t>0.0013</w:t>
            </w:r>
          </w:p>
          <w:p w14:paraId="7FC4045C" w14:textId="6DC348DA" w:rsidR="008B3964" w:rsidRDefault="00F35E89" w:rsidP="0029696E">
            <w:pPr>
              <w:jc w:val="center"/>
              <w:rPr>
                <w:rFonts w:ascii="Times New Roman" w:hAnsi="Times New Roman" w:cs="Times New Roman"/>
                <w:sz w:val="22"/>
                <w:szCs w:val="22"/>
              </w:rPr>
            </w:pPr>
            <w:r>
              <w:rPr>
                <w:rFonts w:ascii="Times New Roman" w:hAnsi="Times New Roman" w:cs="Times New Roman"/>
                <w:sz w:val="22"/>
                <w:szCs w:val="22"/>
              </w:rPr>
              <w:t>(0.81)</w:t>
            </w:r>
          </w:p>
        </w:tc>
      </w:tr>
      <w:tr w:rsidR="00395699" w14:paraId="5EF8BE47" w14:textId="479AAEC6" w:rsidTr="008B3964">
        <w:trPr>
          <w:jc w:val="center"/>
        </w:trPr>
        <w:tc>
          <w:tcPr>
            <w:tcW w:w="1433" w:type="pct"/>
            <w:vAlign w:val="center"/>
          </w:tcPr>
          <w:p w14:paraId="08F2F477" w14:textId="42B1E6A6" w:rsidR="008B3964" w:rsidRDefault="00F35E89" w:rsidP="00206EFA">
            <w:pPr>
              <w:rPr>
                <w:rFonts w:ascii="Times New Roman" w:hAnsi="Times New Roman" w:cs="Times New Roman"/>
                <w:sz w:val="22"/>
                <w:szCs w:val="22"/>
              </w:rPr>
            </w:pPr>
            <w:r w:rsidRPr="0047040E">
              <w:rPr>
                <w:rFonts w:ascii="Times New Roman" w:hAnsi="Times New Roman" w:cs="Times New Roman"/>
                <w:sz w:val="21"/>
                <w:szCs w:val="21"/>
              </w:rPr>
              <w:t>Age</w:t>
            </w:r>
          </w:p>
        </w:tc>
        <w:tc>
          <w:tcPr>
            <w:tcW w:w="1189" w:type="pct"/>
            <w:vAlign w:val="center"/>
          </w:tcPr>
          <w:p w14:paraId="2E218A3F" w14:textId="725C0A45" w:rsidR="008B3964" w:rsidRDefault="00F35E89" w:rsidP="0029696E">
            <w:pPr>
              <w:jc w:val="center"/>
              <w:rPr>
                <w:rFonts w:ascii="Times New Roman" w:hAnsi="Times New Roman" w:cs="Times New Roman"/>
                <w:sz w:val="21"/>
                <w:szCs w:val="21"/>
              </w:rPr>
            </w:pPr>
            <w:r>
              <w:rPr>
                <w:rFonts w:ascii="Times New Roman" w:hAnsi="Times New Roman" w:cs="Times New Roman"/>
                <w:sz w:val="21"/>
                <w:szCs w:val="21"/>
              </w:rPr>
              <w:t>0.0009</w:t>
            </w:r>
          </w:p>
          <w:p w14:paraId="6B574448" w14:textId="527606CB" w:rsidR="008B3964" w:rsidRDefault="00F35E89" w:rsidP="0029696E">
            <w:pPr>
              <w:jc w:val="center"/>
              <w:rPr>
                <w:rFonts w:ascii="Times New Roman" w:hAnsi="Times New Roman" w:cs="Times New Roman"/>
                <w:sz w:val="22"/>
                <w:szCs w:val="22"/>
              </w:rPr>
            </w:pPr>
            <w:r>
              <w:rPr>
                <w:rFonts w:ascii="Times New Roman" w:hAnsi="Times New Roman" w:cs="Times New Roman"/>
                <w:sz w:val="22"/>
                <w:szCs w:val="22"/>
              </w:rPr>
              <w:t>(1.24)</w:t>
            </w:r>
          </w:p>
        </w:tc>
        <w:tc>
          <w:tcPr>
            <w:tcW w:w="1189" w:type="pct"/>
          </w:tcPr>
          <w:p w14:paraId="0C4A168A" w14:textId="77777777" w:rsidR="008B3964" w:rsidRDefault="00F35E89" w:rsidP="00E3093A">
            <w:pPr>
              <w:jc w:val="center"/>
              <w:rPr>
                <w:rFonts w:ascii="Times New Roman" w:hAnsi="Times New Roman" w:cs="Times New Roman"/>
                <w:sz w:val="21"/>
                <w:szCs w:val="21"/>
              </w:rPr>
            </w:pPr>
            <w:r>
              <w:rPr>
                <w:rFonts w:ascii="Times New Roman" w:hAnsi="Times New Roman" w:cs="Times New Roman"/>
                <w:sz w:val="21"/>
                <w:szCs w:val="21"/>
              </w:rPr>
              <w:t>0.0091</w:t>
            </w:r>
          </w:p>
          <w:p w14:paraId="01A6DF91" w14:textId="16583F03" w:rsidR="008B3964" w:rsidRDefault="00F35E89" w:rsidP="00E3093A">
            <w:pPr>
              <w:jc w:val="center"/>
              <w:rPr>
                <w:rFonts w:ascii="Times New Roman" w:hAnsi="Times New Roman" w:cs="Times New Roman"/>
                <w:sz w:val="21"/>
                <w:szCs w:val="21"/>
              </w:rPr>
            </w:pPr>
            <w:r>
              <w:rPr>
                <w:rFonts w:ascii="Times New Roman" w:hAnsi="Times New Roman" w:cs="Times New Roman"/>
                <w:sz w:val="21"/>
                <w:szCs w:val="21"/>
              </w:rPr>
              <w:t>(1.37)</w:t>
            </w:r>
          </w:p>
        </w:tc>
        <w:tc>
          <w:tcPr>
            <w:tcW w:w="1188" w:type="pct"/>
          </w:tcPr>
          <w:p w14:paraId="57405CFA" w14:textId="77777777" w:rsidR="008B3964" w:rsidRDefault="00F35E89" w:rsidP="0029696E">
            <w:pPr>
              <w:jc w:val="center"/>
              <w:rPr>
                <w:rFonts w:ascii="Times New Roman" w:hAnsi="Times New Roman" w:cs="Times New Roman"/>
                <w:sz w:val="21"/>
                <w:szCs w:val="21"/>
              </w:rPr>
            </w:pPr>
            <w:r>
              <w:rPr>
                <w:rFonts w:ascii="Times New Roman" w:hAnsi="Times New Roman" w:cs="Times New Roman"/>
                <w:sz w:val="21"/>
                <w:szCs w:val="21"/>
              </w:rPr>
              <w:t>0.0124</w:t>
            </w:r>
          </w:p>
          <w:p w14:paraId="72D2E662" w14:textId="10C95ED7" w:rsidR="008B3964" w:rsidRDefault="00F35E89" w:rsidP="0029696E">
            <w:pPr>
              <w:jc w:val="center"/>
              <w:rPr>
                <w:rFonts w:ascii="Times New Roman" w:hAnsi="Times New Roman" w:cs="Times New Roman"/>
                <w:sz w:val="21"/>
                <w:szCs w:val="21"/>
              </w:rPr>
            </w:pPr>
            <w:r>
              <w:rPr>
                <w:rFonts w:ascii="Times New Roman" w:hAnsi="Times New Roman" w:cs="Times New Roman"/>
                <w:sz w:val="21"/>
                <w:szCs w:val="21"/>
              </w:rPr>
              <w:t>(0.84)</w:t>
            </w:r>
          </w:p>
        </w:tc>
      </w:tr>
      <w:tr w:rsidR="00395699" w14:paraId="70B269C2" w14:textId="40DEA133" w:rsidTr="008B3964">
        <w:trPr>
          <w:jc w:val="center"/>
        </w:trPr>
        <w:tc>
          <w:tcPr>
            <w:tcW w:w="1433" w:type="pct"/>
            <w:vAlign w:val="center"/>
          </w:tcPr>
          <w:p w14:paraId="70EFCF6B" w14:textId="3DEA3B55" w:rsidR="008B3964" w:rsidRDefault="00F35E89" w:rsidP="00206EFA">
            <w:pPr>
              <w:rPr>
                <w:rFonts w:ascii="Times New Roman" w:hAnsi="Times New Roman" w:cs="Times New Roman"/>
                <w:sz w:val="22"/>
                <w:szCs w:val="22"/>
              </w:rPr>
            </w:pPr>
            <w:r>
              <w:rPr>
                <w:rFonts w:ascii="Times New Roman" w:hAnsi="Times New Roman" w:cs="Times New Roman"/>
                <w:sz w:val="21"/>
                <w:szCs w:val="21"/>
              </w:rPr>
              <w:t>Blend</w:t>
            </w:r>
          </w:p>
        </w:tc>
        <w:tc>
          <w:tcPr>
            <w:tcW w:w="1189" w:type="pct"/>
            <w:vAlign w:val="center"/>
          </w:tcPr>
          <w:p w14:paraId="4F6B1963" w14:textId="37D383B5" w:rsidR="008B3964" w:rsidRDefault="00F35E89" w:rsidP="0029696E">
            <w:pPr>
              <w:jc w:val="center"/>
              <w:rPr>
                <w:rFonts w:ascii="Times New Roman" w:hAnsi="Times New Roman" w:cs="Times New Roman"/>
                <w:sz w:val="21"/>
                <w:szCs w:val="21"/>
              </w:rPr>
            </w:pPr>
            <w:r>
              <w:rPr>
                <w:rFonts w:ascii="Times New Roman" w:hAnsi="Times New Roman" w:cs="Times New Roman"/>
                <w:sz w:val="21"/>
                <w:szCs w:val="21"/>
              </w:rPr>
              <w:t>0.0607</w:t>
            </w:r>
          </w:p>
          <w:p w14:paraId="66829A12" w14:textId="04973712" w:rsidR="008B3964" w:rsidRDefault="00F35E89" w:rsidP="0029696E">
            <w:pPr>
              <w:jc w:val="center"/>
              <w:rPr>
                <w:rFonts w:ascii="Times New Roman" w:hAnsi="Times New Roman" w:cs="Times New Roman"/>
                <w:sz w:val="22"/>
                <w:szCs w:val="22"/>
              </w:rPr>
            </w:pPr>
            <w:r>
              <w:rPr>
                <w:rFonts w:ascii="Times New Roman" w:hAnsi="Times New Roman" w:cs="Times New Roman"/>
                <w:sz w:val="22"/>
                <w:szCs w:val="22"/>
              </w:rPr>
              <w:t>(2.47)</w:t>
            </w:r>
          </w:p>
        </w:tc>
        <w:tc>
          <w:tcPr>
            <w:tcW w:w="1189" w:type="pct"/>
          </w:tcPr>
          <w:p w14:paraId="37A58AE3" w14:textId="77777777" w:rsidR="008B3964" w:rsidRDefault="00F35E89" w:rsidP="0029696E">
            <w:pPr>
              <w:jc w:val="center"/>
              <w:rPr>
                <w:rFonts w:ascii="Times New Roman" w:hAnsi="Times New Roman" w:cs="Times New Roman"/>
                <w:sz w:val="21"/>
                <w:szCs w:val="21"/>
              </w:rPr>
            </w:pPr>
            <w:r>
              <w:rPr>
                <w:rFonts w:ascii="Times New Roman" w:hAnsi="Times New Roman" w:cs="Times New Roman"/>
                <w:sz w:val="21"/>
                <w:szCs w:val="21"/>
              </w:rPr>
              <w:t>-0.2016</w:t>
            </w:r>
          </w:p>
          <w:p w14:paraId="72379AD9" w14:textId="083A293A" w:rsidR="008B3964" w:rsidRDefault="00F35E89" w:rsidP="0029696E">
            <w:pPr>
              <w:jc w:val="center"/>
              <w:rPr>
                <w:rFonts w:ascii="Times New Roman" w:hAnsi="Times New Roman" w:cs="Times New Roman"/>
                <w:sz w:val="21"/>
                <w:szCs w:val="21"/>
              </w:rPr>
            </w:pPr>
            <w:r>
              <w:rPr>
                <w:rFonts w:ascii="Times New Roman" w:hAnsi="Times New Roman" w:cs="Times New Roman"/>
                <w:sz w:val="21"/>
                <w:szCs w:val="21"/>
              </w:rPr>
              <w:t>(-1.11)</w:t>
            </w:r>
          </w:p>
        </w:tc>
        <w:tc>
          <w:tcPr>
            <w:tcW w:w="1188" w:type="pct"/>
          </w:tcPr>
          <w:p w14:paraId="0664F07B" w14:textId="18481E8C" w:rsidR="008B3964" w:rsidRDefault="00F35E89" w:rsidP="0029696E">
            <w:pPr>
              <w:jc w:val="center"/>
              <w:rPr>
                <w:rFonts w:ascii="Times New Roman" w:hAnsi="Times New Roman" w:cs="Times New Roman"/>
                <w:sz w:val="21"/>
                <w:szCs w:val="21"/>
              </w:rPr>
            </w:pPr>
            <w:r>
              <w:rPr>
                <w:rFonts w:ascii="Times New Roman" w:hAnsi="Times New Roman" w:cs="Times New Roman"/>
                <w:sz w:val="21"/>
                <w:szCs w:val="21"/>
              </w:rPr>
              <w:t>-</w:t>
            </w:r>
          </w:p>
        </w:tc>
      </w:tr>
      <w:tr w:rsidR="00395699" w14:paraId="671160E1" w14:textId="68A4FB75" w:rsidTr="008B3964">
        <w:trPr>
          <w:jc w:val="center"/>
        </w:trPr>
        <w:tc>
          <w:tcPr>
            <w:tcW w:w="1433" w:type="pct"/>
            <w:vAlign w:val="center"/>
          </w:tcPr>
          <w:p w14:paraId="6D75F1FE" w14:textId="5DF2FB3A" w:rsidR="008B3964" w:rsidRDefault="00F35E89" w:rsidP="00206EFA">
            <w:pPr>
              <w:rPr>
                <w:rFonts w:ascii="Times New Roman" w:hAnsi="Times New Roman" w:cs="Times New Roman"/>
                <w:sz w:val="22"/>
                <w:szCs w:val="22"/>
              </w:rPr>
            </w:pPr>
            <w:r>
              <w:rPr>
                <w:rFonts w:ascii="Times New Roman" w:hAnsi="Times New Roman" w:cs="Times New Roman"/>
                <w:sz w:val="21"/>
                <w:szCs w:val="21"/>
              </w:rPr>
              <w:t>Growth</w:t>
            </w:r>
          </w:p>
        </w:tc>
        <w:tc>
          <w:tcPr>
            <w:tcW w:w="1189" w:type="pct"/>
            <w:vAlign w:val="center"/>
          </w:tcPr>
          <w:p w14:paraId="0481C9D8" w14:textId="0049C630" w:rsidR="008B3964" w:rsidRPr="009D3BD5" w:rsidRDefault="00F35E89" w:rsidP="00877557">
            <w:pPr>
              <w:jc w:val="center"/>
              <w:rPr>
                <w:rFonts w:ascii="Times New Roman" w:hAnsi="Times New Roman" w:cs="Times New Roman"/>
                <w:sz w:val="21"/>
                <w:szCs w:val="21"/>
              </w:rPr>
            </w:pPr>
            <w:r w:rsidRPr="009D3BD5">
              <w:rPr>
                <w:rFonts w:ascii="Times New Roman" w:hAnsi="Times New Roman" w:cs="Times New Roman"/>
                <w:sz w:val="21"/>
                <w:szCs w:val="21"/>
              </w:rPr>
              <w:t>0.</w:t>
            </w:r>
            <w:r>
              <w:rPr>
                <w:rFonts w:ascii="Times New Roman" w:hAnsi="Times New Roman" w:cs="Times New Roman"/>
                <w:sz w:val="21"/>
                <w:szCs w:val="21"/>
              </w:rPr>
              <w:t>1748</w:t>
            </w:r>
          </w:p>
          <w:p w14:paraId="0F472413" w14:textId="36DA887A" w:rsidR="008B3964" w:rsidRDefault="00F35E89" w:rsidP="00206EFA">
            <w:pPr>
              <w:jc w:val="center"/>
              <w:rPr>
                <w:rFonts w:ascii="Times New Roman" w:hAnsi="Times New Roman" w:cs="Times New Roman"/>
                <w:sz w:val="22"/>
                <w:szCs w:val="22"/>
              </w:rPr>
            </w:pPr>
            <w:r w:rsidRPr="009D3BD5">
              <w:rPr>
                <w:rFonts w:ascii="Times New Roman" w:hAnsi="Times New Roman" w:cs="Times New Roman"/>
                <w:sz w:val="21"/>
                <w:szCs w:val="21"/>
              </w:rPr>
              <w:t>(</w:t>
            </w:r>
            <w:r>
              <w:rPr>
                <w:rFonts w:ascii="Times New Roman" w:hAnsi="Times New Roman" w:cs="Times New Roman"/>
                <w:sz w:val="21"/>
                <w:szCs w:val="21"/>
              </w:rPr>
              <w:t>8</w:t>
            </w:r>
            <w:r w:rsidRPr="009D3BD5">
              <w:rPr>
                <w:rFonts w:ascii="Times New Roman" w:hAnsi="Times New Roman" w:cs="Times New Roman"/>
                <w:sz w:val="21"/>
                <w:szCs w:val="21"/>
              </w:rPr>
              <w:t>.</w:t>
            </w:r>
            <w:r>
              <w:rPr>
                <w:rFonts w:ascii="Times New Roman" w:hAnsi="Times New Roman" w:cs="Times New Roman"/>
                <w:sz w:val="21"/>
                <w:szCs w:val="21"/>
              </w:rPr>
              <w:t>34</w:t>
            </w:r>
            <w:r w:rsidRPr="009D3BD5">
              <w:rPr>
                <w:rFonts w:ascii="Times New Roman" w:hAnsi="Times New Roman" w:cs="Times New Roman"/>
                <w:sz w:val="21"/>
                <w:szCs w:val="21"/>
              </w:rPr>
              <w:t>)</w:t>
            </w:r>
          </w:p>
        </w:tc>
        <w:tc>
          <w:tcPr>
            <w:tcW w:w="1189" w:type="pct"/>
          </w:tcPr>
          <w:p w14:paraId="60FE3B1E" w14:textId="77777777"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-0.1057</w:t>
            </w:r>
          </w:p>
          <w:p w14:paraId="5A81BF1B" w14:textId="1908BB03" w:rsidR="008B3964" w:rsidRPr="009D3BD5" w:rsidRDefault="00F35E89" w:rsidP="00877557">
            <w:pPr>
              <w:jc w:val="center"/>
              <w:rPr>
                <w:rFonts w:ascii="Times New Roman" w:hAnsi="Times New Roman" w:cs="Times New Roman"/>
                <w:sz w:val="21"/>
                <w:szCs w:val="21"/>
              </w:rPr>
            </w:pPr>
            <w:r>
              <w:rPr>
                <w:rFonts w:ascii="Times New Roman" w:hAnsi="Times New Roman" w:cs="Times New Roman"/>
                <w:sz w:val="21"/>
                <w:szCs w:val="21"/>
              </w:rPr>
              <w:t>(-1.21)</w:t>
            </w:r>
          </w:p>
        </w:tc>
        <w:tc>
          <w:tcPr>
            <w:tcW w:w="1188" w:type="pct"/>
          </w:tcPr>
          <w:p w14:paraId="2D4972CE" w14:textId="21C89C6E" w:rsidR="008B3964" w:rsidRPr="009D3BD5" w:rsidRDefault="00F35E89" w:rsidP="00877557">
            <w:pPr>
              <w:jc w:val="center"/>
              <w:rPr>
                <w:rFonts w:ascii="Times New Roman" w:hAnsi="Times New Roman" w:cs="Times New Roman"/>
                <w:sz w:val="21"/>
                <w:szCs w:val="21"/>
              </w:rPr>
            </w:pPr>
            <w:r>
              <w:rPr>
                <w:rFonts w:ascii="Times New Roman" w:hAnsi="Times New Roman" w:cs="Times New Roman"/>
                <w:sz w:val="21"/>
                <w:szCs w:val="21"/>
              </w:rPr>
              <w:t>-</w:t>
            </w:r>
          </w:p>
        </w:tc>
      </w:tr>
      <w:tr w:rsidR="00395699" w14:paraId="5BF8BB24" w14:textId="51945393" w:rsidTr="008B3964">
        <w:trPr>
          <w:jc w:val="center"/>
        </w:trPr>
        <w:tc>
          <w:tcPr>
            <w:tcW w:w="1433" w:type="pct"/>
            <w:vAlign w:val="center"/>
          </w:tcPr>
          <w:p w14:paraId="6090F14F" w14:textId="4D9CC79F" w:rsidR="008B3964" w:rsidRDefault="00F35E89" w:rsidP="00206EFA">
            <w:pPr>
              <w:rPr>
                <w:rFonts w:ascii="Times New Roman" w:hAnsi="Times New Roman" w:cs="Times New Roman"/>
                <w:sz w:val="22"/>
                <w:szCs w:val="22"/>
              </w:rPr>
            </w:pPr>
            <w:r>
              <w:rPr>
                <w:rFonts w:ascii="Times New Roman" w:hAnsi="Times New Roman" w:cs="Times New Roman"/>
                <w:sz w:val="21"/>
                <w:szCs w:val="21"/>
              </w:rPr>
              <w:t>Value</w:t>
            </w:r>
          </w:p>
        </w:tc>
        <w:tc>
          <w:tcPr>
            <w:tcW w:w="1189" w:type="pct"/>
            <w:vAlign w:val="center"/>
          </w:tcPr>
          <w:p w14:paraId="7B5CAADC" w14:textId="518EB3E3" w:rsidR="008B3964" w:rsidRPr="009D3BD5" w:rsidRDefault="00F35E89" w:rsidP="00877557">
            <w:pPr>
              <w:jc w:val="center"/>
              <w:rPr>
                <w:rFonts w:ascii="Times New Roman" w:hAnsi="Times New Roman" w:cs="Times New Roman"/>
                <w:sz w:val="21"/>
                <w:szCs w:val="21"/>
              </w:rPr>
            </w:pPr>
            <w:r w:rsidRPr="009D3BD5">
              <w:rPr>
                <w:rFonts w:ascii="Times New Roman" w:hAnsi="Times New Roman" w:cs="Times New Roman"/>
                <w:sz w:val="21"/>
                <w:szCs w:val="21"/>
              </w:rPr>
              <w:t>0.00</w:t>
            </w:r>
            <w:r>
              <w:rPr>
                <w:rFonts w:ascii="Times New Roman" w:hAnsi="Times New Roman" w:cs="Times New Roman"/>
                <w:sz w:val="21"/>
                <w:szCs w:val="21"/>
              </w:rPr>
              <w:t>17</w:t>
            </w:r>
          </w:p>
          <w:p w14:paraId="1F2958B7" w14:textId="4884974E" w:rsidR="008B3964" w:rsidRDefault="00F35E89" w:rsidP="00206EFA">
            <w:pPr>
              <w:jc w:val="center"/>
              <w:rPr>
                <w:rFonts w:ascii="Times New Roman" w:hAnsi="Times New Roman" w:cs="Times New Roman"/>
                <w:sz w:val="22"/>
                <w:szCs w:val="22"/>
              </w:rPr>
            </w:pPr>
            <w:r w:rsidRPr="009D3BD5">
              <w:rPr>
                <w:rFonts w:ascii="Times New Roman" w:hAnsi="Times New Roman" w:cs="Times New Roman"/>
                <w:sz w:val="21"/>
                <w:szCs w:val="21"/>
              </w:rPr>
              <w:t>(</w:t>
            </w:r>
            <w:r>
              <w:rPr>
                <w:rFonts w:ascii="Times New Roman" w:hAnsi="Times New Roman" w:cs="Times New Roman"/>
                <w:sz w:val="21"/>
                <w:szCs w:val="21"/>
              </w:rPr>
              <w:t>0</w:t>
            </w:r>
            <w:r w:rsidRPr="009D3BD5">
              <w:rPr>
                <w:rFonts w:ascii="Times New Roman" w:hAnsi="Times New Roman" w:cs="Times New Roman"/>
                <w:sz w:val="21"/>
                <w:szCs w:val="21"/>
              </w:rPr>
              <w:t>.</w:t>
            </w:r>
            <w:r>
              <w:rPr>
                <w:rFonts w:ascii="Times New Roman" w:hAnsi="Times New Roman" w:cs="Times New Roman"/>
                <w:sz w:val="21"/>
                <w:szCs w:val="21"/>
              </w:rPr>
              <w:t>45)</w:t>
            </w:r>
          </w:p>
        </w:tc>
        <w:tc>
          <w:tcPr>
            <w:tcW w:w="1189" w:type="pct"/>
          </w:tcPr>
          <w:p w14:paraId="791ADADE" w14:textId="77777777" w:rsidR="008B3964" w:rsidRDefault="00F35E89" w:rsidP="00877557">
            <w:pPr>
              <w:jc w:val="center"/>
              <w:rPr>
                <w:rFonts w:ascii="Times New Roman" w:hAnsi="Times New Roman" w:cs="Times New Roman"/>
                <w:sz w:val="21"/>
                <w:szCs w:val="21"/>
              </w:rPr>
            </w:pPr>
            <w:r>
              <w:rPr>
                <w:rFonts w:ascii="Times New Roman" w:hAnsi="Times New Roman" w:cs="Times New Roman"/>
                <w:sz w:val="21"/>
                <w:szCs w:val="21"/>
              </w:rPr>
              <w:t>-0.4811</w:t>
            </w:r>
          </w:p>
          <w:p w14:paraId="4D373954" w14:textId="0E963B80" w:rsidR="008B3964" w:rsidRPr="009D3BD5" w:rsidRDefault="00F35E89" w:rsidP="00877557">
            <w:pPr>
              <w:jc w:val="center"/>
              <w:rPr>
                <w:rFonts w:ascii="Times New Roman" w:hAnsi="Times New Roman" w:cs="Times New Roman"/>
                <w:sz w:val="21"/>
                <w:szCs w:val="21"/>
              </w:rPr>
            </w:pPr>
            <w:r>
              <w:rPr>
                <w:rFonts w:ascii="Times New Roman" w:hAnsi="Times New Roman" w:cs="Times New Roman"/>
                <w:sz w:val="21"/>
                <w:szCs w:val="21"/>
              </w:rPr>
              <w:t>(-1.64)</w:t>
            </w:r>
          </w:p>
        </w:tc>
        <w:tc>
          <w:tcPr>
            <w:tcW w:w="1188" w:type="pct"/>
          </w:tcPr>
          <w:p w14:paraId="4833B1D0" w14:textId="2825EAF3" w:rsidR="008B3964" w:rsidRPr="009D3BD5" w:rsidRDefault="00F35E89" w:rsidP="00877557">
            <w:pPr>
              <w:jc w:val="center"/>
              <w:rPr>
                <w:rFonts w:ascii="Times New Roman" w:hAnsi="Times New Roman" w:cs="Times New Roman"/>
                <w:sz w:val="21"/>
                <w:szCs w:val="21"/>
              </w:rPr>
            </w:pPr>
            <w:r>
              <w:rPr>
                <w:rFonts w:ascii="Times New Roman" w:hAnsi="Times New Roman" w:cs="Times New Roman"/>
                <w:sz w:val="21"/>
                <w:szCs w:val="21"/>
              </w:rPr>
              <w:t>-</w:t>
            </w:r>
          </w:p>
        </w:tc>
      </w:tr>
      <w:tr w:rsidR="00395699" w14:paraId="190DC28F" w14:textId="13FD13BF" w:rsidTr="008B3964">
        <w:trPr>
          <w:trHeight w:val="72"/>
          <w:jc w:val="center"/>
        </w:trPr>
        <w:tc>
          <w:tcPr>
            <w:tcW w:w="1433" w:type="pct"/>
            <w:vAlign w:val="center"/>
          </w:tcPr>
          <w:p w14:paraId="43FB9A60" w14:textId="12A2F9A7" w:rsidR="008B3964" w:rsidRDefault="00F35E89" w:rsidP="00206EFA">
            <w:pPr>
              <w:rPr>
                <w:rFonts w:ascii="Times New Roman" w:hAnsi="Times New Roman" w:cs="Times New Roman"/>
                <w:sz w:val="22"/>
                <w:szCs w:val="22"/>
              </w:rPr>
            </w:pPr>
            <w:r>
              <w:rPr>
                <w:rFonts w:ascii="Times New Roman" w:hAnsi="Times New Roman" w:cs="Times New Roman"/>
                <w:sz w:val="21"/>
                <w:szCs w:val="21"/>
              </w:rPr>
              <w:t>Observations</w:t>
            </w:r>
          </w:p>
        </w:tc>
        <w:tc>
          <w:tcPr>
            <w:tcW w:w="1189" w:type="pct"/>
            <w:vAlign w:val="bottom"/>
          </w:tcPr>
          <w:p w14:paraId="1C406D62" w14:textId="1EB5C211" w:rsidR="008B3964" w:rsidRPr="009D3BD5" w:rsidRDefault="00F35E89" w:rsidP="00206EFA">
            <w:pPr>
              <w:jc w:val="center"/>
              <w:rPr>
                <w:rFonts w:ascii="Times New Roman" w:hAnsi="Times New Roman" w:cs="Times New Roman"/>
                <w:sz w:val="21"/>
                <w:szCs w:val="21"/>
              </w:rPr>
            </w:pPr>
            <w:r>
              <w:rPr>
                <w:rFonts w:ascii="Times New Roman" w:hAnsi="Times New Roman" w:cs="Times New Roman"/>
                <w:sz w:val="21"/>
                <w:szCs w:val="21"/>
              </w:rPr>
              <w:t>153,096</w:t>
            </w:r>
          </w:p>
        </w:tc>
        <w:tc>
          <w:tcPr>
            <w:tcW w:w="1189" w:type="pct"/>
          </w:tcPr>
          <w:p w14:paraId="2900E7DC" w14:textId="5BA55B2D" w:rsidR="008B3964" w:rsidRDefault="00F35E89" w:rsidP="00206EFA">
            <w:pPr>
              <w:jc w:val="center"/>
              <w:rPr>
                <w:rFonts w:ascii="Times New Roman" w:hAnsi="Times New Roman" w:cs="Times New Roman"/>
                <w:sz w:val="21"/>
                <w:szCs w:val="21"/>
              </w:rPr>
            </w:pPr>
            <w:r>
              <w:rPr>
                <w:rFonts w:ascii="Times New Roman" w:hAnsi="Times New Roman" w:cs="Times New Roman"/>
                <w:sz w:val="21"/>
                <w:szCs w:val="21"/>
              </w:rPr>
              <w:t>22,110</w:t>
            </w:r>
          </w:p>
        </w:tc>
        <w:tc>
          <w:tcPr>
            <w:tcW w:w="1188" w:type="pct"/>
          </w:tcPr>
          <w:p w14:paraId="69AE2706" w14:textId="46062EB5" w:rsidR="008B3964" w:rsidRDefault="00F35E89" w:rsidP="00206EFA">
            <w:pPr>
              <w:jc w:val="center"/>
              <w:rPr>
                <w:rFonts w:ascii="Times New Roman" w:hAnsi="Times New Roman" w:cs="Times New Roman"/>
                <w:sz w:val="21"/>
                <w:szCs w:val="21"/>
              </w:rPr>
            </w:pPr>
            <w:r>
              <w:rPr>
                <w:rFonts w:ascii="Times New Roman" w:hAnsi="Times New Roman" w:cs="Times New Roman"/>
                <w:sz w:val="21"/>
                <w:szCs w:val="21"/>
              </w:rPr>
              <w:t>2,564</w:t>
            </w:r>
          </w:p>
        </w:tc>
      </w:tr>
      <w:tr w:rsidR="00395699" w14:paraId="3F9DFF2A" w14:textId="28276BCE" w:rsidTr="008B3964">
        <w:trPr>
          <w:jc w:val="center"/>
        </w:trPr>
        <w:tc>
          <w:tcPr>
            <w:tcW w:w="1433" w:type="pct"/>
            <w:vAlign w:val="center"/>
          </w:tcPr>
          <w:p w14:paraId="08A2B818" w14:textId="11503BCF" w:rsidR="008B3964" w:rsidRDefault="00F35E89" w:rsidP="00206EFA">
            <w:pPr>
              <w:rPr>
                <w:rFonts w:ascii="Times New Roman" w:hAnsi="Times New Roman" w:cs="Times New Roman"/>
                <w:sz w:val="22"/>
                <w:szCs w:val="22"/>
              </w:rPr>
            </w:pPr>
            <w:r w:rsidRPr="0047040E">
              <w:rPr>
                <w:rFonts w:ascii="Times New Roman" w:hAnsi="Times New Roman" w:cs="Times New Roman"/>
                <w:sz w:val="21"/>
                <w:szCs w:val="21"/>
              </w:rPr>
              <w:t>Adjusted R</w:t>
            </w:r>
            <w:r w:rsidRPr="0047040E">
              <w:rPr>
                <w:rFonts w:ascii="Times New Roman" w:hAnsi="Times New Roman" w:cs="Times New Roman"/>
                <w:sz w:val="21"/>
                <w:szCs w:val="21"/>
                <w:vertAlign w:val="superscript"/>
              </w:rPr>
              <w:t>2</w:t>
            </w:r>
          </w:p>
        </w:tc>
        <w:tc>
          <w:tcPr>
            <w:tcW w:w="1189" w:type="pct"/>
            <w:vAlign w:val="center"/>
          </w:tcPr>
          <w:p w14:paraId="2B895940" w14:textId="257A0552" w:rsidR="008B3964" w:rsidRDefault="00F35E89" w:rsidP="00877557">
            <w:pPr>
              <w:jc w:val="center"/>
              <w:rPr>
                <w:rFonts w:ascii="Times New Roman" w:hAnsi="Times New Roman" w:cs="Times New Roman"/>
                <w:sz w:val="21"/>
                <w:szCs w:val="21"/>
              </w:rPr>
            </w:pPr>
            <w:r w:rsidRPr="009D3BD5">
              <w:rPr>
                <w:rFonts w:ascii="Times New Roman" w:hAnsi="Times New Roman" w:cs="Times New Roman"/>
                <w:sz w:val="21"/>
                <w:szCs w:val="21"/>
              </w:rPr>
              <w:t>0.</w:t>
            </w:r>
            <w:r>
              <w:rPr>
                <w:rFonts w:ascii="Times New Roman" w:hAnsi="Times New Roman" w:cs="Times New Roman"/>
                <w:sz w:val="21"/>
                <w:szCs w:val="21"/>
              </w:rPr>
              <w:t>0908</w:t>
            </w:r>
          </w:p>
        </w:tc>
        <w:tc>
          <w:tcPr>
            <w:tcW w:w="1189" w:type="pct"/>
          </w:tcPr>
          <w:p w14:paraId="78556D37" w14:textId="1F1FC4FD" w:rsidR="008B3964" w:rsidRPr="009D3BD5" w:rsidRDefault="00F35E89" w:rsidP="00877557">
            <w:pPr>
              <w:jc w:val="center"/>
              <w:rPr>
                <w:rFonts w:ascii="Times New Roman" w:hAnsi="Times New Roman" w:cs="Times New Roman"/>
                <w:sz w:val="21"/>
                <w:szCs w:val="21"/>
              </w:rPr>
            </w:pPr>
            <w:r>
              <w:rPr>
                <w:rFonts w:ascii="Times New Roman" w:hAnsi="Times New Roman" w:cs="Times New Roman"/>
                <w:sz w:val="21"/>
                <w:szCs w:val="21"/>
              </w:rPr>
              <w:t>0.0066</w:t>
            </w:r>
          </w:p>
        </w:tc>
        <w:tc>
          <w:tcPr>
            <w:tcW w:w="1188" w:type="pct"/>
          </w:tcPr>
          <w:p w14:paraId="202DBAD2" w14:textId="4E494702" w:rsidR="008B3964" w:rsidRPr="009D3BD5" w:rsidRDefault="00F35E89" w:rsidP="00877557">
            <w:pPr>
              <w:jc w:val="center"/>
              <w:rPr>
                <w:rFonts w:ascii="Times New Roman" w:hAnsi="Times New Roman" w:cs="Times New Roman"/>
                <w:sz w:val="21"/>
                <w:szCs w:val="21"/>
              </w:rPr>
            </w:pPr>
            <w:r>
              <w:rPr>
                <w:rFonts w:ascii="Times New Roman" w:hAnsi="Times New Roman" w:cs="Times New Roman"/>
                <w:sz w:val="21"/>
                <w:szCs w:val="21"/>
              </w:rPr>
              <w:t>0.0145</w:t>
            </w:r>
          </w:p>
        </w:tc>
      </w:tr>
    </w:tbl>
    <w:p w14:paraId="4FB5EDF4" w14:textId="0FD6AE0A" w:rsidR="00877557" w:rsidRDefault="00F35E89" w:rsidP="00206EFA">
      <w:pPr>
        <w:jc w:val="both"/>
        <w:rPr>
          <w:rFonts w:ascii="Times New Roman" w:hAnsi="Times New Roman" w:cs="Times New Roman"/>
          <w:sz w:val="22"/>
          <w:szCs w:val="22"/>
        </w:rPr>
      </w:pPr>
      <w:r>
        <w:rPr>
          <w:rFonts w:ascii="Times New Roman" w:hAnsi="Times New Roman" w:cs="Times New Roman"/>
          <w:sz w:val="22"/>
          <w:szCs w:val="22"/>
        </w:rPr>
        <w:t>Table 5 reports the relationship between equity mutual fund performances and their characteristics</w:t>
      </w:r>
      <w:r w:rsidR="00F743E0">
        <w:rPr>
          <w:rFonts w:ascii="Times New Roman" w:hAnsi="Times New Roman" w:cs="Times New Roman"/>
          <w:sz w:val="22"/>
          <w:szCs w:val="22"/>
        </w:rPr>
        <w:t xml:space="preserve"> </w:t>
      </w:r>
      <w:r w:rsidR="00B7465D">
        <w:rPr>
          <w:rFonts w:ascii="Times New Roman" w:hAnsi="Times New Roman" w:cs="Times New Roman"/>
          <w:sz w:val="22"/>
          <w:szCs w:val="22"/>
        </w:rPr>
        <w:t xml:space="preserve">for the US, India, and Norway. The evaluation period for the US and Norway is between the years 2006 and 2018. The evaluation period for India is between the years 2009-2018. </w:t>
      </w:r>
      <w:r>
        <w:rPr>
          <w:rFonts w:ascii="Times New Roman" w:hAnsi="Times New Roman" w:cs="Times New Roman"/>
          <w:sz w:val="22"/>
          <w:szCs w:val="22"/>
        </w:rPr>
        <w:t xml:space="preserve">The dependent variable is one-month </w:t>
      </w:r>
      <w:r w:rsidR="00DB2CD0">
        <w:rPr>
          <w:rFonts w:ascii="Times New Roman" w:hAnsi="Times New Roman" w:cs="Times New Roman"/>
          <w:sz w:val="22"/>
          <w:szCs w:val="22"/>
        </w:rPr>
        <w:t>mutual fund alpha</w:t>
      </w:r>
      <w:r>
        <w:rPr>
          <w:rFonts w:ascii="Times New Roman" w:hAnsi="Times New Roman" w:cs="Times New Roman"/>
          <w:sz w:val="22"/>
          <w:szCs w:val="22"/>
        </w:rPr>
        <w:t xml:space="preserve">. </w:t>
      </w:r>
      <w:r w:rsidR="00FD0426">
        <w:rPr>
          <w:rFonts w:ascii="Times New Roman" w:hAnsi="Times New Roman" w:cs="Times New Roman"/>
          <w:sz w:val="22"/>
          <w:szCs w:val="22"/>
        </w:rPr>
        <w:t>TNA</w:t>
      </w:r>
      <w:r>
        <w:rPr>
          <w:rFonts w:ascii="Times New Roman" w:hAnsi="Times New Roman" w:cs="Times New Roman"/>
          <w:sz w:val="22"/>
          <w:szCs w:val="22"/>
        </w:rPr>
        <w:t xml:space="preserve"> is in natural logarithm and lagged 12 months.</w:t>
      </w:r>
      <w:r w:rsidR="00FD0426">
        <w:rPr>
          <w:rFonts w:ascii="Times New Roman" w:hAnsi="Times New Roman" w:cs="Times New Roman"/>
          <w:sz w:val="22"/>
          <w:szCs w:val="22"/>
        </w:rPr>
        <w:t xml:space="preserve"> TNA </w:t>
      </w:r>
      <w:r w:rsidR="00450869">
        <w:rPr>
          <w:rFonts w:ascii="Times New Roman" w:hAnsi="Times New Roman" w:cs="Times New Roman"/>
          <w:sz w:val="22"/>
          <w:szCs w:val="22"/>
        </w:rPr>
        <w:t>is the</w:t>
      </w:r>
      <w:r w:rsidR="00FD0426">
        <w:rPr>
          <w:rFonts w:ascii="Times New Roman" w:hAnsi="Times New Roman" w:cs="Times New Roman"/>
          <w:sz w:val="22"/>
          <w:szCs w:val="22"/>
        </w:rPr>
        <w:t xml:space="preserve"> total net assets.</w:t>
      </w:r>
      <w:r>
        <w:rPr>
          <w:rFonts w:ascii="Times New Roman" w:hAnsi="Times New Roman" w:cs="Times New Roman"/>
          <w:sz w:val="22"/>
          <w:szCs w:val="22"/>
        </w:rPr>
        <w:t xml:space="preserve"> Expense ratio and turnover ratio is in percentages</w:t>
      </w:r>
      <w:r w:rsidR="00B35553">
        <w:rPr>
          <w:rFonts w:ascii="Times New Roman" w:hAnsi="Times New Roman" w:cs="Times New Roman"/>
          <w:sz w:val="22"/>
          <w:szCs w:val="22"/>
        </w:rPr>
        <w:t xml:space="preserve"> and lagged 12 months</w:t>
      </w:r>
      <w:r>
        <w:rPr>
          <w:rFonts w:ascii="Times New Roman" w:hAnsi="Times New Roman" w:cs="Times New Roman"/>
          <w:sz w:val="22"/>
          <w:szCs w:val="22"/>
        </w:rPr>
        <w:t>.</w:t>
      </w:r>
      <w:r w:rsidR="00867484">
        <w:rPr>
          <w:rFonts w:ascii="Times New Roman" w:hAnsi="Times New Roman" w:cs="Times New Roman"/>
          <w:sz w:val="22"/>
          <w:szCs w:val="22"/>
        </w:rPr>
        <w:t xml:space="preserve"> </w:t>
      </w:r>
      <w:r w:rsidR="00867484">
        <w:rPr>
          <w:rFonts w:ascii="Times New Roman" w:hAnsi="Times New Roman" w:cs="Times New Roman"/>
          <w:sz w:val="21"/>
          <w:szCs w:val="28"/>
        </w:rPr>
        <w:t>Expense</w:t>
      </w:r>
      <w:r w:rsidR="00F95948">
        <w:rPr>
          <w:rFonts w:ascii="Times New Roman" w:hAnsi="Times New Roman" w:cs="Times New Roman"/>
          <w:sz w:val="21"/>
          <w:szCs w:val="28"/>
        </w:rPr>
        <w:t>s</w:t>
      </w:r>
      <w:r w:rsidR="00867484">
        <w:rPr>
          <w:rFonts w:ascii="Times New Roman" w:hAnsi="Times New Roman" w:cs="Times New Roman"/>
          <w:sz w:val="21"/>
          <w:szCs w:val="28"/>
        </w:rPr>
        <w:t xml:space="preserve"> contain 12b-1 fees, management, and administrative fees, operating costs and all other asset-based costs made by the funds.</w:t>
      </w:r>
      <w:r w:rsidR="00F95948">
        <w:rPr>
          <w:rFonts w:ascii="Times New Roman" w:hAnsi="Times New Roman" w:cs="Times New Roman"/>
          <w:sz w:val="21"/>
          <w:szCs w:val="28"/>
        </w:rPr>
        <w:t xml:space="preserve"> Expense ratio </w:t>
      </w:r>
      <w:r w:rsidR="009571AE">
        <w:rPr>
          <w:rFonts w:ascii="Times New Roman" w:hAnsi="Times New Roman" w:cs="Times New Roman"/>
          <w:sz w:val="21"/>
          <w:szCs w:val="28"/>
        </w:rPr>
        <w:t>equals to</w:t>
      </w:r>
      <w:r w:rsidR="00F95948">
        <w:rPr>
          <w:rFonts w:ascii="Times New Roman" w:hAnsi="Times New Roman" w:cs="Times New Roman"/>
          <w:sz w:val="21"/>
          <w:szCs w:val="28"/>
        </w:rPr>
        <w:t xml:space="preserve"> expenses divided by TNA.</w:t>
      </w:r>
      <w:r w:rsidR="00867484">
        <w:rPr>
          <w:rFonts w:ascii="Times New Roman" w:hAnsi="Times New Roman" w:cs="Times New Roman"/>
          <w:sz w:val="22"/>
          <w:szCs w:val="22"/>
        </w:rPr>
        <w:t xml:space="preserve"> </w:t>
      </w:r>
      <w:r>
        <w:rPr>
          <w:rFonts w:ascii="Times New Roman" w:hAnsi="Times New Roman" w:cs="Times New Roman"/>
          <w:sz w:val="22"/>
          <w:szCs w:val="22"/>
        </w:rPr>
        <w:t>Age is in years. Blend, growth, and value are mutual fund investment style, dummies.</w:t>
      </w:r>
    </w:p>
    <w:p w14:paraId="084C7C49" w14:textId="7469E369" w:rsidR="00183DA2" w:rsidRDefault="00183DA2" w:rsidP="00183DA2">
      <w:pPr>
        <w:spacing w:line="360" w:lineRule="auto"/>
        <w:rPr>
          <w:rFonts w:ascii="Times New Roman" w:hAnsi="Times New Roman" w:cs="Times New Roman"/>
          <w:sz w:val="28"/>
          <w:szCs w:val="28"/>
        </w:rPr>
      </w:pPr>
    </w:p>
    <w:p w14:paraId="4DD472D5" w14:textId="211335B4" w:rsidR="00FE7060" w:rsidRDefault="00F35E89" w:rsidP="00FE7060">
      <w:pPr>
        <w:spacing w:line="360" w:lineRule="auto"/>
        <w:ind w:firstLine="720"/>
        <w:jc w:val="both"/>
        <w:rPr>
          <w:rFonts w:ascii="Times New Roman" w:hAnsi="Times New Roman" w:cs="Times New Roman"/>
        </w:rPr>
      </w:pPr>
      <w:r>
        <w:rPr>
          <w:rFonts w:ascii="Times New Roman" w:hAnsi="Times New Roman" w:cs="Times New Roman"/>
        </w:rPr>
        <w:t xml:space="preserve">For Norway, investment styles were not compared due to the lack of distribution of investment styles </w:t>
      </w:r>
      <w:r w:rsidR="00747068">
        <w:rPr>
          <w:rFonts w:ascii="Times New Roman" w:hAnsi="Times New Roman" w:cs="Times New Roman"/>
        </w:rPr>
        <w:t>across Norwegian</w:t>
      </w:r>
      <w:r>
        <w:rPr>
          <w:rFonts w:ascii="Times New Roman" w:hAnsi="Times New Roman" w:cs="Times New Roman"/>
        </w:rPr>
        <w:t xml:space="preserve"> mutual funds. Results for Norway show a significantly negative relationship between size and mutual fund performance. On average a</w:t>
      </w:r>
      <w:r w:rsidR="00747068">
        <w:rPr>
          <w:rFonts w:ascii="Times New Roman" w:hAnsi="Times New Roman" w:cs="Times New Roman"/>
        </w:rPr>
        <w:t xml:space="preserve"> one</w:t>
      </w:r>
      <w:r>
        <w:rPr>
          <w:rFonts w:ascii="Times New Roman" w:hAnsi="Times New Roman" w:cs="Times New Roman"/>
        </w:rPr>
        <w:t xml:space="preserve"> percent increase in mutual fund size corresponds to a 15.3 basis points decrease on monthly mutual </w:t>
      </w:r>
      <w:r>
        <w:rPr>
          <w:rFonts w:ascii="Times New Roman" w:hAnsi="Times New Roman" w:cs="Times New Roman"/>
        </w:rPr>
        <w:lastRenderedPageBreak/>
        <w:t>fund alpha. The effects of the expense ratio, turnover ratio and age on fund performance are not statistically different from zero.</w:t>
      </w:r>
    </w:p>
    <w:p w14:paraId="60F18E35" w14:textId="77777777" w:rsidR="00901642" w:rsidRPr="00901642" w:rsidRDefault="00901642" w:rsidP="00901642"/>
    <w:p w14:paraId="572D60AA" w14:textId="4C464053" w:rsidR="00055F47" w:rsidRPr="00055F47" w:rsidRDefault="00F35E89" w:rsidP="00B64272">
      <w:pPr>
        <w:pStyle w:val="Heading1"/>
        <w:spacing w:line="360" w:lineRule="auto"/>
        <w:rPr>
          <w:rFonts w:ascii="Times New Roman" w:hAnsi="Times New Roman" w:cs="Times New Roman"/>
          <w:b/>
          <w:bCs/>
          <w:sz w:val="28"/>
          <w:szCs w:val="28"/>
        </w:rPr>
      </w:pPr>
      <w:bookmarkStart w:id="21" w:name="_Toc15419046"/>
      <w:r w:rsidRPr="00055F47">
        <w:rPr>
          <w:rFonts w:ascii="Times New Roman" w:hAnsi="Times New Roman" w:cs="Times New Roman"/>
          <w:b/>
          <w:bCs/>
          <w:sz w:val="28"/>
          <w:szCs w:val="28"/>
        </w:rPr>
        <w:t>5. Discussion</w:t>
      </w:r>
      <w:r w:rsidR="00042A50">
        <w:rPr>
          <w:rFonts w:ascii="Times New Roman" w:hAnsi="Times New Roman" w:cs="Times New Roman"/>
          <w:b/>
          <w:bCs/>
          <w:sz w:val="28"/>
          <w:szCs w:val="28"/>
        </w:rPr>
        <w:t>, Limitations and Further Research</w:t>
      </w:r>
      <w:bookmarkEnd w:id="21"/>
    </w:p>
    <w:p w14:paraId="7AE472B1" w14:textId="2910E8B6" w:rsidR="00055F47" w:rsidRDefault="00055F47" w:rsidP="00055F47"/>
    <w:p w14:paraId="08BC6410" w14:textId="120DC4DF" w:rsidR="00055F47" w:rsidRDefault="00F35E89" w:rsidP="00B64272">
      <w:pPr>
        <w:pStyle w:val="Heading2"/>
        <w:spacing w:line="360" w:lineRule="auto"/>
        <w:rPr>
          <w:rFonts w:ascii="Times New Roman" w:hAnsi="Times New Roman" w:cs="Times New Roman"/>
          <w:b/>
          <w:bCs/>
        </w:rPr>
      </w:pPr>
      <w:bookmarkStart w:id="22" w:name="_Toc15419047"/>
      <w:r w:rsidRPr="00B64272">
        <w:rPr>
          <w:rFonts w:ascii="Times New Roman" w:hAnsi="Times New Roman" w:cs="Times New Roman"/>
          <w:b/>
          <w:bCs/>
        </w:rPr>
        <w:t>5.1 Discussion</w:t>
      </w:r>
      <w:bookmarkEnd w:id="22"/>
    </w:p>
    <w:p w14:paraId="0FE771B5" w14:textId="77777777" w:rsidR="00747068" w:rsidRPr="00747068" w:rsidRDefault="00747068" w:rsidP="00747068"/>
    <w:p w14:paraId="3813562B" w14:textId="588C1D3E" w:rsidR="00055F47" w:rsidRDefault="00F35E89" w:rsidP="002E4CD7">
      <w:pPr>
        <w:spacing w:line="360" w:lineRule="auto"/>
        <w:ind w:firstLine="720"/>
        <w:jc w:val="both"/>
        <w:rPr>
          <w:rFonts w:ascii="Times New Roman" w:hAnsi="Times New Roman" w:cs="Times New Roman"/>
        </w:rPr>
      </w:pPr>
      <w:r>
        <w:rPr>
          <w:rFonts w:ascii="Times New Roman" w:hAnsi="Times New Roman" w:cs="Times New Roman"/>
        </w:rPr>
        <w:t xml:space="preserve">The adjusted </w:t>
      </w:r>
      <w:r w:rsidR="00DB76FF" w:rsidRPr="00DB76FF">
        <w:rPr>
          <w:rFonts w:ascii="Times New Roman" w:hAnsi="Times New Roman" w:cs="Times New Roman"/>
        </w:rPr>
        <w:t>R</w:t>
      </w:r>
      <w:r w:rsidR="00DB76FF" w:rsidRPr="00DB76FF">
        <w:rPr>
          <w:rFonts w:ascii="Times New Roman" w:hAnsi="Times New Roman" w:cs="Times New Roman"/>
          <w:vertAlign w:val="superscript"/>
        </w:rPr>
        <w:t>2</w:t>
      </w:r>
      <w:r w:rsidR="00DB76FF" w:rsidRPr="00DB76FF">
        <w:rPr>
          <w:rFonts w:ascii="Times New Roman" w:hAnsi="Times New Roman" w:cs="Times New Roman"/>
        </w:rPr>
        <w:t xml:space="preserve"> values </w:t>
      </w:r>
      <w:r w:rsidR="00254DDD">
        <w:rPr>
          <w:rFonts w:ascii="Times New Roman" w:hAnsi="Times New Roman" w:cs="Times New Roman"/>
        </w:rPr>
        <w:t>for the European</w:t>
      </w:r>
      <w:r>
        <w:rPr>
          <w:rFonts w:ascii="Times New Roman" w:hAnsi="Times New Roman" w:cs="Times New Roman"/>
        </w:rPr>
        <w:t xml:space="preserve"> countries in this research </w:t>
      </w:r>
      <w:r w:rsidR="00DB76FF" w:rsidRPr="00DB76FF">
        <w:rPr>
          <w:rFonts w:ascii="Times New Roman" w:hAnsi="Times New Roman" w:cs="Times New Roman"/>
        </w:rPr>
        <w:t>are relatively low</w:t>
      </w:r>
      <w:r w:rsidR="00254DDD">
        <w:rPr>
          <w:rFonts w:ascii="Times New Roman" w:hAnsi="Times New Roman" w:cs="Times New Roman"/>
        </w:rPr>
        <w:t>er</w:t>
      </w:r>
      <w:r w:rsidR="00DB76FF" w:rsidRPr="00DB76FF">
        <w:rPr>
          <w:rFonts w:ascii="Times New Roman" w:hAnsi="Times New Roman" w:cs="Times New Roman"/>
        </w:rPr>
        <w:t xml:space="preserve"> </w:t>
      </w:r>
      <w:r w:rsidR="00254DDD">
        <w:rPr>
          <w:rFonts w:ascii="Times New Roman" w:hAnsi="Times New Roman" w:cs="Times New Roman"/>
        </w:rPr>
        <w:t>than the</w:t>
      </w:r>
      <w:r w:rsidR="00DB76FF" w:rsidRPr="00DB76FF">
        <w:rPr>
          <w:rFonts w:ascii="Times New Roman" w:hAnsi="Times New Roman" w:cs="Times New Roman"/>
        </w:rPr>
        <w:t xml:space="preserve"> </w:t>
      </w:r>
      <w:r w:rsidR="00DB76FF">
        <w:rPr>
          <w:rFonts w:ascii="Times New Roman" w:hAnsi="Times New Roman" w:cs="Times New Roman"/>
        </w:rPr>
        <w:t>R</w:t>
      </w:r>
      <w:r w:rsidR="00DB76FF">
        <w:rPr>
          <w:rFonts w:ascii="Times New Roman" w:hAnsi="Times New Roman" w:cs="Times New Roman"/>
          <w:vertAlign w:val="superscript"/>
        </w:rPr>
        <w:t>2</w:t>
      </w:r>
      <w:r w:rsidR="00DB76FF">
        <w:rPr>
          <w:rFonts w:ascii="Times New Roman" w:hAnsi="Times New Roman" w:cs="Times New Roman"/>
        </w:rPr>
        <w:t xml:space="preserve"> values</w:t>
      </w:r>
      <w:r w:rsidR="00254DDD">
        <w:rPr>
          <w:rFonts w:ascii="Times New Roman" w:hAnsi="Times New Roman" w:cs="Times New Roman"/>
        </w:rPr>
        <w:t xml:space="preserve"> observed</w:t>
      </w:r>
      <w:r w:rsidR="00DB76FF">
        <w:rPr>
          <w:rFonts w:ascii="Times New Roman" w:hAnsi="Times New Roman" w:cs="Times New Roman"/>
        </w:rPr>
        <w:t xml:space="preserve"> in the research of Otten and Bams (2002)</w:t>
      </w:r>
      <w:r>
        <w:rPr>
          <w:rFonts w:ascii="Times New Roman" w:hAnsi="Times New Roman" w:cs="Times New Roman"/>
        </w:rPr>
        <w:t xml:space="preserve">. One of the </w:t>
      </w:r>
      <w:r w:rsidR="00254DDD">
        <w:rPr>
          <w:rFonts w:ascii="Times New Roman" w:hAnsi="Times New Roman" w:cs="Times New Roman"/>
        </w:rPr>
        <w:t>reason</w:t>
      </w:r>
      <w:r>
        <w:rPr>
          <w:rFonts w:ascii="Times New Roman" w:hAnsi="Times New Roman" w:cs="Times New Roman"/>
        </w:rPr>
        <w:t xml:space="preserve">s for this difference </w:t>
      </w:r>
      <w:r w:rsidR="00254DDD">
        <w:rPr>
          <w:rFonts w:ascii="Times New Roman" w:hAnsi="Times New Roman" w:cs="Times New Roman"/>
        </w:rPr>
        <w:t>is</w:t>
      </w:r>
      <w:r>
        <w:rPr>
          <w:rFonts w:ascii="Times New Roman" w:hAnsi="Times New Roman" w:cs="Times New Roman"/>
        </w:rPr>
        <w:t xml:space="preserve"> the employment of proxy factor mimicking portfolios in this research. </w:t>
      </w:r>
      <w:r w:rsidR="00747068">
        <w:rPr>
          <w:rFonts w:ascii="Times New Roman" w:hAnsi="Times New Roman" w:cs="Times New Roman"/>
        </w:rPr>
        <w:t>In</w:t>
      </w:r>
      <w:r>
        <w:rPr>
          <w:rFonts w:ascii="Times New Roman" w:hAnsi="Times New Roman" w:cs="Times New Roman"/>
        </w:rPr>
        <w:t xml:space="preserve"> the research of Otten and Bams (2002), factor mimicking portfolios were constructed for each country. Moreover, the observed R</w:t>
      </w:r>
      <w:r>
        <w:rPr>
          <w:rFonts w:ascii="Times New Roman" w:hAnsi="Times New Roman" w:cs="Times New Roman"/>
          <w:vertAlign w:val="superscript"/>
        </w:rPr>
        <w:t>2</w:t>
      </w:r>
      <w:r>
        <w:rPr>
          <w:rFonts w:ascii="Times New Roman" w:hAnsi="Times New Roman" w:cs="Times New Roman"/>
        </w:rPr>
        <w:t xml:space="preserve"> values for the US and Australia,</w:t>
      </w:r>
      <w:r w:rsidR="00747068">
        <w:rPr>
          <w:rFonts w:ascii="Times New Roman" w:hAnsi="Times New Roman" w:cs="Times New Roman"/>
        </w:rPr>
        <w:t xml:space="preserve"> which are</w:t>
      </w:r>
      <w:r>
        <w:rPr>
          <w:rFonts w:ascii="Times New Roman" w:hAnsi="Times New Roman" w:cs="Times New Roman"/>
        </w:rPr>
        <w:t xml:space="preserve"> 0.86 and 0.83</w:t>
      </w:r>
      <w:r w:rsidR="00747068">
        <w:rPr>
          <w:rFonts w:ascii="Times New Roman" w:hAnsi="Times New Roman" w:cs="Times New Roman"/>
        </w:rPr>
        <w:t xml:space="preserve"> respectively</w:t>
      </w:r>
      <w:r>
        <w:rPr>
          <w:rFonts w:ascii="Times New Roman" w:hAnsi="Times New Roman" w:cs="Times New Roman"/>
        </w:rPr>
        <w:t xml:space="preserve">, are very similar to those observed in Ferreira et al. (2013), </w:t>
      </w:r>
      <w:r w:rsidR="00747068">
        <w:rPr>
          <w:rFonts w:ascii="Times New Roman" w:hAnsi="Times New Roman" w:cs="Times New Roman"/>
        </w:rPr>
        <w:t xml:space="preserve">which were </w:t>
      </w:r>
      <w:r>
        <w:rPr>
          <w:rFonts w:ascii="Times New Roman" w:hAnsi="Times New Roman" w:cs="Times New Roman"/>
        </w:rPr>
        <w:t>0.86 and 0.85</w:t>
      </w:r>
      <w:r w:rsidR="00747068">
        <w:rPr>
          <w:rFonts w:ascii="Times New Roman" w:hAnsi="Times New Roman" w:cs="Times New Roman"/>
        </w:rPr>
        <w:t xml:space="preserve"> respectively</w:t>
      </w:r>
      <w:r>
        <w:rPr>
          <w:rFonts w:ascii="Times New Roman" w:hAnsi="Times New Roman" w:cs="Times New Roman"/>
        </w:rPr>
        <w:t xml:space="preserve">. </w:t>
      </w:r>
    </w:p>
    <w:p w14:paraId="725A0BCC" w14:textId="2CE40A18" w:rsidR="002E4CD7" w:rsidRPr="002E4CD7" w:rsidRDefault="00F35E89" w:rsidP="002E4CD7">
      <w:pPr>
        <w:spacing w:line="360" w:lineRule="auto"/>
        <w:ind w:firstLine="720"/>
        <w:jc w:val="both"/>
        <w:rPr>
          <w:rFonts w:ascii="Times New Roman" w:hAnsi="Times New Roman" w:cs="Times New Roman"/>
        </w:rPr>
      </w:pPr>
      <w:r>
        <w:rPr>
          <w:rFonts w:ascii="Times New Roman" w:hAnsi="Times New Roman" w:cs="Times New Roman"/>
        </w:rPr>
        <w:t xml:space="preserve">The significantly positive mutual fund alphas in the UK are in line with the findings of Otten and Bams (2002) and Ferreira et (2013). </w:t>
      </w:r>
      <w:r w:rsidR="007F1D3E">
        <w:rPr>
          <w:rFonts w:ascii="Times New Roman" w:hAnsi="Times New Roman" w:cs="Times New Roman"/>
        </w:rPr>
        <w:t xml:space="preserve">Prior research showed </w:t>
      </w:r>
      <w:r w:rsidR="00254DDD">
        <w:rPr>
          <w:rFonts w:ascii="Times New Roman" w:hAnsi="Times New Roman" w:cs="Times New Roman"/>
        </w:rPr>
        <w:t xml:space="preserve">that </w:t>
      </w:r>
      <w:r w:rsidR="007F1D3E">
        <w:rPr>
          <w:rFonts w:ascii="Times New Roman" w:hAnsi="Times New Roman" w:cs="Times New Roman"/>
        </w:rPr>
        <w:t>on average the mutual funds</w:t>
      </w:r>
      <w:r w:rsidR="00254DDD" w:rsidRPr="00254DDD">
        <w:rPr>
          <w:rFonts w:ascii="Times New Roman" w:hAnsi="Times New Roman" w:cs="Times New Roman"/>
        </w:rPr>
        <w:t xml:space="preserve"> </w:t>
      </w:r>
      <w:r w:rsidR="00254DDD">
        <w:rPr>
          <w:rFonts w:ascii="Times New Roman" w:hAnsi="Times New Roman" w:cs="Times New Roman"/>
        </w:rPr>
        <w:t>underperform</w:t>
      </w:r>
      <w:r w:rsidR="007F1D3E">
        <w:rPr>
          <w:rFonts w:ascii="Times New Roman" w:hAnsi="Times New Roman" w:cs="Times New Roman"/>
        </w:rPr>
        <w:t xml:space="preserve">. </w:t>
      </w:r>
      <w:r w:rsidR="00254DDD">
        <w:rPr>
          <w:rFonts w:ascii="Times New Roman" w:hAnsi="Times New Roman" w:cs="Times New Roman"/>
        </w:rPr>
        <w:t>However, t</w:t>
      </w:r>
      <w:r>
        <w:rPr>
          <w:rFonts w:ascii="Times New Roman" w:hAnsi="Times New Roman" w:cs="Times New Roman"/>
        </w:rPr>
        <w:t>he remaining findings of this research on mutual fund alphas</w:t>
      </w:r>
      <w:r w:rsidR="007F1D3E">
        <w:rPr>
          <w:rFonts w:ascii="Times New Roman" w:hAnsi="Times New Roman" w:cs="Times New Roman"/>
        </w:rPr>
        <w:t xml:space="preserve"> are contrary to</w:t>
      </w:r>
      <w:r w:rsidR="00B360F7">
        <w:rPr>
          <w:rFonts w:ascii="Times New Roman" w:hAnsi="Times New Roman" w:cs="Times New Roman"/>
        </w:rPr>
        <w:t xml:space="preserve"> the</w:t>
      </w:r>
      <w:r w:rsidR="007F1D3E">
        <w:rPr>
          <w:rFonts w:ascii="Times New Roman" w:hAnsi="Times New Roman" w:cs="Times New Roman"/>
        </w:rPr>
        <w:t xml:space="preserve"> prior research</w:t>
      </w:r>
      <w:r w:rsidR="00B360F7">
        <w:rPr>
          <w:rFonts w:ascii="Times New Roman" w:hAnsi="Times New Roman" w:cs="Times New Roman"/>
        </w:rPr>
        <w:t xml:space="preserve"> of Jensen (1968), Malkiel (1995) and Carhat (1997)</w:t>
      </w:r>
      <w:r w:rsidR="007F1D3E">
        <w:rPr>
          <w:rFonts w:ascii="Times New Roman" w:hAnsi="Times New Roman" w:cs="Times New Roman"/>
        </w:rPr>
        <w:t xml:space="preserve">. </w:t>
      </w:r>
    </w:p>
    <w:p w14:paraId="6D05F38F" w14:textId="029ED69B" w:rsidR="00055F47" w:rsidRDefault="00F35E89" w:rsidP="00055F47">
      <w:pPr>
        <w:spacing w:line="360" w:lineRule="auto"/>
        <w:ind w:firstLine="720"/>
        <w:jc w:val="both"/>
        <w:rPr>
          <w:rFonts w:ascii="Times New Roman" w:hAnsi="Times New Roman" w:cs="Times New Roman"/>
        </w:rPr>
      </w:pPr>
      <w:r>
        <w:rPr>
          <w:rFonts w:ascii="Times New Roman" w:hAnsi="Times New Roman" w:cs="Times New Roman"/>
        </w:rPr>
        <w:t>With the exception of Switzerland, high mutual funds</w:t>
      </w:r>
      <w:r w:rsidR="00254DDD">
        <w:rPr>
          <w:rFonts w:ascii="Times New Roman" w:hAnsi="Times New Roman" w:cs="Times New Roman"/>
        </w:rPr>
        <w:t>’</w:t>
      </w:r>
      <w:r>
        <w:rPr>
          <w:rFonts w:ascii="Times New Roman" w:hAnsi="Times New Roman" w:cs="Times New Roman"/>
        </w:rPr>
        <w:t xml:space="preserve"> alphas are observed in the countries with high standard deviations</w:t>
      </w:r>
      <w:r w:rsidR="00F2516E">
        <w:rPr>
          <w:rFonts w:ascii="Times New Roman" w:hAnsi="Times New Roman" w:cs="Times New Roman"/>
        </w:rPr>
        <w:t>.</w:t>
      </w:r>
      <w:r w:rsidR="0003749C">
        <w:rPr>
          <w:rFonts w:ascii="Times New Roman" w:hAnsi="Times New Roman" w:cs="Times New Roman"/>
        </w:rPr>
        <w:t xml:space="preserve"> Thus,</w:t>
      </w:r>
      <w:r w:rsidR="00F2516E">
        <w:rPr>
          <w:rFonts w:ascii="Times New Roman" w:hAnsi="Times New Roman" w:cs="Times New Roman"/>
        </w:rPr>
        <w:t xml:space="preserve"> the alphas </w:t>
      </w:r>
      <w:r w:rsidR="00254DDD">
        <w:rPr>
          <w:rFonts w:ascii="Times New Roman" w:hAnsi="Times New Roman" w:cs="Times New Roman"/>
        </w:rPr>
        <w:t xml:space="preserve">are </w:t>
      </w:r>
      <w:r w:rsidR="00F2516E">
        <w:rPr>
          <w:rFonts w:ascii="Times New Roman" w:hAnsi="Times New Roman" w:cs="Times New Roman"/>
        </w:rPr>
        <w:t xml:space="preserve">likely </w:t>
      </w:r>
      <w:r w:rsidR="00254DDD">
        <w:rPr>
          <w:rFonts w:ascii="Times New Roman" w:hAnsi="Times New Roman" w:cs="Times New Roman"/>
        </w:rPr>
        <w:t xml:space="preserve">to </w:t>
      </w:r>
      <w:r w:rsidR="00F2516E">
        <w:rPr>
          <w:rFonts w:ascii="Times New Roman" w:hAnsi="Times New Roman" w:cs="Times New Roman"/>
        </w:rPr>
        <w:t>correspond to</w:t>
      </w:r>
      <w:r w:rsidR="009A52CC">
        <w:rPr>
          <w:rFonts w:ascii="Times New Roman" w:hAnsi="Times New Roman" w:cs="Times New Roman"/>
        </w:rPr>
        <w:t xml:space="preserve"> </w:t>
      </w:r>
      <w:r w:rsidR="00254DDD">
        <w:rPr>
          <w:rFonts w:ascii="Times New Roman" w:hAnsi="Times New Roman" w:cs="Times New Roman"/>
        </w:rPr>
        <w:t xml:space="preserve">the </w:t>
      </w:r>
      <w:r w:rsidR="00F2516E">
        <w:rPr>
          <w:rFonts w:ascii="Times New Roman" w:hAnsi="Times New Roman" w:cs="Times New Roman"/>
        </w:rPr>
        <w:t>risk</w:t>
      </w:r>
      <w:r w:rsidR="00254DDD" w:rsidRPr="00254DDD">
        <w:rPr>
          <w:rFonts w:ascii="Times New Roman" w:hAnsi="Times New Roman" w:cs="Times New Roman"/>
        </w:rPr>
        <w:t xml:space="preserve"> </w:t>
      </w:r>
      <w:r w:rsidR="00254DDD">
        <w:rPr>
          <w:rFonts w:ascii="Times New Roman" w:hAnsi="Times New Roman" w:cs="Times New Roman"/>
        </w:rPr>
        <w:t>compensation,</w:t>
      </w:r>
      <w:r w:rsidR="00F2516E">
        <w:rPr>
          <w:rFonts w:ascii="Times New Roman" w:hAnsi="Times New Roman" w:cs="Times New Roman"/>
        </w:rPr>
        <w:t xml:space="preserve"> </w:t>
      </w:r>
      <w:r w:rsidR="009A52CC">
        <w:rPr>
          <w:rFonts w:ascii="Times New Roman" w:hAnsi="Times New Roman" w:cs="Times New Roman"/>
        </w:rPr>
        <w:t>which is observed by the</w:t>
      </w:r>
      <w:r w:rsidR="00F2516E">
        <w:rPr>
          <w:rFonts w:ascii="Times New Roman" w:hAnsi="Times New Roman" w:cs="Times New Roman"/>
        </w:rPr>
        <w:t xml:space="preserve"> high volatility in these countries. </w:t>
      </w:r>
      <w:r w:rsidR="0003749C">
        <w:rPr>
          <w:rFonts w:ascii="Times New Roman" w:hAnsi="Times New Roman" w:cs="Times New Roman"/>
        </w:rPr>
        <w:t>On the other hand, Switzerland has the second-lowest standard deviation which does not indicate a risk-return relationship for the mutual fund performances. Accordingly, it is possible that the high alphas in Switzerland corresponds to stock-picking abilities of the mutual fund managers or</w:t>
      </w:r>
      <w:r w:rsidR="00011279">
        <w:rPr>
          <w:rFonts w:ascii="Times New Roman" w:hAnsi="Times New Roman" w:cs="Times New Roman"/>
        </w:rPr>
        <w:t xml:space="preserve"> just to</w:t>
      </w:r>
      <w:r w:rsidR="0003749C">
        <w:rPr>
          <w:rFonts w:ascii="Times New Roman" w:hAnsi="Times New Roman" w:cs="Times New Roman"/>
        </w:rPr>
        <w:t xml:space="preserve"> pure luck. Carhart (1997)</w:t>
      </w:r>
      <w:r w:rsidR="00011279">
        <w:rPr>
          <w:rFonts w:ascii="Times New Roman" w:hAnsi="Times New Roman" w:cs="Times New Roman"/>
        </w:rPr>
        <w:t xml:space="preserve"> </w:t>
      </w:r>
      <w:r w:rsidR="009A52CC">
        <w:rPr>
          <w:rFonts w:ascii="Times New Roman" w:hAnsi="Times New Roman" w:cs="Times New Roman"/>
        </w:rPr>
        <w:t>supported</w:t>
      </w:r>
      <w:r w:rsidR="0003749C">
        <w:rPr>
          <w:rFonts w:ascii="Times New Roman" w:hAnsi="Times New Roman" w:cs="Times New Roman"/>
        </w:rPr>
        <w:t xml:space="preserve"> in his paper </w:t>
      </w:r>
      <w:r w:rsidR="00011279">
        <w:rPr>
          <w:rFonts w:ascii="Times New Roman" w:hAnsi="Times New Roman" w:cs="Times New Roman"/>
        </w:rPr>
        <w:t xml:space="preserve">that </w:t>
      </w:r>
      <w:r w:rsidR="0003749C">
        <w:rPr>
          <w:rFonts w:ascii="Times New Roman" w:hAnsi="Times New Roman" w:cs="Times New Roman"/>
        </w:rPr>
        <w:t>the</w:t>
      </w:r>
      <w:r w:rsidR="00C664D5">
        <w:rPr>
          <w:rFonts w:ascii="Times New Roman" w:hAnsi="Times New Roman" w:cs="Times New Roman"/>
        </w:rPr>
        <w:t xml:space="preserve"> US</w:t>
      </w:r>
      <w:r w:rsidR="00011279">
        <w:rPr>
          <w:rFonts w:ascii="Times New Roman" w:hAnsi="Times New Roman" w:cs="Times New Roman"/>
        </w:rPr>
        <w:t xml:space="preserve"> equity fund managers did not possess the</w:t>
      </w:r>
      <w:r w:rsidR="0003749C">
        <w:rPr>
          <w:rFonts w:ascii="Times New Roman" w:hAnsi="Times New Roman" w:cs="Times New Roman"/>
        </w:rPr>
        <w:t xml:space="preserve"> stock-picking abilities </w:t>
      </w:r>
      <w:r w:rsidR="00011279">
        <w:rPr>
          <w:rFonts w:ascii="Times New Roman" w:hAnsi="Times New Roman" w:cs="Times New Roman"/>
        </w:rPr>
        <w:t>and that luck was the major force in mutual fund</w:t>
      </w:r>
      <w:r w:rsidR="009A52CC">
        <w:rPr>
          <w:rFonts w:ascii="Times New Roman" w:hAnsi="Times New Roman" w:cs="Times New Roman"/>
        </w:rPr>
        <w:t>s</w:t>
      </w:r>
      <w:r w:rsidR="00011279">
        <w:rPr>
          <w:rFonts w:ascii="Times New Roman" w:hAnsi="Times New Roman" w:cs="Times New Roman"/>
        </w:rPr>
        <w:t xml:space="preserve"> </w:t>
      </w:r>
      <w:r w:rsidR="009A52CC">
        <w:rPr>
          <w:rFonts w:ascii="Times New Roman" w:hAnsi="Times New Roman" w:cs="Times New Roman"/>
        </w:rPr>
        <w:t>that beat their benchmarks</w:t>
      </w:r>
      <w:r w:rsidR="00011279">
        <w:rPr>
          <w:rFonts w:ascii="Times New Roman" w:hAnsi="Times New Roman" w:cs="Times New Roman"/>
        </w:rPr>
        <w:t>.</w:t>
      </w:r>
      <w:r w:rsidR="00C664D5">
        <w:rPr>
          <w:rFonts w:ascii="Times New Roman" w:hAnsi="Times New Roman" w:cs="Times New Roman"/>
        </w:rPr>
        <w:t xml:space="preserve"> </w:t>
      </w:r>
    </w:p>
    <w:p w14:paraId="5ED0EDD6" w14:textId="27978F43" w:rsidR="00355435" w:rsidRDefault="00F35E89" w:rsidP="00355435">
      <w:pPr>
        <w:spacing w:line="360" w:lineRule="auto"/>
        <w:ind w:firstLine="720"/>
        <w:jc w:val="both"/>
        <w:rPr>
          <w:rFonts w:ascii="Times New Roman" w:hAnsi="Times New Roman" w:cs="Times New Roman"/>
        </w:rPr>
      </w:pPr>
      <w:r>
        <w:rPr>
          <w:rFonts w:ascii="Times New Roman" w:hAnsi="Times New Roman" w:cs="Times New Roman"/>
        </w:rPr>
        <w:t xml:space="preserve">Results regarding the effects of </w:t>
      </w:r>
      <w:r w:rsidR="007A5C4B">
        <w:rPr>
          <w:rFonts w:ascii="Times New Roman" w:hAnsi="Times New Roman" w:cs="Times New Roman"/>
        </w:rPr>
        <w:t>size and age on</w:t>
      </w:r>
      <w:r w:rsidR="007F1D3E">
        <w:rPr>
          <w:rFonts w:ascii="Times New Roman" w:hAnsi="Times New Roman" w:cs="Times New Roman"/>
        </w:rPr>
        <w:t xml:space="preserve"> American</w:t>
      </w:r>
      <w:r w:rsidR="007A5C4B">
        <w:rPr>
          <w:rFonts w:ascii="Times New Roman" w:hAnsi="Times New Roman" w:cs="Times New Roman"/>
        </w:rPr>
        <w:t xml:space="preserve"> fund performance in literature are in line with the results of this research. </w:t>
      </w:r>
      <w:r>
        <w:rPr>
          <w:rFonts w:ascii="Times New Roman" w:hAnsi="Times New Roman" w:cs="Times New Roman"/>
        </w:rPr>
        <w:t xml:space="preserve"> Carhart (1997) foun</w:t>
      </w:r>
      <w:r w:rsidR="007A5C4B">
        <w:rPr>
          <w:rFonts w:ascii="Times New Roman" w:hAnsi="Times New Roman" w:cs="Times New Roman"/>
        </w:rPr>
        <w:t>d</w:t>
      </w:r>
      <w:r>
        <w:rPr>
          <w:rFonts w:ascii="Times New Roman" w:hAnsi="Times New Roman" w:cs="Times New Roman"/>
        </w:rPr>
        <w:t xml:space="preserve"> the effect of an increase in size as negative 6 basis points on mutual fund performance while results of </w:t>
      </w:r>
      <w:r w:rsidR="007A5C4B">
        <w:rPr>
          <w:rFonts w:ascii="Times New Roman" w:hAnsi="Times New Roman" w:cs="Times New Roman"/>
        </w:rPr>
        <w:t>Chen et al (2004) and</w:t>
      </w:r>
      <w:r>
        <w:rPr>
          <w:rFonts w:ascii="Times New Roman" w:hAnsi="Times New Roman" w:cs="Times New Roman"/>
        </w:rPr>
        <w:t xml:space="preserve"> Ferreira</w:t>
      </w:r>
      <w:r w:rsidR="007A5C4B">
        <w:rPr>
          <w:rFonts w:ascii="Times New Roman" w:hAnsi="Times New Roman" w:cs="Times New Roman"/>
        </w:rPr>
        <w:t xml:space="preserve"> et al.</w:t>
      </w:r>
      <w:r>
        <w:rPr>
          <w:rFonts w:ascii="Times New Roman" w:hAnsi="Times New Roman" w:cs="Times New Roman"/>
        </w:rPr>
        <w:t xml:space="preserve"> (2013) </w:t>
      </w:r>
      <w:r w:rsidR="007A5C4B">
        <w:rPr>
          <w:rFonts w:ascii="Times New Roman" w:hAnsi="Times New Roman" w:cs="Times New Roman"/>
        </w:rPr>
        <w:t xml:space="preserve">show the effect of the same increase as negative 2.8 and 6.8 basis points respectively. Furthermore, neither </w:t>
      </w:r>
      <w:r w:rsidR="009A52CC">
        <w:rPr>
          <w:rFonts w:ascii="Times New Roman" w:hAnsi="Times New Roman" w:cs="Times New Roman"/>
        </w:rPr>
        <w:t xml:space="preserve">Chen et al. (2004) nor Ferreira et al. (2013) </w:t>
      </w:r>
      <w:r w:rsidR="007A5C4B">
        <w:rPr>
          <w:rFonts w:ascii="Times New Roman" w:hAnsi="Times New Roman" w:cs="Times New Roman"/>
        </w:rPr>
        <w:t xml:space="preserve">found a significant effect of </w:t>
      </w:r>
      <w:r w:rsidR="00C664D5">
        <w:rPr>
          <w:rFonts w:ascii="Times New Roman" w:hAnsi="Times New Roman" w:cs="Times New Roman"/>
        </w:rPr>
        <w:t>expense ratio</w:t>
      </w:r>
      <w:r w:rsidR="007A5C4B">
        <w:rPr>
          <w:rFonts w:ascii="Times New Roman" w:hAnsi="Times New Roman" w:cs="Times New Roman"/>
        </w:rPr>
        <w:t xml:space="preserve"> on mutual fund performance. Moreover, this research displays a</w:t>
      </w:r>
      <w:r>
        <w:rPr>
          <w:rFonts w:ascii="Times New Roman" w:hAnsi="Times New Roman" w:cs="Times New Roman"/>
        </w:rPr>
        <w:t xml:space="preserve"> significantly negative relationship</w:t>
      </w:r>
      <w:r w:rsidR="007A5C4B">
        <w:rPr>
          <w:rFonts w:ascii="Times New Roman" w:hAnsi="Times New Roman" w:cs="Times New Roman"/>
        </w:rPr>
        <w:t xml:space="preserve"> between turnover ratio and mutual fund </w:t>
      </w:r>
      <w:r>
        <w:rPr>
          <w:rFonts w:ascii="Times New Roman" w:hAnsi="Times New Roman" w:cs="Times New Roman"/>
        </w:rPr>
        <w:t>whereas</w:t>
      </w:r>
      <w:r w:rsidR="007A5C4B">
        <w:rPr>
          <w:rFonts w:ascii="Times New Roman" w:hAnsi="Times New Roman" w:cs="Times New Roman"/>
        </w:rPr>
        <w:t xml:space="preserve"> </w:t>
      </w:r>
      <w:r w:rsidR="007A5C4B">
        <w:rPr>
          <w:rFonts w:ascii="Times New Roman" w:hAnsi="Times New Roman" w:cs="Times New Roman"/>
        </w:rPr>
        <w:lastRenderedPageBreak/>
        <w:t xml:space="preserve">the </w:t>
      </w:r>
      <w:r w:rsidR="009A52CC">
        <w:rPr>
          <w:rFonts w:ascii="Times New Roman" w:hAnsi="Times New Roman" w:cs="Times New Roman"/>
        </w:rPr>
        <w:t>aforementioned researchers</w:t>
      </w:r>
      <w:r>
        <w:rPr>
          <w:rFonts w:ascii="Times New Roman" w:hAnsi="Times New Roman" w:cs="Times New Roman"/>
        </w:rPr>
        <w:t xml:space="preserve"> </w:t>
      </w:r>
      <w:r w:rsidR="009A52CC">
        <w:rPr>
          <w:rFonts w:ascii="Times New Roman" w:hAnsi="Times New Roman" w:cs="Times New Roman"/>
        </w:rPr>
        <w:t>do</w:t>
      </w:r>
      <w:r>
        <w:rPr>
          <w:rFonts w:ascii="Times New Roman" w:hAnsi="Times New Roman" w:cs="Times New Roman"/>
        </w:rPr>
        <w:t xml:space="preserve"> not </w:t>
      </w:r>
      <w:r w:rsidR="009A52CC">
        <w:rPr>
          <w:rFonts w:ascii="Times New Roman" w:hAnsi="Times New Roman" w:cs="Times New Roman"/>
        </w:rPr>
        <w:t>observe</w:t>
      </w:r>
      <w:r>
        <w:rPr>
          <w:rFonts w:ascii="Times New Roman" w:hAnsi="Times New Roman" w:cs="Times New Roman"/>
        </w:rPr>
        <w:t xml:space="preserve"> a significant relationship</w:t>
      </w:r>
      <w:r w:rsidR="007A5C4B">
        <w:rPr>
          <w:rFonts w:ascii="Times New Roman" w:hAnsi="Times New Roman" w:cs="Times New Roman"/>
        </w:rPr>
        <w:t xml:space="preserve">. </w:t>
      </w:r>
      <w:r>
        <w:rPr>
          <w:rFonts w:ascii="Times New Roman" w:hAnsi="Times New Roman" w:cs="Times New Roman"/>
        </w:rPr>
        <w:t xml:space="preserve">Additionally, the findings for the difference between value and growth funds are in the same direction but </w:t>
      </w:r>
      <w:r w:rsidR="0063095E">
        <w:rPr>
          <w:rFonts w:ascii="Times New Roman" w:hAnsi="Times New Roman" w:cs="Times New Roman"/>
        </w:rPr>
        <w:t>lower</w:t>
      </w:r>
      <w:r>
        <w:rPr>
          <w:rFonts w:ascii="Times New Roman" w:hAnsi="Times New Roman" w:cs="Times New Roman"/>
        </w:rPr>
        <w:t xml:space="preserve"> in scale than the findings of Chan et al. (2004)</w:t>
      </w:r>
      <w:r w:rsidR="0063095E">
        <w:rPr>
          <w:rFonts w:ascii="Times New Roman" w:hAnsi="Times New Roman" w:cs="Times New Roman"/>
        </w:rPr>
        <w:t>,</w:t>
      </w:r>
      <w:r>
        <w:rPr>
          <w:rFonts w:ascii="Times New Roman" w:hAnsi="Times New Roman" w:cs="Times New Roman"/>
        </w:rPr>
        <w:t xml:space="preserve"> where their findings show a 1.5 percent difference between growth and value funds.</w:t>
      </w:r>
    </w:p>
    <w:p w14:paraId="660514F0" w14:textId="684664C0" w:rsidR="00503B68" w:rsidRDefault="00F35E89" w:rsidP="00355435">
      <w:pPr>
        <w:spacing w:line="360" w:lineRule="auto"/>
        <w:ind w:firstLine="720"/>
        <w:jc w:val="both"/>
        <w:rPr>
          <w:rFonts w:ascii="Times New Roman" w:hAnsi="Times New Roman" w:cs="Times New Roman"/>
        </w:rPr>
      </w:pPr>
      <w:r>
        <w:rPr>
          <w:rFonts w:ascii="Times New Roman" w:hAnsi="Times New Roman" w:cs="Times New Roman"/>
        </w:rPr>
        <w:t xml:space="preserve">Ferreira et al. (2013) compare the mutual fund characteristics of the US </w:t>
      </w:r>
      <w:r w:rsidR="0063095E">
        <w:rPr>
          <w:rFonts w:ascii="Times New Roman" w:hAnsi="Times New Roman" w:cs="Times New Roman"/>
        </w:rPr>
        <w:t>mutual funds versus</w:t>
      </w:r>
      <w:r>
        <w:rPr>
          <w:rFonts w:ascii="Times New Roman" w:hAnsi="Times New Roman" w:cs="Times New Roman"/>
        </w:rPr>
        <w:t xml:space="preserve"> the non-US mutual funds while the non-US mutual funds are aggregated and taken as one category. For the non-US mutual funds, they found the effects of mutual fund size, age and expense ratio on mutual fund performance as significantly negative. Additionally, they report a significantly positive relationship between turnover ratio and mutual fund performance. In this regard, the findings of this paper on the relationship between mutual fund characteristics and mutual fund performance for Norway is only consistent regarding the effect of the expense ratio.</w:t>
      </w:r>
      <w:r w:rsidR="001F0394">
        <w:rPr>
          <w:rFonts w:ascii="Times New Roman" w:hAnsi="Times New Roman" w:cs="Times New Roman"/>
        </w:rPr>
        <w:t xml:space="preserve"> </w:t>
      </w:r>
    </w:p>
    <w:p w14:paraId="43941B7D" w14:textId="59453AF8" w:rsidR="007F1D3E" w:rsidRDefault="00F35E89" w:rsidP="007F1D3E">
      <w:pPr>
        <w:spacing w:line="360" w:lineRule="auto"/>
        <w:jc w:val="both"/>
        <w:rPr>
          <w:rFonts w:ascii="Times New Roman" w:hAnsi="Times New Roman" w:cs="Times New Roman"/>
        </w:rPr>
      </w:pPr>
      <w:r>
        <w:rPr>
          <w:rFonts w:ascii="Times New Roman" w:hAnsi="Times New Roman" w:cs="Times New Roman"/>
        </w:rPr>
        <w:tab/>
      </w:r>
      <w:r w:rsidR="00503B68">
        <w:rPr>
          <w:rFonts w:ascii="Times New Roman" w:hAnsi="Times New Roman" w:cs="Times New Roman"/>
        </w:rPr>
        <w:t>It should be noted that the data for expense and turnover ratio in India suffers from inconsistencies and contains missing information for the first 3 years of the sample period. Thus, the results of Indian</w:t>
      </w:r>
      <w:r w:rsidR="008421B0">
        <w:rPr>
          <w:rFonts w:ascii="Times New Roman" w:hAnsi="Times New Roman" w:cs="Times New Roman"/>
        </w:rPr>
        <w:t xml:space="preserve"> mutual funds </w:t>
      </w:r>
      <w:r w:rsidR="00503B68">
        <w:rPr>
          <w:rFonts w:ascii="Times New Roman" w:hAnsi="Times New Roman" w:cs="Times New Roman"/>
        </w:rPr>
        <w:t>are not statistically reliable.</w:t>
      </w:r>
    </w:p>
    <w:p w14:paraId="43854158" w14:textId="7806567C" w:rsidR="00055F47" w:rsidRDefault="00055F47" w:rsidP="00055F47">
      <w:pPr>
        <w:rPr>
          <w:rFonts w:ascii="Times New Roman" w:hAnsi="Times New Roman" w:cs="Times New Roman"/>
        </w:rPr>
      </w:pPr>
    </w:p>
    <w:p w14:paraId="2630CE75" w14:textId="67DED3CD" w:rsidR="00355435" w:rsidRPr="00355435" w:rsidRDefault="00F35E89" w:rsidP="00B64272">
      <w:pPr>
        <w:pStyle w:val="Heading2"/>
        <w:spacing w:line="360" w:lineRule="auto"/>
        <w:rPr>
          <w:rFonts w:ascii="Times New Roman" w:hAnsi="Times New Roman" w:cs="Times New Roman"/>
          <w:b/>
          <w:bCs/>
        </w:rPr>
      </w:pPr>
      <w:bookmarkStart w:id="23" w:name="_Ref14910523"/>
      <w:bookmarkStart w:id="24" w:name="_Toc15419048"/>
      <w:r w:rsidRPr="00355435">
        <w:rPr>
          <w:rFonts w:ascii="Times New Roman" w:hAnsi="Times New Roman" w:cs="Times New Roman"/>
          <w:b/>
          <w:bCs/>
        </w:rPr>
        <w:t>5.2 Limitations and Further Research</w:t>
      </w:r>
      <w:bookmarkEnd w:id="23"/>
      <w:bookmarkEnd w:id="24"/>
    </w:p>
    <w:p w14:paraId="6A704F0A" w14:textId="71951E3A" w:rsidR="00355435" w:rsidRDefault="00355435" w:rsidP="00355435"/>
    <w:p w14:paraId="2BA05176" w14:textId="335AFC94" w:rsidR="00604AFF" w:rsidRDefault="00F35E89" w:rsidP="00604AFF">
      <w:pPr>
        <w:spacing w:line="360" w:lineRule="auto"/>
        <w:ind w:firstLine="720"/>
        <w:jc w:val="both"/>
        <w:rPr>
          <w:rFonts w:ascii="Times New Roman" w:hAnsi="Times New Roman" w:cs="Times New Roman"/>
        </w:rPr>
      </w:pPr>
      <w:r>
        <w:rPr>
          <w:rFonts w:ascii="Times New Roman" w:hAnsi="Times New Roman" w:cs="Times New Roman"/>
        </w:rPr>
        <w:t xml:space="preserve">Limitations faced in this research </w:t>
      </w:r>
      <w:r w:rsidR="00271D37">
        <w:rPr>
          <w:rFonts w:ascii="Times New Roman" w:hAnsi="Times New Roman" w:cs="Times New Roman"/>
        </w:rPr>
        <w:t>were</w:t>
      </w:r>
      <w:r>
        <w:rPr>
          <w:rFonts w:ascii="Times New Roman" w:hAnsi="Times New Roman" w:cs="Times New Roman"/>
        </w:rPr>
        <w:t xml:space="preserve"> mainly due to time constraints and data </w:t>
      </w:r>
      <w:r w:rsidR="00042A50">
        <w:rPr>
          <w:rFonts w:ascii="Times New Roman" w:hAnsi="Times New Roman" w:cs="Times New Roman"/>
        </w:rPr>
        <w:t>restrictions</w:t>
      </w:r>
      <w:r>
        <w:rPr>
          <w:rFonts w:ascii="Times New Roman" w:hAnsi="Times New Roman" w:cs="Times New Roman"/>
        </w:rPr>
        <w:t xml:space="preserve">. </w:t>
      </w:r>
      <w:r w:rsidR="00B756B7">
        <w:rPr>
          <w:rFonts w:ascii="Times New Roman" w:hAnsi="Times New Roman" w:cs="Times New Roman"/>
        </w:rPr>
        <w:t xml:space="preserve">In order to evaluate the fund performances in additional countries that lie outside the proxies of </w:t>
      </w:r>
      <w:r w:rsidR="00CB3AAD">
        <w:rPr>
          <w:rFonts w:ascii="Times New Roman" w:hAnsi="Times New Roman" w:cs="Times New Roman"/>
        </w:rPr>
        <w:t>Kenneth</w:t>
      </w:r>
      <w:r w:rsidR="00B756B7">
        <w:rPr>
          <w:rFonts w:ascii="Times New Roman" w:hAnsi="Times New Roman" w:cs="Times New Roman"/>
        </w:rPr>
        <w:t xml:space="preserve"> French's database such as China and Brazil</w:t>
      </w:r>
      <w:r w:rsidR="0063095E">
        <w:rPr>
          <w:rFonts w:ascii="Times New Roman" w:hAnsi="Times New Roman" w:cs="Times New Roman"/>
        </w:rPr>
        <w:t>,</w:t>
      </w:r>
      <w:r w:rsidR="00B756B7">
        <w:rPr>
          <w:rFonts w:ascii="Times New Roman" w:hAnsi="Times New Roman" w:cs="Times New Roman"/>
        </w:rPr>
        <w:t xml:space="preserve"> factor portfolio holdings </w:t>
      </w:r>
      <w:r w:rsidR="00821D14">
        <w:rPr>
          <w:rFonts w:ascii="Times New Roman" w:hAnsi="Times New Roman" w:cs="Times New Roman"/>
        </w:rPr>
        <w:t>need</w:t>
      </w:r>
      <w:r w:rsidR="00B756B7">
        <w:rPr>
          <w:rFonts w:ascii="Times New Roman" w:hAnsi="Times New Roman" w:cs="Times New Roman"/>
        </w:rPr>
        <w:t xml:space="preserve"> to be constructed.</w:t>
      </w:r>
      <w:r w:rsidR="00821D14">
        <w:rPr>
          <w:rFonts w:ascii="Times New Roman" w:hAnsi="Times New Roman" w:cs="Times New Roman"/>
        </w:rPr>
        <w:t xml:space="preserve"> However, </w:t>
      </w:r>
      <w:r w:rsidR="00B756B7">
        <w:rPr>
          <w:rFonts w:ascii="Times New Roman" w:hAnsi="Times New Roman" w:cs="Times New Roman"/>
        </w:rPr>
        <w:t>it is</w:t>
      </w:r>
      <w:r w:rsidR="00271D37">
        <w:rPr>
          <w:rFonts w:ascii="Times New Roman" w:hAnsi="Times New Roman" w:cs="Times New Roman"/>
        </w:rPr>
        <w:t xml:space="preserve"> not</w:t>
      </w:r>
      <w:r w:rsidR="00B756B7">
        <w:rPr>
          <w:rFonts w:ascii="Times New Roman" w:hAnsi="Times New Roman" w:cs="Times New Roman"/>
        </w:rPr>
        <w:t xml:space="preserve"> </w:t>
      </w:r>
      <w:r w:rsidR="00001951">
        <w:rPr>
          <w:rFonts w:ascii="Times New Roman" w:hAnsi="Times New Roman" w:cs="Times New Roman"/>
        </w:rPr>
        <w:t>plausible</w:t>
      </w:r>
      <w:r w:rsidR="00B756B7">
        <w:rPr>
          <w:rFonts w:ascii="Times New Roman" w:hAnsi="Times New Roman" w:cs="Times New Roman"/>
        </w:rPr>
        <w:t xml:space="preserve"> to construct</w:t>
      </w:r>
      <w:r w:rsidR="00B360F7">
        <w:rPr>
          <w:rFonts w:ascii="Times New Roman" w:hAnsi="Times New Roman" w:cs="Times New Roman"/>
        </w:rPr>
        <w:t xml:space="preserve"> the</w:t>
      </w:r>
      <w:r w:rsidR="00821D14">
        <w:rPr>
          <w:rFonts w:ascii="Times New Roman" w:hAnsi="Times New Roman" w:cs="Times New Roman"/>
        </w:rPr>
        <w:t xml:space="preserve"> factor</w:t>
      </w:r>
      <w:r w:rsidR="00B756B7">
        <w:rPr>
          <w:rFonts w:ascii="Times New Roman" w:hAnsi="Times New Roman" w:cs="Times New Roman"/>
        </w:rPr>
        <w:t xml:space="preserve"> </w:t>
      </w:r>
      <w:r w:rsidR="00271D37">
        <w:rPr>
          <w:rFonts w:ascii="Times New Roman" w:hAnsi="Times New Roman" w:cs="Times New Roman"/>
        </w:rPr>
        <w:t>mimicking portfolios</w:t>
      </w:r>
      <w:r w:rsidR="00821D14">
        <w:rPr>
          <w:rFonts w:ascii="Times New Roman" w:hAnsi="Times New Roman" w:cs="Times New Roman"/>
        </w:rPr>
        <w:t xml:space="preserve"> in a short research period</w:t>
      </w:r>
      <w:r w:rsidR="00271D37">
        <w:rPr>
          <w:rFonts w:ascii="Times New Roman" w:hAnsi="Times New Roman" w:cs="Times New Roman"/>
        </w:rPr>
        <w:t>. This</w:t>
      </w:r>
      <w:r w:rsidR="00B756B7">
        <w:rPr>
          <w:rFonts w:ascii="Times New Roman" w:hAnsi="Times New Roman" w:cs="Times New Roman"/>
        </w:rPr>
        <w:t xml:space="preserve"> limit</w:t>
      </w:r>
      <w:r w:rsidR="0063095E">
        <w:rPr>
          <w:rFonts w:ascii="Times New Roman" w:hAnsi="Times New Roman" w:cs="Times New Roman"/>
        </w:rPr>
        <w:t>s</w:t>
      </w:r>
      <w:r w:rsidR="00B756B7">
        <w:rPr>
          <w:rFonts w:ascii="Times New Roman" w:hAnsi="Times New Roman" w:cs="Times New Roman"/>
        </w:rPr>
        <w:t xml:space="preserve"> the</w:t>
      </w:r>
      <w:r w:rsidR="00001951">
        <w:rPr>
          <w:rFonts w:ascii="Times New Roman" w:hAnsi="Times New Roman" w:cs="Times New Roman"/>
        </w:rPr>
        <w:t xml:space="preserve"> evaluation and the</w:t>
      </w:r>
      <w:r w:rsidR="00B756B7">
        <w:rPr>
          <w:rFonts w:ascii="Times New Roman" w:hAnsi="Times New Roman" w:cs="Times New Roman"/>
        </w:rPr>
        <w:t xml:space="preserve"> comparison of mutual fund performances across countries.</w:t>
      </w:r>
      <w:r w:rsidR="00CB3AAD">
        <w:rPr>
          <w:rFonts w:ascii="Times New Roman" w:hAnsi="Times New Roman" w:cs="Times New Roman"/>
        </w:rPr>
        <w:t xml:space="preserve"> </w:t>
      </w:r>
      <w:r w:rsidR="00001951">
        <w:rPr>
          <w:rFonts w:ascii="Times New Roman" w:hAnsi="Times New Roman" w:cs="Times New Roman"/>
        </w:rPr>
        <w:t xml:space="preserve">In the future, this limitation can be solved by increasing the </w:t>
      </w:r>
      <w:r w:rsidR="00C664D5">
        <w:rPr>
          <w:rFonts w:ascii="Times New Roman" w:hAnsi="Times New Roman" w:cs="Times New Roman"/>
        </w:rPr>
        <w:t xml:space="preserve">number of researchers </w:t>
      </w:r>
      <w:r w:rsidR="00001951">
        <w:rPr>
          <w:rFonts w:ascii="Times New Roman" w:hAnsi="Times New Roman" w:cs="Times New Roman"/>
        </w:rPr>
        <w:t>or the time frame of the research.</w:t>
      </w:r>
    </w:p>
    <w:p w14:paraId="71D092C1" w14:textId="56CFB916" w:rsidR="00901642" w:rsidRDefault="00F35E89" w:rsidP="00901642">
      <w:pPr>
        <w:spacing w:line="360" w:lineRule="auto"/>
        <w:ind w:firstLine="720"/>
        <w:jc w:val="both"/>
        <w:rPr>
          <w:rFonts w:ascii="Times New Roman" w:hAnsi="Times New Roman" w:cs="Times New Roman"/>
        </w:rPr>
      </w:pPr>
      <w:r>
        <w:rPr>
          <w:rFonts w:ascii="Times New Roman" w:hAnsi="Times New Roman" w:cs="Times New Roman"/>
        </w:rPr>
        <w:t>Additionally</w:t>
      </w:r>
      <w:r w:rsidR="00F2516E">
        <w:rPr>
          <w:rFonts w:ascii="Times New Roman" w:hAnsi="Times New Roman" w:cs="Times New Roman"/>
        </w:rPr>
        <w:t>,</w:t>
      </w:r>
      <w:r w:rsidR="009B0863">
        <w:rPr>
          <w:rFonts w:ascii="Times New Roman" w:hAnsi="Times New Roman" w:cs="Times New Roman"/>
        </w:rPr>
        <w:t xml:space="preserve"> the data on the variables expense and turnover ratio in five of the </w:t>
      </w:r>
      <w:r w:rsidR="00C664D5">
        <w:rPr>
          <w:rFonts w:ascii="Times New Roman" w:hAnsi="Times New Roman" w:cs="Times New Roman"/>
        </w:rPr>
        <w:t>eight</w:t>
      </w:r>
      <w:r w:rsidR="009B0863">
        <w:rPr>
          <w:rFonts w:ascii="Times New Roman" w:hAnsi="Times New Roman" w:cs="Times New Roman"/>
        </w:rPr>
        <w:t xml:space="preserve"> countries was not feasible to test the relationship between mutual fund characteristics and mutual fund performance. The infeasibility of the data is due to missing or inconsistent information on these variables</w:t>
      </w:r>
      <w:r w:rsidR="005E251F">
        <w:rPr>
          <w:rFonts w:ascii="Times New Roman" w:hAnsi="Times New Roman" w:cs="Times New Roman"/>
        </w:rPr>
        <w:t xml:space="preserve"> </w:t>
      </w:r>
      <w:r w:rsidR="008D3BDB">
        <w:rPr>
          <w:rFonts w:ascii="Times New Roman" w:hAnsi="Times New Roman" w:cs="Times New Roman"/>
        </w:rPr>
        <w:t>presented</w:t>
      </w:r>
      <w:r w:rsidR="005E251F">
        <w:rPr>
          <w:rFonts w:ascii="Times New Roman" w:hAnsi="Times New Roman" w:cs="Times New Roman"/>
        </w:rPr>
        <w:t xml:space="preserve"> by the Morningstar database</w:t>
      </w:r>
      <w:r w:rsidR="009B0863">
        <w:rPr>
          <w:rFonts w:ascii="Times New Roman" w:hAnsi="Times New Roman" w:cs="Times New Roman"/>
        </w:rPr>
        <w:t>.</w:t>
      </w:r>
      <w:r w:rsidR="005E251F">
        <w:rPr>
          <w:rFonts w:ascii="Times New Roman" w:hAnsi="Times New Roman" w:cs="Times New Roman"/>
        </w:rPr>
        <w:t xml:space="preserve"> </w:t>
      </w:r>
      <w:r w:rsidR="009B0863">
        <w:rPr>
          <w:rFonts w:ascii="Times New Roman" w:hAnsi="Times New Roman" w:cs="Times New Roman"/>
        </w:rPr>
        <w:t>Mostly</w:t>
      </w:r>
      <w:r w:rsidR="005E251F">
        <w:rPr>
          <w:rFonts w:ascii="Times New Roman" w:hAnsi="Times New Roman" w:cs="Times New Roman"/>
        </w:rPr>
        <w:t>,</w:t>
      </w:r>
      <w:r w:rsidR="009B0863">
        <w:rPr>
          <w:rFonts w:ascii="Times New Roman" w:hAnsi="Times New Roman" w:cs="Times New Roman"/>
        </w:rPr>
        <w:t xml:space="preserve"> the fund</w:t>
      </w:r>
      <w:r w:rsidR="005E251F">
        <w:rPr>
          <w:rFonts w:ascii="Times New Roman" w:hAnsi="Times New Roman" w:cs="Times New Roman"/>
        </w:rPr>
        <w:t>s</w:t>
      </w:r>
      <w:r w:rsidR="009B0863">
        <w:rPr>
          <w:rFonts w:ascii="Times New Roman" w:hAnsi="Times New Roman" w:cs="Times New Roman"/>
        </w:rPr>
        <w:t xml:space="preserve"> in the sample countries </w:t>
      </w:r>
      <w:r w:rsidR="00FF1B24">
        <w:rPr>
          <w:rFonts w:ascii="Times New Roman" w:hAnsi="Times New Roman" w:cs="Times New Roman"/>
        </w:rPr>
        <w:t>contain</w:t>
      </w:r>
      <w:r w:rsidR="009B0863">
        <w:rPr>
          <w:rFonts w:ascii="Times New Roman" w:hAnsi="Times New Roman" w:cs="Times New Roman"/>
        </w:rPr>
        <w:t xml:space="preserve"> 2 to 3 years of information on their expense </w:t>
      </w:r>
      <w:r w:rsidR="005E251F">
        <w:rPr>
          <w:rFonts w:ascii="Times New Roman" w:hAnsi="Times New Roman" w:cs="Times New Roman"/>
        </w:rPr>
        <w:t>and</w:t>
      </w:r>
      <w:r w:rsidR="009B0863">
        <w:rPr>
          <w:rFonts w:ascii="Times New Roman" w:hAnsi="Times New Roman" w:cs="Times New Roman"/>
        </w:rPr>
        <w:t xml:space="preserve"> turnover ratios. </w:t>
      </w:r>
      <w:r w:rsidR="00F2516E">
        <w:rPr>
          <w:rFonts w:ascii="Times New Roman" w:hAnsi="Times New Roman" w:cs="Times New Roman"/>
        </w:rPr>
        <w:t>Gathering</w:t>
      </w:r>
      <w:r w:rsidR="00C664D5">
        <w:rPr>
          <w:rFonts w:ascii="Times New Roman" w:hAnsi="Times New Roman" w:cs="Times New Roman"/>
        </w:rPr>
        <w:t xml:space="preserve"> information for</w:t>
      </w:r>
      <w:r w:rsidR="00F2516E">
        <w:rPr>
          <w:rFonts w:ascii="Times New Roman" w:hAnsi="Times New Roman" w:cs="Times New Roman"/>
        </w:rPr>
        <w:t xml:space="preserve"> fund characteristic variable f</w:t>
      </w:r>
      <w:r w:rsidR="008D3BDB">
        <w:rPr>
          <w:rFonts w:ascii="Times New Roman" w:hAnsi="Times New Roman" w:cs="Times New Roman"/>
        </w:rPr>
        <w:t>rom additional databases</w:t>
      </w:r>
      <w:r w:rsidR="00F2516E">
        <w:rPr>
          <w:rFonts w:ascii="Times New Roman" w:hAnsi="Times New Roman" w:cs="Times New Roman"/>
        </w:rPr>
        <w:t xml:space="preserve"> would enable further researchers to describe the mutual fund performances in the selected countries as well as</w:t>
      </w:r>
      <w:r w:rsidR="00C664D5">
        <w:rPr>
          <w:rFonts w:ascii="Times New Roman" w:hAnsi="Times New Roman" w:cs="Times New Roman"/>
        </w:rPr>
        <w:t xml:space="preserve"> enable them to</w:t>
      </w:r>
      <w:r w:rsidR="00F2516E">
        <w:rPr>
          <w:rFonts w:ascii="Times New Roman" w:hAnsi="Times New Roman" w:cs="Times New Roman"/>
        </w:rPr>
        <w:t xml:space="preserve"> compare the effects of mutual fund characteristics across countries.</w:t>
      </w:r>
      <w:r w:rsidR="008D3BDB">
        <w:rPr>
          <w:rFonts w:ascii="Times New Roman" w:hAnsi="Times New Roman" w:cs="Times New Roman"/>
        </w:rPr>
        <w:t xml:space="preserve"> </w:t>
      </w:r>
      <w:r w:rsidR="00604AFF">
        <w:rPr>
          <w:rFonts w:ascii="Times New Roman" w:hAnsi="Times New Roman" w:cs="Times New Roman"/>
        </w:rPr>
        <w:lastRenderedPageBreak/>
        <w:t>Regrettably</w:t>
      </w:r>
      <w:r w:rsidR="008D3BDB">
        <w:rPr>
          <w:rFonts w:ascii="Times New Roman" w:hAnsi="Times New Roman" w:cs="Times New Roman"/>
        </w:rPr>
        <w:t>, the most comprehensive mutual fund database that could be reached for this research was Morningstar.</w:t>
      </w:r>
    </w:p>
    <w:p w14:paraId="79FC726E" w14:textId="77777777" w:rsidR="00D34F2C" w:rsidRDefault="00D34F2C" w:rsidP="00901642">
      <w:pPr>
        <w:spacing w:line="360" w:lineRule="auto"/>
        <w:ind w:firstLine="720"/>
        <w:jc w:val="both"/>
        <w:rPr>
          <w:rFonts w:ascii="Times New Roman" w:hAnsi="Times New Roman" w:cs="Times New Roman"/>
        </w:rPr>
      </w:pPr>
    </w:p>
    <w:p w14:paraId="1985B3A8" w14:textId="2DE97F97" w:rsidR="00A92C29" w:rsidRDefault="00F35E89" w:rsidP="001F6637">
      <w:pPr>
        <w:pStyle w:val="Heading1"/>
        <w:spacing w:line="360" w:lineRule="auto"/>
        <w:rPr>
          <w:rFonts w:ascii="Times New Roman" w:hAnsi="Times New Roman" w:cs="Times New Roman"/>
          <w:b/>
          <w:bCs/>
          <w:sz w:val="28"/>
          <w:szCs w:val="28"/>
        </w:rPr>
      </w:pPr>
      <w:bookmarkStart w:id="25" w:name="_Toc15419049"/>
      <w:r>
        <w:rPr>
          <w:rFonts w:ascii="Times New Roman" w:hAnsi="Times New Roman" w:cs="Times New Roman"/>
          <w:b/>
          <w:bCs/>
          <w:sz w:val="28"/>
          <w:szCs w:val="28"/>
        </w:rPr>
        <w:t>6</w:t>
      </w:r>
      <w:r w:rsidR="00195567" w:rsidRPr="00A92C29">
        <w:rPr>
          <w:rFonts w:ascii="Times New Roman" w:hAnsi="Times New Roman" w:cs="Times New Roman"/>
          <w:b/>
          <w:bCs/>
          <w:sz w:val="28"/>
          <w:szCs w:val="28"/>
        </w:rPr>
        <w:t>. Conclusion</w:t>
      </w:r>
      <w:bookmarkEnd w:id="25"/>
      <w:r w:rsidR="00CA526D">
        <w:rPr>
          <w:rFonts w:ascii="Times New Roman" w:hAnsi="Times New Roman" w:cs="Times New Roman"/>
          <w:b/>
          <w:bCs/>
          <w:sz w:val="28"/>
          <w:szCs w:val="28"/>
        </w:rPr>
        <w:t xml:space="preserve"> </w:t>
      </w:r>
    </w:p>
    <w:p w14:paraId="7AB0FEC0" w14:textId="732A1431" w:rsidR="00A92C29" w:rsidRDefault="00A92C29" w:rsidP="001F6637">
      <w:pPr>
        <w:spacing w:line="360" w:lineRule="auto"/>
      </w:pPr>
    </w:p>
    <w:p w14:paraId="4182D170" w14:textId="5EFF93BF" w:rsidR="001F6637" w:rsidRDefault="00F35E89" w:rsidP="004F6A84">
      <w:pPr>
        <w:spacing w:line="360" w:lineRule="auto"/>
        <w:ind w:firstLine="720"/>
        <w:jc w:val="both"/>
        <w:rPr>
          <w:rFonts w:ascii="Times New Roman" w:hAnsi="Times New Roman"/>
        </w:rPr>
      </w:pPr>
      <w:r>
        <w:rPr>
          <w:rFonts w:ascii="Times New Roman" w:hAnsi="Times New Roman"/>
        </w:rPr>
        <w:t>The 45 trillion US dollars</w:t>
      </w:r>
      <w:r w:rsidR="004F6A84">
        <w:rPr>
          <w:rFonts w:ascii="Times New Roman" w:hAnsi="Times New Roman"/>
        </w:rPr>
        <w:t xml:space="preserve"> </w:t>
      </w:r>
      <w:r>
        <w:rPr>
          <w:rFonts w:ascii="Times New Roman" w:hAnsi="Times New Roman"/>
        </w:rPr>
        <w:t>mutual fund industry has grown more than 10 percent annually</w:t>
      </w:r>
      <w:r w:rsidR="00CB42C9">
        <w:rPr>
          <w:rFonts w:ascii="Times New Roman" w:hAnsi="Times New Roman"/>
        </w:rPr>
        <w:t xml:space="preserve"> for the past</w:t>
      </w:r>
      <w:r w:rsidR="009A52CC">
        <w:rPr>
          <w:rFonts w:ascii="Times New Roman" w:hAnsi="Times New Roman"/>
        </w:rPr>
        <w:t xml:space="preserve"> 7 years </w:t>
      </w:r>
      <w:r w:rsidR="00F2516E">
        <w:rPr>
          <w:rFonts w:ascii="Times New Roman" w:hAnsi="Times New Roman"/>
        </w:rPr>
        <w:t>and the</w:t>
      </w:r>
      <w:r w:rsidR="004F6A84">
        <w:rPr>
          <w:rFonts w:ascii="Times New Roman" w:hAnsi="Times New Roman"/>
        </w:rPr>
        <w:t xml:space="preserve"> p</w:t>
      </w:r>
      <w:r w:rsidR="002A444D">
        <w:rPr>
          <w:rFonts w:ascii="Times New Roman" w:hAnsi="Times New Roman"/>
        </w:rPr>
        <w:t>erformance of</w:t>
      </w:r>
      <w:r w:rsidR="00F2516E">
        <w:rPr>
          <w:rFonts w:ascii="Times New Roman" w:hAnsi="Times New Roman"/>
        </w:rPr>
        <w:t xml:space="preserve"> equity</w:t>
      </w:r>
      <w:r w:rsidR="002A444D">
        <w:rPr>
          <w:rFonts w:ascii="Times New Roman" w:hAnsi="Times New Roman"/>
        </w:rPr>
        <w:t xml:space="preserve"> mutual funds</w:t>
      </w:r>
      <w:r w:rsidR="004F6A84">
        <w:rPr>
          <w:rFonts w:ascii="Times New Roman" w:hAnsi="Times New Roman"/>
        </w:rPr>
        <w:t xml:space="preserve"> continues to receive attention </w:t>
      </w:r>
      <w:r>
        <w:rPr>
          <w:rFonts w:ascii="Times New Roman" w:hAnsi="Times New Roman"/>
        </w:rPr>
        <w:t>in</w:t>
      </w:r>
      <w:r w:rsidR="004F6A84">
        <w:rPr>
          <w:rFonts w:ascii="Times New Roman" w:hAnsi="Times New Roman"/>
        </w:rPr>
        <w:t xml:space="preserve"> the field of finance.</w:t>
      </w:r>
      <w:r w:rsidR="00AF0064">
        <w:rPr>
          <w:rFonts w:ascii="Times New Roman" w:hAnsi="Times New Roman"/>
        </w:rPr>
        <w:t xml:space="preserve"> While</w:t>
      </w:r>
      <w:r w:rsidR="004542E8">
        <w:rPr>
          <w:rFonts w:ascii="Times New Roman" w:hAnsi="Times New Roman"/>
        </w:rPr>
        <w:t xml:space="preserve"> </w:t>
      </w:r>
      <w:r w:rsidR="00AF0064">
        <w:rPr>
          <w:rFonts w:ascii="Times New Roman" w:hAnsi="Times New Roman"/>
        </w:rPr>
        <w:t xml:space="preserve">the research </w:t>
      </w:r>
      <w:r w:rsidR="00F2516E">
        <w:rPr>
          <w:rFonts w:ascii="Times New Roman" w:hAnsi="Times New Roman"/>
        </w:rPr>
        <w:t>on mutual fund performance</w:t>
      </w:r>
      <w:r w:rsidR="004F6A84">
        <w:rPr>
          <w:rFonts w:ascii="Times New Roman" w:hAnsi="Times New Roman"/>
        </w:rPr>
        <w:t xml:space="preserve"> first started</w:t>
      </w:r>
      <w:r w:rsidR="004542E8">
        <w:rPr>
          <w:rFonts w:ascii="Times New Roman" w:hAnsi="Times New Roman"/>
        </w:rPr>
        <w:t xml:space="preserve"> with Jensen (1968)</w:t>
      </w:r>
      <w:r w:rsidR="004F6A84">
        <w:rPr>
          <w:rFonts w:ascii="Times New Roman" w:hAnsi="Times New Roman"/>
        </w:rPr>
        <w:t xml:space="preserve"> more than half a century ago</w:t>
      </w:r>
      <w:r w:rsidR="00AF0064">
        <w:rPr>
          <w:rFonts w:ascii="Times New Roman" w:hAnsi="Times New Roman"/>
        </w:rPr>
        <w:t>, the</w:t>
      </w:r>
      <w:r w:rsidR="004F6A84">
        <w:rPr>
          <w:rFonts w:ascii="Times New Roman" w:hAnsi="Times New Roman"/>
        </w:rPr>
        <w:t xml:space="preserve"> main findings show</w:t>
      </w:r>
      <w:r w:rsidR="00C664D5">
        <w:rPr>
          <w:rFonts w:ascii="Times New Roman" w:hAnsi="Times New Roman"/>
        </w:rPr>
        <w:t>ed</w:t>
      </w:r>
      <w:r w:rsidR="004F6A84">
        <w:rPr>
          <w:rFonts w:ascii="Times New Roman" w:hAnsi="Times New Roman"/>
        </w:rPr>
        <w:t xml:space="preserve"> an underperformance of actively managed equity mutual funds relative to their benchmarks. </w:t>
      </w:r>
    </w:p>
    <w:p w14:paraId="570DF45F" w14:textId="4A08C4CE" w:rsidR="00CE6C1D" w:rsidRDefault="00F35E89" w:rsidP="00CE6C1D">
      <w:pPr>
        <w:spacing w:line="360" w:lineRule="auto"/>
        <w:ind w:firstLine="720"/>
        <w:jc w:val="both"/>
        <w:rPr>
          <w:rFonts w:ascii="Times New Roman" w:hAnsi="Times New Roman"/>
        </w:rPr>
      </w:pPr>
      <w:r>
        <w:rPr>
          <w:rFonts w:ascii="Times New Roman" w:hAnsi="Times New Roman"/>
        </w:rPr>
        <w:t xml:space="preserve">In this research, </w:t>
      </w:r>
      <w:r w:rsidR="008E4BE3">
        <w:rPr>
          <w:rFonts w:ascii="Times New Roman" w:hAnsi="Times New Roman"/>
        </w:rPr>
        <w:t>272</w:t>
      </w:r>
      <w:r w:rsidR="000F3651">
        <w:rPr>
          <w:rFonts w:ascii="Times New Roman" w:hAnsi="Times New Roman"/>
        </w:rPr>
        <w:t>6</w:t>
      </w:r>
      <w:r w:rsidR="00DB141E">
        <w:rPr>
          <w:rFonts w:ascii="Times New Roman" w:hAnsi="Times New Roman"/>
        </w:rPr>
        <w:t xml:space="preserve"> </w:t>
      </w:r>
      <w:r>
        <w:rPr>
          <w:rFonts w:ascii="Times New Roman" w:hAnsi="Times New Roman"/>
        </w:rPr>
        <w:t xml:space="preserve">equity mutual fund performances across </w:t>
      </w:r>
      <w:r w:rsidR="00CB42C9">
        <w:rPr>
          <w:rFonts w:ascii="Times New Roman" w:hAnsi="Times New Roman"/>
        </w:rPr>
        <w:t>8</w:t>
      </w:r>
      <w:r>
        <w:rPr>
          <w:rFonts w:ascii="Times New Roman" w:hAnsi="Times New Roman"/>
        </w:rPr>
        <w:t xml:space="preserve"> countries </w:t>
      </w:r>
      <w:r w:rsidR="00F9200F">
        <w:rPr>
          <w:rFonts w:ascii="Times New Roman" w:hAnsi="Times New Roman"/>
        </w:rPr>
        <w:t>between</w:t>
      </w:r>
      <w:r>
        <w:rPr>
          <w:rFonts w:ascii="Times New Roman" w:hAnsi="Times New Roman"/>
        </w:rPr>
        <w:t xml:space="preserve"> the years 2003 and 2018 were tested using a survivor bias-free data. </w:t>
      </w:r>
      <w:r w:rsidR="001F6637">
        <w:rPr>
          <w:rFonts w:ascii="Times New Roman" w:hAnsi="Times New Roman"/>
        </w:rPr>
        <w:t xml:space="preserve">These countries were Australia, France, India, Japan, </w:t>
      </w:r>
      <w:r w:rsidR="00CB42C9">
        <w:rPr>
          <w:rFonts w:ascii="Times New Roman" w:hAnsi="Times New Roman"/>
        </w:rPr>
        <w:t xml:space="preserve">Norway </w:t>
      </w:r>
      <w:r w:rsidR="001F6637">
        <w:rPr>
          <w:rFonts w:ascii="Times New Roman" w:hAnsi="Times New Roman"/>
        </w:rPr>
        <w:t>Switzerland, the United Kingdom, and the United States. Findings</w:t>
      </w:r>
      <w:r w:rsidR="0010623A">
        <w:rPr>
          <w:rFonts w:ascii="Times New Roman" w:hAnsi="Times New Roman"/>
        </w:rPr>
        <w:t xml:space="preserve"> </w:t>
      </w:r>
      <w:r w:rsidR="001F6637">
        <w:rPr>
          <w:rFonts w:ascii="Times New Roman" w:hAnsi="Times New Roman"/>
        </w:rPr>
        <w:t>showed that</w:t>
      </w:r>
      <w:r w:rsidR="0010623A">
        <w:rPr>
          <w:rFonts w:ascii="Times New Roman" w:hAnsi="Times New Roman"/>
        </w:rPr>
        <w:t xml:space="preserve"> on average</w:t>
      </w:r>
      <w:r w:rsidR="001F6637">
        <w:rPr>
          <w:rFonts w:ascii="Times New Roman" w:hAnsi="Times New Roman"/>
        </w:rPr>
        <w:t xml:space="preserve"> mutual funds </w:t>
      </w:r>
      <w:r w:rsidR="00F3699F">
        <w:rPr>
          <w:rFonts w:ascii="Times New Roman" w:hAnsi="Times New Roman"/>
        </w:rPr>
        <w:t>outperformed</w:t>
      </w:r>
      <w:r w:rsidR="001F6637">
        <w:rPr>
          <w:rFonts w:ascii="Times New Roman" w:hAnsi="Times New Roman"/>
        </w:rPr>
        <w:t xml:space="preserve"> their benchmarks </w:t>
      </w:r>
      <w:r w:rsidR="00AF0064">
        <w:rPr>
          <w:rFonts w:ascii="Times New Roman" w:hAnsi="Times New Roman"/>
        </w:rPr>
        <w:t>in</w:t>
      </w:r>
      <w:r w:rsidR="001F6637">
        <w:rPr>
          <w:rFonts w:ascii="Times New Roman" w:hAnsi="Times New Roman"/>
        </w:rPr>
        <w:t xml:space="preserve"> </w:t>
      </w:r>
      <w:r w:rsidR="008E4BE3">
        <w:rPr>
          <w:rFonts w:ascii="Times New Roman" w:hAnsi="Times New Roman"/>
        </w:rPr>
        <w:t>seven</w:t>
      </w:r>
      <w:r w:rsidR="00AF0064">
        <w:rPr>
          <w:rFonts w:ascii="Times New Roman" w:hAnsi="Times New Roman"/>
        </w:rPr>
        <w:t xml:space="preserve"> of the countries with</w:t>
      </w:r>
      <w:r w:rsidR="001F6637">
        <w:rPr>
          <w:rFonts w:ascii="Times New Roman" w:hAnsi="Times New Roman"/>
        </w:rPr>
        <w:t xml:space="preserve"> </w:t>
      </w:r>
      <w:r w:rsidR="008E4BE3">
        <w:rPr>
          <w:rFonts w:ascii="Times New Roman" w:hAnsi="Times New Roman"/>
        </w:rPr>
        <w:t>the exception</w:t>
      </w:r>
      <w:r w:rsidR="00AF0064">
        <w:rPr>
          <w:rFonts w:ascii="Times New Roman" w:hAnsi="Times New Roman"/>
        </w:rPr>
        <w:t xml:space="preserve"> </w:t>
      </w:r>
      <w:r w:rsidR="008E4BE3">
        <w:rPr>
          <w:rFonts w:ascii="Times New Roman" w:hAnsi="Times New Roman"/>
        </w:rPr>
        <w:t>of</w:t>
      </w:r>
      <w:r w:rsidR="001F6637">
        <w:rPr>
          <w:rFonts w:ascii="Times New Roman" w:hAnsi="Times New Roman"/>
        </w:rPr>
        <w:t xml:space="preserve"> France</w:t>
      </w:r>
      <w:r w:rsidR="008E4BE3">
        <w:rPr>
          <w:rFonts w:ascii="Times New Roman" w:hAnsi="Times New Roman"/>
        </w:rPr>
        <w:t>.</w:t>
      </w:r>
    </w:p>
    <w:p w14:paraId="546B1345" w14:textId="1B8BF70A" w:rsidR="00271D37" w:rsidRDefault="00F35E89" w:rsidP="00F9200F">
      <w:pPr>
        <w:spacing w:line="360" w:lineRule="auto"/>
        <w:ind w:firstLine="720"/>
        <w:jc w:val="both"/>
        <w:rPr>
          <w:rFonts w:ascii="Times New Roman" w:hAnsi="Times New Roman"/>
        </w:rPr>
      </w:pPr>
      <w:r>
        <w:rPr>
          <w:rFonts w:ascii="Times New Roman" w:hAnsi="Times New Roman"/>
        </w:rPr>
        <w:t>Secondly, the relationship between equity mutual fund characteristics and mutual fund performance was tested</w:t>
      </w:r>
      <w:r w:rsidR="006009FE">
        <w:rPr>
          <w:rFonts w:ascii="Times New Roman" w:hAnsi="Times New Roman"/>
        </w:rPr>
        <w:t xml:space="preserve"> </w:t>
      </w:r>
      <w:r w:rsidR="00604AFF">
        <w:rPr>
          <w:rFonts w:ascii="Times New Roman" w:hAnsi="Times New Roman"/>
        </w:rPr>
        <w:t>for the mutual funds in the US, India, and Norway.</w:t>
      </w:r>
      <w:r w:rsidR="00A725B1">
        <w:rPr>
          <w:rFonts w:ascii="Times New Roman" w:hAnsi="Times New Roman"/>
        </w:rPr>
        <w:t xml:space="preserve"> </w:t>
      </w:r>
      <w:r w:rsidR="009755AF">
        <w:rPr>
          <w:rFonts w:ascii="Times New Roman" w:hAnsi="Times New Roman"/>
        </w:rPr>
        <w:t xml:space="preserve">The results </w:t>
      </w:r>
      <w:r>
        <w:rPr>
          <w:rFonts w:ascii="Times New Roman" w:hAnsi="Times New Roman"/>
        </w:rPr>
        <w:t>showed</w:t>
      </w:r>
      <w:r w:rsidR="009755AF">
        <w:rPr>
          <w:rFonts w:ascii="Times New Roman" w:hAnsi="Times New Roman"/>
        </w:rPr>
        <w:t xml:space="preserve"> a negative relationship between fund size</w:t>
      </w:r>
      <w:r w:rsidR="00604AFF">
        <w:rPr>
          <w:rFonts w:ascii="Times New Roman" w:hAnsi="Times New Roman"/>
        </w:rPr>
        <w:t xml:space="preserve"> and fund performance in the US and Norway, and conversely a positive relationship in India.</w:t>
      </w:r>
      <w:r>
        <w:rPr>
          <w:rFonts w:ascii="Times New Roman" w:hAnsi="Times New Roman"/>
        </w:rPr>
        <w:t xml:space="preserve"> The relationship between expense ratio and fund performance was significantly negative for the US and significantly positive for India. Subsequently, the effect of turnover ratio on the fund performance was significantly positive for the US and significantly negative for India.</w:t>
      </w:r>
      <w:r w:rsidR="007F747A">
        <w:rPr>
          <w:rFonts w:ascii="Times New Roman" w:hAnsi="Times New Roman"/>
        </w:rPr>
        <w:t xml:space="preserve"> The effect of the expense and the turnover ratio in Norway was not significantly different from zero. Consequently, the age of mutual funds did not have a significant effect on the performance of mutual funds in all of the three sample countries. </w:t>
      </w:r>
    </w:p>
    <w:p w14:paraId="762D4979" w14:textId="11B01614" w:rsidR="00BF3D0F" w:rsidRDefault="00F35E89" w:rsidP="007F747A">
      <w:pPr>
        <w:spacing w:line="360" w:lineRule="auto"/>
        <w:ind w:firstLine="720"/>
        <w:jc w:val="both"/>
        <w:rPr>
          <w:rFonts w:ascii="Times New Roman" w:hAnsi="Times New Roman"/>
        </w:rPr>
      </w:pPr>
      <w:r>
        <w:rPr>
          <w:rFonts w:ascii="Times New Roman" w:hAnsi="Times New Roman"/>
        </w:rPr>
        <w:t>This research</w:t>
      </w:r>
      <w:r w:rsidR="004C70FC">
        <w:rPr>
          <w:rFonts w:ascii="Times New Roman" w:hAnsi="Times New Roman"/>
        </w:rPr>
        <w:t xml:space="preserve"> showed that</w:t>
      </w:r>
      <w:r>
        <w:rPr>
          <w:rFonts w:ascii="Times New Roman" w:hAnsi="Times New Roman"/>
        </w:rPr>
        <w:t xml:space="preserve"> the US funds</w:t>
      </w:r>
      <w:r w:rsidR="004C70FC">
        <w:rPr>
          <w:rFonts w:ascii="Times New Roman" w:hAnsi="Times New Roman"/>
        </w:rPr>
        <w:t xml:space="preserve"> investing in portfolios with value stocks did </w:t>
      </w:r>
      <w:r>
        <w:rPr>
          <w:rFonts w:ascii="Times New Roman" w:hAnsi="Times New Roman"/>
        </w:rPr>
        <w:t>not experience any increase or decrease in their</w:t>
      </w:r>
      <w:r w:rsidR="004C70FC">
        <w:rPr>
          <w:rFonts w:ascii="Times New Roman" w:hAnsi="Times New Roman"/>
        </w:rPr>
        <w:t xml:space="preserve"> performances whereas</w:t>
      </w:r>
      <w:r>
        <w:rPr>
          <w:rFonts w:ascii="Times New Roman" w:hAnsi="Times New Roman"/>
        </w:rPr>
        <w:t>, the funds that invested in</w:t>
      </w:r>
      <w:r w:rsidR="004C70FC">
        <w:rPr>
          <w:rFonts w:ascii="Times New Roman" w:hAnsi="Times New Roman"/>
        </w:rPr>
        <w:t xml:space="preserve"> </w:t>
      </w:r>
      <w:r w:rsidR="00AF0064">
        <w:rPr>
          <w:rFonts w:ascii="Times New Roman" w:hAnsi="Times New Roman"/>
        </w:rPr>
        <w:t>growth and blend</w:t>
      </w:r>
      <w:r>
        <w:rPr>
          <w:rFonts w:ascii="Times New Roman" w:hAnsi="Times New Roman"/>
        </w:rPr>
        <w:t xml:space="preserve"> weighted</w:t>
      </w:r>
      <w:r w:rsidR="00AF0064">
        <w:rPr>
          <w:rFonts w:ascii="Times New Roman" w:hAnsi="Times New Roman"/>
        </w:rPr>
        <w:t xml:space="preserve"> </w:t>
      </w:r>
      <w:r>
        <w:rPr>
          <w:rFonts w:ascii="Times New Roman" w:hAnsi="Times New Roman"/>
        </w:rPr>
        <w:t>portfolios</w:t>
      </w:r>
      <w:r w:rsidR="004C70FC">
        <w:rPr>
          <w:rFonts w:ascii="Times New Roman" w:hAnsi="Times New Roman"/>
        </w:rPr>
        <w:t xml:space="preserve"> </w:t>
      </w:r>
      <w:r w:rsidR="00AF0064">
        <w:rPr>
          <w:rFonts w:ascii="Times New Roman" w:hAnsi="Times New Roman"/>
        </w:rPr>
        <w:t>were</w:t>
      </w:r>
      <w:r w:rsidR="004C70FC">
        <w:rPr>
          <w:rFonts w:ascii="Times New Roman" w:hAnsi="Times New Roman"/>
        </w:rPr>
        <w:t xml:space="preserve"> </w:t>
      </w:r>
      <w:r w:rsidR="00AF0064">
        <w:rPr>
          <w:rFonts w:ascii="Times New Roman" w:hAnsi="Times New Roman"/>
        </w:rPr>
        <w:t>able to experience on</w:t>
      </w:r>
      <w:r w:rsidR="004C70FC">
        <w:rPr>
          <w:rFonts w:ascii="Times New Roman" w:hAnsi="Times New Roman"/>
        </w:rPr>
        <w:t xml:space="preserve"> average a 15</w:t>
      </w:r>
      <w:r w:rsidR="00AF0064">
        <w:rPr>
          <w:rFonts w:ascii="Times New Roman" w:hAnsi="Times New Roman"/>
        </w:rPr>
        <w:t xml:space="preserve"> and 5</w:t>
      </w:r>
      <w:r w:rsidR="004C70FC">
        <w:rPr>
          <w:rFonts w:ascii="Times New Roman" w:hAnsi="Times New Roman"/>
        </w:rPr>
        <w:t xml:space="preserve"> basis points increase in </w:t>
      </w:r>
      <w:r w:rsidR="00AF0064">
        <w:rPr>
          <w:rFonts w:ascii="Times New Roman" w:hAnsi="Times New Roman"/>
        </w:rPr>
        <w:t>their</w:t>
      </w:r>
      <w:r w:rsidR="004C70FC">
        <w:rPr>
          <w:rFonts w:ascii="Times New Roman" w:hAnsi="Times New Roman"/>
        </w:rPr>
        <w:t xml:space="preserve"> performances.</w:t>
      </w:r>
      <w:r w:rsidR="00CA526D">
        <w:rPr>
          <w:rFonts w:ascii="Times New Roman" w:hAnsi="Times New Roman"/>
        </w:rPr>
        <w:t xml:space="preserve"> </w:t>
      </w:r>
      <w:r>
        <w:rPr>
          <w:rFonts w:ascii="Times New Roman" w:hAnsi="Times New Roman"/>
        </w:rPr>
        <w:t>And the blend, growth and value strategies did not carry any significant effect on mutual fund performance for Indian mutual funds.</w:t>
      </w:r>
    </w:p>
    <w:p w14:paraId="2C7A08BE" w14:textId="4B2F085E" w:rsidR="003478B4" w:rsidRPr="003478B4" w:rsidRDefault="00F35E89" w:rsidP="00D34F2C">
      <w:pPr>
        <w:spacing w:line="360" w:lineRule="auto"/>
        <w:ind w:firstLine="720"/>
        <w:jc w:val="both"/>
        <w:rPr>
          <w:rFonts w:ascii="Times New Roman" w:hAnsi="Times New Roman"/>
        </w:rPr>
      </w:pPr>
      <w:r>
        <w:rPr>
          <w:rFonts w:ascii="Times New Roman" w:hAnsi="Times New Roman"/>
        </w:rPr>
        <w:t>To conclude, this research provides a benchmark comparison to investors who are interested in investing in active or passive equity mutual funds in</w:t>
      </w:r>
      <w:r w:rsidR="00937A50">
        <w:rPr>
          <w:rFonts w:ascii="Times New Roman" w:hAnsi="Times New Roman"/>
        </w:rPr>
        <w:t xml:space="preserve"> either of the</w:t>
      </w:r>
      <w:r>
        <w:rPr>
          <w:rFonts w:ascii="Times New Roman" w:hAnsi="Times New Roman"/>
        </w:rPr>
        <w:t xml:space="preserve"> </w:t>
      </w:r>
      <w:r w:rsidR="00821E93">
        <w:rPr>
          <w:rFonts w:ascii="Times New Roman" w:hAnsi="Times New Roman"/>
        </w:rPr>
        <w:t>eight</w:t>
      </w:r>
      <w:r w:rsidR="00937A50">
        <w:rPr>
          <w:rFonts w:ascii="Times New Roman" w:hAnsi="Times New Roman"/>
        </w:rPr>
        <w:t xml:space="preserve"> </w:t>
      </w:r>
      <w:r>
        <w:rPr>
          <w:rFonts w:ascii="Times New Roman" w:hAnsi="Times New Roman"/>
        </w:rPr>
        <w:t>selected countrie</w:t>
      </w:r>
      <w:r w:rsidR="007F747A">
        <w:rPr>
          <w:rFonts w:ascii="Times New Roman" w:hAnsi="Times New Roman"/>
        </w:rPr>
        <w:t>s.</w:t>
      </w:r>
      <w:r w:rsidR="00937A50">
        <w:rPr>
          <w:rFonts w:ascii="Times New Roman" w:hAnsi="Times New Roman"/>
        </w:rPr>
        <w:t xml:space="preserve"> This research also presents</w:t>
      </w:r>
      <w:r w:rsidR="007F747A">
        <w:rPr>
          <w:rFonts w:ascii="Times New Roman" w:hAnsi="Times New Roman"/>
        </w:rPr>
        <w:t xml:space="preserve"> </w:t>
      </w:r>
      <w:r w:rsidR="00937A50">
        <w:rPr>
          <w:rFonts w:ascii="Times New Roman" w:hAnsi="Times New Roman"/>
        </w:rPr>
        <w:t>u</w:t>
      </w:r>
      <w:r>
        <w:rPr>
          <w:rFonts w:ascii="Times New Roman" w:hAnsi="Times New Roman"/>
        </w:rPr>
        <w:t xml:space="preserve">p to date results to the field of finance on cross-country </w:t>
      </w:r>
      <w:r>
        <w:rPr>
          <w:rFonts w:ascii="Times New Roman" w:hAnsi="Times New Roman"/>
        </w:rPr>
        <w:lastRenderedPageBreak/>
        <w:t>equity mutual fund performance as well as an evaluation on American</w:t>
      </w:r>
      <w:r w:rsidR="00937A50">
        <w:rPr>
          <w:rFonts w:ascii="Times New Roman" w:hAnsi="Times New Roman"/>
        </w:rPr>
        <w:t>, Indian and Norwegian</w:t>
      </w:r>
      <w:r>
        <w:rPr>
          <w:rFonts w:ascii="Times New Roman" w:hAnsi="Times New Roman"/>
        </w:rPr>
        <w:t xml:space="preserve"> equity mutual fund characteristics.</w:t>
      </w:r>
    </w:p>
    <w:p w14:paraId="191FC53B" w14:textId="6BD7765C" w:rsidR="00B32FF9" w:rsidRPr="00B32FF9" w:rsidRDefault="00F35E89" w:rsidP="00B32FF9">
      <w:pPr>
        <w:pStyle w:val="Heading1"/>
        <w:rPr>
          <w:b/>
          <w:bCs/>
        </w:rPr>
      </w:pPr>
      <w:bookmarkStart w:id="26" w:name="_Toc15419050"/>
      <w:r w:rsidRPr="00B32FF9">
        <w:rPr>
          <w:b/>
          <w:bCs/>
        </w:rPr>
        <w:t>Appendix</w:t>
      </w:r>
      <w:bookmarkEnd w:id="26"/>
    </w:p>
    <w:p w14:paraId="0649AD37" w14:textId="77777777" w:rsidR="00B32FF9" w:rsidRPr="00B32FF9" w:rsidRDefault="00B32FF9" w:rsidP="00B32FF9"/>
    <w:p w14:paraId="2E9BD6FF" w14:textId="30ECBE23" w:rsidR="0056363E" w:rsidRPr="00FD0426" w:rsidRDefault="00F35E89" w:rsidP="0056363E">
      <w:pPr>
        <w:rPr>
          <w:rFonts w:ascii="Times New Roman" w:hAnsi="Times New Roman" w:cs="Times New Roman"/>
          <w:sz w:val="22"/>
          <w:szCs w:val="22"/>
        </w:rPr>
      </w:pPr>
      <w:r w:rsidRPr="00FD0426">
        <w:rPr>
          <w:rFonts w:ascii="Times New Roman" w:hAnsi="Times New Roman" w:cs="Times New Roman"/>
          <w:sz w:val="22"/>
          <w:szCs w:val="22"/>
        </w:rPr>
        <w:t xml:space="preserve">Table </w:t>
      </w:r>
      <w:bookmarkEnd w:id="20"/>
      <w:r w:rsidR="00BB2B17" w:rsidRPr="00FD0426">
        <w:rPr>
          <w:rFonts w:ascii="Times New Roman" w:hAnsi="Times New Roman" w:cs="Times New Roman"/>
          <w:sz w:val="22"/>
          <w:szCs w:val="22"/>
        </w:rPr>
        <w:t>6:</w:t>
      </w:r>
      <w:r w:rsidRPr="00FD0426">
        <w:rPr>
          <w:rFonts w:ascii="Times New Roman" w:hAnsi="Times New Roman" w:cs="Times New Roman"/>
          <w:sz w:val="22"/>
          <w:szCs w:val="22"/>
        </w:rPr>
        <w:t xml:space="preserve"> Variance Influence Factors for the four factors</w:t>
      </w:r>
    </w:p>
    <w:tbl>
      <w:tblPr>
        <w:tblStyle w:val="ListTable2-Accent5"/>
        <w:tblW w:w="0" w:type="auto"/>
        <w:tblBorders>
          <w:top w:val="single" w:sz="4" w:space="0" w:color="auto"/>
          <w:bottom w:val="single" w:sz="4" w:space="0" w:color="auto"/>
          <w:insideH w:val="none" w:sz="0" w:space="0" w:color="auto"/>
        </w:tblBorders>
        <w:tblLook w:val="04A0" w:firstRow="1" w:lastRow="0" w:firstColumn="1" w:lastColumn="0" w:noHBand="0" w:noVBand="1"/>
      </w:tblPr>
      <w:tblGrid>
        <w:gridCol w:w="1512"/>
        <w:gridCol w:w="1494"/>
        <w:gridCol w:w="1511"/>
        <w:gridCol w:w="1498"/>
        <w:gridCol w:w="1503"/>
        <w:gridCol w:w="1502"/>
      </w:tblGrid>
      <w:tr w:rsidR="00395699" w14:paraId="4B386BB3" w14:textId="77777777" w:rsidTr="00395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single" w:sz="4" w:space="0" w:color="auto"/>
              <w:bottom w:val="single" w:sz="4" w:space="0" w:color="auto"/>
            </w:tcBorders>
          </w:tcPr>
          <w:p w14:paraId="2B93BBD2" w14:textId="77777777" w:rsidR="0056363E" w:rsidRPr="00FD0426" w:rsidRDefault="00F35E89" w:rsidP="00F87388">
            <w:pPr>
              <w:spacing w:line="360" w:lineRule="auto"/>
              <w:jc w:val="both"/>
              <w:rPr>
                <w:rFonts w:ascii="Times New Roman" w:hAnsi="Times New Roman" w:cs="Times New Roman"/>
                <w:sz w:val="22"/>
                <w:szCs w:val="22"/>
              </w:rPr>
            </w:pPr>
            <w:r w:rsidRPr="00FD0426">
              <w:rPr>
                <w:rFonts w:ascii="Times New Roman" w:hAnsi="Times New Roman" w:cs="Times New Roman"/>
                <w:b w:val="0"/>
                <w:bCs w:val="0"/>
                <w:sz w:val="22"/>
                <w:szCs w:val="22"/>
              </w:rPr>
              <w:t>Factors</w:t>
            </w:r>
          </w:p>
        </w:tc>
        <w:tc>
          <w:tcPr>
            <w:tcW w:w="1558" w:type="dxa"/>
            <w:tcBorders>
              <w:top w:val="single" w:sz="4" w:space="0" w:color="auto"/>
              <w:bottom w:val="single" w:sz="4" w:space="0" w:color="auto"/>
            </w:tcBorders>
          </w:tcPr>
          <w:p w14:paraId="5D993031" w14:textId="77777777" w:rsidR="0056363E" w:rsidRPr="00FD0426" w:rsidRDefault="00F35E89" w:rsidP="00F8738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b w:val="0"/>
                <w:bCs w:val="0"/>
                <w:sz w:val="22"/>
                <w:szCs w:val="22"/>
              </w:rPr>
              <w:t>VIF US</w:t>
            </w:r>
          </w:p>
        </w:tc>
        <w:tc>
          <w:tcPr>
            <w:tcW w:w="1558" w:type="dxa"/>
            <w:tcBorders>
              <w:top w:val="single" w:sz="4" w:space="0" w:color="auto"/>
              <w:bottom w:val="single" w:sz="4" w:space="0" w:color="auto"/>
            </w:tcBorders>
          </w:tcPr>
          <w:p w14:paraId="58DABDE3" w14:textId="77777777" w:rsidR="0056363E" w:rsidRPr="00FD0426" w:rsidRDefault="00F35E89" w:rsidP="00F8738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b w:val="0"/>
                <w:bCs w:val="0"/>
                <w:sz w:val="22"/>
                <w:szCs w:val="22"/>
              </w:rPr>
              <w:t>VIF Europe</w:t>
            </w:r>
          </w:p>
        </w:tc>
        <w:tc>
          <w:tcPr>
            <w:tcW w:w="1558" w:type="dxa"/>
            <w:tcBorders>
              <w:top w:val="single" w:sz="4" w:space="0" w:color="auto"/>
              <w:bottom w:val="single" w:sz="4" w:space="0" w:color="auto"/>
            </w:tcBorders>
          </w:tcPr>
          <w:p w14:paraId="5AB3917E" w14:textId="77777777" w:rsidR="0056363E" w:rsidRPr="00FD0426" w:rsidRDefault="00F35E89" w:rsidP="00F8738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b w:val="0"/>
                <w:bCs w:val="0"/>
                <w:sz w:val="22"/>
                <w:szCs w:val="22"/>
              </w:rPr>
              <w:t>VIF India</w:t>
            </w:r>
          </w:p>
        </w:tc>
        <w:tc>
          <w:tcPr>
            <w:tcW w:w="1559" w:type="dxa"/>
            <w:tcBorders>
              <w:top w:val="single" w:sz="4" w:space="0" w:color="auto"/>
              <w:bottom w:val="single" w:sz="4" w:space="0" w:color="auto"/>
            </w:tcBorders>
          </w:tcPr>
          <w:p w14:paraId="35E17B6C" w14:textId="77777777" w:rsidR="0056363E" w:rsidRPr="00FD0426" w:rsidRDefault="00F35E89" w:rsidP="00F8738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b w:val="0"/>
                <w:bCs w:val="0"/>
                <w:sz w:val="22"/>
                <w:szCs w:val="22"/>
              </w:rPr>
              <w:t>VIF ASIA</w:t>
            </w:r>
          </w:p>
        </w:tc>
        <w:tc>
          <w:tcPr>
            <w:tcW w:w="1559" w:type="dxa"/>
            <w:tcBorders>
              <w:top w:val="single" w:sz="4" w:space="0" w:color="auto"/>
              <w:bottom w:val="single" w:sz="4" w:space="0" w:color="auto"/>
            </w:tcBorders>
          </w:tcPr>
          <w:p w14:paraId="2648A040" w14:textId="77777777" w:rsidR="0056363E" w:rsidRPr="00FD0426" w:rsidRDefault="00F35E89" w:rsidP="00F8738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b w:val="0"/>
                <w:bCs w:val="0"/>
                <w:sz w:val="22"/>
                <w:szCs w:val="22"/>
              </w:rPr>
              <w:t>VIF Japan</w:t>
            </w:r>
          </w:p>
        </w:tc>
      </w:tr>
      <w:tr w:rsidR="00395699" w14:paraId="654C1CA9" w14:textId="77777777" w:rsidTr="0039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single" w:sz="4" w:space="0" w:color="auto"/>
            </w:tcBorders>
            <w:shd w:val="clear" w:color="auto" w:fill="auto"/>
          </w:tcPr>
          <w:p w14:paraId="4E88918F" w14:textId="77777777" w:rsidR="0056363E" w:rsidRPr="00FD0426" w:rsidRDefault="00F35E89" w:rsidP="00F87388">
            <w:pPr>
              <w:spacing w:line="360" w:lineRule="auto"/>
              <w:jc w:val="both"/>
              <w:rPr>
                <w:rFonts w:ascii="Times New Roman" w:hAnsi="Times New Roman" w:cs="Times New Roman"/>
                <w:sz w:val="22"/>
                <w:szCs w:val="22"/>
              </w:rPr>
            </w:pPr>
            <w:r w:rsidRPr="00FD0426">
              <w:rPr>
                <w:rFonts w:ascii="Times New Roman" w:hAnsi="Times New Roman" w:cs="Times New Roman"/>
                <w:b w:val="0"/>
                <w:bCs w:val="0"/>
                <w:sz w:val="22"/>
                <w:szCs w:val="22"/>
              </w:rPr>
              <w:t>RMRF</w:t>
            </w:r>
          </w:p>
        </w:tc>
        <w:tc>
          <w:tcPr>
            <w:tcW w:w="1558" w:type="dxa"/>
            <w:tcBorders>
              <w:top w:val="single" w:sz="4" w:space="0" w:color="auto"/>
            </w:tcBorders>
            <w:shd w:val="clear" w:color="auto" w:fill="auto"/>
          </w:tcPr>
          <w:p w14:paraId="68450B7D" w14:textId="77777777" w:rsidR="0056363E" w:rsidRPr="00FD0426" w:rsidRDefault="00F35E89" w:rsidP="00F8738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1.31</w:t>
            </w:r>
          </w:p>
        </w:tc>
        <w:tc>
          <w:tcPr>
            <w:tcW w:w="1558" w:type="dxa"/>
            <w:tcBorders>
              <w:top w:val="single" w:sz="4" w:space="0" w:color="auto"/>
            </w:tcBorders>
            <w:shd w:val="clear" w:color="auto" w:fill="auto"/>
          </w:tcPr>
          <w:p w14:paraId="3BD6B3DF" w14:textId="77777777" w:rsidR="0056363E" w:rsidRPr="00FD0426" w:rsidRDefault="00F35E89" w:rsidP="00F8738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1.42</w:t>
            </w:r>
          </w:p>
        </w:tc>
        <w:tc>
          <w:tcPr>
            <w:tcW w:w="1558" w:type="dxa"/>
            <w:tcBorders>
              <w:top w:val="single" w:sz="4" w:space="0" w:color="auto"/>
            </w:tcBorders>
            <w:shd w:val="clear" w:color="auto" w:fill="auto"/>
          </w:tcPr>
          <w:p w14:paraId="36BF3659" w14:textId="77777777" w:rsidR="0056363E" w:rsidRPr="00FD0426" w:rsidRDefault="00F35E89" w:rsidP="00F8738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1.26</w:t>
            </w:r>
          </w:p>
        </w:tc>
        <w:tc>
          <w:tcPr>
            <w:tcW w:w="1559" w:type="dxa"/>
            <w:tcBorders>
              <w:top w:val="single" w:sz="4" w:space="0" w:color="auto"/>
            </w:tcBorders>
            <w:shd w:val="clear" w:color="auto" w:fill="auto"/>
          </w:tcPr>
          <w:p w14:paraId="6094C0FB" w14:textId="77777777" w:rsidR="0056363E" w:rsidRPr="00FD0426" w:rsidRDefault="00F35E89" w:rsidP="00F8738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1.08</w:t>
            </w:r>
          </w:p>
        </w:tc>
        <w:tc>
          <w:tcPr>
            <w:tcW w:w="1559" w:type="dxa"/>
            <w:tcBorders>
              <w:top w:val="single" w:sz="4" w:space="0" w:color="auto"/>
            </w:tcBorders>
            <w:shd w:val="clear" w:color="auto" w:fill="auto"/>
          </w:tcPr>
          <w:p w14:paraId="45BC566B" w14:textId="77777777" w:rsidR="0056363E" w:rsidRPr="00FD0426" w:rsidRDefault="00F35E89" w:rsidP="00F8738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1.04</w:t>
            </w:r>
          </w:p>
        </w:tc>
      </w:tr>
      <w:tr w:rsidR="00395699" w14:paraId="52F88C7D" w14:textId="77777777" w:rsidTr="00395699">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33F47EC6" w14:textId="77777777" w:rsidR="0056363E" w:rsidRPr="00FD0426" w:rsidRDefault="00F35E89" w:rsidP="00F87388">
            <w:pPr>
              <w:spacing w:line="360" w:lineRule="auto"/>
              <w:jc w:val="both"/>
              <w:rPr>
                <w:rFonts w:ascii="Times New Roman" w:hAnsi="Times New Roman" w:cs="Times New Roman"/>
                <w:sz w:val="22"/>
                <w:szCs w:val="22"/>
              </w:rPr>
            </w:pPr>
            <w:r w:rsidRPr="00FD0426">
              <w:rPr>
                <w:rFonts w:ascii="Times New Roman" w:hAnsi="Times New Roman" w:cs="Times New Roman"/>
                <w:b w:val="0"/>
                <w:bCs w:val="0"/>
                <w:sz w:val="22"/>
                <w:szCs w:val="22"/>
              </w:rPr>
              <w:t>SMB</w:t>
            </w:r>
          </w:p>
        </w:tc>
        <w:tc>
          <w:tcPr>
            <w:tcW w:w="1558" w:type="dxa"/>
            <w:shd w:val="clear" w:color="auto" w:fill="auto"/>
          </w:tcPr>
          <w:p w14:paraId="45B043AD" w14:textId="77777777" w:rsidR="0056363E" w:rsidRPr="00FD0426" w:rsidRDefault="00F35E89" w:rsidP="00F8738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1.17</w:t>
            </w:r>
          </w:p>
        </w:tc>
        <w:tc>
          <w:tcPr>
            <w:tcW w:w="1558" w:type="dxa"/>
            <w:shd w:val="clear" w:color="auto" w:fill="auto"/>
          </w:tcPr>
          <w:p w14:paraId="16212435" w14:textId="77777777" w:rsidR="0056363E" w:rsidRPr="00FD0426" w:rsidRDefault="00F35E89" w:rsidP="00F8738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1.00</w:t>
            </w:r>
          </w:p>
        </w:tc>
        <w:tc>
          <w:tcPr>
            <w:tcW w:w="1558" w:type="dxa"/>
            <w:shd w:val="clear" w:color="auto" w:fill="auto"/>
          </w:tcPr>
          <w:p w14:paraId="1076CF5C" w14:textId="77777777" w:rsidR="0056363E" w:rsidRPr="00FD0426" w:rsidRDefault="00F35E89" w:rsidP="00F8738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1.31</w:t>
            </w:r>
          </w:p>
        </w:tc>
        <w:tc>
          <w:tcPr>
            <w:tcW w:w="1559" w:type="dxa"/>
            <w:shd w:val="clear" w:color="auto" w:fill="auto"/>
          </w:tcPr>
          <w:p w14:paraId="38FDC88D" w14:textId="77777777" w:rsidR="0056363E" w:rsidRPr="00FD0426" w:rsidRDefault="00F35E89" w:rsidP="00F8738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1.04</w:t>
            </w:r>
          </w:p>
        </w:tc>
        <w:tc>
          <w:tcPr>
            <w:tcW w:w="1559" w:type="dxa"/>
            <w:shd w:val="clear" w:color="auto" w:fill="auto"/>
          </w:tcPr>
          <w:p w14:paraId="7B0391AD" w14:textId="77777777" w:rsidR="0056363E" w:rsidRPr="00FD0426" w:rsidRDefault="00F35E89" w:rsidP="00F8738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1.28</w:t>
            </w:r>
          </w:p>
        </w:tc>
      </w:tr>
      <w:tr w:rsidR="00395699" w14:paraId="5F7310B3" w14:textId="77777777" w:rsidTr="0039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24326DF4" w14:textId="77777777" w:rsidR="0056363E" w:rsidRPr="00FD0426" w:rsidRDefault="00F35E89" w:rsidP="00F87388">
            <w:pPr>
              <w:spacing w:line="360" w:lineRule="auto"/>
              <w:jc w:val="both"/>
              <w:rPr>
                <w:rFonts w:ascii="Times New Roman" w:hAnsi="Times New Roman" w:cs="Times New Roman"/>
                <w:sz w:val="22"/>
                <w:szCs w:val="22"/>
              </w:rPr>
            </w:pPr>
            <w:r w:rsidRPr="00FD0426">
              <w:rPr>
                <w:rFonts w:ascii="Times New Roman" w:hAnsi="Times New Roman" w:cs="Times New Roman"/>
                <w:b w:val="0"/>
                <w:bCs w:val="0"/>
                <w:sz w:val="22"/>
                <w:szCs w:val="22"/>
              </w:rPr>
              <w:t>HML</w:t>
            </w:r>
          </w:p>
        </w:tc>
        <w:tc>
          <w:tcPr>
            <w:tcW w:w="1558" w:type="dxa"/>
            <w:shd w:val="clear" w:color="auto" w:fill="auto"/>
          </w:tcPr>
          <w:p w14:paraId="3DB0FB9D" w14:textId="77777777" w:rsidR="0056363E" w:rsidRPr="00FD0426" w:rsidRDefault="00F35E89" w:rsidP="00F8738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1.21</w:t>
            </w:r>
          </w:p>
        </w:tc>
        <w:tc>
          <w:tcPr>
            <w:tcW w:w="1558" w:type="dxa"/>
            <w:shd w:val="clear" w:color="auto" w:fill="auto"/>
          </w:tcPr>
          <w:p w14:paraId="49B184EF" w14:textId="77777777" w:rsidR="0056363E" w:rsidRPr="00FD0426" w:rsidRDefault="00F35E89" w:rsidP="00F8738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1.43</w:t>
            </w:r>
          </w:p>
        </w:tc>
        <w:tc>
          <w:tcPr>
            <w:tcW w:w="1558" w:type="dxa"/>
            <w:shd w:val="clear" w:color="auto" w:fill="auto"/>
          </w:tcPr>
          <w:p w14:paraId="3A45A8EE" w14:textId="77777777" w:rsidR="0056363E" w:rsidRPr="00FD0426" w:rsidRDefault="00F35E89" w:rsidP="00F8738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1.55</w:t>
            </w:r>
          </w:p>
        </w:tc>
        <w:tc>
          <w:tcPr>
            <w:tcW w:w="1559" w:type="dxa"/>
            <w:shd w:val="clear" w:color="auto" w:fill="auto"/>
          </w:tcPr>
          <w:p w14:paraId="1D6E7FB7" w14:textId="77777777" w:rsidR="0056363E" w:rsidRPr="00FD0426" w:rsidRDefault="00F35E89" w:rsidP="00F8738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1.04</w:t>
            </w:r>
          </w:p>
        </w:tc>
        <w:tc>
          <w:tcPr>
            <w:tcW w:w="1559" w:type="dxa"/>
            <w:shd w:val="clear" w:color="auto" w:fill="auto"/>
          </w:tcPr>
          <w:p w14:paraId="33264D5F" w14:textId="77777777" w:rsidR="0056363E" w:rsidRPr="00FD0426" w:rsidRDefault="00F35E89" w:rsidP="00F8738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1.21</w:t>
            </w:r>
          </w:p>
        </w:tc>
      </w:tr>
      <w:tr w:rsidR="00395699" w14:paraId="0E375E68" w14:textId="77777777" w:rsidTr="00395699">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5C547F0A" w14:textId="77777777" w:rsidR="0056363E" w:rsidRPr="00FD0426" w:rsidRDefault="00F35E89" w:rsidP="00F87388">
            <w:pPr>
              <w:spacing w:line="360" w:lineRule="auto"/>
              <w:jc w:val="both"/>
              <w:rPr>
                <w:rFonts w:ascii="Times New Roman" w:hAnsi="Times New Roman" w:cs="Times New Roman"/>
                <w:sz w:val="22"/>
                <w:szCs w:val="22"/>
              </w:rPr>
            </w:pPr>
            <w:r w:rsidRPr="00FD0426">
              <w:rPr>
                <w:rFonts w:ascii="Times New Roman" w:hAnsi="Times New Roman" w:cs="Times New Roman"/>
                <w:b w:val="0"/>
                <w:bCs w:val="0"/>
                <w:sz w:val="22"/>
                <w:szCs w:val="22"/>
              </w:rPr>
              <w:t>MOM</w:t>
            </w:r>
          </w:p>
        </w:tc>
        <w:tc>
          <w:tcPr>
            <w:tcW w:w="1558" w:type="dxa"/>
            <w:shd w:val="clear" w:color="auto" w:fill="auto"/>
          </w:tcPr>
          <w:p w14:paraId="309A7E92" w14:textId="77777777" w:rsidR="0056363E" w:rsidRPr="00FD0426" w:rsidRDefault="00F35E89" w:rsidP="00F8738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1.27</w:t>
            </w:r>
          </w:p>
        </w:tc>
        <w:tc>
          <w:tcPr>
            <w:tcW w:w="1558" w:type="dxa"/>
            <w:shd w:val="clear" w:color="auto" w:fill="auto"/>
          </w:tcPr>
          <w:p w14:paraId="31F67C02" w14:textId="77777777" w:rsidR="0056363E" w:rsidRPr="00FD0426" w:rsidRDefault="00F35E89" w:rsidP="00F8738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1.33</w:t>
            </w:r>
          </w:p>
        </w:tc>
        <w:tc>
          <w:tcPr>
            <w:tcW w:w="1558" w:type="dxa"/>
            <w:shd w:val="clear" w:color="auto" w:fill="auto"/>
          </w:tcPr>
          <w:p w14:paraId="580031D1" w14:textId="77777777" w:rsidR="0056363E" w:rsidRPr="00FD0426" w:rsidRDefault="00F35E89" w:rsidP="00F8738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1.09</w:t>
            </w:r>
          </w:p>
        </w:tc>
        <w:tc>
          <w:tcPr>
            <w:tcW w:w="1559" w:type="dxa"/>
            <w:shd w:val="clear" w:color="auto" w:fill="auto"/>
          </w:tcPr>
          <w:p w14:paraId="1A83F7A5" w14:textId="77777777" w:rsidR="0056363E" w:rsidRPr="00FD0426" w:rsidRDefault="00F35E89" w:rsidP="00F8738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1.04</w:t>
            </w:r>
          </w:p>
        </w:tc>
        <w:tc>
          <w:tcPr>
            <w:tcW w:w="1559" w:type="dxa"/>
            <w:shd w:val="clear" w:color="auto" w:fill="auto"/>
          </w:tcPr>
          <w:p w14:paraId="53C02AD0" w14:textId="77777777" w:rsidR="0056363E" w:rsidRPr="00FD0426" w:rsidRDefault="00F35E89" w:rsidP="00F8738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0426">
              <w:rPr>
                <w:rFonts w:ascii="Times New Roman" w:hAnsi="Times New Roman" w:cs="Times New Roman"/>
                <w:sz w:val="22"/>
                <w:szCs w:val="22"/>
              </w:rPr>
              <w:t>1.14</w:t>
            </w:r>
          </w:p>
        </w:tc>
      </w:tr>
    </w:tbl>
    <w:p w14:paraId="38935303" w14:textId="1DB89F71" w:rsidR="000E3950" w:rsidRPr="00FD0426" w:rsidRDefault="00F35E89" w:rsidP="000E3950">
      <w:pPr>
        <w:jc w:val="both"/>
        <w:rPr>
          <w:rFonts w:ascii="Times New Roman" w:eastAsia="Times New Roman" w:hAnsi="Times New Roman" w:cs="Times New Roman"/>
          <w:sz w:val="22"/>
          <w:szCs w:val="22"/>
        </w:rPr>
      </w:pPr>
      <w:bookmarkStart w:id="27" w:name="_Toc11766489"/>
      <w:r w:rsidRPr="00FD0426">
        <w:rPr>
          <w:rFonts w:ascii="Times New Roman" w:hAnsi="Times New Roman" w:cs="Times New Roman"/>
          <w:sz w:val="22"/>
          <w:szCs w:val="22"/>
        </w:rPr>
        <w:t xml:space="preserve">Table </w:t>
      </w:r>
      <w:r w:rsidR="00BB2B17" w:rsidRPr="00FD0426">
        <w:rPr>
          <w:rFonts w:ascii="Times New Roman" w:hAnsi="Times New Roman" w:cs="Times New Roman"/>
          <w:sz w:val="22"/>
          <w:szCs w:val="22"/>
        </w:rPr>
        <w:t>6</w:t>
      </w:r>
      <w:r w:rsidRPr="00FD0426">
        <w:rPr>
          <w:rFonts w:ascii="Times New Roman" w:hAnsi="Times New Roman" w:cs="Times New Roman"/>
          <w:sz w:val="22"/>
          <w:szCs w:val="22"/>
        </w:rPr>
        <w:t xml:space="preserve"> reports the results of collinearity diagnostics tests. Variance inflation factors (VIF) of the four factors are displayed. Variables with VIF value of 10 and higher are considered to be a combination of another independent variable thus indicate multicollinearity.</w:t>
      </w:r>
      <w:bookmarkEnd w:id="27"/>
      <w:r w:rsidRPr="00FD0426">
        <w:rPr>
          <w:rFonts w:ascii="Times New Roman" w:hAnsi="Times New Roman" w:cs="Times New Roman"/>
          <w:sz w:val="22"/>
          <w:szCs w:val="22"/>
        </w:rPr>
        <w:t xml:space="preserve"> RMRF is the market return minus one-month US Treasury Bill. </w:t>
      </w:r>
      <w:r w:rsidRPr="00FD0426">
        <w:rPr>
          <w:rFonts w:ascii="Times New Roman" w:eastAsia="Times New Roman" w:hAnsi="Times New Roman" w:cs="Times New Roman"/>
          <w:sz w:val="22"/>
          <w:szCs w:val="22"/>
        </w:rPr>
        <w:t>SMB and HML are the returns from the Fama</w:t>
      </w:r>
      <w:r w:rsidR="00D95713">
        <w:rPr>
          <w:rFonts w:ascii="Times New Roman" w:eastAsia="Times New Roman" w:hAnsi="Times New Roman" w:cs="Times New Roman"/>
          <w:sz w:val="22"/>
          <w:szCs w:val="22"/>
        </w:rPr>
        <w:t xml:space="preserve"> and</w:t>
      </w:r>
      <w:r w:rsidRPr="00FD0426">
        <w:rPr>
          <w:rFonts w:ascii="Times New Roman" w:eastAsia="Times New Roman" w:hAnsi="Times New Roman" w:cs="Times New Roman"/>
          <w:sz w:val="22"/>
          <w:szCs w:val="22"/>
        </w:rPr>
        <w:t xml:space="preserve"> French size and book to market equity portfolios. MOM is the one-year return from Fama</w:t>
      </w:r>
      <w:r w:rsidR="00D95713">
        <w:rPr>
          <w:rFonts w:ascii="Times New Roman" w:eastAsia="Times New Roman" w:hAnsi="Times New Roman" w:cs="Times New Roman"/>
          <w:sz w:val="22"/>
          <w:szCs w:val="22"/>
        </w:rPr>
        <w:t xml:space="preserve"> and</w:t>
      </w:r>
      <w:r w:rsidRPr="00FD0426">
        <w:rPr>
          <w:rFonts w:ascii="Times New Roman" w:eastAsia="Times New Roman" w:hAnsi="Times New Roman" w:cs="Times New Roman"/>
          <w:sz w:val="22"/>
          <w:szCs w:val="22"/>
        </w:rPr>
        <w:t xml:space="preserve"> French momentum portfolios.</w:t>
      </w:r>
    </w:p>
    <w:p w14:paraId="533DBF45" w14:textId="77777777" w:rsidR="0093157E" w:rsidRPr="002C198F" w:rsidRDefault="0093157E" w:rsidP="000E3950">
      <w:pPr>
        <w:jc w:val="both"/>
        <w:rPr>
          <w:rFonts w:ascii="Times New Roman" w:eastAsia="Times New Roman" w:hAnsi="Times New Roman" w:cs="Times New Roman"/>
          <w:sz w:val="21"/>
          <w:szCs w:val="21"/>
        </w:rPr>
      </w:pPr>
    </w:p>
    <w:p w14:paraId="5BB8CA03" w14:textId="2330F34E" w:rsidR="000E3950" w:rsidRPr="00FD0426" w:rsidRDefault="00F35E89" w:rsidP="000E3950">
      <w:pPr>
        <w:jc w:val="both"/>
        <w:rPr>
          <w:rFonts w:ascii="Times New Roman" w:eastAsia="Times New Roman" w:hAnsi="Times New Roman" w:cs="Times New Roman"/>
          <w:sz w:val="22"/>
          <w:szCs w:val="22"/>
        </w:rPr>
      </w:pPr>
      <w:r w:rsidRPr="00FD0426">
        <w:rPr>
          <w:rFonts w:ascii="Times New Roman" w:eastAsia="Times New Roman" w:hAnsi="Times New Roman" w:cs="Times New Roman"/>
          <w:sz w:val="22"/>
          <w:szCs w:val="22"/>
        </w:rPr>
        <w:t xml:space="preserve">Table </w:t>
      </w:r>
      <w:r w:rsidR="00BB2B17" w:rsidRPr="00FD0426">
        <w:rPr>
          <w:rFonts w:ascii="Times New Roman" w:eastAsia="Times New Roman" w:hAnsi="Times New Roman" w:cs="Times New Roman"/>
          <w:sz w:val="22"/>
          <w:szCs w:val="22"/>
        </w:rPr>
        <w:t>7</w:t>
      </w:r>
      <w:r w:rsidRPr="00FD0426">
        <w:rPr>
          <w:rFonts w:ascii="Times New Roman" w:eastAsia="Times New Roman" w:hAnsi="Times New Roman" w:cs="Times New Roman"/>
          <w:sz w:val="22"/>
          <w:szCs w:val="22"/>
        </w:rPr>
        <w:t>: Information Criter</w:t>
      </w:r>
      <w:r w:rsidR="00821E93">
        <w:rPr>
          <w:rFonts w:ascii="Times New Roman" w:eastAsia="Times New Roman" w:hAnsi="Times New Roman" w:cs="Times New Roman"/>
          <w:sz w:val="22"/>
          <w:szCs w:val="22"/>
        </w:rPr>
        <w:t>ion Values</w:t>
      </w:r>
      <w:r w:rsidRPr="00FD0426">
        <w:rPr>
          <w:rFonts w:ascii="Times New Roman" w:eastAsia="Times New Roman" w:hAnsi="Times New Roman" w:cs="Times New Roman"/>
          <w:sz w:val="22"/>
          <w:szCs w:val="22"/>
        </w:rPr>
        <w:t xml:space="preserve"> </w:t>
      </w:r>
      <w:r w:rsidR="00821E93">
        <w:rPr>
          <w:rFonts w:ascii="Times New Roman" w:eastAsia="Times New Roman" w:hAnsi="Times New Roman" w:cs="Times New Roman"/>
          <w:sz w:val="22"/>
          <w:szCs w:val="22"/>
        </w:rPr>
        <w:t>of the</w:t>
      </w:r>
      <w:r w:rsidRPr="00FD0426">
        <w:rPr>
          <w:rFonts w:ascii="Times New Roman" w:eastAsia="Times New Roman" w:hAnsi="Times New Roman" w:cs="Times New Roman"/>
          <w:sz w:val="22"/>
          <w:szCs w:val="22"/>
        </w:rPr>
        <w:t xml:space="preserve"> Performance Evaluation Models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55"/>
        <w:gridCol w:w="2255"/>
        <w:gridCol w:w="2255"/>
      </w:tblGrid>
      <w:tr w:rsidR="00395699" w14:paraId="0FD4C3C5" w14:textId="361B265A" w:rsidTr="00821E93">
        <w:trPr>
          <w:jc w:val="center"/>
        </w:trPr>
        <w:tc>
          <w:tcPr>
            <w:tcW w:w="1250" w:type="pct"/>
            <w:tcBorders>
              <w:top w:val="single" w:sz="4" w:space="0" w:color="auto"/>
              <w:bottom w:val="single" w:sz="4" w:space="0" w:color="auto"/>
            </w:tcBorders>
            <w:vAlign w:val="bottom"/>
          </w:tcPr>
          <w:p w14:paraId="3937EC79" w14:textId="2E0A8B86"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Country</w:t>
            </w:r>
          </w:p>
        </w:tc>
        <w:tc>
          <w:tcPr>
            <w:tcW w:w="1250" w:type="pct"/>
            <w:tcBorders>
              <w:top w:val="single" w:sz="4" w:space="0" w:color="auto"/>
              <w:bottom w:val="single" w:sz="4" w:space="0" w:color="auto"/>
            </w:tcBorders>
            <w:vAlign w:val="bottom"/>
          </w:tcPr>
          <w:p w14:paraId="7128A333" w14:textId="52F63926"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CAPM</w:t>
            </w:r>
          </w:p>
          <w:p w14:paraId="54F32B66" w14:textId="47B4763B"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BIC Value</w:t>
            </w:r>
          </w:p>
        </w:tc>
        <w:tc>
          <w:tcPr>
            <w:tcW w:w="1250" w:type="pct"/>
            <w:tcBorders>
              <w:top w:val="single" w:sz="4" w:space="0" w:color="auto"/>
              <w:bottom w:val="single" w:sz="4" w:space="0" w:color="auto"/>
            </w:tcBorders>
            <w:vAlign w:val="bottom"/>
          </w:tcPr>
          <w:p w14:paraId="1380AAC0" w14:textId="6730357B"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Fama</w:t>
            </w:r>
            <w:r w:rsidR="00D95713">
              <w:rPr>
                <w:rFonts w:ascii="Times New Roman" w:hAnsi="Times New Roman" w:cs="Times New Roman"/>
                <w:sz w:val="22"/>
                <w:szCs w:val="22"/>
              </w:rPr>
              <w:t xml:space="preserve"> and</w:t>
            </w:r>
            <w:r w:rsidRPr="00FD0426">
              <w:rPr>
                <w:rFonts w:ascii="Times New Roman" w:hAnsi="Times New Roman" w:cs="Times New Roman"/>
                <w:sz w:val="22"/>
                <w:szCs w:val="22"/>
              </w:rPr>
              <w:t xml:space="preserve"> French</w:t>
            </w:r>
          </w:p>
          <w:p w14:paraId="445C14FA" w14:textId="50BEEDC5"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3 Factor Model</w:t>
            </w:r>
          </w:p>
          <w:p w14:paraId="4A9B1373" w14:textId="4A23395A"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BIC Value</w:t>
            </w:r>
          </w:p>
        </w:tc>
        <w:tc>
          <w:tcPr>
            <w:tcW w:w="1250" w:type="pct"/>
            <w:tcBorders>
              <w:top w:val="single" w:sz="4" w:space="0" w:color="auto"/>
              <w:bottom w:val="single" w:sz="4" w:space="0" w:color="auto"/>
            </w:tcBorders>
            <w:vAlign w:val="bottom"/>
          </w:tcPr>
          <w:p w14:paraId="48E7D90A" w14:textId="77777777"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Carhart 4 Factor</w:t>
            </w:r>
          </w:p>
          <w:p w14:paraId="057CDEAB" w14:textId="24AC62F3"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Model</w:t>
            </w:r>
          </w:p>
          <w:p w14:paraId="3A460AEE" w14:textId="1B9D8826"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BIC Value</w:t>
            </w:r>
          </w:p>
        </w:tc>
      </w:tr>
      <w:tr w:rsidR="00395699" w14:paraId="73E4859E" w14:textId="18B38C0C" w:rsidTr="00821E93">
        <w:trPr>
          <w:jc w:val="center"/>
        </w:trPr>
        <w:tc>
          <w:tcPr>
            <w:tcW w:w="1250" w:type="pct"/>
            <w:tcBorders>
              <w:top w:val="single" w:sz="4" w:space="0" w:color="auto"/>
            </w:tcBorders>
          </w:tcPr>
          <w:p w14:paraId="70671CA1" w14:textId="1CE7A2CA"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Australia</w:t>
            </w:r>
          </w:p>
        </w:tc>
        <w:tc>
          <w:tcPr>
            <w:tcW w:w="1250" w:type="pct"/>
            <w:tcBorders>
              <w:top w:val="single" w:sz="4" w:space="0" w:color="auto"/>
            </w:tcBorders>
          </w:tcPr>
          <w:p w14:paraId="3B02C24B" w14:textId="2E5A1F00"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196.56</w:t>
            </w:r>
          </w:p>
        </w:tc>
        <w:tc>
          <w:tcPr>
            <w:tcW w:w="1250" w:type="pct"/>
            <w:tcBorders>
              <w:top w:val="single" w:sz="4" w:space="0" w:color="auto"/>
            </w:tcBorders>
          </w:tcPr>
          <w:p w14:paraId="3B10716A" w14:textId="28B10A01"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189.39</w:t>
            </w:r>
          </w:p>
        </w:tc>
        <w:tc>
          <w:tcPr>
            <w:tcW w:w="1250" w:type="pct"/>
            <w:tcBorders>
              <w:top w:val="single" w:sz="4" w:space="0" w:color="auto"/>
            </w:tcBorders>
          </w:tcPr>
          <w:p w14:paraId="00DBCD2C" w14:textId="0876ADD2"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189.37</w:t>
            </w:r>
          </w:p>
        </w:tc>
      </w:tr>
      <w:tr w:rsidR="00395699" w14:paraId="6A344E17" w14:textId="347A712E" w:rsidTr="00821E93">
        <w:trPr>
          <w:jc w:val="center"/>
        </w:trPr>
        <w:tc>
          <w:tcPr>
            <w:tcW w:w="1250" w:type="pct"/>
          </w:tcPr>
          <w:p w14:paraId="20E6FE74" w14:textId="6FF57F37"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France</w:t>
            </w:r>
          </w:p>
        </w:tc>
        <w:tc>
          <w:tcPr>
            <w:tcW w:w="1250" w:type="pct"/>
          </w:tcPr>
          <w:p w14:paraId="4F8631E0" w14:textId="537C17EC"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833.09</w:t>
            </w:r>
          </w:p>
        </w:tc>
        <w:tc>
          <w:tcPr>
            <w:tcW w:w="1250" w:type="pct"/>
          </w:tcPr>
          <w:p w14:paraId="5854B82E" w14:textId="6E1590B8"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826.63</w:t>
            </w:r>
          </w:p>
        </w:tc>
        <w:tc>
          <w:tcPr>
            <w:tcW w:w="1250" w:type="pct"/>
          </w:tcPr>
          <w:p w14:paraId="452AA353" w14:textId="480F5D5D"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826.62</w:t>
            </w:r>
          </w:p>
        </w:tc>
      </w:tr>
      <w:tr w:rsidR="00395699" w14:paraId="316CDC38" w14:textId="1B81F102" w:rsidTr="00821E93">
        <w:trPr>
          <w:jc w:val="center"/>
        </w:trPr>
        <w:tc>
          <w:tcPr>
            <w:tcW w:w="1250" w:type="pct"/>
          </w:tcPr>
          <w:p w14:paraId="73A4C1E3" w14:textId="3362E317"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India</w:t>
            </w:r>
          </w:p>
        </w:tc>
        <w:tc>
          <w:tcPr>
            <w:tcW w:w="1250" w:type="pct"/>
          </w:tcPr>
          <w:p w14:paraId="617DC7F5" w14:textId="327ADF19"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192.85</w:t>
            </w:r>
          </w:p>
        </w:tc>
        <w:tc>
          <w:tcPr>
            <w:tcW w:w="1250" w:type="pct"/>
          </w:tcPr>
          <w:p w14:paraId="630789FB" w14:textId="3AB9173E"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193.86</w:t>
            </w:r>
          </w:p>
        </w:tc>
        <w:tc>
          <w:tcPr>
            <w:tcW w:w="1250" w:type="pct"/>
          </w:tcPr>
          <w:p w14:paraId="33453B20" w14:textId="2222CE9F"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192.35</w:t>
            </w:r>
          </w:p>
        </w:tc>
      </w:tr>
      <w:tr w:rsidR="00395699" w14:paraId="0ECBE6E4" w14:textId="6FAE24E5" w:rsidTr="00821E93">
        <w:trPr>
          <w:jc w:val="center"/>
        </w:trPr>
        <w:tc>
          <w:tcPr>
            <w:tcW w:w="1250" w:type="pct"/>
          </w:tcPr>
          <w:p w14:paraId="38491E7F" w14:textId="6DFD8AF1"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Japan</w:t>
            </w:r>
          </w:p>
        </w:tc>
        <w:tc>
          <w:tcPr>
            <w:tcW w:w="1250" w:type="pct"/>
          </w:tcPr>
          <w:p w14:paraId="3C93D7D5" w14:textId="2ED8D1BE"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343.77</w:t>
            </w:r>
          </w:p>
        </w:tc>
        <w:tc>
          <w:tcPr>
            <w:tcW w:w="1250" w:type="pct"/>
          </w:tcPr>
          <w:p w14:paraId="06CA554A" w14:textId="3B13C4C9"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339.44</w:t>
            </w:r>
          </w:p>
        </w:tc>
        <w:tc>
          <w:tcPr>
            <w:tcW w:w="1250" w:type="pct"/>
          </w:tcPr>
          <w:p w14:paraId="1B36B840" w14:textId="6152889A"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338.42</w:t>
            </w:r>
          </w:p>
        </w:tc>
      </w:tr>
      <w:tr w:rsidR="00395699" w14:paraId="268B18A2" w14:textId="77777777" w:rsidTr="00821E93">
        <w:trPr>
          <w:jc w:val="center"/>
        </w:trPr>
        <w:tc>
          <w:tcPr>
            <w:tcW w:w="1250" w:type="pct"/>
          </w:tcPr>
          <w:p w14:paraId="2C3FC563" w14:textId="17E94B47" w:rsidR="00821E93" w:rsidRPr="00FD0426" w:rsidRDefault="00F35E89" w:rsidP="002C198F">
            <w:pPr>
              <w:jc w:val="center"/>
              <w:rPr>
                <w:rFonts w:ascii="Times New Roman" w:hAnsi="Times New Roman" w:cs="Times New Roman"/>
                <w:sz w:val="22"/>
                <w:szCs w:val="22"/>
              </w:rPr>
            </w:pPr>
            <w:r>
              <w:rPr>
                <w:rFonts w:ascii="Times New Roman" w:hAnsi="Times New Roman" w:cs="Times New Roman"/>
                <w:sz w:val="22"/>
                <w:szCs w:val="22"/>
              </w:rPr>
              <w:t>Norway</w:t>
            </w:r>
          </w:p>
        </w:tc>
        <w:tc>
          <w:tcPr>
            <w:tcW w:w="1250" w:type="pct"/>
          </w:tcPr>
          <w:p w14:paraId="5D01D8A7" w14:textId="6018D9E3" w:rsidR="00821E93" w:rsidRPr="00FD0426" w:rsidRDefault="00F35E89" w:rsidP="002C198F">
            <w:pPr>
              <w:jc w:val="center"/>
              <w:rPr>
                <w:rFonts w:ascii="Times New Roman" w:hAnsi="Times New Roman" w:cs="Times New Roman"/>
                <w:sz w:val="22"/>
                <w:szCs w:val="22"/>
              </w:rPr>
            </w:pPr>
            <w:r>
              <w:rPr>
                <w:rFonts w:ascii="Times New Roman" w:hAnsi="Times New Roman" w:cs="Times New Roman"/>
                <w:sz w:val="22"/>
                <w:szCs w:val="22"/>
              </w:rPr>
              <w:t>27.747</w:t>
            </w:r>
          </w:p>
        </w:tc>
        <w:tc>
          <w:tcPr>
            <w:tcW w:w="1250" w:type="pct"/>
          </w:tcPr>
          <w:p w14:paraId="2AE17581" w14:textId="479EE15C" w:rsidR="00821E93" w:rsidRPr="00FD0426" w:rsidRDefault="00F35E89" w:rsidP="002C198F">
            <w:pPr>
              <w:jc w:val="center"/>
              <w:rPr>
                <w:rFonts w:ascii="Times New Roman" w:hAnsi="Times New Roman" w:cs="Times New Roman"/>
                <w:sz w:val="22"/>
                <w:szCs w:val="22"/>
              </w:rPr>
            </w:pPr>
            <w:r>
              <w:rPr>
                <w:rFonts w:ascii="Times New Roman" w:hAnsi="Times New Roman" w:cs="Times New Roman"/>
                <w:sz w:val="22"/>
                <w:szCs w:val="22"/>
              </w:rPr>
              <w:t>25.357</w:t>
            </w:r>
          </w:p>
        </w:tc>
        <w:tc>
          <w:tcPr>
            <w:tcW w:w="1250" w:type="pct"/>
          </w:tcPr>
          <w:p w14:paraId="2665B2DA" w14:textId="07F6959D" w:rsidR="00821E93" w:rsidRPr="00FD0426" w:rsidRDefault="00F35E89" w:rsidP="002C198F">
            <w:pPr>
              <w:jc w:val="center"/>
              <w:rPr>
                <w:rFonts w:ascii="Times New Roman" w:hAnsi="Times New Roman" w:cs="Times New Roman"/>
                <w:sz w:val="22"/>
                <w:szCs w:val="22"/>
              </w:rPr>
            </w:pPr>
            <w:r>
              <w:rPr>
                <w:rFonts w:ascii="Times New Roman" w:hAnsi="Times New Roman" w:cs="Times New Roman"/>
                <w:sz w:val="22"/>
                <w:szCs w:val="22"/>
              </w:rPr>
              <w:t>25.350</w:t>
            </w:r>
          </w:p>
        </w:tc>
      </w:tr>
      <w:tr w:rsidR="00395699" w14:paraId="6CE7C441" w14:textId="4D37294D" w:rsidTr="00821E93">
        <w:trPr>
          <w:trHeight w:val="119"/>
          <w:jc w:val="center"/>
        </w:trPr>
        <w:tc>
          <w:tcPr>
            <w:tcW w:w="1250" w:type="pct"/>
          </w:tcPr>
          <w:p w14:paraId="3F656A82" w14:textId="6153F66E"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Switzerland</w:t>
            </w:r>
          </w:p>
        </w:tc>
        <w:tc>
          <w:tcPr>
            <w:tcW w:w="1250" w:type="pct"/>
          </w:tcPr>
          <w:p w14:paraId="7B043EBD" w14:textId="70C6B6BF"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618.42</w:t>
            </w:r>
          </w:p>
        </w:tc>
        <w:tc>
          <w:tcPr>
            <w:tcW w:w="1250" w:type="pct"/>
          </w:tcPr>
          <w:p w14:paraId="58385746" w14:textId="3B9F98BD"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612.65</w:t>
            </w:r>
          </w:p>
        </w:tc>
        <w:tc>
          <w:tcPr>
            <w:tcW w:w="1250" w:type="pct"/>
          </w:tcPr>
          <w:p w14:paraId="0478EC47" w14:textId="7C7AC304"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611.67</w:t>
            </w:r>
          </w:p>
        </w:tc>
      </w:tr>
      <w:tr w:rsidR="00395699" w14:paraId="637C558A" w14:textId="48219ECC" w:rsidTr="00821E93">
        <w:trPr>
          <w:jc w:val="center"/>
        </w:trPr>
        <w:tc>
          <w:tcPr>
            <w:tcW w:w="1250" w:type="pct"/>
          </w:tcPr>
          <w:p w14:paraId="1260EB86" w14:textId="710C9500"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UK</w:t>
            </w:r>
          </w:p>
        </w:tc>
        <w:tc>
          <w:tcPr>
            <w:tcW w:w="1250" w:type="pct"/>
          </w:tcPr>
          <w:p w14:paraId="2750D807" w14:textId="5BD52807" w:rsidR="00821E93" w:rsidRPr="00FD0426" w:rsidRDefault="00F35E89" w:rsidP="002C198F">
            <w:pPr>
              <w:jc w:val="center"/>
              <w:rPr>
                <w:rFonts w:ascii="Times New Roman" w:hAnsi="Times New Roman" w:cs="Times New Roman"/>
                <w:sz w:val="22"/>
                <w:szCs w:val="22"/>
              </w:rPr>
            </w:pPr>
            <w:r>
              <w:rPr>
                <w:rFonts w:ascii="Times New Roman" w:hAnsi="Times New Roman" w:cs="Times New Roman"/>
                <w:sz w:val="22"/>
                <w:szCs w:val="22"/>
              </w:rPr>
              <w:t>153</w:t>
            </w:r>
            <w:r w:rsidRPr="00FD0426">
              <w:rPr>
                <w:rFonts w:ascii="Times New Roman" w:hAnsi="Times New Roman" w:cs="Times New Roman"/>
                <w:sz w:val="22"/>
                <w:szCs w:val="22"/>
              </w:rPr>
              <w:t>.</w:t>
            </w:r>
            <w:r>
              <w:rPr>
                <w:rFonts w:ascii="Times New Roman" w:hAnsi="Times New Roman" w:cs="Times New Roman"/>
                <w:sz w:val="22"/>
                <w:szCs w:val="22"/>
              </w:rPr>
              <w:t>82</w:t>
            </w:r>
          </w:p>
        </w:tc>
        <w:tc>
          <w:tcPr>
            <w:tcW w:w="1250" w:type="pct"/>
          </w:tcPr>
          <w:p w14:paraId="4CD5CEBA" w14:textId="16702FF4" w:rsidR="00821E93" w:rsidRPr="00FD0426" w:rsidRDefault="00F35E89" w:rsidP="002C198F">
            <w:pPr>
              <w:jc w:val="center"/>
              <w:rPr>
                <w:rFonts w:ascii="Times New Roman" w:hAnsi="Times New Roman" w:cs="Times New Roman"/>
                <w:sz w:val="22"/>
                <w:szCs w:val="22"/>
              </w:rPr>
            </w:pPr>
            <w:r>
              <w:rPr>
                <w:rFonts w:ascii="Times New Roman" w:hAnsi="Times New Roman" w:cs="Times New Roman"/>
                <w:sz w:val="22"/>
                <w:szCs w:val="22"/>
              </w:rPr>
              <w:t>147</w:t>
            </w:r>
            <w:r w:rsidRPr="00FD0426">
              <w:rPr>
                <w:rFonts w:ascii="Times New Roman" w:hAnsi="Times New Roman" w:cs="Times New Roman"/>
                <w:sz w:val="22"/>
                <w:szCs w:val="22"/>
              </w:rPr>
              <w:t>.</w:t>
            </w:r>
            <w:r>
              <w:rPr>
                <w:rFonts w:ascii="Times New Roman" w:hAnsi="Times New Roman" w:cs="Times New Roman"/>
                <w:sz w:val="22"/>
                <w:szCs w:val="22"/>
              </w:rPr>
              <w:t>79</w:t>
            </w:r>
          </w:p>
        </w:tc>
        <w:tc>
          <w:tcPr>
            <w:tcW w:w="1250" w:type="pct"/>
          </w:tcPr>
          <w:p w14:paraId="41688E83" w14:textId="260E22CC" w:rsidR="00821E93" w:rsidRPr="00FD0426" w:rsidRDefault="00F35E89" w:rsidP="002C198F">
            <w:pPr>
              <w:jc w:val="center"/>
              <w:rPr>
                <w:rFonts w:ascii="Times New Roman" w:hAnsi="Times New Roman" w:cs="Times New Roman"/>
                <w:sz w:val="22"/>
                <w:szCs w:val="22"/>
              </w:rPr>
            </w:pPr>
            <w:r>
              <w:rPr>
                <w:rFonts w:ascii="Times New Roman" w:hAnsi="Times New Roman" w:cs="Times New Roman"/>
                <w:sz w:val="22"/>
                <w:szCs w:val="22"/>
              </w:rPr>
              <w:t>147</w:t>
            </w:r>
            <w:r w:rsidRPr="00FD0426">
              <w:rPr>
                <w:rFonts w:ascii="Times New Roman" w:hAnsi="Times New Roman" w:cs="Times New Roman"/>
                <w:sz w:val="22"/>
                <w:szCs w:val="22"/>
              </w:rPr>
              <w:t>.</w:t>
            </w:r>
            <w:r>
              <w:rPr>
                <w:rFonts w:ascii="Times New Roman" w:hAnsi="Times New Roman" w:cs="Times New Roman"/>
                <w:sz w:val="22"/>
                <w:szCs w:val="22"/>
              </w:rPr>
              <w:t>46</w:t>
            </w:r>
          </w:p>
        </w:tc>
      </w:tr>
      <w:tr w:rsidR="00395699" w14:paraId="3D3748F6" w14:textId="77777777" w:rsidTr="00821E93">
        <w:trPr>
          <w:jc w:val="center"/>
        </w:trPr>
        <w:tc>
          <w:tcPr>
            <w:tcW w:w="1250" w:type="pct"/>
          </w:tcPr>
          <w:p w14:paraId="0F21489F" w14:textId="76A9DCBE"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US</w:t>
            </w:r>
          </w:p>
        </w:tc>
        <w:tc>
          <w:tcPr>
            <w:tcW w:w="1250" w:type="pct"/>
          </w:tcPr>
          <w:p w14:paraId="118E67BA" w14:textId="09D38FB9"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811.85</w:t>
            </w:r>
          </w:p>
        </w:tc>
        <w:tc>
          <w:tcPr>
            <w:tcW w:w="1250" w:type="pct"/>
          </w:tcPr>
          <w:p w14:paraId="1F2E10C8" w14:textId="5D1D711B"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793.82</w:t>
            </w:r>
          </w:p>
        </w:tc>
        <w:tc>
          <w:tcPr>
            <w:tcW w:w="1250" w:type="pct"/>
          </w:tcPr>
          <w:p w14:paraId="454683B3" w14:textId="674FF69A" w:rsidR="00821E93" w:rsidRPr="00FD0426" w:rsidRDefault="00F35E89" w:rsidP="002C198F">
            <w:pPr>
              <w:jc w:val="center"/>
              <w:rPr>
                <w:rFonts w:ascii="Times New Roman" w:hAnsi="Times New Roman" w:cs="Times New Roman"/>
                <w:sz w:val="22"/>
                <w:szCs w:val="22"/>
              </w:rPr>
            </w:pPr>
            <w:r w:rsidRPr="00FD0426">
              <w:rPr>
                <w:rFonts w:ascii="Times New Roman" w:hAnsi="Times New Roman" w:cs="Times New Roman"/>
                <w:sz w:val="22"/>
                <w:szCs w:val="22"/>
              </w:rPr>
              <w:t>792.82</w:t>
            </w:r>
          </w:p>
        </w:tc>
      </w:tr>
    </w:tbl>
    <w:p w14:paraId="7EEE6E4D" w14:textId="13294EF8" w:rsidR="008A2D75" w:rsidRDefault="00F35E89" w:rsidP="00280590">
      <w:pPr>
        <w:jc w:val="both"/>
        <w:rPr>
          <w:rFonts w:ascii="Times New Roman" w:hAnsi="Times New Roman" w:cs="Times New Roman"/>
          <w:sz w:val="22"/>
          <w:szCs w:val="22"/>
        </w:rPr>
      </w:pPr>
      <w:r w:rsidRPr="00FD0426">
        <w:rPr>
          <w:rFonts w:ascii="Times New Roman" w:hAnsi="Times New Roman" w:cs="Times New Roman"/>
          <w:sz w:val="22"/>
          <w:szCs w:val="22"/>
        </w:rPr>
        <w:t xml:space="preserve">Table </w:t>
      </w:r>
      <w:r w:rsidR="00BB2B17" w:rsidRPr="00FD0426">
        <w:rPr>
          <w:rFonts w:ascii="Times New Roman" w:hAnsi="Times New Roman" w:cs="Times New Roman"/>
          <w:sz w:val="22"/>
          <w:szCs w:val="22"/>
        </w:rPr>
        <w:t>7</w:t>
      </w:r>
      <w:r w:rsidRPr="00FD0426">
        <w:rPr>
          <w:rFonts w:ascii="Times New Roman" w:hAnsi="Times New Roman" w:cs="Times New Roman"/>
          <w:sz w:val="22"/>
          <w:szCs w:val="22"/>
        </w:rPr>
        <w:t xml:space="preserve"> reports the Bayesian Information Criterion (BIC) values of the performance evaluation models. </w:t>
      </w:r>
      <w:r w:rsidR="00821E93">
        <w:rPr>
          <w:rFonts w:ascii="Times New Roman" w:hAnsi="Times New Roman" w:cs="Times New Roman"/>
          <w:sz w:val="22"/>
          <w:szCs w:val="22"/>
        </w:rPr>
        <w:t>Smaller</w:t>
      </w:r>
      <w:r w:rsidRPr="00FD0426">
        <w:rPr>
          <w:rFonts w:ascii="Times New Roman" w:hAnsi="Times New Roman" w:cs="Times New Roman"/>
          <w:sz w:val="22"/>
          <w:szCs w:val="22"/>
        </w:rPr>
        <w:t xml:space="preserve"> BIC values indicate a better fit for the data. BIC values reported in thousands. </w:t>
      </w:r>
    </w:p>
    <w:p w14:paraId="32C72975" w14:textId="77777777" w:rsidR="00901642" w:rsidRDefault="00901642" w:rsidP="00280590">
      <w:pPr>
        <w:jc w:val="both"/>
        <w:rPr>
          <w:rFonts w:ascii="Times New Roman" w:hAnsi="Times New Roman" w:cs="Times New Roman"/>
          <w:sz w:val="22"/>
          <w:szCs w:val="22"/>
        </w:rPr>
      </w:pPr>
    </w:p>
    <w:p w14:paraId="24EE4FCA" w14:textId="6577B213" w:rsidR="00280590" w:rsidRDefault="00280590" w:rsidP="00280590">
      <w:pPr>
        <w:jc w:val="both"/>
        <w:rPr>
          <w:rFonts w:ascii="Times New Roman" w:hAnsi="Times New Roman" w:cs="Times New Roman"/>
          <w:sz w:val="22"/>
          <w:szCs w:val="22"/>
        </w:rPr>
      </w:pPr>
    </w:p>
    <w:bookmarkStart w:id="28" w:name="_Toc15419051" w:displacedByCustomXml="next"/>
    <w:sdt>
      <w:sdtPr>
        <w:rPr>
          <w:rFonts w:ascii="Calibri" w:eastAsia="Calibri" w:hAnsi="Calibri" w:cs="Calibri"/>
          <w:color w:val="auto"/>
          <w:sz w:val="24"/>
          <w:szCs w:val="24"/>
        </w:rPr>
        <w:id w:val="855622232"/>
        <w:docPartObj>
          <w:docPartGallery w:val="Bibliographies"/>
          <w:docPartUnique/>
        </w:docPartObj>
      </w:sdtPr>
      <w:sdtEndPr/>
      <w:sdtContent>
        <w:p w14:paraId="4A194B55" w14:textId="6AF6CF6A" w:rsidR="00280590" w:rsidRPr="000F30D8" w:rsidRDefault="00F35E89">
          <w:pPr>
            <w:pStyle w:val="Heading1"/>
            <w:rPr>
              <w:b/>
              <w:bCs/>
            </w:rPr>
          </w:pPr>
          <w:r w:rsidRPr="000F30D8">
            <w:rPr>
              <w:b/>
              <w:bCs/>
            </w:rPr>
            <w:t>Bibliography</w:t>
          </w:r>
          <w:bookmarkEnd w:id="28"/>
        </w:p>
        <w:sdt>
          <w:sdtPr>
            <w:id w:val="111145805"/>
            <w:bibliography/>
          </w:sdtPr>
          <w:sdtEndPr/>
          <w:sdtContent>
            <w:p w14:paraId="5FE73346" w14:textId="77777777" w:rsidR="00E40E29" w:rsidRDefault="00F35E89" w:rsidP="00E40E29">
              <w:pPr>
                <w:pStyle w:val="Bibliography"/>
                <w:ind w:left="720" w:hanging="720"/>
                <w:rPr>
                  <w:noProof/>
                </w:rPr>
              </w:pPr>
              <w:r>
                <w:fldChar w:fldCharType="begin"/>
              </w:r>
              <w:r>
                <w:instrText xml:space="preserve"> BIBLIOGRAPHY </w:instrText>
              </w:r>
              <w:r>
                <w:fldChar w:fldCharType="separate"/>
              </w:r>
              <w:r w:rsidR="00E40E29">
                <w:rPr>
                  <w:noProof/>
                </w:rPr>
                <w:t xml:space="preserve">Agarwalla, S. K., J., J., &amp; Varma, J. R. (2013). Four Factor Model in Indian Equities Market. </w:t>
              </w:r>
              <w:r w:rsidR="00E40E29">
                <w:rPr>
                  <w:i/>
                  <w:iCs/>
                  <w:noProof/>
                </w:rPr>
                <w:t>SSRN Electronic Journal</w:t>
              </w:r>
              <w:r w:rsidR="00E40E29">
                <w:rPr>
                  <w:noProof/>
                </w:rPr>
                <w:t>.</w:t>
              </w:r>
            </w:p>
            <w:p w14:paraId="43A6F3A0" w14:textId="77777777" w:rsidR="00E40E29" w:rsidRDefault="00E40E29" w:rsidP="00E40E29">
              <w:pPr>
                <w:pStyle w:val="Bibliography"/>
                <w:ind w:left="720" w:hanging="720"/>
                <w:rPr>
                  <w:noProof/>
                </w:rPr>
              </w:pPr>
              <w:r>
                <w:rPr>
                  <w:noProof/>
                </w:rPr>
                <w:t xml:space="preserve">Carhart, M. M. (1997). On Persistance in Mutual Fund Performance. </w:t>
              </w:r>
              <w:r>
                <w:rPr>
                  <w:i/>
                  <w:iCs/>
                  <w:noProof/>
                </w:rPr>
                <w:t>The Journal of Finance</w:t>
              </w:r>
              <w:r>
                <w:rPr>
                  <w:noProof/>
                </w:rPr>
                <w:t>, 57-82.</w:t>
              </w:r>
            </w:p>
            <w:p w14:paraId="76DD09E1" w14:textId="77777777" w:rsidR="00E40E29" w:rsidRDefault="00E40E29" w:rsidP="00E40E29">
              <w:pPr>
                <w:pStyle w:val="Bibliography"/>
                <w:ind w:left="720" w:hanging="720"/>
                <w:rPr>
                  <w:noProof/>
                </w:rPr>
              </w:pPr>
              <w:r>
                <w:rPr>
                  <w:noProof/>
                </w:rPr>
                <w:t xml:space="preserve">Chan, L. K., Chen, H.-L., &amp; Lakonishok, J. (2002). On Mutual Fund Investment Styles. </w:t>
              </w:r>
              <w:r>
                <w:rPr>
                  <w:i/>
                  <w:iCs/>
                  <w:noProof/>
                </w:rPr>
                <w:t>The Review of Financial Studies, 5</w:t>
              </w:r>
              <w:r>
                <w:rPr>
                  <w:noProof/>
                </w:rPr>
                <w:t>(5), 1407-1437.</w:t>
              </w:r>
            </w:p>
            <w:p w14:paraId="18D0E4E4" w14:textId="77777777" w:rsidR="00E40E29" w:rsidRDefault="00E40E29" w:rsidP="00E40E29">
              <w:pPr>
                <w:pStyle w:val="Bibliography"/>
                <w:ind w:left="720" w:hanging="720"/>
                <w:rPr>
                  <w:noProof/>
                </w:rPr>
              </w:pPr>
              <w:r>
                <w:rPr>
                  <w:noProof/>
                </w:rPr>
                <w:t xml:space="preserve">Chen, J., Hong, H., Ming, H., &amp; Kubik, J. (2004). Does Fund Size Erode Mutual Fund Performance? The Role of Liqudity and Organization. </w:t>
              </w:r>
              <w:r>
                <w:rPr>
                  <w:i/>
                  <w:iCs/>
                  <w:noProof/>
                </w:rPr>
                <w:t>American Economic Review, 94</w:t>
              </w:r>
              <w:r>
                <w:rPr>
                  <w:noProof/>
                </w:rPr>
                <w:t>(5), 1276-1302.</w:t>
              </w:r>
            </w:p>
            <w:p w14:paraId="20E9C4E3" w14:textId="77777777" w:rsidR="00E40E29" w:rsidRDefault="00E40E29" w:rsidP="00E40E29">
              <w:pPr>
                <w:pStyle w:val="Bibliography"/>
                <w:ind w:left="720" w:hanging="720"/>
                <w:rPr>
                  <w:noProof/>
                </w:rPr>
              </w:pPr>
              <w:r>
                <w:rPr>
                  <w:noProof/>
                </w:rPr>
                <w:t xml:space="preserve">Fama, E. F., &amp; MacBeth, J. D. (1973). Risk, Return and Equilibrium: Empirical Tests. </w:t>
              </w:r>
              <w:r>
                <w:rPr>
                  <w:i/>
                  <w:iCs/>
                  <w:noProof/>
                </w:rPr>
                <w:t>Journal of Political Economy, 81</w:t>
              </w:r>
              <w:r>
                <w:rPr>
                  <w:noProof/>
                </w:rPr>
                <w:t>(3), 607-636.</w:t>
              </w:r>
            </w:p>
            <w:p w14:paraId="43330BEF" w14:textId="77777777" w:rsidR="00E40E29" w:rsidRDefault="00E40E29" w:rsidP="00E40E29">
              <w:pPr>
                <w:pStyle w:val="Bibliography"/>
                <w:ind w:left="720" w:hanging="720"/>
                <w:rPr>
                  <w:noProof/>
                </w:rPr>
              </w:pPr>
              <w:r>
                <w:rPr>
                  <w:noProof/>
                </w:rPr>
                <w:t xml:space="preserve">Fama, E., &amp; French , K. (1992). The Cross-Section of Expected Stock Returns. </w:t>
              </w:r>
              <w:r>
                <w:rPr>
                  <w:i/>
                  <w:iCs/>
                  <w:noProof/>
                </w:rPr>
                <w:t>The Journal of Finance, 47</w:t>
              </w:r>
              <w:r>
                <w:rPr>
                  <w:noProof/>
                </w:rPr>
                <w:t>(2), 427-465.</w:t>
              </w:r>
            </w:p>
            <w:p w14:paraId="185DB701" w14:textId="77777777" w:rsidR="00E40E29" w:rsidRDefault="00E40E29" w:rsidP="00E40E29">
              <w:pPr>
                <w:pStyle w:val="Bibliography"/>
                <w:ind w:left="720" w:hanging="720"/>
                <w:rPr>
                  <w:noProof/>
                </w:rPr>
              </w:pPr>
              <w:r>
                <w:rPr>
                  <w:noProof/>
                </w:rPr>
                <w:lastRenderedPageBreak/>
                <w:t xml:space="preserve">Fama, E., &amp; French, K. (1993). Common Risk Factors in the Returns on Bonds and Stocks. </w:t>
              </w:r>
              <w:r>
                <w:rPr>
                  <w:i/>
                  <w:iCs/>
                  <w:noProof/>
                </w:rPr>
                <w:t>Journal of Financial Economics, 33</w:t>
              </w:r>
              <w:r>
                <w:rPr>
                  <w:noProof/>
                </w:rPr>
                <w:t>(1), 3-53.</w:t>
              </w:r>
            </w:p>
            <w:p w14:paraId="5E425968" w14:textId="77777777" w:rsidR="00E40E29" w:rsidRDefault="00E40E29" w:rsidP="00E40E29">
              <w:pPr>
                <w:pStyle w:val="Bibliography"/>
                <w:ind w:left="720" w:hanging="720"/>
                <w:rPr>
                  <w:noProof/>
                </w:rPr>
              </w:pPr>
              <w:r>
                <w:rPr>
                  <w:noProof/>
                </w:rPr>
                <w:t xml:space="preserve">Ferreira, M. A., Keswani, A., Miguel, A. F., &amp; Ramos, S. B. (2013). The Determinants of Mutual Fund Performance: A Cross-Country Study. </w:t>
              </w:r>
              <w:r>
                <w:rPr>
                  <w:i/>
                  <w:iCs/>
                  <w:noProof/>
                </w:rPr>
                <w:t>Review of Finance, 17</w:t>
              </w:r>
              <w:r>
                <w:rPr>
                  <w:noProof/>
                </w:rPr>
                <w:t>(2), 483-525.</w:t>
              </w:r>
            </w:p>
            <w:p w14:paraId="326CE5E4" w14:textId="77777777" w:rsidR="00E40E29" w:rsidRDefault="00E40E29" w:rsidP="00E40E29">
              <w:pPr>
                <w:pStyle w:val="Bibliography"/>
                <w:ind w:left="720" w:hanging="720"/>
                <w:rPr>
                  <w:noProof/>
                </w:rPr>
              </w:pPr>
              <w:r>
                <w:rPr>
                  <w:noProof/>
                </w:rPr>
                <w:t xml:space="preserve">Gruber, M. (1996). Another Puzzle: The Growth in Actively Managed Mutual Funds. </w:t>
              </w:r>
              <w:r>
                <w:rPr>
                  <w:i/>
                  <w:iCs/>
                  <w:noProof/>
                </w:rPr>
                <w:t>The Journal of Finance, 51</w:t>
              </w:r>
              <w:r>
                <w:rPr>
                  <w:noProof/>
                </w:rPr>
                <w:t>(3), 783-810.</w:t>
              </w:r>
            </w:p>
            <w:p w14:paraId="16BC2004" w14:textId="77777777" w:rsidR="00E40E29" w:rsidRDefault="00E40E29" w:rsidP="00E40E29">
              <w:pPr>
                <w:pStyle w:val="Bibliography"/>
                <w:ind w:left="720" w:hanging="720"/>
                <w:rPr>
                  <w:noProof/>
                </w:rPr>
              </w:pPr>
              <w:r>
                <w:rPr>
                  <w:noProof/>
                </w:rPr>
                <w:t xml:space="preserve">Hendricks, D., Patel, J., &amp; Zeckhauser, R. (1993). Hot Hand in Mutual Funds: Short-Run Persistance of Relative Performance, 1974-1988. </w:t>
              </w:r>
              <w:r>
                <w:rPr>
                  <w:i/>
                  <w:iCs/>
                  <w:noProof/>
                </w:rPr>
                <w:t>The Journal of Finance, 48</w:t>
              </w:r>
              <w:r>
                <w:rPr>
                  <w:noProof/>
                </w:rPr>
                <w:t>(1), 93-130.</w:t>
              </w:r>
            </w:p>
            <w:p w14:paraId="4A24F82B" w14:textId="77777777" w:rsidR="00E40E29" w:rsidRDefault="00E40E29" w:rsidP="00E40E29">
              <w:pPr>
                <w:pStyle w:val="Bibliography"/>
                <w:ind w:left="720" w:hanging="720"/>
                <w:rPr>
                  <w:noProof/>
                </w:rPr>
              </w:pPr>
              <w:r>
                <w:rPr>
                  <w:i/>
                  <w:iCs/>
                  <w:noProof/>
                </w:rPr>
                <w:t>IMF: World Economic Outlook (April, 2019) - GDP, Current Prices</w:t>
              </w:r>
              <w:r>
                <w:rPr>
                  <w:noProof/>
                </w:rPr>
                <w:t>. (2019). Retrieved from IMF: https://www.imf.org/external/datamapper/NGDPD@WEO</w:t>
              </w:r>
            </w:p>
            <w:p w14:paraId="075164BD" w14:textId="77777777" w:rsidR="00E40E29" w:rsidRDefault="00E40E29" w:rsidP="00E40E29">
              <w:pPr>
                <w:pStyle w:val="Bibliography"/>
                <w:ind w:left="720" w:hanging="720"/>
                <w:rPr>
                  <w:noProof/>
                </w:rPr>
              </w:pPr>
              <w:r>
                <w:rPr>
                  <w:noProof/>
                </w:rPr>
                <w:t xml:space="preserve">Ippolito, R. (1989). A Study of Mutual Fund Performance 1965-1984. </w:t>
              </w:r>
              <w:r>
                <w:rPr>
                  <w:i/>
                  <w:iCs/>
                  <w:noProof/>
                </w:rPr>
                <w:t>The Quarterly Journal of Economics, 104</w:t>
              </w:r>
              <w:r>
                <w:rPr>
                  <w:noProof/>
                </w:rPr>
                <w:t>(1), 1-23.</w:t>
              </w:r>
            </w:p>
            <w:p w14:paraId="58925557" w14:textId="77777777" w:rsidR="00E40E29" w:rsidRDefault="00E40E29" w:rsidP="00E40E29">
              <w:pPr>
                <w:pStyle w:val="Bibliography"/>
                <w:ind w:left="720" w:hanging="720"/>
                <w:rPr>
                  <w:noProof/>
                </w:rPr>
              </w:pPr>
              <w:r>
                <w:rPr>
                  <w:noProof/>
                </w:rPr>
                <w:t xml:space="preserve">Jegadeesh, N., &amp; Titman, S. (1993). Returns on Buying Winners and Selling Losers: Implications for Stock Market Efficiency. </w:t>
              </w:r>
              <w:r>
                <w:rPr>
                  <w:i/>
                  <w:iCs/>
                  <w:noProof/>
                </w:rPr>
                <w:t>The Journal of Finance, 48</w:t>
              </w:r>
              <w:r>
                <w:rPr>
                  <w:noProof/>
                </w:rPr>
                <w:t>(1), 65-91.</w:t>
              </w:r>
            </w:p>
            <w:p w14:paraId="00E0CAAB" w14:textId="77777777" w:rsidR="00E40E29" w:rsidRDefault="00E40E29" w:rsidP="00E40E29">
              <w:pPr>
                <w:pStyle w:val="Bibliography"/>
                <w:ind w:left="720" w:hanging="720"/>
                <w:rPr>
                  <w:noProof/>
                </w:rPr>
              </w:pPr>
              <w:r>
                <w:rPr>
                  <w:noProof/>
                </w:rPr>
                <w:t xml:space="preserve">Jensen, M. (1968). The Performance of Mutual Funds in the Period 1945-1964. </w:t>
              </w:r>
              <w:r>
                <w:rPr>
                  <w:i/>
                  <w:iCs/>
                  <w:noProof/>
                </w:rPr>
                <w:t>The Journal of Finance, 23</w:t>
              </w:r>
              <w:r>
                <w:rPr>
                  <w:noProof/>
                </w:rPr>
                <w:t>(2), 389-416.</w:t>
              </w:r>
            </w:p>
            <w:p w14:paraId="4ACBB05A" w14:textId="77777777" w:rsidR="00E40E29" w:rsidRDefault="00E40E29" w:rsidP="00E40E29">
              <w:pPr>
                <w:pStyle w:val="Bibliography"/>
                <w:ind w:left="720" w:hanging="720"/>
                <w:rPr>
                  <w:noProof/>
                </w:rPr>
              </w:pPr>
              <w:r>
                <w:rPr>
                  <w:noProof/>
                </w:rPr>
                <w:t xml:space="preserve">Lakonishok, J., Shleifer, A., &amp; Vishny, R. W. (1994). Contrarian Investment, Extrapolation, and Risk. </w:t>
              </w:r>
              <w:r>
                <w:rPr>
                  <w:i/>
                  <w:iCs/>
                  <w:noProof/>
                </w:rPr>
                <w:t>The Journal of Finance, 49</w:t>
              </w:r>
              <w:r>
                <w:rPr>
                  <w:noProof/>
                </w:rPr>
                <w:t>(5), 1541-1578.</w:t>
              </w:r>
            </w:p>
            <w:p w14:paraId="03394950" w14:textId="77777777" w:rsidR="00E40E29" w:rsidRDefault="00E40E29" w:rsidP="00E40E29">
              <w:pPr>
                <w:pStyle w:val="Bibliography"/>
                <w:ind w:left="720" w:hanging="720"/>
                <w:rPr>
                  <w:noProof/>
                </w:rPr>
              </w:pPr>
              <w:r>
                <w:rPr>
                  <w:noProof/>
                </w:rPr>
                <w:t xml:space="preserve">Lintner, J. (1965). Security Prices, Risk, and Maximal Gains from Diversification. </w:t>
              </w:r>
              <w:r>
                <w:rPr>
                  <w:i/>
                  <w:iCs/>
                  <w:noProof/>
                </w:rPr>
                <w:t>The Journal of Finance, 20</w:t>
              </w:r>
              <w:r>
                <w:rPr>
                  <w:noProof/>
                </w:rPr>
                <w:t>(4), 587-615.</w:t>
              </w:r>
            </w:p>
            <w:p w14:paraId="47BE2E1F" w14:textId="77777777" w:rsidR="00E40E29" w:rsidRDefault="00E40E29" w:rsidP="00E40E29">
              <w:pPr>
                <w:pStyle w:val="Bibliography"/>
                <w:ind w:left="720" w:hanging="720"/>
                <w:rPr>
                  <w:noProof/>
                </w:rPr>
              </w:pPr>
              <w:r>
                <w:rPr>
                  <w:noProof/>
                </w:rPr>
                <w:t xml:space="preserve">Malkiel, B. G. (1995). Returns from Investing in Equity Mutual Funds 1971 to 1991. </w:t>
              </w:r>
              <w:r>
                <w:rPr>
                  <w:i/>
                  <w:iCs/>
                  <w:noProof/>
                </w:rPr>
                <w:t>The Journal of Finance, 50</w:t>
              </w:r>
              <w:r>
                <w:rPr>
                  <w:noProof/>
                </w:rPr>
                <w:t>, 549-572.</w:t>
              </w:r>
            </w:p>
            <w:p w14:paraId="65FC2D9C" w14:textId="77777777" w:rsidR="00E40E29" w:rsidRDefault="00E40E29" w:rsidP="00E40E29">
              <w:pPr>
                <w:pStyle w:val="Bibliography"/>
                <w:ind w:left="720" w:hanging="720"/>
                <w:rPr>
                  <w:noProof/>
                </w:rPr>
              </w:pPr>
              <w:r>
                <w:rPr>
                  <w:noProof/>
                </w:rPr>
                <w:t xml:space="preserve">Otten, R. R., &amp; Bams, W. F. (2002). European Mutual Fund Performance. </w:t>
              </w:r>
              <w:r>
                <w:rPr>
                  <w:i/>
                  <w:iCs/>
                  <w:noProof/>
                </w:rPr>
                <w:t>European Financial Management, 8</w:t>
              </w:r>
              <w:r>
                <w:rPr>
                  <w:noProof/>
                </w:rPr>
                <w:t>(1), 75-101.</w:t>
              </w:r>
            </w:p>
            <w:p w14:paraId="166E9C0E" w14:textId="77777777" w:rsidR="00E40E29" w:rsidRDefault="00E40E29" w:rsidP="00E40E29">
              <w:pPr>
                <w:pStyle w:val="Bibliography"/>
                <w:ind w:left="720" w:hanging="720"/>
                <w:rPr>
                  <w:noProof/>
                </w:rPr>
              </w:pPr>
              <w:r>
                <w:rPr>
                  <w:noProof/>
                </w:rPr>
                <w:t xml:space="preserve">Otten, R. R., &amp; Bams, W. F. (2004). How to Measure Mutual Fund Performance: Economic versus Statistical Relevance. </w:t>
              </w:r>
              <w:r>
                <w:rPr>
                  <w:i/>
                  <w:iCs/>
                  <w:noProof/>
                </w:rPr>
                <w:t>Accounting and Finance, 44</w:t>
              </w:r>
              <w:r>
                <w:rPr>
                  <w:noProof/>
                </w:rPr>
                <w:t>, 203-222.</w:t>
              </w:r>
            </w:p>
            <w:p w14:paraId="2C658B85" w14:textId="77777777" w:rsidR="00E40E29" w:rsidRDefault="00E40E29" w:rsidP="00E40E29">
              <w:pPr>
                <w:pStyle w:val="Bibliography"/>
                <w:ind w:left="720" w:hanging="720"/>
                <w:rPr>
                  <w:noProof/>
                </w:rPr>
              </w:pPr>
              <w:r>
                <w:rPr>
                  <w:noProof/>
                </w:rPr>
                <w:t xml:space="preserve">Schwarz, G. (1978). Estimating the Dimension of a Model. </w:t>
              </w:r>
              <w:r>
                <w:rPr>
                  <w:i/>
                  <w:iCs/>
                  <w:noProof/>
                </w:rPr>
                <w:t>Ann. Statist., 6</w:t>
              </w:r>
              <w:r>
                <w:rPr>
                  <w:noProof/>
                </w:rPr>
                <w:t>(2), 461-464.</w:t>
              </w:r>
            </w:p>
            <w:p w14:paraId="4EA63D44" w14:textId="77777777" w:rsidR="00E40E29" w:rsidRDefault="00E40E29" w:rsidP="00E40E29">
              <w:pPr>
                <w:pStyle w:val="Bibliography"/>
                <w:ind w:left="720" w:hanging="720"/>
                <w:rPr>
                  <w:noProof/>
                </w:rPr>
              </w:pPr>
              <w:r>
                <w:rPr>
                  <w:noProof/>
                </w:rPr>
                <w:t xml:space="preserve">Sharpe, W. (1964). Capital Asset Prices: A Theory of Market Equilibrium Under Conditions of Risk. </w:t>
              </w:r>
              <w:r>
                <w:rPr>
                  <w:i/>
                  <w:iCs/>
                  <w:noProof/>
                </w:rPr>
                <w:t>The Journal of Finance, 19</w:t>
              </w:r>
              <w:r>
                <w:rPr>
                  <w:noProof/>
                </w:rPr>
                <w:t>(3), 425-442.</w:t>
              </w:r>
            </w:p>
            <w:p w14:paraId="5A892C46" w14:textId="77777777" w:rsidR="00E40E29" w:rsidRDefault="00E40E29" w:rsidP="00E40E29">
              <w:pPr>
                <w:pStyle w:val="Bibliography"/>
                <w:ind w:left="720" w:hanging="720"/>
                <w:rPr>
                  <w:noProof/>
                </w:rPr>
              </w:pPr>
              <w:r>
                <w:rPr>
                  <w:i/>
                  <w:iCs/>
                  <w:noProof/>
                </w:rPr>
                <w:t>Statista: Global Assets Under Management 2002-2017</w:t>
              </w:r>
              <w:r>
                <w:rPr>
                  <w:noProof/>
                </w:rPr>
                <w:t>. (2018). Retrieved from Statista: https://www.statista.com/statistics/323928/global-assets-under-management/</w:t>
              </w:r>
            </w:p>
            <w:p w14:paraId="476BC575" w14:textId="0EABAC1F" w:rsidR="00280590" w:rsidRDefault="00F35E89" w:rsidP="00E40E29">
              <w:r>
                <w:rPr>
                  <w:b/>
                  <w:bCs/>
                  <w:noProof/>
                </w:rPr>
                <w:fldChar w:fldCharType="end"/>
              </w:r>
            </w:p>
          </w:sdtContent>
        </w:sdt>
      </w:sdtContent>
    </w:sdt>
    <w:p w14:paraId="3BF77DDC" w14:textId="77777777" w:rsidR="00280590" w:rsidRPr="00280590" w:rsidRDefault="00280590" w:rsidP="00280590">
      <w:pPr>
        <w:jc w:val="both"/>
        <w:rPr>
          <w:rFonts w:ascii="Times New Roman" w:hAnsi="Times New Roman" w:cs="Times New Roman"/>
          <w:sz w:val="22"/>
          <w:szCs w:val="22"/>
        </w:rPr>
      </w:pPr>
    </w:p>
    <w:sectPr w:rsidR="00280590" w:rsidRPr="00280590" w:rsidSect="00D03379">
      <w:footerReference w:type="even" r:id="rId8"/>
      <w:footerReference w:type="default" r:id="rId9"/>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FC748" w14:textId="77777777" w:rsidR="00F35E89" w:rsidRDefault="00F35E89">
      <w:r>
        <w:separator/>
      </w:r>
    </w:p>
  </w:endnote>
  <w:endnote w:type="continuationSeparator" w:id="0">
    <w:p w14:paraId="763653B8" w14:textId="77777777" w:rsidR="00F35E89" w:rsidRDefault="00F3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30255028"/>
      <w:docPartObj>
        <w:docPartGallery w:val="Page Numbers (Bottom of Page)"/>
        <w:docPartUnique/>
      </w:docPartObj>
    </w:sdtPr>
    <w:sdtEndPr>
      <w:rPr>
        <w:rStyle w:val="PageNumber"/>
      </w:rPr>
    </w:sdtEndPr>
    <w:sdtContent>
      <w:p w14:paraId="38989329" w14:textId="034C7807" w:rsidR="002B71CA" w:rsidRDefault="00F35E89" w:rsidP="00802A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29D9E2" w14:textId="77777777" w:rsidR="002B71CA" w:rsidRDefault="002B71CA" w:rsidP="00313F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95015184"/>
      <w:docPartObj>
        <w:docPartGallery w:val="Page Numbers (Bottom of Page)"/>
        <w:docPartUnique/>
      </w:docPartObj>
    </w:sdtPr>
    <w:sdtEndPr>
      <w:rPr>
        <w:rStyle w:val="PageNumber"/>
      </w:rPr>
    </w:sdtEndPr>
    <w:sdtContent>
      <w:p w14:paraId="37F8293A" w14:textId="154109E8" w:rsidR="002B71CA" w:rsidRDefault="00F35E89" w:rsidP="00802A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3234">
          <w:rPr>
            <w:rStyle w:val="PageNumber"/>
            <w:noProof/>
          </w:rPr>
          <w:t>2</w:t>
        </w:r>
        <w:r>
          <w:rPr>
            <w:rStyle w:val="PageNumber"/>
          </w:rPr>
          <w:fldChar w:fldCharType="end"/>
        </w:r>
      </w:p>
    </w:sdtContent>
  </w:sdt>
  <w:p w14:paraId="559E60E6" w14:textId="77777777" w:rsidR="002B71CA" w:rsidRDefault="002B71CA" w:rsidP="00313F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21A93" w14:textId="77777777" w:rsidR="00F35E89" w:rsidRDefault="00F35E89" w:rsidP="00902519">
      <w:r>
        <w:separator/>
      </w:r>
    </w:p>
  </w:footnote>
  <w:footnote w:type="continuationSeparator" w:id="0">
    <w:p w14:paraId="27A1E9FF" w14:textId="77777777" w:rsidR="00F35E89" w:rsidRDefault="00F35E89" w:rsidP="00902519">
      <w:r>
        <w:continuationSeparator/>
      </w:r>
    </w:p>
  </w:footnote>
  <w:footnote w:id="1">
    <w:p w14:paraId="33AE8B77" w14:textId="43C7D18E" w:rsidR="002B71CA" w:rsidRPr="008C5674" w:rsidRDefault="00F35E89">
      <w:pPr>
        <w:pStyle w:val="FootnoteText"/>
      </w:pPr>
      <w:r>
        <w:rPr>
          <w:rStyle w:val="FootnoteReference"/>
        </w:rPr>
        <w:footnoteRef/>
      </w:r>
      <w:r>
        <w:t xml:space="preserve"> </w:t>
      </w:r>
      <w:sdt>
        <w:sdtPr>
          <w:id w:val="-1513209099"/>
          <w:citation/>
        </w:sdtPr>
        <w:sdtEndPr/>
        <w:sdtContent>
          <w:r>
            <w:fldChar w:fldCharType="begin"/>
          </w:r>
          <w:r>
            <w:instrText xml:space="preserve">CITATION Statista \l 1031 </w:instrText>
          </w:r>
          <w:r>
            <w:fldChar w:fldCharType="separate"/>
          </w:r>
          <w:r w:rsidRPr="008C5674">
            <w:rPr>
              <w:noProof/>
            </w:rPr>
            <w:t>(Statista: Global Assets Under Management 2002-2017, 2018)</w:t>
          </w:r>
          <w:r>
            <w:fldChar w:fldCharType="end"/>
          </w:r>
        </w:sdtContent>
      </w:sdt>
      <w:r>
        <w:t xml:space="preserve">, </w:t>
      </w:r>
      <w:sdt>
        <w:sdtPr>
          <w:id w:val="-9068735"/>
          <w:citation/>
        </w:sdtPr>
        <w:sdtEndPr/>
        <w:sdtContent>
          <w:r>
            <w:fldChar w:fldCharType="begin"/>
          </w:r>
          <w:r>
            <w:instrText xml:space="preserve">CITATION IMF \l 1031 </w:instrText>
          </w:r>
          <w:r>
            <w:fldChar w:fldCharType="separate"/>
          </w:r>
          <w:r w:rsidRPr="008C5674">
            <w:rPr>
              <w:noProof/>
            </w:rPr>
            <w:t>(IMF: World Economic Outlook (April, 2019) - GDP, Current Prices, 2019)</w:t>
          </w:r>
          <w:r>
            <w:fldChar w:fldCharType="end"/>
          </w:r>
        </w:sdtContent>
      </w:sdt>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23EF2"/>
    <w:multiLevelType w:val="hybridMultilevel"/>
    <w:tmpl w:val="5F6ADF04"/>
    <w:lvl w:ilvl="0" w:tplc="1C80A018">
      <w:start w:val="1"/>
      <w:numFmt w:val="decimal"/>
      <w:lvlText w:val="%1."/>
      <w:lvlJc w:val="left"/>
      <w:pPr>
        <w:ind w:left="720" w:hanging="360"/>
      </w:pPr>
      <w:rPr>
        <w:rFonts w:hint="default"/>
      </w:rPr>
    </w:lvl>
    <w:lvl w:ilvl="1" w:tplc="2AF094A0" w:tentative="1">
      <w:start w:val="1"/>
      <w:numFmt w:val="lowerLetter"/>
      <w:lvlText w:val="%2."/>
      <w:lvlJc w:val="left"/>
      <w:pPr>
        <w:ind w:left="1440" w:hanging="360"/>
      </w:pPr>
    </w:lvl>
    <w:lvl w:ilvl="2" w:tplc="5346061C" w:tentative="1">
      <w:start w:val="1"/>
      <w:numFmt w:val="lowerRoman"/>
      <w:lvlText w:val="%3."/>
      <w:lvlJc w:val="right"/>
      <w:pPr>
        <w:ind w:left="2160" w:hanging="180"/>
      </w:pPr>
    </w:lvl>
    <w:lvl w:ilvl="3" w:tplc="DD1C3AC8" w:tentative="1">
      <w:start w:val="1"/>
      <w:numFmt w:val="decimal"/>
      <w:lvlText w:val="%4."/>
      <w:lvlJc w:val="left"/>
      <w:pPr>
        <w:ind w:left="2880" w:hanging="360"/>
      </w:pPr>
    </w:lvl>
    <w:lvl w:ilvl="4" w:tplc="60FACEDE" w:tentative="1">
      <w:start w:val="1"/>
      <w:numFmt w:val="lowerLetter"/>
      <w:lvlText w:val="%5."/>
      <w:lvlJc w:val="left"/>
      <w:pPr>
        <w:ind w:left="3600" w:hanging="360"/>
      </w:pPr>
    </w:lvl>
    <w:lvl w:ilvl="5" w:tplc="93D8634A" w:tentative="1">
      <w:start w:val="1"/>
      <w:numFmt w:val="lowerRoman"/>
      <w:lvlText w:val="%6."/>
      <w:lvlJc w:val="right"/>
      <w:pPr>
        <w:ind w:left="4320" w:hanging="180"/>
      </w:pPr>
    </w:lvl>
    <w:lvl w:ilvl="6" w:tplc="8B78EF48" w:tentative="1">
      <w:start w:val="1"/>
      <w:numFmt w:val="decimal"/>
      <w:lvlText w:val="%7."/>
      <w:lvlJc w:val="left"/>
      <w:pPr>
        <w:ind w:left="5040" w:hanging="360"/>
      </w:pPr>
    </w:lvl>
    <w:lvl w:ilvl="7" w:tplc="4DD4301C" w:tentative="1">
      <w:start w:val="1"/>
      <w:numFmt w:val="lowerLetter"/>
      <w:lvlText w:val="%8."/>
      <w:lvlJc w:val="left"/>
      <w:pPr>
        <w:ind w:left="5760" w:hanging="360"/>
      </w:pPr>
    </w:lvl>
    <w:lvl w:ilvl="8" w:tplc="2E6E7BC0" w:tentative="1">
      <w:start w:val="1"/>
      <w:numFmt w:val="lowerRoman"/>
      <w:lvlText w:val="%9."/>
      <w:lvlJc w:val="right"/>
      <w:pPr>
        <w:ind w:left="6480" w:hanging="180"/>
      </w:pPr>
    </w:lvl>
  </w:abstractNum>
  <w:abstractNum w:abstractNumId="1" w15:restartNumberingAfterBreak="0">
    <w:nsid w:val="4F011FC3"/>
    <w:multiLevelType w:val="hybridMultilevel"/>
    <w:tmpl w:val="8466A5AC"/>
    <w:lvl w:ilvl="0" w:tplc="6166DFBA">
      <w:start w:val="1"/>
      <w:numFmt w:val="decimal"/>
      <w:lvlText w:val="%1."/>
      <w:lvlJc w:val="left"/>
      <w:pPr>
        <w:ind w:left="720" w:hanging="360"/>
      </w:pPr>
      <w:rPr>
        <w:rFonts w:hint="default"/>
      </w:rPr>
    </w:lvl>
    <w:lvl w:ilvl="1" w:tplc="6352A510" w:tentative="1">
      <w:start w:val="1"/>
      <w:numFmt w:val="lowerLetter"/>
      <w:lvlText w:val="%2."/>
      <w:lvlJc w:val="left"/>
      <w:pPr>
        <w:ind w:left="1440" w:hanging="360"/>
      </w:pPr>
    </w:lvl>
    <w:lvl w:ilvl="2" w:tplc="D4F66C9A" w:tentative="1">
      <w:start w:val="1"/>
      <w:numFmt w:val="lowerRoman"/>
      <w:lvlText w:val="%3."/>
      <w:lvlJc w:val="right"/>
      <w:pPr>
        <w:ind w:left="2160" w:hanging="180"/>
      </w:pPr>
    </w:lvl>
    <w:lvl w:ilvl="3" w:tplc="CE74D2F8" w:tentative="1">
      <w:start w:val="1"/>
      <w:numFmt w:val="decimal"/>
      <w:lvlText w:val="%4."/>
      <w:lvlJc w:val="left"/>
      <w:pPr>
        <w:ind w:left="2880" w:hanging="360"/>
      </w:pPr>
    </w:lvl>
    <w:lvl w:ilvl="4" w:tplc="F2DEAF30" w:tentative="1">
      <w:start w:val="1"/>
      <w:numFmt w:val="lowerLetter"/>
      <w:lvlText w:val="%5."/>
      <w:lvlJc w:val="left"/>
      <w:pPr>
        <w:ind w:left="3600" w:hanging="360"/>
      </w:pPr>
    </w:lvl>
    <w:lvl w:ilvl="5" w:tplc="75A80F1C" w:tentative="1">
      <w:start w:val="1"/>
      <w:numFmt w:val="lowerRoman"/>
      <w:lvlText w:val="%6."/>
      <w:lvlJc w:val="right"/>
      <w:pPr>
        <w:ind w:left="4320" w:hanging="180"/>
      </w:pPr>
    </w:lvl>
    <w:lvl w:ilvl="6" w:tplc="E9867380" w:tentative="1">
      <w:start w:val="1"/>
      <w:numFmt w:val="decimal"/>
      <w:lvlText w:val="%7."/>
      <w:lvlJc w:val="left"/>
      <w:pPr>
        <w:ind w:left="5040" w:hanging="360"/>
      </w:pPr>
    </w:lvl>
    <w:lvl w:ilvl="7" w:tplc="6018FD84" w:tentative="1">
      <w:start w:val="1"/>
      <w:numFmt w:val="lowerLetter"/>
      <w:lvlText w:val="%8."/>
      <w:lvlJc w:val="left"/>
      <w:pPr>
        <w:ind w:left="5760" w:hanging="360"/>
      </w:pPr>
    </w:lvl>
    <w:lvl w:ilvl="8" w:tplc="77463E86" w:tentative="1">
      <w:start w:val="1"/>
      <w:numFmt w:val="lowerRoman"/>
      <w:lvlText w:val="%9."/>
      <w:lvlJc w:val="right"/>
      <w:pPr>
        <w:ind w:left="6480" w:hanging="180"/>
      </w:pPr>
    </w:lvl>
  </w:abstractNum>
  <w:abstractNum w:abstractNumId="2" w15:restartNumberingAfterBreak="0">
    <w:nsid w:val="56B93D29"/>
    <w:multiLevelType w:val="hybridMultilevel"/>
    <w:tmpl w:val="19D0B342"/>
    <w:lvl w:ilvl="0" w:tplc="47C0282E">
      <w:start w:val="1"/>
      <w:numFmt w:val="decimal"/>
      <w:lvlText w:val="%1."/>
      <w:lvlJc w:val="left"/>
      <w:pPr>
        <w:ind w:left="720" w:hanging="360"/>
      </w:pPr>
      <w:rPr>
        <w:rFonts w:hint="default"/>
      </w:rPr>
    </w:lvl>
    <w:lvl w:ilvl="1" w:tplc="E270641C" w:tentative="1">
      <w:start w:val="1"/>
      <w:numFmt w:val="lowerLetter"/>
      <w:lvlText w:val="%2."/>
      <w:lvlJc w:val="left"/>
      <w:pPr>
        <w:ind w:left="1440" w:hanging="360"/>
      </w:pPr>
    </w:lvl>
    <w:lvl w:ilvl="2" w:tplc="1F0C9790" w:tentative="1">
      <w:start w:val="1"/>
      <w:numFmt w:val="lowerRoman"/>
      <w:lvlText w:val="%3."/>
      <w:lvlJc w:val="right"/>
      <w:pPr>
        <w:ind w:left="2160" w:hanging="180"/>
      </w:pPr>
    </w:lvl>
    <w:lvl w:ilvl="3" w:tplc="1908B00A" w:tentative="1">
      <w:start w:val="1"/>
      <w:numFmt w:val="decimal"/>
      <w:lvlText w:val="%4."/>
      <w:lvlJc w:val="left"/>
      <w:pPr>
        <w:ind w:left="2880" w:hanging="360"/>
      </w:pPr>
    </w:lvl>
    <w:lvl w:ilvl="4" w:tplc="DDF0BF20" w:tentative="1">
      <w:start w:val="1"/>
      <w:numFmt w:val="lowerLetter"/>
      <w:lvlText w:val="%5."/>
      <w:lvlJc w:val="left"/>
      <w:pPr>
        <w:ind w:left="3600" w:hanging="360"/>
      </w:pPr>
    </w:lvl>
    <w:lvl w:ilvl="5" w:tplc="BE065DC2" w:tentative="1">
      <w:start w:val="1"/>
      <w:numFmt w:val="lowerRoman"/>
      <w:lvlText w:val="%6."/>
      <w:lvlJc w:val="right"/>
      <w:pPr>
        <w:ind w:left="4320" w:hanging="180"/>
      </w:pPr>
    </w:lvl>
    <w:lvl w:ilvl="6" w:tplc="43520630" w:tentative="1">
      <w:start w:val="1"/>
      <w:numFmt w:val="decimal"/>
      <w:lvlText w:val="%7."/>
      <w:lvlJc w:val="left"/>
      <w:pPr>
        <w:ind w:left="5040" w:hanging="360"/>
      </w:pPr>
    </w:lvl>
    <w:lvl w:ilvl="7" w:tplc="B3323976" w:tentative="1">
      <w:start w:val="1"/>
      <w:numFmt w:val="lowerLetter"/>
      <w:lvlText w:val="%8."/>
      <w:lvlJc w:val="left"/>
      <w:pPr>
        <w:ind w:left="5760" w:hanging="360"/>
      </w:pPr>
    </w:lvl>
    <w:lvl w:ilvl="8" w:tplc="DEAE77D6" w:tentative="1">
      <w:start w:val="1"/>
      <w:numFmt w:val="lowerRoman"/>
      <w:lvlText w:val="%9."/>
      <w:lvlJc w:val="right"/>
      <w:pPr>
        <w:ind w:left="6480" w:hanging="180"/>
      </w:pPr>
    </w:lvl>
  </w:abstractNum>
  <w:abstractNum w:abstractNumId="3" w15:restartNumberingAfterBreak="0">
    <w:nsid w:val="7D3A7704"/>
    <w:multiLevelType w:val="hybridMultilevel"/>
    <w:tmpl w:val="EBCCA432"/>
    <w:lvl w:ilvl="0" w:tplc="464ADD80">
      <w:start w:val="1"/>
      <w:numFmt w:val="decimal"/>
      <w:lvlText w:val="%1."/>
      <w:lvlJc w:val="left"/>
      <w:pPr>
        <w:ind w:left="720" w:hanging="360"/>
      </w:pPr>
      <w:rPr>
        <w:rFonts w:hint="default"/>
      </w:rPr>
    </w:lvl>
    <w:lvl w:ilvl="1" w:tplc="31E6A5F4" w:tentative="1">
      <w:start w:val="1"/>
      <w:numFmt w:val="lowerLetter"/>
      <w:lvlText w:val="%2."/>
      <w:lvlJc w:val="left"/>
      <w:pPr>
        <w:ind w:left="1440" w:hanging="360"/>
      </w:pPr>
    </w:lvl>
    <w:lvl w:ilvl="2" w:tplc="0EC60688" w:tentative="1">
      <w:start w:val="1"/>
      <w:numFmt w:val="lowerRoman"/>
      <w:lvlText w:val="%3."/>
      <w:lvlJc w:val="right"/>
      <w:pPr>
        <w:ind w:left="2160" w:hanging="180"/>
      </w:pPr>
    </w:lvl>
    <w:lvl w:ilvl="3" w:tplc="DE587428" w:tentative="1">
      <w:start w:val="1"/>
      <w:numFmt w:val="decimal"/>
      <w:lvlText w:val="%4."/>
      <w:lvlJc w:val="left"/>
      <w:pPr>
        <w:ind w:left="2880" w:hanging="360"/>
      </w:pPr>
    </w:lvl>
    <w:lvl w:ilvl="4" w:tplc="8EE220DC" w:tentative="1">
      <w:start w:val="1"/>
      <w:numFmt w:val="lowerLetter"/>
      <w:lvlText w:val="%5."/>
      <w:lvlJc w:val="left"/>
      <w:pPr>
        <w:ind w:left="3600" w:hanging="360"/>
      </w:pPr>
    </w:lvl>
    <w:lvl w:ilvl="5" w:tplc="EB54BE44" w:tentative="1">
      <w:start w:val="1"/>
      <w:numFmt w:val="lowerRoman"/>
      <w:lvlText w:val="%6."/>
      <w:lvlJc w:val="right"/>
      <w:pPr>
        <w:ind w:left="4320" w:hanging="180"/>
      </w:pPr>
    </w:lvl>
    <w:lvl w:ilvl="6" w:tplc="E7F662F4" w:tentative="1">
      <w:start w:val="1"/>
      <w:numFmt w:val="decimal"/>
      <w:lvlText w:val="%7."/>
      <w:lvlJc w:val="left"/>
      <w:pPr>
        <w:ind w:left="5040" w:hanging="360"/>
      </w:pPr>
    </w:lvl>
    <w:lvl w:ilvl="7" w:tplc="9B36F692" w:tentative="1">
      <w:start w:val="1"/>
      <w:numFmt w:val="lowerLetter"/>
      <w:lvlText w:val="%8."/>
      <w:lvlJc w:val="left"/>
      <w:pPr>
        <w:ind w:left="5760" w:hanging="360"/>
      </w:pPr>
    </w:lvl>
    <w:lvl w:ilvl="8" w:tplc="FAD2D196"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FF"/>
    <w:rsid w:val="00001951"/>
    <w:rsid w:val="00004266"/>
    <w:rsid w:val="00007757"/>
    <w:rsid w:val="00011279"/>
    <w:rsid w:val="00031359"/>
    <w:rsid w:val="00034485"/>
    <w:rsid w:val="0003749C"/>
    <w:rsid w:val="00040782"/>
    <w:rsid w:val="00042A50"/>
    <w:rsid w:val="00044E88"/>
    <w:rsid w:val="00055F47"/>
    <w:rsid w:val="00057EA0"/>
    <w:rsid w:val="00084E79"/>
    <w:rsid w:val="00093E75"/>
    <w:rsid w:val="000B03B2"/>
    <w:rsid w:val="000C1B58"/>
    <w:rsid w:val="000C587D"/>
    <w:rsid w:val="000C7661"/>
    <w:rsid w:val="000D3D10"/>
    <w:rsid w:val="000E3950"/>
    <w:rsid w:val="000E3FF3"/>
    <w:rsid w:val="000F02C9"/>
    <w:rsid w:val="000F1CE5"/>
    <w:rsid w:val="000F30D8"/>
    <w:rsid w:val="000F3651"/>
    <w:rsid w:val="000F5DF4"/>
    <w:rsid w:val="000F5E11"/>
    <w:rsid w:val="000F6548"/>
    <w:rsid w:val="0010623A"/>
    <w:rsid w:val="001077FF"/>
    <w:rsid w:val="00112D5E"/>
    <w:rsid w:val="00116EA9"/>
    <w:rsid w:val="0012402A"/>
    <w:rsid w:val="001240CC"/>
    <w:rsid w:val="00130910"/>
    <w:rsid w:val="001325B1"/>
    <w:rsid w:val="00134583"/>
    <w:rsid w:val="00140C19"/>
    <w:rsid w:val="0014293B"/>
    <w:rsid w:val="00145CA6"/>
    <w:rsid w:val="00152BE3"/>
    <w:rsid w:val="00154DB0"/>
    <w:rsid w:val="001568D6"/>
    <w:rsid w:val="00166252"/>
    <w:rsid w:val="001742F0"/>
    <w:rsid w:val="001747BE"/>
    <w:rsid w:val="001759D7"/>
    <w:rsid w:val="00181135"/>
    <w:rsid w:val="00183DA2"/>
    <w:rsid w:val="0019214F"/>
    <w:rsid w:val="001937D9"/>
    <w:rsid w:val="00193E2A"/>
    <w:rsid w:val="00195567"/>
    <w:rsid w:val="001A2BCB"/>
    <w:rsid w:val="001A38C8"/>
    <w:rsid w:val="001B3F55"/>
    <w:rsid w:val="001F0394"/>
    <w:rsid w:val="001F5BED"/>
    <w:rsid w:val="001F6637"/>
    <w:rsid w:val="00204A5E"/>
    <w:rsid w:val="0020519C"/>
    <w:rsid w:val="00206EFA"/>
    <w:rsid w:val="00211942"/>
    <w:rsid w:val="00212A8B"/>
    <w:rsid w:val="002171ED"/>
    <w:rsid w:val="00224CEC"/>
    <w:rsid w:val="00224D61"/>
    <w:rsid w:val="00224E8A"/>
    <w:rsid w:val="002332E2"/>
    <w:rsid w:val="0023626B"/>
    <w:rsid w:val="00240164"/>
    <w:rsid w:val="00243C19"/>
    <w:rsid w:val="00247058"/>
    <w:rsid w:val="002473AC"/>
    <w:rsid w:val="00254DDD"/>
    <w:rsid w:val="00254F7E"/>
    <w:rsid w:val="002565C8"/>
    <w:rsid w:val="00266AA7"/>
    <w:rsid w:val="00267FF7"/>
    <w:rsid w:val="00271D37"/>
    <w:rsid w:val="00273919"/>
    <w:rsid w:val="0027558C"/>
    <w:rsid w:val="00280590"/>
    <w:rsid w:val="00283889"/>
    <w:rsid w:val="002855A5"/>
    <w:rsid w:val="0029696E"/>
    <w:rsid w:val="002A1300"/>
    <w:rsid w:val="002A3E08"/>
    <w:rsid w:val="002A444D"/>
    <w:rsid w:val="002A66C9"/>
    <w:rsid w:val="002A6B03"/>
    <w:rsid w:val="002B71CA"/>
    <w:rsid w:val="002C0051"/>
    <w:rsid w:val="002C106B"/>
    <w:rsid w:val="002C198F"/>
    <w:rsid w:val="002D2BB6"/>
    <w:rsid w:val="002D57E6"/>
    <w:rsid w:val="002E03BF"/>
    <w:rsid w:val="002E0D57"/>
    <w:rsid w:val="002E4CD7"/>
    <w:rsid w:val="002E4DA3"/>
    <w:rsid w:val="002E5434"/>
    <w:rsid w:val="002E55B7"/>
    <w:rsid w:val="002F4A0F"/>
    <w:rsid w:val="002F4B93"/>
    <w:rsid w:val="00301560"/>
    <w:rsid w:val="0030638C"/>
    <w:rsid w:val="00311A1F"/>
    <w:rsid w:val="0031362D"/>
    <w:rsid w:val="00313FF9"/>
    <w:rsid w:val="00314B51"/>
    <w:rsid w:val="0031591A"/>
    <w:rsid w:val="003317C2"/>
    <w:rsid w:val="00343D93"/>
    <w:rsid w:val="00344FD1"/>
    <w:rsid w:val="003468E5"/>
    <w:rsid w:val="003478B4"/>
    <w:rsid w:val="00350E61"/>
    <w:rsid w:val="00353335"/>
    <w:rsid w:val="00355435"/>
    <w:rsid w:val="00360623"/>
    <w:rsid w:val="00365F63"/>
    <w:rsid w:val="003700D0"/>
    <w:rsid w:val="003737D4"/>
    <w:rsid w:val="00395699"/>
    <w:rsid w:val="003B1B1A"/>
    <w:rsid w:val="003B2D82"/>
    <w:rsid w:val="003B778B"/>
    <w:rsid w:val="003C07CC"/>
    <w:rsid w:val="003C5759"/>
    <w:rsid w:val="003C584F"/>
    <w:rsid w:val="003C744D"/>
    <w:rsid w:val="003D1FA8"/>
    <w:rsid w:val="003D232B"/>
    <w:rsid w:val="003E16B4"/>
    <w:rsid w:val="00405EC5"/>
    <w:rsid w:val="00407280"/>
    <w:rsid w:val="00411928"/>
    <w:rsid w:val="0041365C"/>
    <w:rsid w:val="00416BFB"/>
    <w:rsid w:val="00424564"/>
    <w:rsid w:val="004248C0"/>
    <w:rsid w:val="00432936"/>
    <w:rsid w:val="004428BE"/>
    <w:rsid w:val="00450869"/>
    <w:rsid w:val="00453421"/>
    <w:rsid w:val="004542E8"/>
    <w:rsid w:val="00456B7A"/>
    <w:rsid w:val="004616B2"/>
    <w:rsid w:val="004624AF"/>
    <w:rsid w:val="0047040E"/>
    <w:rsid w:val="00471131"/>
    <w:rsid w:val="0047421D"/>
    <w:rsid w:val="00476061"/>
    <w:rsid w:val="00481782"/>
    <w:rsid w:val="00486D81"/>
    <w:rsid w:val="00497C6A"/>
    <w:rsid w:val="004B4E44"/>
    <w:rsid w:val="004B4F91"/>
    <w:rsid w:val="004B7AF9"/>
    <w:rsid w:val="004C07E0"/>
    <w:rsid w:val="004C70FC"/>
    <w:rsid w:val="004D2210"/>
    <w:rsid w:val="004F0402"/>
    <w:rsid w:val="004F4FC4"/>
    <w:rsid w:val="004F4FD0"/>
    <w:rsid w:val="004F6A84"/>
    <w:rsid w:val="005009DF"/>
    <w:rsid w:val="00503B68"/>
    <w:rsid w:val="00520F51"/>
    <w:rsid w:val="0052737B"/>
    <w:rsid w:val="0053417B"/>
    <w:rsid w:val="005353F3"/>
    <w:rsid w:val="0053572B"/>
    <w:rsid w:val="00535BA3"/>
    <w:rsid w:val="005536F9"/>
    <w:rsid w:val="0056205B"/>
    <w:rsid w:val="0056363E"/>
    <w:rsid w:val="005656A4"/>
    <w:rsid w:val="00575ECA"/>
    <w:rsid w:val="00580A01"/>
    <w:rsid w:val="0058656C"/>
    <w:rsid w:val="005A18A3"/>
    <w:rsid w:val="005A4A3F"/>
    <w:rsid w:val="005A4FF9"/>
    <w:rsid w:val="005B3234"/>
    <w:rsid w:val="005B37C2"/>
    <w:rsid w:val="005B583F"/>
    <w:rsid w:val="005B7F0F"/>
    <w:rsid w:val="005E251F"/>
    <w:rsid w:val="005E7D2B"/>
    <w:rsid w:val="006009FE"/>
    <w:rsid w:val="0060101A"/>
    <w:rsid w:val="006025A3"/>
    <w:rsid w:val="006042D0"/>
    <w:rsid w:val="00604AFF"/>
    <w:rsid w:val="00607E2B"/>
    <w:rsid w:val="00616D07"/>
    <w:rsid w:val="00617929"/>
    <w:rsid w:val="006226A4"/>
    <w:rsid w:val="0063095E"/>
    <w:rsid w:val="0063665C"/>
    <w:rsid w:val="006405DD"/>
    <w:rsid w:val="00643EBC"/>
    <w:rsid w:val="00655361"/>
    <w:rsid w:val="00657F06"/>
    <w:rsid w:val="0066404F"/>
    <w:rsid w:val="00671191"/>
    <w:rsid w:val="00677EF8"/>
    <w:rsid w:val="00684DD8"/>
    <w:rsid w:val="00697DA4"/>
    <w:rsid w:val="006A3524"/>
    <w:rsid w:val="006A612D"/>
    <w:rsid w:val="006D0592"/>
    <w:rsid w:val="006D1D3B"/>
    <w:rsid w:val="006D60C8"/>
    <w:rsid w:val="006D7870"/>
    <w:rsid w:val="006D7BC9"/>
    <w:rsid w:val="006E37AC"/>
    <w:rsid w:val="006E3D55"/>
    <w:rsid w:val="006E5583"/>
    <w:rsid w:val="006E64F4"/>
    <w:rsid w:val="006F0E55"/>
    <w:rsid w:val="007041FB"/>
    <w:rsid w:val="00706B40"/>
    <w:rsid w:val="00715E69"/>
    <w:rsid w:val="00717DB4"/>
    <w:rsid w:val="0072108D"/>
    <w:rsid w:val="00744873"/>
    <w:rsid w:val="00747068"/>
    <w:rsid w:val="00751549"/>
    <w:rsid w:val="007530BC"/>
    <w:rsid w:val="00755A9C"/>
    <w:rsid w:val="007603A4"/>
    <w:rsid w:val="0076086C"/>
    <w:rsid w:val="007609B0"/>
    <w:rsid w:val="007667F3"/>
    <w:rsid w:val="007706E3"/>
    <w:rsid w:val="00782AD5"/>
    <w:rsid w:val="007853A8"/>
    <w:rsid w:val="007857FE"/>
    <w:rsid w:val="00785933"/>
    <w:rsid w:val="007865B3"/>
    <w:rsid w:val="00790FC8"/>
    <w:rsid w:val="00792DD4"/>
    <w:rsid w:val="007A3585"/>
    <w:rsid w:val="007A5C4B"/>
    <w:rsid w:val="007B18FC"/>
    <w:rsid w:val="007C463A"/>
    <w:rsid w:val="007D0343"/>
    <w:rsid w:val="007D5961"/>
    <w:rsid w:val="007D7EA0"/>
    <w:rsid w:val="007E093B"/>
    <w:rsid w:val="007E72B4"/>
    <w:rsid w:val="007E7B95"/>
    <w:rsid w:val="007E7FBF"/>
    <w:rsid w:val="007F1D3E"/>
    <w:rsid w:val="007F5F46"/>
    <w:rsid w:val="007F747A"/>
    <w:rsid w:val="00802A8D"/>
    <w:rsid w:val="00810507"/>
    <w:rsid w:val="00811B71"/>
    <w:rsid w:val="00812555"/>
    <w:rsid w:val="008137D6"/>
    <w:rsid w:val="008144BF"/>
    <w:rsid w:val="00816C2B"/>
    <w:rsid w:val="00821D14"/>
    <w:rsid w:val="00821E93"/>
    <w:rsid w:val="00836367"/>
    <w:rsid w:val="008421B0"/>
    <w:rsid w:val="008458FE"/>
    <w:rsid w:val="008507E1"/>
    <w:rsid w:val="00864599"/>
    <w:rsid w:val="008663AD"/>
    <w:rsid w:val="00866EF8"/>
    <w:rsid w:val="00867484"/>
    <w:rsid w:val="00867927"/>
    <w:rsid w:val="00867C92"/>
    <w:rsid w:val="0087548A"/>
    <w:rsid w:val="00877557"/>
    <w:rsid w:val="008816C7"/>
    <w:rsid w:val="008826DE"/>
    <w:rsid w:val="00887252"/>
    <w:rsid w:val="00890910"/>
    <w:rsid w:val="008A1D70"/>
    <w:rsid w:val="008A2D75"/>
    <w:rsid w:val="008A4060"/>
    <w:rsid w:val="008A64E6"/>
    <w:rsid w:val="008A7AFB"/>
    <w:rsid w:val="008B3964"/>
    <w:rsid w:val="008B3EFF"/>
    <w:rsid w:val="008B4E92"/>
    <w:rsid w:val="008C4E81"/>
    <w:rsid w:val="008C5674"/>
    <w:rsid w:val="008C5BA6"/>
    <w:rsid w:val="008D010E"/>
    <w:rsid w:val="008D3BDB"/>
    <w:rsid w:val="008D4FB6"/>
    <w:rsid w:val="008E0E67"/>
    <w:rsid w:val="008E4BE3"/>
    <w:rsid w:val="008E7B9E"/>
    <w:rsid w:val="008F0429"/>
    <w:rsid w:val="009012E3"/>
    <w:rsid w:val="00901642"/>
    <w:rsid w:val="00902519"/>
    <w:rsid w:val="00906DD5"/>
    <w:rsid w:val="00920379"/>
    <w:rsid w:val="009220EE"/>
    <w:rsid w:val="009262A5"/>
    <w:rsid w:val="0093157E"/>
    <w:rsid w:val="00931741"/>
    <w:rsid w:val="009329E1"/>
    <w:rsid w:val="00933CB2"/>
    <w:rsid w:val="00937A50"/>
    <w:rsid w:val="00945750"/>
    <w:rsid w:val="0095004D"/>
    <w:rsid w:val="00951E0A"/>
    <w:rsid w:val="00955249"/>
    <w:rsid w:val="009553C1"/>
    <w:rsid w:val="009571AE"/>
    <w:rsid w:val="00957BA2"/>
    <w:rsid w:val="00962167"/>
    <w:rsid w:val="00963761"/>
    <w:rsid w:val="00965096"/>
    <w:rsid w:val="00965728"/>
    <w:rsid w:val="009722AB"/>
    <w:rsid w:val="00972E38"/>
    <w:rsid w:val="009755AF"/>
    <w:rsid w:val="00977070"/>
    <w:rsid w:val="00993877"/>
    <w:rsid w:val="00994364"/>
    <w:rsid w:val="0099564B"/>
    <w:rsid w:val="009A20BE"/>
    <w:rsid w:val="009A52CC"/>
    <w:rsid w:val="009B0863"/>
    <w:rsid w:val="009B4682"/>
    <w:rsid w:val="009C5AC1"/>
    <w:rsid w:val="009D09DA"/>
    <w:rsid w:val="009D3BD5"/>
    <w:rsid w:val="009E1F81"/>
    <w:rsid w:val="009E5303"/>
    <w:rsid w:val="00A04F07"/>
    <w:rsid w:val="00A104EB"/>
    <w:rsid w:val="00A2010D"/>
    <w:rsid w:val="00A261BE"/>
    <w:rsid w:val="00A3140F"/>
    <w:rsid w:val="00A34DF2"/>
    <w:rsid w:val="00A4679F"/>
    <w:rsid w:val="00A604A5"/>
    <w:rsid w:val="00A622A7"/>
    <w:rsid w:val="00A65544"/>
    <w:rsid w:val="00A70E85"/>
    <w:rsid w:val="00A725B1"/>
    <w:rsid w:val="00A72C27"/>
    <w:rsid w:val="00A85C0F"/>
    <w:rsid w:val="00A9082A"/>
    <w:rsid w:val="00A92C29"/>
    <w:rsid w:val="00AA463A"/>
    <w:rsid w:val="00AB420C"/>
    <w:rsid w:val="00AB6DE6"/>
    <w:rsid w:val="00AD2C8F"/>
    <w:rsid w:val="00AD5280"/>
    <w:rsid w:val="00AE217B"/>
    <w:rsid w:val="00AE7084"/>
    <w:rsid w:val="00AE7085"/>
    <w:rsid w:val="00AE77A9"/>
    <w:rsid w:val="00AF0064"/>
    <w:rsid w:val="00AF2515"/>
    <w:rsid w:val="00B2017D"/>
    <w:rsid w:val="00B23F5E"/>
    <w:rsid w:val="00B31F86"/>
    <w:rsid w:val="00B32FF9"/>
    <w:rsid w:val="00B3338C"/>
    <w:rsid w:val="00B35553"/>
    <w:rsid w:val="00B360F7"/>
    <w:rsid w:val="00B42816"/>
    <w:rsid w:val="00B44E10"/>
    <w:rsid w:val="00B53F6A"/>
    <w:rsid w:val="00B555A4"/>
    <w:rsid w:val="00B64272"/>
    <w:rsid w:val="00B703F4"/>
    <w:rsid w:val="00B70F69"/>
    <w:rsid w:val="00B712D8"/>
    <w:rsid w:val="00B7465D"/>
    <w:rsid w:val="00B756B7"/>
    <w:rsid w:val="00B770C2"/>
    <w:rsid w:val="00B8761A"/>
    <w:rsid w:val="00BB0F51"/>
    <w:rsid w:val="00BB1E35"/>
    <w:rsid w:val="00BB2B17"/>
    <w:rsid w:val="00BC01E5"/>
    <w:rsid w:val="00BC5046"/>
    <w:rsid w:val="00BC7171"/>
    <w:rsid w:val="00BD1097"/>
    <w:rsid w:val="00BD1196"/>
    <w:rsid w:val="00BD30A4"/>
    <w:rsid w:val="00BD4369"/>
    <w:rsid w:val="00BE4E33"/>
    <w:rsid w:val="00BF3D0F"/>
    <w:rsid w:val="00BF3D34"/>
    <w:rsid w:val="00C17B72"/>
    <w:rsid w:val="00C22ABD"/>
    <w:rsid w:val="00C50A0C"/>
    <w:rsid w:val="00C50F92"/>
    <w:rsid w:val="00C57BD8"/>
    <w:rsid w:val="00C664D5"/>
    <w:rsid w:val="00C672A4"/>
    <w:rsid w:val="00C77FC1"/>
    <w:rsid w:val="00C831FD"/>
    <w:rsid w:val="00C95360"/>
    <w:rsid w:val="00C96662"/>
    <w:rsid w:val="00CA526D"/>
    <w:rsid w:val="00CB3AAD"/>
    <w:rsid w:val="00CB42C9"/>
    <w:rsid w:val="00CB77A9"/>
    <w:rsid w:val="00CC7810"/>
    <w:rsid w:val="00CD0091"/>
    <w:rsid w:val="00CE001F"/>
    <w:rsid w:val="00CE6C1D"/>
    <w:rsid w:val="00CF205B"/>
    <w:rsid w:val="00CF2AF1"/>
    <w:rsid w:val="00CF30F4"/>
    <w:rsid w:val="00CF79AB"/>
    <w:rsid w:val="00D031E4"/>
    <w:rsid w:val="00D03379"/>
    <w:rsid w:val="00D059E4"/>
    <w:rsid w:val="00D0731B"/>
    <w:rsid w:val="00D15932"/>
    <w:rsid w:val="00D30584"/>
    <w:rsid w:val="00D34F2C"/>
    <w:rsid w:val="00D37871"/>
    <w:rsid w:val="00D43D51"/>
    <w:rsid w:val="00D5138B"/>
    <w:rsid w:val="00D63C96"/>
    <w:rsid w:val="00D7215F"/>
    <w:rsid w:val="00D731E7"/>
    <w:rsid w:val="00D84271"/>
    <w:rsid w:val="00D8694A"/>
    <w:rsid w:val="00D90CE4"/>
    <w:rsid w:val="00D95713"/>
    <w:rsid w:val="00DA630E"/>
    <w:rsid w:val="00DB141E"/>
    <w:rsid w:val="00DB2CD0"/>
    <w:rsid w:val="00DB76FF"/>
    <w:rsid w:val="00DC2CE0"/>
    <w:rsid w:val="00DD0317"/>
    <w:rsid w:val="00DD1178"/>
    <w:rsid w:val="00DD224F"/>
    <w:rsid w:val="00DE0855"/>
    <w:rsid w:val="00DE3664"/>
    <w:rsid w:val="00DF343C"/>
    <w:rsid w:val="00DF40B3"/>
    <w:rsid w:val="00DF4520"/>
    <w:rsid w:val="00DF62C8"/>
    <w:rsid w:val="00DF63B6"/>
    <w:rsid w:val="00E00216"/>
    <w:rsid w:val="00E16BBE"/>
    <w:rsid w:val="00E3081E"/>
    <w:rsid w:val="00E3093A"/>
    <w:rsid w:val="00E333EC"/>
    <w:rsid w:val="00E33E47"/>
    <w:rsid w:val="00E3458A"/>
    <w:rsid w:val="00E4050D"/>
    <w:rsid w:val="00E40E29"/>
    <w:rsid w:val="00E431DB"/>
    <w:rsid w:val="00E436CC"/>
    <w:rsid w:val="00E46243"/>
    <w:rsid w:val="00E50559"/>
    <w:rsid w:val="00E53916"/>
    <w:rsid w:val="00E543C2"/>
    <w:rsid w:val="00E613EF"/>
    <w:rsid w:val="00E7038F"/>
    <w:rsid w:val="00E70D31"/>
    <w:rsid w:val="00E722BE"/>
    <w:rsid w:val="00E768D3"/>
    <w:rsid w:val="00E7791A"/>
    <w:rsid w:val="00E82381"/>
    <w:rsid w:val="00E83320"/>
    <w:rsid w:val="00E841D5"/>
    <w:rsid w:val="00E9083B"/>
    <w:rsid w:val="00E939BC"/>
    <w:rsid w:val="00E967EF"/>
    <w:rsid w:val="00E96E3B"/>
    <w:rsid w:val="00EA6AA0"/>
    <w:rsid w:val="00EB1A0F"/>
    <w:rsid w:val="00EC3530"/>
    <w:rsid w:val="00EC587E"/>
    <w:rsid w:val="00ED4EEC"/>
    <w:rsid w:val="00EF061E"/>
    <w:rsid w:val="00F00F19"/>
    <w:rsid w:val="00F00FDE"/>
    <w:rsid w:val="00F06298"/>
    <w:rsid w:val="00F2237F"/>
    <w:rsid w:val="00F2264F"/>
    <w:rsid w:val="00F2516E"/>
    <w:rsid w:val="00F26DE5"/>
    <w:rsid w:val="00F34C9E"/>
    <w:rsid w:val="00F35E89"/>
    <w:rsid w:val="00F3699F"/>
    <w:rsid w:val="00F36B80"/>
    <w:rsid w:val="00F400AE"/>
    <w:rsid w:val="00F42451"/>
    <w:rsid w:val="00F47D69"/>
    <w:rsid w:val="00F508D1"/>
    <w:rsid w:val="00F518D7"/>
    <w:rsid w:val="00F55AFB"/>
    <w:rsid w:val="00F65CEC"/>
    <w:rsid w:val="00F743E0"/>
    <w:rsid w:val="00F7457C"/>
    <w:rsid w:val="00F74DCF"/>
    <w:rsid w:val="00F82B17"/>
    <w:rsid w:val="00F83D18"/>
    <w:rsid w:val="00F87388"/>
    <w:rsid w:val="00F9200F"/>
    <w:rsid w:val="00F9243A"/>
    <w:rsid w:val="00F95948"/>
    <w:rsid w:val="00F97E2A"/>
    <w:rsid w:val="00FA6FFF"/>
    <w:rsid w:val="00FB6B90"/>
    <w:rsid w:val="00FC2456"/>
    <w:rsid w:val="00FC4D2E"/>
    <w:rsid w:val="00FD0426"/>
    <w:rsid w:val="00FE0E98"/>
    <w:rsid w:val="00FE5810"/>
    <w:rsid w:val="00FE7060"/>
    <w:rsid w:val="00FF0AF4"/>
    <w:rsid w:val="00FF1B24"/>
    <w:rsid w:val="00FF6749"/>
    <w:rsid w:val="00FF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91CAA-31FF-47D5-8C8F-9DFC2FEB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6FFF"/>
    <w:pPr>
      <w:spacing w:after="0" w:line="240" w:lineRule="auto"/>
    </w:pPr>
    <w:rPr>
      <w:rFonts w:ascii="Calibri" w:eastAsia="Calibri" w:hAnsi="Calibri" w:cs="Calibri"/>
      <w:sz w:val="24"/>
      <w:szCs w:val="24"/>
    </w:rPr>
  </w:style>
  <w:style w:type="paragraph" w:styleId="Heading1">
    <w:name w:val="heading 1"/>
    <w:basedOn w:val="Normal"/>
    <w:next w:val="Normal"/>
    <w:link w:val="Heading1Char"/>
    <w:uiPriority w:val="9"/>
    <w:qFormat/>
    <w:rsid w:val="005A4F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77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13FF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45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02519"/>
    <w:pPr>
      <w:tabs>
        <w:tab w:val="center" w:pos="4680"/>
        <w:tab w:val="right" w:pos="9360"/>
      </w:tabs>
    </w:pPr>
  </w:style>
  <w:style w:type="character" w:customStyle="1" w:styleId="HeaderChar">
    <w:name w:val="Header Char"/>
    <w:basedOn w:val="DefaultParagraphFont"/>
    <w:link w:val="Header"/>
    <w:uiPriority w:val="99"/>
    <w:rsid w:val="00902519"/>
    <w:rPr>
      <w:rFonts w:ascii="Calibri" w:eastAsia="Calibri" w:hAnsi="Calibri" w:cs="Calibri"/>
      <w:sz w:val="24"/>
      <w:szCs w:val="24"/>
    </w:rPr>
  </w:style>
  <w:style w:type="paragraph" w:styleId="Footer">
    <w:name w:val="footer"/>
    <w:basedOn w:val="Normal"/>
    <w:link w:val="FooterChar"/>
    <w:uiPriority w:val="99"/>
    <w:unhideWhenUsed/>
    <w:rsid w:val="00902519"/>
    <w:pPr>
      <w:tabs>
        <w:tab w:val="center" w:pos="4680"/>
        <w:tab w:val="right" w:pos="9360"/>
      </w:tabs>
    </w:pPr>
  </w:style>
  <w:style w:type="character" w:customStyle="1" w:styleId="FooterChar">
    <w:name w:val="Footer Char"/>
    <w:basedOn w:val="DefaultParagraphFont"/>
    <w:link w:val="Footer"/>
    <w:uiPriority w:val="99"/>
    <w:rsid w:val="00902519"/>
    <w:rPr>
      <w:rFonts w:ascii="Calibri" w:eastAsia="Calibri" w:hAnsi="Calibri" w:cs="Calibri"/>
      <w:sz w:val="24"/>
      <w:szCs w:val="24"/>
    </w:rPr>
  </w:style>
  <w:style w:type="character" w:styleId="CommentReference">
    <w:name w:val="annotation reference"/>
    <w:basedOn w:val="DefaultParagraphFont"/>
    <w:uiPriority w:val="99"/>
    <w:semiHidden/>
    <w:unhideWhenUsed/>
    <w:rsid w:val="00A65544"/>
    <w:rPr>
      <w:sz w:val="16"/>
      <w:szCs w:val="16"/>
    </w:rPr>
  </w:style>
  <w:style w:type="paragraph" w:styleId="CommentText">
    <w:name w:val="annotation text"/>
    <w:basedOn w:val="Normal"/>
    <w:link w:val="CommentTextChar"/>
    <w:uiPriority w:val="99"/>
    <w:semiHidden/>
    <w:unhideWhenUsed/>
    <w:rsid w:val="00A6554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65544"/>
    <w:rPr>
      <w:sz w:val="20"/>
      <w:szCs w:val="20"/>
    </w:rPr>
  </w:style>
  <w:style w:type="paragraph" w:styleId="BalloonText">
    <w:name w:val="Balloon Text"/>
    <w:basedOn w:val="Normal"/>
    <w:link w:val="BalloonTextChar"/>
    <w:uiPriority w:val="99"/>
    <w:semiHidden/>
    <w:unhideWhenUsed/>
    <w:rsid w:val="00A655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5544"/>
    <w:rPr>
      <w:rFonts w:ascii="Times New Roman" w:eastAsia="Calibri"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57BD8"/>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C57BD8"/>
    <w:rPr>
      <w:rFonts w:ascii="Calibri" w:eastAsia="Calibri" w:hAnsi="Calibri" w:cs="Calibri"/>
      <w:b/>
      <w:bCs/>
      <w:sz w:val="20"/>
      <w:szCs w:val="20"/>
    </w:rPr>
  </w:style>
  <w:style w:type="character" w:styleId="Hyperlink">
    <w:name w:val="Hyperlink"/>
    <w:basedOn w:val="DefaultParagraphFont"/>
    <w:uiPriority w:val="99"/>
    <w:unhideWhenUsed/>
    <w:rsid w:val="00E9083B"/>
    <w:rPr>
      <w:color w:val="0000FF"/>
      <w:u w:val="single"/>
    </w:rPr>
  </w:style>
  <w:style w:type="table" w:styleId="TableGrid">
    <w:name w:val="Table Grid"/>
    <w:basedOn w:val="TableNormal"/>
    <w:uiPriority w:val="39"/>
    <w:rsid w:val="008D0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5">
    <w:name w:val="List Table 4 Accent 5"/>
    <w:basedOn w:val="TableNormal"/>
    <w:uiPriority w:val="49"/>
    <w:rsid w:val="00D43D5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7Colorful-Accent5">
    <w:name w:val="List Table 7 Colorful Accent 5"/>
    <w:basedOn w:val="TableNormal"/>
    <w:uiPriority w:val="52"/>
    <w:rsid w:val="008A1D70"/>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5">
    <w:name w:val="Grid Table 7 Colorful Accent 5"/>
    <w:basedOn w:val="TableNormal"/>
    <w:uiPriority w:val="52"/>
    <w:rsid w:val="008A1D7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2-Accent1">
    <w:name w:val="List Table 2 Accent 1"/>
    <w:basedOn w:val="TableNormal"/>
    <w:uiPriority w:val="47"/>
    <w:rsid w:val="008A1D70"/>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1">
    <w:name w:val="List Table 6 Colorful Accent 1"/>
    <w:basedOn w:val="TableNormal"/>
    <w:uiPriority w:val="51"/>
    <w:rsid w:val="007706E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5A4FF9"/>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5A4FF9"/>
    <w:rPr>
      <w:rFonts w:eastAsiaTheme="minorEastAsia"/>
      <w:lang w:eastAsia="zh-CN"/>
    </w:rPr>
  </w:style>
  <w:style w:type="character" w:customStyle="1" w:styleId="Heading1Char">
    <w:name w:val="Heading 1 Char"/>
    <w:basedOn w:val="DefaultParagraphFont"/>
    <w:link w:val="Heading1"/>
    <w:uiPriority w:val="9"/>
    <w:rsid w:val="005A4F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778B"/>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FE0E98"/>
    <w:rPr>
      <w:sz w:val="20"/>
      <w:szCs w:val="20"/>
    </w:rPr>
  </w:style>
  <w:style w:type="character" w:customStyle="1" w:styleId="FootnoteTextChar">
    <w:name w:val="Footnote Text Char"/>
    <w:basedOn w:val="DefaultParagraphFont"/>
    <w:link w:val="FootnoteText"/>
    <w:uiPriority w:val="99"/>
    <w:semiHidden/>
    <w:rsid w:val="00FE0E98"/>
    <w:rPr>
      <w:rFonts w:ascii="Calibri" w:eastAsia="Calibri" w:hAnsi="Calibri" w:cs="Calibri"/>
      <w:sz w:val="20"/>
      <w:szCs w:val="20"/>
    </w:rPr>
  </w:style>
  <w:style w:type="character" w:styleId="FootnoteReference">
    <w:name w:val="footnote reference"/>
    <w:basedOn w:val="DefaultParagraphFont"/>
    <w:uiPriority w:val="99"/>
    <w:semiHidden/>
    <w:unhideWhenUsed/>
    <w:rsid w:val="00FE0E98"/>
    <w:rPr>
      <w:vertAlign w:val="superscript"/>
    </w:rPr>
  </w:style>
  <w:style w:type="paragraph" w:styleId="EndnoteText">
    <w:name w:val="endnote text"/>
    <w:basedOn w:val="Normal"/>
    <w:link w:val="EndnoteTextChar"/>
    <w:uiPriority w:val="99"/>
    <w:semiHidden/>
    <w:unhideWhenUsed/>
    <w:rsid w:val="00FE0E98"/>
    <w:rPr>
      <w:sz w:val="20"/>
      <w:szCs w:val="20"/>
    </w:rPr>
  </w:style>
  <w:style w:type="character" w:customStyle="1" w:styleId="EndnoteTextChar">
    <w:name w:val="Endnote Text Char"/>
    <w:basedOn w:val="DefaultParagraphFont"/>
    <w:link w:val="EndnoteText"/>
    <w:uiPriority w:val="99"/>
    <w:semiHidden/>
    <w:rsid w:val="00FE0E98"/>
    <w:rPr>
      <w:rFonts w:ascii="Calibri" w:eastAsia="Calibri" w:hAnsi="Calibri" w:cs="Calibri"/>
      <w:sz w:val="20"/>
      <w:szCs w:val="20"/>
    </w:rPr>
  </w:style>
  <w:style w:type="character" w:styleId="EndnoteReference">
    <w:name w:val="endnote reference"/>
    <w:basedOn w:val="DefaultParagraphFont"/>
    <w:uiPriority w:val="99"/>
    <w:semiHidden/>
    <w:unhideWhenUsed/>
    <w:rsid w:val="00FE0E98"/>
    <w:rPr>
      <w:vertAlign w:val="superscript"/>
    </w:rPr>
  </w:style>
  <w:style w:type="table" w:styleId="GridTable1Light-Accent1">
    <w:name w:val="Grid Table 1 Light Accent 1"/>
    <w:basedOn w:val="TableNormal"/>
    <w:uiPriority w:val="46"/>
    <w:rsid w:val="00E768D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E768D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E543C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Heading">
    <w:name w:val="TOC Heading"/>
    <w:basedOn w:val="Heading1"/>
    <w:next w:val="Normal"/>
    <w:uiPriority w:val="39"/>
    <w:unhideWhenUsed/>
    <w:qFormat/>
    <w:rsid w:val="00266AA7"/>
    <w:pPr>
      <w:spacing w:before="480" w:line="276" w:lineRule="auto"/>
      <w:outlineLvl w:val="9"/>
    </w:pPr>
    <w:rPr>
      <w:b/>
      <w:bCs/>
      <w:sz w:val="28"/>
      <w:szCs w:val="28"/>
    </w:rPr>
  </w:style>
  <w:style w:type="paragraph" w:styleId="TOC1">
    <w:name w:val="toc 1"/>
    <w:basedOn w:val="Normal"/>
    <w:next w:val="Normal"/>
    <w:autoRedefine/>
    <w:uiPriority w:val="39"/>
    <w:unhideWhenUsed/>
    <w:rsid w:val="00266AA7"/>
    <w:pPr>
      <w:spacing w:before="120"/>
    </w:pPr>
    <w:rPr>
      <w:rFonts w:asciiTheme="minorHAnsi" w:hAnsiTheme="minorHAnsi"/>
      <w:b/>
      <w:bCs/>
      <w:i/>
      <w:iCs/>
    </w:rPr>
  </w:style>
  <w:style w:type="paragraph" w:styleId="TOC2">
    <w:name w:val="toc 2"/>
    <w:basedOn w:val="Normal"/>
    <w:next w:val="Normal"/>
    <w:autoRedefine/>
    <w:uiPriority w:val="39"/>
    <w:unhideWhenUsed/>
    <w:rsid w:val="00266AA7"/>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266AA7"/>
    <w:pPr>
      <w:ind w:left="480"/>
    </w:pPr>
    <w:rPr>
      <w:rFonts w:asciiTheme="minorHAnsi" w:hAnsiTheme="minorHAnsi"/>
      <w:sz w:val="20"/>
      <w:szCs w:val="20"/>
    </w:rPr>
  </w:style>
  <w:style w:type="paragraph" w:styleId="TOC4">
    <w:name w:val="toc 4"/>
    <w:basedOn w:val="Normal"/>
    <w:next w:val="Normal"/>
    <w:autoRedefine/>
    <w:uiPriority w:val="39"/>
    <w:semiHidden/>
    <w:unhideWhenUsed/>
    <w:rsid w:val="00266AA7"/>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66AA7"/>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66AA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66AA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66AA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66AA7"/>
    <w:pPr>
      <w:ind w:left="1920"/>
    </w:pPr>
    <w:rPr>
      <w:rFonts w:asciiTheme="minorHAnsi" w:hAnsiTheme="minorHAnsi"/>
      <w:sz w:val="20"/>
      <w:szCs w:val="20"/>
    </w:rPr>
  </w:style>
  <w:style w:type="character" w:styleId="PageNumber">
    <w:name w:val="page number"/>
    <w:basedOn w:val="DefaultParagraphFont"/>
    <w:uiPriority w:val="99"/>
    <w:semiHidden/>
    <w:unhideWhenUsed/>
    <w:rsid w:val="00313FF9"/>
  </w:style>
  <w:style w:type="character" w:customStyle="1" w:styleId="Heading3Char">
    <w:name w:val="Heading 3 Char"/>
    <w:basedOn w:val="DefaultParagraphFont"/>
    <w:link w:val="Heading3"/>
    <w:uiPriority w:val="9"/>
    <w:semiHidden/>
    <w:rsid w:val="00313FF9"/>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7530BC"/>
    <w:rPr>
      <w:color w:val="605E5C"/>
      <w:shd w:val="clear" w:color="auto" w:fill="E1DFDD"/>
    </w:rPr>
  </w:style>
  <w:style w:type="paragraph" w:styleId="Bibliography">
    <w:name w:val="Bibliography"/>
    <w:basedOn w:val="Normal"/>
    <w:next w:val="Normal"/>
    <w:uiPriority w:val="37"/>
    <w:unhideWhenUsed/>
    <w:rsid w:val="00AE217B"/>
  </w:style>
  <w:style w:type="paragraph" w:styleId="ListParagraph">
    <w:name w:val="List Paragraph"/>
    <w:basedOn w:val="Normal"/>
    <w:uiPriority w:val="34"/>
    <w:qFormat/>
    <w:rsid w:val="00B32FF9"/>
    <w:pPr>
      <w:ind w:left="720"/>
      <w:contextualSpacing/>
    </w:pPr>
  </w:style>
  <w:style w:type="character" w:styleId="PlaceholderText">
    <w:name w:val="Placeholder Text"/>
    <w:basedOn w:val="DefaultParagraphFont"/>
    <w:uiPriority w:val="99"/>
    <w:semiHidden/>
    <w:rsid w:val="008872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0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Car97</b:Tag>
    <b:SourceType>JournalArticle</b:SourceType>
    <b:Guid>{35FB328B-5191-E541-985E-35F5F5E61806}</b:Guid>
    <b:Author>
      <b:Author>
        <b:NameList>
          <b:Person>
            <b:Last>Carhart</b:Last>
            <b:First>M.</b:First>
            <b:Middle>M.</b:Middle>
          </b:Person>
        </b:NameList>
      </b:Author>
    </b:Author>
    <b:Title>On Persistance in Mutual Fund Performance</b:Title>
    <b:JournalName>The Journal of Finance</b:JournalName>
    <b:Year>1997</b:Year>
    <b:Pages>57-82</b:Pages>
    <b:RefOrder>1</b:RefOrder>
  </b:Source>
  <b:Source>
    <b:Tag>Fam92</b:Tag>
    <b:SourceType>JournalArticle</b:SourceType>
    <b:Guid>{8B8F32FD-C10C-EB4F-8734-078B6158E83D}</b:Guid>
    <b:Author>
      <b:Author>
        <b:NameList>
          <b:Person>
            <b:Last>Fama</b:Last>
            <b:First>Eugene</b:First>
          </b:Person>
          <b:Person>
            <b:Last>French </b:Last>
            <b:First>Kenneth</b:First>
          </b:Person>
        </b:NameList>
      </b:Author>
    </b:Author>
    <b:Title>The Cross-Section of Expected Stock Returns</b:Title>
    <b:JournalName>The Journal of Finance</b:JournalName>
    <b:Year>1992</b:Year>
    <b:Pages>427-465</b:Pages>
    <b:Volume>47</b:Volume>
    <b:Issue>2</b:Issue>
    <b:RefOrder>2</b:RefOrder>
  </b:Source>
  <b:Source>
    <b:Tag>Aga13</b:Tag>
    <b:SourceType>JournalArticle</b:SourceType>
    <b:Guid>{3A7AC438-D235-E64B-890F-912B7B879EF3}</b:Guid>
    <b:Author>
      <b:Author>
        <b:NameList>
          <b:Person>
            <b:Last>Agarwalla</b:Last>
            <b:First>S.</b:First>
            <b:Middle>K.</b:Middle>
          </b:Person>
          <b:Person>
            <b:Last>J.</b:Last>
            <b:First>Jacob</b:First>
          </b:Person>
          <b:Person>
            <b:Last>Varma</b:Last>
            <b:First>J.</b:First>
            <b:Middle>R.</b:Middle>
          </b:Person>
        </b:NameList>
      </b:Author>
    </b:Author>
    <b:Title>Four Factor Model in Indian Equities Market</b:Title>
    <b:JournalName>SSRN Electronic Journal</b:JournalName>
    <b:Year>2013</b:Year>
    <b:RefOrder>3</b:RefOrder>
  </b:Source>
  <b:Source>
    <b:Tag>Gru96</b:Tag>
    <b:SourceType>JournalArticle</b:SourceType>
    <b:Guid>{440D6434-16DC-4A4E-B52F-30444D329ED6}</b:Guid>
    <b:Author>
      <b:Author>
        <b:NameList>
          <b:Person>
            <b:Last>Gruber</b:Last>
            <b:First>M</b:First>
          </b:Person>
        </b:NameList>
      </b:Author>
    </b:Author>
    <b:Title>Another Puzzle: The Growth in Actively Managed Mutual Funds</b:Title>
    <b:JournalName>The Journal of Finance</b:JournalName>
    <b:Year>1996</b:Year>
    <b:Pages>783-810</b:Pages>
    <b:Volume>51</b:Volume>
    <b:Issue>3</b:Issue>
    <b:RefOrder>4</b:RefOrder>
  </b:Source>
  <b:Source>
    <b:Tag>Ipp89</b:Tag>
    <b:SourceType>JournalArticle</b:SourceType>
    <b:Guid>{251157D6-73EF-BE40-8768-9726667B18B5}</b:Guid>
    <b:Author>
      <b:Author>
        <b:NameList>
          <b:Person>
            <b:Last>Ippolito</b:Last>
            <b:First>R.</b:First>
          </b:Person>
        </b:NameList>
      </b:Author>
    </b:Author>
    <b:Title>A Study of Mutual Fund Performance 1965-1984</b:Title>
    <b:JournalName>The Quarterly Journal of Economics</b:JournalName>
    <b:Year>1989</b:Year>
    <b:Pages>1-23</b:Pages>
    <b:Volume>104</b:Volume>
    <b:Issue>1</b:Issue>
    <b:RefOrder>5</b:RefOrder>
  </b:Source>
  <b:Source>
    <b:Tag>Hen93</b:Tag>
    <b:SourceType>JournalArticle</b:SourceType>
    <b:Guid>{FAA636E7-7FE3-6243-B81A-E4594F56C797}</b:Guid>
    <b:Author>
      <b:Author>
        <b:NameList>
          <b:Person>
            <b:Last>Hendricks</b:Last>
            <b:First>D.</b:First>
          </b:Person>
          <b:Person>
            <b:Last>Patel</b:Last>
            <b:First>J.</b:First>
          </b:Person>
          <b:Person>
            <b:Last>Zeckhauser</b:Last>
            <b:First>R.</b:First>
          </b:Person>
        </b:NameList>
      </b:Author>
    </b:Author>
    <b:Title>Hot Hand in Mutual Funds: Short-Run Persistance of Relative Performance, 1974-1988</b:Title>
    <b:JournalName>The Journal of Finance</b:JournalName>
    <b:Year>1993</b:Year>
    <b:Pages>93-130</b:Pages>
    <b:Volume>48</b:Volume>
    <b:Issue>1</b:Issue>
    <b:RefOrder>6</b:RefOrder>
  </b:Source>
  <b:Source>
    <b:Tag>Jeg93</b:Tag>
    <b:SourceType>JournalArticle</b:SourceType>
    <b:Guid>{34D885EE-8A3C-2F43-BBCF-310BCE128C78}</b:Guid>
    <b:Author>
      <b:Author>
        <b:NameList>
          <b:Person>
            <b:Last>Jegadeesh</b:Last>
            <b:First>N.</b:First>
          </b:Person>
          <b:Person>
            <b:Last>Titman</b:Last>
            <b:First>S.</b:First>
          </b:Person>
        </b:NameList>
      </b:Author>
    </b:Author>
    <b:Title>Returns on Buying Winners and Selling Losers: Implications for Stock Market Efficiency</b:Title>
    <b:JournalName>The Journal of Finance</b:JournalName>
    <b:Year>1993</b:Year>
    <b:Pages>65-91</b:Pages>
    <b:Volume>48</b:Volume>
    <b:Issue>1</b:Issue>
    <b:RefOrder>7</b:RefOrder>
  </b:Source>
  <b:Source>
    <b:Tag>Jen68</b:Tag>
    <b:SourceType>JournalArticle</b:SourceType>
    <b:Guid>{1FF043BE-55C9-EA44-8EA0-8EFDEF6852E0}</b:Guid>
    <b:Author>
      <b:Author>
        <b:NameList>
          <b:Person>
            <b:Last>Jensen</b:Last>
            <b:First>M.</b:First>
          </b:Person>
        </b:NameList>
      </b:Author>
    </b:Author>
    <b:Title>The Performance of Mutual Funds in the Period 1945-1964</b:Title>
    <b:JournalName>The Journal of Finance</b:JournalName>
    <b:Year>1968</b:Year>
    <b:Pages>389-416</b:Pages>
    <b:Volume>23</b:Volume>
    <b:Issue>2</b:Issue>
    <b:RefOrder>8</b:RefOrder>
  </b:Source>
  <b:Source>
    <b:Tag>Lin65</b:Tag>
    <b:SourceType>JournalArticle</b:SourceType>
    <b:Guid>{AE867141-5A05-6E46-8BC0-B9615C8D4E8F}</b:Guid>
    <b:Author>
      <b:Author>
        <b:NameList>
          <b:Person>
            <b:Last>Lintner</b:Last>
            <b:First>J.</b:First>
          </b:Person>
        </b:NameList>
      </b:Author>
    </b:Author>
    <b:Title>Security Prices, Risk, and Maximal Gains from Diversification</b:Title>
    <b:JournalName>The Journal of Finance</b:JournalName>
    <b:Year>1965</b:Year>
    <b:Pages>587-615</b:Pages>
    <b:Volume>20</b:Volume>
    <b:Issue>4</b:Issue>
    <b:RefOrder>9</b:RefOrder>
  </b:Source>
  <b:Source>
    <b:Tag>Sha64</b:Tag>
    <b:SourceType>JournalArticle</b:SourceType>
    <b:Guid>{41C6C07D-78E1-804B-A7D7-CB25F11CEEBA}</b:Guid>
    <b:Author>
      <b:Author>
        <b:NameList>
          <b:Person>
            <b:Last>Sharpe</b:Last>
            <b:First>W.</b:First>
          </b:Person>
        </b:NameList>
      </b:Author>
    </b:Author>
    <b:Title>Capital Asset Prices: A Theory of Market Equilibrium Under Conditions of Risk</b:Title>
    <b:JournalName>The Journal of Finance</b:JournalName>
    <b:Year>1964</b:Year>
    <b:Pages>425-442</b:Pages>
    <b:Volume>19</b:Volume>
    <b:Issue>3</b:Issue>
    <b:RefOrder>10</b:RefOrder>
  </b:Source>
  <b:Source>
    <b:Tag>Fam93</b:Tag>
    <b:SourceType>JournalArticle</b:SourceType>
    <b:Guid>{019745D6-8877-7247-875B-B66438065606}</b:Guid>
    <b:Author>
      <b:Author>
        <b:NameList>
          <b:Person>
            <b:Last>Fama</b:Last>
            <b:First>E.</b:First>
          </b:Person>
          <b:Person>
            <b:Last>French</b:Last>
            <b:First>K</b:First>
          </b:Person>
        </b:NameList>
      </b:Author>
    </b:Author>
    <b:Title>Common Risk Factors in the Returns on Bonds and Stocks</b:Title>
    <b:JournalName>Journal of Financial Economics</b:JournalName>
    <b:Year>1993</b:Year>
    <b:Pages>3-53</b:Pages>
    <b:Volume>33</b:Volume>
    <b:Issue>1</b:Issue>
    <b:RefOrder>11</b:RefOrder>
  </b:Source>
  <b:Source>
    <b:Tag>Sch78</b:Tag>
    <b:SourceType>JournalArticle</b:SourceType>
    <b:Guid>{2F2D6854-4050-6842-9F4D-947EB029FABE}</b:Guid>
    <b:Author>
      <b:Author>
        <b:NameList>
          <b:Person>
            <b:Last>Schwarz</b:Last>
            <b:First>Gideon</b:First>
          </b:Person>
        </b:NameList>
      </b:Author>
    </b:Author>
    <b:Title>Estimating the Dimension of a Model</b:Title>
    <b:JournalName>Ann. Statist.</b:JournalName>
    <b:Year>1978</b:Year>
    <b:Pages>461-464</b:Pages>
    <b:Publisher>Institute of Mathematical Statistics</b:Publisher>
    <b:Volume>6</b:Volume>
    <b:Issue>2</b:Issue>
    <b:RefOrder>12</b:RefOrder>
  </b:Source>
  <b:Source>
    <b:Tag>Fam73</b:Tag>
    <b:SourceType>JournalArticle</b:SourceType>
    <b:Guid>{A6C0730A-5E9A-384D-A6E0-E93B3DB5FB66}</b:Guid>
    <b:Author>
      <b:Author>
        <b:NameList>
          <b:Person>
            <b:Last>Fama</b:Last>
            <b:Middle>F.</b:Middle>
            <b:First>Eugene</b:First>
          </b:Person>
          <b:Person>
            <b:Last>MacBeth</b:Last>
            <b:Middle>D</b:Middle>
            <b:First>James</b:First>
          </b:Person>
        </b:NameList>
      </b:Author>
    </b:Author>
    <b:Title>Risk, Return and Equilibrium: Empirical Tests</b:Title>
    <b:JournalName>Journal of Political Economy</b:JournalName>
    <b:Year>1973</b:Year>
    <b:Pages>607-636</b:Pages>
    <b:Volume>81</b:Volume>
    <b:Issue>3</b:Issue>
    <b:RefOrder>13</b:RefOrder>
  </b:Source>
  <b:Source>
    <b:Tag>Statista</b:Tag>
    <b:SourceType>InternetSite</b:SourceType>
    <b:Guid>{524B48C8-3ACC-9F40-A766-619CA988CDA6}</b:Guid>
    <b:Title>Statista: Global Assets Under Management 2002-2017</b:Title>
    <b:InternetSiteTitle>Statista</b:InternetSiteTitle>
    <b:URL>https://www.statista.com/statistics/323928/global-assets-under-management/</b:URL>
    <b:Year>2018</b:Year>
    <b:RefOrder>14</b:RefOrder>
  </b:Source>
  <b:Source>
    <b:Tag>IMF</b:Tag>
    <b:SourceType>InternetSite</b:SourceType>
    <b:Guid>{947F858E-3642-2F46-B546-F3F51925A838}</b:Guid>
    <b:Title>IMF: World Economic Outlook (April, 2019) - GDP, Current Prices</b:Title>
    <b:InternetSiteTitle>IMF</b:InternetSiteTitle>
    <b:URL>https://www.imf.org/external/datamapper/NGDPD@WEO</b:URL>
    <b:Year>2019</b:Year>
    <b:RefOrder>15</b:RefOrder>
  </b:Source>
  <b:Source>
    <b:Tag>Che04</b:Tag>
    <b:SourceType>JournalArticle</b:SourceType>
    <b:Guid>{56EF3BC0-A971-1749-962C-3F20169286DC}</b:Guid>
    <b:Title>Does Fund Size Erode Mutual Fund Performance? The Role of Liqudity and Organization</b:Title>
    <b:JournalName>American Economic Review</b:JournalName>
    <b:Year>2004</b:Year>
    <b:Pages>1276-1302</b:Pages>
    <b:Author>
      <b:Author>
        <b:NameList>
          <b:Person>
            <b:Last>Chen</b:Last>
            <b:First>Joseph</b:First>
          </b:Person>
          <b:Person>
            <b:Last>Hong</b:Last>
            <b:First>Harrison</b:First>
          </b:Person>
          <b:Person>
            <b:Last>Ming</b:Last>
            <b:First>Huang</b:First>
          </b:Person>
          <b:Person>
            <b:Last>Kubik</b:Last>
            <b:First>Jeffrey</b:First>
          </b:Person>
        </b:NameList>
      </b:Author>
    </b:Author>
    <b:Volume>94</b:Volume>
    <b:Issue>5</b:Issue>
    <b:RefOrder>16</b:RefOrder>
  </b:Source>
  <b:Source>
    <b:Tag>Cha02</b:Tag>
    <b:SourceType>JournalArticle</b:SourceType>
    <b:Guid>{75515EE2-EEC2-6743-8950-232F0080BDEF}</b:Guid>
    <b:Title>On Mutual Fund Investment Styles</b:Title>
    <b:JournalName>The Review of Financial Studies</b:JournalName>
    <b:Year>2002</b:Year>
    <b:Pages>1407-1437</b:Pages>
    <b:Author>
      <b:Author>
        <b:NameList>
          <b:Person>
            <b:Last>Chan</b:Last>
            <b:Middle>K. C.</b:Middle>
            <b:First>Louis</b:First>
          </b:Person>
          <b:Person>
            <b:Last>Chen</b:Last>
            <b:First>Hsui-Lang</b:First>
          </b:Person>
          <b:Person>
            <b:Last>Lakonishok</b:Last>
            <b:First>Josef</b:First>
          </b:Person>
        </b:NameList>
      </b:Author>
    </b:Author>
    <b:Volume>5</b:Volume>
    <b:Issue>5</b:Issue>
    <b:RefOrder>17</b:RefOrder>
  </b:Source>
  <b:Source>
    <b:Tag>Mal95</b:Tag>
    <b:SourceType>JournalArticle</b:SourceType>
    <b:Guid>{BAC7E81B-AADE-7546-A3DF-8D99EDD97ED9}</b:Guid>
    <b:Author>
      <b:Author>
        <b:NameList>
          <b:Person>
            <b:Last>Malkiel</b:Last>
            <b:First>B.</b:First>
            <b:Middle>G.</b:Middle>
          </b:Person>
        </b:NameList>
      </b:Author>
    </b:Author>
    <b:Title>Returns from Investing in Equity Mutual Funds 1971 to 1991</b:Title>
    <b:JournalName>The Journal of Finance</b:JournalName>
    <b:Year>1995</b:Year>
    <b:Pages>549-572</b:Pages>
    <b:Volume>50</b:Volume>
    <b:RefOrder>18</b:RefOrder>
  </b:Source>
  <b:Source>
    <b:Tag>Fer13</b:Tag>
    <b:SourceType>JournalArticle</b:SourceType>
    <b:Guid>{64BE8894-9D50-F448-AECD-2A1786B87327}</b:Guid>
    <b:Title>The Determinants of Mutual Fund Performance: A Cross-Country Study</b:Title>
    <b:JournalName>Review of Finance</b:JournalName>
    <b:Year>2013</b:Year>
    <b:Pages>483-525</b:Pages>
    <b:Author>
      <b:Author>
        <b:NameList>
          <b:Person>
            <b:Last>Ferreira</b:Last>
            <b:First>Miguel</b:First>
            <b:Middle>A</b:Middle>
          </b:Person>
          <b:Person>
            <b:Last>Keswani</b:Last>
            <b:First>Aneel</b:First>
          </b:Person>
          <b:Person>
            <b:Last>Miguel</b:Last>
            <b:First>Antonio</b:First>
            <b:Middle>F</b:Middle>
          </b:Person>
          <b:Person>
            <b:Last>Ramos</b:Last>
            <b:First>Sofia</b:First>
            <b:Middle>B</b:Middle>
          </b:Person>
        </b:NameList>
      </b:Author>
    </b:Author>
    <b:Volume>17</b:Volume>
    <b:Issue>2</b:Issue>
    <b:RefOrder>19</b:RefOrder>
  </b:Source>
  <b:Source>
    <b:Tag>Lak94</b:Tag>
    <b:SourceType>JournalArticle</b:SourceType>
    <b:Guid>{EC5BC503-16BB-5147-BECC-EE23740692FA}</b:Guid>
    <b:Title>Contrarian Investment, Extrapolation, and Risk</b:Title>
    <b:Year>1994</b:Year>
    <b:Author>
      <b:Author>
        <b:NameList>
          <b:Person>
            <b:Last>Lakonishok</b:Last>
            <b:First>Josef</b:First>
          </b:Person>
          <b:Person>
            <b:Last>Shleifer</b:Last>
            <b:First>Andrei</b:First>
          </b:Person>
          <b:Person>
            <b:Last>Vishny</b:Last>
            <b:First>Robert</b:First>
            <b:Middle>W</b:Middle>
          </b:Person>
        </b:NameList>
      </b:Author>
    </b:Author>
    <b:JournalName>The Journal of Finance</b:JournalName>
    <b:Pages>1541-1578</b:Pages>
    <b:Volume>49</b:Volume>
    <b:Issue>5</b:Issue>
    <b:RefOrder>20</b:RefOrder>
  </b:Source>
  <b:Source>
    <b:Tag>Ott02</b:Tag>
    <b:SourceType>JournalArticle</b:SourceType>
    <b:Guid>{BDD9267B-6684-3F48-B905-B3420FA6F993}</b:Guid>
    <b:Author>
      <b:Author>
        <b:NameList>
          <b:Person>
            <b:Last>Otten</b:Last>
            <b:First>R.,</b:First>
            <b:Middle>R., A., E.,</b:Middle>
          </b:Person>
          <b:Person>
            <b:Last>Bams</b:Last>
            <b:First>W.,</b:First>
            <b:Middle>F., M.</b:Middle>
          </b:Person>
        </b:NameList>
      </b:Author>
    </b:Author>
    <b:Title>European Mutual Fund Performance</b:Title>
    <b:JournalName>European Financial Management</b:JournalName>
    <b:Year>2002</b:Year>
    <b:Pages>75-101</b:Pages>
    <b:Volume>8</b:Volume>
    <b:Issue>1</b:Issue>
    <b:RefOrder>21</b:RefOrder>
  </b:Source>
  <b:Source>
    <b:Tag>Ott04</b:Tag>
    <b:SourceType>JournalArticle</b:SourceType>
    <b:Guid>{4368824A-62A9-2E4F-8B94-5289E123CEA3}</b:Guid>
    <b:Author>
      <b:Author>
        <b:NameList>
          <b:Person>
            <b:Last>Otten</b:Last>
            <b:First>R.,</b:First>
            <b:Middle>R., A., E.</b:Middle>
          </b:Person>
          <b:Person>
            <b:Last>Bams</b:Last>
            <b:First>W.,</b:First>
            <b:Middle>F. M.</b:Middle>
          </b:Person>
        </b:NameList>
      </b:Author>
    </b:Author>
    <b:Title>How to Measure Mutual Fund Performance: Economic versus Statistical Relevance</b:Title>
    <b:JournalName>Accounting and Finance</b:JournalName>
    <b:Year>2004</b:Year>
    <b:Pages>203-222</b:Pages>
    <b:Volume>44</b:Volume>
    <b:RefOrder>22</b:RefOrder>
  </b:Source>
</b:Sources>
</file>

<file path=customXml/itemProps1.xml><?xml version="1.0" encoding="utf-8"?>
<ds:datastoreItem xmlns:ds="http://schemas.openxmlformats.org/officeDocument/2006/customXml" ds:itemID="{4BD589BD-0C33-4529-9B34-0BE90259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7137</Words>
  <Characters>40683</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Company>
  <LinksUpToDate>false</LinksUpToDate>
  <CharactersWithSpaces>47725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celik</dc:creator>
  <cp:lastModifiedBy>Sara Kuiper</cp:lastModifiedBy>
  <cp:revision>2</cp:revision>
  <dcterms:created xsi:type="dcterms:W3CDTF">2019-08-22T13:51:00Z</dcterms:created>
  <dcterms:modified xsi:type="dcterms:W3CDTF">2019-08-22T13:51:00Z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id="NymlmvHr"/&gt;&lt;style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