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679D2" w:rsidRPr="00147D59" w:rsidRDefault="001679D2" w:rsidP="005E19AF">
      <w:pPr>
        <w:jc w:val="both"/>
        <w:rPr>
          <w:b/>
        </w:rPr>
      </w:pPr>
      <w:bookmarkStart w:id="0" w:name="_GoBack"/>
      <w:bookmarkEnd w:id="0"/>
      <w:r w:rsidRPr="00147D59">
        <w:rPr>
          <w:b/>
          <w:noProof/>
        </w:rPr>
        <mc:AlternateContent>
          <mc:Choice Requires="wps">
            <w:drawing>
              <wp:inline distT="0" distB="0" distL="0" distR="0" wp14:anchorId="281240C4" wp14:editId="5F4B7931">
                <wp:extent cx="4000500" cy="1257300"/>
                <wp:effectExtent l="0" t="0" r="4445" b="4445"/>
                <wp:docPr id="2"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12573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324BD" w:rsidRPr="004D409D" w:rsidRDefault="004324BD" w:rsidP="001679D2">
                            <w:pPr>
                              <w:rPr>
                                <w:b/>
                                <w:sz w:val="24"/>
                              </w:rPr>
                            </w:pPr>
                            <w:r w:rsidRPr="004D409D">
                              <w:rPr>
                                <w:b/>
                                <w:sz w:val="24"/>
                              </w:rPr>
                              <w:t>ERASMUS UNIVERSITY ROTTERDAM</w:t>
                            </w:r>
                          </w:p>
                          <w:p w:rsidR="004324BD" w:rsidRPr="004D409D" w:rsidRDefault="004324BD" w:rsidP="001679D2">
                            <w:pPr>
                              <w:rPr>
                                <w:b/>
                                <w:sz w:val="24"/>
                              </w:rPr>
                            </w:pPr>
                            <w:r w:rsidRPr="004D409D">
                              <w:rPr>
                                <w:b/>
                                <w:sz w:val="24"/>
                              </w:rPr>
                              <w:t>ERASMUS SCHOOL OF ECONOMICS</w:t>
                            </w:r>
                          </w:p>
                          <w:p w:rsidR="004324BD" w:rsidRPr="004D409D" w:rsidRDefault="004324BD" w:rsidP="001679D2">
                            <w:pPr>
                              <w:rPr>
                                <w:b/>
                                <w:sz w:val="24"/>
                              </w:rPr>
                            </w:pPr>
                            <w:r>
                              <w:rPr>
                                <w:b/>
                                <w:sz w:val="24"/>
                              </w:rPr>
                              <w:t>BS</w:t>
                            </w:r>
                            <w:r w:rsidRPr="004D409D">
                              <w:rPr>
                                <w:b/>
                                <w:sz w:val="24"/>
                              </w:rPr>
                              <w:t>c Economics &amp; Business</w:t>
                            </w:r>
                            <w:r>
                              <w:rPr>
                                <w:b/>
                                <w:sz w:val="24"/>
                              </w:rPr>
                              <w:t xml:space="preserve"> Economics</w:t>
                            </w:r>
                          </w:p>
                          <w:p w:rsidR="004324BD" w:rsidRDefault="004324BD" w:rsidP="001679D2"/>
                        </w:txbxContent>
                      </wps:txbx>
                      <wps:bodyPr rot="0" vert="horz" wrap="square" lIns="91440" tIns="45720" rIns="91440" bIns="45720" anchor="t" anchorCtr="0" upright="1">
                        <a:noAutofit/>
                      </wps:bodyPr>
                    </wps:wsp>
                  </a:graphicData>
                </a:graphic>
              </wp:inline>
            </w:drawing>
          </mc:Choice>
          <mc:Fallback>
            <w:pict>
              <v:shapetype w14:anchorId="281240C4" id="_x0000_t202" coordsize="21600,21600" o:spt="202" path="m,l,21600r21600,l21600,xe">
                <v:stroke joinstyle="miter"/>
                <v:path gradientshapeok="t" o:connecttype="rect"/>
              </v:shapetype>
              <v:shape id="Tekstvak 2" o:spid="_x0000_s1026" type="#_x0000_t202" style="width:315pt;height:99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" stroked="f">
                <v:textbox>
                  <w:txbxContent>
                    <w:p w:rsidR="004324BD" w:rsidRPr="004D409D" w:rsidRDefault="004324BD" w:rsidP="001679D2">
                      <w:pPr>
                        <w:rPr>
                          <w:b/>
                          <w:sz w:val="24"/>
                        </w:rPr>
                      </w:pPr>
                      <w:r w:rsidRPr="004D409D">
                        <w:rPr>
                          <w:b/>
                          <w:sz w:val="24"/>
                        </w:rPr>
                        <w:t>ERASMUS UNIVERSITY ROTTERDAM</w:t>
                      </w:r>
                    </w:p>
                    <w:p w:rsidR="004324BD" w:rsidRPr="004D409D" w:rsidRDefault="004324BD" w:rsidP="001679D2">
                      <w:pPr>
                        <w:rPr>
                          <w:b/>
                          <w:sz w:val="24"/>
                        </w:rPr>
                      </w:pPr>
                      <w:r w:rsidRPr="004D409D">
                        <w:rPr>
                          <w:b/>
                          <w:sz w:val="24"/>
                        </w:rPr>
                        <w:t>ERASMUS SCHOOL OF ECONOMICS</w:t>
                      </w:r>
                    </w:p>
                    <w:p w:rsidR="004324BD" w:rsidRPr="004D409D" w:rsidRDefault="004324BD" w:rsidP="001679D2">
                      <w:pPr>
                        <w:rPr>
                          <w:b/>
                          <w:sz w:val="24"/>
                        </w:rPr>
                      </w:pPr>
                      <w:r>
                        <w:rPr>
                          <w:b/>
                          <w:sz w:val="24"/>
                        </w:rPr>
                        <w:t>BS</w:t>
                      </w:r>
                      <w:r w:rsidRPr="004D409D">
                        <w:rPr>
                          <w:b/>
                          <w:sz w:val="24"/>
                        </w:rPr>
                        <w:t>c Economics &amp; Business</w:t>
                      </w:r>
                      <w:r>
                        <w:rPr>
                          <w:b/>
                          <w:sz w:val="24"/>
                        </w:rPr>
                        <w:t xml:space="preserve"> Economics</w:t>
                      </w:r>
                    </w:p>
                    <w:p w:rsidR="004324BD" w:rsidRDefault="004324BD" w:rsidP="001679D2"/>
                  </w:txbxContent>
                </v:textbox>
                <w10:anchorlock/>
              </v:shape>
            </w:pict>
          </mc:Fallback>
        </mc:AlternateContent>
      </w:r>
    </w:p>
    <w:p w:rsidR="001679D2" w:rsidRPr="00147D59" w:rsidRDefault="001679D2" w:rsidP="005E19AF">
      <w:pPr>
        <w:jc w:val="both"/>
        <w:rPr>
          <w:b/>
        </w:rPr>
      </w:pPr>
    </w:p>
    <w:p w:rsidR="001679D2" w:rsidRPr="00147D59" w:rsidRDefault="001679D2" w:rsidP="005E19AF">
      <w:pPr>
        <w:jc w:val="both"/>
        <w:rPr>
          <w:b/>
        </w:rPr>
      </w:pPr>
    </w:p>
    <w:p w:rsidR="001679D2" w:rsidRPr="00147D59" w:rsidRDefault="001679D2" w:rsidP="005E19AF">
      <w:pPr>
        <w:jc w:val="both"/>
        <w:rPr>
          <w:b/>
        </w:rPr>
      </w:pPr>
    </w:p>
    <w:p w:rsidR="001679D2" w:rsidRPr="00147D59" w:rsidRDefault="001679D2" w:rsidP="005E19AF">
      <w:pPr>
        <w:jc w:val="both"/>
        <w:rPr>
          <w:b/>
        </w:rPr>
      </w:pPr>
    </w:p>
    <w:p w:rsidR="001679D2" w:rsidRPr="00147D59" w:rsidRDefault="001679D2" w:rsidP="005E19AF">
      <w:pPr>
        <w:jc w:val="both"/>
        <w:rPr>
          <w:b/>
        </w:rPr>
      </w:pPr>
    </w:p>
    <w:p w:rsidR="001679D2" w:rsidRPr="00147D59" w:rsidRDefault="001679D2" w:rsidP="005E19AF">
      <w:pPr>
        <w:jc w:val="both"/>
        <w:rPr>
          <w:b/>
        </w:rPr>
      </w:pPr>
    </w:p>
    <w:p w:rsidR="001679D2" w:rsidRPr="00147D59" w:rsidRDefault="001679D2" w:rsidP="005E19AF">
      <w:pPr>
        <w:jc w:val="both"/>
        <w:rPr>
          <w:b/>
        </w:rPr>
      </w:pPr>
    </w:p>
    <w:p w:rsidR="001679D2" w:rsidRPr="00147D59" w:rsidRDefault="001679D2" w:rsidP="005E19AF">
      <w:pPr>
        <w:jc w:val="both"/>
        <w:rPr>
          <w:b/>
        </w:rPr>
      </w:pPr>
    </w:p>
    <w:p w:rsidR="001679D2" w:rsidRPr="00147D59" w:rsidRDefault="001679D2" w:rsidP="005E19AF">
      <w:pPr>
        <w:jc w:val="center"/>
        <w:rPr>
          <w:b/>
          <w:sz w:val="32"/>
          <w:szCs w:val="32"/>
        </w:rPr>
      </w:pPr>
      <w:r w:rsidRPr="00147D59">
        <w:rPr>
          <w:b/>
          <w:sz w:val="32"/>
          <w:szCs w:val="32"/>
        </w:rPr>
        <w:t>Bachelor Thesis</w:t>
      </w:r>
    </w:p>
    <w:p w:rsidR="001679D2" w:rsidRPr="00147D59" w:rsidRDefault="001679D2" w:rsidP="005E19AF">
      <w:pPr>
        <w:jc w:val="center"/>
        <w:rPr>
          <w:b/>
        </w:rPr>
      </w:pPr>
    </w:p>
    <w:p w:rsidR="001679D2" w:rsidRPr="00147D59" w:rsidRDefault="001679D2" w:rsidP="005E19AF">
      <w:pPr>
        <w:jc w:val="center"/>
        <w:rPr>
          <w:b/>
          <w:sz w:val="28"/>
          <w:szCs w:val="28"/>
        </w:rPr>
      </w:pPr>
      <w:r w:rsidRPr="00147D59">
        <w:rPr>
          <w:b/>
          <w:sz w:val="28"/>
          <w:szCs w:val="28"/>
        </w:rPr>
        <w:t>Mergers and Acquisitions in the US Energy Industry</w:t>
      </w:r>
    </w:p>
    <w:p w:rsidR="001679D2" w:rsidRPr="00147D59" w:rsidRDefault="001679D2" w:rsidP="005E19AF">
      <w:pPr>
        <w:jc w:val="center"/>
        <w:rPr>
          <w:b/>
        </w:rPr>
      </w:pPr>
    </w:p>
    <w:p w:rsidR="001679D2" w:rsidRPr="00147D59" w:rsidRDefault="001679D2" w:rsidP="005E19AF">
      <w:pPr>
        <w:jc w:val="both"/>
        <w:rPr>
          <w:b/>
        </w:rPr>
      </w:pPr>
    </w:p>
    <w:p w:rsidR="001679D2" w:rsidRPr="00147D59" w:rsidRDefault="001679D2" w:rsidP="005E19AF">
      <w:pPr>
        <w:jc w:val="both"/>
        <w:rPr>
          <w:b/>
        </w:rPr>
      </w:pPr>
    </w:p>
    <w:p w:rsidR="001679D2" w:rsidRPr="00147D59" w:rsidRDefault="001679D2" w:rsidP="005E19AF">
      <w:pPr>
        <w:jc w:val="both"/>
        <w:rPr>
          <w:b/>
        </w:rPr>
      </w:pPr>
    </w:p>
    <w:p w:rsidR="001679D2" w:rsidRPr="00147D59" w:rsidRDefault="001679D2" w:rsidP="005E19AF">
      <w:pPr>
        <w:jc w:val="both"/>
        <w:rPr>
          <w:b/>
        </w:rPr>
      </w:pPr>
    </w:p>
    <w:p w:rsidR="001679D2" w:rsidRPr="00147D59" w:rsidRDefault="001679D2" w:rsidP="005E19AF">
      <w:pPr>
        <w:jc w:val="both"/>
      </w:pPr>
    </w:p>
    <w:p w:rsidR="001679D2" w:rsidRPr="00147D59" w:rsidRDefault="001679D2" w:rsidP="005E19AF">
      <w:pPr>
        <w:tabs>
          <w:tab w:val="left" w:pos="4011"/>
        </w:tabs>
        <w:jc w:val="both"/>
      </w:pPr>
      <w:r w:rsidRPr="00147D59">
        <w:tab/>
      </w:r>
    </w:p>
    <w:p w:rsidR="001679D2" w:rsidRDefault="001679D2" w:rsidP="005E19AF">
      <w:pPr>
        <w:jc w:val="both"/>
      </w:pPr>
      <w:r w:rsidRPr="00147D59">
        <w:rPr>
          <w:noProof/>
        </w:rPr>
        <mc:AlternateContent>
          <mc:Choice Requires="wps">
            <w:drawing>
              <wp:inline distT="0" distB="0" distL="0" distR="0" wp14:anchorId="739B90DD" wp14:editId="32115FE1">
                <wp:extent cx="4800600" cy="1415415"/>
                <wp:effectExtent l="0" t="0" r="0" b="0"/>
                <wp:docPr id="1" name="Tekstvak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00600" cy="14154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324BD" w:rsidRPr="004D409D" w:rsidRDefault="004324BD" w:rsidP="001679D2">
                            <w:pPr>
                              <w:rPr>
                                <w:sz w:val="24"/>
                              </w:rPr>
                            </w:pPr>
                            <w:r w:rsidRPr="004D409D">
                              <w:rPr>
                                <w:b/>
                                <w:sz w:val="24"/>
                              </w:rPr>
                              <w:t>Author:</w:t>
                            </w:r>
                            <w:r w:rsidRPr="004D409D">
                              <w:rPr>
                                <w:sz w:val="24"/>
                              </w:rPr>
                              <w:t xml:space="preserve"> </w:t>
                            </w:r>
                            <w:r w:rsidRPr="004D409D">
                              <w:rPr>
                                <w:sz w:val="24"/>
                              </w:rPr>
                              <w:tab/>
                            </w:r>
                            <w:r w:rsidRPr="004D409D">
                              <w:rPr>
                                <w:sz w:val="24"/>
                              </w:rPr>
                              <w:tab/>
                            </w:r>
                            <w:r>
                              <w:rPr>
                                <w:sz w:val="24"/>
                              </w:rPr>
                              <w:t>Bart Wubben</w:t>
                            </w:r>
                          </w:p>
                          <w:p w:rsidR="004324BD" w:rsidRPr="004D409D" w:rsidRDefault="004324BD" w:rsidP="001679D2">
                            <w:pPr>
                              <w:rPr>
                                <w:sz w:val="24"/>
                              </w:rPr>
                            </w:pPr>
                            <w:r>
                              <w:rPr>
                                <w:b/>
                                <w:sz w:val="24"/>
                              </w:rPr>
                              <w:t>S</w:t>
                            </w:r>
                            <w:r w:rsidRPr="004D409D">
                              <w:rPr>
                                <w:b/>
                                <w:sz w:val="24"/>
                              </w:rPr>
                              <w:t>tud</w:t>
                            </w:r>
                            <w:r>
                              <w:rPr>
                                <w:b/>
                                <w:sz w:val="24"/>
                              </w:rPr>
                              <w:t>ent</w:t>
                            </w:r>
                            <w:r w:rsidRPr="004D409D">
                              <w:rPr>
                                <w:b/>
                                <w:sz w:val="24"/>
                              </w:rPr>
                              <w:t xml:space="preserve"> number:</w:t>
                            </w:r>
                            <w:r w:rsidRPr="004D409D">
                              <w:rPr>
                                <w:b/>
                                <w:sz w:val="24"/>
                              </w:rPr>
                              <w:tab/>
                            </w:r>
                            <w:r>
                              <w:rPr>
                                <w:sz w:val="24"/>
                              </w:rPr>
                              <w:t>434023</w:t>
                            </w:r>
                          </w:p>
                          <w:p w:rsidR="004324BD" w:rsidRDefault="004324BD" w:rsidP="001679D2">
                            <w:pPr>
                              <w:rPr>
                                <w:sz w:val="24"/>
                              </w:rPr>
                            </w:pPr>
                            <w:r w:rsidRPr="004D409D">
                              <w:rPr>
                                <w:b/>
                                <w:sz w:val="24"/>
                              </w:rPr>
                              <w:t>Thesis supervisor:</w:t>
                            </w:r>
                            <w:r w:rsidRPr="004D409D">
                              <w:rPr>
                                <w:sz w:val="24"/>
                              </w:rPr>
                              <w:t xml:space="preserve"> </w:t>
                            </w:r>
                            <w:r w:rsidRPr="004D409D">
                              <w:rPr>
                                <w:sz w:val="24"/>
                              </w:rPr>
                              <w:tab/>
                            </w:r>
                            <w:r>
                              <w:rPr>
                                <w:sz w:val="24"/>
                              </w:rPr>
                              <w:t>Marshall X. Ma</w:t>
                            </w:r>
                          </w:p>
                          <w:p w:rsidR="004324BD" w:rsidRDefault="004324BD" w:rsidP="001679D2">
                            <w:pPr>
                              <w:rPr>
                                <w:sz w:val="24"/>
                              </w:rPr>
                            </w:pPr>
                            <w:r>
                              <w:rPr>
                                <w:b/>
                                <w:sz w:val="24"/>
                              </w:rPr>
                              <w:t xml:space="preserve">Date: </w:t>
                            </w:r>
                            <w:r>
                              <w:rPr>
                                <w:b/>
                                <w:sz w:val="24"/>
                              </w:rPr>
                              <w:tab/>
                            </w:r>
                            <w:r>
                              <w:rPr>
                                <w:b/>
                                <w:sz w:val="24"/>
                              </w:rPr>
                              <w:tab/>
                            </w:r>
                            <w:r>
                              <w:rPr>
                                <w:b/>
                                <w:sz w:val="24"/>
                              </w:rPr>
                              <w:tab/>
                            </w:r>
                            <w:r w:rsidR="005E19AF">
                              <w:rPr>
                                <w:sz w:val="24"/>
                              </w:rPr>
                              <w:t>8 - 7</w:t>
                            </w:r>
                            <w:r>
                              <w:rPr>
                                <w:sz w:val="24"/>
                              </w:rPr>
                              <w:t xml:space="preserve"> - 2019 </w:t>
                            </w:r>
                          </w:p>
                          <w:p w:rsidR="004324BD" w:rsidRPr="00057D81" w:rsidRDefault="004324BD" w:rsidP="001679D2">
                            <w:pPr>
                              <w:rPr>
                                <w:sz w:val="24"/>
                              </w:rPr>
                            </w:pPr>
                          </w:p>
                          <w:p w:rsidR="004324BD" w:rsidRPr="004D409D" w:rsidRDefault="004324BD" w:rsidP="001679D2">
                            <w:pPr>
                              <w:rPr>
                                <w:sz w:val="24"/>
                              </w:rPr>
                            </w:pPr>
                          </w:p>
                          <w:p w:rsidR="004324BD" w:rsidRPr="004D409D" w:rsidRDefault="004324BD" w:rsidP="001679D2">
                            <w:pPr>
                              <w:rPr>
                                <w:sz w:val="24"/>
                              </w:rPr>
                            </w:pPr>
                          </w:p>
                        </w:txbxContent>
                      </wps:txbx>
                      <wps:bodyPr rot="0" vert="horz" wrap="square" lIns="91440" tIns="45720" rIns="91440" bIns="45720" anchor="t" anchorCtr="0" upright="1">
                        <a:noAutofit/>
                      </wps:bodyPr>
                    </wps:wsp>
                  </a:graphicData>
                </a:graphic>
              </wp:inline>
            </w:drawing>
          </mc:Choice>
          <mc:Fallback>
            <w:pict>
              <v:shape w14:anchorId="739B90DD" id="Tekstvak 1" o:spid="_x0000_s1027" type="#_x0000_t202" style="width:378pt;height:111.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" stroked="f">
                <v:textbox>
                  <w:txbxContent>
                    <w:p w:rsidR="004324BD" w:rsidRPr="004D409D" w:rsidRDefault="004324BD" w:rsidP="001679D2">
                      <w:pPr>
                        <w:rPr>
                          <w:sz w:val="24"/>
                        </w:rPr>
                      </w:pPr>
                      <w:r w:rsidRPr="004D409D">
                        <w:rPr>
                          <w:b/>
                          <w:sz w:val="24"/>
                        </w:rPr>
                        <w:t>Author:</w:t>
                      </w:r>
                      <w:r w:rsidRPr="004D409D">
                        <w:rPr>
                          <w:sz w:val="24"/>
                        </w:rPr>
                        <w:t xml:space="preserve"> </w:t>
                      </w:r>
                      <w:r w:rsidRPr="004D409D">
                        <w:rPr>
                          <w:sz w:val="24"/>
                        </w:rPr>
                        <w:tab/>
                      </w:r>
                      <w:r w:rsidRPr="004D409D">
                        <w:rPr>
                          <w:sz w:val="24"/>
                        </w:rPr>
                        <w:tab/>
                      </w:r>
                      <w:r>
                        <w:rPr>
                          <w:sz w:val="24"/>
                        </w:rPr>
                        <w:t>Bart Wubben</w:t>
                      </w:r>
                    </w:p>
                    <w:p w:rsidR="004324BD" w:rsidRPr="004D409D" w:rsidRDefault="004324BD" w:rsidP="001679D2">
                      <w:pPr>
                        <w:rPr>
                          <w:sz w:val="24"/>
                        </w:rPr>
                      </w:pPr>
                      <w:r>
                        <w:rPr>
                          <w:b/>
                          <w:sz w:val="24"/>
                        </w:rPr>
                        <w:t>S</w:t>
                      </w:r>
                      <w:r w:rsidRPr="004D409D">
                        <w:rPr>
                          <w:b/>
                          <w:sz w:val="24"/>
                        </w:rPr>
                        <w:t>tud</w:t>
                      </w:r>
                      <w:r>
                        <w:rPr>
                          <w:b/>
                          <w:sz w:val="24"/>
                        </w:rPr>
                        <w:t>ent</w:t>
                      </w:r>
                      <w:r w:rsidRPr="004D409D">
                        <w:rPr>
                          <w:b/>
                          <w:sz w:val="24"/>
                        </w:rPr>
                        <w:t xml:space="preserve"> number:</w:t>
                      </w:r>
                      <w:r w:rsidRPr="004D409D">
                        <w:rPr>
                          <w:b/>
                          <w:sz w:val="24"/>
                        </w:rPr>
                        <w:tab/>
                      </w:r>
                      <w:r>
                        <w:rPr>
                          <w:sz w:val="24"/>
                        </w:rPr>
                        <w:t>434023</w:t>
                      </w:r>
                    </w:p>
                    <w:p w:rsidR="004324BD" w:rsidRDefault="004324BD" w:rsidP="001679D2">
                      <w:pPr>
                        <w:rPr>
                          <w:sz w:val="24"/>
                        </w:rPr>
                      </w:pPr>
                      <w:r w:rsidRPr="004D409D">
                        <w:rPr>
                          <w:b/>
                          <w:sz w:val="24"/>
                        </w:rPr>
                        <w:t>Thesis supervisor:</w:t>
                      </w:r>
                      <w:r w:rsidRPr="004D409D">
                        <w:rPr>
                          <w:sz w:val="24"/>
                        </w:rPr>
                        <w:t xml:space="preserve"> </w:t>
                      </w:r>
                      <w:r w:rsidRPr="004D409D">
                        <w:rPr>
                          <w:sz w:val="24"/>
                        </w:rPr>
                        <w:tab/>
                      </w:r>
                      <w:r>
                        <w:rPr>
                          <w:sz w:val="24"/>
                        </w:rPr>
                        <w:t>Marshall X. Ma</w:t>
                      </w:r>
                    </w:p>
                    <w:p w:rsidR="004324BD" w:rsidRDefault="004324BD" w:rsidP="001679D2">
                      <w:pPr>
                        <w:rPr>
                          <w:sz w:val="24"/>
                        </w:rPr>
                      </w:pPr>
                      <w:r>
                        <w:rPr>
                          <w:b/>
                          <w:sz w:val="24"/>
                        </w:rPr>
                        <w:t xml:space="preserve">Date: </w:t>
                      </w:r>
                      <w:r>
                        <w:rPr>
                          <w:b/>
                          <w:sz w:val="24"/>
                        </w:rPr>
                        <w:tab/>
                      </w:r>
                      <w:r>
                        <w:rPr>
                          <w:b/>
                          <w:sz w:val="24"/>
                        </w:rPr>
                        <w:tab/>
                      </w:r>
                      <w:r>
                        <w:rPr>
                          <w:b/>
                          <w:sz w:val="24"/>
                        </w:rPr>
                        <w:tab/>
                      </w:r>
                      <w:r w:rsidR="005E19AF">
                        <w:rPr>
                          <w:sz w:val="24"/>
                        </w:rPr>
                        <w:t>8 - 7</w:t>
                      </w:r>
                      <w:r>
                        <w:rPr>
                          <w:sz w:val="24"/>
                        </w:rPr>
                        <w:t xml:space="preserve"> - 2019 </w:t>
                      </w:r>
                    </w:p>
                    <w:p w:rsidR="004324BD" w:rsidRPr="00057D81" w:rsidRDefault="004324BD" w:rsidP="001679D2">
                      <w:pPr>
                        <w:rPr>
                          <w:sz w:val="24"/>
                        </w:rPr>
                      </w:pPr>
                    </w:p>
                    <w:p w:rsidR="004324BD" w:rsidRPr="004D409D" w:rsidRDefault="004324BD" w:rsidP="001679D2">
                      <w:pPr>
                        <w:rPr>
                          <w:sz w:val="24"/>
                        </w:rPr>
                      </w:pPr>
                    </w:p>
                    <w:p w:rsidR="004324BD" w:rsidRPr="004D409D" w:rsidRDefault="004324BD" w:rsidP="001679D2">
                      <w:pPr>
                        <w:rPr>
                          <w:sz w:val="24"/>
                        </w:rPr>
                      </w:pPr>
                    </w:p>
                  </w:txbxContent>
                </v:textbox>
                <w10:anchorlock/>
              </v:shape>
            </w:pict>
          </mc:Fallback>
        </mc:AlternateContent>
      </w:r>
      <w:r w:rsidRPr="00147D59">
        <w:br w:type="page"/>
      </w:r>
    </w:p>
    <w:p w:rsidR="002F7824" w:rsidRDefault="002F7824" w:rsidP="005E19AF">
      <w:pPr>
        <w:pStyle w:val="Heading2"/>
        <w:jc w:val="both"/>
      </w:pPr>
      <w:bookmarkStart w:id="1" w:name="_Toc13477586"/>
      <w:r>
        <w:lastRenderedPageBreak/>
        <w:t>Abstract</w:t>
      </w:r>
      <w:bookmarkEnd w:id="1"/>
    </w:p>
    <w:p w:rsidR="002F7824" w:rsidRPr="002F7824" w:rsidRDefault="002F7824" w:rsidP="005E19AF">
      <w:pPr>
        <w:spacing w:line="360" w:lineRule="auto"/>
        <w:jc w:val="both"/>
        <w:rPr>
          <w:sz w:val="24"/>
        </w:rPr>
      </w:pPr>
      <w:r>
        <w:rPr>
          <w:sz w:val="24"/>
        </w:rPr>
        <w:t xml:space="preserve">This thesis investigated the abnormal returns around the announcement day of a merger or an acquisition for firms active in the US Energy Industry in the time period of 1995 to 2017. </w:t>
      </w:r>
      <w:r w:rsidR="00D042A9">
        <w:rPr>
          <w:sz w:val="24"/>
        </w:rPr>
        <w:t>With the use of the adjusted market model p</w:t>
      </w:r>
      <w:r w:rsidR="0011339D">
        <w:rPr>
          <w:sz w:val="24"/>
        </w:rPr>
        <w:t>ositive cumulative abnormal returns were found for the targets and the combined firms, and negative abnormal returns were found for acquirers</w:t>
      </w:r>
      <w:r w:rsidR="00227BA4">
        <w:rPr>
          <w:sz w:val="24"/>
        </w:rPr>
        <w:t xml:space="preserve"> in a 3 day time period</w:t>
      </w:r>
      <w:r w:rsidR="0011339D">
        <w:rPr>
          <w:sz w:val="24"/>
        </w:rPr>
        <w:t xml:space="preserve">. </w:t>
      </w:r>
      <w:r w:rsidR="00D042A9">
        <w:rPr>
          <w:sz w:val="24"/>
        </w:rPr>
        <w:t>A positive effect was found on the abnormal returns when the target and acquirer were operating in the same industry.</w:t>
      </w:r>
      <w:r w:rsidR="00227BA4">
        <w:rPr>
          <w:sz w:val="24"/>
        </w:rPr>
        <w:t xml:space="preserve"> No supportive evidence was found that small or big firms and cash or</w:t>
      </w:r>
      <w:r w:rsidR="004324BD">
        <w:rPr>
          <w:sz w:val="24"/>
        </w:rPr>
        <w:t xml:space="preserve"> a</w:t>
      </w:r>
      <w:r w:rsidR="00227BA4">
        <w:rPr>
          <w:sz w:val="24"/>
        </w:rPr>
        <w:t xml:space="preserve"> different payment</w:t>
      </w:r>
      <w:r w:rsidR="004324BD">
        <w:rPr>
          <w:sz w:val="24"/>
        </w:rPr>
        <w:t xml:space="preserve"> method</w:t>
      </w:r>
      <w:r w:rsidR="00227BA4">
        <w:rPr>
          <w:sz w:val="24"/>
        </w:rPr>
        <w:t xml:space="preserve"> had any influence on the abnormal return.</w:t>
      </w:r>
    </w:p>
    <w:p w:rsidR="006816B7" w:rsidRPr="006816B7" w:rsidRDefault="006816B7" w:rsidP="005E19AF">
      <w:pPr>
        <w:jc w:val="both"/>
      </w:pPr>
      <w:r>
        <w:rPr>
          <w:b/>
        </w:rPr>
        <w:t xml:space="preserve">Keywords: </w:t>
      </w:r>
      <w:r w:rsidRPr="006816B7">
        <w:t xml:space="preserve">Mergers and Acquisitions, Event Study, Cumulative Abnormal Returns, </w:t>
      </w:r>
      <w:r>
        <w:t>Energy Industry</w:t>
      </w:r>
    </w:p>
    <w:p w:rsidR="00A97577" w:rsidRDefault="00A97577" w:rsidP="005E19AF">
      <w:pPr>
        <w:jc w:val="both"/>
      </w:pPr>
    </w:p>
    <w:p w:rsidR="002F7824" w:rsidRDefault="002F7824" w:rsidP="005E19AF">
      <w:pPr>
        <w:jc w:val="both"/>
      </w:pPr>
    </w:p>
    <w:p w:rsidR="002F7824" w:rsidRDefault="002F7824" w:rsidP="005E19AF">
      <w:pPr>
        <w:jc w:val="both"/>
      </w:pPr>
    </w:p>
    <w:p w:rsidR="002F7824" w:rsidRDefault="002F7824" w:rsidP="005E19AF">
      <w:pPr>
        <w:jc w:val="both"/>
      </w:pPr>
    </w:p>
    <w:p w:rsidR="002F7824" w:rsidRDefault="002F7824" w:rsidP="005E19AF">
      <w:pPr>
        <w:jc w:val="both"/>
      </w:pPr>
    </w:p>
    <w:p w:rsidR="002F7824" w:rsidRDefault="002F7824" w:rsidP="005E19AF">
      <w:pPr>
        <w:jc w:val="both"/>
      </w:pPr>
    </w:p>
    <w:p w:rsidR="002F7824" w:rsidRDefault="002F7824" w:rsidP="005E19AF">
      <w:pPr>
        <w:jc w:val="both"/>
      </w:pPr>
    </w:p>
    <w:p w:rsidR="002F7824" w:rsidRDefault="002F7824" w:rsidP="005E19AF">
      <w:pPr>
        <w:jc w:val="both"/>
      </w:pPr>
    </w:p>
    <w:p w:rsidR="002F7824" w:rsidRDefault="002F7824" w:rsidP="005E19AF">
      <w:pPr>
        <w:jc w:val="both"/>
      </w:pPr>
    </w:p>
    <w:p w:rsidR="002F7824" w:rsidRDefault="002F7824" w:rsidP="005E19AF">
      <w:pPr>
        <w:jc w:val="both"/>
      </w:pPr>
    </w:p>
    <w:p w:rsidR="002F7824" w:rsidRDefault="002F7824" w:rsidP="005E19AF">
      <w:pPr>
        <w:jc w:val="both"/>
      </w:pPr>
    </w:p>
    <w:p w:rsidR="002F7824" w:rsidRDefault="002F7824" w:rsidP="005E19AF">
      <w:pPr>
        <w:jc w:val="both"/>
      </w:pPr>
    </w:p>
    <w:p w:rsidR="002F7824" w:rsidRDefault="002F7824" w:rsidP="005E19AF">
      <w:pPr>
        <w:jc w:val="both"/>
      </w:pPr>
    </w:p>
    <w:p w:rsidR="002F7824" w:rsidRDefault="002F7824" w:rsidP="005E19AF">
      <w:pPr>
        <w:jc w:val="both"/>
      </w:pPr>
    </w:p>
    <w:p w:rsidR="002F7824" w:rsidRDefault="002F7824" w:rsidP="005E19AF">
      <w:pPr>
        <w:jc w:val="both"/>
      </w:pPr>
    </w:p>
    <w:p w:rsidR="002F7824" w:rsidRDefault="002F7824" w:rsidP="005E19AF">
      <w:pPr>
        <w:jc w:val="both"/>
      </w:pPr>
    </w:p>
    <w:p w:rsidR="002F7824" w:rsidRDefault="002F7824" w:rsidP="005E19AF">
      <w:pPr>
        <w:jc w:val="both"/>
      </w:pPr>
    </w:p>
    <w:p w:rsidR="002F7824" w:rsidRDefault="002F7824" w:rsidP="005E19AF">
      <w:pPr>
        <w:jc w:val="both"/>
      </w:pPr>
    </w:p>
    <w:sdt>
      <w:sdtPr>
        <w:rPr>
          <w:rFonts w:asciiTheme="minorHAnsi" w:eastAsiaTheme="minorHAnsi" w:hAnsiTheme="minorHAnsi" w:cstheme="minorBidi"/>
          <w:b w:val="0"/>
          <w:bCs w:val="0"/>
          <w:color w:val="auto"/>
          <w:sz w:val="22"/>
          <w:szCs w:val="22"/>
          <w:lang w:eastAsia="en-US"/>
        </w:rPr>
        <w:id w:val="646556091"/>
        <w:docPartObj>
          <w:docPartGallery w:val="Table of Contents"/>
          <w:docPartUnique/>
        </w:docPartObj>
      </w:sdtPr>
      <w:sdtEndPr>
        <w:rPr>
          <w:noProof/>
        </w:rPr>
      </w:sdtEndPr>
      <w:sdtContent>
        <w:p w:rsidR="00C22B7C" w:rsidRPr="002F7824" w:rsidRDefault="00C22B7C" w:rsidP="005E19AF">
          <w:pPr>
            <w:pStyle w:val="TOCHeading"/>
            <w:jc w:val="both"/>
            <w:rPr>
              <w:rFonts w:asciiTheme="minorHAnsi" w:eastAsiaTheme="minorHAnsi" w:hAnsiTheme="minorHAnsi" w:cstheme="minorBidi"/>
              <w:b w:val="0"/>
              <w:bCs w:val="0"/>
              <w:color w:val="auto"/>
              <w:sz w:val="22"/>
              <w:szCs w:val="22"/>
              <w:lang w:eastAsia="en-US"/>
            </w:rPr>
          </w:pPr>
          <w:r w:rsidRPr="00147D59">
            <w:t>Table of Contents</w:t>
          </w:r>
        </w:p>
        <w:p w:rsidR="004324BD" w:rsidRDefault="00C22B7C" w:rsidP="005E19AF">
          <w:pPr>
            <w:pStyle w:val="TOC2"/>
            <w:tabs>
              <w:tab w:val="right" w:leader="dot" w:pos="9350"/>
            </w:tabs>
            <w:jc w:val="both"/>
            <w:rPr>
              <w:rFonts w:eastAsiaTheme="minorEastAsia"/>
              <w:noProof/>
            </w:rPr>
          </w:pPr>
          <w:r w:rsidRPr="00147D59">
            <w:fldChar w:fldCharType="begin"/>
          </w:r>
          <w:r w:rsidRPr="00147D59">
            <w:instrText xml:space="preserve"> TOC \o "1-3" \h \z \u </w:instrText>
          </w:r>
          <w:r w:rsidRPr="00147D59">
            <w:fldChar w:fldCharType="separate"/>
          </w:r>
          <w:hyperlink w:anchor="_Toc13477586" w:history="1">
            <w:r w:rsidR="004324BD" w:rsidRPr="005107AD">
              <w:rPr>
                <w:rStyle w:val="Hyperlink"/>
                <w:noProof/>
              </w:rPr>
              <w:t>Abstract</w:t>
            </w:r>
            <w:r w:rsidR="004324BD">
              <w:rPr>
                <w:noProof/>
                <w:webHidden/>
              </w:rPr>
              <w:tab/>
            </w:r>
            <w:r w:rsidR="004324BD">
              <w:rPr>
                <w:noProof/>
                <w:webHidden/>
              </w:rPr>
              <w:fldChar w:fldCharType="begin"/>
            </w:r>
            <w:r w:rsidR="004324BD">
              <w:rPr>
                <w:noProof/>
                <w:webHidden/>
              </w:rPr>
              <w:instrText xml:space="preserve"> PAGEREF _Toc13477586 \h </w:instrText>
            </w:r>
            <w:r w:rsidR="004324BD">
              <w:rPr>
                <w:noProof/>
                <w:webHidden/>
              </w:rPr>
            </w:r>
            <w:r w:rsidR="004324BD">
              <w:rPr>
                <w:noProof/>
                <w:webHidden/>
              </w:rPr>
              <w:fldChar w:fldCharType="separate"/>
            </w:r>
            <w:r w:rsidR="005E19AF">
              <w:rPr>
                <w:noProof/>
                <w:webHidden/>
              </w:rPr>
              <w:t>2</w:t>
            </w:r>
            <w:r w:rsidR="004324BD">
              <w:rPr>
                <w:noProof/>
                <w:webHidden/>
              </w:rPr>
              <w:fldChar w:fldCharType="end"/>
            </w:r>
          </w:hyperlink>
        </w:p>
        <w:p w:rsidR="004324BD" w:rsidRDefault="000317E8" w:rsidP="005E19AF">
          <w:pPr>
            <w:pStyle w:val="TOC1"/>
            <w:tabs>
              <w:tab w:val="right" w:leader="dot" w:pos="9350"/>
            </w:tabs>
            <w:jc w:val="both"/>
            <w:rPr>
              <w:rFonts w:eastAsiaTheme="minorEastAsia"/>
              <w:noProof/>
            </w:rPr>
          </w:pPr>
          <w:hyperlink w:anchor="_Toc13477587" w:history="1">
            <w:r w:rsidR="004324BD" w:rsidRPr="005107AD">
              <w:rPr>
                <w:rStyle w:val="Hyperlink"/>
                <w:noProof/>
              </w:rPr>
              <w:t>1. Introduction</w:t>
            </w:r>
            <w:r w:rsidR="004324BD">
              <w:rPr>
                <w:noProof/>
                <w:webHidden/>
              </w:rPr>
              <w:tab/>
            </w:r>
            <w:r w:rsidR="004324BD">
              <w:rPr>
                <w:noProof/>
                <w:webHidden/>
              </w:rPr>
              <w:fldChar w:fldCharType="begin"/>
            </w:r>
            <w:r w:rsidR="004324BD">
              <w:rPr>
                <w:noProof/>
                <w:webHidden/>
              </w:rPr>
              <w:instrText xml:space="preserve"> PAGEREF _Toc13477587 \h </w:instrText>
            </w:r>
            <w:r w:rsidR="004324BD">
              <w:rPr>
                <w:noProof/>
                <w:webHidden/>
              </w:rPr>
            </w:r>
            <w:r w:rsidR="004324BD">
              <w:rPr>
                <w:noProof/>
                <w:webHidden/>
              </w:rPr>
              <w:fldChar w:fldCharType="separate"/>
            </w:r>
            <w:r w:rsidR="005E19AF">
              <w:rPr>
                <w:noProof/>
                <w:webHidden/>
              </w:rPr>
              <w:t>4</w:t>
            </w:r>
            <w:r w:rsidR="004324BD">
              <w:rPr>
                <w:noProof/>
                <w:webHidden/>
              </w:rPr>
              <w:fldChar w:fldCharType="end"/>
            </w:r>
          </w:hyperlink>
        </w:p>
        <w:p w:rsidR="004324BD" w:rsidRDefault="000317E8" w:rsidP="005E19AF">
          <w:pPr>
            <w:pStyle w:val="TOC2"/>
            <w:tabs>
              <w:tab w:val="right" w:leader="dot" w:pos="9350"/>
            </w:tabs>
            <w:jc w:val="both"/>
            <w:rPr>
              <w:rFonts w:eastAsiaTheme="minorEastAsia"/>
              <w:noProof/>
            </w:rPr>
          </w:pPr>
          <w:hyperlink w:anchor="_Toc13477588" w:history="1">
            <w:r w:rsidR="004324BD" w:rsidRPr="005107AD">
              <w:rPr>
                <w:rStyle w:val="Hyperlink"/>
                <w:noProof/>
              </w:rPr>
              <w:t>1.1 Preface</w:t>
            </w:r>
            <w:r w:rsidR="004324BD">
              <w:rPr>
                <w:noProof/>
                <w:webHidden/>
              </w:rPr>
              <w:tab/>
            </w:r>
            <w:r w:rsidR="004324BD">
              <w:rPr>
                <w:noProof/>
                <w:webHidden/>
              </w:rPr>
              <w:fldChar w:fldCharType="begin"/>
            </w:r>
            <w:r w:rsidR="004324BD">
              <w:rPr>
                <w:noProof/>
                <w:webHidden/>
              </w:rPr>
              <w:instrText xml:space="preserve"> PAGEREF _Toc13477588 \h </w:instrText>
            </w:r>
            <w:r w:rsidR="004324BD">
              <w:rPr>
                <w:noProof/>
                <w:webHidden/>
              </w:rPr>
            </w:r>
            <w:r w:rsidR="004324BD">
              <w:rPr>
                <w:noProof/>
                <w:webHidden/>
              </w:rPr>
              <w:fldChar w:fldCharType="separate"/>
            </w:r>
            <w:r w:rsidR="005E19AF">
              <w:rPr>
                <w:noProof/>
                <w:webHidden/>
              </w:rPr>
              <w:t>4</w:t>
            </w:r>
            <w:r w:rsidR="004324BD">
              <w:rPr>
                <w:noProof/>
                <w:webHidden/>
              </w:rPr>
              <w:fldChar w:fldCharType="end"/>
            </w:r>
          </w:hyperlink>
        </w:p>
        <w:p w:rsidR="004324BD" w:rsidRDefault="000317E8" w:rsidP="005E19AF">
          <w:pPr>
            <w:pStyle w:val="TOC2"/>
            <w:tabs>
              <w:tab w:val="right" w:leader="dot" w:pos="9350"/>
            </w:tabs>
            <w:jc w:val="both"/>
            <w:rPr>
              <w:rFonts w:eastAsiaTheme="minorEastAsia"/>
              <w:noProof/>
            </w:rPr>
          </w:pPr>
          <w:hyperlink w:anchor="_Toc13477589" w:history="1">
            <w:r w:rsidR="004324BD" w:rsidRPr="005107AD">
              <w:rPr>
                <w:rStyle w:val="Hyperlink"/>
                <w:noProof/>
              </w:rPr>
              <w:t>1.2 Main findings</w:t>
            </w:r>
            <w:r w:rsidR="004324BD">
              <w:rPr>
                <w:noProof/>
                <w:webHidden/>
              </w:rPr>
              <w:tab/>
            </w:r>
            <w:r w:rsidR="004324BD">
              <w:rPr>
                <w:noProof/>
                <w:webHidden/>
              </w:rPr>
              <w:fldChar w:fldCharType="begin"/>
            </w:r>
            <w:r w:rsidR="004324BD">
              <w:rPr>
                <w:noProof/>
                <w:webHidden/>
              </w:rPr>
              <w:instrText xml:space="preserve"> PAGEREF _Toc13477589 \h </w:instrText>
            </w:r>
            <w:r w:rsidR="004324BD">
              <w:rPr>
                <w:noProof/>
                <w:webHidden/>
              </w:rPr>
            </w:r>
            <w:r w:rsidR="004324BD">
              <w:rPr>
                <w:noProof/>
                <w:webHidden/>
              </w:rPr>
              <w:fldChar w:fldCharType="separate"/>
            </w:r>
            <w:r w:rsidR="005E19AF">
              <w:rPr>
                <w:noProof/>
                <w:webHidden/>
              </w:rPr>
              <w:t>5</w:t>
            </w:r>
            <w:r w:rsidR="004324BD">
              <w:rPr>
                <w:noProof/>
                <w:webHidden/>
              </w:rPr>
              <w:fldChar w:fldCharType="end"/>
            </w:r>
          </w:hyperlink>
        </w:p>
        <w:p w:rsidR="004324BD" w:rsidRDefault="000317E8" w:rsidP="005E19AF">
          <w:pPr>
            <w:pStyle w:val="TOC2"/>
            <w:tabs>
              <w:tab w:val="right" w:leader="dot" w:pos="9350"/>
            </w:tabs>
            <w:jc w:val="both"/>
            <w:rPr>
              <w:rFonts w:eastAsiaTheme="minorEastAsia"/>
              <w:noProof/>
            </w:rPr>
          </w:pPr>
          <w:hyperlink w:anchor="_Toc13477590" w:history="1">
            <w:r w:rsidR="004324BD" w:rsidRPr="005107AD">
              <w:rPr>
                <w:rStyle w:val="Hyperlink"/>
                <w:noProof/>
              </w:rPr>
              <w:t>1.3 Relevance</w:t>
            </w:r>
            <w:r w:rsidR="004324BD">
              <w:rPr>
                <w:noProof/>
                <w:webHidden/>
              </w:rPr>
              <w:tab/>
            </w:r>
            <w:r w:rsidR="004324BD">
              <w:rPr>
                <w:noProof/>
                <w:webHidden/>
              </w:rPr>
              <w:fldChar w:fldCharType="begin"/>
            </w:r>
            <w:r w:rsidR="004324BD">
              <w:rPr>
                <w:noProof/>
                <w:webHidden/>
              </w:rPr>
              <w:instrText xml:space="preserve"> PAGEREF _Toc13477590 \h </w:instrText>
            </w:r>
            <w:r w:rsidR="004324BD">
              <w:rPr>
                <w:noProof/>
                <w:webHidden/>
              </w:rPr>
            </w:r>
            <w:r w:rsidR="004324BD">
              <w:rPr>
                <w:noProof/>
                <w:webHidden/>
              </w:rPr>
              <w:fldChar w:fldCharType="separate"/>
            </w:r>
            <w:r w:rsidR="005E19AF">
              <w:rPr>
                <w:noProof/>
                <w:webHidden/>
              </w:rPr>
              <w:t>5</w:t>
            </w:r>
            <w:r w:rsidR="004324BD">
              <w:rPr>
                <w:noProof/>
                <w:webHidden/>
              </w:rPr>
              <w:fldChar w:fldCharType="end"/>
            </w:r>
          </w:hyperlink>
        </w:p>
        <w:p w:rsidR="004324BD" w:rsidRDefault="000317E8" w:rsidP="005E19AF">
          <w:pPr>
            <w:pStyle w:val="TOC2"/>
            <w:tabs>
              <w:tab w:val="right" w:leader="dot" w:pos="9350"/>
            </w:tabs>
            <w:jc w:val="both"/>
            <w:rPr>
              <w:rFonts w:eastAsiaTheme="minorEastAsia"/>
              <w:noProof/>
            </w:rPr>
          </w:pPr>
          <w:hyperlink w:anchor="_Toc13477591" w:history="1">
            <w:r w:rsidR="004324BD" w:rsidRPr="005107AD">
              <w:rPr>
                <w:rStyle w:val="Hyperlink"/>
                <w:noProof/>
              </w:rPr>
              <w:t>1.4 Structure</w:t>
            </w:r>
            <w:r w:rsidR="004324BD">
              <w:rPr>
                <w:noProof/>
                <w:webHidden/>
              </w:rPr>
              <w:tab/>
            </w:r>
            <w:r w:rsidR="004324BD">
              <w:rPr>
                <w:noProof/>
                <w:webHidden/>
              </w:rPr>
              <w:fldChar w:fldCharType="begin"/>
            </w:r>
            <w:r w:rsidR="004324BD">
              <w:rPr>
                <w:noProof/>
                <w:webHidden/>
              </w:rPr>
              <w:instrText xml:space="preserve"> PAGEREF _Toc13477591 \h </w:instrText>
            </w:r>
            <w:r w:rsidR="004324BD">
              <w:rPr>
                <w:noProof/>
                <w:webHidden/>
              </w:rPr>
            </w:r>
            <w:r w:rsidR="004324BD">
              <w:rPr>
                <w:noProof/>
                <w:webHidden/>
              </w:rPr>
              <w:fldChar w:fldCharType="separate"/>
            </w:r>
            <w:r w:rsidR="005E19AF">
              <w:rPr>
                <w:noProof/>
                <w:webHidden/>
              </w:rPr>
              <w:t>5</w:t>
            </w:r>
            <w:r w:rsidR="004324BD">
              <w:rPr>
                <w:noProof/>
                <w:webHidden/>
              </w:rPr>
              <w:fldChar w:fldCharType="end"/>
            </w:r>
          </w:hyperlink>
        </w:p>
        <w:p w:rsidR="004324BD" w:rsidRDefault="000317E8" w:rsidP="005E19AF">
          <w:pPr>
            <w:pStyle w:val="TOC1"/>
            <w:tabs>
              <w:tab w:val="right" w:leader="dot" w:pos="9350"/>
            </w:tabs>
            <w:jc w:val="both"/>
            <w:rPr>
              <w:rFonts w:eastAsiaTheme="minorEastAsia"/>
              <w:noProof/>
            </w:rPr>
          </w:pPr>
          <w:hyperlink w:anchor="_Toc13477592" w:history="1">
            <w:r w:rsidR="004324BD" w:rsidRPr="005107AD">
              <w:rPr>
                <w:rStyle w:val="Hyperlink"/>
                <w:noProof/>
              </w:rPr>
              <w:t>2. Literature Review</w:t>
            </w:r>
            <w:r w:rsidR="004324BD">
              <w:rPr>
                <w:noProof/>
                <w:webHidden/>
              </w:rPr>
              <w:tab/>
            </w:r>
            <w:r w:rsidR="004324BD">
              <w:rPr>
                <w:noProof/>
                <w:webHidden/>
              </w:rPr>
              <w:fldChar w:fldCharType="begin"/>
            </w:r>
            <w:r w:rsidR="004324BD">
              <w:rPr>
                <w:noProof/>
                <w:webHidden/>
              </w:rPr>
              <w:instrText xml:space="preserve"> PAGEREF _Toc13477592 \h </w:instrText>
            </w:r>
            <w:r w:rsidR="004324BD">
              <w:rPr>
                <w:noProof/>
                <w:webHidden/>
              </w:rPr>
            </w:r>
            <w:r w:rsidR="004324BD">
              <w:rPr>
                <w:noProof/>
                <w:webHidden/>
              </w:rPr>
              <w:fldChar w:fldCharType="separate"/>
            </w:r>
            <w:r w:rsidR="005E19AF">
              <w:rPr>
                <w:noProof/>
                <w:webHidden/>
              </w:rPr>
              <w:t>6</w:t>
            </w:r>
            <w:r w:rsidR="004324BD">
              <w:rPr>
                <w:noProof/>
                <w:webHidden/>
              </w:rPr>
              <w:fldChar w:fldCharType="end"/>
            </w:r>
          </w:hyperlink>
        </w:p>
        <w:p w:rsidR="004324BD" w:rsidRDefault="000317E8" w:rsidP="005E19AF">
          <w:pPr>
            <w:pStyle w:val="TOC2"/>
            <w:tabs>
              <w:tab w:val="right" w:leader="dot" w:pos="9350"/>
            </w:tabs>
            <w:jc w:val="both"/>
            <w:rPr>
              <w:rFonts w:eastAsiaTheme="minorEastAsia"/>
              <w:noProof/>
            </w:rPr>
          </w:pPr>
          <w:hyperlink w:anchor="_Toc13477593" w:history="1">
            <w:r w:rsidR="004324BD" w:rsidRPr="005107AD">
              <w:rPr>
                <w:rStyle w:val="Hyperlink"/>
                <w:noProof/>
              </w:rPr>
              <w:t>2.1 Mergers and Acquisitions theories</w:t>
            </w:r>
            <w:r w:rsidR="004324BD">
              <w:rPr>
                <w:noProof/>
                <w:webHidden/>
              </w:rPr>
              <w:tab/>
            </w:r>
            <w:r w:rsidR="004324BD">
              <w:rPr>
                <w:noProof/>
                <w:webHidden/>
              </w:rPr>
              <w:fldChar w:fldCharType="begin"/>
            </w:r>
            <w:r w:rsidR="004324BD">
              <w:rPr>
                <w:noProof/>
                <w:webHidden/>
              </w:rPr>
              <w:instrText xml:space="preserve"> PAGEREF _Toc13477593 \h </w:instrText>
            </w:r>
            <w:r w:rsidR="004324BD">
              <w:rPr>
                <w:noProof/>
                <w:webHidden/>
              </w:rPr>
            </w:r>
            <w:r w:rsidR="004324BD">
              <w:rPr>
                <w:noProof/>
                <w:webHidden/>
              </w:rPr>
              <w:fldChar w:fldCharType="separate"/>
            </w:r>
            <w:r w:rsidR="005E19AF">
              <w:rPr>
                <w:noProof/>
                <w:webHidden/>
              </w:rPr>
              <w:t>6</w:t>
            </w:r>
            <w:r w:rsidR="004324BD">
              <w:rPr>
                <w:noProof/>
                <w:webHidden/>
              </w:rPr>
              <w:fldChar w:fldCharType="end"/>
            </w:r>
          </w:hyperlink>
        </w:p>
        <w:p w:rsidR="004324BD" w:rsidRDefault="000317E8" w:rsidP="005E19AF">
          <w:pPr>
            <w:pStyle w:val="TOC2"/>
            <w:tabs>
              <w:tab w:val="right" w:leader="dot" w:pos="9350"/>
            </w:tabs>
            <w:jc w:val="both"/>
            <w:rPr>
              <w:rFonts w:eastAsiaTheme="minorEastAsia"/>
              <w:noProof/>
            </w:rPr>
          </w:pPr>
          <w:hyperlink w:anchor="_Toc13477594" w:history="1">
            <w:r w:rsidR="004324BD" w:rsidRPr="005107AD">
              <w:rPr>
                <w:rStyle w:val="Hyperlink"/>
                <w:noProof/>
              </w:rPr>
              <w:t>2.2 Empirical results mergers and acquisitions</w:t>
            </w:r>
            <w:r w:rsidR="004324BD">
              <w:rPr>
                <w:noProof/>
                <w:webHidden/>
              </w:rPr>
              <w:tab/>
            </w:r>
            <w:r w:rsidR="004324BD">
              <w:rPr>
                <w:noProof/>
                <w:webHidden/>
              </w:rPr>
              <w:fldChar w:fldCharType="begin"/>
            </w:r>
            <w:r w:rsidR="004324BD">
              <w:rPr>
                <w:noProof/>
                <w:webHidden/>
              </w:rPr>
              <w:instrText xml:space="preserve"> PAGEREF _Toc13477594 \h </w:instrText>
            </w:r>
            <w:r w:rsidR="004324BD">
              <w:rPr>
                <w:noProof/>
                <w:webHidden/>
              </w:rPr>
            </w:r>
            <w:r w:rsidR="004324BD">
              <w:rPr>
                <w:noProof/>
                <w:webHidden/>
              </w:rPr>
              <w:fldChar w:fldCharType="separate"/>
            </w:r>
            <w:r w:rsidR="005E19AF">
              <w:rPr>
                <w:noProof/>
                <w:webHidden/>
              </w:rPr>
              <w:t>8</w:t>
            </w:r>
            <w:r w:rsidR="004324BD">
              <w:rPr>
                <w:noProof/>
                <w:webHidden/>
              </w:rPr>
              <w:fldChar w:fldCharType="end"/>
            </w:r>
          </w:hyperlink>
        </w:p>
        <w:p w:rsidR="004324BD" w:rsidRDefault="000317E8" w:rsidP="005E19AF">
          <w:pPr>
            <w:pStyle w:val="TOC2"/>
            <w:tabs>
              <w:tab w:val="right" w:leader="dot" w:pos="9350"/>
            </w:tabs>
            <w:jc w:val="both"/>
            <w:rPr>
              <w:rFonts w:eastAsiaTheme="minorEastAsia"/>
              <w:noProof/>
            </w:rPr>
          </w:pPr>
          <w:hyperlink w:anchor="_Toc13477595" w:history="1">
            <w:r w:rsidR="004324BD" w:rsidRPr="005107AD">
              <w:rPr>
                <w:rStyle w:val="Hyperlink"/>
                <w:noProof/>
              </w:rPr>
              <w:t>2.3 Determinants of abnormal returns</w:t>
            </w:r>
            <w:r w:rsidR="004324BD">
              <w:rPr>
                <w:noProof/>
                <w:webHidden/>
              </w:rPr>
              <w:tab/>
            </w:r>
            <w:r w:rsidR="004324BD">
              <w:rPr>
                <w:noProof/>
                <w:webHidden/>
              </w:rPr>
              <w:fldChar w:fldCharType="begin"/>
            </w:r>
            <w:r w:rsidR="004324BD">
              <w:rPr>
                <w:noProof/>
                <w:webHidden/>
              </w:rPr>
              <w:instrText xml:space="preserve"> PAGEREF _Toc13477595 \h </w:instrText>
            </w:r>
            <w:r w:rsidR="004324BD">
              <w:rPr>
                <w:noProof/>
                <w:webHidden/>
              </w:rPr>
            </w:r>
            <w:r w:rsidR="004324BD">
              <w:rPr>
                <w:noProof/>
                <w:webHidden/>
              </w:rPr>
              <w:fldChar w:fldCharType="separate"/>
            </w:r>
            <w:r w:rsidR="005E19AF">
              <w:rPr>
                <w:noProof/>
                <w:webHidden/>
              </w:rPr>
              <w:t>9</w:t>
            </w:r>
            <w:r w:rsidR="004324BD">
              <w:rPr>
                <w:noProof/>
                <w:webHidden/>
              </w:rPr>
              <w:fldChar w:fldCharType="end"/>
            </w:r>
          </w:hyperlink>
        </w:p>
        <w:p w:rsidR="004324BD" w:rsidRDefault="000317E8" w:rsidP="005E19AF">
          <w:pPr>
            <w:pStyle w:val="TOC2"/>
            <w:tabs>
              <w:tab w:val="right" w:leader="dot" w:pos="9350"/>
            </w:tabs>
            <w:jc w:val="both"/>
            <w:rPr>
              <w:rFonts w:eastAsiaTheme="minorEastAsia"/>
              <w:noProof/>
            </w:rPr>
          </w:pPr>
          <w:hyperlink w:anchor="_Toc13477596" w:history="1">
            <w:r w:rsidR="004324BD" w:rsidRPr="005107AD">
              <w:rPr>
                <w:rStyle w:val="Hyperlink"/>
                <w:noProof/>
              </w:rPr>
              <w:t>2.4 M&amp;As in the Energy and Power Industry</w:t>
            </w:r>
            <w:r w:rsidR="004324BD">
              <w:rPr>
                <w:noProof/>
                <w:webHidden/>
              </w:rPr>
              <w:tab/>
            </w:r>
            <w:r w:rsidR="004324BD">
              <w:rPr>
                <w:noProof/>
                <w:webHidden/>
              </w:rPr>
              <w:fldChar w:fldCharType="begin"/>
            </w:r>
            <w:r w:rsidR="004324BD">
              <w:rPr>
                <w:noProof/>
                <w:webHidden/>
              </w:rPr>
              <w:instrText xml:space="preserve"> PAGEREF _Toc13477596 \h </w:instrText>
            </w:r>
            <w:r w:rsidR="004324BD">
              <w:rPr>
                <w:noProof/>
                <w:webHidden/>
              </w:rPr>
            </w:r>
            <w:r w:rsidR="004324BD">
              <w:rPr>
                <w:noProof/>
                <w:webHidden/>
              </w:rPr>
              <w:fldChar w:fldCharType="separate"/>
            </w:r>
            <w:r w:rsidR="005E19AF">
              <w:rPr>
                <w:noProof/>
                <w:webHidden/>
              </w:rPr>
              <w:t>11</w:t>
            </w:r>
            <w:r w:rsidR="004324BD">
              <w:rPr>
                <w:noProof/>
                <w:webHidden/>
              </w:rPr>
              <w:fldChar w:fldCharType="end"/>
            </w:r>
          </w:hyperlink>
        </w:p>
        <w:p w:rsidR="004324BD" w:rsidRDefault="000317E8" w:rsidP="005E19AF">
          <w:pPr>
            <w:pStyle w:val="TOC2"/>
            <w:tabs>
              <w:tab w:val="right" w:leader="dot" w:pos="9350"/>
            </w:tabs>
            <w:jc w:val="both"/>
            <w:rPr>
              <w:rFonts w:eastAsiaTheme="minorEastAsia"/>
              <w:noProof/>
            </w:rPr>
          </w:pPr>
          <w:hyperlink w:anchor="_Toc13477597" w:history="1">
            <w:r w:rsidR="004324BD" w:rsidRPr="005107AD">
              <w:rPr>
                <w:rStyle w:val="Hyperlink"/>
                <w:noProof/>
              </w:rPr>
              <w:t>2.5 Supporting Research Questions</w:t>
            </w:r>
            <w:r w:rsidR="004324BD">
              <w:rPr>
                <w:noProof/>
                <w:webHidden/>
              </w:rPr>
              <w:tab/>
            </w:r>
            <w:r w:rsidR="004324BD">
              <w:rPr>
                <w:noProof/>
                <w:webHidden/>
              </w:rPr>
              <w:fldChar w:fldCharType="begin"/>
            </w:r>
            <w:r w:rsidR="004324BD">
              <w:rPr>
                <w:noProof/>
                <w:webHidden/>
              </w:rPr>
              <w:instrText xml:space="preserve"> PAGEREF _Toc13477597 \h </w:instrText>
            </w:r>
            <w:r w:rsidR="004324BD">
              <w:rPr>
                <w:noProof/>
                <w:webHidden/>
              </w:rPr>
            </w:r>
            <w:r w:rsidR="004324BD">
              <w:rPr>
                <w:noProof/>
                <w:webHidden/>
              </w:rPr>
              <w:fldChar w:fldCharType="separate"/>
            </w:r>
            <w:r w:rsidR="005E19AF">
              <w:rPr>
                <w:noProof/>
                <w:webHidden/>
              </w:rPr>
              <w:t>12</w:t>
            </w:r>
            <w:r w:rsidR="004324BD">
              <w:rPr>
                <w:noProof/>
                <w:webHidden/>
              </w:rPr>
              <w:fldChar w:fldCharType="end"/>
            </w:r>
          </w:hyperlink>
        </w:p>
        <w:p w:rsidR="004324BD" w:rsidRDefault="000317E8" w:rsidP="005E19AF">
          <w:pPr>
            <w:pStyle w:val="TOC1"/>
            <w:tabs>
              <w:tab w:val="right" w:leader="dot" w:pos="9350"/>
            </w:tabs>
            <w:jc w:val="both"/>
            <w:rPr>
              <w:rFonts w:eastAsiaTheme="minorEastAsia"/>
              <w:noProof/>
            </w:rPr>
          </w:pPr>
          <w:hyperlink w:anchor="_Toc13477598" w:history="1">
            <w:r w:rsidR="004324BD" w:rsidRPr="005107AD">
              <w:rPr>
                <w:rStyle w:val="Hyperlink"/>
                <w:noProof/>
              </w:rPr>
              <w:t>3. Data and Methods</w:t>
            </w:r>
            <w:r w:rsidR="004324BD">
              <w:rPr>
                <w:noProof/>
                <w:webHidden/>
              </w:rPr>
              <w:tab/>
            </w:r>
            <w:r w:rsidR="004324BD">
              <w:rPr>
                <w:noProof/>
                <w:webHidden/>
              </w:rPr>
              <w:fldChar w:fldCharType="begin"/>
            </w:r>
            <w:r w:rsidR="004324BD">
              <w:rPr>
                <w:noProof/>
                <w:webHidden/>
              </w:rPr>
              <w:instrText xml:space="preserve"> PAGEREF _Toc13477598 \h </w:instrText>
            </w:r>
            <w:r w:rsidR="004324BD">
              <w:rPr>
                <w:noProof/>
                <w:webHidden/>
              </w:rPr>
            </w:r>
            <w:r w:rsidR="004324BD">
              <w:rPr>
                <w:noProof/>
                <w:webHidden/>
              </w:rPr>
              <w:fldChar w:fldCharType="separate"/>
            </w:r>
            <w:r w:rsidR="005E19AF">
              <w:rPr>
                <w:noProof/>
                <w:webHidden/>
              </w:rPr>
              <w:t>14</w:t>
            </w:r>
            <w:r w:rsidR="004324BD">
              <w:rPr>
                <w:noProof/>
                <w:webHidden/>
              </w:rPr>
              <w:fldChar w:fldCharType="end"/>
            </w:r>
          </w:hyperlink>
        </w:p>
        <w:p w:rsidR="004324BD" w:rsidRDefault="000317E8" w:rsidP="005E19AF">
          <w:pPr>
            <w:pStyle w:val="TOC2"/>
            <w:tabs>
              <w:tab w:val="right" w:leader="dot" w:pos="9350"/>
            </w:tabs>
            <w:jc w:val="both"/>
            <w:rPr>
              <w:rFonts w:eastAsiaTheme="minorEastAsia"/>
              <w:noProof/>
            </w:rPr>
          </w:pPr>
          <w:hyperlink w:anchor="_Toc13477599" w:history="1">
            <w:r w:rsidR="004324BD" w:rsidRPr="005107AD">
              <w:rPr>
                <w:rStyle w:val="Hyperlink"/>
                <w:noProof/>
              </w:rPr>
              <w:t>3.1: Event Study</w:t>
            </w:r>
            <w:r w:rsidR="004324BD">
              <w:rPr>
                <w:noProof/>
                <w:webHidden/>
              </w:rPr>
              <w:tab/>
            </w:r>
            <w:r w:rsidR="004324BD">
              <w:rPr>
                <w:noProof/>
                <w:webHidden/>
              </w:rPr>
              <w:fldChar w:fldCharType="begin"/>
            </w:r>
            <w:r w:rsidR="004324BD">
              <w:rPr>
                <w:noProof/>
                <w:webHidden/>
              </w:rPr>
              <w:instrText xml:space="preserve"> PAGEREF _Toc13477599 \h </w:instrText>
            </w:r>
            <w:r w:rsidR="004324BD">
              <w:rPr>
                <w:noProof/>
                <w:webHidden/>
              </w:rPr>
            </w:r>
            <w:r w:rsidR="004324BD">
              <w:rPr>
                <w:noProof/>
                <w:webHidden/>
              </w:rPr>
              <w:fldChar w:fldCharType="separate"/>
            </w:r>
            <w:r w:rsidR="005E19AF">
              <w:rPr>
                <w:noProof/>
                <w:webHidden/>
              </w:rPr>
              <w:t>14</w:t>
            </w:r>
            <w:r w:rsidR="004324BD">
              <w:rPr>
                <w:noProof/>
                <w:webHidden/>
              </w:rPr>
              <w:fldChar w:fldCharType="end"/>
            </w:r>
          </w:hyperlink>
        </w:p>
        <w:p w:rsidR="004324BD" w:rsidRDefault="000317E8" w:rsidP="005E19AF">
          <w:pPr>
            <w:pStyle w:val="TOC2"/>
            <w:tabs>
              <w:tab w:val="right" w:leader="dot" w:pos="9350"/>
            </w:tabs>
            <w:jc w:val="both"/>
            <w:rPr>
              <w:rFonts w:eastAsiaTheme="minorEastAsia"/>
              <w:noProof/>
            </w:rPr>
          </w:pPr>
          <w:hyperlink w:anchor="_Toc13477600" w:history="1">
            <w:r w:rsidR="004324BD" w:rsidRPr="005107AD">
              <w:rPr>
                <w:rStyle w:val="Hyperlink"/>
                <w:noProof/>
                <w:bdr w:val="none" w:sz="0" w:space="0" w:color="auto" w:frame="1"/>
                <w:shd w:val="clear" w:color="auto" w:fill="FFFFFF"/>
                <w:lang w:eastAsia="nl-NL"/>
              </w:rPr>
              <w:t>3.2: Regression analysis</w:t>
            </w:r>
            <w:r w:rsidR="004324BD">
              <w:rPr>
                <w:noProof/>
                <w:webHidden/>
              </w:rPr>
              <w:tab/>
            </w:r>
            <w:r w:rsidR="004324BD">
              <w:rPr>
                <w:noProof/>
                <w:webHidden/>
              </w:rPr>
              <w:fldChar w:fldCharType="begin"/>
            </w:r>
            <w:r w:rsidR="004324BD">
              <w:rPr>
                <w:noProof/>
                <w:webHidden/>
              </w:rPr>
              <w:instrText xml:space="preserve"> PAGEREF _Toc13477600 \h </w:instrText>
            </w:r>
            <w:r w:rsidR="004324BD">
              <w:rPr>
                <w:noProof/>
                <w:webHidden/>
              </w:rPr>
            </w:r>
            <w:r w:rsidR="004324BD">
              <w:rPr>
                <w:noProof/>
                <w:webHidden/>
              </w:rPr>
              <w:fldChar w:fldCharType="separate"/>
            </w:r>
            <w:r w:rsidR="005E19AF">
              <w:rPr>
                <w:noProof/>
                <w:webHidden/>
              </w:rPr>
              <w:t>16</w:t>
            </w:r>
            <w:r w:rsidR="004324BD">
              <w:rPr>
                <w:noProof/>
                <w:webHidden/>
              </w:rPr>
              <w:fldChar w:fldCharType="end"/>
            </w:r>
          </w:hyperlink>
        </w:p>
        <w:p w:rsidR="004324BD" w:rsidRDefault="000317E8" w:rsidP="005E19AF">
          <w:pPr>
            <w:pStyle w:val="TOC3"/>
            <w:tabs>
              <w:tab w:val="right" w:leader="dot" w:pos="9350"/>
            </w:tabs>
            <w:jc w:val="both"/>
            <w:rPr>
              <w:rFonts w:eastAsiaTheme="minorEastAsia"/>
              <w:noProof/>
            </w:rPr>
          </w:pPr>
          <w:hyperlink w:anchor="_Toc13477601" w:history="1">
            <w:r w:rsidR="004324BD" w:rsidRPr="005107AD">
              <w:rPr>
                <w:rStyle w:val="Hyperlink"/>
                <w:noProof/>
                <w:bdr w:val="none" w:sz="0" w:space="0" w:color="auto" w:frame="1"/>
                <w:shd w:val="clear" w:color="auto" w:fill="FFFFFF"/>
                <w:lang w:eastAsia="nl-NL"/>
              </w:rPr>
              <w:t>3.2.1 Determinants</w:t>
            </w:r>
            <w:r w:rsidR="004324BD">
              <w:rPr>
                <w:noProof/>
                <w:webHidden/>
              </w:rPr>
              <w:tab/>
            </w:r>
            <w:r w:rsidR="004324BD">
              <w:rPr>
                <w:noProof/>
                <w:webHidden/>
              </w:rPr>
              <w:fldChar w:fldCharType="begin"/>
            </w:r>
            <w:r w:rsidR="004324BD">
              <w:rPr>
                <w:noProof/>
                <w:webHidden/>
              </w:rPr>
              <w:instrText xml:space="preserve"> PAGEREF _Toc13477601 \h </w:instrText>
            </w:r>
            <w:r w:rsidR="004324BD">
              <w:rPr>
                <w:noProof/>
                <w:webHidden/>
              </w:rPr>
            </w:r>
            <w:r w:rsidR="004324BD">
              <w:rPr>
                <w:noProof/>
                <w:webHidden/>
              </w:rPr>
              <w:fldChar w:fldCharType="separate"/>
            </w:r>
            <w:r w:rsidR="005E19AF">
              <w:rPr>
                <w:noProof/>
                <w:webHidden/>
              </w:rPr>
              <w:t>16</w:t>
            </w:r>
            <w:r w:rsidR="004324BD">
              <w:rPr>
                <w:noProof/>
                <w:webHidden/>
              </w:rPr>
              <w:fldChar w:fldCharType="end"/>
            </w:r>
          </w:hyperlink>
        </w:p>
        <w:p w:rsidR="004324BD" w:rsidRDefault="000317E8" w:rsidP="005E19AF">
          <w:pPr>
            <w:pStyle w:val="TOC2"/>
            <w:tabs>
              <w:tab w:val="right" w:leader="dot" w:pos="9350"/>
            </w:tabs>
            <w:jc w:val="both"/>
            <w:rPr>
              <w:rFonts w:eastAsiaTheme="minorEastAsia"/>
              <w:noProof/>
            </w:rPr>
          </w:pPr>
          <w:hyperlink w:anchor="_Toc13477602" w:history="1">
            <w:r w:rsidR="004324BD" w:rsidRPr="005107AD">
              <w:rPr>
                <w:rStyle w:val="Hyperlink"/>
                <w:noProof/>
                <w:bdr w:val="none" w:sz="0" w:space="0" w:color="auto" w:frame="1"/>
                <w:shd w:val="clear" w:color="auto" w:fill="FFFFFF"/>
                <w:lang w:eastAsia="nl-NL"/>
              </w:rPr>
              <w:t>3.2.2 Application of the regression</w:t>
            </w:r>
            <w:r w:rsidR="004324BD">
              <w:rPr>
                <w:noProof/>
                <w:webHidden/>
              </w:rPr>
              <w:tab/>
            </w:r>
            <w:r w:rsidR="004324BD">
              <w:rPr>
                <w:noProof/>
                <w:webHidden/>
              </w:rPr>
              <w:fldChar w:fldCharType="begin"/>
            </w:r>
            <w:r w:rsidR="004324BD">
              <w:rPr>
                <w:noProof/>
                <w:webHidden/>
              </w:rPr>
              <w:instrText xml:space="preserve"> PAGEREF _Toc13477602 \h </w:instrText>
            </w:r>
            <w:r w:rsidR="004324BD">
              <w:rPr>
                <w:noProof/>
                <w:webHidden/>
              </w:rPr>
            </w:r>
            <w:r w:rsidR="004324BD">
              <w:rPr>
                <w:noProof/>
                <w:webHidden/>
              </w:rPr>
              <w:fldChar w:fldCharType="separate"/>
            </w:r>
            <w:r w:rsidR="005E19AF">
              <w:rPr>
                <w:noProof/>
                <w:webHidden/>
              </w:rPr>
              <w:t>18</w:t>
            </w:r>
            <w:r w:rsidR="004324BD">
              <w:rPr>
                <w:noProof/>
                <w:webHidden/>
              </w:rPr>
              <w:fldChar w:fldCharType="end"/>
            </w:r>
          </w:hyperlink>
        </w:p>
        <w:p w:rsidR="004324BD" w:rsidRDefault="000317E8" w:rsidP="005E19AF">
          <w:pPr>
            <w:pStyle w:val="TOC2"/>
            <w:tabs>
              <w:tab w:val="right" w:leader="dot" w:pos="9350"/>
            </w:tabs>
            <w:jc w:val="both"/>
            <w:rPr>
              <w:rFonts w:eastAsiaTheme="minorEastAsia"/>
              <w:noProof/>
            </w:rPr>
          </w:pPr>
          <w:hyperlink w:anchor="_Toc13477603" w:history="1">
            <w:r w:rsidR="004324BD" w:rsidRPr="005107AD">
              <w:rPr>
                <w:rStyle w:val="Hyperlink"/>
                <w:noProof/>
                <w:bdr w:val="none" w:sz="0" w:space="0" w:color="auto" w:frame="1"/>
                <w:shd w:val="clear" w:color="auto" w:fill="FFFFFF"/>
                <w:lang w:eastAsia="nl-NL"/>
              </w:rPr>
              <w:t>3.3 Data</w:t>
            </w:r>
            <w:r w:rsidR="004324BD">
              <w:rPr>
                <w:noProof/>
                <w:webHidden/>
              </w:rPr>
              <w:tab/>
            </w:r>
            <w:r w:rsidR="004324BD">
              <w:rPr>
                <w:noProof/>
                <w:webHidden/>
              </w:rPr>
              <w:fldChar w:fldCharType="begin"/>
            </w:r>
            <w:r w:rsidR="004324BD">
              <w:rPr>
                <w:noProof/>
                <w:webHidden/>
              </w:rPr>
              <w:instrText xml:space="preserve"> PAGEREF _Toc13477603 \h </w:instrText>
            </w:r>
            <w:r w:rsidR="004324BD">
              <w:rPr>
                <w:noProof/>
                <w:webHidden/>
              </w:rPr>
            </w:r>
            <w:r w:rsidR="004324BD">
              <w:rPr>
                <w:noProof/>
                <w:webHidden/>
              </w:rPr>
              <w:fldChar w:fldCharType="separate"/>
            </w:r>
            <w:r w:rsidR="005E19AF">
              <w:rPr>
                <w:noProof/>
                <w:webHidden/>
              </w:rPr>
              <w:t>19</w:t>
            </w:r>
            <w:r w:rsidR="004324BD">
              <w:rPr>
                <w:noProof/>
                <w:webHidden/>
              </w:rPr>
              <w:fldChar w:fldCharType="end"/>
            </w:r>
          </w:hyperlink>
        </w:p>
        <w:p w:rsidR="004324BD" w:rsidRDefault="000317E8" w:rsidP="005E19AF">
          <w:pPr>
            <w:pStyle w:val="TOC1"/>
            <w:tabs>
              <w:tab w:val="right" w:leader="dot" w:pos="9350"/>
            </w:tabs>
            <w:jc w:val="both"/>
            <w:rPr>
              <w:rFonts w:eastAsiaTheme="minorEastAsia"/>
              <w:noProof/>
            </w:rPr>
          </w:pPr>
          <w:hyperlink w:anchor="_Toc13477604" w:history="1">
            <w:r w:rsidR="004324BD" w:rsidRPr="005107AD">
              <w:rPr>
                <w:rStyle w:val="Hyperlink"/>
                <w:noProof/>
                <w:bdr w:val="none" w:sz="0" w:space="0" w:color="auto" w:frame="1"/>
                <w:shd w:val="clear" w:color="auto" w:fill="FFFFFF"/>
                <w:lang w:eastAsia="nl-NL"/>
              </w:rPr>
              <w:t>4. Results</w:t>
            </w:r>
            <w:r w:rsidR="004324BD">
              <w:rPr>
                <w:noProof/>
                <w:webHidden/>
              </w:rPr>
              <w:tab/>
            </w:r>
            <w:r w:rsidR="004324BD">
              <w:rPr>
                <w:noProof/>
                <w:webHidden/>
              </w:rPr>
              <w:fldChar w:fldCharType="begin"/>
            </w:r>
            <w:r w:rsidR="004324BD">
              <w:rPr>
                <w:noProof/>
                <w:webHidden/>
              </w:rPr>
              <w:instrText xml:space="preserve"> PAGEREF _Toc13477604 \h </w:instrText>
            </w:r>
            <w:r w:rsidR="004324BD">
              <w:rPr>
                <w:noProof/>
                <w:webHidden/>
              </w:rPr>
            </w:r>
            <w:r w:rsidR="004324BD">
              <w:rPr>
                <w:noProof/>
                <w:webHidden/>
              </w:rPr>
              <w:fldChar w:fldCharType="separate"/>
            </w:r>
            <w:r w:rsidR="005E19AF">
              <w:rPr>
                <w:noProof/>
                <w:webHidden/>
              </w:rPr>
              <w:t>21</w:t>
            </w:r>
            <w:r w:rsidR="004324BD">
              <w:rPr>
                <w:noProof/>
                <w:webHidden/>
              </w:rPr>
              <w:fldChar w:fldCharType="end"/>
            </w:r>
          </w:hyperlink>
        </w:p>
        <w:p w:rsidR="004324BD" w:rsidRDefault="000317E8" w:rsidP="005E19AF">
          <w:pPr>
            <w:pStyle w:val="TOC2"/>
            <w:tabs>
              <w:tab w:val="right" w:leader="dot" w:pos="9350"/>
            </w:tabs>
            <w:jc w:val="both"/>
            <w:rPr>
              <w:rFonts w:eastAsiaTheme="minorEastAsia"/>
              <w:noProof/>
            </w:rPr>
          </w:pPr>
          <w:hyperlink w:anchor="_Toc13477605" w:history="1">
            <w:r w:rsidR="004324BD" w:rsidRPr="005107AD">
              <w:rPr>
                <w:rStyle w:val="Hyperlink"/>
                <w:noProof/>
                <w:bdr w:val="none" w:sz="0" w:space="0" w:color="auto" w:frame="1"/>
                <w:shd w:val="clear" w:color="auto" w:fill="FFFFFF"/>
                <w:lang w:eastAsia="nl-NL"/>
              </w:rPr>
              <w:t>4.1 Results of the event study</w:t>
            </w:r>
            <w:r w:rsidR="004324BD">
              <w:rPr>
                <w:noProof/>
                <w:webHidden/>
              </w:rPr>
              <w:tab/>
            </w:r>
            <w:r w:rsidR="004324BD">
              <w:rPr>
                <w:noProof/>
                <w:webHidden/>
              </w:rPr>
              <w:fldChar w:fldCharType="begin"/>
            </w:r>
            <w:r w:rsidR="004324BD">
              <w:rPr>
                <w:noProof/>
                <w:webHidden/>
              </w:rPr>
              <w:instrText xml:space="preserve"> PAGEREF _Toc13477605 \h </w:instrText>
            </w:r>
            <w:r w:rsidR="004324BD">
              <w:rPr>
                <w:noProof/>
                <w:webHidden/>
              </w:rPr>
            </w:r>
            <w:r w:rsidR="004324BD">
              <w:rPr>
                <w:noProof/>
                <w:webHidden/>
              </w:rPr>
              <w:fldChar w:fldCharType="separate"/>
            </w:r>
            <w:r w:rsidR="005E19AF">
              <w:rPr>
                <w:noProof/>
                <w:webHidden/>
              </w:rPr>
              <w:t>21</w:t>
            </w:r>
            <w:r w:rsidR="004324BD">
              <w:rPr>
                <w:noProof/>
                <w:webHidden/>
              </w:rPr>
              <w:fldChar w:fldCharType="end"/>
            </w:r>
          </w:hyperlink>
        </w:p>
        <w:p w:rsidR="004324BD" w:rsidRDefault="000317E8" w:rsidP="005E19AF">
          <w:pPr>
            <w:pStyle w:val="TOC2"/>
            <w:tabs>
              <w:tab w:val="right" w:leader="dot" w:pos="9350"/>
            </w:tabs>
            <w:jc w:val="both"/>
            <w:rPr>
              <w:rFonts w:eastAsiaTheme="minorEastAsia"/>
              <w:noProof/>
            </w:rPr>
          </w:pPr>
          <w:hyperlink w:anchor="_Toc13477606" w:history="1">
            <w:r w:rsidR="004324BD" w:rsidRPr="005107AD">
              <w:rPr>
                <w:rStyle w:val="Hyperlink"/>
                <w:noProof/>
                <w:lang w:eastAsia="nl-NL"/>
              </w:rPr>
              <w:t>4.2 Correlation Matrices</w:t>
            </w:r>
            <w:r w:rsidR="004324BD">
              <w:rPr>
                <w:noProof/>
                <w:webHidden/>
              </w:rPr>
              <w:tab/>
            </w:r>
            <w:r w:rsidR="004324BD">
              <w:rPr>
                <w:noProof/>
                <w:webHidden/>
              </w:rPr>
              <w:fldChar w:fldCharType="begin"/>
            </w:r>
            <w:r w:rsidR="004324BD">
              <w:rPr>
                <w:noProof/>
                <w:webHidden/>
              </w:rPr>
              <w:instrText xml:space="preserve"> PAGEREF _Toc13477606 \h </w:instrText>
            </w:r>
            <w:r w:rsidR="004324BD">
              <w:rPr>
                <w:noProof/>
                <w:webHidden/>
              </w:rPr>
            </w:r>
            <w:r w:rsidR="004324BD">
              <w:rPr>
                <w:noProof/>
                <w:webHidden/>
              </w:rPr>
              <w:fldChar w:fldCharType="separate"/>
            </w:r>
            <w:r w:rsidR="005E19AF">
              <w:rPr>
                <w:noProof/>
                <w:webHidden/>
              </w:rPr>
              <w:t>23</w:t>
            </w:r>
            <w:r w:rsidR="004324BD">
              <w:rPr>
                <w:noProof/>
                <w:webHidden/>
              </w:rPr>
              <w:fldChar w:fldCharType="end"/>
            </w:r>
          </w:hyperlink>
        </w:p>
        <w:p w:rsidR="004324BD" w:rsidRDefault="000317E8" w:rsidP="005E19AF">
          <w:pPr>
            <w:pStyle w:val="TOC2"/>
            <w:tabs>
              <w:tab w:val="right" w:leader="dot" w:pos="9350"/>
            </w:tabs>
            <w:jc w:val="both"/>
            <w:rPr>
              <w:rFonts w:eastAsiaTheme="minorEastAsia"/>
              <w:noProof/>
            </w:rPr>
          </w:pPr>
          <w:hyperlink w:anchor="_Toc13477607" w:history="1">
            <w:r w:rsidR="004324BD" w:rsidRPr="005107AD">
              <w:rPr>
                <w:rStyle w:val="Hyperlink"/>
                <w:noProof/>
                <w:lang w:eastAsia="nl-NL"/>
              </w:rPr>
              <w:t>4.3 Regression Analysis</w:t>
            </w:r>
            <w:r w:rsidR="004324BD">
              <w:rPr>
                <w:noProof/>
                <w:webHidden/>
              </w:rPr>
              <w:tab/>
            </w:r>
            <w:r w:rsidR="004324BD">
              <w:rPr>
                <w:noProof/>
                <w:webHidden/>
              </w:rPr>
              <w:fldChar w:fldCharType="begin"/>
            </w:r>
            <w:r w:rsidR="004324BD">
              <w:rPr>
                <w:noProof/>
                <w:webHidden/>
              </w:rPr>
              <w:instrText xml:space="preserve"> PAGEREF _Toc13477607 \h </w:instrText>
            </w:r>
            <w:r w:rsidR="004324BD">
              <w:rPr>
                <w:noProof/>
                <w:webHidden/>
              </w:rPr>
            </w:r>
            <w:r w:rsidR="004324BD">
              <w:rPr>
                <w:noProof/>
                <w:webHidden/>
              </w:rPr>
              <w:fldChar w:fldCharType="separate"/>
            </w:r>
            <w:r w:rsidR="005E19AF">
              <w:rPr>
                <w:noProof/>
                <w:webHidden/>
              </w:rPr>
              <w:t>23</w:t>
            </w:r>
            <w:r w:rsidR="004324BD">
              <w:rPr>
                <w:noProof/>
                <w:webHidden/>
              </w:rPr>
              <w:fldChar w:fldCharType="end"/>
            </w:r>
          </w:hyperlink>
        </w:p>
        <w:p w:rsidR="004324BD" w:rsidRDefault="000317E8" w:rsidP="005E19AF">
          <w:pPr>
            <w:pStyle w:val="TOC2"/>
            <w:tabs>
              <w:tab w:val="right" w:leader="dot" w:pos="9350"/>
            </w:tabs>
            <w:jc w:val="both"/>
            <w:rPr>
              <w:rFonts w:eastAsiaTheme="minorEastAsia"/>
              <w:noProof/>
            </w:rPr>
          </w:pPr>
          <w:hyperlink w:anchor="_Toc13477608" w:history="1">
            <w:r w:rsidR="004324BD" w:rsidRPr="005107AD">
              <w:rPr>
                <w:rStyle w:val="Hyperlink"/>
                <w:noProof/>
              </w:rPr>
              <w:t>4.4 Robustness checks</w:t>
            </w:r>
            <w:r w:rsidR="004324BD">
              <w:rPr>
                <w:noProof/>
                <w:webHidden/>
              </w:rPr>
              <w:tab/>
            </w:r>
            <w:r w:rsidR="004324BD">
              <w:rPr>
                <w:noProof/>
                <w:webHidden/>
              </w:rPr>
              <w:fldChar w:fldCharType="begin"/>
            </w:r>
            <w:r w:rsidR="004324BD">
              <w:rPr>
                <w:noProof/>
                <w:webHidden/>
              </w:rPr>
              <w:instrText xml:space="preserve"> PAGEREF _Toc13477608 \h </w:instrText>
            </w:r>
            <w:r w:rsidR="004324BD">
              <w:rPr>
                <w:noProof/>
                <w:webHidden/>
              </w:rPr>
            </w:r>
            <w:r w:rsidR="004324BD">
              <w:rPr>
                <w:noProof/>
                <w:webHidden/>
              </w:rPr>
              <w:fldChar w:fldCharType="separate"/>
            </w:r>
            <w:r w:rsidR="005E19AF">
              <w:rPr>
                <w:noProof/>
                <w:webHidden/>
              </w:rPr>
              <w:t>24</w:t>
            </w:r>
            <w:r w:rsidR="004324BD">
              <w:rPr>
                <w:noProof/>
                <w:webHidden/>
              </w:rPr>
              <w:fldChar w:fldCharType="end"/>
            </w:r>
          </w:hyperlink>
        </w:p>
        <w:p w:rsidR="004324BD" w:rsidRDefault="000317E8" w:rsidP="005E19AF">
          <w:pPr>
            <w:pStyle w:val="TOC2"/>
            <w:tabs>
              <w:tab w:val="right" w:leader="dot" w:pos="9350"/>
            </w:tabs>
            <w:jc w:val="both"/>
            <w:rPr>
              <w:rFonts w:eastAsiaTheme="minorEastAsia"/>
              <w:noProof/>
            </w:rPr>
          </w:pPr>
          <w:hyperlink w:anchor="_Toc13477609" w:history="1">
            <w:r w:rsidR="007B3428">
              <w:rPr>
                <w:rStyle w:val="Hyperlink"/>
                <w:noProof/>
              </w:rPr>
              <w:t>4.5 Testing the hypothes</w:t>
            </w:r>
            <w:r w:rsidR="004324BD" w:rsidRPr="005107AD">
              <w:rPr>
                <w:rStyle w:val="Hyperlink"/>
                <w:noProof/>
              </w:rPr>
              <w:t>es</w:t>
            </w:r>
            <w:r w:rsidR="004324BD">
              <w:rPr>
                <w:noProof/>
                <w:webHidden/>
              </w:rPr>
              <w:tab/>
            </w:r>
            <w:r w:rsidR="004324BD">
              <w:rPr>
                <w:noProof/>
                <w:webHidden/>
              </w:rPr>
              <w:fldChar w:fldCharType="begin"/>
            </w:r>
            <w:r w:rsidR="004324BD">
              <w:rPr>
                <w:noProof/>
                <w:webHidden/>
              </w:rPr>
              <w:instrText xml:space="preserve"> PAGEREF _Toc13477609 \h </w:instrText>
            </w:r>
            <w:r w:rsidR="004324BD">
              <w:rPr>
                <w:noProof/>
                <w:webHidden/>
              </w:rPr>
            </w:r>
            <w:r w:rsidR="004324BD">
              <w:rPr>
                <w:noProof/>
                <w:webHidden/>
              </w:rPr>
              <w:fldChar w:fldCharType="separate"/>
            </w:r>
            <w:r w:rsidR="005E19AF">
              <w:rPr>
                <w:noProof/>
                <w:webHidden/>
              </w:rPr>
              <w:t>26</w:t>
            </w:r>
            <w:r w:rsidR="004324BD">
              <w:rPr>
                <w:noProof/>
                <w:webHidden/>
              </w:rPr>
              <w:fldChar w:fldCharType="end"/>
            </w:r>
          </w:hyperlink>
        </w:p>
        <w:p w:rsidR="004324BD" w:rsidRDefault="000317E8" w:rsidP="005E19AF">
          <w:pPr>
            <w:pStyle w:val="TOC1"/>
            <w:tabs>
              <w:tab w:val="right" w:leader="dot" w:pos="9350"/>
            </w:tabs>
            <w:jc w:val="both"/>
            <w:rPr>
              <w:rFonts w:eastAsiaTheme="minorEastAsia"/>
              <w:noProof/>
            </w:rPr>
          </w:pPr>
          <w:hyperlink w:anchor="_Toc13477610" w:history="1">
            <w:r w:rsidR="004324BD" w:rsidRPr="005107AD">
              <w:rPr>
                <w:rStyle w:val="Hyperlink"/>
                <w:noProof/>
              </w:rPr>
              <w:t>5. Conclusion</w:t>
            </w:r>
            <w:r w:rsidR="004324BD">
              <w:rPr>
                <w:noProof/>
                <w:webHidden/>
              </w:rPr>
              <w:tab/>
            </w:r>
            <w:r w:rsidR="004324BD">
              <w:rPr>
                <w:noProof/>
                <w:webHidden/>
              </w:rPr>
              <w:fldChar w:fldCharType="begin"/>
            </w:r>
            <w:r w:rsidR="004324BD">
              <w:rPr>
                <w:noProof/>
                <w:webHidden/>
              </w:rPr>
              <w:instrText xml:space="preserve"> PAGEREF _Toc13477610 \h </w:instrText>
            </w:r>
            <w:r w:rsidR="004324BD">
              <w:rPr>
                <w:noProof/>
                <w:webHidden/>
              </w:rPr>
            </w:r>
            <w:r w:rsidR="004324BD">
              <w:rPr>
                <w:noProof/>
                <w:webHidden/>
              </w:rPr>
              <w:fldChar w:fldCharType="separate"/>
            </w:r>
            <w:r w:rsidR="005E19AF">
              <w:rPr>
                <w:noProof/>
                <w:webHidden/>
              </w:rPr>
              <w:t>27</w:t>
            </w:r>
            <w:r w:rsidR="004324BD">
              <w:rPr>
                <w:noProof/>
                <w:webHidden/>
              </w:rPr>
              <w:fldChar w:fldCharType="end"/>
            </w:r>
          </w:hyperlink>
        </w:p>
        <w:p w:rsidR="004324BD" w:rsidRDefault="000317E8" w:rsidP="005E19AF">
          <w:pPr>
            <w:pStyle w:val="TOC1"/>
            <w:tabs>
              <w:tab w:val="right" w:leader="dot" w:pos="9350"/>
            </w:tabs>
            <w:jc w:val="both"/>
            <w:rPr>
              <w:rFonts w:eastAsiaTheme="minorEastAsia"/>
              <w:noProof/>
            </w:rPr>
          </w:pPr>
          <w:hyperlink w:anchor="_Toc13477611" w:history="1">
            <w:r w:rsidR="004324BD" w:rsidRPr="005107AD">
              <w:rPr>
                <w:rStyle w:val="Hyperlink"/>
                <w:noProof/>
              </w:rPr>
              <w:t>Bibliography</w:t>
            </w:r>
            <w:r w:rsidR="004324BD">
              <w:rPr>
                <w:noProof/>
                <w:webHidden/>
              </w:rPr>
              <w:tab/>
            </w:r>
            <w:r w:rsidR="004324BD">
              <w:rPr>
                <w:noProof/>
                <w:webHidden/>
              </w:rPr>
              <w:fldChar w:fldCharType="begin"/>
            </w:r>
            <w:r w:rsidR="004324BD">
              <w:rPr>
                <w:noProof/>
                <w:webHidden/>
              </w:rPr>
              <w:instrText xml:space="preserve"> PAGEREF _Toc13477611 \h </w:instrText>
            </w:r>
            <w:r w:rsidR="004324BD">
              <w:rPr>
                <w:noProof/>
                <w:webHidden/>
              </w:rPr>
            </w:r>
            <w:r w:rsidR="004324BD">
              <w:rPr>
                <w:noProof/>
                <w:webHidden/>
              </w:rPr>
              <w:fldChar w:fldCharType="separate"/>
            </w:r>
            <w:r w:rsidR="005E19AF">
              <w:rPr>
                <w:noProof/>
                <w:webHidden/>
              </w:rPr>
              <w:t>29</w:t>
            </w:r>
            <w:r w:rsidR="004324BD">
              <w:rPr>
                <w:noProof/>
                <w:webHidden/>
              </w:rPr>
              <w:fldChar w:fldCharType="end"/>
            </w:r>
          </w:hyperlink>
        </w:p>
        <w:p w:rsidR="004324BD" w:rsidRDefault="000317E8" w:rsidP="005E19AF">
          <w:pPr>
            <w:pStyle w:val="TOC1"/>
            <w:tabs>
              <w:tab w:val="right" w:leader="dot" w:pos="9350"/>
            </w:tabs>
            <w:jc w:val="both"/>
            <w:rPr>
              <w:rFonts w:eastAsiaTheme="minorEastAsia"/>
              <w:noProof/>
            </w:rPr>
          </w:pPr>
          <w:hyperlink w:anchor="_Toc13477612" w:history="1">
            <w:r w:rsidR="004324BD" w:rsidRPr="005107AD">
              <w:rPr>
                <w:rStyle w:val="Hyperlink"/>
                <w:noProof/>
              </w:rPr>
              <w:t>Appendix</w:t>
            </w:r>
            <w:r w:rsidR="004324BD">
              <w:rPr>
                <w:noProof/>
                <w:webHidden/>
              </w:rPr>
              <w:tab/>
            </w:r>
            <w:r w:rsidR="004324BD">
              <w:rPr>
                <w:noProof/>
                <w:webHidden/>
              </w:rPr>
              <w:fldChar w:fldCharType="begin"/>
            </w:r>
            <w:r w:rsidR="004324BD">
              <w:rPr>
                <w:noProof/>
                <w:webHidden/>
              </w:rPr>
              <w:instrText xml:space="preserve"> PAGEREF _Toc13477612 \h </w:instrText>
            </w:r>
            <w:r w:rsidR="004324BD">
              <w:rPr>
                <w:noProof/>
                <w:webHidden/>
              </w:rPr>
            </w:r>
            <w:r w:rsidR="004324BD">
              <w:rPr>
                <w:noProof/>
                <w:webHidden/>
              </w:rPr>
              <w:fldChar w:fldCharType="separate"/>
            </w:r>
            <w:r w:rsidR="005E19AF">
              <w:rPr>
                <w:noProof/>
                <w:webHidden/>
              </w:rPr>
              <w:t>31</w:t>
            </w:r>
            <w:r w:rsidR="004324BD">
              <w:rPr>
                <w:noProof/>
                <w:webHidden/>
              </w:rPr>
              <w:fldChar w:fldCharType="end"/>
            </w:r>
          </w:hyperlink>
        </w:p>
        <w:p w:rsidR="00C22B7C" w:rsidRPr="00147D59" w:rsidRDefault="00C22B7C" w:rsidP="005E19AF">
          <w:pPr>
            <w:jc w:val="both"/>
          </w:pPr>
          <w:r w:rsidRPr="00147D59">
            <w:rPr>
              <w:b/>
              <w:bCs/>
              <w:noProof/>
            </w:rPr>
            <w:fldChar w:fldCharType="end"/>
          </w:r>
        </w:p>
      </w:sdtContent>
    </w:sdt>
    <w:p w:rsidR="00C22B7C" w:rsidRPr="00147D59" w:rsidRDefault="00C22B7C" w:rsidP="005E19AF">
      <w:pPr>
        <w:jc w:val="both"/>
        <w:rPr>
          <w:rFonts w:asciiTheme="majorHAnsi" w:eastAsiaTheme="majorEastAsia" w:hAnsiTheme="majorHAnsi" w:cstheme="majorBidi"/>
          <w:b/>
          <w:bCs/>
          <w:color w:val="365F91" w:themeColor="accent1" w:themeShade="BF"/>
          <w:sz w:val="28"/>
          <w:szCs w:val="28"/>
          <w:lang w:eastAsia="ja-JP"/>
        </w:rPr>
      </w:pPr>
    </w:p>
    <w:p w:rsidR="00C22B7C" w:rsidRPr="00147D59" w:rsidRDefault="00C22B7C" w:rsidP="005E19AF">
      <w:pPr>
        <w:jc w:val="both"/>
        <w:rPr>
          <w:rFonts w:asciiTheme="majorHAnsi" w:eastAsiaTheme="majorEastAsia" w:hAnsiTheme="majorHAnsi" w:cstheme="majorBidi"/>
          <w:b/>
          <w:bCs/>
          <w:color w:val="365F91" w:themeColor="accent1" w:themeShade="BF"/>
          <w:sz w:val="28"/>
          <w:szCs w:val="28"/>
          <w:lang w:eastAsia="ja-JP"/>
        </w:rPr>
      </w:pPr>
    </w:p>
    <w:p w:rsidR="00C22B7C" w:rsidRPr="00147D59" w:rsidRDefault="00C22B7C" w:rsidP="005E19AF">
      <w:pPr>
        <w:jc w:val="both"/>
        <w:rPr>
          <w:rFonts w:asciiTheme="majorHAnsi" w:eastAsiaTheme="majorEastAsia" w:hAnsiTheme="majorHAnsi" w:cstheme="majorBidi"/>
          <w:b/>
          <w:bCs/>
          <w:color w:val="365F91" w:themeColor="accent1" w:themeShade="BF"/>
          <w:sz w:val="28"/>
          <w:szCs w:val="28"/>
          <w:lang w:eastAsia="ja-JP"/>
        </w:rPr>
      </w:pPr>
    </w:p>
    <w:p w:rsidR="00184177" w:rsidRPr="00147D59" w:rsidRDefault="00184177" w:rsidP="005E19AF">
      <w:pPr>
        <w:pStyle w:val="Heading1"/>
        <w:jc w:val="both"/>
      </w:pPr>
      <w:bookmarkStart w:id="2" w:name="_Toc13477587"/>
      <w:r w:rsidRPr="00147D59">
        <w:lastRenderedPageBreak/>
        <w:t>1. Introduction</w:t>
      </w:r>
      <w:bookmarkEnd w:id="2"/>
    </w:p>
    <w:p w:rsidR="00CA5558" w:rsidRPr="00147D59" w:rsidRDefault="00CA5558" w:rsidP="005E19AF">
      <w:pPr>
        <w:pStyle w:val="Heading2"/>
        <w:jc w:val="both"/>
      </w:pPr>
      <w:bookmarkStart w:id="3" w:name="_Toc13477588"/>
      <w:r w:rsidRPr="00147D59">
        <w:t>1.1 Preface</w:t>
      </w:r>
      <w:bookmarkEnd w:id="3"/>
    </w:p>
    <w:p w:rsidR="0046214D" w:rsidRPr="00147D59" w:rsidRDefault="00184177" w:rsidP="005E19AF">
      <w:pPr>
        <w:spacing w:line="360" w:lineRule="auto"/>
        <w:jc w:val="both"/>
        <w:rPr>
          <w:sz w:val="24"/>
        </w:rPr>
      </w:pPr>
      <w:r w:rsidRPr="00147D59">
        <w:rPr>
          <w:sz w:val="24"/>
        </w:rPr>
        <w:t xml:space="preserve">One of the most important decisions made by managers that have a large impact on the firm are Mergers and Acquisitions (M&amp;A) </w:t>
      </w:r>
      <w:sdt>
        <w:sdtPr>
          <w:rPr>
            <w:sz w:val="24"/>
          </w:rPr>
          <w:id w:val="-678046225"/>
          <w:citation/>
        </w:sdtPr>
        <w:sdtEndPr/>
        <w:sdtContent>
          <w:r w:rsidRPr="00147D59">
            <w:rPr>
              <w:sz w:val="24"/>
            </w:rPr>
            <w:fldChar w:fldCharType="begin"/>
          </w:r>
          <w:r w:rsidRPr="00147D59">
            <w:rPr>
              <w:sz w:val="24"/>
            </w:rPr>
            <w:instrText xml:space="preserve"> CITATION Hac08 \l 1043 </w:instrText>
          </w:r>
          <w:r w:rsidRPr="00147D59">
            <w:rPr>
              <w:sz w:val="24"/>
            </w:rPr>
            <w:fldChar w:fldCharType="separate"/>
          </w:r>
          <w:r w:rsidRPr="00147D59">
            <w:rPr>
              <w:noProof/>
              <w:sz w:val="24"/>
            </w:rPr>
            <w:t>(Hackbarth &amp; Morellec, 2008)</w:t>
          </w:r>
          <w:r w:rsidRPr="00147D59">
            <w:rPr>
              <w:sz w:val="24"/>
            </w:rPr>
            <w:fldChar w:fldCharType="end"/>
          </w:r>
        </w:sdtContent>
      </w:sdt>
      <w:r w:rsidRPr="00147D59">
        <w:rPr>
          <w:sz w:val="24"/>
        </w:rPr>
        <w:t xml:space="preserve">. Despite being excessively researched, there is a lot of research that can be done concerning this matter. In 2018 were over 1800 mergers and acquisitions in the United States of America alone. </w:t>
      </w:r>
      <w:r w:rsidR="00A2074F" w:rsidRPr="00147D59">
        <w:rPr>
          <w:sz w:val="24"/>
        </w:rPr>
        <w:t>In the first half of 2018, a total of over $2.5 trillion</w:t>
      </w:r>
      <w:r w:rsidR="00F21D69" w:rsidRPr="00147D59">
        <w:rPr>
          <w:sz w:val="24"/>
        </w:rPr>
        <w:t xml:space="preserve"> of value</w:t>
      </w:r>
      <w:r w:rsidR="00A2074F" w:rsidRPr="00147D59">
        <w:rPr>
          <w:sz w:val="24"/>
        </w:rPr>
        <w:t xml:space="preserve"> in mergers over the whole world </w:t>
      </w:r>
      <w:sdt>
        <w:sdtPr>
          <w:rPr>
            <w:sz w:val="24"/>
          </w:rPr>
          <w:id w:val="-1750496541"/>
          <w:citation/>
        </w:sdtPr>
        <w:sdtEndPr/>
        <w:sdtContent>
          <w:r w:rsidR="00A2074F" w:rsidRPr="00147D59">
            <w:rPr>
              <w:sz w:val="24"/>
            </w:rPr>
            <w:fldChar w:fldCharType="begin"/>
          </w:r>
          <w:r w:rsidR="00A2074F" w:rsidRPr="00147D59">
            <w:rPr>
              <w:sz w:val="24"/>
            </w:rPr>
            <w:instrText xml:space="preserve"> CITATION Gro18 \l 1043 </w:instrText>
          </w:r>
          <w:r w:rsidR="00A2074F" w:rsidRPr="00147D59">
            <w:rPr>
              <w:sz w:val="24"/>
            </w:rPr>
            <w:fldChar w:fldCharType="separate"/>
          </w:r>
          <w:r w:rsidR="00A2074F" w:rsidRPr="00147D59">
            <w:rPr>
              <w:noProof/>
              <w:sz w:val="24"/>
            </w:rPr>
            <w:t>(Grocer, 2018)</w:t>
          </w:r>
          <w:r w:rsidR="00A2074F" w:rsidRPr="00147D59">
            <w:rPr>
              <w:sz w:val="24"/>
            </w:rPr>
            <w:fldChar w:fldCharType="end"/>
          </w:r>
        </w:sdtContent>
      </w:sdt>
      <w:r w:rsidR="00A2074F" w:rsidRPr="00147D59">
        <w:rPr>
          <w:sz w:val="24"/>
        </w:rPr>
        <w:t xml:space="preserve">. </w:t>
      </w:r>
      <w:r w:rsidR="006C5976" w:rsidRPr="00147D59">
        <w:rPr>
          <w:sz w:val="24"/>
        </w:rPr>
        <w:t xml:space="preserve">Dodd &amp; Ruback </w:t>
      </w:r>
      <w:sdt>
        <w:sdtPr>
          <w:rPr>
            <w:sz w:val="24"/>
          </w:rPr>
          <w:id w:val="-1375230496"/>
          <w:citation/>
        </w:sdtPr>
        <w:sdtEndPr/>
        <w:sdtContent>
          <w:r w:rsidR="006C5976" w:rsidRPr="00147D59">
            <w:rPr>
              <w:sz w:val="24"/>
            </w:rPr>
            <w:fldChar w:fldCharType="begin"/>
          </w:r>
          <w:r w:rsidR="006C5976" w:rsidRPr="00147D59">
            <w:rPr>
              <w:sz w:val="24"/>
            </w:rPr>
            <w:instrText xml:space="preserve">CITATION Dod \n  \t  \l 1043 </w:instrText>
          </w:r>
          <w:r w:rsidR="006C5976" w:rsidRPr="00147D59">
            <w:rPr>
              <w:sz w:val="24"/>
            </w:rPr>
            <w:fldChar w:fldCharType="separate"/>
          </w:r>
          <w:r w:rsidR="006C5976" w:rsidRPr="00147D59">
            <w:rPr>
              <w:noProof/>
              <w:sz w:val="24"/>
            </w:rPr>
            <w:t>(1977)</w:t>
          </w:r>
          <w:r w:rsidR="006C5976" w:rsidRPr="00147D59">
            <w:rPr>
              <w:sz w:val="24"/>
            </w:rPr>
            <w:fldChar w:fldCharType="end"/>
          </w:r>
        </w:sdtContent>
      </w:sdt>
      <w:r w:rsidR="006C5976" w:rsidRPr="00147D59">
        <w:rPr>
          <w:sz w:val="24"/>
        </w:rPr>
        <w:t xml:space="preserve"> found that target firms on both successful and unsuccessful mergers earned a large significant abnormal return on the announcement day of 20,58% and 18,96%, respectively. Acquirer firms where the merger went through also experienced a positive, abnormal return of 2,83%, but which is quite smaller in comparison to the target firms. There was no abnormal return for acquirers after which the merger turned out not to be fulfilled.</w:t>
      </w:r>
    </w:p>
    <w:p w:rsidR="00184177" w:rsidRPr="00147D59" w:rsidRDefault="005B150C" w:rsidP="005E19AF">
      <w:pPr>
        <w:spacing w:line="360" w:lineRule="auto"/>
        <w:jc w:val="both"/>
        <w:rPr>
          <w:sz w:val="24"/>
        </w:rPr>
      </w:pPr>
      <w:r w:rsidRPr="00147D59">
        <w:rPr>
          <w:sz w:val="24"/>
        </w:rPr>
        <w:t xml:space="preserve">The biggest macro sector in terms of deal value was the Energy and Power sector with $388.67 billion. </w:t>
      </w:r>
      <w:r w:rsidR="00C67C3A" w:rsidRPr="00147D59">
        <w:rPr>
          <w:sz w:val="24"/>
        </w:rPr>
        <w:t xml:space="preserve">One of </w:t>
      </w:r>
      <w:r w:rsidR="00F21D69" w:rsidRPr="00147D59">
        <w:rPr>
          <w:sz w:val="24"/>
        </w:rPr>
        <w:t xml:space="preserve">the </w:t>
      </w:r>
      <w:r w:rsidR="00C67C3A" w:rsidRPr="00147D59">
        <w:rPr>
          <w:sz w:val="24"/>
        </w:rPr>
        <w:t>biggest deals</w:t>
      </w:r>
      <w:r w:rsidR="00C33F3C" w:rsidRPr="00147D59">
        <w:rPr>
          <w:sz w:val="24"/>
        </w:rPr>
        <w:t xml:space="preserve"> of 2018</w:t>
      </w:r>
      <w:r w:rsidR="00C67C3A" w:rsidRPr="00147D59">
        <w:rPr>
          <w:sz w:val="24"/>
        </w:rPr>
        <w:t xml:space="preserve"> was located in the United States of America. Marathon Petroleum Group acquired Andeavor Corporate’s shares for an outstanding $23 billion equity value and $35.6 billion enterprise value </w:t>
      </w:r>
      <w:sdt>
        <w:sdtPr>
          <w:rPr>
            <w:sz w:val="24"/>
          </w:rPr>
          <w:id w:val="458069296"/>
          <w:citation/>
        </w:sdtPr>
        <w:sdtEndPr/>
        <w:sdtContent>
          <w:r w:rsidR="00C67C3A" w:rsidRPr="00147D59">
            <w:rPr>
              <w:sz w:val="24"/>
            </w:rPr>
            <w:fldChar w:fldCharType="begin"/>
          </w:r>
          <w:r w:rsidR="00C67C3A" w:rsidRPr="00147D59">
            <w:rPr>
              <w:sz w:val="24"/>
            </w:rPr>
            <w:instrText xml:space="preserve">CITATION Kre18 \l 1043 </w:instrText>
          </w:r>
          <w:r w:rsidR="00C67C3A" w:rsidRPr="00147D59">
            <w:rPr>
              <w:sz w:val="24"/>
            </w:rPr>
            <w:fldChar w:fldCharType="separate"/>
          </w:r>
          <w:r w:rsidR="00C67C3A" w:rsidRPr="00147D59">
            <w:rPr>
              <w:noProof/>
              <w:sz w:val="24"/>
            </w:rPr>
            <w:t>(Benny, 2018)</w:t>
          </w:r>
          <w:r w:rsidR="00C67C3A" w:rsidRPr="00147D59">
            <w:rPr>
              <w:sz w:val="24"/>
            </w:rPr>
            <w:fldChar w:fldCharType="end"/>
          </w:r>
        </w:sdtContent>
      </w:sdt>
      <w:r w:rsidR="00C67C3A" w:rsidRPr="00147D59">
        <w:rPr>
          <w:sz w:val="24"/>
        </w:rPr>
        <w:t>. Combined, the company announced to create an annual $1 billion synergy effect within three years. Marathon’s shares went down with 8% and target Andeavor Corporate’s stock prices went up with 13% on the announcement day.</w:t>
      </w:r>
    </w:p>
    <w:p w:rsidR="006C5976" w:rsidRPr="00147D59" w:rsidRDefault="006C5976" w:rsidP="005E19AF">
      <w:pPr>
        <w:spacing w:line="360" w:lineRule="auto"/>
        <w:jc w:val="both"/>
        <w:rPr>
          <w:sz w:val="24"/>
        </w:rPr>
      </w:pPr>
      <w:r w:rsidRPr="00147D59">
        <w:rPr>
          <w:sz w:val="24"/>
        </w:rPr>
        <w:t>There is a lot happening with the stock prices of both acquiring and targeted firms in times of a merger or acquisition</w:t>
      </w:r>
      <w:r w:rsidR="00CA5558" w:rsidRPr="00147D59">
        <w:rPr>
          <w:sz w:val="24"/>
        </w:rPr>
        <w:t xml:space="preserve"> announcement</w:t>
      </w:r>
      <w:r w:rsidRPr="00147D59">
        <w:rPr>
          <w:sz w:val="24"/>
        </w:rPr>
        <w:t xml:space="preserve">. </w:t>
      </w:r>
      <w:r w:rsidR="00CA5558" w:rsidRPr="00147D59">
        <w:rPr>
          <w:sz w:val="24"/>
        </w:rPr>
        <w:t>This thesis will research the effects of this event on the stock prices. Not only how large this effect is, but also what causes this effect. The main research question is:</w:t>
      </w:r>
    </w:p>
    <w:p w:rsidR="00C602DF" w:rsidRPr="00135661" w:rsidRDefault="00C602DF" w:rsidP="005E19AF">
      <w:pPr>
        <w:spacing w:line="360" w:lineRule="auto"/>
        <w:jc w:val="both"/>
        <w:rPr>
          <w:b/>
          <w:i/>
          <w:sz w:val="24"/>
        </w:rPr>
      </w:pPr>
      <w:r w:rsidRPr="00135661">
        <w:rPr>
          <w:b/>
          <w:i/>
          <w:sz w:val="24"/>
        </w:rPr>
        <w:t xml:space="preserve">To what extent </w:t>
      </w:r>
      <w:r w:rsidR="004324BD" w:rsidRPr="00135661">
        <w:rPr>
          <w:b/>
          <w:i/>
          <w:sz w:val="24"/>
        </w:rPr>
        <w:t>do abnormal</w:t>
      </w:r>
      <w:r w:rsidRPr="00135661">
        <w:rPr>
          <w:b/>
          <w:i/>
          <w:sz w:val="24"/>
        </w:rPr>
        <w:t xml:space="preserve"> returns for </w:t>
      </w:r>
      <w:r w:rsidR="004324BD" w:rsidRPr="00135661">
        <w:rPr>
          <w:b/>
          <w:i/>
          <w:sz w:val="24"/>
        </w:rPr>
        <w:t>both target</w:t>
      </w:r>
      <w:r w:rsidRPr="00135661">
        <w:rPr>
          <w:b/>
          <w:i/>
          <w:sz w:val="24"/>
        </w:rPr>
        <w:t xml:space="preserve"> and acquiring firms exist around the announcement day of a merger or acquisition in the United States Energy Industry?</w:t>
      </w:r>
    </w:p>
    <w:p w:rsidR="00CA5558" w:rsidRPr="00147D59" w:rsidRDefault="00CA5558" w:rsidP="005E19AF">
      <w:pPr>
        <w:spacing w:line="360" w:lineRule="auto"/>
        <w:jc w:val="both"/>
        <w:rPr>
          <w:b/>
          <w:i/>
          <w:sz w:val="24"/>
        </w:rPr>
      </w:pPr>
    </w:p>
    <w:p w:rsidR="00CA5558" w:rsidRPr="00147D59" w:rsidRDefault="00CA5558" w:rsidP="005E19AF">
      <w:pPr>
        <w:spacing w:line="360" w:lineRule="auto"/>
        <w:jc w:val="both"/>
        <w:rPr>
          <w:b/>
          <w:i/>
          <w:sz w:val="24"/>
        </w:rPr>
      </w:pPr>
    </w:p>
    <w:p w:rsidR="00AD28B5" w:rsidRPr="00147D59" w:rsidRDefault="00F63E6F" w:rsidP="005E19AF">
      <w:pPr>
        <w:pStyle w:val="Heading2"/>
        <w:jc w:val="both"/>
      </w:pPr>
      <w:bookmarkStart w:id="4" w:name="_Toc13477589"/>
      <w:r w:rsidRPr="00147D59">
        <w:lastRenderedPageBreak/>
        <w:t>1.2 Main findings</w:t>
      </w:r>
      <w:bookmarkEnd w:id="4"/>
    </w:p>
    <w:p w:rsidR="00AD28B5" w:rsidRPr="00147D59" w:rsidRDefault="00EF3940" w:rsidP="005E19AF">
      <w:pPr>
        <w:spacing w:line="360" w:lineRule="auto"/>
        <w:jc w:val="both"/>
        <w:rPr>
          <w:sz w:val="24"/>
        </w:rPr>
      </w:pPr>
      <w:r w:rsidRPr="00147D59">
        <w:rPr>
          <w:sz w:val="24"/>
        </w:rPr>
        <w:t xml:space="preserve">This research investigated the abnormal returns of stocks of bidding and target firms around the announcement of a merger of acquisition. The cumulative abnormal returns found for the targets are 16,49% and for the acquirers -3,66%. The combined firms gained a 1,62% return when adjusted to size. </w:t>
      </w:r>
      <w:r w:rsidR="00A97577">
        <w:rPr>
          <w:sz w:val="24"/>
        </w:rPr>
        <w:t xml:space="preserve">When both </w:t>
      </w:r>
      <w:r w:rsidR="004324BD">
        <w:rPr>
          <w:sz w:val="24"/>
        </w:rPr>
        <w:t xml:space="preserve">firms </w:t>
      </w:r>
      <w:r w:rsidR="00A97577">
        <w:rPr>
          <w:sz w:val="24"/>
        </w:rPr>
        <w:t>were operating in the same macro-industry, 5,4% positive returns are obtained for the combined firms. There is no effect found for the payment method or the size of the firm.</w:t>
      </w:r>
    </w:p>
    <w:p w:rsidR="00F63E6F" w:rsidRPr="00147D59" w:rsidRDefault="00F63E6F" w:rsidP="005E19AF">
      <w:pPr>
        <w:pStyle w:val="Heading2"/>
        <w:jc w:val="both"/>
      </w:pPr>
      <w:bookmarkStart w:id="5" w:name="_Toc13477590"/>
      <w:r w:rsidRPr="00147D59">
        <w:t>1.3</w:t>
      </w:r>
      <w:r w:rsidR="00CA5558" w:rsidRPr="00147D59">
        <w:t xml:space="preserve"> </w:t>
      </w:r>
      <w:r w:rsidRPr="00147D59">
        <w:t>R</w:t>
      </w:r>
      <w:r w:rsidR="00CA5558" w:rsidRPr="00147D59">
        <w:t>elevance</w:t>
      </w:r>
      <w:bookmarkEnd w:id="5"/>
    </w:p>
    <w:p w:rsidR="00AD28B5" w:rsidRPr="00147D59" w:rsidRDefault="0009551D" w:rsidP="005E19AF">
      <w:pPr>
        <w:spacing w:line="360" w:lineRule="auto"/>
        <w:jc w:val="both"/>
      </w:pPr>
      <w:r w:rsidRPr="00147D59">
        <w:rPr>
          <w:sz w:val="24"/>
        </w:rPr>
        <w:t>High abn</w:t>
      </w:r>
      <w:r w:rsidR="004324BD">
        <w:rPr>
          <w:sz w:val="24"/>
        </w:rPr>
        <w:t>ormal returns in the event of a</w:t>
      </w:r>
      <w:r w:rsidRPr="00147D59">
        <w:rPr>
          <w:sz w:val="24"/>
        </w:rPr>
        <w:t xml:space="preserve"> merger and acquisition announcement day cause investors to react differently to the stock market than usual. </w:t>
      </w:r>
      <w:r w:rsidR="0057502D" w:rsidRPr="00147D59">
        <w:rPr>
          <w:sz w:val="24"/>
        </w:rPr>
        <w:t>Most timeframes in which these abnormal returns exist, are for a few days and investors</w:t>
      </w:r>
      <w:r w:rsidR="004324BD">
        <w:rPr>
          <w:sz w:val="24"/>
        </w:rPr>
        <w:t xml:space="preserve"> therefore</w:t>
      </w:r>
      <w:r w:rsidR="0057502D" w:rsidRPr="00147D59">
        <w:rPr>
          <w:sz w:val="24"/>
        </w:rPr>
        <w:t xml:space="preserve"> have to react careful and fast to obtain any gain or do not lose too much. With this research the purpose is to gain a better insight in when these abnormal returns exist, to what extent and which factors have an impact on the abn</w:t>
      </w:r>
      <w:r w:rsidR="00465990" w:rsidRPr="00147D59">
        <w:rPr>
          <w:sz w:val="24"/>
        </w:rPr>
        <w:t>ormal returns. In special, this research concerns about the Energy and Power industry which is one of the biggest industries since the industrial revolution and will continue to be a large sector on the globe</w:t>
      </w:r>
      <w:r w:rsidR="00465990" w:rsidRPr="00147D59">
        <w:t xml:space="preserve">. </w:t>
      </w:r>
    </w:p>
    <w:p w:rsidR="00F63E6F" w:rsidRPr="00147D59" w:rsidRDefault="00F63E6F" w:rsidP="005E19AF">
      <w:pPr>
        <w:pStyle w:val="Heading2"/>
        <w:jc w:val="both"/>
      </w:pPr>
      <w:bookmarkStart w:id="6" w:name="_Toc13477591"/>
      <w:r w:rsidRPr="00147D59">
        <w:t>1.4 Structure</w:t>
      </w:r>
      <w:bookmarkEnd w:id="6"/>
    </w:p>
    <w:p w:rsidR="00F63E6F" w:rsidRPr="00147D59" w:rsidRDefault="00F63E6F" w:rsidP="005E19AF">
      <w:pPr>
        <w:spacing w:line="360" w:lineRule="auto"/>
        <w:jc w:val="both"/>
        <w:rPr>
          <w:sz w:val="24"/>
        </w:rPr>
      </w:pPr>
      <w:r w:rsidRPr="00147D59">
        <w:rPr>
          <w:sz w:val="24"/>
        </w:rPr>
        <w:t xml:space="preserve">The remaining paper will be structured as follows.  First there will be a literature review of existing literature concerning this matter in chapter two, the main findings in these papers will be mentioned and some concepts will be shortly explained. Also the </w:t>
      </w:r>
      <w:r w:rsidR="004324BD">
        <w:rPr>
          <w:sz w:val="24"/>
        </w:rPr>
        <w:t>hypotheses</w:t>
      </w:r>
      <w:r w:rsidR="00B35EDC" w:rsidRPr="00147D59">
        <w:rPr>
          <w:sz w:val="24"/>
        </w:rPr>
        <w:t xml:space="preserve"> will be given to help answer the main research question</w:t>
      </w:r>
      <w:r w:rsidRPr="00147D59">
        <w:rPr>
          <w:sz w:val="24"/>
        </w:rPr>
        <w:t>. In chapter three the methods used to investigate the research questions will be described and the data used will be discussed. In chapter four the results will be given and interpreted. At last, a conclusion will be drawn in chapter five.</w:t>
      </w:r>
    </w:p>
    <w:p w:rsidR="00CA5558" w:rsidRPr="00147D59" w:rsidRDefault="00CA5558" w:rsidP="005E19AF">
      <w:pPr>
        <w:tabs>
          <w:tab w:val="left" w:pos="1428"/>
        </w:tabs>
        <w:jc w:val="both"/>
      </w:pPr>
    </w:p>
    <w:p w:rsidR="00465990" w:rsidRPr="00147D59" w:rsidRDefault="00465990" w:rsidP="005E19AF">
      <w:pPr>
        <w:tabs>
          <w:tab w:val="left" w:pos="1428"/>
        </w:tabs>
        <w:jc w:val="both"/>
      </w:pPr>
    </w:p>
    <w:p w:rsidR="00465990" w:rsidRPr="00147D59" w:rsidRDefault="00465990" w:rsidP="005E19AF">
      <w:pPr>
        <w:tabs>
          <w:tab w:val="left" w:pos="1428"/>
        </w:tabs>
        <w:jc w:val="both"/>
      </w:pPr>
    </w:p>
    <w:p w:rsidR="00B54827" w:rsidRPr="00147D59" w:rsidRDefault="00B54827" w:rsidP="005E19AF">
      <w:pPr>
        <w:pStyle w:val="Heading1"/>
        <w:jc w:val="both"/>
        <w:rPr>
          <w:rFonts w:asciiTheme="minorHAnsi" w:eastAsiaTheme="minorHAnsi" w:hAnsiTheme="minorHAnsi" w:cstheme="minorBidi"/>
          <w:color w:val="auto"/>
          <w:sz w:val="22"/>
          <w:szCs w:val="22"/>
        </w:rPr>
      </w:pPr>
    </w:p>
    <w:p w:rsidR="00B54827" w:rsidRPr="00147D59" w:rsidRDefault="00B54827" w:rsidP="005E19AF">
      <w:pPr>
        <w:pStyle w:val="Heading1"/>
        <w:jc w:val="both"/>
        <w:rPr>
          <w:rFonts w:asciiTheme="minorHAnsi" w:eastAsiaTheme="minorHAnsi" w:hAnsiTheme="minorHAnsi" w:cstheme="minorBidi"/>
          <w:color w:val="auto"/>
          <w:sz w:val="22"/>
          <w:szCs w:val="22"/>
        </w:rPr>
      </w:pPr>
    </w:p>
    <w:p w:rsidR="00B54827" w:rsidRPr="00147D59" w:rsidRDefault="00B54827" w:rsidP="005E19AF">
      <w:pPr>
        <w:jc w:val="both"/>
      </w:pPr>
    </w:p>
    <w:p w:rsidR="00184177" w:rsidRPr="00147D59" w:rsidRDefault="00184177" w:rsidP="005E19AF">
      <w:pPr>
        <w:pStyle w:val="Heading1"/>
        <w:jc w:val="both"/>
      </w:pPr>
      <w:bookmarkStart w:id="7" w:name="_Toc13477592"/>
      <w:r w:rsidRPr="00147D59">
        <w:lastRenderedPageBreak/>
        <w:t>2. Literature Review</w:t>
      </w:r>
      <w:bookmarkEnd w:id="7"/>
    </w:p>
    <w:p w:rsidR="00AA03F1" w:rsidRPr="00147D59" w:rsidRDefault="00632BE7" w:rsidP="005E19AF">
      <w:pPr>
        <w:spacing w:line="360" w:lineRule="auto"/>
        <w:jc w:val="both"/>
        <w:rPr>
          <w:sz w:val="24"/>
        </w:rPr>
      </w:pPr>
      <w:r w:rsidRPr="00147D59">
        <w:rPr>
          <w:sz w:val="24"/>
        </w:rPr>
        <w:t xml:space="preserve">Firms have several reasons to acquire other firms, it can be to increase the value for existing shareholders. It can </w:t>
      </w:r>
      <w:r w:rsidR="00957DEE" w:rsidRPr="00147D59">
        <w:rPr>
          <w:sz w:val="24"/>
        </w:rPr>
        <w:t xml:space="preserve">cause economies of scale, synergy advantages or a better position compared to the competition. </w:t>
      </w:r>
      <w:r w:rsidR="002337C9" w:rsidRPr="00147D59">
        <w:rPr>
          <w:sz w:val="24"/>
        </w:rPr>
        <w:t xml:space="preserve">On the other hand, managers can have different </w:t>
      </w:r>
      <w:r w:rsidR="00440C13" w:rsidRPr="00147D59">
        <w:rPr>
          <w:sz w:val="24"/>
        </w:rPr>
        <w:t>goals than shareholders. This can cause the stock prices to fall as a reaction to an unwanted merger or acquisition</w:t>
      </w:r>
      <w:r w:rsidR="00657A63" w:rsidRPr="00147D59">
        <w:rPr>
          <w:sz w:val="24"/>
        </w:rPr>
        <w:t>.</w:t>
      </w:r>
      <w:r w:rsidR="00BE685D" w:rsidRPr="00147D59">
        <w:rPr>
          <w:sz w:val="24"/>
        </w:rPr>
        <w:t xml:space="preserve"> The following chapter will first discuss theories on Mergers and Acquisitions (M&amp;A’s), followed by empirical results and what can be the cause of these abnormal returns, thereafter Mergers and Acquisitions in the Energy Market will be discussed. At last, the </w:t>
      </w:r>
      <w:r w:rsidR="004324BD">
        <w:rPr>
          <w:sz w:val="24"/>
        </w:rPr>
        <w:t xml:space="preserve">hypotheses </w:t>
      </w:r>
      <w:r w:rsidR="00BE685D" w:rsidRPr="00147D59">
        <w:rPr>
          <w:sz w:val="24"/>
        </w:rPr>
        <w:t>will be given to help answer the main research question.</w:t>
      </w:r>
    </w:p>
    <w:p w:rsidR="00657A63" w:rsidRPr="00147D59" w:rsidRDefault="00657A63" w:rsidP="005E19AF">
      <w:pPr>
        <w:pStyle w:val="Heading2"/>
        <w:jc w:val="both"/>
      </w:pPr>
      <w:bookmarkStart w:id="8" w:name="_Toc13477593"/>
      <w:r w:rsidRPr="00147D59">
        <w:t>2.1 Mergers and Acquisitions</w:t>
      </w:r>
      <w:r w:rsidR="005961BB" w:rsidRPr="00147D59">
        <w:t xml:space="preserve"> theories</w:t>
      </w:r>
      <w:bookmarkEnd w:id="8"/>
    </w:p>
    <w:p w:rsidR="004A1BBD" w:rsidRPr="00147D59" w:rsidRDefault="00734AF2" w:rsidP="005E19AF">
      <w:pPr>
        <w:spacing w:line="360" w:lineRule="auto"/>
        <w:jc w:val="both"/>
        <w:rPr>
          <w:sz w:val="24"/>
        </w:rPr>
      </w:pPr>
      <w:r w:rsidRPr="00147D59">
        <w:rPr>
          <w:sz w:val="24"/>
        </w:rPr>
        <w:t xml:space="preserve">When a firm agrees to combine with another firm, it is called a merger. When a proportion of outstanding shares of a target firm are bought with specified terms </w:t>
      </w:r>
      <w:r w:rsidR="002A3F3B" w:rsidRPr="00147D59">
        <w:rPr>
          <w:sz w:val="24"/>
        </w:rPr>
        <w:t>on a specified date, it is called a tender offer</w:t>
      </w:r>
      <w:sdt>
        <w:sdtPr>
          <w:rPr>
            <w:sz w:val="24"/>
          </w:rPr>
          <w:id w:val="-1536415514"/>
          <w:citation/>
        </w:sdtPr>
        <w:sdtEndPr/>
        <w:sdtContent>
          <w:r w:rsidR="002A3F3B" w:rsidRPr="00147D59">
            <w:rPr>
              <w:sz w:val="24"/>
            </w:rPr>
            <w:fldChar w:fldCharType="begin"/>
          </w:r>
          <w:r w:rsidR="002A3F3B" w:rsidRPr="00147D59">
            <w:rPr>
              <w:sz w:val="24"/>
            </w:rPr>
            <w:instrText xml:space="preserve"> CITATION Hal83 \l 1043 </w:instrText>
          </w:r>
          <w:r w:rsidR="002A3F3B" w:rsidRPr="00147D59">
            <w:rPr>
              <w:sz w:val="24"/>
            </w:rPr>
            <w:fldChar w:fldCharType="separate"/>
          </w:r>
          <w:r w:rsidR="002A3F3B" w:rsidRPr="00147D59">
            <w:rPr>
              <w:noProof/>
              <w:sz w:val="24"/>
            </w:rPr>
            <w:t xml:space="preserve"> (Halpern, 1983)</w:t>
          </w:r>
          <w:r w:rsidR="002A3F3B" w:rsidRPr="00147D59">
            <w:rPr>
              <w:sz w:val="24"/>
            </w:rPr>
            <w:fldChar w:fldCharType="end"/>
          </w:r>
        </w:sdtContent>
      </w:sdt>
      <w:r w:rsidR="002A3F3B" w:rsidRPr="00147D59">
        <w:rPr>
          <w:sz w:val="24"/>
        </w:rPr>
        <w:t xml:space="preserve">. </w:t>
      </w:r>
      <w:r w:rsidR="004A1BBD" w:rsidRPr="00147D59">
        <w:rPr>
          <w:sz w:val="24"/>
        </w:rPr>
        <w:t xml:space="preserve">In this thesis there will be no distinction between a merger or an acquisition. </w:t>
      </w:r>
    </w:p>
    <w:p w:rsidR="004A1BBD" w:rsidRPr="00147D59" w:rsidRDefault="004A1BBD" w:rsidP="005E19AF">
      <w:pPr>
        <w:spacing w:line="360" w:lineRule="auto"/>
        <w:jc w:val="both"/>
        <w:rPr>
          <w:sz w:val="24"/>
        </w:rPr>
      </w:pPr>
      <w:r w:rsidRPr="00147D59">
        <w:rPr>
          <w:sz w:val="24"/>
        </w:rPr>
        <w:t>T</w:t>
      </w:r>
      <w:r w:rsidR="002A3F3B" w:rsidRPr="00147D59">
        <w:rPr>
          <w:sz w:val="24"/>
        </w:rPr>
        <w:t xml:space="preserve">he stock prices of the acquiring firm will rise when the expected net present value (NPV) of the acquisition </w:t>
      </w:r>
      <w:r w:rsidR="00037378" w:rsidRPr="00147D59">
        <w:rPr>
          <w:sz w:val="24"/>
        </w:rPr>
        <w:t>is positive. For target firms the stock prices will ascent if the difference between the value offered and the value of the stocks under pre-acquisition</w:t>
      </w:r>
      <w:r w:rsidR="000359B7" w:rsidRPr="00147D59">
        <w:rPr>
          <w:sz w:val="24"/>
        </w:rPr>
        <w:t xml:space="preserve"> circumstances</w:t>
      </w:r>
      <w:r w:rsidR="00037378" w:rsidRPr="00147D59">
        <w:rPr>
          <w:sz w:val="24"/>
        </w:rPr>
        <w:t xml:space="preserve"> </w:t>
      </w:r>
      <w:r w:rsidR="000359B7" w:rsidRPr="00147D59">
        <w:rPr>
          <w:sz w:val="24"/>
        </w:rPr>
        <w:t>is</w:t>
      </w:r>
      <w:r w:rsidR="00037378" w:rsidRPr="00147D59">
        <w:rPr>
          <w:sz w:val="24"/>
        </w:rPr>
        <w:t xml:space="preserve"> positive. </w:t>
      </w:r>
      <w:r w:rsidR="000359B7" w:rsidRPr="00147D59">
        <w:rPr>
          <w:sz w:val="24"/>
        </w:rPr>
        <w:t xml:space="preserve">Halpern </w:t>
      </w:r>
      <w:sdt>
        <w:sdtPr>
          <w:rPr>
            <w:sz w:val="24"/>
          </w:rPr>
          <w:id w:val="-1871987538"/>
          <w:citation/>
        </w:sdtPr>
        <w:sdtEndPr/>
        <w:sdtContent>
          <w:r w:rsidR="000359B7" w:rsidRPr="00147D59">
            <w:rPr>
              <w:sz w:val="24"/>
            </w:rPr>
            <w:fldChar w:fldCharType="begin"/>
          </w:r>
          <w:r w:rsidR="000359B7" w:rsidRPr="00147D59">
            <w:rPr>
              <w:sz w:val="24"/>
            </w:rPr>
            <w:instrText xml:space="preserve">CITATION Hal83 \n  \t  \l 1043 </w:instrText>
          </w:r>
          <w:r w:rsidR="000359B7" w:rsidRPr="00147D59">
            <w:rPr>
              <w:sz w:val="24"/>
            </w:rPr>
            <w:fldChar w:fldCharType="separate"/>
          </w:r>
          <w:r w:rsidR="000359B7" w:rsidRPr="00147D59">
            <w:rPr>
              <w:noProof/>
              <w:sz w:val="24"/>
            </w:rPr>
            <w:t>(1983)</w:t>
          </w:r>
          <w:r w:rsidR="000359B7" w:rsidRPr="00147D59">
            <w:rPr>
              <w:sz w:val="24"/>
            </w:rPr>
            <w:fldChar w:fldCharType="end"/>
          </w:r>
        </w:sdtContent>
      </w:sdt>
      <w:r w:rsidR="000359B7" w:rsidRPr="00147D59">
        <w:rPr>
          <w:sz w:val="24"/>
        </w:rPr>
        <w:t xml:space="preserve"> also gave two classes of acquisition theories to explain why a firm decides to take over, non-value maximizing behavior and value maximizing </w:t>
      </w:r>
      <w:r w:rsidR="00AA0597" w:rsidRPr="00147D59">
        <w:rPr>
          <w:sz w:val="24"/>
        </w:rPr>
        <w:t>behavior</w:t>
      </w:r>
      <w:r w:rsidR="000359B7" w:rsidRPr="00147D59">
        <w:rPr>
          <w:sz w:val="24"/>
        </w:rPr>
        <w:t xml:space="preserve">. Non-value maximizing acquisitions have no economic value to be gained and often are the cause of value destruction. </w:t>
      </w:r>
      <w:r w:rsidR="00AA0597" w:rsidRPr="00147D59">
        <w:rPr>
          <w:sz w:val="24"/>
        </w:rPr>
        <w:t>With value maximization acquisitions the takeovers are treated as any other investment project, where the benefits should exceed, or be at least the same</w:t>
      </w:r>
      <w:r w:rsidR="00CC392C" w:rsidRPr="00147D59">
        <w:rPr>
          <w:sz w:val="24"/>
        </w:rPr>
        <w:t xml:space="preserve"> as</w:t>
      </w:r>
      <w:r w:rsidR="00AA0597" w:rsidRPr="00147D59">
        <w:rPr>
          <w:sz w:val="24"/>
        </w:rPr>
        <w:t xml:space="preserve">, </w:t>
      </w:r>
      <w:r w:rsidR="00CC392C" w:rsidRPr="00147D59">
        <w:rPr>
          <w:sz w:val="24"/>
        </w:rPr>
        <w:t>the</w:t>
      </w:r>
      <w:r w:rsidR="00AA0597" w:rsidRPr="00147D59">
        <w:rPr>
          <w:sz w:val="24"/>
        </w:rPr>
        <w:t xml:space="preserve"> costs. </w:t>
      </w:r>
    </w:p>
    <w:p w:rsidR="004A1BBD" w:rsidRPr="00147D59" w:rsidRDefault="004A1BBD" w:rsidP="005E19AF">
      <w:pPr>
        <w:spacing w:line="360" w:lineRule="auto"/>
        <w:jc w:val="both"/>
        <w:rPr>
          <w:b/>
          <w:sz w:val="24"/>
        </w:rPr>
      </w:pPr>
      <w:r w:rsidRPr="00147D59">
        <w:rPr>
          <w:b/>
          <w:sz w:val="24"/>
        </w:rPr>
        <w:t>Value maximizing acquisitions</w:t>
      </w:r>
    </w:p>
    <w:p w:rsidR="00013D34" w:rsidRPr="00147D59" w:rsidRDefault="00013D34" w:rsidP="005E19AF">
      <w:pPr>
        <w:spacing w:line="360" w:lineRule="auto"/>
        <w:jc w:val="both"/>
        <w:rPr>
          <w:sz w:val="24"/>
        </w:rPr>
      </w:pPr>
      <w:r w:rsidRPr="00147D59">
        <w:rPr>
          <w:sz w:val="24"/>
        </w:rPr>
        <w:t>When two firms become</w:t>
      </w:r>
      <w:r w:rsidR="00A109F5" w:rsidRPr="00147D59">
        <w:rPr>
          <w:sz w:val="24"/>
        </w:rPr>
        <w:t xml:space="preserve"> one</w:t>
      </w:r>
      <w:r w:rsidRPr="00147D59">
        <w:rPr>
          <w:sz w:val="24"/>
        </w:rPr>
        <w:t xml:space="preserve"> in the form in a merger or an acquisition, the production grows if both the firms are operating in the </w:t>
      </w:r>
      <w:r w:rsidR="00A109F5" w:rsidRPr="00147D59">
        <w:rPr>
          <w:sz w:val="24"/>
        </w:rPr>
        <w:t>same product</w:t>
      </w:r>
      <w:r w:rsidRPr="00147D59">
        <w:rPr>
          <w:sz w:val="24"/>
        </w:rPr>
        <w:t xml:space="preserve"> group. </w:t>
      </w:r>
      <w:r w:rsidR="00786986" w:rsidRPr="00147D59">
        <w:rPr>
          <w:sz w:val="24"/>
        </w:rPr>
        <w:t>The M&amp;A creates a larger market of a bigger company with a bigger scale. This can reduce the producing costs per prod</w:t>
      </w:r>
      <w:r w:rsidR="00491331" w:rsidRPr="00147D59">
        <w:rPr>
          <w:sz w:val="24"/>
        </w:rPr>
        <w:t xml:space="preserve">uct through economies of scale </w:t>
      </w:r>
      <w:sdt>
        <w:sdtPr>
          <w:rPr>
            <w:sz w:val="24"/>
          </w:rPr>
          <w:id w:val="76870363"/>
          <w:citation/>
        </w:sdtPr>
        <w:sdtEndPr/>
        <w:sdtContent>
          <w:r w:rsidR="00491331" w:rsidRPr="00147D59">
            <w:rPr>
              <w:sz w:val="24"/>
            </w:rPr>
            <w:fldChar w:fldCharType="begin"/>
          </w:r>
          <w:r w:rsidR="00491331" w:rsidRPr="00147D59">
            <w:rPr>
              <w:sz w:val="24"/>
            </w:rPr>
            <w:instrText xml:space="preserve"> CITATION Coy00 \l 1043 </w:instrText>
          </w:r>
          <w:r w:rsidR="00491331" w:rsidRPr="00147D59">
            <w:rPr>
              <w:sz w:val="24"/>
            </w:rPr>
            <w:fldChar w:fldCharType="separate"/>
          </w:r>
          <w:r w:rsidR="00491331" w:rsidRPr="00147D59">
            <w:rPr>
              <w:noProof/>
              <w:sz w:val="24"/>
            </w:rPr>
            <w:t>(Coyle, 2000)</w:t>
          </w:r>
          <w:r w:rsidR="00491331" w:rsidRPr="00147D59">
            <w:rPr>
              <w:sz w:val="24"/>
            </w:rPr>
            <w:fldChar w:fldCharType="end"/>
          </w:r>
        </w:sdtContent>
      </w:sdt>
      <w:r w:rsidR="00491331" w:rsidRPr="00147D59">
        <w:rPr>
          <w:sz w:val="24"/>
        </w:rPr>
        <w:t xml:space="preserve">. This creates value for the firm and thus for the stockholders, but this only holds if both the companies are closely related to each other and are easily </w:t>
      </w:r>
      <w:r w:rsidR="00491331" w:rsidRPr="00147D59">
        <w:rPr>
          <w:sz w:val="24"/>
        </w:rPr>
        <w:lastRenderedPageBreak/>
        <w:t xml:space="preserve">integrated after the takeover. </w:t>
      </w:r>
      <w:r w:rsidR="00F15EEA" w:rsidRPr="00147D59">
        <w:rPr>
          <w:sz w:val="24"/>
        </w:rPr>
        <w:t xml:space="preserve"> In fact, these economies of scale are called cost synergies. Cost synergies also occur when certain tasks can be done by one </w:t>
      </w:r>
      <w:r w:rsidR="00C01C1A" w:rsidRPr="00147D59">
        <w:rPr>
          <w:sz w:val="24"/>
        </w:rPr>
        <w:t>part</w:t>
      </w:r>
      <w:r w:rsidR="00F15EEA" w:rsidRPr="00147D59">
        <w:rPr>
          <w:sz w:val="24"/>
        </w:rPr>
        <w:t xml:space="preserve"> of the firm. For example, one management board, one marketing team and one sales team</w:t>
      </w:r>
      <w:r w:rsidR="00C01C1A" w:rsidRPr="00147D59">
        <w:rPr>
          <w:sz w:val="24"/>
        </w:rPr>
        <w:t>, which will reduce employee costs</w:t>
      </w:r>
      <w:r w:rsidR="00F15EEA" w:rsidRPr="00147D59">
        <w:rPr>
          <w:sz w:val="24"/>
        </w:rPr>
        <w:t xml:space="preserve">. </w:t>
      </w:r>
      <w:r w:rsidR="00ED597E" w:rsidRPr="00147D59">
        <w:rPr>
          <w:sz w:val="24"/>
        </w:rPr>
        <w:t xml:space="preserve">Also, especially in the Energy sector, there is a lot to gain in vertical integration. The company can extract an intermediary by buying a company which is upstream or downstream from the acquiring firm. Upstream companies can be discovery, extractors and researchers. Also feasibility studies, rental of machines and the extraction of chemicals are also included as upstream parties. Downstream firms </w:t>
      </w:r>
      <w:r w:rsidR="0045169B" w:rsidRPr="00147D59">
        <w:rPr>
          <w:sz w:val="24"/>
        </w:rPr>
        <w:t xml:space="preserve">now come into play. For instance, they refine crude oil in products which can be sold to the consumer. Downstream parties are refineries, logistic companies, petrochemical plants and retailers. If one firm in the production process is taken over, the </w:t>
      </w:r>
      <w:r w:rsidR="008007B2" w:rsidRPr="00147D59">
        <w:rPr>
          <w:sz w:val="24"/>
        </w:rPr>
        <w:t>profit</w:t>
      </w:r>
      <w:r w:rsidR="0045169B" w:rsidRPr="00147D59">
        <w:rPr>
          <w:sz w:val="24"/>
        </w:rPr>
        <w:t xml:space="preserve"> margins of that company will reduce or even disappear which benefits the acquiring firm. </w:t>
      </w:r>
      <w:r w:rsidR="00F15EEA" w:rsidRPr="00147D59">
        <w:rPr>
          <w:sz w:val="24"/>
        </w:rPr>
        <w:t xml:space="preserve">All these cost reductions can </w:t>
      </w:r>
      <w:r w:rsidR="008A4543" w:rsidRPr="00147D59">
        <w:rPr>
          <w:sz w:val="24"/>
        </w:rPr>
        <w:t>be classified</w:t>
      </w:r>
      <w:r w:rsidR="00F15EEA" w:rsidRPr="00147D59">
        <w:rPr>
          <w:sz w:val="24"/>
        </w:rPr>
        <w:t xml:space="preserve"> as cost synergies. </w:t>
      </w:r>
    </w:p>
    <w:p w:rsidR="00F15EEA" w:rsidRPr="00147D59" w:rsidRDefault="00F15EEA" w:rsidP="005E19AF">
      <w:pPr>
        <w:spacing w:line="360" w:lineRule="auto"/>
        <w:jc w:val="both"/>
        <w:rPr>
          <w:sz w:val="24"/>
        </w:rPr>
      </w:pPr>
      <w:r w:rsidRPr="00147D59">
        <w:rPr>
          <w:sz w:val="24"/>
        </w:rPr>
        <w:t>Besides cost synergie</w:t>
      </w:r>
      <w:r w:rsidR="004C5800" w:rsidRPr="00147D59">
        <w:rPr>
          <w:sz w:val="24"/>
        </w:rPr>
        <w:t xml:space="preserve">s also revenue synergies exist. The target company can have patents which now the newly formed firm can get a hold on to improve the product of the bidder. </w:t>
      </w:r>
      <w:r w:rsidR="00C01C1A" w:rsidRPr="00147D59">
        <w:rPr>
          <w:sz w:val="24"/>
        </w:rPr>
        <w:t xml:space="preserve">Also the expansion to new regions or even countries can contribute to a higher demand causing higher revenues and a larger brand awareness. </w:t>
      </w:r>
      <w:r w:rsidR="00044E5E" w:rsidRPr="00147D59">
        <w:rPr>
          <w:sz w:val="24"/>
        </w:rPr>
        <w:t xml:space="preserve">Through diversification of products, more different products can be bought by the same retailer. Diversification also reduces risks of external factors by </w:t>
      </w:r>
      <w:r w:rsidR="00B1648D" w:rsidRPr="00147D59">
        <w:rPr>
          <w:sz w:val="24"/>
        </w:rPr>
        <w:t xml:space="preserve">hedging. For instance, an oil company benefits with higher oil prices, where a petrochemical company has a disadvantage when the oil prices rise. If both companies merge, the external factor of unexpected oil price changes is (partly) hedged and thus reduces risk </w:t>
      </w:r>
      <w:sdt>
        <w:sdtPr>
          <w:rPr>
            <w:sz w:val="24"/>
          </w:rPr>
          <w:id w:val="466175729"/>
          <w:citation/>
        </w:sdtPr>
        <w:sdtEndPr/>
        <w:sdtContent>
          <w:r w:rsidR="00B1648D" w:rsidRPr="00147D59">
            <w:rPr>
              <w:sz w:val="24"/>
            </w:rPr>
            <w:fldChar w:fldCharType="begin"/>
          </w:r>
          <w:r w:rsidR="00B1648D" w:rsidRPr="00147D59">
            <w:rPr>
              <w:sz w:val="24"/>
            </w:rPr>
            <w:instrText xml:space="preserve"> CITATION Smi08 \l 1043 </w:instrText>
          </w:r>
          <w:r w:rsidR="00B1648D" w:rsidRPr="00147D59">
            <w:rPr>
              <w:sz w:val="24"/>
            </w:rPr>
            <w:fldChar w:fldCharType="separate"/>
          </w:r>
          <w:r w:rsidR="00B1648D" w:rsidRPr="00147D59">
            <w:rPr>
              <w:noProof/>
              <w:sz w:val="24"/>
            </w:rPr>
            <w:t>(Smith, 2008)</w:t>
          </w:r>
          <w:r w:rsidR="00B1648D" w:rsidRPr="00147D59">
            <w:rPr>
              <w:sz w:val="24"/>
            </w:rPr>
            <w:fldChar w:fldCharType="end"/>
          </w:r>
        </w:sdtContent>
      </w:sdt>
      <w:r w:rsidR="00B1648D" w:rsidRPr="00147D59">
        <w:rPr>
          <w:sz w:val="24"/>
        </w:rPr>
        <w:t>.</w:t>
      </w:r>
    </w:p>
    <w:p w:rsidR="00B1648D" w:rsidRPr="00147D59" w:rsidRDefault="00C75D3B" w:rsidP="005E19AF">
      <w:pPr>
        <w:spacing w:line="360" w:lineRule="auto"/>
        <w:jc w:val="both"/>
        <w:rPr>
          <w:sz w:val="24"/>
        </w:rPr>
      </w:pPr>
      <w:r w:rsidRPr="00147D59">
        <w:rPr>
          <w:sz w:val="24"/>
        </w:rPr>
        <w:t>When two firms combine, they become eligible for certain tax advantages. They can get higher loans at banks, because of the decreased probability for default. The interest payed for these loans can be deducted from the profits. With lower profits, the t</w:t>
      </w:r>
      <w:r w:rsidR="005961BB" w:rsidRPr="00147D59">
        <w:rPr>
          <w:sz w:val="24"/>
        </w:rPr>
        <w:t>ax payments also go down. Also the loss of one company can be deducted from the profits of the other company, this way less corporate</w:t>
      </w:r>
      <w:r w:rsidR="008007B2" w:rsidRPr="00147D59">
        <w:rPr>
          <w:sz w:val="24"/>
        </w:rPr>
        <w:t xml:space="preserve"> tax has</w:t>
      </w:r>
      <w:r w:rsidR="005961BB" w:rsidRPr="00147D59">
        <w:rPr>
          <w:sz w:val="24"/>
        </w:rPr>
        <w:t xml:space="preserve"> to be transmitted.</w:t>
      </w:r>
    </w:p>
    <w:p w:rsidR="005961BB" w:rsidRPr="00147D59" w:rsidRDefault="005961BB" w:rsidP="005E19AF">
      <w:pPr>
        <w:spacing w:line="360" w:lineRule="auto"/>
        <w:jc w:val="both"/>
        <w:rPr>
          <w:b/>
          <w:sz w:val="24"/>
        </w:rPr>
      </w:pPr>
    </w:p>
    <w:p w:rsidR="005961BB" w:rsidRPr="00147D59" w:rsidRDefault="005961BB" w:rsidP="005E19AF">
      <w:pPr>
        <w:spacing w:line="360" w:lineRule="auto"/>
        <w:jc w:val="both"/>
        <w:rPr>
          <w:b/>
          <w:sz w:val="24"/>
        </w:rPr>
      </w:pPr>
    </w:p>
    <w:p w:rsidR="004A1BBD" w:rsidRPr="00147D59" w:rsidRDefault="004A1BBD" w:rsidP="005E19AF">
      <w:pPr>
        <w:spacing w:line="360" w:lineRule="auto"/>
        <w:jc w:val="both"/>
        <w:rPr>
          <w:b/>
          <w:sz w:val="24"/>
        </w:rPr>
      </w:pPr>
      <w:r w:rsidRPr="00147D59">
        <w:rPr>
          <w:b/>
          <w:sz w:val="24"/>
        </w:rPr>
        <w:lastRenderedPageBreak/>
        <w:t>No</w:t>
      </w:r>
      <w:r w:rsidR="005961BB" w:rsidRPr="00147D59">
        <w:rPr>
          <w:b/>
          <w:sz w:val="24"/>
        </w:rPr>
        <w:t>n-value maximizing acquisitions</w:t>
      </w:r>
    </w:p>
    <w:p w:rsidR="005961BB" w:rsidRPr="00147D59" w:rsidRDefault="005961BB" w:rsidP="005E19AF">
      <w:pPr>
        <w:spacing w:line="360" w:lineRule="auto"/>
        <w:jc w:val="both"/>
        <w:rPr>
          <w:sz w:val="24"/>
        </w:rPr>
      </w:pPr>
      <w:r w:rsidRPr="00147D59">
        <w:rPr>
          <w:sz w:val="24"/>
        </w:rPr>
        <w:t xml:space="preserve">Besides financial incentives to take over another company, also managerial incentives exists. The motives of managers is not always in the line of interest of the shareholders and this can be the cause of value destruction. Managers are seduced to fulfill their own, short-term interests where shareholders have a more long-term vision. This conflict of interests is often called the agent-principal problem </w:t>
      </w:r>
      <w:sdt>
        <w:sdtPr>
          <w:rPr>
            <w:sz w:val="24"/>
          </w:rPr>
          <w:id w:val="-886802070"/>
          <w:citation/>
        </w:sdtPr>
        <w:sdtEndPr/>
        <w:sdtContent>
          <w:r w:rsidRPr="00147D59">
            <w:rPr>
              <w:sz w:val="24"/>
            </w:rPr>
            <w:fldChar w:fldCharType="begin"/>
          </w:r>
          <w:r w:rsidRPr="00147D59">
            <w:rPr>
              <w:sz w:val="24"/>
            </w:rPr>
            <w:instrText xml:space="preserve">CITATION Jen86 \t  \l 1043 </w:instrText>
          </w:r>
          <w:r w:rsidRPr="00147D59">
            <w:rPr>
              <w:sz w:val="24"/>
            </w:rPr>
            <w:fldChar w:fldCharType="separate"/>
          </w:r>
          <w:r w:rsidRPr="00147D59">
            <w:rPr>
              <w:noProof/>
              <w:sz w:val="24"/>
            </w:rPr>
            <w:t>(Jensen, 1986)</w:t>
          </w:r>
          <w:r w:rsidRPr="00147D59">
            <w:rPr>
              <w:sz w:val="24"/>
            </w:rPr>
            <w:fldChar w:fldCharType="end"/>
          </w:r>
        </w:sdtContent>
      </w:sdt>
      <w:r w:rsidRPr="00147D59">
        <w:rPr>
          <w:sz w:val="24"/>
        </w:rPr>
        <w:t xml:space="preserve">. Where the shareholders are the principals and the managers the agent. </w:t>
      </w:r>
      <w:r w:rsidR="008007B2" w:rsidRPr="00147D59">
        <w:rPr>
          <w:sz w:val="24"/>
        </w:rPr>
        <w:t xml:space="preserve">This problem can be reduced by monitoring the agents, but that is costly to execute and most of the time the monitoring is incomplete. </w:t>
      </w:r>
      <w:r w:rsidRPr="00147D59">
        <w:rPr>
          <w:sz w:val="24"/>
        </w:rPr>
        <w:t xml:space="preserve">Shareholders benefit when </w:t>
      </w:r>
      <w:r w:rsidR="0043451F" w:rsidRPr="00147D59">
        <w:rPr>
          <w:sz w:val="24"/>
        </w:rPr>
        <w:t>their wealth</w:t>
      </w:r>
      <w:r w:rsidRPr="00147D59">
        <w:rPr>
          <w:sz w:val="24"/>
        </w:rPr>
        <w:t xml:space="preserve"> increases. Managers can be power-seeking and want to maximize the resources under their control, even when it is not in the interest of the company. Roll </w:t>
      </w:r>
      <w:sdt>
        <w:sdtPr>
          <w:rPr>
            <w:sz w:val="24"/>
          </w:rPr>
          <w:id w:val="198819678"/>
          <w:citation/>
        </w:sdtPr>
        <w:sdtEndPr/>
        <w:sdtContent>
          <w:r w:rsidRPr="00147D59">
            <w:rPr>
              <w:sz w:val="24"/>
            </w:rPr>
            <w:fldChar w:fldCharType="begin"/>
          </w:r>
          <w:r w:rsidRPr="00147D59">
            <w:rPr>
              <w:sz w:val="24"/>
            </w:rPr>
            <w:instrText xml:space="preserve">CITATION Rol86 \n  \t  \l 1043 </w:instrText>
          </w:r>
          <w:r w:rsidRPr="00147D59">
            <w:rPr>
              <w:sz w:val="24"/>
            </w:rPr>
            <w:fldChar w:fldCharType="separate"/>
          </w:r>
          <w:r w:rsidRPr="00147D59">
            <w:rPr>
              <w:noProof/>
              <w:sz w:val="24"/>
            </w:rPr>
            <w:t>(1986)</w:t>
          </w:r>
          <w:r w:rsidRPr="00147D59">
            <w:rPr>
              <w:sz w:val="24"/>
            </w:rPr>
            <w:fldChar w:fldCharType="end"/>
          </w:r>
        </w:sdtContent>
      </w:sdt>
      <w:r w:rsidRPr="00147D59">
        <w:rPr>
          <w:sz w:val="24"/>
        </w:rPr>
        <w:t xml:space="preserve"> explains this with the hubris hypothesis, which states that managers are overconfident and arrogant. The bidders over valuate the target firms and are convinced they can create value with the takeover. Morck, Shleifer and Vishny </w:t>
      </w:r>
      <w:sdt>
        <w:sdtPr>
          <w:rPr>
            <w:sz w:val="24"/>
          </w:rPr>
          <w:id w:val="51200236"/>
          <w:citation/>
        </w:sdtPr>
        <w:sdtEndPr/>
        <w:sdtContent>
          <w:r w:rsidRPr="00147D59">
            <w:rPr>
              <w:sz w:val="24"/>
            </w:rPr>
            <w:fldChar w:fldCharType="begin"/>
          </w:r>
          <w:r w:rsidRPr="00147D59">
            <w:rPr>
              <w:sz w:val="24"/>
            </w:rPr>
            <w:instrText xml:space="preserve">CITATION Mor90 \n  \t  \l 1043 </w:instrText>
          </w:r>
          <w:r w:rsidRPr="00147D59">
            <w:rPr>
              <w:sz w:val="24"/>
            </w:rPr>
            <w:fldChar w:fldCharType="separate"/>
          </w:r>
          <w:r w:rsidRPr="00147D59">
            <w:rPr>
              <w:noProof/>
              <w:sz w:val="24"/>
            </w:rPr>
            <w:t>(1990)</w:t>
          </w:r>
          <w:r w:rsidRPr="00147D59">
            <w:rPr>
              <w:sz w:val="24"/>
            </w:rPr>
            <w:fldChar w:fldCharType="end"/>
          </w:r>
        </w:sdtContent>
      </w:sdt>
      <w:r w:rsidRPr="00147D59">
        <w:rPr>
          <w:sz w:val="24"/>
        </w:rPr>
        <w:t xml:space="preserve"> can reason why bust-up takeovers are often over payed. The firm is sold in pieces to the highest bidder. In pieces the firm is valued higher than it would be if sold as an unity. Jensen </w:t>
      </w:r>
      <w:sdt>
        <w:sdtPr>
          <w:rPr>
            <w:sz w:val="24"/>
          </w:rPr>
          <w:id w:val="-552933173"/>
          <w:citation/>
        </w:sdtPr>
        <w:sdtEndPr/>
        <w:sdtContent>
          <w:r w:rsidRPr="00147D59">
            <w:rPr>
              <w:sz w:val="24"/>
            </w:rPr>
            <w:fldChar w:fldCharType="begin"/>
          </w:r>
          <w:r w:rsidRPr="00147D59">
            <w:rPr>
              <w:sz w:val="24"/>
            </w:rPr>
            <w:instrText xml:space="preserve">CITATION Jen86 \n  \t  \l 1043 </w:instrText>
          </w:r>
          <w:r w:rsidRPr="00147D59">
            <w:rPr>
              <w:sz w:val="24"/>
            </w:rPr>
            <w:fldChar w:fldCharType="separate"/>
          </w:r>
          <w:r w:rsidRPr="00147D59">
            <w:rPr>
              <w:noProof/>
              <w:sz w:val="24"/>
            </w:rPr>
            <w:t>(1986)</w:t>
          </w:r>
          <w:r w:rsidRPr="00147D59">
            <w:rPr>
              <w:sz w:val="24"/>
            </w:rPr>
            <w:fldChar w:fldCharType="end"/>
          </w:r>
        </w:sdtContent>
      </w:sdt>
      <w:r w:rsidRPr="00147D59">
        <w:rPr>
          <w:sz w:val="24"/>
        </w:rPr>
        <w:t xml:space="preserve"> investigated the free cash flow theory that states when decision makers have a lot cash to spare, will increase the chance of poor investment decisions and</w:t>
      </w:r>
      <w:r w:rsidR="0043451F" w:rsidRPr="00147D59">
        <w:rPr>
          <w:sz w:val="24"/>
        </w:rPr>
        <w:t>, consequently,</w:t>
      </w:r>
      <w:r w:rsidRPr="00147D59">
        <w:rPr>
          <w:sz w:val="24"/>
        </w:rPr>
        <w:t xml:space="preserve"> value destruction. </w:t>
      </w:r>
    </w:p>
    <w:p w:rsidR="00B36E60" w:rsidRPr="00147D59" w:rsidRDefault="00B36E60" w:rsidP="005E19AF">
      <w:pPr>
        <w:pStyle w:val="Heading2"/>
        <w:jc w:val="both"/>
      </w:pPr>
      <w:bookmarkStart w:id="9" w:name="_Toc13477594"/>
      <w:r w:rsidRPr="00147D59">
        <w:t>2.2</w:t>
      </w:r>
      <w:r w:rsidR="004A1BBD" w:rsidRPr="00147D59">
        <w:t xml:space="preserve"> Empirical results mergers and a</w:t>
      </w:r>
      <w:r w:rsidRPr="00147D59">
        <w:t>cquisitions</w:t>
      </w:r>
      <w:bookmarkEnd w:id="9"/>
    </w:p>
    <w:p w:rsidR="005961BB" w:rsidRPr="00147D59" w:rsidRDefault="005961BB" w:rsidP="005E19AF">
      <w:pPr>
        <w:spacing w:line="360" w:lineRule="auto"/>
        <w:jc w:val="both"/>
        <w:rPr>
          <w:sz w:val="24"/>
        </w:rPr>
      </w:pPr>
      <w:r w:rsidRPr="00147D59">
        <w:rPr>
          <w:sz w:val="24"/>
        </w:rPr>
        <w:t>A lot of evidence is found about abnormal returns around the announcement of a takeover, the next part will elaborate the most important findings</w:t>
      </w:r>
      <w:r w:rsidR="00D93792" w:rsidRPr="00147D59">
        <w:rPr>
          <w:sz w:val="24"/>
        </w:rPr>
        <w:t>.</w:t>
      </w:r>
    </w:p>
    <w:p w:rsidR="005961BB" w:rsidRPr="00147D59" w:rsidRDefault="005961BB" w:rsidP="005E19AF">
      <w:pPr>
        <w:spacing w:line="360" w:lineRule="auto"/>
        <w:jc w:val="both"/>
        <w:rPr>
          <w:sz w:val="24"/>
        </w:rPr>
      </w:pPr>
      <w:r w:rsidRPr="00147D59">
        <w:rPr>
          <w:sz w:val="24"/>
        </w:rPr>
        <w:t>A lot of different effects on announcements have investigated. The short term performance or the long term performance. Also the post-acquisition period have been researched. In this paper the focus is on the event window which is from ten days from and after the announcement date of the merger or acquisition. The focus of the following papers will also be around the announcement day.</w:t>
      </w:r>
    </w:p>
    <w:p w:rsidR="008D4DDF" w:rsidRPr="00147D59" w:rsidRDefault="00AA03F1" w:rsidP="005E19AF">
      <w:pPr>
        <w:spacing w:line="360" w:lineRule="auto"/>
        <w:jc w:val="both"/>
        <w:rPr>
          <w:sz w:val="24"/>
        </w:rPr>
      </w:pPr>
      <w:r w:rsidRPr="00147D59">
        <w:rPr>
          <w:sz w:val="24"/>
        </w:rPr>
        <w:t>Jensen and Ruback</w:t>
      </w:r>
      <w:r w:rsidR="00DF55C4" w:rsidRPr="00147D59">
        <w:rPr>
          <w:sz w:val="24"/>
        </w:rPr>
        <w:t xml:space="preserve"> </w:t>
      </w:r>
      <w:sdt>
        <w:sdtPr>
          <w:rPr>
            <w:sz w:val="24"/>
          </w:rPr>
          <w:id w:val="-2075418876"/>
          <w:citation/>
        </w:sdtPr>
        <w:sdtEndPr/>
        <w:sdtContent>
          <w:r w:rsidR="00DF55C4" w:rsidRPr="00147D59">
            <w:rPr>
              <w:sz w:val="24"/>
            </w:rPr>
            <w:fldChar w:fldCharType="begin"/>
          </w:r>
          <w:r w:rsidR="00DF55C4" w:rsidRPr="00147D59">
            <w:rPr>
              <w:sz w:val="24"/>
            </w:rPr>
            <w:instrText xml:space="preserve">CITATION Jen83 \n  \t  \l 1043 </w:instrText>
          </w:r>
          <w:r w:rsidR="00DF55C4" w:rsidRPr="00147D59">
            <w:rPr>
              <w:sz w:val="24"/>
            </w:rPr>
            <w:fldChar w:fldCharType="separate"/>
          </w:r>
          <w:r w:rsidR="00DF55C4" w:rsidRPr="00147D59">
            <w:rPr>
              <w:noProof/>
              <w:sz w:val="24"/>
            </w:rPr>
            <w:t>(1983)</w:t>
          </w:r>
          <w:r w:rsidR="00DF55C4" w:rsidRPr="00147D59">
            <w:rPr>
              <w:sz w:val="24"/>
            </w:rPr>
            <w:fldChar w:fldCharType="end"/>
          </w:r>
        </w:sdtContent>
      </w:sdt>
      <w:r w:rsidRPr="00147D59">
        <w:rPr>
          <w:sz w:val="24"/>
        </w:rPr>
        <w:t xml:space="preserve"> have thoroughly investigated many studies concerning corporate control and their effects on mergers and acquisitions. They found that </w:t>
      </w:r>
      <w:r w:rsidR="00DF55C4" w:rsidRPr="00147D59">
        <w:rPr>
          <w:sz w:val="24"/>
        </w:rPr>
        <w:t xml:space="preserve">target firm stock holders gain on corporate takeovers and acquiring firm stock holders’ return is equal to zero. </w:t>
      </w:r>
      <w:r w:rsidR="000359B7" w:rsidRPr="00147D59">
        <w:rPr>
          <w:sz w:val="24"/>
        </w:rPr>
        <w:t>But t</w:t>
      </w:r>
      <w:r w:rsidR="00DF55C4" w:rsidRPr="00147D59">
        <w:rPr>
          <w:sz w:val="24"/>
        </w:rPr>
        <w:t xml:space="preserve">his </w:t>
      </w:r>
      <w:r w:rsidR="00DF55C4" w:rsidRPr="00147D59">
        <w:rPr>
          <w:sz w:val="24"/>
        </w:rPr>
        <w:lastRenderedPageBreak/>
        <w:t xml:space="preserve">was not caused by the </w:t>
      </w:r>
      <w:r w:rsidR="00CC392C" w:rsidRPr="00147D59">
        <w:rPr>
          <w:sz w:val="24"/>
        </w:rPr>
        <w:t>increase</w:t>
      </w:r>
      <w:r w:rsidR="00DF55C4" w:rsidRPr="00147D59">
        <w:rPr>
          <w:sz w:val="24"/>
        </w:rPr>
        <w:t xml:space="preserve"> of market power.</w:t>
      </w:r>
      <w:r w:rsidR="001E25AA" w:rsidRPr="00147D59">
        <w:rPr>
          <w:sz w:val="24"/>
        </w:rPr>
        <w:t xml:space="preserve"> Other studies also found positive abnormal returns for target firms and zero or slightly negative abnormal returns for acquiring firms.</w:t>
      </w:r>
      <w:r w:rsidR="00DF55C4" w:rsidRPr="00147D59">
        <w:rPr>
          <w:sz w:val="24"/>
        </w:rPr>
        <w:t xml:space="preserve"> </w:t>
      </w:r>
      <w:r w:rsidR="001E25AA" w:rsidRPr="00147D59">
        <w:rPr>
          <w:sz w:val="24"/>
        </w:rPr>
        <w:t xml:space="preserve">Jarrel &amp; Poulsen </w:t>
      </w:r>
      <w:sdt>
        <w:sdtPr>
          <w:rPr>
            <w:sz w:val="24"/>
          </w:rPr>
          <w:id w:val="1766196994"/>
          <w:citation/>
        </w:sdtPr>
        <w:sdtEndPr/>
        <w:sdtContent>
          <w:r w:rsidR="001E25AA" w:rsidRPr="00147D59">
            <w:rPr>
              <w:sz w:val="24"/>
            </w:rPr>
            <w:fldChar w:fldCharType="begin"/>
          </w:r>
          <w:r w:rsidR="001E25AA" w:rsidRPr="00147D59">
            <w:rPr>
              <w:sz w:val="24"/>
            </w:rPr>
            <w:instrText xml:space="preserve">CITATION Jar89 \n  \t  \l 1043 </w:instrText>
          </w:r>
          <w:r w:rsidR="001E25AA" w:rsidRPr="00147D59">
            <w:rPr>
              <w:sz w:val="24"/>
            </w:rPr>
            <w:fldChar w:fldCharType="separate"/>
          </w:r>
          <w:r w:rsidR="001E25AA" w:rsidRPr="00147D59">
            <w:rPr>
              <w:noProof/>
              <w:sz w:val="24"/>
            </w:rPr>
            <w:t>(1989)</w:t>
          </w:r>
          <w:r w:rsidR="001E25AA" w:rsidRPr="00147D59">
            <w:rPr>
              <w:sz w:val="24"/>
            </w:rPr>
            <w:fldChar w:fldCharType="end"/>
          </w:r>
        </w:sdtContent>
      </w:sdt>
      <w:r w:rsidR="001E25AA" w:rsidRPr="00147D59">
        <w:rPr>
          <w:sz w:val="24"/>
        </w:rPr>
        <w:t xml:space="preserve"> could give two explanations. First, </w:t>
      </w:r>
      <w:r w:rsidR="00353CAB" w:rsidRPr="00147D59">
        <w:rPr>
          <w:sz w:val="24"/>
        </w:rPr>
        <w:t>not all effects on wealth could be found back in the stock prices at the time of the announcement because of the relative small proportion of the bid value to the</w:t>
      </w:r>
      <w:r w:rsidR="007A057B" w:rsidRPr="00147D59">
        <w:rPr>
          <w:sz w:val="24"/>
        </w:rPr>
        <w:t xml:space="preserve"> acquiring</w:t>
      </w:r>
      <w:r w:rsidR="00353CAB" w:rsidRPr="00147D59">
        <w:rPr>
          <w:sz w:val="24"/>
        </w:rPr>
        <w:t xml:space="preserve"> firm value. Also, because of the competition on the target firm by other, potential acquirers, the price of the bid</w:t>
      </w:r>
      <w:r w:rsidR="004639D4" w:rsidRPr="00147D59">
        <w:rPr>
          <w:sz w:val="24"/>
        </w:rPr>
        <w:t xml:space="preserve"> rises. This favors the target’s stock prices.</w:t>
      </w:r>
      <w:r w:rsidR="00353CAB" w:rsidRPr="00147D59">
        <w:rPr>
          <w:sz w:val="24"/>
        </w:rPr>
        <w:t xml:space="preserve"> </w:t>
      </w:r>
      <w:r w:rsidR="007A057B" w:rsidRPr="00147D59">
        <w:rPr>
          <w:sz w:val="24"/>
        </w:rPr>
        <w:t xml:space="preserve">Bruner </w:t>
      </w:r>
      <w:sdt>
        <w:sdtPr>
          <w:rPr>
            <w:sz w:val="24"/>
          </w:rPr>
          <w:id w:val="-479846045"/>
          <w:citation/>
        </w:sdtPr>
        <w:sdtEndPr/>
        <w:sdtContent>
          <w:r w:rsidR="007A057B" w:rsidRPr="00147D59">
            <w:rPr>
              <w:sz w:val="24"/>
            </w:rPr>
            <w:fldChar w:fldCharType="begin"/>
          </w:r>
          <w:r w:rsidR="007A057B" w:rsidRPr="00147D59">
            <w:rPr>
              <w:sz w:val="24"/>
            </w:rPr>
            <w:instrText xml:space="preserve">CITATION Bru \n  \t  \l 1043 </w:instrText>
          </w:r>
          <w:r w:rsidR="007A057B" w:rsidRPr="00147D59">
            <w:rPr>
              <w:sz w:val="24"/>
            </w:rPr>
            <w:fldChar w:fldCharType="separate"/>
          </w:r>
          <w:r w:rsidR="007A057B" w:rsidRPr="00147D59">
            <w:rPr>
              <w:noProof/>
              <w:sz w:val="24"/>
            </w:rPr>
            <w:t>(2002)</w:t>
          </w:r>
          <w:r w:rsidR="007A057B" w:rsidRPr="00147D59">
            <w:rPr>
              <w:sz w:val="24"/>
            </w:rPr>
            <w:fldChar w:fldCharType="end"/>
          </w:r>
        </w:sdtContent>
      </w:sdt>
      <w:r w:rsidR="007A057B" w:rsidRPr="00147D59">
        <w:rPr>
          <w:sz w:val="24"/>
        </w:rPr>
        <w:t xml:space="preserve"> summarized many studies and came to the same conclusion that target firms stockholders are gaining sizable positive returns at times of the announcement, where bidder returns are mostly zero. Nevertheless, when acqu</w:t>
      </w:r>
      <w:r w:rsidR="004639D4" w:rsidRPr="00147D59">
        <w:rPr>
          <w:sz w:val="24"/>
        </w:rPr>
        <w:t>irer and target stock returns w</w:t>
      </w:r>
      <w:r w:rsidR="007A057B" w:rsidRPr="00147D59">
        <w:rPr>
          <w:sz w:val="24"/>
        </w:rPr>
        <w:t xml:space="preserve">ere combined, </w:t>
      </w:r>
      <w:r w:rsidR="00E05879" w:rsidRPr="00147D59">
        <w:rPr>
          <w:sz w:val="24"/>
        </w:rPr>
        <w:t>an</w:t>
      </w:r>
      <w:r w:rsidR="007A057B" w:rsidRPr="00147D59">
        <w:rPr>
          <w:sz w:val="24"/>
        </w:rPr>
        <w:t xml:space="preserve"> adjusted positive return</w:t>
      </w:r>
      <w:r w:rsidR="00E05879" w:rsidRPr="00147D59">
        <w:rPr>
          <w:sz w:val="24"/>
        </w:rPr>
        <w:t xml:space="preserve"> was obtained</w:t>
      </w:r>
      <w:r w:rsidR="007A057B" w:rsidRPr="00147D59">
        <w:rPr>
          <w:sz w:val="24"/>
        </w:rPr>
        <w:t>.</w:t>
      </w:r>
      <w:r w:rsidR="00E05879" w:rsidRPr="00147D59">
        <w:rPr>
          <w:sz w:val="24"/>
        </w:rPr>
        <w:t xml:space="preserve"> </w:t>
      </w:r>
      <w:r w:rsidR="00C24C44" w:rsidRPr="00147D59">
        <w:rPr>
          <w:sz w:val="24"/>
        </w:rPr>
        <w:t xml:space="preserve">Martynova and Renneboog </w:t>
      </w:r>
      <w:sdt>
        <w:sdtPr>
          <w:rPr>
            <w:sz w:val="24"/>
          </w:rPr>
          <w:id w:val="1586037305"/>
          <w:citation/>
        </w:sdtPr>
        <w:sdtEndPr/>
        <w:sdtContent>
          <w:r w:rsidR="00C24C44" w:rsidRPr="00147D59">
            <w:rPr>
              <w:sz w:val="24"/>
            </w:rPr>
            <w:fldChar w:fldCharType="begin"/>
          </w:r>
          <w:r w:rsidR="00C24C44" w:rsidRPr="00147D59">
            <w:rPr>
              <w:sz w:val="24"/>
            </w:rPr>
            <w:instrText xml:space="preserve">CITATION Mar11 \n  \t  \l 1043 </w:instrText>
          </w:r>
          <w:r w:rsidR="00C24C44" w:rsidRPr="00147D59">
            <w:rPr>
              <w:sz w:val="24"/>
            </w:rPr>
            <w:fldChar w:fldCharType="separate"/>
          </w:r>
          <w:r w:rsidR="00C24C44" w:rsidRPr="00147D59">
            <w:rPr>
              <w:noProof/>
              <w:sz w:val="24"/>
            </w:rPr>
            <w:t>(2011)</w:t>
          </w:r>
          <w:r w:rsidR="00C24C44" w:rsidRPr="00147D59">
            <w:rPr>
              <w:sz w:val="24"/>
            </w:rPr>
            <w:fldChar w:fldCharType="end"/>
          </w:r>
        </w:sdtContent>
      </w:sdt>
      <w:r w:rsidR="00C24C44" w:rsidRPr="00147D59">
        <w:rPr>
          <w:sz w:val="24"/>
        </w:rPr>
        <w:t xml:space="preserve"> did even find positive abnormal returns for acquiring firms.</w:t>
      </w:r>
      <w:r w:rsidR="00E05879" w:rsidRPr="00147D59">
        <w:rPr>
          <w:sz w:val="24"/>
        </w:rPr>
        <w:t xml:space="preserve"> </w:t>
      </w:r>
      <w:r w:rsidR="004639D4" w:rsidRPr="00147D59">
        <w:rPr>
          <w:sz w:val="24"/>
        </w:rPr>
        <w:t>Concluding from these papers</w:t>
      </w:r>
      <w:r w:rsidR="00C24C44" w:rsidRPr="00147D59">
        <w:rPr>
          <w:sz w:val="24"/>
        </w:rPr>
        <w:t xml:space="preserve">, almost all papers agree that target firm’s stock will be significantly positive different from zero around the date of the announcement of a merger or acquisition. But there is still a lot of debate going on about abnormal returns for the bidders. </w:t>
      </w:r>
    </w:p>
    <w:p w:rsidR="008D4DDF" w:rsidRPr="00147D59" w:rsidRDefault="008D4DDF" w:rsidP="005E19AF">
      <w:pPr>
        <w:pStyle w:val="Heading2"/>
        <w:jc w:val="both"/>
      </w:pPr>
      <w:bookmarkStart w:id="10" w:name="_Toc13477595"/>
      <w:r w:rsidRPr="00147D59">
        <w:t>2.3 Determinants of abnormal returns</w:t>
      </w:r>
      <w:bookmarkEnd w:id="10"/>
    </w:p>
    <w:p w:rsidR="00B36E60" w:rsidRPr="00147D59" w:rsidRDefault="003A7F83" w:rsidP="005E19AF">
      <w:pPr>
        <w:spacing w:line="360" w:lineRule="auto"/>
        <w:jc w:val="both"/>
        <w:rPr>
          <w:sz w:val="24"/>
        </w:rPr>
      </w:pPr>
      <w:r w:rsidRPr="00147D59">
        <w:rPr>
          <w:sz w:val="24"/>
        </w:rPr>
        <w:t>To answer the research question, we</w:t>
      </w:r>
      <w:r w:rsidR="008D4DDF" w:rsidRPr="00147D59">
        <w:rPr>
          <w:sz w:val="24"/>
        </w:rPr>
        <w:t xml:space="preserve"> want to know where these abnormal returns come from. With so called determinants we want to calculate the explanatory value of certain factors which may influence the abnormal returns</w:t>
      </w:r>
      <w:r w:rsidR="002357A5" w:rsidRPr="00147D59">
        <w:rPr>
          <w:sz w:val="24"/>
        </w:rPr>
        <w:t xml:space="preserve"> around the announcement day</w:t>
      </w:r>
      <w:r w:rsidR="008D4DDF" w:rsidRPr="00147D59">
        <w:rPr>
          <w:sz w:val="24"/>
        </w:rPr>
        <w:t xml:space="preserve">. This section will elaborate the determinants used in this research, and earlier, empirical findings in the </w:t>
      </w:r>
      <w:r w:rsidR="004D6103" w:rsidRPr="00147D59">
        <w:rPr>
          <w:sz w:val="24"/>
        </w:rPr>
        <w:t>literature</w:t>
      </w:r>
      <w:r w:rsidR="008D4DDF" w:rsidRPr="00147D59">
        <w:rPr>
          <w:sz w:val="24"/>
        </w:rPr>
        <w:t>.</w:t>
      </w:r>
    </w:p>
    <w:p w:rsidR="00596C74" w:rsidRPr="00147D59" w:rsidRDefault="004D6103" w:rsidP="005E19AF">
      <w:pPr>
        <w:spacing w:line="360" w:lineRule="auto"/>
        <w:jc w:val="both"/>
        <w:rPr>
          <w:sz w:val="24"/>
        </w:rPr>
      </w:pPr>
      <w:r w:rsidRPr="00147D59">
        <w:rPr>
          <w:sz w:val="24"/>
        </w:rPr>
        <w:t>Earlier we already discussed cost and revenue synergies t</w:t>
      </w:r>
      <w:r w:rsidR="002357A5" w:rsidRPr="00147D59">
        <w:rPr>
          <w:sz w:val="24"/>
        </w:rPr>
        <w:t>hat occur when two firms merge. The expected gains from this merger can be directly be processed in the price, if the Efficient Market Hypothesis (EMH) holds. However, this is often not the case, because of information asymmetry</w:t>
      </w:r>
      <w:r w:rsidR="005F5B3B" w:rsidRPr="00147D59">
        <w:rPr>
          <w:sz w:val="24"/>
        </w:rPr>
        <w:t>, the gains that are expected will not be directly incorporated in the price</w:t>
      </w:r>
      <w:r w:rsidR="002357A5" w:rsidRPr="00147D59">
        <w:rPr>
          <w:sz w:val="24"/>
        </w:rPr>
        <w:t>. But</w:t>
      </w:r>
      <w:r w:rsidR="007F1A65" w:rsidRPr="00147D59">
        <w:rPr>
          <w:sz w:val="24"/>
        </w:rPr>
        <w:t xml:space="preserve"> still,</w:t>
      </w:r>
      <w:r w:rsidR="002357A5" w:rsidRPr="00147D59">
        <w:rPr>
          <w:sz w:val="24"/>
        </w:rPr>
        <w:t xml:space="preserve"> it is not strange to expect a rise in abnormal returns when the two companies are from the same industry</w:t>
      </w:r>
      <w:r w:rsidR="00FD185F" w:rsidRPr="00147D59">
        <w:rPr>
          <w:sz w:val="24"/>
        </w:rPr>
        <w:t xml:space="preserve"> sector</w:t>
      </w:r>
      <w:r w:rsidR="002357A5" w:rsidRPr="00147D59">
        <w:rPr>
          <w:sz w:val="24"/>
        </w:rPr>
        <w:t xml:space="preserve">. </w:t>
      </w:r>
      <w:r w:rsidR="00C22BEC" w:rsidRPr="00147D59">
        <w:rPr>
          <w:sz w:val="24"/>
        </w:rPr>
        <w:t xml:space="preserve">Earlier Eckbo </w:t>
      </w:r>
      <w:sdt>
        <w:sdtPr>
          <w:rPr>
            <w:sz w:val="24"/>
          </w:rPr>
          <w:id w:val="299882831"/>
          <w:citation/>
        </w:sdtPr>
        <w:sdtEndPr/>
        <w:sdtContent>
          <w:r w:rsidR="00C22BEC" w:rsidRPr="00147D59">
            <w:rPr>
              <w:sz w:val="24"/>
            </w:rPr>
            <w:fldChar w:fldCharType="begin"/>
          </w:r>
          <w:r w:rsidR="00C22BEC" w:rsidRPr="00147D59">
            <w:rPr>
              <w:sz w:val="24"/>
            </w:rPr>
            <w:instrText xml:space="preserve">CITATION Eck83 \n  \t  \l 1043 </w:instrText>
          </w:r>
          <w:r w:rsidR="00C22BEC" w:rsidRPr="00147D59">
            <w:rPr>
              <w:sz w:val="24"/>
            </w:rPr>
            <w:fldChar w:fldCharType="separate"/>
          </w:r>
          <w:r w:rsidR="00C22BEC" w:rsidRPr="00147D59">
            <w:rPr>
              <w:noProof/>
              <w:sz w:val="24"/>
            </w:rPr>
            <w:t>(1983)</w:t>
          </w:r>
          <w:r w:rsidR="00C22BEC" w:rsidRPr="00147D59">
            <w:rPr>
              <w:sz w:val="24"/>
            </w:rPr>
            <w:fldChar w:fldCharType="end"/>
          </w:r>
        </w:sdtContent>
      </w:sdt>
      <w:r w:rsidR="00471D01" w:rsidRPr="00147D59">
        <w:rPr>
          <w:sz w:val="24"/>
        </w:rPr>
        <w:t xml:space="preserve"> </w:t>
      </w:r>
      <w:r w:rsidR="00C22BEC" w:rsidRPr="00147D59">
        <w:rPr>
          <w:sz w:val="24"/>
        </w:rPr>
        <w:t xml:space="preserve">investigated merging firms in the same industry and compared these with non-related mergers. The abnormal returns for acquired </w:t>
      </w:r>
      <w:r w:rsidR="00471D01" w:rsidRPr="00147D59">
        <w:rPr>
          <w:sz w:val="24"/>
        </w:rPr>
        <w:t>firms in the same industry were larger comparing to cross-industry mergers</w:t>
      </w:r>
      <w:r w:rsidR="00C22BEC" w:rsidRPr="00147D59">
        <w:rPr>
          <w:sz w:val="24"/>
        </w:rPr>
        <w:t xml:space="preserve">. </w:t>
      </w:r>
    </w:p>
    <w:p w:rsidR="003A7F83" w:rsidRPr="00147D59" w:rsidRDefault="00596C74" w:rsidP="005E19AF">
      <w:pPr>
        <w:spacing w:line="360" w:lineRule="auto"/>
        <w:jc w:val="both"/>
        <w:rPr>
          <w:sz w:val="24"/>
        </w:rPr>
      </w:pPr>
      <w:r w:rsidRPr="00147D59">
        <w:rPr>
          <w:sz w:val="24"/>
        </w:rPr>
        <w:lastRenderedPageBreak/>
        <w:t xml:space="preserve">Payment method is also found to be a deciding factor in explaining observed abnormal returns. </w:t>
      </w:r>
      <w:r w:rsidR="00825AE3" w:rsidRPr="00147D59">
        <w:rPr>
          <w:sz w:val="24"/>
        </w:rPr>
        <w:t xml:space="preserve">Huang and Walkling </w:t>
      </w:r>
      <w:sdt>
        <w:sdtPr>
          <w:rPr>
            <w:sz w:val="24"/>
          </w:rPr>
          <w:id w:val="-1906368832"/>
          <w:citation/>
        </w:sdtPr>
        <w:sdtEndPr/>
        <w:sdtContent>
          <w:r w:rsidR="00F93943" w:rsidRPr="00147D59">
            <w:rPr>
              <w:sz w:val="24"/>
            </w:rPr>
            <w:fldChar w:fldCharType="begin"/>
          </w:r>
          <w:r w:rsidR="00F93943" w:rsidRPr="00147D59">
            <w:rPr>
              <w:sz w:val="24"/>
            </w:rPr>
            <w:instrText xml:space="preserve">CITATION Hua87 \n  \t  \l 1043 </w:instrText>
          </w:r>
          <w:r w:rsidR="00F93943" w:rsidRPr="00147D59">
            <w:rPr>
              <w:sz w:val="24"/>
            </w:rPr>
            <w:fldChar w:fldCharType="separate"/>
          </w:r>
          <w:r w:rsidR="00F93943" w:rsidRPr="00147D59">
            <w:rPr>
              <w:noProof/>
              <w:sz w:val="24"/>
            </w:rPr>
            <w:t>(1987)</w:t>
          </w:r>
          <w:r w:rsidR="00F93943" w:rsidRPr="00147D59">
            <w:rPr>
              <w:sz w:val="24"/>
            </w:rPr>
            <w:fldChar w:fldCharType="end"/>
          </w:r>
        </w:sdtContent>
      </w:sdt>
      <w:r w:rsidR="00825AE3" w:rsidRPr="00147D59">
        <w:rPr>
          <w:sz w:val="24"/>
        </w:rPr>
        <w:t xml:space="preserve"> </w:t>
      </w:r>
      <w:r w:rsidR="005F5B3B" w:rsidRPr="00147D59">
        <w:rPr>
          <w:sz w:val="24"/>
        </w:rPr>
        <w:t xml:space="preserve">found that cash offers have significantly higher returns in </w:t>
      </w:r>
      <w:r w:rsidR="00DC1895" w:rsidRPr="00147D59">
        <w:rPr>
          <w:sz w:val="24"/>
        </w:rPr>
        <w:t>stock prices</w:t>
      </w:r>
      <w:r w:rsidR="005F5B3B" w:rsidRPr="00147D59">
        <w:rPr>
          <w:sz w:val="24"/>
        </w:rPr>
        <w:t xml:space="preserve"> than stock offers. This is partly caused by the form of acquisition, because tender offers are often </w:t>
      </w:r>
      <w:r w:rsidR="00F93943" w:rsidRPr="00147D59">
        <w:rPr>
          <w:sz w:val="24"/>
        </w:rPr>
        <w:t>financed</w:t>
      </w:r>
      <w:r w:rsidR="005F5B3B" w:rsidRPr="00147D59">
        <w:rPr>
          <w:sz w:val="24"/>
        </w:rPr>
        <w:t xml:space="preserve"> in cash where mergers are often financed in stock. But even after controlling for this, Huang and Walkling</w:t>
      </w:r>
      <w:r w:rsidR="00825AE3" w:rsidRPr="00147D59">
        <w:rPr>
          <w:sz w:val="24"/>
        </w:rPr>
        <w:t xml:space="preserve"> (1987)</w:t>
      </w:r>
      <w:r w:rsidR="005F5B3B" w:rsidRPr="00147D59">
        <w:rPr>
          <w:sz w:val="24"/>
        </w:rPr>
        <w:t xml:space="preserve"> found higher </w:t>
      </w:r>
      <w:r w:rsidR="00DC1895" w:rsidRPr="00147D59">
        <w:rPr>
          <w:sz w:val="24"/>
        </w:rPr>
        <w:t>returns for</w:t>
      </w:r>
      <w:r w:rsidR="005F5B3B" w:rsidRPr="00147D59">
        <w:rPr>
          <w:sz w:val="24"/>
        </w:rPr>
        <w:t xml:space="preserve"> cash payments. The reason can be that </w:t>
      </w:r>
      <w:r w:rsidR="00F93943" w:rsidRPr="00147D59">
        <w:rPr>
          <w:sz w:val="24"/>
        </w:rPr>
        <w:t xml:space="preserve">shareholders demand higher value to compensate for the income tax that they have to pay. The question that is still unanswered is why the bidders want to pay this difference. </w:t>
      </w:r>
      <w:r w:rsidR="00825AE3" w:rsidRPr="00147D59">
        <w:rPr>
          <w:sz w:val="24"/>
        </w:rPr>
        <w:t>C</w:t>
      </w:r>
      <w:r w:rsidR="00F93943" w:rsidRPr="00147D59">
        <w:rPr>
          <w:sz w:val="24"/>
        </w:rPr>
        <w:t>ash</w:t>
      </w:r>
      <w:r w:rsidR="00825AE3" w:rsidRPr="00147D59">
        <w:rPr>
          <w:sz w:val="24"/>
        </w:rPr>
        <w:t>, rather than stock,</w:t>
      </w:r>
      <w:r w:rsidR="00F93943" w:rsidRPr="00147D59">
        <w:rPr>
          <w:sz w:val="24"/>
        </w:rPr>
        <w:t xml:space="preserve"> </w:t>
      </w:r>
      <w:r w:rsidR="00825AE3" w:rsidRPr="00147D59">
        <w:rPr>
          <w:sz w:val="24"/>
        </w:rPr>
        <w:t>has a more favorable announcement effect for bidders is</w:t>
      </w:r>
      <w:r w:rsidR="00F93943" w:rsidRPr="00147D59">
        <w:rPr>
          <w:sz w:val="24"/>
        </w:rPr>
        <w:t xml:space="preserve"> also in line </w:t>
      </w:r>
      <w:r w:rsidR="00825AE3" w:rsidRPr="00147D59">
        <w:rPr>
          <w:sz w:val="24"/>
        </w:rPr>
        <w:t xml:space="preserve">with the pecking order theory of Myers &amp; Majluf </w:t>
      </w:r>
      <w:sdt>
        <w:sdtPr>
          <w:rPr>
            <w:sz w:val="24"/>
          </w:rPr>
          <w:id w:val="116573632"/>
          <w:citation/>
        </w:sdtPr>
        <w:sdtEndPr/>
        <w:sdtContent>
          <w:r w:rsidR="00825AE3" w:rsidRPr="00147D59">
            <w:rPr>
              <w:sz w:val="24"/>
            </w:rPr>
            <w:fldChar w:fldCharType="begin"/>
          </w:r>
          <w:r w:rsidR="00825AE3" w:rsidRPr="00147D59">
            <w:rPr>
              <w:sz w:val="24"/>
            </w:rPr>
            <w:instrText xml:space="preserve">CITATION Mye841 \n  \t  \l 1043 </w:instrText>
          </w:r>
          <w:r w:rsidR="00825AE3" w:rsidRPr="00147D59">
            <w:rPr>
              <w:sz w:val="24"/>
            </w:rPr>
            <w:fldChar w:fldCharType="separate"/>
          </w:r>
          <w:r w:rsidR="00825AE3" w:rsidRPr="00147D59">
            <w:rPr>
              <w:noProof/>
              <w:sz w:val="24"/>
            </w:rPr>
            <w:t>(1984)</w:t>
          </w:r>
          <w:r w:rsidR="00825AE3" w:rsidRPr="00147D59">
            <w:rPr>
              <w:sz w:val="24"/>
            </w:rPr>
            <w:fldChar w:fldCharType="end"/>
          </w:r>
        </w:sdtContent>
      </w:sdt>
      <w:r w:rsidR="00825AE3" w:rsidRPr="00147D59">
        <w:rPr>
          <w:sz w:val="24"/>
        </w:rPr>
        <w:t>.</w:t>
      </w:r>
      <w:r w:rsidR="00861799" w:rsidRPr="00147D59">
        <w:rPr>
          <w:sz w:val="24"/>
        </w:rPr>
        <w:t xml:space="preserve"> This theory states that firms prefer internal financing first, than external financing and issuing equity is the least preferable.</w:t>
      </w:r>
      <w:r w:rsidR="00825AE3" w:rsidRPr="00147D59">
        <w:rPr>
          <w:sz w:val="24"/>
        </w:rPr>
        <w:t xml:space="preserve"> However, </w:t>
      </w:r>
      <w:r w:rsidR="003A7F83" w:rsidRPr="00147D59">
        <w:rPr>
          <w:sz w:val="24"/>
        </w:rPr>
        <w:t xml:space="preserve">Chang </w:t>
      </w:r>
      <w:sdt>
        <w:sdtPr>
          <w:rPr>
            <w:sz w:val="24"/>
          </w:rPr>
          <w:id w:val="2095276122"/>
          <w:citation/>
        </w:sdtPr>
        <w:sdtEndPr/>
        <w:sdtContent>
          <w:r w:rsidR="003A7F83" w:rsidRPr="00147D59">
            <w:rPr>
              <w:sz w:val="24"/>
            </w:rPr>
            <w:fldChar w:fldCharType="begin"/>
          </w:r>
          <w:r w:rsidR="003A7F83" w:rsidRPr="00147D59">
            <w:rPr>
              <w:sz w:val="24"/>
            </w:rPr>
            <w:instrText xml:space="preserve">CITATION Cha98 \n  \t  \l 1043 </w:instrText>
          </w:r>
          <w:r w:rsidR="003A7F83" w:rsidRPr="00147D59">
            <w:rPr>
              <w:sz w:val="24"/>
            </w:rPr>
            <w:fldChar w:fldCharType="separate"/>
          </w:r>
          <w:r w:rsidR="003A7F83" w:rsidRPr="00147D59">
            <w:rPr>
              <w:noProof/>
              <w:sz w:val="24"/>
            </w:rPr>
            <w:t>(1998)</w:t>
          </w:r>
          <w:r w:rsidR="003A7F83" w:rsidRPr="00147D59">
            <w:rPr>
              <w:sz w:val="24"/>
            </w:rPr>
            <w:fldChar w:fldCharType="end"/>
          </w:r>
        </w:sdtContent>
      </w:sdt>
      <w:r w:rsidR="003A7F83" w:rsidRPr="00147D59">
        <w:rPr>
          <w:sz w:val="24"/>
        </w:rPr>
        <w:t xml:space="preserve"> found positive abnormal returns for acquiring firms when the target firms is privately held and the consideration was stock. </w:t>
      </w:r>
      <w:r w:rsidR="00861799" w:rsidRPr="00147D59">
        <w:rPr>
          <w:sz w:val="24"/>
        </w:rPr>
        <w:t>Nonetheless</w:t>
      </w:r>
      <w:r w:rsidR="003A7F83" w:rsidRPr="00147D59">
        <w:rPr>
          <w:sz w:val="24"/>
        </w:rPr>
        <w:t>, this was not the case when the payment was in cash.</w:t>
      </w:r>
      <w:r w:rsidR="00825AE3" w:rsidRPr="00147D59">
        <w:rPr>
          <w:sz w:val="24"/>
        </w:rPr>
        <w:t xml:space="preserve"> </w:t>
      </w:r>
      <w:r w:rsidR="00ED5C36" w:rsidRPr="00147D59">
        <w:rPr>
          <w:sz w:val="24"/>
        </w:rPr>
        <w:t>This may be explained by the reduced information asymmetry due increased monitoring by the shareholders.</w:t>
      </w:r>
      <w:r w:rsidR="00861799" w:rsidRPr="00147D59">
        <w:rPr>
          <w:sz w:val="24"/>
        </w:rPr>
        <w:t xml:space="preserve"> Since this research only covers publicly traded firms, the expectation is a positive effect on acquirer abnormal returns when payed in cash.</w:t>
      </w:r>
    </w:p>
    <w:p w:rsidR="003A7F83" w:rsidRPr="00147D59" w:rsidRDefault="00471D01" w:rsidP="005E19AF">
      <w:pPr>
        <w:spacing w:line="360" w:lineRule="auto"/>
        <w:jc w:val="both"/>
        <w:rPr>
          <w:sz w:val="24"/>
        </w:rPr>
      </w:pPr>
      <w:r w:rsidRPr="00147D59">
        <w:rPr>
          <w:sz w:val="24"/>
        </w:rPr>
        <w:t xml:space="preserve">A third important factor in explaining abnormal returns </w:t>
      </w:r>
      <w:r w:rsidR="00D8488F" w:rsidRPr="00147D59">
        <w:rPr>
          <w:sz w:val="24"/>
        </w:rPr>
        <w:t xml:space="preserve">seems to be the relative firm size of both the acquirer and the target. Moeller, Schlingemann &amp; Stulz </w:t>
      </w:r>
      <w:sdt>
        <w:sdtPr>
          <w:rPr>
            <w:sz w:val="24"/>
          </w:rPr>
          <w:id w:val="-215971664"/>
          <w:citation/>
        </w:sdtPr>
        <w:sdtEndPr/>
        <w:sdtContent>
          <w:r w:rsidR="00D8488F" w:rsidRPr="00147D59">
            <w:rPr>
              <w:sz w:val="24"/>
            </w:rPr>
            <w:fldChar w:fldCharType="begin"/>
          </w:r>
          <w:r w:rsidR="00D8488F" w:rsidRPr="00147D59">
            <w:rPr>
              <w:sz w:val="24"/>
            </w:rPr>
            <w:instrText xml:space="preserve">CITATION Moe04 \n  \t  \l 1043 </w:instrText>
          </w:r>
          <w:r w:rsidR="00D8488F" w:rsidRPr="00147D59">
            <w:rPr>
              <w:sz w:val="24"/>
            </w:rPr>
            <w:fldChar w:fldCharType="separate"/>
          </w:r>
          <w:r w:rsidR="00D8488F" w:rsidRPr="00147D59">
            <w:rPr>
              <w:noProof/>
              <w:sz w:val="24"/>
            </w:rPr>
            <w:t>(2004)</w:t>
          </w:r>
          <w:r w:rsidR="00D8488F" w:rsidRPr="00147D59">
            <w:rPr>
              <w:sz w:val="24"/>
            </w:rPr>
            <w:fldChar w:fldCharType="end"/>
          </w:r>
        </w:sdtContent>
      </w:sdt>
      <w:r w:rsidR="000511AC" w:rsidRPr="00147D59">
        <w:rPr>
          <w:sz w:val="24"/>
        </w:rPr>
        <w:t xml:space="preserve"> </w:t>
      </w:r>
      <w:r w:rsidR="00D8488F" w:rsidRPr="00147D59">
        <w:rPr>
          <w:sz w:val="24"/>
        </w:rPr>
        <w:t xml:space="preserve">found that small bidding firms have better abnormal returns when the merger is announced in comparison to larger acquirers. Where the small bidders gained a positive return on stocks returns, the larger firms experienced wealth loss for their shareholders, irrespective of payment method. </w:t>
      </w:r>
      <w:r w:rsidR="00A752B5" w:rsidRPr="00147D59">
        <w:rPr>
          <w:sz w:val="24"/>
        </w:rPr>
        <w:t xml:space="preserve">Also the size of the target can play a role (or not). Jarrel &amp; Poulsen </w:t>
      </w:r>
      <w:sdt>
        <w:sdtPr>
          <w:rPr>
            <w:sz w:val="24"/>
          </w:rPr>
          <w:id w:val="-2036792380"/>
          <w:citation/>
        </w:sdtPr>
        <w:sdtEndPr/>
        <w:sdtContent>
          <w:r w:rsidR="00A752B5" w:rsidRPr="00147D59">
            <w:rPr>
              <w:sz w:val="24"/>
            </w:rPr>
            <w:fldChar w:fldCharType="begin"/>
          </w:r>
          <w:r w:rsidR="00A752B5" w:rsidRPr="00147D59">
            <w:rPr>
              <w:sz w:val="24"/>
            </w:rPr>
            <w:instrText xml:space="preserve">CITATION Jar89 \n  \t  \l 1043 </w:instrText>
          </w:r>
          <w:r w:rsidR="00A752B5" w:rsidRPr="00147D59">
            <w:rPr>
              <w:sz w:val="24"/>
            </w:rPr>
            <w:fldChar w:fldCharType="separate"/>
          </w:r>
          <w:r w:rsidR="00A752B5" w:rsidRPr="00147D59">
            <w:rPr>
              <w:noProof/>
              <w:sz w:val="24"/>
            </w:rPr>
            <w:t>(1989)</w:t>
          </w:r>
          <w:r w:rsidR="00A752B5" w:rsidRPr="00147D59">
            <w:rPr>
              <w:sz w:val="24"/>
            </w:rPr>
            <w:fldChar w:fldCharType="end"/>
          </w:r>
        </w:sdtContent>
      </w:sdt>
      <w:r w:rsidR="00A752B5" w:rsidRPr="00147D59">
        <w:rPr>
          <w:sz w:val="24"/>
        </w:rPr>
        <w:t xml:space="preserve"> concluded in their paper that the relative small size of the target in comparison to the acquirer’s </w:t>
      </w:r>
      <w:r w:rsidR="00DC1895" w:rsidRPr="00147D59">
        <w:rPr>
          <w:sz w:val="24"/>
        </w:rPr>
        <w:t>full wealth</w:t>
      </w:r>
      <w:r w:rsidR="00A752B5" w:rsidRPr="00147D59">
        <w:rPr>
          <w:sz w:val="24"/>
        </w:rPr>
        <w:t>, can delude the observed effect of the merger.</w:t>
      </w:r>
    </w:p>
    <w:p w:rsidR="003A7F83" w:rsidRPr="00147D59" w:rsidRDefault="00A752B5" w:rsidP="005E19AF">
      <w:pPr>
        <w:spacing w:line="360" w:lineRule="auto"/>
        <w:jc w:val="both"/>
        <w:rPr>
          <w:sz w:val="24"/>
        </w:rPr>
      </w:pPr>
      <w:r w:rsidRPr="00147D59">
        <w:rPr>
          <w:sz w:val="24"/>
        </w:rPr>
        <w:t xml:space="preserve">Not only these determinants, but also others can play a role in explaining abnormal returns at the announcement of a merger or acquisition. The determinants discussed above are the ones with the most concrete results, but in this research we will also look at other </w:t>
      </w:r>
      <w:r w:rsidR="00DC30FD" w:rsidRPr="00147D59">
        <w:rPr>
          <w:sz w:val="24"/>
        </w:rPr>
        <w:t xml:space="preserve">explanatories which will be briefly explained in the Data &amp; Methods section. </w:t>
      </w:r>
    </w:p>
    <w:p w:rsidR="005961BB" w:rsidRPr="00147D59" w:rsidRDefault="008D4DDF" w:rsidP="005E19AF">
      <w:pPr>
        <w:pStyle w:val="Heading2"/>
        <w:jc w:val="both"/>
      </w:pPr>
      <w:bookmarkStart w:id="11" w:name="_Toc13477596"/>
      <w:r w:rsidRPr="00147D59">
        <w:lastRenderedPageBreak/>
        <w:t>2.4</w:t>
      </w:r>
      <w:r w:rsidR="005961BB" w:rsidRPr="00147D59">
        <w:t xml:space="preserve"> </w:t>
      </w:r>
      <w:r w:rsidR="00A42742" w:rsidRPr="00147D59">
        <w:t>M&amp;As</w:t>
      </w:r>
      <w:r w:rsidR="005961BB" w:rsidRPr="00147D59">
        <w:t xml:space="preserve"> in the Energy and Power Industry</w:t>
      </w:r>
      <w:bookmarkEnd w:id="11"/>
    </w:p>
    <w:p w:rsidR="005961BB" w:rsidRPr="00147D59" w:rsidRDefault="005961BB" w:rsidP="005E19AF">
      <w:pPr>
        <w:spacing w:line="360" w:lineRule="auto"/>
        <w:jc w:val="both"/>
        <w:rPr>
          <w:sz w:val="24"/>
        </w:rPr>
      </w:pPr>
      <w:r w:rsidRPr="00147D59">
        <w:rPr>
          <w:sz w:val="24"/>
        </w:rPr>
        <w:t>This part will evaluate earlier literature on energy and power, and especially mergers and acquisitions in the energy sector. The Energy and Power</w:t>
      </w:r>
      <w:r w:rsidR="00B54827" w:rsidRPr="00147D59">
        <w:rPr>
          <w:sz w:val="24"/>
        </w:rPr>
        <w:t xml:space="preserve"> sector consists of smaller mid-industries. T</w:t>
      </w:r>
      <w:r w:rsidRPr="00147D59">
        <w:rPr>
          <w:sz w:val="24"/>
        </w:rPr>
        <w:t>he two largest</w:t>
      </w:r>
      <w:r w:rsidR="00B54827" w:rsidRPr="00147D59">
        <w:rPr>
          <w:sz w:val="24"/>
        </w:rPr>
        <w:t xml:space="preserve"> mid-industries</w:t>
      </w:r>
      <w:r w:rsidRPr="00147D59">
        <w:rPr>
          <w:sz w:val="24"/>
        </w:rPr>
        <w:t xml:space="preserve"> are Power</w:t>
      </w:r>
      <w:r w:rsidR="00A6161D" w:rsidRPr="00147D59">
        <w:rPr>
          <w:sz w:val="24"/>
        </w:rPr>
        <w:t xml:space="preserve"> (or electric utilities)</w:t>
      </w:r>
      <w:r w:rsidRPr="00147D59">
        <w:rPr>
          <w:sz w:val="24"/>
        </w:rPr>
        <w:t xml:space="preserve"> and Oil &amp; Gas, and the smaller are Petrochemicals, Pipelines, Water and </w:t>
      </w:r>
      <w:r w:rsidR="00B54827" w:rsidRPr="00147D59">
        <w:rPr>
          <w:sz w:val="24"/>
        </w:rPr>
        <w:t>Other</w:t>
      </w:r>
      <w:r w:rsidRPr="00147D59">
        <w:rPr>
          <w:sz w:val="24"/>
        </w:rPr>
        <w:t xml:space="preserve"> </w:t>
      </w:r>
      <w:r w:rsidR="00B54827" w:rsidRPr="00147D59">
        <w:rPr>
          <w:sz w:val="24"/>
        </w:rPr>
        <w:t xml:space="preserve">Energy &amp; Power. </w:t>
      </w:r>
    </w:p>
    <w:p w:rsidR="005961BB" w:rsidRPr="00147D59" w:rsidRDefault="005961BB" w:rsidP="005E19AF">
      <w:pPr>
        <w:spacing w:line="360" w:lineRule="auto"/>
        <w:jc w:val="both"/>
        <w:rPr>
          <w:sz w:val="24"/>
        </w:rPr>
      </w:pPr>
      <w:r w:rsidRPr="00147D59">
        <w:rPr>
          <w:sz w:val="24"/>
        </w:rPr>
        <w:t xml:space="preserve">Crude oil is the most important and most influential commodity of the past decades. It is used in many products such as fuel, plastics and Sulphur. Fluctuation in oil prices does not only affect the Energy sector but other sectors as well. The oil and gas market accounts for over 10% of all the trade in commodities. With companies like Sinopec, Royal Dutch Shell and Exxon Mobile, which have revenues as big as small countries, the oil and gas </w:t>
      </w:r>
      <w:r w:rsidR="00D93792" w:rsidRPr="00147D59">
        <w:rPr>
          <w:sz w:val="24"/>
        </w:rPr>
        <w:t>market</w:t>
      </w:r>
      <w:r w:rsidRPr="00147D59">
        <w:rPr>
          <w:sz w:val="24"/>
        </w:rPr>
        <w:t xml:space="preserve"> is gigantic. </w:t>
      </w:r>
      <w:r w:rsidR="00D93792" w:rsidRPr="00147D59">
        <w:rPr>
          <w:sz w:val="24"/>
        </w:rPr>
        <w:t xml:space="preserve">This market diversifies itself from other markets in several ways. </w:t>
      </w:r>
      <w:r w:rsidRPr="00147D59">
        <w:rPr>
          <w:sz w:val="24"/>
        </w:rPr>
        <w:t xml:space="preserve">With the </w:t>
      </w:r>
      <w:r w:rsidR="00A6161D" w:rsidRPr="00147D59">
        <w:rPr>
          <w:sz w:val="24"/>
        </w:rPr>
        <w:t>Organization</w:t>
      </w:r>
      <w:r w:rsidRPr="00147D59">
        <w:rPr>
          <w:sz w:val="24"/>
        </w:rPr>
        <w:t xml:space="preserve"> of Oil Exporting Countries (OPEC), which has a significant influence on the oil market, </w:t>
      </w:r>
      <w:r w:rsidR="00D93792" w:rsidRPr="00147D59">
        <w:rPr>
          <w:sz w:val="24"/>
        </w:rPr>
        <w:t>often politics come in to play in pricing the oil</w:t>
      </w:r>
      <w:r w:rsidRPr="00147D59">
        <w:rPr>
          <w:sz w:val="24"/>
        </w:rPr>
        <w:t xml:space="preserve">. Also environmental legislations which are very costly, separates this industry from other industries. </w:t>
      </w:r>
    </w:p>
    <w:p w:rsidR="00574931" w:rsidRPr="00147D59" w:rsidRDefault="001D1609" w:rsidP="005E19AF">
      <w:pPr>
        <w:spacing w:line="360" w:lineRule="auto"/>
        <w:jc w:val="both"/>
        <w:rPr>
          <w:sz w:val="24"/>
        </w:rPr>
      </w:pPr>
      <w:r w:rsidRPr="00147D59">
        <w:rPr>
          <w:sz w:val="24"/>
        </w:rPr>
        <w:t xml:space="preserve">Mergers and </w:t>
      </w:r>
      <w:r w:rsidR="009D0E6E" w:rsidRPr="00147D59">
        <w:rPr>
          <w:sz w:val="24"/>
        </w:rPr>
        <w:t>acquisitions</w:t>
      </w:r>
      <w:r w:rsidRPr="00147D59">
        <w:rPr>
          <w:sz w:val="24"/>
        </w:rPr>
        <w:t xml:space="preserve"> in the Energy sector are </w:t>
      </w:r>
      <w:r w:rsidR="009D0E6E" w:rsidRPr="00147D59">
        <w:rPr>
          <w:sz w:val="24"/>
        </w:rPr>
        <w:t>motivated by governments which want to stay a big player</w:t>
      </w:r>
      <w:r w:rsidR="00574931" w:rsidRPr="00147D59">
        <w:rPr>
          <w:sz w:val="24"/>
        </w:rPr>
        <w:t xml:space="preserve"> as a country</w:t>
      </w:r>
      <w:r w:rsidR="009D0E6E" w:rsidRPr="00147D59">
        <w:rPr>
          <w:sz w:val="24"/>
        </w:rPr>
        <w:t xml:space="preserve"> in big industries like energy. This is done by blocking foreign players entering the national markets and the backing the formation of bigger, </w:t>
      </w:r>
      <w:r w:rsidR="00947B1D" w:rsidRPr="00147D59">
        <w:rPr>
          <w:sz w:val="24"/>
        </w:rPr>
        <w:t>native</w:t>
      </w:r>
      <w:r w:rsidR="009D0E6E" w:rsidRPr="00147D59">
        <w:rPr>
          <w:sz w:val="24"/>
        </w:rPr>
        <w:t xml:space="preserve"> firms</w:t>
      </w:r>
      <w:r w:rsidR="00417746" w:rsidRPr="00147D59">
        <w:rPr>
          <w:sz w:val="24"/>
        </w:rPr>
        <w:t xml:space="preserve"> </w:t>
      </w:r>
      <w:sdt>
        <w:sdtPr>
          <w:rPr>
            <w:sz w:val="24"/>
          </w:rPr>
          <w:id w:val="416211837"/>
          <w:citation/>
        </w:sdtPr>
        <w:sdtEndPr/>
        <w:sdtContent>
          <w:r w:rsidR="00417746" w:rsidRPr="00147D59">
            <w:rPr>
              <w:sz w:val="24"/>
            </w:rPr>
            <w:fldChar w:fldCharType="begin"/>
          </w:r>
          <w:r w:rsidR="00417746" w:rsidRPr="00147D59">
            <w:rPr>
              <w:sz w:val="24"/>
            </w:rPr>
            <w:instrText xml:space="preserve"> CITATION Ver08 \l 1043 </w:instrText>
          </w:r>
          <w:r w:rsidR="00417746" w:rsidRPr="00147D59">
            <w:rPr>
              <w:sz w:val="24"/>
            </w:rPr>
            <w:fldChar w:fldCharType="separate"/>
          </w:r>
          <w:r w:rsidR="00417746" w:rsidRPr="00147D59">
            <w:rPr>
              <w:noProof/>
              <w:sz w:val="24"/>
            </w:rPr>
            <w:t>(Verde, 2008)</w:t>
          </w:r>
          <w:r w:rsidR="00417746" w:rsidRPr="00147D59">
            <w:rPr>
              <w:sz w:val="24"/>
            </w:rPr>
            <w:fldChar w:fldCharType="end"/>
          </w:r>
        </w:sdtContent>
      </w:sdt>
      <w:r w:rsidR="009D0E6E" w:rsidRPr="00147D59">
        <w:rPr>
          <w:sz w:val="24"/>
        </w:rPr>
        <w:t xml:space="preserve">. </w:t>
      </w:r>
      <w:r w:rsidR="00417746" w:rsidRPr="00147D59">
        <w:rPr>
          <w:sz w:val="24"/>
        </w:rPr>
        <w:t xml:space="preserve">Also the vertical reintegration of energy firms place a role after the earlier vertical separation. As told earlier, it reduces cost to remove </w:t>
      </w:r>
      <w:r w:rsidR="00DC1895" w:rsidRPr="00147D59">
        <w:rPr>
          <w:sz w:val="24"/>
        </w:rPr>
        <w:t>intermediaries</w:t>
      </w:r>
      <w:r w:rsidR="00417746" w:rsidRPr="00147D59">
        <w:rPr>
          <w:sz w:val="24"/>
        </w:rPr>
        <w:t xml:space="preserve"> out of the production process and thus creates value. Verde (2008) also gives synergy effects and better quality for consumers at a retail level as a reason for the mergers.</w:t>
      </w:r>
      <w:r w:rsidR="00574931" w:rsidRPr="00147D59">
        <w:rPr>
          <w:sz w:val="24"/>
        </w:rPr>
        <w:t xml:space="preserve"> Especially for</w:t>
      </w:r>
      <w:r w:rsidR="00C41AC6" w:rsidRPr="00147D59">
        <w:rPr>
          <w:sz w:val="24"/>
        </w:rPr>
        <w:t xml:space="preserve"> </w:t>
      </w:r>
      <w:r w:rsidR="00574931" w:rsidRPr="00147D59">
        <w:rPr>
          <w:sz w:val="24"/>
        </w:rPr>
        <w:t xml:space="preserve">companies in the Oil &amp; Gas mid-industry, vertical integration is a big driver because of the long production process. For </w:t>
      </w:r>
      <w:r w:rsidR="00A6161D" w:rsidRPr="00147D59">
        <w:rPr>
          <w:sz w:val="24"/>
        </w:rPr>
        <w:t>instance, o</w:t>
      </w:r>
      <w:r w:rsidR="00574931" w:rsidRPr="00147D59">
        <w:rPr>
          <w:sz w:val="24"/>
        </w:rPr>
        <w:t xml:space="preserve">il refining has low margins on revenues and has to continuously </w:t>
      </w:r>
      <w:r w:rsidR="00A6161D" w:rsidRPr="00147D59">
        <w:rPr>
          <w:sz w:val="24"/>
        </w:rPr>
        <w:t>obtain</w:t>
      </w:r>
      <w:r w:rsidR="00574931" w:rsidRPr="00147D59">
        <w:rPr>
          <w:sz w:val="24"/>
        </w:rPr>
        <w:t xml:space="preserve"> crude oil to continue the refinery processes. A brief shortage of materials to process can be very costly and this is countered by a fully vertical integrated company in the oil business. Also the risks of oil price volatilities can be an incentive of vertical mergers. </w:t>
      </w:r>
      <w:r w:rsidR="00B54827" w:rsidRPr="00147D59">
        <w:rPr>
          <w:sz w:val="24"/>
        </w:rPr>
        <w:t>Likewise</w:t>
      </w:r>
      <w:r w:rsidR="00DC1895" w:rsidRPr="00147D59">
        <w:rPr>
          <w:sz w:val="24"/>
        </w:rPr>
        <w:t>, technological</w:t>
      </w:r>
      <w:r w:rsidR="00A6161D" w:rsidRPr="00147D59">
        <w:rPr>
          <w:sz w:val="24"/>
        </w:rPr>
        <w:t xml:space="preserve"> improvement, deregulation and globalization has led to an increase in Mergers and Acquisitions in the Petroleum industry </w:t>
      </w:r>
      <w:sdt>
        <w:sdtPr>
          <w:rPr>
            <w:sz w:val="24"/>
          </w:rPr>
          <w:id w:val="-340775400"/>
          <w:citation/>
        </w:sdtPr>
        <w:sdtEndPr/>
        <w:sdtContent>
          <w:r w:rsidR="00A6161D" w:rsidRPr="00147D59">
            <w:rPr>
              <w:sz w:val="24"/>
            </w:rPr>
            <w:fldChar w:fldCharType="begin"/>
          </w:r>
          <w:r w:rsidR="00A6161D" w:rsidRPr="00147D59">
            <w:rPr>
              <w:sz w:val="24"/>
            </w:rPr>
            <w:instrText xml:space="preserve"> CITATION Wes99 \l 1043 </w:instrText>
          </w:r>
          <w:r w:rsidR="00A6161D" w:rsidRPr="00147D59">
            <w:rPr>
              <w:sz w:val="24"/>
            </w:rPr>
            <w:fldChar w:fldCharType="separate"/>
          </w:r>
          <w:r w:rsidR="00A6161D" w:rsidRPr="00147D59">
            <w:rPr>
              <w:noProof/>
              <w:sz w:val="24"/>
            </w:rPr>
            <w:t>(Weston, Johnson, &amp; Siu, 1999)</w:t>
          </w:r>
          <w:r w:rsidR="00A6161D" w:rsidRPr="00147D59">
            <w:rPr>
              <w:sz w:val="24"/>
            </w:rPr>
            <w:fldChar w:fldCharType="end"/>
          </w:r>
        </w:sdtContent>
      </w:sdt>
      <w:r w:rsidR="00A6161D" w:rsidRPr="00147D59">
        <w:rPr>
          <w:sz w:val="24"/>
        </w:rPr>
        <w:t>.</w:t>
      </w:r>
    </w:p>
    <w:p w:rsidR="003A7F83" w:rsidRPr="00147D59" w:rsidRDefault="00907CDD" w:rsidP="005E19AF">
      <w:pPr>
        <w:spacing w:line="360" w:lineRule="auto"/>
        <w:jc w:val="both"/>
      </w:pPr>
      <w:r w:rsidRPr="00147D59">
        <w:rPr>
          <w:sz w:val="24"/>
        </w:rPr>
        <w:lastRenderedPageBreak/>
        <w:t xml:space="preserve">Fraquelli, Piacenza &amp; Vannozi </w:t>
      </w:r>
      <w:sdt>
        <w:sdtPr>
          <w:rPr>
            <w:sz w:val="24"/>
          </w:rPr>
          <w:id w:val="-539207036"/>
          <w:citation/>
        </w:sdtPr>
        <w:sdtEndPr/>
        <w:sdtContent>
          <w:r w:rsidRPr="00147D59">
            <w:rPr>
              <w:sz w:val="24"/>
            </w:rPr>
            <w:fldChar w:fldCharType="begin"/>
          </w:r>
          <w:r w:rsidRPr="00147D59">
            <w:rPr>
              <w:sz w:val="24"/>
            </w:rPr>
            <w:instrText xml:space="preserve">CITATION Fra05 \n  \t  \l 1043 </w:instrText>
          </w:r>
          <w:r w:rsidRPr="00147D59">
            <w:rPr>
              <w:sz w:val="24"/>
            </w:rPr>
            <w:fldChar w:fldCharType="separate"/>
          </w:r>
          <w:r w:rsidRPr="00147D59">
            <w:rPr>
              <w:noProof/>
              <w:sz w:val="24"/>
            </w:rPr>
            <w:t>(2005)</w:t>
          </w:r>
          <w:r w:rsidRPr="00147D59">
            <w:rPr>
              <w:sz w:val="24"/>
            </w:rPr>
            <w:fldChar w:fldCharType="end"/>
          </w:r>
        </w:sdtContent>
      </w:sdt>
      <w:r w:rsidRPr="00147D59">
        <w:rPr>
          <w:sz w:val="24"/>
        </w:rPr>
        <w:t xml:space="preserve"> investigated electricity sector mergers in Italy and found cost reduction in vertical integration and increase </w:t>
      </w:r>
      <w:r w:rsidR="00B54827" w:rsidRPr="00147D59">
        <w:rPr>
          <w:sz w:val="24"/>
        </w:rPr>
        <w:t>of</w:t>
      </w:r>
      <w:r w:rsidRPr="00147D59">
        <w:rPr>
          <w:sz w:val="24"/>
        </w:rPr>
        <w:t xml:space="preserve"> economies of scale. However, they note that competition is also reduced with less players in the market</w:t>
      </w:r>
      <w:r w:rsidR="00B54827" w:rsidRPr="00147D59">
        <w:rPr>
          <w:sz w:val="24"/>
        </w:rPr>
        <w:t>, which reduces the necessity for efficiency</w:t>
      </w:r>
      <w:r w:rsidRPr="00147D59">
        <w:rPr>
          <w:sz w:val="24"/>
        </w:rPr>
        <w:t xml:space="preserve">. They also state that their findings are not globally applicable. </w:t>
      </w:r>
      <w:r w:rsidR="00C41AC6" w:rsidRPr="00147D59">
        <w:rPr>
          <w:sz w:val="24"/>
        </w:rPr>
        <w:t>Kwoka and Pollit</w:t>
      </w:r>
      <w:r w:rsidR="00417746" w:rsidRPr="00147D59">
        <w:rPr>
          <w:sz w:val="24"/>
        </w:rPr>
        <w:t xml:space="preserve"> </w:t>
      </w:r>
      <w:sdt>
        <w:sdtPr>
          <w:rPr>
            <w:sz w:val="24"/>
          </w:rPr>
          <w:id w:val="-901829447"/>
          <w:citation/>
        </w:sdtPr>
        <w:sdtEndPr/>
        <w:sdtContent>
          <w:r w:rsidR="00C41AC6" w:rsidRPr="00147D59">
            <w:rPr>
              <w:sz w:val="24"/>
            </w:rPr>
            <w:fldChar w:fldCharType="begin"/>
          </w:r>
          <w:r w:rsidR="00C41AC6" w:rsidRPr="00147D59">
            <w:rPr>
              <w:sz w:val="24"/>
            </w:rPr>
            <w:instrText xml:space="preserve">CITATION Kwo10 \n  \t  \l 1043 </w:instrText>
          </w:r>
          <w:r w:rsidR="00C41AC6" w:rsidRPr="00147D59">
            <w:rPr>
              <w:sz w:val="24"/>
            </w:rPr>
            <w:fldChar w:fldCharType="separate"/>
          </w:r>
          <w:r w:rsidR="00C41AC6" w:rsidRPr="00147D59">
            <w:rPr>
              <w:noProof/>
              <w:sz w:val="24"/>
            </w:rPr>
            <w:t>(2010)</w:t>
          </w:r>
          <w:r w:rsidR="00C41AC6" w:rsidRPr="00147D59">
            <w:rPr>
              <w:sz w:val="24"/>
            </w:rPr>
            <w:fldChar w:fldCharType="end"/>
          </w:r>
        </w:sdtContent>
      </w:sdt>
      <w:r w:rsidR="00C41AC6" w:rsidRPr="00147D59">
        <w:rPr>
          <w:sz w:val="24"/>
        </w:rPr>
        <w:t xml:space="preserve"> researched M&amp;As in the US electricity sector and found that often underper</w:t>
      </w:r>
      <w:r w:rsidR="00BD36FD" w:rsidRPr="00147D59">
        <w:rPr>
          <w:sz w:val="24"/>
        </w:rPr>
        <w:t xml:space="preserve">forming acquirers acquired over </w:t>
      </w:r>
      <w:r w:rsidR="00C41AC6" w:rsidRPr="00147D59">
        <w:rPr>
          <w:sz w:val="24"/>
        </w:rPr>
        <w:t>performing targets which caused efficiency loss for the targets</w:t>
      </w:r>
      <w:r w:rsidR="000057C5" w:rsidRPr="00147D59">
        <w:rPr>
          <w:sz w:val="24"/>
        </w:rPr>
        <w:t>, whic</w:t>
      </w:r>
      <w:r w:rsidR="00947B1D" w:rsidRPr="00147D59">
        <w:rPr>
          <w:sz w:val="24"/>
        </w:rPr>
        <w:t xml:space="preserve">h is not or only compensated a </w:t>
      </w:r>
      <w:r w:rsidR="000057C5" w:rsidRPr="00147D59">
        <w:rPr>
          <w:sz w:val="24"/>
        </w:rPr>
        <w:t xml:space="preserve">little in the efficiency </w:t>
      </w:r>
      <w:r w:rsidR="00947B1D" w:rsidRPr="00147D59">
        <w:rPr>
          <w:sz w:val="24"/>
        </w:rPr>
        <w:t>gains for the acquiring firm</w:t>
      </w:r>
      <w:r w:rsidR="00C41AC6" w:rsidRPr="00147D59">
        <w:rPr>
          <w:sz w:val="24"/>
        </w:rPr>
        <w:t xml:space="preserve">. These mergers are driven by non-value maximizing motives rather than value-maximizing, which is consistent with the hubris hypothesis from Roll </w:t>
      </w:r>
      <w:sdt>
        <w:sdtPr>
          <w:rPr>
            <w:sz w:val="24"/>
          </w:rPr>
          <w:id w:val="2143308494"/>
          <w:citation/>
        </w:sdtPr>
        <w:sdtEndPr/>
        <w:sdtContent>
          <w:r w:rsidR="00C41AC6" w:rsidRPr="00147D59">
            <w:rPr>
              <w:sz w:val="24"/>
            </w:rPr>
            <w:fldChar w:fldCharType="begin"/>
          </w:r>
          <w:r w:rsidR="00C41AC6" w:rsidRPr="00147D59">
            <w:rPr>
              <w:sz w:val="24"/>
            </w:rPr>
            <w:instrText xml:space="preserve">CITATION Rol86 \n  \t  \l 1043 </w:instrText>
          </w:r>
          <w:r w:rsidR="00C41AC6" w:rsidRPr="00147D59">
            <w:rPr>
              <w:sz w:val="24"/>
            </w:rPr>
            <w:fldChar w:fldCharType="separate"/>
          </w:r>
          <w:r w:rsidR="00C41AC6" w:rsidRPr="00147D59">
            <w:rPr>
              <w:noProof/>
              <w:sz w:val="24"/>
            </w:rPr>
            <w:t>(1986)</w:t>
          </w:r>
          <w:r w:rsidR="00C41AC6" w:rsidRPr="00147D59">
            <w:rPr>
              <w:sz w:val="24"/>
            </w:rPr>
            <w:fldChar w:fldCharType="end"/>
          </w:r>
        </w:sdtContent>
      </w:sdt>
      <w:r w:rsidR="00C41AC6" w:rsidRPr="00147D59">
        <w:rPr>
          <w:sz w:val="24"/>
        </w:rPr>
        <w:t xml:space="preserve">. </w:t>
      </w:r>
      <w:r w:rsidR="005961BB" w:rsidRPr="00147D59">
        <w:rPr>
          <w:sz w:val="24"/>
        </w:rPr>
        <w:t xml:space="preserve"> </w:t>
      </w:r>
    </w:p>
    <w:p w:rsidR="005961BB" w:rsidRPr="00147D59" w:rsidRDefault="005961BB" w:rsidP="005E19AF">
      <w:pPr>
        <w:pStyle w:val="Heading2"/>
        <w:jc w:val="both"/>
      </w:pPr>
      <w:bookmarkStart w:id="12" w:name="_Toc13477597"/>
      <w:r w:rsidRPr="00147D59">
        <w:t>2.</w:t>
      </w:r>
      <w:r w:rsidR="008D4DDF" w:rsidRPr="00147D59">
        <w:t>5</w:t>
      </w:r>
      <w:r w:rsidRPr="00147D59">
        <w:t xml:space="preserve"> Supporting Research Questions</w:t>
      </w:r>
      <w:bookmarkEnd w:id="12"/>
    </w:p>
    <w:p w:rsidR="00DC30FD" w:rsidRPr="00147D59" w:rsidRDefault="00C602DF" w:rsidP="005E19AF">
      <w:pPr>
        <w:spacing w:line="360" w:lineRule="auto"/>
        <w:jc w:val="both"/>
        <w:rPr>
          <w:sz w:val="24"/>
        </w:rPr>
      </w:pPr>
      <w:r w:rsidRPr="00147D59">
        <w:rPr>
          <w:sz w:val="24"/>
        </w:rPr>
        <w:t xml:space="preserve">The main research question for this thesis is: </w:t>
      </w:r>
    </w:p>
    <w:p w:rsidR="00C602DF" w:rsidRPr="00147D59" w:rsidRDefault="00C602DF" w:rsidP="005E19AF">
      <w:pPr>
        <w:spacing w:line="360" w:lineRule="auto"/>
        <w:jc w:val="both"/>
        <w:rPr>
          <w:b/>
          <w:i/>
          <w:sz w:val="24"/>
        </w:rPr>
      </w:pPr>
      <w:r w:rsidRPr="00147D59">
        <w:rPr>
          <w:b/>
          <w:i/>
          <w:sz w:val="24"/>
        </w:rPr>
        <w:t xml:space="preserve">To what extent </w:t>
      </w:r>
      <w:r w:rsidR="00DC1895" w:rsidRPr="00147D59">
        <w:rPr>
          <w:b/>
          <w:i/>
          <w:sz w:val="24"/>
        </w:rPr>
        <w:t>do abnormal</w:t>
      </w:r>
      <w:r w:rsidRPr="00147D59">
        <w:rPr>
          <w:b/>
          <w:i/>
          <w:sz w:val="24"/>
        </w:rPr>
        <w:t xml:space="preserve"> returns for </w:t>
      </w:r>
      <w:r w:rsidR="00DC1895" w:rsidRPr="00147D59">
        <w:rPr>
          <w:b/>
          <w:i/>
          <w:sz w:val="24"/>
        </w:rPr>
        <w:t>both target</w:t>
      </w:r>
      <w:r w:rsidRPr="00147D59">
        <w:rPr>
          <w:b/>
          <w:i/>
          <w:sz w:val="24"/>
        </w:rPr>
        <w:t xml:space="preserve"> and acquiring firms exist around the announcement day of a merger or acquisition in the United States Energy Industry?</w:t>
      </w:r>
    </w:p>
    <w:p w:rsidR="00C602DF" w:rsidRPr="00147D59" w:rsidRDefault="00954206" w:rsidP="005E19AF">
      <w:pPr>
        <w:spacing w:line="360" w:lineRule="auto"/>
        <w:jc w:val="both"/>
        <w:rPr>
          <w:sz w:val="24"/>
        </w:rPr>
      </w:pPr>
      <w:r w:rsidRPr="00147D59">
        <w:rPr>
          <w:sz w:val="24"/>
        </w:rPr>
        <w:t>This thesis will try to answer this question with three hypothesis, which will both help to answer the research question, do abnormal returns at the announcement of a M&amp;A exist, and what factors can explain these abnormal returns.</w:t>
      </w:r>
    </w:p>
    <w:p w:rsidR="00025757" w:rsidRPr="00147D59" w:rsidRDefault="00025757" w:rsidP="005E19AF">
      <w:pPr>
        <w:spacing w:line="360" w:lineRule="auto"/>
        <w:jc w:val="both"/>
        <w:rPr>
          <w:i/>
          <w:sz w:val="24"/>
        </w:rPr>
      </w:pPr>
      <w:r w:rsidRPr="00147D59">
        <w:rPr>
          <w:i/>
          <w:sz w:val="24"/>
        </w:rPr>
        <w:t>H1: M&amp;</w:t>
      </w:r>
      <w:r w:rsidR="004324BD" w:rsidRPr="00147D59">
        <w:rPr>
          <w:i/>
          <w:sz w:val="24"/>
        </w:rPr>
        <w:t>A’s in</w:t>
      </w:r>
      <w:r w:rsidRPr="00147D59">
        <w:rPr>
          <w:i/>
          <w:sz w:val="24"/>
        </w:rPr>
        <w:t xml:space="preserve"> the same industry will experience higher abnormal returns than unrelated M&amp;A’s.</w:t>
      </w:r>
    </w:p>
    <w:p w:rsidR="00863D33" w:rsidRPr="00147D59" w:rsidRDefault="00863D33" w:rsidP="005E19AF">
      <w:pPr>
        <w:spacing w:line="360" w:lineRule="auto"/>
        <w:jc w:val="both"/>
        <w:rPr>
          <w:sz w:val="24"/>
        </w:rPr>
      </w:pPr>
      <w:r w:rsidRPr="00147D59">
        <w:rPr>
          <w:sz w:val="24"/>
        </w:rPr>
        <w:t>As seen in earlier studies, both horizontal and vertical mergers</w:t>
      </w:r>
      <w:r w:rsidR="00510625" w:rsidRPr="00147D59">
        <w:rPr>
          <w:sz w:val="24"/>
        </w:rPr>
        <w:t xml:space="preserve"> in the Energy industry</w:t>
      </w:r>
      <w:r w:rsidRPr="00147D59">
        <w:rPr>
          <w:sz w:val="24"/>
        </w:rPr>
        <w:t xml:space="preserve"> lead to value creation, through scales of economies, cost synergies and revenue synergies. If this is the case, we can also expect a rise in abnormal returns at tim</w:t>
      </w:r>
      <w:r w:rsidR="00510625" w:rsidRPr="00147D59">
        <w:rPr>
          <w:sz w:val="24"/>
        </w:rPr>
        <w:t>es of the announcement of a M&amp;A.</w:t>
      </w:r>
    </w:p>
    <w:p w:rsidR="00025757" w:rsidRPr="00147D59" w:rsidRDefault="00025757" w:rsidP="005E19AF">
      <w:pPr>
        <w:spacing w:line="360" w:lineRule="auto"/>
        <w:jc w:val="both"/>
        <w:rPr>
          <w:i/>
          <w:sz w:val="24"/>
        </w:rPr>
      </w:pPr>
      <w:r w:rsidRPr="00147D59">
        <w:rPr>
          <w:i/>
          <w:sz w:val="24"/>
        </w:rPr>
        <w:t>H2: Cash as payment for a M&amp;A has a positive effect on abnormal returns</w:t>
      </w:r>
      <w:r w:rsidR="00221BD0" w:rsidRPr="00147D59">
        <w:rPr>
          <w:i/>
          <w:sz w:val="24"/>
        </w:rPr>
        <w:t>.</w:t>
      </w:r>
    </w:p>
    <w:p w:rsidR="00510625" w:rsidRPr="00147D59" w:rsidRDefault="00510625" w:rsidP="005E19AF">
      <w:pPr>
        <w:spacing w:line="360" w:lineRule="auto"/>
        <w:jc w:val="both"/>
        <w:rPr>
          <w:sz w:val="24"/>
        </w:rPr>
      </w:pPr>
      <w:r w:rsidRPr="00147D59">
        <w:rPr>
          <w:sz w:val="24"/>
        </w:rPr>
        <w:t>Further, several studies have proofed that the consideration offered is an important factor in explaining the abnormal returns. Often enough did cash lead to a positive effect on the abnormal returns, we can expect that this is also applicable in the US Energy Industry.</w:t>
      </w:r>
    </w:p>
    <w:p w:rsidR="00025757" w:rsidRPr="00147D59" w:rsidRDefault="00025757" w:rsidP="005E19AF">
      <w:pPr>
        <w:spacing w:line="360" w:lineRule="auto"/>
        <w:jc w:val="both"/>
        <w:rPr>
          <w:i/>
          <w:sz w:val="24"/>
        </w:rPr>
      </w:pPr>
      <w:r w:rsidRPr="00147D59">
        <w:rPr>
          <w:i/>
          <w:sz w:val="24"/>
        </w:rPr>
        <w:t>H3: Relative size of the acquiring firm has a negative effect on the abnormal returns of a M&amp;A</w:t>
      </w:r>
      <w:r w:rsidR="00221BD0" w:rsidRPr="00147D59">
        <w:rPr>
          <w:i/>
          <w:sz w:val="24"/>
        </w:rPr>
        <w:t>.</w:t>
      </w:r>
    </w:p>
    <w:p w:rsidR="007A057B" w:rsidRPr="00147D59" w:rsidRDefault="00C602DF" w:rsidP="005E19AF">
      <w:pPr>
        <w:spacing w:line="360" w:lineRule="auto"/>
        <w:jc w:val="both"/>
        <w:rPr>
          <w:sz w:val="24"/>
        </w:rPr>
      </w:pPr>
      <w:r w:rsidRPr="00147D59">
        <w:rPr>
          <w:sz w:val="24"/>
        </w:rPr>
        <w:lastRenderedPageBreak/>
        <w:t>At last, research has found that acquiring firm size influences the abnormal returns at times of the announcement of a M&amp;A. Large acquirers seem to have lower returns than smaller acquirers, therefore we expect this to also be found in the US Energy market.</w:t>
      </w:r>
    </w:p>
    <w:p w:rsidR="00347A61" w:rsidRPr="00147D59" w:rsidRDefault="00347A61" w:rsidP="005E19AF">
      <w:pPr>
        <w:spacing w:line="360" w:lineRule="auto"/>
        <w:jc w:val="both"/>
        <w:rPr>
          <w:sz w:val="24"/>
        </w:rPr>
      </w:pPr>
    </w:p>
    <w:p w:rsidR="00465990" w:rsidRPr="00147D59" w:rsidRDefault="00465990" w:rsidP="005E19AF">
      <w:pPr>
        <w:jc w:val="both"/>
      </w:pPr>
    </w:p>
    <w:p w:rsidR="008D65B4" w:rsidRPr="00147D59" w:rsidRDefault="008D65B4" w:rsidP="005E19AF">
      <w:pPr>
        <w:jc w:val="both"/>
      </w:pPr>
    </w:p>
    <w:p w:rsidR="008D65B4" w:rsidRPr="00147D59" w:rsidRDefault="008D65B4" w:rsidP="005E19AF">
      <w:pPr>
        <w:jc w:val="both"/>
      </w:pPr>
    </w:p>
    <w:p w:rsidR="008D65B4" w:rsidRPr="00147D59" w:rsidRDefault="008D65B4" w:rsidP="005E19AF">
      <w:pPr>
        <w:jc w:val="both"/>
      </w:pPr>
    </w:p>
    <w:p w:rsidR="008D65B4" w:rsidRPr="00147D59" w:rsidRDefault="008D65B4" w:rsidP="005E19AF">
      <w:pPr>
        <w:jc w:val="both"/>
      </w:pPr>
    </w:p>
    <w:p w:rsidR="008D65B4" w:rsidRPr="00147D59" w:rsidRDefault="008D65B4" w:rsidP="005E19AF">
      <w:pPr>
        <w:jc w:val="both"/>
      </w:pPr>
    </w:p>
    <w:p w:rsidR="008D65B4" w:rsidRPr="00147D59" w:rsidRDefault="008D65B4" w:rsidP="005E19AF">
      <w:pPr>
        <w:jc w:val="both"/>
      </w:pPr>
    </w:p>
    <w:p w:rsidR="008D65B4" w:rsidRPr="00147D59" w:rsidRDefault="008D65B4" w:rsidP="005E19AF">
      <w:pPr>
        <w:jc w:val="both"/>
      </w:pPr>
    </w:p>
    <w:p w:rsidR="008D65B4" w:rsidRPr="00147D59" w:rsidRDefault="008D65B4" w:rsidP="005E19AF">
      <w:pPr>
        <w:jc w:val="both"/>
      </w:pPr>
    </w:p>
    <w:p w:rsidR="008D65B4" w:rsidRPr="00147D59" w:rsidRDefault="008D65B4" w:rsidP="005E19AF">
      <w:pPr>
        <w:jc w:val="both"/>
      </w:pPr>
    </w:p>
    <w:p w:rsidR="008D65B4" w:rsidRPr="00147D59" w:rsidRDefault="008D65B4" w:rsidP="005E19AF">
      <w:pPr>
        <w:jc w:val="both"/>
      </w:pPr>
    </w:p>
    <w:p w:rsidR="008D65B4" w:rsidRPr="00147D59" w:rsidRDefault="008D65B4" w:rsidP="005E19AF">
      <w:pPr>
        <w:jc w:val="both"/>
      </w:pPr>
    </w:p>
    <w:p w:rsidR="008D65B4" w:rsidRPr="00147D59" w:rsidRDefault="008D65B4" w:rsidP="005E19AF">
      <w:pPr>
        <w:jc w:val="both"/>
      </w:pPr>
    </w:p>
    <w:p w:rsidR="008D65B4" w:rsidRPr="00147D59" w:rsidRDefault="008D65B4" w:rsidP="005E19AF">
      <w:pPr>
        <w:jc w:val="both"/>
      </w:pPr>
    </w:p>
    <w:p w:rsidR="00F16D61" w:rsidRPr="00147D59" w:rsidRDefault="00F16D61" w:rsidP="005E19AF">
      <w:pPr>
        <w:jc w:val="both"/>
      </w:pPr>
    </w:p>
    <w:p w:rsidR="00F16D61" w:rsidRPr="00147D59" w:rsidRDefault="00F16D61" w:rsidP="005E19AF">
      <w:pPr>
        <w:jc w:val="both"/>
      </w:pPr>
    </w:p>
    <w:p w:rsidR="00F16D61" w:rsidRPr="00147D59" w:rsidRDefault="00F16D61" w:rsidP="005E19AF">
      <w:pPr>
        <w:jc w:val="both"/>
      </w:pPr>
    </w:p>
    <w:p w:rsidR="00F16D61" w:rsidRPr="00147D59" w:rsidRDefault="00F16D61" w:rsidP="005E19AF">
      <w:pPr>
        <w:jc w:val="both"/>
      </w:pPr>
    </w:p>
    <w:p w:rsidR="00F16D61" w:rsidRPr="00147D59" w:rsidRDefault="00F16D61" w:rsidP="005E19AF">
      <w:pPr>
        <w:pStyle w:val="Heading1"/>
        <w:jc w:val="both"/>
      </w:pPr>
    </w:p>
    <w:p w:rsidR="00F16D61" w:rsidRPr="00147D59" w:rsidRDefault="00F16D61" w:rsidP="005E19AF">
      <w:pPr>
        <w:jc w:val="both"/>
      </w:pPr>
    </w:p>
    <w:p w:rsidR="00F16D61" w:rsidRPr="00147D59" w:rsidRDefault="00F16D61" w:rsidP="005E19AF">
      <w:pPr>
        <w:jc w:val="both"/>
      </w:pPr>
    </w:p>
    <w:p w:rsidR="00F16D61" w:rsidRPr="00147D59" w:rsidRDefault="00F16D61" w:rsidP="005E19AF">
      <w:pPr>
        <w:jc w:val="both"/>
      </w:pPr>
    </w:p>
    <w:p w:rsidR="00686445" w:rsidRPr="00147D59" w:rsidRDefault="00780EBE" w:rsidP="005E19AF">
      <w:pPr>
        <w:pStyle w:val="Heading1"/>
        <w:jc w:val="both"/>
      </w:pPr>
      <w:bookmarkStart w:id="13" w:name="_Toc13477598"/>
      <w:r w:rsidRPr="00147D59">
        <w:lastRenderedPageBreak/>
        <w:t>3</w:t>
      </w:r>
      <w:r w:rsidR="00686445" w:rsidRPr="00147D59">
        <w:t>. Data and Methods</w:t>
      </w:r>
      <w:bookmarkEnd w:id="13"/>
    </w:p>
    <w:p w:rsidR="00686445" w:rsidRPr="00147D59" w:rsidRDefault="00686445" w:rsidP="005E19AF">
      <w:pPr>
        <w:spacing w:line="360" w:lineRule="auto"/>
        <w:jc w:val="both"/>
        <w:rPr>
          <w:sz w:val="24"/>
        </w:rPr>
      </w:pPr>
      <w:r w:rsidRPr="00147D59">
        <w:rPr>
          <w:sz w:val="24"/>
        </w:rPr>
        <w:t>This section will cover the data and methods used to investigate the research questions. To answer the main research question an event study will be done to look for abnormal returns a</w:t>
      </w:r>
      <w:r w:rsidR="006C5BA8" w:rsidRPr="00147D59">
        <w:rPr>
          <w:sz w:val="24"/>
        </w:rPr>
        <w:t>round an announcement day of a merger or a</w:t>
      </w:r>
      <w:r w:rsidRPr="00147D59">
        <w:rPr>
          <w:sz w:val="24"/>
        </w:rPr>
        <w:t xml:space="preserve">cquisition. For the supporting research questions, regression analysis will be applied. Furthermore, the </w:t>
      </w:r>
      <w:r w:rsidR="00294E3A" w:rsidRPr="00147D59">
        <w:rPr>
          <w:sz w:val="24"/>
        </w:rPr>
        <w:t>relevant</w:t>
      </w:r>
      <w:r w:rsidRPr="00147D59">
        <w:rPr>
          <w:sz w:val="24"/>
        </w:rPr>
        <w:t xml:space="preserve"> determinants will be explained briefly.</w:t>
      </w:r>
    </w:p>
    <w:p w:rsidR="00686445" w:rsidRPr="00147D59" w:rsidRDefault="006833BA" w:rsidP="005E19AF">
      <w:pPr>
        <w:pStyle w:val="Heading2"/>
        <w:jc w:val="both"/>
        <w:rPr>
          <w:sz w:val="32"/>
        </w:rPr>
      </w:pPr>
      <w:bookmarkStart w:id="14" w:name="_Toc13477599"/>
      <w:r w:rsidRPr="00147D59">
        <w:t>3.1: Event Study</w:t>
      </w:r>
      <w:bookmarkEnd w:id="14"/>
    </w:p>
    <w:p w:rsidR="006833BA" w:rsidRPr="00147D59" w:rsidRDefault="006833BA" w:rsidP="005E19AF">
      <w:pPr>
        <w:spacing w:line="360" w:lineRule="auto"/>
        <w:jc w:val="both"/>
        <w:rPr>
          <w:sz w:val="24"/>
        </w:rPr>
      </w:pPr>
      <w:r w:rsidRPr="00147D59">
        <w:rPr>
          <w:sz w:val="24"/>
        </w:rPr>
        <w:t>To investigate the effect of Mergers and Acquisitions on stock prices around the announcement day, this research will use an Event Study. To use an Event Study, first the event- and estimation window are determined.</w:t>
      </w:r>
      <w:r w:rsidR="00C96964" w:rsidRPr="00147D59">
        <w:rPr>
          <w:sz w:val="24"/>
        </w:rPr>
        <w:t xml:space="preserve"> The stock prices</w:t>
      </w:r>
      <w:r w:rsidR="006B6F96" w:rsidRPr="00147D59">
        <w:rPr>
          <w:sz w:val="24"/>
        </w:rPr>
        <w:t xml:space="preserve"> for both the target and the acquirer</w:t>
      </w:r>
      <w:r w:rsidR="00C96964" w:rsidRPr="00147D59">
        <w:rPr>
          <w:sz w:val="24"/>
        </w:rPr>
        <w:t xml:space="preserve"> are retrieved and then adjusted to the </w:t>
      </w:r>
      <w:r w:rsidR="006B6F96" w:rsidRPr="00147D59">
        <w:rPr>
          <w:sz w:val="24"/>
        </w:rPr>
        <w:t xml:space="preserve">market </w:t>
      </w:r>
      <w:r w:rsidR="00C96964" w:rsidRPr="00147D59">
        <w:rPr>
          <w:sz w:val="24"/>
        </w:rPr>
        <w:t xml:space="preserve">index, which in this case will be the Standard and Poor’s 500 (S&amp;P500). The expected and realized returns are then tested for significance to calculate a final event window (CAR) where abnormal returns are significant. </w:t>
      </w:r>
    </w:p>
    <w:p w:rsidR="00CB21BF" w:rsidRPr="00147D59" w:rsidRDefault="00CB21BF" w:rsidP="005E19AF">
      <w:pPr>
        <w:spacing w:line="360" w:lineRule="auto"/>
        <w:jc w:val="both"/>
        <w:rPr>
          <w:sz w:val="24"/>
        </w:rPr>
      </w:pPr>
      <w:r w:rsidRPr="00147D59">
        <w:rPr>
          <w:sz w:val="24"/>
        </w:rPr>
        <w:t xml:space="preserve">The goal is to analyze the M&amp;A announcement effect on stock prices. On the time scale, the given day for the announcement of the merger or acquisition is t=0. The stock returns are calculated with a buy-and-hold strategy with stock prices which are adjusted to any inflation or other external effects. The period of which the prices are used is -170 to +10. The estimation window is 170 days to 71 days before the merger or acquisition announcement. The gap is 70 days before to 11 days before the announcement and the event window is 20 days around the announcement [-10, 10]. A gap is used to account for any potential run-up prices in the period before the announcement </w:t>
      </w:r>
      <w:sdt>
        <w:sdtPr>
          <w:rPr>
            <w:sz w:val="24"/>
          </w:rPr>
          <w:id w:val="1907795198"/>
          <w:citation/>
        </w:sdtPr>
        <w:sdtEndPr/>
        <w:sdtContent>
          <w:r w:rsidRPr="00147D59">
            <w:rPr>
              <w:sz w:val="24"/>
            </w:rPr>
            <w:fldChar w:fldCharType="begin"/>
          </w:r>
          <w:r w:rsidRPr="00147D59">
            <w:rPr>
              <w:sz w:val="24"/>
            </w:rPr>
            <w:instrText xml:space="preserve"> CITATION Sch96 \l 1043 </w:instrText>
          </w:r>
          <w:r w:rsidRPr="00147D59">
            <w:rPr>
              <w:sz w:val="24"/>
            </w:rPr>
            <w:fldChar w:fldCharType="separate"/>
          </w:r>
          <w:r w:rsidRPr="00147D59">
            <w:rPr>
              <w:noProof/>
              <w:sz w:val="24"/>
            </w:rPr>
            <w:t xml:space="preserve"> (Schwert, 1996)</w:t>
          </w:r>
          <w:r w:rsidRPr="00147D59">
            <w:rPr>
              <w:sz w:val="24"/>
            </w:rPr>
            <w:fldChar w:fldCharType="end"/>
          </w:r>
        </w:sdtContent>
      </w:sdt>
      <w:r w:rsidRPr="00147D59">
        <w:rPr>
          <w:sz w:val="24"/>
        </w:rPr>
        <w:t xml:space="preserve">. This is possibly caused by insider information of the traders who already have the knowledge of this merger. This can lead to an information bias and could possibly cause unwanted changes in the stock prices. All firms are located in the United States of America and therefore will the Standard and Poor’s 500 function as the benchmark where the prices will be compared with. The model used to calculate the expected returns will be the market model. The market model can account for some of the variances in the market which have little to do with the announcement of the merger or acquisition </w:t>
      </w:r>
      <w:sdt>
        <w:sdtPr>
          <w:rPr>
            <w:sz w:val="24"/>
          </w:rPr>
          <w:id w:val="633523347"/>
          <w:citation/>
        </w:sdtPr>
        <w:sdtEndPr/>
        <w:sdtContent>
          <w:r w:rsidRPr="00147D59">
            <w:rPr>
              <w:sz w:val="24"/>
            </w:rPr>
            <w:fldChar w:fldCharType="begin"/>
          </w:r>
          <w:r w:rsidRPr="00147D59">
            <w:rPr>
              <w:sz w:val="24"/>
            </w:rPr>
            <w:instrText xml:space="preserve"> CITATION Mac97 \l 1043 </w:instrText>
          </w:r>
          <w:r w:rsidRPr="00147D59">
            <w:rPr>
              <w:sz w:val="24"/>
            </w:rPr>
            <w:fldChar w:fldCharType="separate"/>
          </w:r>
          <w:r w:rsidRPr="00147D59">
            <w:rPr>
              <w:noProof/>
              <w:sz w:val="24"/>
            </w:rPr>
            <w:t>(Mackinlay, 1997)</w:t>
          </w:r>
          <w:r w:rsidRPr="00147D59">
            <w:rPr>
              <w:sz w:val="24"/>
            </w:rPr>
            <w:fldChar w:fldCharType="end"/>
          </w:r>
        </w:sdtContent>
      </w:sdt>
      <w:r w:rsidRPr="00147D59">
        <w:rPr>
          <w:sz w:val="24"/>
        </w:rPr>
        <w:t>. Thereby, the abnormal returns can be calculated more accurately. The market model (1) is formulated below.</w:t>
      </w:r>
    </w:p>
    <w:p w:rsidR="006B1497" w:rsidRPr="00147D59" w:rsidRDefault="00C22B7C" w:rsidP="005E19AF">
      <w:pPr>
        <w:spacing w:after="0" w:line="240" w:lineRule="auto"/>
        <w:jc w:val="right"/>
        <w:rPr>
          <w:rFonts w:eastAsiaTheme="minorEastAsia"/>
          <w:color w:val="000000"/>
          <w:sz w:val="24"/>
          <w:szCs w:val="16"/>
          <w:bdr w:val="none" w:sz="0" w:space="0" w:color="auto" w:frame="1"/>
          <w:shd w:val="clear" w:color="auto" w:fill="FFFFFF"/>
          <w:lang w:eastAsia="nl-NL"/>
        </w:rPr>
      </w:pPr>
      <w:r w:rsidRPr="00147D59">
        <w:rPr>
          <w:rFonts w:ascii="Cambria Math" w:eastAsia="Times New Roman" w:hAnsi="Cambria Math" w:cs="Segoe UI"/>
          <w:i/>
          <w:noProof/>
          <w:color w:val="000000"/>
          <w:sz w:val="23"/>
          <w:szCs w:val="23"/>
          <w:bdr w:val="none" w:sz="0" w:space="0" w:color="auto" w:frame="1"/>
          <w:shd w:val="clear" w:color="auto" w:fill="FFFFFF"/>
        </w:rPr>
        <w:lastRenderedPageBreak/>
        <mc:AlternateContent>
          <mc:Choice Requires="wps">
            <w:drawing>
              <wp:anchor distT="0" distB="0" distL="114300" distR="114300" simplePos="0" relativeHeight="251659264" behindDoc="0" locked="0" layoutInCell="1" allowOverlap="1" wp14:anchorId="5F97FC4D" wp14:editId="64B6ED56">
                <wp:simplePos x="0" y="0"/>
                <wp:positionH relativeFrom="column">
                  <wp:align>center</wp:align>
                </wp:positionH>
                <wp:positionV relativeFrom="paragraph">
                  <wp:posOffset>0</wp:posOffset>
                </wp:positionV>
                <wp:extent cx="2374265" cy="1403985"/>
                <wp:effectExtent l="0" t="0" r="3810" b="444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noFill/>
                          <a:miter lim="800000"/>
                          <a:headEnd/>
                          <a:tailEnd/>
                        </a:ln>
                      </wps:spPr>
                      <wps:txbx>
                        <w:txbxContent>
                          <w:p w:rsidR="004324BD" w:rsidRPr="00C22B7C" w:rsidRDefault="004324BD">
                            <w:pPr>
                              <w:rPr>
                                <w:rFonts w:eastAsiaTheme="minorEastAsia"/>
                                <w:color w:val="000000"/>
                                <w:sz w:val="16"/>
                                <w:szCs w:val="16"/>
                                <w:bdr w:val="none" w:sz="0" w:space="0" w:color="auto" w:frame="1"/>
                                <w:shd w:val="clear" w:color="auto" w:fill="FFFFFF"/>
                                <w:lang w:val="nl-NL" w:eastAsia="nl-NL"/>
                              </w:rPr>
                            </w:pPr>
                            <m:oMathPara>
                              <m:oMath>
                                <m:r>
                                  <w:rPr>
                                    <w:rFonts w:ascii="Cambria Math" w:eastAsia="Times New Roman" w:hAnsi="Cambria Math" w:cs="Segoe UI"/>
                                    <w:color w:val="000000"/>
                                    <w:sz w:val="23"/>
                                    <w:szCs w:val="23"/>
                                    <w:bdr w:val="none" w:sz="0" w:space="0" w:color="auto" w:frame="1"/>
                                    <w:shd w:val="clear" w:color="auto" w:fill="FFFFFF"/>
                                    <w:lang w:eastAsia="nl-NL"/>
                                  </w:rPr>
                                  <m:t xml:space="preserve">   </m:t>
                                </m:r>
                                <m:r>
                                  <w:rPr>
                                    <w:rFonts w:ascii="Cambria Math" w:eastAsia="Times New Roman" w:hAnsi="Cambria Math" w:cs="Segoe UI"/>
                                    <w:color w:val="000000"/>
                                    <w:sz w:val="23"/>
                                    <w:szCs w:val="23"/>
                                    <w:bdr w:val="none" w:sz="0" w:space="0" w:color="auto" w:frame="1"/>
                                    <w:shd w:val="clear" w:color="auto" w:fill="FFFFFF"/>
                                    <w:lang w:val="nl-NL" w:eastAsia="nl-NL"/>
                                  </w:rPr>
                                  <m:t>R</m:t>
                                </m:r>
                                <m:r>
                                  <w:rPr>
                                    <w:rFonts w:ascii="Cambria Math" w:eastAsia="Times New Roman" w:hAnsi="Cambria Math" w:cs="Segoe UI"/>
                                    <w:color w:val="000000"/>
                                    <w:sz w:val="16"/>
                                    <w:szCs w:val="16"/>
                                    <w:bdr w:val="none" w:sz="0" w:space="0" w:color="auto" w:frame="1"/>
                                    <w:shd w:val="clear" w:color="auto" w:fill="FFFFFF"/>
                                    <w:lang w:val="nl-NL" w:eastAsia="nl-NL"/>
                                  </w:rPr>
                                  <m:t>it</m:t>
                                </m:r>
                                <m:r>
                                  <w:rPr>
                                    <w:rFonts w:ascii="Cambria Math" w:eastAsia="Times New Roman" w:hAnsi="Cambria Math" w:cs="Segoe UI"/>
                                    <w:color w:val="000000"/>
                                    <w:sz w:val="23"/>
                                    <w:szCs w:val="23"/>
                                    <w:bdr w:val="none" w:sz="0" w:space="0" w:color="auto" w:frame="1"/>
                                    <w:shd w:val="clear" w:color="auto" w:fill="FFFFFF"/>
                                    <w:lang w:eastAsia="nl-NL"/>
                                  </w:rPr>
                                  <m:t>=</m:t>
                                </m:r>
                                <m:r>
                                  <w:rPr>
                                    <w:rFonts w:ascii="Cambria Math" w:eastAsia="Times New Roman" w:hAnsi="Cambria Math" w:cs="Segoe UI"/>
                                    <w:color w:val="000000"/>
                                    <w:sz w:val="23"/>
                                    <w:szCs w:val="23"/>
                                    <w:bdr w:val="none" w:sz="0" w:space="0" w:color="auto" w:frame="1"/>
                                    <w:shd w:val="clear" w:color="auto" w:fill="FFFFFF"/>
                                    <w:lang w:val="nl-NL" w:eastAsia="nl-NL"/>
                                  </w:rPr>
                                  <m:t>a</m:t>
                                </m:r>
                                <m:r>
                                  <w:rPr>
                                    <w:rFonts w:ascii="Cambria Math" w:eastAsia="Times New Roman" w:hAnsi="Cambria Math" w:cs="Segoe UI"/>
                                    <w:color w:val="000000"/>
                                    <w:sz w:val="16"/>
                                    <w:szCs w:val="16"/>
                                    <w:bdr w:val="none" w:sz="0" w:space="0" w:color="auto" w:frame="1"/>
                                    <w:shd w:val="clear" w:color="auto" w:fill="FFFFFF"/>
                                    <w:lang w:val="nl-NL" w:eastAsia="nl-NL"/>
                                  </w:rPr>
                                  <m:t>i</m:t>
                                </m:r>
                                <m:r>
                                  <w:rPr>
                                    <w:rFonts w:ascii="Cambria Math" w:eastAsia="Times New Roman" w:hAnsi="Cambria Math" w:cs="Segoe UI"/>
                                    <w:color w:val="000000"/>
                                    <w:sz w:val="23"/>
                                    <w:szCs w:val="23"/>
                                    <w:bdr w:val="none" w:sz="0" w:space="0" w:color="auto" w:frame="1"/>
                                    <w:shd w:val="clear" w:color="auto" w:fill="FFFFFF"/>
                                    <w:lang w:eastAsia="nl-NL"/>
                                  </w:rPr>
                                  <m:t>+</m:t>
                                </m:r>
                                <m:r>
                                  <w:rPr>
                                    <w:rFonts w:ascii="Cambria Math" w:eastAsia="Times New Roman" w:hAnsi="Cambria Math" w:cs="Segoe UI"/>
                                    <w:color w:val="000000"/>
                                    <w:sz w:val="23"/>
                                    <w:szCs w:val="23"/>
                                    <w:bdr w:val="none" w:sz="0" w:space="0" w:color="auto" w:frame="1"/>
                                    <w:shd w:val="clear" w:color="auto" w:fill="FFFFFF"/>
                                    <w:lang w:val="nl-NL" w:eastAsia="nl-NL"/>
                                  </w:rPr>
                                  <m:t>b</m:t>
                                </m:r>
                                <m:r>
                                  <w:rPr>
                                    <w:rFonts w:ascii="Cambria Math" w:eastAsia="Times New Roman" w:hAnsi="Cambria Math" w:cs="Segoe UI"/>
                                    <w:color w:val="000000"/>
                                    <w:sz w:val="16"/>
                                    <w:szCs w:val="16"/>
                                    <w:bdr w:val="none" w:sz="0" w:space="0" w:color="auto" w:frame="1"/>
                                    <w:shd w:val="clear" w:color="auto" w:fill="FFFFFF"/>
                                    <w:lang w:val="nl-NL" w:eastAsia="nl-NL"/>
                                  </w:rPr>
                                  <m:t>i</m:t>
                                </m:r>
                                <m:r>
                                  <w:rPr>
                                    <w:rFonts w:ascii="Cambria Math" w:eastAsia="Times New Roman" w:hAnsi="Cambria Math" w:cs="Cambria Math"/>
                                    <w:color w:val="000000"/>
                                    <w:sz w:val="23"/>
                                    <w:szCs w:val="23"/>
                                    <w:bdr w:val="none" w:sz="0" w:space="0" w:color="auto" w:frame="1"/>
                                    <w:shd w:val="clear" w:color="auto" w:fill="FFFFFF"/>
                                    <w:lang w:eastAsia="nl-NL"/>
                                  </w:rPr>
                                  <m:t>*</m:t>
                                </m:r>
                                <m:r>
                                  <w:rPr>
                                    <w:rFonts w:ascii="Cambria Math" w:eastAsia="Times New Roman" w:hAnsi="Cambria Math" w:cs="Segoe UI"/>
                                    <w:color w:val="000000"/>
                                    <w:sz w:val="23"/>
                                    <w:szCs w:val="23"/>
                                    <w:bdr w:val="none" w:sz="0" w:space="0" w:color="auto" w:frame="1"/>
                                    <w:shd w:val="clear" w:color="auto" w:fill="FFFFFF"/>
                                    <w:lang w:val="nl-NL" w:eastAsia="nl-NL"/>
                                  </w:rPr>
                                  <m:t>R</m:t>
                                </m:r>
                                <m:r>
                                  <w:rPr>
                                    <w:rFonts w:ascii="Cambria Math" w:eastAsia="Times New Roman" w:hAnsi="Cambria Math" w:cs="Segoe UI"/>
                                    <w:color w:val="000000"/>
                                    <w:sz w:val="16"/>
                                    <w:szCs w:val="16"/>
                                    <w:bdr w:val="none" w:sz="0" w:space="0" w:color="auto" w:frame="1"/>
                                    <w:shd w:val="clear" w:color="auto" w:fill="FFFFFF"/>
                                    <w:lang w:val="nl-NL" w:eastAsia="nl-NL"/>
                                  </w:rPr>
                                  <m:t>Mit</m:t>
                                </m:r>
                                <m:r>
                                  <w:rPr>
                                    <w:rFonts w:ascii="Cambria Math" w:eastAsia="Times New Roman" w:hAnsi="Cambria Math" w:cs="Segoe UI"/>
                                    <w:color w:val="000000"/>
                                    <w:sz w:val="23"/>
                                    <w:szCs w:val="23"/>
                                    <w:bdr w:val="none" w:sz="0" w:space="0" w:color="auto" w:frame="1"/>
                                    <w:shd w:val="clear" w:color="auto" w:fill="FFFFFF"/>
                                    <w:lang w:eastAsia="nl-NL"/>
                                  </w:rPr>
                                  <m:t>+</m:t>
                                </m:r>
                                <m:r>
                                  <w:rPr>
                                    <w:rFonts w:ascii="Cambria Math" w:eastAsia="Times New Roman" w:hAnsi="Cambria Math" w:cs="Segoe UI"/>
                                    <w:color w:val="000000"/>
                                    <w:sz w:val="23"/>
                                    <w:szCs w:val="23"/>
                                    <w:bdr w:val="none" w:sz="0" w:space="0" w:color="auto" w:frame="1"/>
                                    <w:shd w:val="clear" w:color="auto" w:fill="FFFFFF"/>
                                    <w:lang w:val="nl-NL" w:eastAsia="nl-NL"/>
                                  </w:rPr>
                                  <m:t>ε</m:t>
                                </m:r>
                                <m:r>
                                  <w:rPr>
                                    <w:rFonts w:ascii="Cambria Math" w:eastAsia="Times New Roman" w:hAnsi="Cambria Math" w:cs="Segoe UI"/>
                                    <w:color w:val="000000"/>
                                    <w:sz w:val="16"/>
                                    <w:szCs w:val="16"/>
                                    <w:bdr w:val="none" w:sz="0" w:space="0" w:color="auto" w:frame="1"/>
                                    <w:shd w:val="clear" w:color="auto" w:fill="FFFFFF"/>
                                    <w:lang w:val="nl-NL" w:eastAsia="nl-NL"/>
                                  </w:rPr>
                                  <m:t>it</m:t>
                                </m:r>
                              </m:oMath>
                            </m:oMathPara>
                          </w:p>
                          <w:p w:rsidR="004324BD" w:rsidRDefault="004324BD">
                            <m:oMathPara>
                              <m:oMath>
                                <m:r>
                                  <w:rPr>
                                    <w:rFonts w:ascii="Cambria Math" w:hAnsi="Cambria Math"/>
                                    <w:sz w:val="24"/>
                                    <w:bdr w:val="none" w:sz="0" w:space="0" w:color="auto" w:frame="1"/>
                                    <w:shd w:val="clear" w:color="auto" w:fill="FFFFFF"/>
                                    <w:lang w:eastAsia="nl-NL"/>
                                  </w:rPr>
                                  <m:t>(</m:t>
                                </m:r>
                                <m:sSub>
                                  <m:sSubPr>
                                    <m:ctrlPr>
                                      <w:rPr>
                                        <w:rFonts w:ascii="Cambria Math" w:hAnsi="Cambria Math"/>
                                        <w:i/>
                                        <w:sz w:val="24"/>
                                        <w:bdr w:val="none" w:sz="0" w:space="0" w:color="auto" w:frame="1"/>
                                        <w:shd w:val="clear" w:color="auto" w:fill="FFFFFF"/>
                                        <w:lang w:eastAsia="nl-NL"/>
                                      </w:rPr>
                                    </m:ctrlPr>
                                  </m:sSubPr>
                                  <m:e>
                                    <m:r>
                                      <w:rPr>
                                        <w:rFonts w:ascii="Cambria Math" w:hAnsi="Cambria Math"/>
                                        <w:sz w:val="24"/>
                                        <w:bdr w:val="none" w:sz="0" w:space="0" w:color="auto" w:frame="1"/>
                                        <w:shd w:val="clear" w:color="auto" w:fill="FFFFFF"/>
                                        <w:lang w:eastAsia="nl-NL"/>
                                      </w:rPr>
                                      <m:t>ε</m:t>
                                    </m:r>
                                  </m:e>
                                  <m:sub>
                                    <m:r>
                                      <w:rPr>
                                        <w:rFonts w:ascii="Cambria Math" w:hAnsi="Cambria Math"/>
                                        <w:sz w:val="24"/>
                                        <w:bdr w:val="none" w:sz="0" w:space="0" w:color="auto" w:frame="1"/>
                                        <w:shd w:val="clear" w:color="auto" w:fill="FFFFFF"/>
                                        <w:lang w:eastAsia="nl-NL"/>
                                      </w:rPr>
                                      <m:t>it</m:t>
                                    </m:r>
                                  </m:sub>
                                </m:sSub>
                                <m:r>
                                  <w:rPr>
                                    <w:rFonts w:ascii="Cambria Math" w:hAnsi="Cambria Math"/>
                                    <w:sz w:val="24"/>
                                    <w:bdr w:val="none" w:sz="0" w:space="0" w:color="auto" w:frame="1"/>
                                    <w:shd w:val="clear" w:color="auto" w:fill="FFFFFF"/>
                                    <w:lang w:eastAsia="nl-NL"/>
                                  </w:rPr>
                                  <m:t>=0)</m:t>
                                </m:r>
                              </m:oMath>
                            </m:oMathPara>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5F97FC4D" id="Text Box 2" o:spid="_x0000_s1028" type="#_x0000_t202" style="position:absolute;left:0;text-align:left;margin-left:0;margin-top:0;width:186.95pt;height:110.55pt;z-index:251659264;visibility:visible;mso-wrap-style:square;mso-width-percent:400;mso-height-percent:200;mso-wrap-distance-left:9pt;mso-wrap-distance-top:0;mso-wrap-distance-right:9pt;mso-wrap-distance-bottom:0;mso-position-horizontal:center;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" stroked="f">
                <v:textbox style="mso-fit-shape-to-text:t">
                  <w:txbxContent>
                    <w:p w:rsidR="004324BD" w:rsidRPr="00C22B7C" w:rsidRDefault="004324BD">
                      <w:pPr>
                        <w:rPr>
                          <w:rFonts w:eastAsiaTheme="minorEastAsia"/>
                          <w:color w:val="000000"/>
                          <w:sz w:val="16"/>
                          <w:szCs w:val="16"/>
                          <w:bdr w:val="none" w:sz="0" w:space="0" w:color="auto" w:frame="1"/>
                          <w:shd w:val="clear" w:color="auto" w:fill="FFFFFF"/>
                          <w:lang w:val="nl-NL" w:eastAsia="nl-NL"/>
                        </w:rPr>
                      </w:pPr>
                      <m:oMathPara>
                        <m:oMath>
                          <m:r>
                            <w:rPr>
                              <w:rFonts w:ascii="Cambria Math" w:eastAsia="Times New Roman" w:hAnsi="Cambria Math" w:cs="Segoe UI"/>
                              <w:color w:val="000000"/>
                              <w:sz w:val="23"/>
                              <w:szCs w:val="23"/>
                              <w:bdr w:val="none" w:sz="0" w:space="0" w:color="auto" w:frame="1"/>
                              <w:shd w:val="clear" w:color="auto" w:fill="FFFFFF"/>
                              <w:lang w:eastAsia="nl-NL"/>
                            </w:rPr>
                            <m:t xml:space="preserve">   </m:t>
                          </m:r>
                          <m:r>
                            <w:rPr>
                              <w:rFonts w:ascii="Cambria Math" w:eastAsia="Times New Roman" w:hAnsi="Cambria Math" w:cs="Segoe UI"/>
                              <w:color w:val="000000"/>
                              <w:sz w:val="23"/>
                              <w:szCs w:val="23"/>
                              <w:bdr w:val="none" w:sz="0" w:space="0" w:color="auto" w:frame="1"/>
                              <w:shd w:val="clear" w:color="auto" w:fill="FFFFFF"/>
                              <w:lang w:val="nl-NL" w:eastAsia="nl-NL"/>
                            </w:rPr>
                            <m:t>R</m:t>
                          </m:r>
                          <m:r>
                            <w:rPr>
                              <w:rFonts w:ascii="Cambria Math" w:eastAsia="Times New Roman" w:hAnsi="Cambria Math" w:cs="Segoe UI"/>
                              <w:color w:val="000000"/>
                              <w:sz w:val="16"/>
                              <w:szCs w:val="16"/>
                              <w:bdr w:val="none" w:sz="0" w:space="0" w:color="auto" w:frame="1"/>
                              <w:shd w:val="clear" w:color="auto" w:fill="FFFFFF"/>
                              <w:lang w:val="nl-NL" w:eastAsia="nl-NL"/>
                            </w:rPr>
                            <m:t>it</m:t>
                          </m:r>
                          <m:r>
                            <w:rPr>
                              <w:rFonts w:ascii="Cambria Math" w:eastAsia="Times New Roman" w:hAnsi="Cambria Math" w:cs="Segoe UI"/>
                              <w:color w:val="000000"/>
                              <w:sz w:val="23"/>
                              <w:szCs w:val="23"/>
                              <w:bdr w:val="none" w:sz="0" w:space="0" w:color="auto" w:frame="1"/>
                              <w:shd w:val="clear" w:color="auto" w:fill="FFFFFF"/>
                              <w:lang w:eastAsia="nl-NL"/>
                            </w:rPr>
                            <m:t>=</m:t>
                          </m:r>
                          <m:r>
                            <w:rPr>
                              <w:rFonts w:ascii="Cambria Math" w:eastAsia="Times New Roman" w:hAnsi="Cambria Math" w:cs="Segoe UI"/>
                              <w:color w:val="000000"/>
                              <w:sz w:val="23"/>
                              <w:szCs w:val="23"/>
                              <w:bdr w:val="none" w:sz="0" w:space="0" w:color="auto" w:frame="1"/>
                              <w:shd w:val="clear" w:color="auto" w:fill="FFFFFF"/>
                              <w:lang w:val="nl-NL" w:eastAsia="nl-NL"/>
                            </w:rPr>
                            <m:t>a</m:t>
                          </m:r>
                          <m:r>
                            <w:rPr>
                              <w:rFonts w:ascii="Cambria Math" w:eastAsia="Times New Roman" w:hAnsi="Cambria Math" w:cs="Segoe UI"/>
                              <w:color w:val="000000"/>
                              <w:sz w:val="16"/>
                              <w:szCs w:val="16"/>
                              <w:bdr w:val="none" w:sz="0" w:space="0" w:color="auto" w:frame="1"/>
                              <w:shd w:val="clear" w:color="auto" w:fill="FFFFFF"/>
                              <w:lang w:val="nl-NL" w:eastAsia="nl-NL"/>
                            </w:rPr>
                            <m:t>i</m:t>
                          </m:r>
                          <m:r>
                            <w:rPr>
                              <w:rFonts w:ascii="Cambria Math" w:eastAsia="Times New Roman" w:hAnsi="Cambria Math" w:cs="Segoe UI"/>
                              <w:color w:val="000000"/>
                              <w:sz w:val="23"/>
                              <w:szCs w:val="23"/>
                              <w:bdr w:val="none" w:sz="0" w:space="0" w:color="auto" w:frame="1"/>
                              <w:shd w:val="clear" w:color="auto" w:fill="FFFFFF"/>
                              <w:lang w:eastAsia="nl-NL"/>
                            </w:rPr>
                            <m:t>+</m:t>
                          </m:r>
                          <m:r>
                            <w:rPr>
                              <w:rFonts w:ascii="Cambria Math" w:eastAsia="Times New Roman" w:hAnsi="Cambria Math" w:cs="Segoe UI"/>
                              <w:color w:val="000000"/>
                              <w:sz w:val="23"/>
                              <w:szCs w:val="23"/>
                              <w:bdr w:val="none" w:sz="0" w:space="0" w:color="auto" w:frame="1"/>
                              <w:shd w:val="clear" w:color="auto" w:fill="FFFFFF"/>
                              <w:lang w:val="nl-NL" w:eastAsia="nl-NL"/>
                            </w:rPr>
                            <m:t>b</m:t>
                          </m:r>
                          <m:r>
                            <w:rPr>
                              <w:rFonts w:ascii="Cambria Math" w:eastAsia="Times New Roman" w:hAnsi="Cambria Math" w:cs="Segoe UI"/>
                              <w:color w:val="000000"/>
                              <w:sz w:val="16"/>
                              <w:szCs w:val="16"/>
                              <w:bdr w:val="none" w:sz="0" w:space="0" w:color="auto" w:frame="1"/>
                              <w:shd w:val="clear" w:color="auto" w:fill="FFFFFF"/>
                              <w:lang w:val="nl-NL" w:eastAsia="nl-NL"/>
                            </w:rPr>
                            <m:t>i</m:t>
                          </m:r>
                          <m:r>
                            <w:rPr>
                              <w:rFonts w:ascii="Cambria Math" w:eastAsia="Times New Roman" w:hAnsi="Cambria Math" w:cs="Cambria Math"/>
                              <w:color w:val="000000"/>
                              <w:sz w:val="23"/>
                              <w:szCs w:val="23"/>
                              <w:bdr w:val="none" w:sz="0" w:space="0" w:color="auto" w:frame="1"/>
                              <w:shd w:val="clear" w:color="auto" w:fill="FFFFFF"/>
                              <w:lang w:eastAsia="nl-NL"/>
                            </w:rPr>
                            <m:t>*</m:t>
                          </m:r>
                          <m:r>
                            <w:rPr>
                              <w:rFonts w:ascii="Cambria Math" w:eastAsia="Times New Roman" w:hAnsi="Cambria Math" w:cs="Segoe UI"/>
                              <w:color w:val="000000"/>
                              <w:sz w:val="23"/>
                              <w:szCs w:val="23"/>
                              <w:bdr w:val="none" w:sz="0" w:space="0" w:color="auto" w:frame="1"/>
                              <w:shd w:val="clear" w:color="auto" w:fill="FFFFFF"/>
                              <w:lang w:val="nl-NL" w:eastAsia="nl-NL"/>
                            </w:rPr>
                            <m:t>R</m:t>
                          </m:r>
                          <m:r>
                            <w:rPr>
                              <w:rFonts w:ascii="Cambria Math" w:eastAsia="Times New Roman" w:hAnsi="Cambria Math" w:cs="Segoe UI"/>
                              <w:color w:val="000000"/>
                              <w:sz w:val="16"/>
                              <w:szCs w:val="16"/>
                              <w:bdr w:val="none" w:sz="0" w:space="0" w:color="auto" w:frame="1"/>
                              <w:shd w:val="clear" w:color="auto" w:fill="FFFFFF"/>
                              <w:lang w:val="nl-NL" w:eastAsia="nl-NL"/>
                            </w:rPr>
                            <m:t>Mit</m:t>
                          </m:r>
                          <m:r>
                            <w:rPr>
                              <w:rFonts w:ascii="Cambria Math" w:eastAsia="Times New Roman" w:hAnsi="Cambria Math" w:cs="Segoe UI"/>
                              <w:color w:val="000000"/>
                              <w:sz w:val="23"/>
                              <w:szCs w:val="23"/>
                              <w:bdr w:val="none" w:sz="0" w:space="0" w:color="auto" w:frame="1"/>
                              <w:shd w:val="clear" w:color="auto" w:fill="FFFFFF"/>
                              <w:lang w:eastAsia="nl-NL"/>
                            </w:rPr>
                            <m:t>+</m:t>
                          </m:r>
                          <m:r>
                            <w:rPr>
                              <w:rFonts w:ascii="Cambria Math" w:eastAsia="Times New Roman" w:hAnsi="Cambria Math" w:cs="Segoe UI"/>
                              <w:color w:val="000000"/>
                              <w:sz w:val="23"/>
                              <w:szCs w:val="23"/>
                              <w:bdr w:val="none" w:sz="0" w:space="0" w:color="auto" w:frame="1"/>
                              <w:shd w:val="clear" w:color="auto" w:fill="FFFFFF"/>
                              <w:lang w:val="nl-NL" w:eastAsia="nl-NL"/>
                            </w:rPr>
                            <m:t>ε</m:t>
                          </m:r>
                          <m:r>
                            <w:rPr>
                              <w:rFonts w:ascii="Cambria Math" w:eastAsia="Times New Roman" w:hAnsi="Cambria Math" w:cs="Segoe UI"/>
                              <w:color w:val="000000"/>
                              <w:sz w:val="16"/>
                              <w:szCs w:val="16"/>
                              <w:bdr w:val="none" w:sz="0" w:space="0" w:color="auto" w:frame="1"/>
                              <w:shd w:val="clear" w:color="auto" w:fill="FFFFFF"/>
                              <w:lang w:val="nl-NL" w:eastAsia="nl-NL"/>
                            </w:rPr>
                            <m:t>it</m:t>
                          </m:r>
                        </m:oMath>
                      </m:oMathPara>
                    </w:p>
                    <w:p w:rsidR="004324BD" w:rsidRDefault="004324BD">
                      <m:oMathPara>
                        <m:oMath>
                          <m:r>
                            <w:rPr>
                              <w:rFonts w:ascii="Cambria Math" w:hAnsi="Cambria Math"/>
                              <w:sz w:val="24"/>
                              <w:bdr w:val="none" w:sz="0" w:space="0" w:color="auto" w:frame="1"/>
                              <w:shd w:val="clear" w:color="auto" w:fill="FFFFFF"/>
                              <w:lang w:eastAsia="nl-NL"/>
                            </w:rPr>
                            <m:t>(</m:t>
                          </m:r>
                          <m:sSub>
                            <m:sSubPr>
                              <m:ctrlPr>
                                <w:rPr>
                                  <w:rFonts w:ascii="Cambria Math" w:hAnsi="Cambria Math"/>
                                  <w:i/>
                                  <w:sz w:val="24"/>
                                  <w:bdr w:val="none" w:sz="0" w:space="0" w:color="auto" w:frame="1"/>
                                  <w:shd w:val="clear" w:color="auto" w:fill="FFFFFF"/>
                                  <w:lang w:eastAsia="nl-NL"/>
                                </w:rPr>
                              </m:ctrlPr>
                            </m:sSubPr>
                            <m:e>
                              <m:r>
                                <w:rPr>
                                  <w:rFonts w:ascii="Cambria Math" w:hAnsi="Cambria Math"/>
                                  <w:sz w:val="24"/>
                                  <w:bdr w:val="none" w:sz="0" w:space="0" w:color="auto" w:frame="1"/>
                                  <w:shd w:val="clear" w:color="auto" w:fill="FFFFFF"/>
                                  <w:lang w:eastAsia="nl-NL"/>
                                </w:rPr>
                                <m:t>ε</m:t>
                              </m:r>
                            </m:e>
                            <m:sub>
                              <m:r>
                                <w:rPr>
                                  <w:rFonts w:ascii="Cambria Math" w:hAnsi="Cambria Math"/>
                                  <w:sz w:val="24"/>
                                  <w:bdr w:val="none" w:sz="0" w:space="0" w:color="auto" w:frame="1"/>
                                  <w:shd w:val="clear" w:color="auto" w:fill="FFFFFF"/>
                                  <w:lang w:eastAsia="nl-NL"/>
                                </w:rPr>
                                <m:t>it</m:t>
                              </m:r>
                            </m:sub>
                          </m:sSub>
                          <m:r>
                            <w:rPr>
                              <w:rFonts w:ascii="Cambria Math" w:hAnsi="Cambria Math"/>
                              <w:sz w:val="24"/>
                              <w:bdr w:val="none" w:sz="0" w:space="0" w:color="auto" w:frame="1"/>
                              <w:shd w:val="clear" w:color="auto" w:fill="FFFFFF"/>
                              <w:lang w:eastAsia="nl-NL"/>
                            </w:rPr>
                            <m:t>=0)</m:t>
                          </m:r>
                        </m:oMath>
                      </m:oMathPara>
                    </w:p>
                  </w:txbxContent>
                </v:textbox>
              </v:shape>
            </w:pict>
          </mc:Fallback>
        </mc:AlternateContent>
      </w:r>
      <w:r w:rsidR="00D90E97" w:rsidRPr="00147D59">
        <w:rPr>
          <w:rFonts w:eastAsiaTheme="minorEastAsia"/>
          <w:color w:val="000000"/>
          <w:sz w:val="16"/>
          <w:szCs w:val="16"/>
          <w:bdr w:val="none" w:sz="0" w:space="0" w:color="auto" w:frame="1"/>
          <w:shd w:val="clear" w:color="auto" w:fill="FFFFFF"/>
          <w:lang w:eastAsia="nl-NL"/>
        </w:rPr>
        <w:tab/>
      </w:r>
      <w:r w:rsidRPr="00147D59">
        <w:rPr>
          <w:rFonts w:eastAsiaTheme="minorEastAsia"/>
          <w:color w:val="000000"/>
          <w:sz w:val="16"/>
          <w:szCs w:val="16"/>
          <w:bdr w:val="none" w:sz="0" w:space="0" w:color="auto" w:frame="1"/>
          <w:shd w:val="clear" w:color="auto" w:fill="FFFFFF"/>
          <w:lang w:eastAsia="nl-NL"/>
        </w:rPr>
        <w:tab/>
      </w:r>
      <w:r w:rsidRPr="00147D59">
        <w:rPr>
          <w:rFonts w:eastAsiaTheme="minorEastAsia"/>
          <w:color w:val="000000"/>
          <w:sz w:val="16"/>
          <w:szCs w:val="16"/>
          <w:bdr w:val="none" w:sz="0" w:space="0" w:color="auto" w:frame="1"/>
          <w:shd w:val="clear" w:color="auto" w:fill="FFFFFF"/>
          <w:lang w:eastAsia="nl-NL"/>
        </w:rPr>
        <w:tab/>
        <w:t xml:space="preserve">      </w:t>
      </w:r>
      <w:r w:rsidRPr="00147D59">
        <w:rPr>
          <w:rFonts w:eastAsiaTheme="minorEastAsia"/>
          <w:color w:val="000000"/>
          <w:sz w:val="16"/>
          <w:szCs w:val="16"/>
          <w:bdr w:val="none" w:sz="0" w:space="0" w:color="auto" w:frame="1"/>
          <w:shd w:val="clear" w:color="auto" w:fill="FFFFFF"/>
          <w:lang w:eastAsia="nl-NL"/>
        </w:rPr>
        <w:tab/>
      </w:r>
      <w:r w:rsidR="005E19AF">
        <w:rPr>
          <w:rFonts w:eastAsiaTheme="minorEastAsia"/>
          <w:color w:val="000000"/>
          <w:sz w:val="24"/>
          <w:szCs w:val="16"/>
          <w:bdr w:val="none" w:sz="0" w:space="0" w:color="auto" w:frame="1"/>
          <w:shd w:val="clear" w:color="auto" w:fill="FFFFFF"/>
          <w:lang w:eastAsia="nl-NL"/>
        </w:rPr>
        <w:t>(1)</w:t>
      </w:r>
    </w:p>
    <w:p w:rsidR="00D90E97" w:rsidRPr="00147D59" w:rsidRDefault="00D90E97" w:rsidP="005E19AF">
      <w:pPr>
        <w:spacing w:after="0" w:line="240" w:lineRule="auto"/>
        <w:ind w:left="720" w:firstLine="720"/>
        <w:jc w:val="both"/>
        <w:rPr>
          <w:rFonts w:eastAsiaTheme="minorEastAsia"/>
          <w:color w:val="000000"/>
          <w:sz w:val="24"/>
          <w:szCs w:val="16"/>
          <w:bdr w:val="none" w:sz="0" w:space="0" w:color="auto" w:frame="1"/>
          <w:shd w:val="clear" w:color="auto" w:fill="FFFFFF"/>
          <w:lang w:eastAsia="nl-NL"/>
        </w:rPr>
      </w:pPr>
    </w:p>
    <w:p w:rsidR="00EB68C5" w:rsidRPr="00147D59" w:rsidRDefault="00EB68C5" w:rsidP="005E19AF">
      <w:pPr>
        <w:spacing w:line="360" w:lineRule="auto"/>
        <w:jc w:val="both"/>
        <w:rPr>
          <w:sz w:val="24"/>
          <w:bdr w:val="none" w:sz="0" w:space="0" w:color="auto" w:frame="1"/>
          <w:shd w:val="clear" w:color="auto" w:fill="FFFFFF"/>
          <w:lang w:eastAsia="nl-NL"/>
        </w:rPr>
      </w:pPr>
    </w:p>
    <w:p w:rsidR="00D90E97" w:rsidRPr="00147D59" w:rsidRDefault="00D90E97" w:rsidP="005E19AF">
      <w:pPr>
        <w:spacing w:line="360" w:lineRule="auto"/>
        <w:jc w:val="both"/>
        <w:rPr>
          <w:sz w:val="24"/>
          <w:bdr w:val="none" w:sz="0" w:space="0" w:color="auto" w:frame="1"/>
          <w:shd w:val="clear" w:color="auto" w:fill="FFFFFF"/>
          <w:lang w:eastAsia="nl-NL"/>
        </w:rPr>
      </w:pPr>
      <w:r w:rsidRPr="00147D59">
        <w:rPr>
          <w:sz w:val="24"/>
          <w:bdr w:val="none" w:sz="0" w:space="0" w:color="auto" w:frame="1"/>
          <w:shd w:val="clear" w:color="auto" w:fill="FFFFFF"/>
          <w:lang w:eastAsia="nl-NL"/>
        </w:rPr>
        <w:t xml:space="preserve">Where </w:t>
      </w:r>
      <m:oMath>
        <m:sSub>
          <m:sSubPr>
            <m:ctrlPr>
              <w:rPr>
                <w:rFonts w:ascii="Cambria Math" w:hAnsi="Cambria Math"/>
                <w:i/>
                <w:sz w:val="24"/>
                <w:bdr w:val="none" w:sz="0" w:space="0" w:color="auto" w:frame="1"/>
                <w:shd w:val="clear" w:color="auto" w:fill="FFFFFF"/>
                <w:lang w:eastAsia="nl-NL"/>
              </w:rPr>
            </m:ctrlPr>
          </m:sSubPr>
          <m:e>
            <m:r>
              <w:rPr>
                <w:rFonts w:ascii="Cambria Math" w:hAnsi="Cambria Math"/>
                <w:sz w:val="24"/>
                <w:bdr w:val="none" w:sz="0" w:space="0" w:color="auto" w:frame="1"/>
                <w:shd w:val="clear" w:color="auto" w:fill="FFFFFF"/>
                <w:lang w:eastAsia="nl-NL"/>
              </w:rPr>
              <m:t>R</m:t>
            </m:r>
          </m:e>
          <m:sub>
            <m:r>
              <w:rPr>
                <w:rFonts w:ascii="Cambria Math" w:hAnsi="Cambria Math"/>
                <w:sz w:val="24"/>
                <w:bdr w:val="none" w:sz="0" w:space="0" w:color="auto" w:frame="1"/>
                <w:shd w:val="clear" w:color="auto" w:fill="FFFFFF"/>
                <w:lang w:eastAsia="nl-NL"/>
              </w:rPr>
              <m:t>it</m:t>
            </m:r>
          </m:sub>
        </m:sSub>
      </m:oMath>
      <w:r w:rsidRPr="00147D59">
        <w:rPr>
          <w:rFonts w:eastAsiaTheme="minorEastAsia"/>
          <w:sz w:val="24"/>
          <w:bdr w:val="none" w:sz="0" w:space="0" w:color="auto" w:frame="1"/>
          <w:shd w:val="clear" w:color="auto" w:fill="FFFFFF"/>
          <w:lang w:eastAsia="nl-NL"/>
        </w:rPr>
        <w:t xml:space="preserve"> </w:t>
      </w:r>
      <w:r w:rsidRPr="00147D59">
        <w:rPr>
          <w:sz w:val="24"/>
          <w:bdr w:val="none" w:sz="0" w:space="0" w:color="auto" w:frame="1"/>
          <w:shd w:val="clear" w:color="auto" w:fill="FFFFFF"/>
          <w:lang w:eastAsia="nl-NL"/>
        </w:rPr>
        <w:t xml:space="preserve">and </w:t>
      </w:r>
      <m:oMath>
        <m:sSub>
          <m:sSubPr>
            <m:ctrlPr>
              <w:rPr>
                <w:rFonts w:ascii="Cambria Math" w:hAnsi="Cambria Math"/>
                <w:i/>
                <w:sz w:val="24"/>
                <w:bdr w:val="none" w:sz="0" w:space="0" w:color="auto" w:frame="1"/>
                <w:shd w:val="clear" w:color="auto" w:fill="FFFFFF"/>
                <w:lang w:eastAsia="nl-NL"/>
              </w:rPr>
            </m:ctrlPr>
          </m:sSubPr>
          <m:e>
            <m:r>
              <w:rPr>
                <w:rFonts w:ascii="Cambria Math" w:hAnsi="Cambria Math"/>
                <w:sz w:val="24"/>
                <w:bdr w:val="none" w:sz="0" w:space="0" w:color="auto" w:frame="1"/>
                <w:shd w:val="clear" w:color="auto" w:fill="FFFFFF"/>
                <w:lang w:eastAsia="nl-NL"/>
              </w:rPr>
              <m:t>R</m:t>
            </m:r>
          </m:e>
          <m:sub>
            <m:r>
              <w:rPr>
                <w:rFonts w:ascii="Cambria Math" w:hAnsi="Cambria Math"/>
                <w:sz w:val="24"/>
                <w:bdr w:val="none" w:sz="0" w:space="0" w:color="auto" w:frame="1"/>
                <w:shd w:val="clear" w:color="auto" w:fill="FFFFFF"/>
                <w:lang w:eastAsia="nl-NL"/>
              </w:rPr>
              <m:t>mt</m:t>
            </m:r>
          </m:sub>
        </m:sSub>
      </m:oMath>
      <w:r w:rsidRPr="00147D59">
        <w:rPr>
          <w:rFonts w:eastAsiaTheme="minorEastAsia"/>
          <w:sz w:val="24"/>
          <w:bdr w:val="none" w:sz="0" w:space="0" w:color="auto" w:frame="1"/>
          <w:shd w:val="clear" w:color="auto" w:fill="FFFFFF"/>
          <w:lang w:eastAsia="nl-NL"/>
        </w:rPr>
        <w:t xml:space="preserve"> </w:t>
      </w:r>
      <w:r w:rsidR="006B1497" w:rsidRPr="00147D59">
        <w:rPr>
          <w:rFonts w:eastAsiaTheme="minorEastAsia"/>
          <w:sz w:val="24"/>
          <w:bdr w:val="none" w:sz="0" w:space="0" w:color="auto" w:frame="1"/>
          <w:shd w:val="clear" w:color="auto" w:fill="FFFFFF"/>
          <w:lang w:eastAsia="nl-NL"/>
        </w:rPr>
        <w:t xml:space="preserve">are the returns on the firm </w:t>
      </w:r>
      <w:r w:rsidR="006B1497" w:rsidRPr="00147D59">
        <w:rPr>
          <w:rFonts w:eastAsiaTheme="minorEastAsia"/>
          <w:i/>
          <w:sz w:val="24"/>
          <w:bdr w:val="none" w:sz="0" w:space="0" w:color="auto" w:frame="1"/>
          <w:shd w:val="clear" w:color="auto" w:fill="FFFFFF"/>
          <w:lang w:eastAsia="nl-NL"/>
        </w:rPr>
        <w:t>i</w:t>
      </w:r>
      <w:r w:rsidR="006B1497" w:rsidRPr="00147D59">
        <w:rPr>
          <w:rFonts w:eastAsiaTheme="minorEastAsia"/>
          <w:sz w:val="24"/>
          <w:bdr w:val="none" w:sz="0" w:space="0" w:color="auto" w:frame="1"/>
          <w:shd w:val="clear" w:color="auto" w:fill="FFFFFF"/>
          <w:lang w:eastAsia="nl-NL"/>
        </w:rPr>
        <w:t xml:space="preserve"> and the market index S&amp;P 500, respectively, in </w:t>
      </w:r>
      <w:r w:rsidR="00A37DB6" w:rsidRPr="00147D59">
        <w:rPr>
          <w:rFonts w:eastAsiaTheme="minorEastAsia"/>
          <w:sz w:val="24"/>
          <w:bdr w:val="none" w:sz="0" w:space="0" w:color="auto" w:frame="1"/>
          <w:shd w:val="clear" w:color="auto" w:fill="FFFFFF"/>
          <w:lang w:eastAsia="nl-NL"/>
        </w:rPr>
        <w:t>estimation window</w:t>
      </w:r>
      <w:r w:rsidR="006B1497" w:rsidRPr="00147D59">
        <w:rPr>
          <w:rFonts w:eastAsiaTheme="minorEastAsia"/>
          <w:sz w:val="24"/>
          <w:bdr w:val="none" w:sz="0" w:space="0" w:color="auto" w:frame="1"/>
          <w:shd w:val="clear" w:color="auto" w:fill="FFFFFF"/>
          <w:lang w:eastAsia="nl-NL"/>
        </w:rPr>
        <w:t xml:space="preserve"> </w:t>
      </w:r>
      <w:r w:rsidR="00A37DB6" w:rsidRPr="00147D59">
        <w:rPr>
          <w:rFonts w:eastAsiaTheme="minorEastAsia"/>
          <w:i/>
          <w:sz w:val="24"/>
          <w:bdr w:val="none" w:sz="0" w:space="0" w:color="auto" w:frame="1"/>
          <w:shd w:val="clear" w:color="auto" w:fill="FFFFFF"/>
          <w:lang w:eastAsia="nl-NL"/>
        </w:rPr>
        <w:t>t</w:t>
      </w:r>
      <w:r w:rsidR="006B1497" w:rsidRPr="00147D59">
        <w:rPr>
          <w:rFonts w:eastAsiaTheme="minorEastAsia"/>
          <w:sz w:val="24"/>
          <w:bdr w:val="none" w:sz="0" w:space="0" w:color="auto" w:frame="1"/>
          <w:shd w:val="clear" w:color="auto" w:fill="FFFFFF"/>
          <w:lang w:eastAsia="nl-NL"/>
        </w:rPr>
        <w:t xml:space="preserve"> [-170, -70]. </w:t>
      </w:r>
      <m:oMath>
        <m:r>
          <w:rPr>
            <w:rFonts w:ascii="Cambria Math" w:eastAsia="Times New Roman" w:hAnsi="Cambria Math" w:cs="Segoe UI"/>
            <w:color w:val="000000"/>
            <w:sz w:val="23"/>
            <w:szCs w:val="23"/>
            <w:bdr w:val="none" w:sz="0" w:space="0" w:color="auto" w:frame="1"/>
            <w:shd w:val="clear" w:color="auto" w:fill="FFFFFF"/>
            <w:lang w:val="nl-NL" w:eastAsia="nl-NL"/>
          </w:rPr>
          <m:t>u</m:t>
        </m:r>
        <m:r>
          <w:rPr>
            <w:rFonts w:ascii="Cambria Math" w:eastAsia="Times New Roman" w:hAnsi="Cambria Math" w:cs="Segoe UI"/>
            <w:color w:val="000000"/>
            <w:sz w:val="16"/>
            <w:szCs w:val="16"/>
            <w:bdr w:val="none" w:sz="0" w:space="0" w:color="auto" w:frame="1"/>
            <w:shd w:val="clear" w:color="auto" w:fill="FFFFFF"/>
            <w:lang w:val="nl-NL" w:eastAsia="nl-NL"/>
          </w:rPr>
          <m:t>it</m:t>
        </m:r>
      </m:oMath>
      <w:r w:rsidR="006B1497" w:rsidRPr="00147D59">
        <w:rPr>
          <w:sz w:val="24"/>
          <w:bdr w:val="none" w:sz="0" w:space="0" w:color="auto" w:frame="1"/>
          <w:shd w:val="clear" w:color="auto" w:fill="FFFFFF"/>
          <w:lang w:eastAsia="nl-NL"/>
        </w:rPr>
        <w:t xml:space="preserve">  is the mean disturbance term. </w:t>
      </w:r>
      <w:r w:rsidRPr="00147D59">
        <w:rPr>
          <w:sz w:val="24"/>
          <w:bdr w:val="none" w:sz="0" w:space="0" w:color="auto" w:frame="1"/>
          <w:shd w:val="clear" w:color="auto" w:fill="FFFFFF"/>
          <w:lang w:eastAsia="nl-NL"/>
        </w:rPr>
        <w:t>With the data, the alpha (</w:t>
      </w:r>
      <w:r w:rsidRPr="00147D59">
        <w:rPr>
          <w:i/>
          <w:sz w:val="24"/>
          <w:bdr w:val="none" w:sz="0" w:space="0" w:color="auto" w:frame="1"/>
          <w:shd w:val="clear" w:color="auto" w:fill="FFFFFF"/>
          <w:lang w:eastAsia="nl-NL"/>
        </w:rPr>
        <w:t>â</w:t>
      </w:r>
      <w:r w:rsidRPr="00147D59">
        <w:rPr>
          <w:sz w:val="24"/>
          <w:bdr w:val="none" w:sz="0" w:space="0" w:color="auto" w:frame="1"/>
          <w:shd w:val="clear" w:color="auto" w:fill="FFFFFF"/>
          <w:lang w:eastAsia="nl-NL"/>
        </w:rPr>
        <w:t>) and beta (</w:t>
      </w:r>
      <m:oMath>
        <m:acc>
          <m:accPr>
            <m:ctrlPr>
              <w:rPr>
                <w:rFonts w:ascii="Cambria Math" w:hAnsi="Cambria Math"/>
                <w:i/>
                <w:sz w:val="24"/>
                <w:bdr w:val="none" w:sz="0" w:space="0" w:color="auto" w:frame="1"/>
                <w:shd w:val="clear" w:color="auto" w:fill="FFFFFF"/>
                <w:lang w:eastAsia="nl-NL"/>
              </w:rPr>
            </m:ctrlPr>
          </m:accPr>
          <m:e>
            <m:r>
              <w:rPr>
                <w:rFonts w:ascii="Cambria Math" w:hAnsi="Cambria Math"/>
                <w:sz w:val="24"/>
                <w:bdr w:val="none" w:sz="0" w:space="0" w:color="auto" w:frame="1"/>
                <w:shd w:val="clear" w:color="auto" w:fill="FFFFFF"/>
                <w:lang w:eastAsia="nl-NL"/>
              </w:rPr>
              <m:t>b</m:t>
            </m:r>
          </m:e>
        </m:acc>
      </m:oMath>
      <w:r w:rsidRPr="00147D59">
        <w:rPr>
          <w:sz w:val="24"/>
          <w:bdr w:val="none" w:sz="0" w:space="0" w:color="auto" w:frame="1"/>
          <w:shd w:val="clear" w:color="auto" w:fill="FFFFFF"/>
          <w:lang w:eastAsia="nl-NL"/>
        </w:rPr>
        <w:t xml:space="preserve">) can be estimated for every target firm stock. </w:t>
      </w:r>
      <w:r w:rsidR="00345535" w:rsidRPr="00147D59">
        <w:rPr>
          <w:sz w:val="24"/>
          <w:bdr w:val="none" w:sz="0" w:space="0" w:color="auto" w:frame="1"/>
          <w:shd w:val="clear" w:color="auto" w:fill="FFFFFF"/>
          <w:lang w:eastAsia="nl-NL"/>
        </w:rPr>
        <w:t>Where the alpha is the constant term and the beta is the slope. A beta of one means that the returns are comple</w:t>
      </w:r>
      <w:r w:rsidR="00A37DB6" w:rsidRPr="00147D59">
        <w:rPr>
          <w:sz w:val="24"/>
          <w:bdr w:val="none" w:sz="0" w:space="0" w:color="auto" w:frame="1"/>
          <w:shd w:val="clear" w:color="auto" w:fill="FFFFFF"/>
          <w:lang w:eastAsia="nl-NL"/>
        </w:rPr>
        <w:t>tely correlated with the market. With the market model calculated, abnormal returns can be calculated for the event window in formula 2</w:t>
      </w:r>
      <w:r w:rsidR="00D7792B" w:rsidRPr="00147D59">
        <w:rPr>
          <w:sz w:val="24"/>
          <w:bdr w:val="none" w:sz="0" w:space="0" w:color="auto" w:frame="1"/>
          <w:shd w:val="clear" w:color="auto" w:fill="FFFFFF"/>
          <w:lang w:eastAsia="nl-NL"/>
        </w:rPr>
        <w:t>:</w:t>
      </w:r>
    </w:p>
    <w:p w:rsidR="00D7792B" w:rsidRPr="00147D59" w:rsidRDefault="00D7792B" w:rsidP="005E19AF">
      <w:pPr>
        <w:spacing w:after="0" w:line="240" w:lineRule="auto"/>
        <w:jc w:val="right"/>
        <w:rPr>
          <w:rFonts w:ascii="Cambria Math" w:eastAsia="Times New Roman" w:hAnsi="Cambria Math" w:cs="Segoe UI"/>
          <w:color w:val="000000"/>
          <w:sz w:val="28"/>
          <w:shd w:val="clear" w:color="auto" w:fill="FFFFFF"/>
          <w:lang w:eastAsia="nl-NL"/>
          <w:oMath/>
        </w:rPr>
      </w:pPr>
      <m:oMath>
        <m:r>
          <w:rPr>
            <w:rFonts w:ascii="Cambria Math" w:eastAsia="Times New Roman" w:hAnsi="Cambria Math" w:cs="Segoe UI"/>
            <w:color w:val="000000"/>
            <w:sz w:val="24"/>
            <w:szCs w:val="23"/>
            <w:bdr w:val="none" w:sz="0" w:space="0" w:color="auto" w:frame="1"/>
            <w:shd w:val="clear" w:color="auto" w:fill="FFFFFF"/>
            <w:lang w:val="nl-NL" w:eastAsia="nl-NL"/>
          </w:rPr>
          <m:t>AR</m:t>
        </m:r>
        <m:r>
          <w:rPr>
            <w:rFonts w:ascii="Cambria Math" w:eastAsia="Times New Roman" w:hAnsi="Cambria Math" w:cs="Segoe UI"/>
            <w:color w:val="000000"/>
            <w:sz w:val="18"/>
            <w:szCs w:val="16"/>
            <w:bdr w:val="none" w:sz="0" w:space="0" w:color="auto" w:frame="1"/>
            <w:shd w:val="clear" w:color="auto" w:fill="FFFFFF"/>
            <w:lang w:val="nl-NL" w:eastAsia="nl-NL"/>
          </w:rPr>
          <m:t>i</m:t>
        </m:r>
        <m:r>
          <w:rPr>
            <w:rFonts w:ascii="Cambria Math" w:eastAsia="Times New Roman" w:hAnsi="Cambria Math" w:cs="Segoe UI"/>
            <w:color w:val="000000"/>
            <w:sz w:val="18"/>
            <w:szCs w:val="16"/>
            <w:bdr w:val="none" w:sz="0" w:space="0" w:color="auto" w:frame="1"/>
            <w:shd w:val="clear" w:color="auto" w:fill="FFFFFF"/>
            <w:lang w:eastAsia="nl-NL"/>
          </w:rPr>
          <m:t>t</m:t>
        </m:r>
        <m:r>
          <w:rPr>
            <w:rFonts w:ascii="Cambria Math" w:eastAsia="Times New Roman" w:hAnsi="Cambria Math" w:cs="Segoe UI"/>
            <w:color w:val="000000"/>
            <w:sz w:val="24"/>
            <w:szCs w:val="23"/>
            <w:bdr w:val="none" w:sz="0" w:space="0" w:color="auto" w:frame="1"/>
            <w:shd w:val="clear" w:color="auto" w:fill="FFFFFF"/>
            <w:lang w:eastAsia="nl-NL"/>
          </w:rPr>
          <m:t>=</m:t>
        </m:r>
        <m:sSubSup>
          <m:sSubSupPr>
            <m:ctrlPr>
              <w:rPr>
                <w:rFonts w:ascii="Cambria Math" w:eastAsia="Times New Roman" w:hAnsi="Cambria Math" w:cs="Segoe UI"/>
                <w:i/>
                <w:color w:val="000000"/>
                <w:sz w:val="24"/>
                <w:szCs w:val="23"/>
                <w:bdr w:val="none" w:sz="0" w:space="0" w:color="auto" w:frame="1"/>
                <w:shd w:val="clear" w:color="auto" w:fill="FFFFFF"/>
                <w:lang w:val="nl-NL" w:eastAsia="nl-NL"/>
              </w:rPr>
            </m:ctrlPr>
          </m:sSubSupPr>
          <m:e>
            <m:r>
              <w:rPr>
                <w:rFonts w:ascii="Cambria Math" w:eastAsia="Times New Roman" w:hAnsi="Cambria Math" w:cs="Segoe UI"/>
                <w:color w:val="000000"/>
                <w:sz w:val="24"/>
                <w:szCs w:val="23"/>
                <w:bdr w:val="none" w:sz="0" w:space="0" w:color="auto" w:frame="1"/>
                <w:shd w:val="clear" w:color="auto" w:fill="FFFFFF"/>
                <w:lang w:val="nl-NL" w:eastAsia="nl-NL"/>
              </w:rPr>
              <m:t>R</m:t>
            </m:r>
          </m:e>
          <m:sub>
            <m:r>
              <w:rPr>
                <w:rFonts w:ascii="Cambria Math" w:eastAsia="Times New Roman" w:hAnsi="Cambria Math" w:cs="Segoe UI"/>
                <w:color w:val="000000"/>
                <w:sz w:val="24"/>
                <w:szCs w:val="23"/>
                <w:bdr w:val="none" w:sz="0" w:space="0" w:color="auto" w:frame="1"/>
                <w:shd w:val="clear" w:color="auto" w:fill="FFFFFF"/>
                <w:lang w:val="nl-NL" w:eastAsia="nl-NL"/>
              </w:rPr>
              <m:t>it</m:t>
            </m:r>
          </m:sub>
          <m:sup>
            <m:r>
              <w:rPr>
                <w:rFonts w:ascii="Cambria Math" w:eastAsia="Times New Roman" w:hAnsi="Cambria Math" w:cs="Segoe UI"/>
                <w:color w:val="000000"/>
                <w:sz w:val="24"/>
                <w:szCs w:val="23"/>
                <w:bdr w:val="none" w:sz="0" w:space="0" w:color="auto" w:frame="1"/>
                <w:shd w:val="clear" w:color="auto" w:fill="FFFFFF"/>
                <w:lang w:eastAsia="nl-NL"/>
              </w:rPr>
              <m:t>*</m:t>
            </m:r>
          </m:sup>
        </m:sSubSup>
        <m:r>
          <w:rPr>
            <w:rFonts w:ascii="Cambria Math" w:eastAsia="Times New Roman" w:hAnsi="Cambria Math" w:cs="Segoe UI"/>
            <w:color w:val="000000"/>
            <w:sz w:val="24"/>
            <w:szCs w:val="23"/>
            <w:bdr w:val="none" w:sz="0" w:space="0" w:color="auto" w:frame="1"/>
            <w:shd w:val="clear" w:color="auto" w:fill="FFFFFF"/>
            <w:lang w:eastAsia="nl-NL"/>
          </w:rPr>
          <m:t>-(</m:t>
        </m:r>
        <m:r>
          <w:rPr>
            <w:rFonts w:ascii="Cambria Math" w:eastAsia="Times New Roman" w:hAnsi="Cambria Math" w:cs="Segoe UI"/>
            <w:color w:val="000000"/>
            <w:szCs w:val="23"/>
            <w:bdr w:val="none" w:sz="0" w:space="0" w:color="auto" w:frame="1"/>
            <w:shd w:val="clear" w:color="auto" w:fill="FFFFFF"/>
            <w:lang w:val="nl-NL" w:eastAsia="nl-NL"/>
          </w:rPr>
          <m:t>a</m:t>
        </m:r>
        <m:r>
          <w:rPr>
            <w:rFonts w:ascii="Cambria Math" w:eastAsia="Times New Roman" w:hAnsi="Cambria Math" w:cs="Segoe UI"/>
            <w:color w:val="000000"/>
            <w:szCs w:val="16"/>
            <w:bdr w:val="none" w:sz="0" w:space="0" w:color="auto" w:frame="1"/>
            <w:shd w:val="clear" w:color="auto" w:fill="FFFFFF"/>
            <w:lang w:val="nl-NL" w:eastAsia="nl-NL"/>
          </w:rPr>
          <m:t>i</m:t>
        </m:r>
        <m:r>
          <w:rPr>
            <w:rFonts w:ascii="Cambria Math" w:eastAsia="Times New Roman" w:hAnsi="Cambria Math" w:cs="Segoe UI"/>
            <w:color w:val="000000"/>
            <w:sz w:val="24"/>
            <w:szCs w:val="23"/>
            <w:bdr w:val="none" w:sz="0" w:space="0" w:color="auto" w:frame="1"/>
            <w:shd w:val="clear" w:color="auto" w:fill="FFFFFF"/>
            <w:lang w:eastAsia="nl-NL"/>
          </w:rPr>
          <m:t>+</m:t>
        </m:r>
        <m:r>
          <w:rPr>
            <w:rFonts w:ascii="Cambria Math" w:eastAsia="Times New Roman" w:hAnsi="Cambria Math" w:cs="Segoe UI"/>
            <w:color w:val="000000"/>
            <w:sz w:val="24"/>
            <w:szCs w:val="23"/>
            <w:bdr w:val="none" w:sz="0" w:space="0" w:color="auto" w:frame="1"/>
            <w:shd w:val="clear" w:color="auto" w:fill="FFFFFF"/>
            <w:lang w:val="nl-NL" w:eastAsia="nl-NL"/>
          </w:rPr>
          <m:t>b</m:t>
        </m:r>
        <m:r>
          <w:rPr>
            <w:rFonts w:ascii="Cambria Math" w:eastAsia="Times New Roman" w:hAnsi="Cambria Math" w:cs="Segoe UI"/>
            <w:color w:val="000000"/>
            <w:sz w:val="18"/>
            <w:szCs w:val="16"/>
            <w:bdr w:val="none" w:sz="0" w:space="0" w:color="auto" w:frame="1"/>
            <w:shd w:val="clear" w:color="auto" w:fill="FFFFFF"/>
            <w:lang w:val="nl-NL" w:eastAsia="nl-NL"/>
          </w:rPr>
          <m:t>i</m:t>
        </m:r>
        <m:r>
          <w:rPr>
            <w:rFonts w:ascii="Cambria Math" w:eastAsia="Times New Roman" w:hAnsi="Cambria Math" w:cs="Cambria Math"/>
            <w:color w:val="000000"/>
            <w:sz w:val="24"/>
            <w:szCs w:val="23"/>
            <w:bdr w:val="none" w:sz="0" w:space="0" w:color="auto" w:frame="1"/>
            <w:shd w:val="clear" w:color="auto" w:fill="FFFFFF"/>
            <w:lang w:eastAsia="nl-NL"/>
          </w:rPr>
          <m:t>*</m:t>
        </m:r>
        <m:r>
          <w:rPr>
            <w:rFonts w:ascii="Cambria Math" w:eastAsia="Times New Roman" w:hAnsi="Cambria Math" w:cs="Segoe UI"/>
            <w:color w:val="000000"/>
            <w:sz w:val="24"/>
            <w:szCs w:val="23"/>
            <w:bdr w:val="none" w:sz="0" w:space="0" w:color="auto" w:frame="1"/>
            <w:shd w:val="clear" w:color="auto" w:fill="FFFFFF"/>
            <w:lang w:val="nl-NL" w:eastAsia="nl-NL"/>
          </w:rPr>
          <m:t>R</m:t>
        </m:r>
        <m:r>
          <w:rPr>
            <w:rFonts w:ascii="Cambria Math" w:eastAsia="Times New Roman" w:hAnsi="Cambria Math" w:cs="Segoe UI"/>
            <w:color w:val="000000"/>
            <w:sz w:val="18"/>
            <w:szCs w:val="16"/>
            <w:bdr w:val="none" w:sz="0" w:space="0" w:color="auto" w:frame="1"/>
            <w:shd w:val="clear" w:color="auto" w:fill="FFFFFF"/>
            <w:lang w:val="nl-NL" w:eastAsia="nl-NL"/>
          </w:rPr>
          <m:t>Mit</m:t>
        </m:r>
        <m:r>
          <w:rPr>
            <w:rFonts w:ascii="Cambria Math" w:eastAsia="Times New Roman" w:hAnsi="Cambria Math" w:cs="Segoe UI"/>
            <w:color w:val="000000"/>
            <w:sz w:val="24"/>
            <w:szCs w:val="23"/>
            <w:bdr w:val="none" w:sz="0" w:space="0" w:color="auto" w:frame="1"/>
            <w:shd w:val="clear" w:color="auto" w:fill="FFFFFF"/>
            <w:lang w:eastAsia="nl-NL"/>
          </w:rPr>
          <m:t>)</m:t>
        </m:r>
        <m:r>
          <w:rPr>
            <w:rFonts w:ascii="Cambria Math" w:eastAsiaTheme="minorEastAsia" w:hAnsi="Cambria Math"/>
            <w:color w:val="000000"/>
            <w:sz w:val="18"/>
            <w:szCs w:val="16"/>
            <w:bdr w:val="none" w:sz="0" w:space="0" w:color="auto" w:frame="1"/>
            <w:shd w:val="clear" w:color="auto" w:fill="FFFFFF"/>
            <w:lang w:eastAsia="nl-NL"/>
          </w:rPr>
          <m:t xml:space="preserve"> </m:t>
        </m:r>
      </m:oMath>
      <w:r w:rsidR="00780EBE" w:rsidRPr="00147D59">
        <w:rPr>
          <w:rFonts w:eastAsiaTheme="minorEastAsia"/>
          <w:color w:val="000000"/>
          <w:sz w:val="18"/>
          <w:szCs w:val="16"/>
          <w:bdr w:val="none" w:sz="0" w:space="0" w:color="auto" w:frame="1"/>
          <w:shd w:val="clear" w:color="auto" w:fill="FFFFFF"/>
          <w:lang w:eastAsia="nl-NL"/>
        </w:rPr>
        <w:tab/>
      </w:r>
      <w:r w:rsidR="00780EBE" w:rsidRPr="00147D59">
        <w:rPr>
          <w:rFonts w:eastAsiaTheme="minorEastAsia"/>
          <w:color w:val="000000"/>
          <w:sz w:val="18"/>
          <w:szCs w:val="16"/>
          <w:bdr w:val="none" w:sz="0" w:space="0" w:color="auto" w:frame="1"/>
          <w:shd w:val="clear" w:color="auto" w:fill="FFFFFF"/>
          <w:lang w:eastAsia="nl-NL"/>
        </w:rPr>
        <w:tab/>
      </w:r>
      <w:r w:rsidR="00780EBE" w:rsidRPr="00147D59">
        <w:rPr>
          <w:rFonts w:eastAsiaTheme="minorEastAsia"/>
          <w:color w:val="000000"/>
          <w:sz w:val="18"/>
          <w:szCs w:val="16"/>
          <w:bdr w:val="none" w:sz="0" w:space="0" w:color="auto" w:frame="1"/>
          <w:shd w:val="clear" w:color="auto" w:fill="FFFFFF"/>
          <w:lang w:eastAsia="nl-NL"/>
        </w:rPr>
        <w:tab/>
      </w:r>
      <w:r w:rsidR="00780EBE" w:rsidRPr="00147D59">
        <w:rPr>
          <w:rFonts w:eastAsiaTheme="minorEastAsia"/>
          <w:color w:val="000000"/>
          <w:sz w:val="18"/>
          <w:szCs w:val="16"/>
          <w:bdr w:val="none" w:sz="0" w:space="0" w:color="auto" w:frame="1"/>
          <w:shd w:val="clear" w:color="auto" w:fill="FFFFFF"/>
          <w:lang w:eastAsia="nl-NL"/>
        </w:rPr>
        <w:tab/>
      </w:r>
      <w:r w:rsidR="00780EBE" w:rsidRPr="00147D59">
        <w:rPr>
          <w:rFonts w:eastAsiaTheme="minorEastAsia"/>
          <w:color w:val="000000"/>
          <w:sz w:val="24"/>
          <w:szCs w:val="16"/>
          <w:bdr w:val="none" w:sz="0" w:space="0" w:color="auto" w:frame="1"/>
          <w:shd w:val="clear" w:color="auto" w:fill="FFFFFF"/>
          <w:lang w:eastAsia="nl-NL"/>
        </w:rPr>
        <w:t>(2)</w:t>
      </w:r>
    </w:p>
    <w:p w:rsidR="006833BA" w:rsidRPr="00147D59" w:rsidRDefault="00345535" w:rsidP="005E19AF">
      <w:pPr>
        <w:tabs>
          <w:tab w:val="center" w:pos="4680"/>
          <w:tab w:val="left" w:pos="6613"/>
        </w:tabs>
        <w:spacing w:after="0" w:line="240" w:lineRule="auto"/>
        <w:jc w:val="both"/>
        <w:rPr>
          <w:rFonts w:eastAsiaTheme="minorEastAsia"/>
          <w:color w:val="000000"/>
          <w:sz w:val="32"/>
          <w:szCs w:val="16"/>
          <w:bdr w:val="none" w:sz="0" w:space="0" w:color="auto" w:frame="1"/>
          <w:shd w:val="clear" w:color="auto" w:fill="FFFFFF"/>
          <w:lang w:eastAsia="nl-NL"/>
        </w:rPr>
      </w:pPr>
      <w:r w:rsidRPr="00147D59">
        <w:rPr>
          <w:rFonts w:eastAsiaTheme="minorEastAsia"/>
          <w:color w:val="000000"/>
          <w:sz w:val="16"/>
          <w:szCs w:val="16"/>
          <w:bdr w:val="none" w:sz="0" w:space="0" w:color="auto" w:frame="1"/>
          <w:shd w:val="clear" w:color="auto" w:fill="FFFFFF"/>
          <w:lang w:eastAsia="nl-NL"/>
        </w:rPr>
        <w:t xml:space="preserve">                                                    </w:t>
      </w:r>
    </w:p>
    <w:p w:rsidR="00345535" w:rsidRPr="00147D59" w:rsidRDefault="00345535" w:rsidP="005E19AF">
      <w:pPr>
        <w:tabs>
          <w:tab w:val="center" w:pos="4680"/>
          <w:tab w:val="left" w:pos="6613"/>
        </w:tabs>
        <w:spacing w:after="0" w:line="240" w:lineRule="auto"/>
        <w:jc w:val="both"/>
        <w:rPr>
          <w:rFonts w:eastAsiaTheme="minorEastAsia"/>
          <w:color w:val="000000"/>
          <w:sz w:val="24"/>
          <w:szCs w:val="16"/>
          <w:bdr w:val="none" w:sz="0" w:space="0" w:color="auto" w:frame="1"/>
          <w:shd w:val="clear" w:color="auto" w:fill="FFFFFF"/>
          <w:lang w:eastAsia="nl-NL"/>
        </w:rPr>
      </w:pPr>
    </w:p>
    <w:p w:rsidR="00A37DB6" w:rsidRPr="00147D59" w:rsidRDefault="00A37DB6" w:rsidP="005E19AF">
      <w:pPr>
        <w:jc w:val="both"/>
        <w:rPr>
          <w:sz w:val="24"/>
        </w:rPr>
      </w:pPr>
      <w:r w:rsidRPr="00147D59">
        <w:rPr>
          <w:rFonts w:eastAsiaTheme="minorEastAsia"/>
          <w:color w:val="000000"/>
          <w:sz w:val="24"/>
          <w:szCs w:val="16"/>
          <w:bdr w:val="none" w:sz="0" w:space="0" w:color="auto" w:frame="1"/>
          <w:shd w:val="clear" w:color="auto" w:fill="FFFFFF"/>
          <w:lang w:eastAsia="nl-NL"/>
        </w:rPr>
        <w:t xml:space="preserve">Where </w:t>
      </w:r>
      <m:oMath>
        <m:r>
          <w:rPr>
            <w:rFonts w:ascii="Cambria Math" w:eastAsia="Times New Roman" w:hAnsi="Cambria Math" w:cs="Segoe UI"/>
            <w:color w:val="000000"/>
            <w:sz w:val="24"/>
            <w:szCs w:val="23"/>
            <w:bdr w:val="none" w:sz="0" w:space="0" w:color="auto" w:frame="1"/>
            <w:shd w:val="clear" w:color="auto" w:fill="FFFFFF"/>
            <w:lang w:val="nl-NL" w:eastAsia="nl-NL"/>
          </w:rPr>
          <m:t>AR</m:t>
        </m:r>
        <m:r>
          <w:rPr>
            <w:rFonts w:ascii="Cambria Math" w:eastAsia="Times New Roman" w:hAnsi="Cambria Math" w:cs="Segoe UI"/>
            <w:color w:val="000000"/>
            <w:sz w:val="20"/>
            <w:szCs w:val="16"/>
            <w:bdr w:val="none" w:sz="0" w:space="0" w:color="auto" w:frame="1"/>
            <w:shd w:val="clear" w:color="auto" w:fill="FFFFFF"/>
            <w:lang w:val="nl-NL" w:eastAsia="nl-NL"/>
          </w:rPr>
          <m:t>i</m:t>
        </m:r>
        <m:r>
          <w:rPr>
            <w:rFonts w:ascii="Cambria Math" w:eastAsia="Times New Roman" w:hAnsi="Cambria Math" w:cs="Segoe UI"/>
            <w:color w:val="000000"/>
            <w:sz w:val="20"/>
            <w:szCs w:val="16"/>
            <w:bdr w:val="none" w:sz="0" w:space="0" w:color="auto" w:frame="1"/>
            <w:shd w:val="clear" w:color="auto" w:fill="FFFFFF"/>
            <w:lang w:eastAsia="nl-NL"/>
          </w:rPr>
          <m:t>t</m:t>
        </m:r>
      </m:oMath>
      <w:r w:rsidRPr="00147D59">
        <w:rPr>
          <w:rFonts w:eastAsiaTheme="minorEastAsia"/>
          <w:color w:val="000000"/>
          <w:sz w:val="20"/>
          <w:szCs w:val="16"/>
          <w:bdr w:val="none" w:sz="0" w:space="0" w:color="auto" w:frame="1"/>
          <w:shd w:val="clear" w:color="auto" w:fill="FFFFFF"/>
          <w:lang w:eastAsia="nl-NL"/>
        </w:rPr>
        <w:t xml:space="preserve"> </w:t>
      </w:r>
      <w:r w:rsidRPr="00147D59">
        <w:rPr>
          <w:rFonts w:eastAsiaTheme="minorEastAsia"/>
          <w:color w:val="000000"/>
          <w:sz w:val="24"/>
          <w:szCs w:val="16"/>
          <w:bdr w:val="none" w:sz="0" w:space="0" w:color="auto" w:frame="1"/>
          <w:shd w:val="clear" w:color="auto" w:fill="FFFFFF"/>
          <w:lang w:eastAsia="nl-NL"/>
        </w:rPr>
        <w:t xml:space="preserve"> </w:t>
      </w:r>
      <w:r w:rsidRPr="00147D59">
        <w:rPr>
          <w:sz w:val="24"/>
        </w:rPr>
        <w:t xml:space="preserve">is the abnormal return for day </w:t>
      </w:r>
      <w:r w:rsidRPr="00147D59">
        <w:rPr>
          <w:i/>
          <w:sz w:val="24"/>
        </w:rPr>
        <w:t xml:space="preserve">t </w:t>
      </w:r>
      <w:r w:rsidRPr="00147D59">
        <w:rPr>
          <w:sz w:val="24"/>
        </w:rPr>
        <w:t xml:space="preserve">for firm </w:t>
      </w:r>
      <w:r w:rsidRPr="00147D59">
        <w:rPr>
          <w:i/>
          <w:sz w:val="24"/>
        </w:rPr>
        <w:t xml:space="preserve">i </w:t>
      </w:r>
      <w:r w:rsidRPr="00147D59">
        <w:rPr>
          <w:sz w:val="24"/>
        </w:rPr>
        <w:t xml:space="preserve">in event window [-10,10] and </w:t>
      </w:r>
      <m:oMath>
        <m:sSubSup>
          <m:sSubSupPr>
            <m:ctrlPr>
              <w:rPr>
                <w:rFonts w:ascii="Cambria Math" w:eastAsia="Times New Roman" w:hAnsi="Cambria Math" w:cs="Segoe UI"/>
                <w:i/>
                <w:color w:val="000000"/>
                <w:sz w:val="24"/>
                <w:szCs w:val="23"/>
                <w:bdr w:val="none" w:sz="0" w:space="0" w:color="auto" w:frame="1"/>
                <w:shd w:val="clear" w:color="auto" w:fill="FFFFFF"/>
                <w:lang w:val="nl-NL" w:eastAsia="nl-NL"/>
              </w:rPr>
            </m:ctrlPr>
          </m:sSubSupPr>
          <m:e>
            <m:r>
              <w:rPr>
                <w:rFonts w:ascii="Cambria Math" w:eastAsia="Times New Roman" w:hAnsi="Cambria Math" w:cs="Segoe UI"/>
                <w:color w:val="000000"/>
                <w:sz w:val="24"/>
                <w:szCs w:val="23"/>
                <w:bdr w:val="none" w:sz="0" w:space="0" w:color="auto" w:frame="1"/>
                <w:shd w:val="clear" w:color="auto" w:fill="FFFFFF"/>
                <w:lang w:val="nl-NL" w:eastAsia="nl-NL"/>
              </w:rPr>
              <m:t>R</m:t>
            </m:r>
          </m:e>
          <m:sub>
            <m:r>
              <w:rPr>
                <w:rFonts w:ascii="Cambria Math" w:eastAsia="Times New Roman" w:hAnsi="Cambria Math" w:cs="Segoe UI"/>
                <w:color w:val="000000"/>
                <w:sz w:val="24"/>
                <w:szCs w:val="23"/>
                <w:bdr w:val="none" w:sz="0" w:space="0" w:color="auto" w:frame="1"/>
                <w:shd w:val="clear" w:color="auto" w:fill="FFFFFF"/>
                <w:lang w:val="nl-NL" w:eastAsia="nl-NL"/>
              </w:rPr>
              <m:t>it</m:t>
            </m:r>
          </m:sub>
          <m:sup>
            <m:r>
              <w:rPr>
                <w:rFonts w:ascii="Cambria Math" w:eastAsia="Times New Roman" w:hAnsi="Cambria Math" w:cs="Segoe UI"/>
                <w:color w:val="000000"/>
                <w:sz w:val="24"/>
                <w:szCs w:val="23"/>
                <w:bdr w:val="none" w:sz="0" w:space="0" w:color="auto" w:frame="1"/>
                <w:shd w:val="clear" w:color="auto" w:fill="FFFFFF"/>
                <w:lang w:eastAsia="nl-NL"/>
              </w:rPr>
              <m:t>*</m:t>
            </m:r>
          </m:sup>
        </m:sSubSup>
      </m:oMath>
      <w:r w:rsidRPr="00147D59">
        <w:rPr>
          <w:rFonts w:eastAsiaTheme="minorEastAsia"/>
          <w:color w:val="000000"/>
          <w:sz w:val="24"/>
          <w:szCs w:val="23"/>
          <w:bdr w:val="none" w:sz="0" w:space="0" w:color="auto" w:frame="1"/>
          <w:shd w:val="clear" w:color="auto" w:fill="FFFFFF"/>
          <w:lang w:eastAsia="nl-NL"/>
        </w:rPr>
        <w:t xml:space="preserve"> is the realized return on day </w:t>
      </w:r>
      <w:r w:rsidRPr="00147D59">
        <w:rPr>
          <w:rFonts w:eastAsiaTheme="minorEastAsia"/>
          <w:i/>
          <w:color w:val="000000"/>
          <w:sz w:val="24"/>
          <w:szCs w:val="23"/>
          <w:bdr w:val="none" w:sz="0" w:space="0" w:color="auto" w:frame="1"/>
          <w:shd w:val="clear" w:color="auto" w:fill="FFFFFF"/>
          <w:lang w:eastAsia="nl-NL"/>
        </w:rPr>
        <w:t xml:space="preserve">t </w:t>
      </w:r>
      <w:r w:rsidRPr="00147D59">
        <w:rPr>
          <w:rFonts w:eastAsiaTheme="minorEastAsia"/>
          <w:color w:val="000000"/>
          <w:sz w:val="24"/>
          <w:szCs w:val="23"/>
          <w:bdr w:val="none" w:sz="0" w:space="0" w:color="auto" w:frame="1"/>
          <w:shd w:val="clear" w:color="auto" w:fill="FFFFFF"/>
          <w:lang w:eastAsia="nl-NL"/>
        </w:rPr>
        <w:t xml:space="preserve">for firm </w:t>
      </w:r>
      <w:r w:rsidRPr="00147D59">
        <w:rPr>
          <w:rFonts w:eastAsiaTheme="minorEastAsia"/>
          <w:i/>
          <w:color w:val="000000"/>
          <w:sz w:val="24"/>
          <w:szCs w:val="23"/>
          <w:bdr w:val="none" w:sz="0" w:space="0" w:color="auto" w:frame="1"/>
          <w:shd w:val="clear" w:color="auto" w:fill="FFFFFF"/>
          <w:lang w:eastAsia="nl-NL"/>
        </w:rPr>
        <w:t xml:space="preserve">i. </w:t>
      </w:r>
    </w:p>
    <w:p w:rsidR="00A37DB6" w:rsidRPr="00147D59" w:rsidRDefault="00A37DB6" w:rsidP="005E19AF">
      <w:pPr>
        <w:spacing w:line="360" w:lineRule="auto"/>
        <w:jc w:val="both"/>
        <w:rPr>
          <w:sz w:val="24"/>
          <w:bdr w:val="none" w:sz="0" w:space="0" w:color="auto" w:frame="1"/>
          <w:shd w:val="clear" w:color="auto" w:fill="FFFFFF"/>
          <w:lang w:eastAsia="nl-NL"/>
        </w:rPr>
      </w:pPr>
      <w:r w:rsidRPr="00147D59">
        <w:rPr>
          <w:sz w:val="24"/>
          <w:bdr w:val="none" w:sz="0" w:space="0" w:color="auto" w:frame="1"/>
          <w:shd w:val="clear" w:color="auto" w:fill="FFFFFF"/>
          <w:lang w:eastAsia="nl-NL"/>
        </w:rPr>
        <w:t xml:space="preserve">When </w:t>
      </w:r>
      <w:r w:rsidR="005D2BE9" w:rsidRPr="00147D59">
        <w:rPr>
          <w:sz w:val="24"/>
          <w:bdr w:val="none" w:sz="0" w:space="0" w:color="auto" w:frame="1"/>
          <w:shd w:val="clear" w:color="auto" w:fill="FFFFFF"/>
          <w:lang w:eastAsia="nl-NL"/>
        </w:rPr>
        <w:t>established</w:t>
      </w:r>
      <w:r w:rsidRPr="00147D59">
        <w:rPr>
          <w:sz w:val="24"/>
          <w:bdr w:val="none" w:sz="0" w:space="0" w:color="auto" w:frame="1"/>
          <w:shd w:val="clear" w:color="auto" w:fill="FFFFFF"/>
          <w:lang w:eastAsia="nl-NL"/>
        </w:rPr>
        <w:t xml:space="preserve"> the abnormal returns,</w:t>
      </w:r>
      <w:r w:rsidR="009B4575" w:rsidRPr="00147D59">
        <w:rPr>
          <w:sz w:val="24"/>
          <w:bdr w:val="none" w:sz="0" w:space="0" w:color="auto" w:frame="1"/>
          <w:shd w:val="clear" w:color="auto" w:fill="FFFFFF"/>
          <w:lang w:eastAsia="nl-NL"/>
        </w:rPr>
        <w:t xml:space="preserve"> the cumulative abnormal return (CAR) can be estimated for</w:t>
      </w:r>
      <w:r w:rsidRPr="00147D59">
        <w:rPr>
          <w:sz w:val="24"/>
          <w:bdr w:val="none" w:sz="0" w:space="0" w:color="auto" w:frame="1"/>
          <w:shd w:val="clear" w:color="auto" w:fill="FFFFFF"/>
          <w:lang w:eastAsia="nl-NL"/>
        </w:rPr>
        <w:t xml:space="preserve"> days in the </w:t>
      </w:r>
      <w:r w:rsidR="009B4575" w:rsidRPr="00147D59">
        <w:rPr>
          <w:sz w:val="24"/>
          <w:bdr w:val="none" w:sz="0" w:space="0" w:color="auto" w:frame="1"/>
          <w:shd w:val="clear" w:color="auto" w:fill="FFFFFF"/>
          <w:lang w:eastAsia="nl-NL"/>
        </w:rPr>
        <w:t xml:space="preserve">event window. </w:t>
      </w:r>
      <w:r w:rsidRPr="00147D59">
        <w:rPr>
          <w:sz w:val="24"/>
          <w:bdr w:val="none" w:sz="0" w:space="0" w:color="auto" w:frame="1"/>
          <w:shd w:val="clear" w:color="auto" w:fill="FFFFFF"/>
          <w:lang w:eastAsia="nl-NL"/>
        </w:rPr>
        <w:t>Which is given in the following formula</w:t>
      </w:r>
      <w:r w:rsidR="009B4575" w:rsidRPr="00147D59">
        <w:rPr>
          <w:sz w:val="24"/>
          <w:bdr w:val="none" w:sz="0" w:space="0" w:color="auto" w:frame="1"/>
          <w:shd w:val="clear" w:color="auto" w:fill="FFFFFF"/>
          <w:lang w:eastAsia="nl-NL"/>
        </w:rPr>
        <w:t xml:space="preserve"> (3)</w:t>
      </w:r>
      <w:r w:rsidRPr="00147D59">
        <w:rPr>
          <w:sz w:val="24"/>
          <w:bdr w:val="none" w:sz="0" w:space="0" w:color="auto" w:frame="1"/>
          <w:shd w:val="clear" w:color="auto" w:fill="FFFFFF"/>
          <w:lang w:eastAsia="nl-NL"/>
        </w:rPr>
        <w:t>:</w:t>
      </w:r>
    </w:p>
    <w:p w:rsidR="00A37DB6" w:rsidRPr="00147D59" w:rsidRDefault="000317E8" w:rsidP="005E19AF">
      <w:pPr>
        <w:spacing w:line="360" w:lineRule="auto"/>
        <w:jc w:val="right"/>
        <w:rPr>
          <w:rFonts w:eastAsiaTheme="minorEastAsia"/>
          <w:bdr w:val="none" w:sz="0" w:space="0" w:color="auto" w:frame="1"/>
          <w:shd w:val="clear" w:color="auto" w:fill="FFFFFF"/>
          <w:lang w:eastAsia="nl-NL"/>
        </w:rPr>
      </w:pPr>
      <m:oMath>
        <m:sSub>
          <m:sSubPr>
            <m:ctrlPr>
              <w:rPr>
                <w:rFonts w:ascii="Cambria Math" w:hAnsi="Cambria Math"/>
                <w:i/>
                <w:bdr w:val="none" w:sz="0" w:space="0" w:color="auto" w:frame="1"/>
                <w:shd w:val="clear" w:color="auto" w:fill="FFFFFF"/>
                <w:lang w:eastAsia="nl-NL"/>
              </w:rPr>
            </m:ctrlPr>
          </m:sSubPr>
          <m:e>
            <m:r>
              <w:rPr>
                <w:rFonts w:ascii="Cambria Math" w:hAnsi="Cambria Math"/>
                <w:bdr w:val="none" w:sz="0" w:space="0" w:color="auto" w:frame="1"/>
                <w:shd w:val="clear" w:color="auto" w:fill="FFFFFF"/>
                <w:lang w:eastAsia="nl-NL"/>
              </w:rPr>
              <m:t>CAR</m:t>
            </m:r>
          </m:e>
          <m:sub>
            <m:r>
              <w:rPr>
                <w:rFonts w:ascii="Cambria Math" w:hAnsi="Cambria Math"/>
                <w:bdr w:val="none" w:sz="0" w:space="0" w:color="auto" w:frame="1"/>
                <w:shd w:val="clear" w:color="auto" w:fill="FFFFFF"/>
                <w:lang w:eastAsia="nl-NL"/>
              </w:rPr>
              <m:t>[K,L]</m:t>
            </m:r>
          </m:sub>
        </m:sSub>
        <m:r>
          <w:rPr>
            <w:rFonts w:ascii="Cambria Math" w:hAnsi="Cambria Math"/>
            <w:bdr w:val="none" w:sz="0" w:space="0" w:color="auto" w:frame="1"/>
            <w:shd w:val="clear" w:color="auto" w:fill="FFFFFF"/>
            <w:lang w:eastAsia="nl-NL"/>
          </w:rPr>
          <m:t>=</m:t>
        </m:r>
        <m:sSub>
          <m:sSubPr>
            <m:ctrlPr>
              <w:rPr>
                <w:rFonts w:ascii="Cambria Math" w:eastAsiaTheme="minorEastAsia" w:hAnsi="Cambria Math"/>
                <w:i/>
                <w:bdr w:val="none" w:sz="0" w:space="0" w:color="auto" w:frame="1"/>
                <w:shd w:val="clear" w:color="auto" w:fill="FFFFFF"/>
                <w:lang w:eastAsia="nl-NL"/>
              </w:rPr>
            </m:ctrlPr>
          </m:sSubPr>
          <m:e>
            <m:r>
              <w:rPr>
                <w:rFonts w:ascii="Cambria Math" w:eastAsiaTheme="minorEastAsia" w:hAnsi="Cambria Math"/>
                <w:bdr w:val="none" w:sz="0" w:space="0" w:color="auto" w:frame="1"/>
                <w:shd w:val="clear" w:color="auto" w:fill="FFFFFF"/>
                <w:lang w:eastAsia="nl-NL"/>
              </w:rPr>
              <m:t>AR</m:t>
            </m:r>
          </m:e>
          <m:sub>
            <m:r>
              <w:rPr>
                <w:rFonts w:ascii="Cambria Math" w:eastAsiaTheme="minorEastAsia" w:hAnsi="Cambria Math"/>
                <w:bdr w:val="none" w:sz="0" w:space="0" w:color="auto" w:frame="1"/>
                <w:shd w:val="clear" w:color="auto" w:fill="FFFFFF"/>
                <w:lang w:eastAsia="nl-NL"/>
              </w:rPr>
              <m:t>iK</m:t>
            </m:r>
          </m:sub>
        </m:sSub>
        <m:r>
          <w:rPr>
            <w:rFonts w:ascii="Cambria Math" w:eastAsiaTheme="minorEastAsia" w:hAnsi="Cambria Math"/>
            <w:bdr w:val="none" w:sz="0" w:space="0" w:color="auto" w:frame="1"/>
            <w:shd w:val="clear" w:color="auto" w:fill="FFFFFF"/>
            <w:lang w:eastAsia="nl-NL"/>
          </w:rPr>
          <m:t>+…</m:t>
        </m:r>
        <m:sSub>
          <m:sSubPr>
            <m:ctrlPr>
              <w:rPr>
                <w:rFonts w:ascii="Cambria Math" w:eastAsiaTheme="minorEastAsia" w:hAnsi="Cambria Math"/>
                <w:i/>
                <w:bdr w:val="none" w:sz="0" w:space="0" w:color="auto" w:frame="1"/>
                <w:shd w:val="clear" w:color="auto" w:fill="FFFFFF"/>
                <w:lang w:eastAsia="nl-NL"/>
              </w:rPr>
            </m:ctrlPr>
          </m:sSubPr>
          <m:e>
            <m:r>
              <w:rPr>
                <w:rFonts w:ascii="Cambria Math" w:eastAsiaTheme="minorEastAsia" w:hAnsi="Cambria Math"/>
                <w:bdr w:val="none" w:sz="0" w:space="0" w:color="auto" w:frame="1"/>
                <w:shd w:val="clear" w:color="auto" w:fill="FFFFFF"/>
                <w:lang w:eastAsia="nl-NL"/>
              </w:rPr>
              <m:t>+AR</m:t>
            </m:r>
          </m:e>
          <m:sub>
            <m:r>
              <w:rPr>
                <w:rFonts w:ascii="Cambria Math" w:eastAsiaTheme="minorEastAsia" w:hAnsi="Cambria Math"/>
                <w:bdr w:val="none" w:sz="0" w:space="0" w:color="auto" w:frame="1"/>
                <w:shd w:val="clear" w:color="auto" w:fill="FFFFFF"/>
                <w:lang w:eastAsia="nl-NL"/>
              </w:rPr>
              <m:t>iL</m:t>
            </m:r>
          </m:sub>
        </m:sSub>
      </m:oMath>
      <w:r w:rsidR="009B4575" w:rsidRPr="00147D59">
        <w:rPr>
          <w:rFonts w:eastAsiaTheme="minorEastAsia"/>
          <w:bdr w:val="none" w:sz="0" w:space="0" w:color="auto" w:frame="1"/>
          <w:shd w:val="clear" w:color="auto" w:fill="FFFFFF"/>
          <w:lang w:eastAsia="nl-NL"/>
        </w:rPr>
        <w:tab/>
      </w:r>
      <w:r w:rsidR="009B4575" w:rsidRPr="00147D59">
        <w:rPr>
          <w:rFonts w:eastAsiaTheme="minorEastAsia"/>
          <w:bdr w:val="none" w:sz="0" w:space="0" w:color="auto" w:frame="1"/>
          <w:shd w:val="clear" w:color="auto" w:fill="FFFFFF"/>
          <w:lang w:eastAsia="nl-NL"/>
        </w:rPr>
        <w:tab/>
      </w:r>
      <w:r w:rsidR="009B4575" w:rsidRPr="00147D59">
        <w:rPr>
          <w:rFonts w:eastAsiaTheme="minorEastAsia"/>
          <w:bdr w:val="none" w:sz="0" w:space="0" w:color="auto" w:frame="1"/>
          <w:shd w:val="clear" w:color="auto" w:fill="FFFFFF"/>
          <w:lang w:eastAsia="nl-NL"/>
        </w:rPr>
        <w:tab/>
      </w:r>
      <w:r w:rsidR="009B4575" w:rsidRPr="00147D59">
        <w:rPr>
          <w:rFonts w:eastAsiaTheme="minorEastAsia"/>
          <w:bdr w:val="none" w:sz="0" w:space="0" w:color="auto" w:frame="1"/>
          <w:shd w:val="clear" w:color="auto" w:fill="FFFFFF"/>
          <w:lang w:eastAsia="nl-NL"/>
        </w:rPr>
        <w:tab/>
      </w:r>
      <w:r w:rsidR="009B4575" w:rsidRPr="00147D59">
        <w:rPr>
          <w:rFonts w:eastAsiaTheme="minorEastAsia"/>
          <w:bdr w:val="none" w:sz="0" w:space="0" w:color="auto" w:frame="1"/>
          <w:shd w:val="clear" w:color="auto" w:fill="FFFFFF"/>
          <w:lang w:eastAsia="nl-NL"/>
        </w:rPr>
        <w:tab/>
      </w:r>
      <w:r w:rsidR="009B4575" w:rsidRPr="00147D59">
        <w:rPr>
          <w:rFonts w:eastAsiaTheme="minorEastAsia"/>
          <w:sz w:val="24"/>
          <w:bdr w:val="none" w:sz="0" w:space="0" w:color="auto" w:frame="1"/>
          <w:shd w:val="clear" w:color="auto" w:fill="FFFFFF"/>
          <w:lang w:eastAsia="nl-NL"/>
        </w:rPr>
        <w:t>(3)</w:t>
      </w:r>
    </w:p>
    <w:p w:rsidR="00D84A19" w:rsidRPr="00147D59" w:rsidRDefault="009B4575" w:rsidP="005E19AF">
      <w:pPr>
        <w:spacing w:line="360" w:lineRule="auto"/>
        <w:jc w:val="both"/>
        <w:rPr>
          <w:sz w:val="24"/>
          <w:bdr w:val="none" w:sz="0" w:space="0" w:color="auto" w:frame="1"/>
          <w:shd w:val="clear" w:color="auto" w:fill="FFFFFF"/>
          <w:lang w:eastAsia="nl-NL"/>
        </w:rPr>
      </w:pPr>
      <w:r w:rsidRPr="00147D59">
        <w:rPr>
          <w:sz w:val="24"/>
          <w:bdr w:val="none" w:sz="0" w:space="0" w:color="auto" w:frame="1"/>
          <w:shd w:val="clear" w:color="auto" w:fill="FFFFFF"/>
          <w:lang w:eastAsia="nl-NL"/>
        </w:rPr>
        <w:t>The CAR consists of</w:t>
      </w:r>
      <w:r w:rsidR="00D84A19" w:rsidRPr="00147D59">
        <w:rPr>
          <w:sz w:val="24"/>
          <w:bdr w:val="none" w:sz="0" w:space="0" w:color="auto" w:frame="1"/>
          <w:shd w:val="clear" w:color="auto" w:fill="FFFFFF"/>
          <w:lang w:eastAsia="nl-NL"/>
        </w:rPr>
        <w:t xml:space="preserve"> the sum of the abnormal returns of</w:t>
      </w:r>
      <w:r w:rsidRPr="00147D59">
        <w:rPr>
          <w:sz w:val="24"/>
          <w:bdr w:val="none" w:sz="0" w:space="0" w:color="auto" w:frame="1"/>
          <w:shd w:val="clear" w:color="auto" w:fill="FFFFFF"/>
          <w:lang w:eastAsia="nl-NL"/>
        </w:rPr>
        <w:t xml:space="preserve"> the</w:t>
      </w:r>
      <w:r w:rsidR="00780EBE" w:rsidRPr="00147D59">
        <w:rPr>
          <w:sz w:val="24"/>
          <w:bdr w:val="none" w:sz="0" w:space="0" w:color="auto" w:frame="1"/>
          <w:shd w:val="clear" w:color="auto" w:fill="FFFFFF"/>
          <w:lang w:eastAsia="nl-NL"/>
        </w:rPr>
        <w:t xml:space="preserve"> consecutive</w:t>
      </w:r>
      <w:r w:rsidRPr="00147D59">
        <w:rPr>
          <w:sz w:val="24"/>
          <w:bdr w:val="none" w:sz="0" w:space="0" w:color="auto" w:frame="1"/>
          <w:shd w:val="clear" w:color="auto" w:fill="FFFFFF"/>
          <w:lang w:eastAsia="nl-NL"/>
        </w:rPr>
        <w:t xml:space="preserve"> days</w:t>
      </w:r>
      <w:r w:rsidR="00B01587" w:rsidRPr="00147D59">
        <w:rPr>
          <w:sz w:val="24"/>
          <w:bdr w:val="none" w:sz="0" w:space="0" w:color="auto" w:frame="1"/>
          <w:shd w:val="clear" w:color="auto" w:fill="FFFFFF"/>
          <w:lang w:eastAsia="nl-NL"/>
        </w:rPr>
        <w:t xml:space="preserve"> </w:t>
      </w:r>
      <w:r w:rsidRPr="00147D59">
        <w:rPr>
          <w:sz w:val="24"/>
          <w:bdr w:val="none" w:sz="0" w:space="0" w:color="auto" w:frame="1"/>
          <w:shd w:val="clear" w:color="auto" w:fill="FFFFFF"/>
          <w:lang w:eastAsia="nl-NL"/>
        </w:rPr>
        <w:t xml:space="preserve">[K, L] in </w:t>
      </w:r>
      <w:r w:rsidR="00B01587" w:rsidRPr="00147D59">
        <w:rPr>
          <w:sz w:val="24"/>
          <w:bdr w:val="none" w:sz="0" w:space="0" w:color="auto" w:frame="1"/>
          <w:shd w:val="clear" w:color="auto" w:fill="FFFFFF"/>
          <w:lang w:eastAsia="nl-NL"/>
        </w:rPr>
        <w:t xml:space="preserve">the </w:t>
      </w:r>
      <w:r w:rsidRPr="00147D59">
        <w:rPr>
          <w:sz w:val="24"/>
          <w:bdr w:val="none" w:sz="0" w:space="0" w:color="auto" w:frame="1"/>
          <w:shd w:val="clear" w:color="auto" w:fill="FFFFFF"/>
          <w:lang w:eastAsia="nl-NL"/>
        </w:rPr>
        <w:t>event window which are statistically significant</w:t>
      </w:r>
      <w:r w:rsidR="00D84A19" w:rsidRPr="00147D59">
        <w:rPr>
          <w:sz w:val="24"/>
          <w:bdr w:val="none" w:sz="0" w:space="0" w:color="auto" w:frame="1"/>
          <w:shd w:val="clear" w:color="auto" w:fill="FFFFFF"/>
          <w:lang w:eastAsia="nl-NL"/>
        </w:rPr>
        <w:t xml:space="preserve"> different from zero. To test for significance </w:t>
      </w:r>
      <w:r w:rsidR="00364C1D" w:rsidRPr="00147D59">
        <w:rPr>
          <w:sz w:val="24"/>
          <w:bdr w:val="none" w:sz="0" w:space="0" w:color="auto" w:frame="1"/>
          <w:shd w:val="clear" w:color="auto" w:fill="FFFFFF"/>
          <w:lang w:eastAsia="nl-NL"/>
        </w:rPr>
        <w:t xml:space="preserve">a t-test is used. </w:t>
      </w:r>
    </w:p>
    <w:p w:rsidR="00AA2459" w:rsidRPr="00147D59" w:rsidRDefault="00030262" w:rsidP="005E19AF">
      <w:pPr>
        <w:spacing w:line="360" w:lineRule="auto"/>
        <w:ind w:left="2880" w:firstLine="720"/>
        <w:jc w:val="both"/>
        <w:rPr>
          <w:sz w:val="24"/>
          <w:bdr w:val="none" w:sz="0" w:space="0" w:color="auto" w:frame="1"/>
          <w:shd w:val="clear" w:color="auto" w:fill="FFFFFF"/>
          <w:lang w:eastAsia="nl-NL"/>
        </w:rPr>
      </w:pPr>
      <w:r>
        <w:rPr>
          <w:rFonts w:eastAsiaTheme="minorEastAsia"/>
          <w:sz w:val="24"/>
          <w:bdr w:val="none" w:sz="0" w:space="0" w:color="auto" w:frame="1"/>
          <w:shd w:val="clear" w:color="auto" w:fill="FFFFFF"/>
          <w:lang w:eastAsia="nl-NL"/>
        </w:rPr>
        <w:t xml:space="preserve">  </w:t>
      </w:r>
      <m:oMath>
        <m:r>
          <w:rPr>
            <w:rFonts w:ascii="Cambria Math" w:hAnsi="Cambria Math"/>
            <w:sz w:val="24"/>
            <w:bdr w:val="none" w:sz="0" w:space="0" w:color="auto" w:frame="1"/>
            <w:shd w:val="clear" w:color="auto" w:fill="FFFFFF"/>
            <w:lang w:eastAsia="nl-NL"/>
          </w:rPr>
          <m:t xml:space="preserve">T-test= </m:t>
        </m:r>
        <m:f>
          <m:fPr>
            <m:ctrlPr>
              <w:rPr>
                <w:rFonts w:ascii="Cambria Math" w:hAnsi="Cambria Math"/>
                <w:i/>
                <w:sz w:val="24"/>
                <w:bdr w:val="none" w:sz="0" w:space="0" w:color="auto" w:frame="1"/>
                <w:shd w:val="clear" w:color="auto" w:fill="FFFFFF"/>
                <w:lang w:eastAsia="nl-NL"/>
              </w:rPr>
            </m:ctrlPr>
          </m:fPr>
          <m:num>
            <m:sSub>
              <m:sSubPr>
                <m:ctrlPr>
                  <w:rPr>
                    <w:rFonts w:ascii="Cambria Math" w:hAnsi="Cambria Math"/>
                    <w:i/>
                    <w:sz w:val="24"/>
                    <w:bdr w:val="none" w:sz="0" w:space="0" w:color="auto" w:frame="1"/>
                    <w:shd w:val="clear" w:color="auto" w:fill="FFFFFF"/>
                    <w:lang w:eastAsia="nl-NL"/>
                  </w:rPr>
                </m:ctrlPr>
              </m:sSubPr>
              <m:e>
                <m:acc>
                  <m:accPr>
                    <m:chr m:val="̅"/>
                    <m:ctrlPr>
                      <w:rPr>
                        <w:rFonts w:ascii="Cambria Math" w:hAnsi="Cambria Math"/>
                        <w:i/>
                        <w:sz w:val="24"/>
                        <w:bdr w:val="none" w:sz="0" w:space="0" w:color="auto" w:frame="1"/>
                        <w:shd w:val="clear" w:color="auto" w:fill="FFFFFF"/>
                        <w:lang w:eastAsia="nl-NL"/>
                      </w:rPr>
                    </m:ctrlPr>
                  </m:accPr>
                  <m:e>
                    <m:r>
                      <w:rPr>
                        <w:rFonts w:ascii="Cambria Math" w:hAnsi="Cambria Math"/>
                        <w:sz w:val="24"/>
                        <w:bdr w:val="none" w:sz="0" w:space="0" w:color="auto" w:frame="1"/>
                        <w:shd w:val="clear" w:color="auto" w:fill="FFFFFF"/>
                        <w:lang w:eastAsia="nl-NL"/>
                      </w:rPr>
                      <m:t>X</m:t>
                    </m:r>
                  </m:e>
                </m:acc>
              </m:e>
              <m:sub>
                <m:r>
                  <w:rPr>
                    <w:rFonts w:ascii="Cambria Math" w:hAnsi="Cambria Math"/>
                    <w:sz w:val="24"/>
                    <w:bdr w:val="none" w:sz="0" w:space="0" w:color="auto" w:frame="1"/>
                    <w:shd w:val="clear" w:color="auto" w:fill="FFFFFF"/>
                    <w:lang w:eastAsia="nl-NL"/>
                  </w:rPr>
                  <m:t>t</m:t>
                </m:r>
              </m:sub>
            </m:sSub>
            <m:r>
              <w:rPr>
                <w:rFonts w:ascii="Cambria Math" w:hAnsi="Cambria Math"/>
                <w:sz w:val="24"/>
                <w:bdr w:val="none" w:sz="0" w:space="0" w:color="auto" w:frame="1"/>
                <w:shd w:val="clear" w:color="auto" w:fill="FFFFFF"/>
                <w:lang w:eastAsia="nl-NL"/>
              </w:rPr>
              <m:t>-μ</m:t>
            </m:r>
          </m:num>
          <m:den>
            <m:r>
              <w:rPr>
                <w:rFonts w:ascii="Cambria Math" w:hAnsi="Cambria Math"/>
                <w:sz w:val="24"/>
                <w:bdr w:val="none" w:sz="0" w:space="0" w:color="auto" w:frame="1"/>
                <w:shd w:val="clear" w:color="auto" w:fill="FFFFFF"/>
                <w:lang w:eastAsia="nl-NL"/>
              </w:rPr>
              <m:t>σ/</m:t>
            </m:r>
            <m:rad>
              <m:radPr>
                <m:degHide m:val="1"/>
                <m:ctrlPr>
                  <w:rPr>
                    <w:rFonts w:ascii="Cambria Math" w:hAnsi="Cambria Math"/>
                    <w:i/>
                    <w:sz w:val="24"/>
                    <w:bdr w:val="none" w:sz="0" w:space="0" w:color="auto" w:frame="1"/>
                    <w:shd w:val="clear" w:color="auto" w:fill="FFFFFF"/>
                    <w:lang w:eastAsia="nl-NL"/>
                  </w:rPr>
                </m:ctrlPr>
              </m:radPr>
              <m:deg/>
              <m:e>
                <m:r>
                  <w:rPr>
                    <w:rFonts w:ascii="Cambria Math" w:hAnsi="Cambria Math"/>
                    <w:sz w:val="24"/>
                    <w:bdr w:val="none" w:sz="0" w:space="0" w:color="auto" w:frame="1"/>
                    <w:shd w:val="clear" w:color="auto" w:fill="FFFFFF"/>
                    <w:lang w:eastAsia="nl-NL"/>
                  </w:rPr>
                  <m:t>n</m:t>
                </m:r>
              </m:e>
            </m:rad>
            <m:r>
              <w:rPr>
                <w:rFonts w:ascii="Cambria Math" w:hAnsi="Cambria Math"/>
                <w:sz w:val="24"/>
                <w:bdr w:val="none" w:sz="0" w:space="0" w:color="auto" w:frame="1"/>
                <w:shd w:val="clear" w:color="auto" w:fill="FFFFFF"/>
                <w:lang w:eastAsia="nl-NL"/>
              </w:rPr>
              <m:t xml:space="preserve"> </m:t>
            </m:r>
          </m:den>
        </m:f>
      </m:oMath>
      <w:r w:rsidR="00550A6F" w:rsidRPr="00147D59">
        <w:rPr>
          <w:rFonts w:eastAsiaTheme="minorEastAsia"/>
          <w:sz w:val="24"/>
          <w:bdr w:val="none" w:sz="0" w:space="0" w:color="auto" w:frame="1"/>
          <w:shd w:val="clear" w:color="auto" w:fill="FFFFFF"/>
          <w:lang w:eastAsia="nl-NL"/>
        </w:rPr>
        <w:tab/>
      </w:r>
      <w:r w:rsidR="00550A6F" w:rsidRPr="00147D59">
        <w:rPr>
          <w:rFonts w:eastAsiaTheme="minorEastAsia"/>
          <w:sz w:val="24"/>
          <w:bdr w:val="none" w:sz="0" w:space="0" w:color="auto" w:frame="1"/>
          <w:shd w:val="clear" w:color="auto" w:fill="FFFFFF"/>
          <w:lang w:eastAsia="nl-NL"/>
        </w:rPr>
        <w:tab/>
      </w:r>
      <w:r w:rsidR="00550A6F" w:rsidRPr="00147D59">
        <w:rPr>
          <w:rFonts w:eastAsiaTheme="minorEastAsia"/>
          <w:sz w:val="24"/>
          <w:bdr w:val="none" w:sz="0" w:space="0" w:color="auto" w:frame="1"/>
          <w:shd w:val="clear" w:color="auto" w:fill="FFFFFF"/>
          <w:lang w:eastAsia="nl-NL"/>
        </w:rPr>
        <w:tab/>
      </w:r>
      <w:r w:rsidR="00550A6F" w:rsidRPr="00147D59">
        <w:rPr>
          <w:rFonts w:eastAsiaTheme="minorEastAsia"/>
          <w:sz w:val="24"/>
          <w:bdr w:val="none" w:sz="0" w:space="0" w:color="auto" w:frame="1"/>
          <w:shd w:val="clear" w:color="auto" w:fill="FFFFFF"/>
          <w:lang w:eastAsia="nl-NL"/>
        </w:rPr>
        <w:tab/>
      </w:r>
      <w:r w:rsidR="00550A6F" w:rsidRPr="00147D59">
        <w:rPr>
          <w:rFonts w:eastAsiaTheme="minorEastAsia"/>
          <w:sz w:val="24"/>
          <w:bdr w:val="none" w:sz="0" w:space="0" w:color="auto" w:frame="1"/>
          <w:shd w:val="clear" w:color="auto" w:fill="FFFFFF"/>
          <w:lang w:eastAsia="nl-NL"/>
        </w:rPr>
        <w:tab/>
        <w:t xml:space="preserve">       (4)</w:t>
      </w:r>
    </w:p>
    <w:p w:rsidR="009B4575" w:rsidRPr="00147D59" w:rsidRDefault="00B01587" w:rsidP="005E19AF">
      <w:pPr>
        <w:spacing w:line="360" w:lineRule="auto"/>
        <w:jc w:val="both"/>
        <w:rPr>
          <w:rFonts w:eastAsiaTheme="minorEastAsia"/>
          <w:sz w:val="24"/>
          <w:bdr w:val="none" w:sz="0" w:space="0" w:color="auto" w:frame="1"/>
          <w:shd w:val="clear" w:color="auto" w:fill="FFFFFF"/>
          <w:lang w:eastAsia="nl-NL"/>
        </w:rPr>
      </w:pPr>
      <w:r w:rsidRPr="00147D59">
        <w:rPr>
          <w:sz w:val="24"/>
        </w:rPr>
        <w:t xml:space="preserve">Where </w:t>
      </w:r>
      <m:oMath>
        <m:sSub>
          <m:sSubPr>
            <m:ctrlPr>
              <w:rPr>
                <w:rFonts w:ascii="Cambria Math" w:hAnsi="Cambria Math"/>
                <w:i/>
                <w:sz w:val="24"/>
                <w:bdr w:val="none" w:sz="0" w:space="0" w:color="auto" w:frame="1"/>
                <w:shd w:val="clear" w:color="auto" w:fill="FFFFFF"/>
                <w:lang w:eastAsia="nl-NL"/>
              </w:rPr>
            </m:ctrlPr>
          </m:sSubPr>
          <m:e>
            <m:acc>
              <m:accPr>
                <m:chr m:val="̅"/>
                <m:ctrlPr>
                  <w:rPr>
                    <w:rFonts w:ascii="Cambria Math" w:hAnsi="Cambria Math"/>
                    <w:i/>
                    <w:sz w:val="24"/>
                    <w:bdr w:val="none" w:sz="0" w:space="0" w:color="auto" w:frame="1"/>
                    <w:shd w:val="clear" w:color="auto" w:fill="FFFFFF"/>
                    <w:lang w:eastAsia="nl-NL"/>
                  </w:rPr>
                </m:ctrlPr>
              </m:accPr>
              <m:e>
                <m:r>
                  <w:rPr>
                    <w:rFonts w:ascii="Cambria Math" w:hAnsi="Cambria Math"/>
                    <w:sz w:val="24"/>
                    <w:bdr w:val="none" w:sz="0" w:space="0" w:color="auto" w:frame="1"/>
                    <w:shd w:val="clear" w:color="auto" w:fill="FFFFFF"/>
                    <w:lang w:eastAsia="nl-NL"/>
                  </w:rPr>
                  <m:t>X</m:t>
                </m:r>
              </m:e>
            </m:acc>
          </m:e>
          <m:sub>
            <m:r>
              <w:rPr>
                <w:rFonts w:ascii="Cambria Math" w:hAnsi="Cambria Math"/>
                <w:sz w:val="24"/>
                <w:bdr w:val="none" w:sz="0" w:space="0" w:color="auto" w:frame="1"/>
                <w:shd w:val="clear" w:color="auto" w:fill="FFFFFF"/>
                <w:lang w:eastAsia="nl-NL"/>
              </w:rPr>
              <m:t>t</m:t>
            </m:r>
          </m:sub>
        </m:sSub>
      </m:oMath>
      <w:r w:rsidRPr="00147D59">
        <w:rPr>
          <w:rFonts w:eastAsiaTheme="minorEastAsia"/>
          <w:sz w:val="24"/>
          <w:bdr w:val="none" w:sz="0" w:space="0" w:color="auto" w:frame="1"/>
          <w:shd w:val="clear" w:color="auto" w:fill="FFFFFF"/>
          <w:lang w:eastAsia="nl-NL"/>
        </w:rPr>
        <w:t xml:space="preserve"> stands for the average abnormal returns (AAR) for day </w:t>
      </w:r>
      <w:r w:rsidRPr="00147D59">
        <w:rPr>
          <w:rFonts w:eastAsiaTheme="minorEastAsia"/>
          <w:i/>
          <w:sz w:val="24"/>
          <w:bdr w:val="none" w:sz="0" w:space="0" w:color="auto" w:frame="1"/>
          <w:shd w:val="clear" w:color="auto" w:fill="FFFFFF"/>
          <w:lang w:eastAsia="nl-NL"/>
        </w:rPr>
        <w:t xml:space="preserve">t </w:t>
      </w:r>
      <w:r w:rsidRPr="00147D59">
        <w:rPr>
          <w:rFonts w:eastAsiaTheme="minorEastAsia"/>
          <w:sz w:val="24"/>
          <w:bdr w:val="none" w:sz="0" w:space="0" w:color="auto" w:frame="1"/>
          <w:shd w:val="clear" w:color="auto" w:fill="FFFFFF"/>
          <w:lang w:eastAsia="nl-NL"/>
        </w:rPr>
        <w:t xml:space="preserve">and </w:t>
      </w:r>
      <w:r w:rsidRPr="00147D59">
        <w:rPr>
          <w:rFonts w:eastAsiaTheme="minorEastAsia"/>
          <w:i/>
          <w:sz w:val="24"/>
          <w:bdr w:val="none" w:sz="0" w:space="0" w:color="auto" w:frame="1"/>
          <w:shd w:val="clear" w:color="auto" w:fill="FFFFFF"/>
          <w:lang w:eastAsia="nl-NL"/>
        </w:rPr>
        <w:t>µ</w:t>
      </w:r>
      <w:r w:rsidRPr="00147D59">
        <w:rPr>
          <w:rFonts w:eastAsiaTheme="minorEastAsia"/>
          <w:sz w:val="24"/>
          <w:bdr w:val="none" w:sz="0" w:space="0" w:color="auto" w:frame="1"/>
          <w:shd w:val="clear" w:color="auto" w:fill="FFFFFF"/>
          <w:lang w:eastAsia="nl-NL"/>
        </w:rPr>
        <w:t xml:space="preserve"> stands for the expected average returns, which is equal to zero. </w:t>
      </w:r>
      <m:oMath>
        <m:r>
          <w:rPr>
            <w:rFonts w:ascii="Cambria Math" w:hAnsi="Cambria Math"/>
            <w:sz w:val="24"/>
            <w:bdr w:val="none" w:sz="0" w:space="0" w:color="auto" w:frame="1"/>
            <w:shd w:val="clear" w:color="auto" w:fill="FFFFFF"/>
            <w:lang w:eastAsia="nl-NL"/>
          </w:rPr>
          <m:t>σ</m:t>
        </m:r>
      </m:oMath>
      <w:r w:rsidR="00550A6F" w:rsidRPr="00147D59">
        <w:rPr>
          <w:rFonts w:eastAsiaTheme="minorEastAsia"/>
          <w:sz w:val="24"/>
          <w:bdr w:val="none" w:sz="0" w:space="0" w:color="auto" w:frame="1"/>
          <w:shd w:val="clear" w:color="auto" w:fill="FFFFFF"/>
          <w:lang w:eastAsia="nl-NL"/>
        </w:rPr>
        <w:t xml:space="preserve"> is the standard deviation of the abnormal returns that particular day and n is the sample size, which is 240.</w:t>
      </w:r>
      <w:r w:rsidR="00A55ED1" w:rsidRPr="00147D59">
        <w:rPr>
          <w:rFonts w:eastAsiaTheme="minorEastAsia"/>
          <w:sz w:val="24"/>
          <w:bdr w:val="none" w:sz="0" w:space="0" w:color="auto" w:frame="1"/>
          <w:shd w:val="clear" w:color="auto" w:fill="FFFFFF"/>
          <w:lang w:eastAsia="nl-NL"/>
        </w:rPr>
        <w:t xml:space="preserve"> The T-value retrieved can be </w:t>
      </w:r>
      <w:r w:rsidR="00E506E6" w:rsidRPr="00147D59">
        <w:rPr>
          <w:rFonts w:eastAsiaTheme="minorEastAsia"/>
          <w:sz w:val="24"/>
          <w:bdr w:val="none" w:sz="0" w:space="0" w:color="auto" w:frame="1"/>
          <w:shd w:val="clear" w:color="auto" w:fill="FFFFFF"/>
          <w:lang w:eastAsia="nl-NL"/>
        </w:rPr>
        <w:t>compared with t</w:t>
      </w:r>
      <w:r w:rsidR="00CB21BF" w:rsidRPr="00147D59">
        <w:rPr>
          <w:rFonts w:eastAsiaTheme="minorEastAsia"/>
          <w:sz w:val="24"/>
          <w:bdr w:val="none" w:sz="0" w:space="0" w:color="auto" w:frame="1"/>
          <w:shd w:val="clear" w:color="auto" w:fill="FFFFFF"/>
          <w:lang w:eastAsia="nl-NL"/>
        </w:rPr>
        <w:t xml:space="preserve">he critical </w:t>
      </w:r>
      <w:r w:rsidR="007B3428" w:rsidRPr="00147D59">
        <w:rPr>
          <w:rFonts w:eastAsiaTheme="minorEastAsia"/>
          <w:sz w:val="24"/>
          <w:bdr w:val="none" w:sz="0" w:space="0" w:color="auto" w:frame="1"/>
          <w:shd w:val="clear" w:color="auto" w:fill="FFFFFF"/>
          <w:lang w:eastAsia="nl-NL"/>
        </w:rPr>
        <w:t>value is</w:t>
      </w:r>
      <w:r w:rsidR="00CB21BF" w:rsidRPr="00147D59">
        <w:rPr>
          <w:rFonts w:eastAsiaTheme="minorEastAsia"/>
          <w:sz w:val="24"/>
          <w:bdr w:val="none" w:sz="0" w:space="0" w:color="auto" w:frame="1"/>
          <w:shd w:val="clear" w:color="auto" w:fill="FFFFFF"/>
          <w:lang w:eastAsia="nl-NL"/>
        </w:rPr>
        <w:t xml:space="preserve"> t =</w:t>
      </w:r>
      <w:r w:rsidR="00550A6F" w:rsidRPr="00147D59">
        <w:rPr>
          <w:rFonts w:eastAsiaTheme="minorEastAsia"/>
          <w:sz w:val="24"/>
          <w:bdr w:val="none" w:sz="0" w:space="0" w:color="auto" w:frame="1"/>
          <w:shd w:val="clear" w:color="auto" w:fill="FFFFFF"/>
          <w:lang w:eastAsia="nl-NL"/>
        </w:rPr>
        <w:t xml:space="preserve"> </w:t>
      </w:r>
      <w:r w:rsidR="00E506E6" w:rsidRPr="00147D59">
        <w:rPr>
          <w:rFonts w:eastAsiaTheme="minorEastAsia"/>
          <w:sz w:val="24"/>
          <w:bdr w:val="none" w:sz="0" w:space="0" w:color="auto" w:frame="1"/>
          <w:shd w:val="clear" w:color="auto" w:fill="FFFFFF"/>
          <w:lang w:eastAsia="nl-NL"/>
        </w:rPr>
        <w:t>(-</w:t>
      </w:r>
      <w:r w:rsidR="007B3428" w:rsidRPr="00147D59">
        <w:rPr>
          <w:rFonts w:eastAsiaTheme="minorEastAsia"/>
          <w:sz w:val="24"/>
          <w:bdr w:val="none" w:sz="0" w:space="0" w:color="auto" w:frame="1"/>
          <w:shd w:val="clear" w:color="auto" w:fill="FFFFFF"/>
          <w:lang w:eastAsia="nl-NL"/>
        </w:rPr>
        <w:t>) 1.960</w:t>
      </w:r>
      <w:r w:rsidR="00550A6F" w:rsidRPr="00147D59">
        <w:rPr>
          <w:rFonts w:eastAsiaTheme="minorEastAsia"/>
          <w:sz w:val="24"/>
          <w:bdr w:val="none" w:sz="0" w:space="0" w:color="auto" w:frame="1"/>
          <w:shd w:val="clear" w:color="auto" w:fill="FFFFFF"/>
          <w:lang w:eastAsia="nl-NL"/>
        </w:rPr>
        <w:t xml:space="preserve"> with a confidence level of 95%. </w:t>
      </w:r>
    </w:p>
    <w:p w:rsidR="00513B05" w:rsidRPr="00147D59" w:rsidRDefault="00513B05" w:rsidP="005E19AF">
      <w:pPr>
        <w:spacing w:line="360" w:lineRule="auto"/>
        <w:jc w:val="both"/>
        <w:rPr>
          <w:rFonts w:eastAsiaTheme="minorEastAsia"/>
          <w:sz w:val="24"/>
          <w:bdr w:val="none" w:sz="0" w:space="0" w:color="auto" w:frame="1"/>
          <w:shd w:val="clear" w:color="auto" w:fill="FFFFFF"/>
          <w:lang w:eastAsia="nl-NL"/>
        </w:rPr>
      </w:pPr>
      <w:r w:rsidRPr="00147D59">
        <w:rPr>
          <w:rFonts w:eastAsiaTheme="minorEastAsia"/>
          <w:sz w:val="24"/>
          <w:bdr w:val="none" w:sz="0" w:space="0" w:color="auto" w:frame="1"/>
          <w:shd w:val="clear" w:color="auto" w:fill="FFFFFF"/>
          <w:lang w:eastAsia="nl-NL"/>
        </w:rPr>
        <w:t xml:space="preserve">With the CAR calculated, the main research question can be answered. To answer the remaining research questions, </w:t>
      </w:r>
      <w:r w:rsidR="00AC301D" w:rsidRPr="00147D59">
        <w:rPr>
          <w:rFonts w:eastAsiaTheme="minorEastAsia"/>
          <w:sz w:val="24"/>
          <w:bdr w:val="none" w:sz="0" w:space="0" w:color="auto" w:frame="1"/>
          <w:shd w:val="clear" w:color="auto" w:fill="FFFFFF"/>
          <w:lang w:eastAsia="nl-NL"/>
        </w:rPr>
        <w:t>the explanatory values of several factors that may affect the CAR need to be ca</w:t>
      </w:r>
      <w:r w:rsidR="00C22B7C" w:rsidRPr="00147D59">
        <w:rPr>
          <w:rFonts w:eastAsiaTheme="minorEastAsia"/>
          <w:sz w:val="24"/>
          <w:bdr w:val="none" w:sz="0" w:space="0" w:color="auto" w:frame="1"/>
          <w:shd w:val="clear" w:color="auto" w:fill="FFFFFF"/>
          <w:lang w:eastAsia="nl-NL"/>
        </w:rPr>
        <w:t>l</w:t>
      </w:r>
      <w:r w:rsidR="00AC301D" w:rsidRPr="00147D59">
        <w:rPr>
          <w:rFonts w:eastAsiaTheme="minorEastAsia"/>
          <w:sz w:val="24"/>
          <w:bdr w:val="none" w:sz="0" w:space="0" w:color="auto" w:frame="1"/>
          <w:shd w:val="clear" w:color="auto" w:fill="FFFFFF"/>
          <w:lang w:eastAsia="nl-NL"/>
        </w:rPr>
        <w:t>culated. Using the CAR as dependent variable.</w:t>
      </w:r>
    </w:p>
    <w:p w:rsidR="00513B05" w:rsidRPr="00147D59" w:rsidRDefault="00513B05" w:rsidP="005E19AF">
      <w:pPr>
        <w:pStyle w:val="Heading2"/>
        <w:jc w:val="both"/>
        <w:rPr>
          <w:rFonts w:eastAsiaTheme="minorEastAsia"/>
          <w:bdr w:val="none" w:sz="0" w:space="0" w:color="auto" w:frame="1"/>
          <w:shd w:val="clear" w:color="auto" w:fill="FFFFFF"/>
          <w:lang w:eastAsia="nl-NL"/>
        </w:rPr>
      </w:pPr>
      <w:bookmarkStart w:id="15" w:name="_Toc13477600"/>
      <w:r w:rsidRPr="00147D59">
        <w:rPr>
          <w:rFonts w:eastAsiaTheme="minorEastAsia"/>
          <w:bdr w:val="none" w:sz="0" w:space="0" w:color="auto" w:frame="1"/>
          <w:shd w:val="clear" w:color="auto" w:fill="FFFFFF"/>
          <w:lang w:eastAsia="nl-NL"/>
        </w:rPr>
        <w:lastRenderedPageBreak/>
        <w:t>3.2: Regression analysis</w:t>
      </w:r>
      <w:bookmarkEnd w:id="15"/>
    </w:p>
    <w:p w:rsidR="0060111A" w:rsidRPr="00147D59" w:rsidRDefault="0060111A" w:rsidP="005E19AF">
      <w:pPr>
        <w:spacing w:line="360" w:lineRule="auto"/>
        <w:jc w:val="both"/>
        <w:rPr>
          <w:sz w:val="24"/>
          <w:bdr w:val="none" w:sz="0" w:space="0" w:color="auto" w:frame="1"/>
          <w:shd w:val="clear" w:color="auto" w:fill="FFFFFF"/>
          <w:lang w:eastAsia="nl-NL"/>
        </w:rPr>
      </w:pPr>
      <w:r w:rsidRPr="00147D59">
        <w:rPr>
          <w:sz w:val="24"/>
          <w:bdr w:val="none" w:sz="0" w:space="0" w:color="auto" w:frame="1"/>
          <w:shd w:val="clear" w:color="auto" w:fill="FFFFFF"/>
          <w:lang w:eastAsia="nl-NL"/>
        </w:rPr>
        <w:t>To answer the supporting research questions, the explanatory value of the determinants for the CAR have to be calculated. This will be done by regression analysis. First,</w:t>
      </w:r>
      <w:r w:rsidR="00220321" w:rsidRPr="00147D59">
        <w:rPr>
          <w:sz w:val="24"/>
          <w:bdr w:val="none" w:sz="0" w:space="0" w:color="auto" w:frame="1"/>
          <w:shd w:val="clear" w:color="auto" w:fill="FFFFFF"/>
          <w:lang w:eastAsia="nl-NL"/>
        </w:rPr>
        <w:t xml:space="preserve"> </w:t>
      </w:r>
      <w:r w:rsidR="00B753C2" w:rsidRPr="00147D59">
        <w:rPr>
          <w:sz w:val="24"/>
          <w:bdr w:val="none" w:sz="0" w:space="0" w:color="auto" w:frame="1"/>
          <w:shd w:val="clear" w:color="auto" w:fill="FFFFFF"/>
          <w:lang w:eastAsia="nl-NL"/>
        </w:rPr>
        <w:t>the</w:t>
      </w:r>
      <w:r w:rsidRPr="00147D59">
        <w:rPr>
          <w:sz w:val="24"/>
          <w:bdr w:val="none" w:sz="0" w:space="0" w:color="auto" w:frame="1"/>
          <w:shd w:val="clear" w:color="auto" w:fill="FFFFFF"/>
          <w:lang w:eastAsia="nl-NL"/>
        </w:rPr>
        <w:t xml:space="preserve"> determinant</w:t>
      </w:r>
      <w:r w:rsidR="00B753C2" w:rsidRPr="00147D59">
        <w:rPr>
          <w:sz w:val="24"/>
          <w:bdr w:val="none" w:sz="0" w:space="0" w:color="auto" w:frame="1"/>
          <w:shd w:val="clear" w:color="auto" w:fill="FFFFFF"/>
          <w:lang w:eastAsia="nl-NL"/>
        </w:rPr>
        <w:t>s</w:t>
      </w:r>
      <w:r w:rsidRPr="00147D59">
        <w:rPr>
          <w:sz w:val="24"/>
          <w:bdr w:val="none" w:sz="0" w:space="0" w:color="auto" w:frame="1"/>
          <w:shd w:val="clear" w:color="auto" w:fill="FFFFFF"/>
          <w:lang w:eastAsia="nl-NL"/>
        </w:rPr>
        <w:t xml:space="preserve"> will be briefly discussed. </w:t>
      </w:r>
      <w:r w:rsidR="005D2BE9" w:rsidRPr="00147D59">
        <w:rPr>
          <w:sz w:val="24"/>
          <w:bdr w:val="none" w:sz="0" w:space="0" w:color="auto" w:frame="1"/>
          <w:shd w:val="clear" w:color="auto" w:fill="FFFFFF"/>
          <w:lang w:eastAsia="nl-NL"/>
        </w:rPr>
        <w:t>After that</w:t>
      </w:r>
      <w:r w:rsidR="00220321" w:rsidRPr="00147D59">
        <w:rPr>
          <w:sz w:val="24"/>
          <w:bdr w:val="none" w:sz="0" w:space="0" w:color="auto" w:frame="1"/>
          <w:shd w:val="clear" w:color="auto" w:fill="FFFFFF"/>
          <w:lang w:eastAsia="nl-NL"/>
        </w:rPr>
        <w:t>,</w:t>
      </w:r>
      <w:r w:rsidRPr="00147D59">
        <w:rPr>
          <w:sz w:val="24"/>
          <w:bdr w:val="none" w:sz="0" w:space="0" w:color="auto" w:frame="1"/>
          <w:shd w:val="clear" w:color="auto" w:fill="FFFFFF"/>
          <w:lang w:eastAsia="nl-NL"/>
        </w:rPr>
        <w:t xml:space="preserve"> the method </w:t>
      </w:r>
      <w:r w:rsidR="005D2BE9" w:rsidRPr="00147D59">
        <w:rPr>
          <w:sz w:val="24"/>
          <w:bdr w:val="none" w:sz="0" w:space="0" w:color="auto" w:frame="1"/>
          <w:shd w:val="clear" w:color="auto" w:fill="FFFFFF"/>
          <w:lang w:eastAsia="nl-NL"/>
        </w:rPr>
        <w:t>of performing the analysis</w:t>
      </w:r>
      <w:r w:rsidR="00220321" w:rsidRPr="00147D59">
        <w:rPr>
          <w:sz w:val="24"/>
          <w:bdr w:val="none" w:sz="0" w:space="0" w:color="auto" w:frame="1"/>
          <w:shd w:val="clear" w:color="auto" w:fill="FFFFFF"/>
          <w:lang w:eastAsia="nl-NL"/>
        </w:rPr>
        <w:t xml:space="preserve"> is discussed. </w:t>
      </w:r>
    </w:p>
    <w:p w:rsidR="0060111A" w:rsidRPr="00147D59" w:rsidRDefault="00220321" w:rsidP="005E19AF">
      <w:pPr>
        <w:pStyle w:val="Heading3"/>
        <w:jc w:val="both"/>
        <w:rPr>
          <w:bdr w:val="none" w:sz="0" w:space="0" w:color="auto" w:frame="1"/>
          <w:shd w:val="clear" w:color="auto" w:fill="FFFFFF"/>
          <w:lang w:eastAsia="nl-NL"/>
        </w:rPr>
      </w:pPr>
      <w:bookmarkStart w:id="16" w:name="_Toc13477601"/>
      <w:r w:rsidRPr="00147D59">
        <w:rPr>
          <w:bdr w:val="none" w:sz="0" w:space="0" w:color="auto" w:frame="1"/>
          <w:shd w:val="clear" w:color="auto" w:fill="FFFFFF"/>
          <w:lang w:eastAsia="nl-NL"/>
        </w:rPr>
        <w:t>3.2.1</w:t>
      </w:r>
      <w:r w:rsidR="0060111A" w:rsidRPr="00147D59">
        <w:rPr>
          <w:bdr w:val="none" w:sz="0" w:space="0" w:color="auto" w:frame="1"/>
          <w:shd w:val="clear" w:color="auto" w:fill="FFFFFF"/>
          <w:lang w:eastAsia="nl-NL"/>
        </w:rPr>
        <w:t xml:space="preserve"> Determinants</w:t>
      </w:r>
      <w:bookmarkEnd w:id="16"/>
    </w:p>
    <w:p w:rsidR="006B58E4" w:rsidRPr="00147D59" w:rsidRDefault="006B58E4" w:rsidP="005E19AF">
      <w:pPr>
        <w:pStyle w:val="NoSpacing"/>
        <w:spacing w:line="360" w:lineRule="auto"/>
        <w:jc w:val="both"/>
        <w:rPr>
          <w:sz w:val="24"/>
          <w:bdr w:val="none" w:sz="0" w:space="0" w:color="auto" w:frame="1"/>
          <w:shd w:val="clear" w:color="auto" w:fill="FFFFFF"/>
          <w:lang w:eastAsia="nl-NL"/>
        </w:rPr>
      </w:pPr>
      <w:r w:rsidRPr="00147D59">
        <w:rPr>
          <w:sz w:val="24"/>
          <w:bdr w:val="none" w:sz="0" w:space="0" w:color="auto" w:frame="1"/>
          <w:shd w:val="clear" w:color="auto" w:fill="FFFFFF"/>
          <w:lang w:eastAsia="nl-NL"/>
        </w:rPr>
        <w:t>If we obtain significant results in obtaining the cumulative abnormal returns, it is interesting where these abnormal returns come from. In ord</w:t>
      </w:r>
      <w:r w:rsidR="007B3428">
        <w:rPr>
          <w:sz w:val="24"/>
          <w:bdr w:val="none" w:sz="0" w:space="0" w:color="auto" w:frame="1"/>
          <w:shd w:val="clear" w:color="auto" w:fill="FFFFFF"/>
          <w:lang w:eastAsia="nl-NL"/>
        </w:rPr>
        <w:t>er to answer the three hypothes</w:t>
      </w:r>
      <w:r w:rsidRPr="00147D59">
        <w:rPr>
          <w:sz w:val="24"/>
          <w:bdr w:val="none" w:sz="0" w:space="0" w:color="auto" w:frame="1"/>
          <w:shd w:val="clear" w:color="auto" w:fill="FFFFFF"/>
          <w:lang w:eastAsia="nl-NL"/>
        </w:rPr>
        <w:t xml:space="preserve">es, the CAR will be the dependent variable, which can possibly be answered with the following determinants which will be the independent variables in the regressions. </w:t>
      </w:r>
    </w:p>
    <w:p w:rsidR="00AC301D" w:rsidRPr="00147D59" w:rsidRDefault="007738BD" w:rsidP="005E19AF">
      <w:pPr>
        <w:jc w:val="both"/>
        <w:rPr>
          <w:b/>
          <w:sz w:val="24"/>
          <w:bdr w:val="none" w:sz="0" w:space="0" w:color="auto" w:frame="1"/>
          <w:shd w:val="clear" w:color="auto" w:fill="FFFFFF"/>
          <w:lang w:eastAsia="nl-NL"/>
        </w:rPr>
      </w:pPr>
      <w:r w:rsidRPr="00147D59">
        <w:rPr>
          <w:b/>
          <w:sz w:val="24"/>
          <w:bdr w:val="none" w:sz="0" w:space="0" w:color="auto" w:frame="1"/>
          <w:shd w:val="clear" w:color="auto" w:fill="FFFFFF"/>
          <w:lang w:eastAsia="nl-NL"/>
        </w:rPr>
        <w:t>Method of payment</w:t>
      </w:r>
      <w:r w:rsidR="005913BC" w:rsidRPr="00147D59">
        <w:rPr>
          <w:b/>
          <w:sz w:val="24"/>
          <w:bdr w:val="none" w:sz="0" w:space="0" w:color="auto" w:frame="1"/>
          <w:shd w:val="clear" w:color="auto" w:fill="FFFFFF"/>
          <w:lang w:eastAsia="nl-NL"/>
        </w:rPr>
        <w:t xml:space="preserve"> dummy</w:t>
      </w:r>
    </w:p>
    <w:p w:rsidR="00CF527B" w:rsidRPr="00147D59" w:rsidRDefault="00CF527B" w:rsidP="005E19AF">
      <w:pPr>
        <w:spacing w:line="360" w:lineRule="auto"/>
        <w:jc w:val="both"/>
        <w:rPr>
          <w:sz w:val="24"/>
          <w:bdr w:val="none" w:sz="0" w:space="0" w:color="auto" w:frame="1"/>
          <w:shd w:val="clear" w:color="auto" w:fill="FFFFFF"/>
          <w:lang w:eastAsia="nl-NL"/>
        </w:rPr>
      </w:pPr>
      <w:r w:rsidRPr="00147D59">
        <w:rPr>
          <w:sz w:val="24"/>
          <w:bdr w:val="none" w:sz="0" w:space="0" w:color="auto" w:frame="1"/>
          <w:shd w:val="clear" w:color="auto" w:fill="FFFFFF"/>
          <w:lang w:eastAsia="nl-NL"/>
        </w:rPr>
        <w:t xml:space="preserve">As mentioned in the literature section, the financing method of the merger or acquisition is often an important and influential variable in explaining the abnormal returns. Travlos </w:t>
      </w:r>
      <w:sdt>
        <w:sdtPr>
          <w:rPr>
            <w:sz w:val="24"/>
            <w:bdr w:val="none" w:sz="0" w:space="0" w:color="auto" w:frame="1"/>
            <w:shd w:val="clear" w:color="auto" w:fill="FFFFFF"/>
            <w:lang w:eastAsia="nl-NL"/>
          </w:rPr>
          <w:id w:val="-1924795616"/>
          <w:citation/>
        </w:sdtPr>
        <w:sdtEndPr/>
        <w:sdtContent>
          <w:r w:rsidRPr="00147D59">
            <w:rPr>
              <w:sz w:val="24"/>
              <w:bdr w:val="none" w:sz="0" w:space="0" w:color="auto" w:frame="1"/>
              <w:shd w:val="clear" w:color="auto" w:fill="FFFFFF"/>
              <w:lang w:eastAsia="nl-NL"/>
            </w:rPr>
            <w:fldChar w:fldCharType="begin"/>
          </w:r>
          <w:r w:rsidRPr="00147D59">
            <w:rPr>
              <w:sz w:val="24"/>
              <w:bdr w:val="none" w:sz="0" w:space="0" w:color="auto" w:frame="1"/>
              <w:shd w:val="clear" w:color="auto" w:fill="FFFFFF"/>
              <w:lang w:eastAsia="nl-NL"/>
            </w:rPr>
            <w:instrText xml:space="preserve">CITATION Tra87 \n  \t  \l 1043 </w:instrText>
          </w:r>
          <w:r w:rsidRPr="00147D59">
            <w:rPr>
              <w:sz w:val="24"/>
              <w:bdr w:val="none" w:sz="0" w:space="0" w:color="auto" w:frame="1"/>
              <w:shd w:val="clear" w:color="auto" w:fill="FFFFFF"/>
              <w:lang w:eastAsia="nl-NL"/>
            </w:rPr>
            <w:fldChar w:fldCharType="separate"/>
          </w:r>
          <w:r w:rsidRPr="00147D59">
            <w:rPr>
              <w:noProof/>
              <w:sz w:val="24"/>
              <w:bdr w:val="none" w:sz="0" w:space="0" w:color="auto" w:frame="1"/>
              <w:shd w:val="clear" w:color="auto" w:fill="FFFFFF"/>
              <w:lang w:eastAsia="nl-NL"/>
            </w:rPr>
            <w:t>(1987)</w:t>
          </w:r>
          <w:r w:rsidRPr="00147D59">
            <w:rPr>
              <w:sz w:val="24"/>
              <w:bdr w:val="none" w:sz="0" w:space="0" w:color="auto" w:frame="1"/>
              <w:shd w:val="clear" w:color="auto" w:fill="FFFFFF"/>
              <w:lang w:eastAsia="nl-NL"/>
            </w:rPr>
            <w:fldChar w:fldCharType="end"/>
          </w:r>
        </w:sdtContent>
      </w:sdt>
      <w:r w:rsidRPr="00147D59">
        <w:rPr>
          <w:sz w:val="24"/>
          <w:bdr w:val="none" w:sz="0" w:space="0" w:color="auto" w:frame="1"/>
          <w:shd w:val="clear" w:color="auto" w:fill="FFFFFF"/>
          <w:lang w:eastAsia="nl-NL"/>
        </w:rPr>
        <w:t xml:space="preserve"> found for instance that cash as payment does have a positive effect on the abnormal returns and stock has a negative effect. However, Chang </w:t>
      </w:r>
      <w:sdt>
        <w:sdtPr>
          <w:rPr>
            <w:sz w:val="24"/>
            <w:bdr w:val="none" w:sz="0" w:space="0" w:color="auto" w:frame="1"/>
            <w:shd w:val="clear" w:color="auto" w:fill="FFFFFF"/>
            <w:lang w:eastAsia="nl-NL"/>
          </w:rPr>
          <w:id w:val="-617370942"/>
          <w:citation/>
        </w:sdtPr>
        <w:sdtEndPr/>
        <w:sdtContent>
          <w:r w:rsidRPr="00147D59">
            <w:rPr>
              <w:sz w:val="24"/>
              <w:bdr w:val="none" w:sz="0" w:space="0" w:color="auto" w:frame="1"/>
              <w:shd w:val="clear" w:color="auto" w:fill="FFFFFF"/>
              <w:lang w:eastAsia="nl-NL"/>
            </w:rPr>
            <w:fldChar w:fldCharType="begin"/>
          </w:r>
          <w:r w:rsidRPr="00147D59">
            <w:rPr>
              <w:sz w:val="24"/>
              <w:bdr w:val="none" w:sz="0" w:space="0" w:color="auto" w:frame="1"/>
              <w:shd w:val="clear" w:color="auto" w:fill="FFFFFF"/>
              <w:lang w:eastAsia="nl-NL"/>
            </w:rPr>
            <w:instrText xml:space="preserve">CITATION Cha98 \n  \t  \l 1043 </w:instrText>
          </w:r>
          <w:r w:rsidRPr="00147D59">
            <w:rPr>
              <w:sz w:val="24"/>
              <w:bdr w:val="none" w:sz="0" w:space="0" w:color="auto" w:frame="1"/>
              <w:shd w:val="clear" w:color="auto" w:fill="FFFFFF"/>
              <w:lang w:eastAsia="nl-NL"/>
            </w:rPr>
            <w:fldChar w:fldCharType="separate"/>
          </w:r>
          <w:r w:rsidRPr="00147D59">
            <w:rPr>
              <w:noProof/>
              <w:sz w:val="24"/>
              <w:bdr w:val="none" w:sz="0" w:space="0" w:color="auto" w:frame="1"/>
              <w:shd w:val="clear" w:color="auto" w:fill="FFFFFF"/>
              <w:lang w:eastAsia="nl-NL"/>
            </w:rPr>
            <w:t>(1998)</w:t>
          </w:r>
          <w:r w:rsidRPr="00147D59">
            <w:rPr>
              <w:sz w:val="24"/>
              <w:bdr w:val="none" w:sz="0" w:space="0" w:color="auto" w:frame="1"/>
              <w:shd w:val="clear" w:color="auto" w:fill="FFFFFF"/>
              <w:lang w:eastAsia="nl-NL"/>
            </w:rPr>
            <w:fldChar w:fldCharType="end"/>
          </w:r>
        </w:sdtContent>
      </w:sdt>
      <w:r w:rsidRPr="00147D59">
        <w:rPr>
          <w:sz w:val="24"/>
          <w:bdr w:val="none" w:sz="0" w:space="0" w:color="auto" w:frame="1"/>
          <w:shd w:val="clear" w:color="auto" w:fill="FFFFFF"/>
          <w:lang w:eastAsia="nl-NL"/>
        </w:rPr>
        <w:t xml:space="preserve"> found the opposite when investigating privately held target firms. Stock in exchange for the firm seemed to have a more positive effect on the abnormal returns. To investigate this effect in the Energy and Power sector, three different forms of payment are distinguished, Cash, Stock and Mixed payment. Where Mixed is when it is financed with both cash and stock or an alternative payment method. The dummies used are the cash- and stock dummy and mixed payments will be the constant term.</w:t>
      </w:r>
    </w:p>
    <w:p w:rsidR="00B86239" w:rsidRPr="00147D59" w:rsidRDefault="00392C5E" w:rsidP="005E19AF">
      <w:pPr>
        <w:spacing w:line="360" w:lineRule="auto"/>
        <w:jc w:val="both"/>
        <w:rPr>
          <w:b/>
          <w:sz w:val="24"/>
          <w:bdr w:val="none" w:sz="0" w:space="0" w:color="auto" w:frame="1"/>
          <w:shd w:val="clear" w:color="auto" w:fill="FFFFFF"/>
          <w:lang w:eastAsia="nl-NL"/>
        </w:rPr>
      </w:pPr>
      <w:r w:rsidRPr="00147D59">
        <w:rPr>
          <w:b/>
          <w:sz w:val="24"/>
          <w:bdr w:val="none" w:sz="0" w:space="0" w:color="auto" w:frame="1"/>
          <w:shd w:val="clear" w:color="auto" w:fill="FFFFFF"/>
          <w:lang w:eastAsia="nl-NL"/>
        </w:rPr>
        <w:t>Macro- and Mid-I</w:t>
      </w:r>
      <w:r w:rsidR="00B86239" w:rsidRPr="00147D59">
        <w:rPr>
          <w:b/>
          <w:sz w:val="24"/>
          <w:bdr w:val="none" w:sz="0" w:space="0" w:color="auto" w:frame="1"/>
          <w:shd w:val="clear" w:color="auto" w:fill="FFFFFF"/>
          <w:lang w:eastAsia="nl-NL"/>
        </w:rPr>
        <w:t>ndustry</w:t>
      </w:r>
      <w:r w:rsidR="00BC49AD" w:rsidRPr="00147D59">
        <w:rPr>
          <w:b/>
          <w:sz w:val="24"/>
          <w:bdr w:val="none" w:sz="0" w:space="0" w:color="auto" w:frame="1"/>
          <w:shd w:val="clear" w:color="auto" w:fill="FFFFFF"/>
          <w:lang w:eastAsia="nl-NL"/>
        </w:rPr>
        <w:t xml:space="preserve"> </w:t>
      </w:r>
      <w:r w:rsidR="006B58E4" w:rsidRPr="00147D59">
        <w:rPr>
          <w:b/>
          <w:sz w:val="24"/>
          <w:bdr w:val="none" w:sz="0" w:space="0" w:color="auto" w:frame="1"/>
          <w:shd w:val="clear" w:color="auto" w:fill="FFFFFF"/>
          <w:lang w:eastAsia="nl-NL"/>
        </w:rPr>
        <w:t>dummy</w:t>
      </w:r>
    </w:p>
    <w:p w:rsidR="00CF527B" w:rsidRPr="00147D59" w:rsidRDefault="00CF527B" w:rsidP="005E19AF">
      <w:pPr>
        <w:spacing w:line="360" w:lineRule="auto"/>
        <w:jc w:val="both"/>
        <w:rPr>
          <w:sz w:val="24"/>
          <w:bdr w:val="none" w:sz="0" w:space="0" w:color="auto" w:frame="1"/>
          <w:shd w:val="clear" w:color="auto" w:fill="FFFFFF"/>
          <w:lang w:eastAsia="nl-NL"/>
        </w:rPr>
      </w:pPr>
      <w:r w:rsidRPr="00147D59">
        <w:rPr>
          <w:sz w:val="24"/>
          <w:bdr w:val="none" w:sz="0" w:space="0" w:color="auto" w:frame="1"/>
          <w:shd w:val="clear" w:color="auto" w:fill="FFFFFF"/>
          <w:lang w:eastAsia="nl-NL"/>
        </w:rPr>
        <w:t xml:space="preserve">Besides payment method, the ‘relatedness’ of the merger can also play a part in explaining the abnormal returns. In past research, synergy effects have been seen to influence the announcement effects. Dutordoir </w:t>
      </w:r>
      <w:sdt>
        <w:sdtPr>
          <w:rPr>
            <w:sz w:val="24"/>
            <w:bdr w:val="none" w:sz="0" w:space="0" w:color="auto" w:frame="1"/>
            <w:shd w:val="clear" w:color="auto" w:fill="FFFFFF"/>
            <w:lang w:eastAsia="nl-NL"/>
          </w:rPr>
          <w:id w:val="-95182556"/>
          <w:citation/>
        </w:sdtPr>
        <w:sdtEndPr/>
        <w:sdtContent>
          <w:r w:rsidRPr="00147D59">
            <w:rPr>
              <w:sz w:val="24"/>
              <w:bdr w:val="none" w:sz="0" w:space="0" w:color="auto" w:frame="1"/>
              <w:shd w:val="clear" w:color="auto" w:fill="FFFFFF"/>
              <w:lang w:eastAsia="nl-NL"/>
            </w:rPr>
            <w:fldChar w:fldCharType="begin"/>
          </w:r>
          <w:r w:rsidRPr="00147D59">
            <w:rPr>
              <w:sz w:val="24"/>
              <w:bdr w:val="none" w:sz="0" w:space="0" w:color="auto" w:frame="1"/>
              <w:shd w:val="clear" w:color="auto" w:fill="FFFFFF"/>
              <w:lang w:eastAsia="nl-NL"/>
            </w:rPr>
            <w:instrText xml:space="preserve">CITATION Dut14 \n  \t  \l 1043 </w:instrText>
          </w:r>
          <w:r w:rsidRPr="00147D59">
            <w:rPr>
              <w:sz w:val="24"/>
              <w:bdr w:val="none" w:sz="0" w:space="0" w:color="auto" w:frame="1"/>
              <w:shd w:val="clear" w:color="auto" w:fill="FFFFFF"/>
              <w:lang w:eastAsia="nl-NL"/>
            </w:rPr>
            <w:fldChar w:fldCharType="separate"/>
          </w:r>
          <w:r w:rsidRPr="00147D59">
            <w:rPr>
              <w:noProof/>
              <w:sz w:val="24"/>
              <w:bdr w:val="none" w:sz="0" w:space="0" w:color="auto" w:frame="1"/>
              <w:shd w:val="clear" w:color="auto" w:fill="FFFFFF"/>
              <w:lang w:eastAsia="nl-NL"/>
            </w:rPr>
            <w:t>(2014)</w:t>
          </w:r>
          <w:r w:rsidRPr="00147D59">
            <w:rPr>
              <w:sz w:val="24"/>
              <w:bdr w:val="none" w:sz="0" w:space="0" w:color="auto" w:frame="1"/>
              <w:shd w:val="clear" w:color="auto" w:fill="FFFFFF"/>
              <w:lang w:eastAsia="nl-NL"/>
            </w:rPr>
            <w:fldChar w:fldCharType="end"/>
          </w:r>
        </w:sdtContent>
      </w:sdt>
      <w:r w:rsidRPr="00147D59">
        <w:rPr>
          <w:sz w:val="24"/>
          <w:bdr w:val="none" w:sz="0" w:space="0" w:color="auto" w:frame="1"/>
          <w:shd w:val="clear" w:color="auto" w:fill="FFFFFF"/>
          <w:lang w:eastAsia="nl-NL"/>
        </w:rPr>
        <w:t xml:space="preserve"> found 5% higher bidder returns for firms operating in the same industry. All acquiring firms are operating in the Energy and Power industry. However, target firms can be from any industry. The synergy effects will be investigated on two levels, macro- and mid-industry. A dummy will be used to test this effect. At both levels, there will be only a distinction between related and non-related where related is the dummy variable and non-related is the constant term.</w:t>
      </w:r>
    </w:p>
    <w:p w:rsidR="005375F7" w:rsidRPr="00147D59" w:rsidRDefault="005375F7" w:rsidP="005E19AF">
      <w:pPr>
        <w:spacing w:line="360" w:lineRule="auto"/>
        <w:jc w:val="both"/>
        <w:rPr>
          <w:b/>
          <w:sz w:val="24"/>
          <w:bdr w:val="none" w:sz="0" w:space="0" w:color="auto" w:frame="1"/>
          <w:shd w:val="clear" w:color="auto" w:fill="FFFFFF"/>
          <w:lang w:eastAsia="nl-NL"/>
        </w:rPr>
      </w:pPr>
      <w:r w:rsidRPr="00147D59">
        <w:rPr>
          <w:b/>
          <w:sz w:val="24"/>
          <w:bdr w:val="none" w:sz="0" w:space="0" w:color="auto" w:frame="1"/>
          <w:shd w:val="clear" w:color="auto" w:fill="FFFFFF"/>
          <w:lang w:eastAsia="nl-NL"/>
        </w:rPr>
        <w:lastRenderedPageBreak/>
        <w:t>Size</w:t>
      </w:r>
    </w:p>
    <w:p w:rsidR="00CF527B" w:rsidRPr="00147D59" w:rsidRDefault="00CF527B" w:rsidP="005E19AF">
      <w:pPr>
        <w:spacing w:line="360" w:lineRule="auto"/>
        <w:jc w:val="both"/>
        <w:rPr>
          <w:sz w:val="24"/>
          <w:bdr w:val="none" w:sz="0" w:space="0" w:color="auto" w:frame="1"/>
          <w:shd w:val="clear" w:color="auto" w:fill="FFFFFF"/>
          <w:lang w:eastAsia="nl-NL"/>
        </w:rPr>
      </w:pPr>
      <w:r w:rsidRPr="00147D59">
        <w:rPr>
          <w:sz w:val="24"/>
          <w:bdr w:val="none" w:sz="0" w:space="0" w:color="auto" w:frame="1"/>
          <w:shd w:val="clear" w:color="auto" w:fill="FFFFFF"/>
          <w:lang w:eastAsia="nl-NL"/>
        </w:rPr>
        <w:t xml:space="preserve">To investigate the last hypothesis, the variable size will be used. Size also seems to play an important role in explaining abnormal returns. Moeller, Schlingemann &amp; Stulz </w:t>
      </w:r>
      <w:sdt>
        <w:sdtPr>
          <w:rPr>
            <w:sz w:val="24"/>
            <w:bdr w:val="none" w:sz="0" w:space="0" w:color="auto" w:frame="1"/>
            <w:shd w:val="clear" w:color="auto" w:fill="FFFFFF"/>
            <w:lang w:eastAsia="nl-NL"/>
          </w:rPr>
          <w:id w:val="1849356201"/>
          <w:citation/>
        </w:sdtPr>
        <w:sdtEndPr/>
        <w:sdtContent>
          <w:r w:rsidRPr="00147D59">
            <w:rPr>
              <w:sz w:val="24"/>
              <w:bdr w:val="none" w:sz="0" w:space="0" w:color="auto" w:frame="1"/>
              <w:shd w:val="clear" w:color="auto" w:fill="FFFFFF"/>
              <w:lang w:eastAsia="nl-NL"/>
            </w:rPr>
            <w:fldChar w:fldCharType="begin"/>
          </w:r>
          <w:r w:rsidRPr="00147D59">
            <w:rPr>
              <w:sz w:val="24"/>
              <w:bdr w:val="none" w:sz="0" w:space="0" w:color="auto" w:frame="1"/>
              <w:shd w:val="clear" w:color="auto" w:fill="FFFFFF"/>
              <w:lang w:eastAsia="nl-NL"/>
            </w:rPr>
            <w:instrText xml:space="preserve">CITATION Moe04 \n  \t  \l 1043 </w:instrText>
          </w:r>
          <w:r w:rsidRPr="00147D59">
            <w:rPr>
              <w:sz w:val="24"/>
              <w:bdr w:val="none" w:sz="0" w:space="0" w:color="auto" w:frame="1"/>
              <w:shd w:val="clear" w:color="auto" w:fill="FFFFFF"/>
              <w:lang w:eastAsia="nl-NL"/>
            </w:rPr>
            <w:fldChar w:fldCharType="separate"/>
          </w:r>
          <w:r w:rsidRPr="00147D59">
            <w:rPr>
              <w:noProof/>
              <w:sz w:val="24"/>
              <w:bdr w:val="none" w:sz="0" w:space="0" w:color="auto" w:frame="1"/>
              <w:shd w:val="clear" w:color="auto" w:fill="FFFFFF"/>
              <w:lang w:eastAsia="nl-NL"/>
            </w:rPr>
            <w:t>(2004)</w:t>
          </w:r>
          <w:r w:rsidRPr="00147D59">
            <w:rPr>
              <w:sz w:val="24"/>
              <w:bdr w:val="none" w:sz="0" w:space="0" w:color="auto" w:frame="1"/>
              <w:shd w:val="clear" w:color="auto" w:fill="FFFFFF"/>
              <w:lang w:eastAsia="nl-NL"/>
            </w:rPr>
            <w:fldChar w:fldCharType="end"/>
          </w:r>
        </w:sdtContent>
      </w:sdt>
      <w:r w:rsidRPr="00147D59">
        <w:rPr>
          <w:sz w:val="24"/>
          <w:bdr w:val="none" w:sz="0" w:space="0" w:color="auto" w:frame="1"/>
          <w:shd w:val="clear" w:color="auto" w:fill="FFFFFF"/>
          <w:lang w:eastAsia="nl-NL"/>
        </w:rPr>
        <w:t xml:space="preserve"> found that small firms have higher returns when entering in to a merger or acquisition in comparison to larger firms. Also the size of the target firm can play a role. Jarrel &amp; Poulsen </w:t>
      </w:r>
      <w:sdt>
        <w:sdtPr>
          <w:rPr>
            <w:sz w:val="24"/>
          </w:rPr>
          <w:id w:val="180637631"/>
          <w:citation/>
        </w:sdtPr>
        <w:sdtEndPr/>
        <w:sdtContent>
          <w:r w:rsidRPr="00147D59">
            <w:rPr>
              <w:sz w:val="24"/>
            </w:rPr>
            <w:fldChar w:fldCharType="begin"/>
          </w:r>
          <w:r w:rsidRPr="00147D59">
            <w:rPr>
              <w:sz w:val="24"/>
            </w:rPr>
            <w:instrText xml:space="preserve">CITATION Jar89 \n  \t  \l 1043 </w:instrText>
          </w:r>
          <w:r w:rsidRPr="00147D59">
            <w:rPr>
              <w:sz w:val="24"/>
            </w:rPr>
            <w:fldChar w:fldCharType="separate"/>
          </w:r>
          <w:r w:rsidRPr="00147D59">
            <w:rPr>
              <w:noProof/>
              <w:sz w:val="24"/>
            </w:rPr>
            <w:t>(1989)</w:t>
          </w:r>
          <w:r w:rsidRPr="00147D59">
            <w:rPr>
              <w:sz w:val="24"/>
            </w:rPr>
            <w:fldChar w:fldCharType="end"/>
          </w:r>
        </w:sdtContent>
      </w:sdt>
      <w:r w:rsidRPr="00147D59">
        <w:rPr>
          <w:sz w:val="24"/>
        </w:rPr>
        <w:t xml:space="preserve"> explain this, because the acquiring firm can be a lot larger in comparison to the target and this can delude the effect on abnormal returns. The determinant used will be the natural logarithm of the market value. The natural logarithm of a value reduces the power of outliers without undermining the relative size.</w:t>
      </w:r>
    </w:p>
    <w:p w:rsidR="006B58E4" w:rsidRPr="00147D59" w:rsidRDefault="006B58E4" w:rsidP="005E19AF">
      <w:pPr>
        <w:pStyle w:val="NoSpacing"/>
        <w:spacing w:line="360" w:lineRule="auto"/>
        <w:jc w:val="both"/>
        <w:rPr>
          <w:b/>
          <w:sz w:val="24"/>
          <w:bdr w:val="none" w:sz="0" w:space="0" w:color="auto" w:frame="1"/>
          <w:shd w:val="clear" w:color="auto" w:fill="FFFFFF"/>
          <w:lang w:eastAsia="nl-NL"/>
        </w:rPr>
      </w:pPr>
      <w:r w:rsidRPr="00147D59">
        <w:rPr>
          <w:b/>
          <w:sz w:val="24"/>
          <w:bdr w:val="none" w:sz="0" w:space="0" w:color="auto" w:frame="1"/>
          <w:shd w:val="clear" w:color="auto" w:fill="FFFFFF"/>
          <w:lang w:eastAsia="nl-NL"/>
        </w:rPr>
        <w:t>Market-to-book ratio</w:t>
      </w:r>
    </w:p>
    <w:p w:rsidR="006B58E4" w:rsidRPr="00147D59" w:rsidRDefault="006B58E4" w:rsidP="005E19AF">
      <w:pPr>
        <w:spacing w:line="360" w:lineRule="auto"/>
        <w:jc w:val="both"/>
        <w:rPr>
          <w:sz w:val="24"/>
          <w:bdr w:val="none" w:sz="0" w:space="0" w:color="auto" w:frame="1"/>
          <w:shd w:val="clear" w:color="auto" w:fill="FFFFFF"/>
          <w:lang w:eastAsia="nl-NL"/>
        </w:rPr>
      </w:pPr>
      <w:r w:rsidRPr="00147D59">
        <w:rPr>
          <w:sz w:val="24"/>
          <w:bdr w:val="none" w:sz="0" w:space="0" w:color="auto" w:frame="1"/>
          <w:shd w:val="clear" w:color="auto" w:fill="FFFFFF"/>
          <w:lang w:eastAsia="nl-NL"/>
        </w:rPr>
        <w:t xml:space="preserve">A lot of research has been done on the difference between glamour stocks and value stocks in the stock market. Value stocks usually represent undervaluation of the stock and is expected to rise on the long term.  But there is still enough research to be done for the difference between these two in the event of a merger or acquisition. The determinant that will be used to investigate this is the Book-to-market. Where a high book-to-market ratio usually represents a value firm and vice versa. </w:t>
      </w:r>
    </w:p>
    <w:p w:rsidR="005913BC" w:rsidRPr="00147D59" w:rsidRDefault="005913BC" w:rsidP="005E19AF">
      <w:pPr>
        <w:spacing w:line="360" w:lineRule="auto"/>
        <w:jc w:val="both"/>
        <w:rPr>
          <w:b/>
          <w:sz w:val="24"/>
          <w:bdr w:val="none" w:sz="0" w:space="0" w:color="auto" w:frame="1"/>
          <w:shd w:val="clear" w:color="auto" w:fill="FFFFFF"/>
          <w:lang w:eastAsia="nl-NL"/>
        </w:rPr>
      </w:pPr>
      <w:r w:rsidRPr="00147D59">
        <w:rPr>
          <w:b/>
          <w:sz w:val="24"/>
          <w:bdr w:val="none" w:sz="0" w:space="0" w:color="auto" w:frame="1"/>
          <w:shd w:val="clear" w:color="auto" w:fill="FFFFFF"/>
          <w:lang w:eastAsia="nl-NL"/>
        </w:rPr>
        <w:t>Price/Earnings ratio</w:t>
      </w:r>
    </w:p>
    <w:p w:rsidR="007C2AC7" w:rsidRPr="00147D59" w:rsidRDefault="007C2AC7" w:rsidP="005E19AF">
      <w:pPr>
        <w:spacing w:line="360" w:lineRule="auto"/>
        <w:jc w:val="both"/>
        <w:rPr>
          <w:sz w:val="24"/>
          <w:bdr w:val="none" w:sz="0" w:space="0" w:color="auto" w:frame="1"/>
          <w:shd w:val="clear" w:color="auto" w:fill="FFFFFF"/>
          <w:lang w:eastAsia="nl-NL"/>
        </w:rPr>
      </w:pPr>
      <w:r w:rsidRPr="00147D59">
        <w:rPr>
          <w:sz w:val="24"/>
          <w:bdr w:val="none" w:sz="0" w:space="0" w:color="auto" w:frame="1"/>
          <w:shd w:val="clear" w:color="auto" w:fill="FFFFFF"/>
          <w:lang w:eastAsia="nl-NL"/>
        </w:rPr>
        <w:t xml:space="preserve">The price/earnings (P/E) ratio is an indicator for the over- or undervaluation of stocks compared to different companies. The higher the P/E, usually the higher overvaluation of the stock. The effect of this determinant will be regressed against the CAR to see if this has any effect on the abnormal returns. </w:t>
      </w:r>
    </w:p>
    <w:p w:rsidR="00B35EDC" w:rsidRPr="00147D59" w:rsidRDefault="00B35EDC" w:rsidP="005E19AF">
      <w:pPr>
        <w:spacing w:line="360" w:lineRule="auto"/>
        <w:jc w:val="both"/>
        <w:rPr>
          <w:b/>
          <w:sz w:val="24"/>
          <w:bdr w:val="none" w:sz="0" w:space="0" w:color="auto" w:frame="1"/>
          <w:shd w:val="clear" w:color="auto" w:fill="FFFFFF"/>
          <w:lang w:eastAsia="nl-NL"/>
        </w:rPr>
      </w:pPr>
      <w:r w:rsidRPr="00147D59">
        <w:rPr>
          <w:b/>
          <w:sz w:val="24"/>
          <w:bdr w:val="none" w:sz="0" w:space="0" w:color="auto" w:frame="1"/>
          <w:shd w:val="clear" w:color="auto" w:fill="FFFFFF"/>
          <w:lang w:eastAsia="nl-NL"/>
        </w:rPr>
        <w:t xml:space="preserve">Earnings </w:t>
      </w:r>
      <w:r w:rsidR="00DC1895" w:rsidRPr="00147D59">
        <w:rPr>
          <w:b/>
          <w:sz w:val="24"/>
          <w:bdr w:val="none" w:sz="0" w:space="0" w:color="auto" w:frame="1"/>
          <w:shd w:val="clear" w:color="auto" w:fill="FFFFFF"/>
          <w:lang w:eastAsia="nl-NL"/>
        </w:rPr>
        <w:t>per</w:t>
      </w:r>
      <w:r w:rsidRPr="00147D59">
        <w:rPr>
          <w:b/>
          <w:sz w:val="24"/>
          <w:bdr w:val="none" w:sz="0" w:space="0" w:color="auto" w:frame="1"/>
          <w:shd w:val="clear" w:color="auto" w:fill="FFFFFF"/>
          <w:lang w:eastAsia="nl-NL"/>
        </w:rPr>
        <w:t xml:space="preserve"> Share</w:t>
      </w:r>
    </w:p>
    <w:p w:rsidR="005913BC" w:rsidRPr="00147D59" w:rsidRDefault="00A36309" w:rsidP="005E19AF">
      <w:pPr>
        <w:spacing w:line="360" w:lineRule="auto"/>
        <w:jc w:val="both"/>
        <w:rPr>
          <w:sz w:val="24"/>
          <w:bdr w:val="none" w:sz="0" w:space="0" w:color="auto" w:frame="1"/>
          <w:shd w:val="clear" w:color="auto" w:fill="FFFFFF"/>
          <w:lang w:eastAsia="nl-NL"/>
        </w:rPr>
      </w:pPr>
      <w:r w:rsidRPr="00147D59">
        <w:rPr>
          <w:sz w:val="24"/>
          <w:bdr w:val="none" w:sz="0" w:space="0" w:color="auto" w:frame="1"/>
          <w:shd w:val="clear" w:color="auto" w:fill="FFFFFF"/>
          <w:lang w:eastAsia="nl-NL"/>
        </w:rPr>
        <w:t>Besides the price/earnings ratio, earnings per share (EPS) also offers a view on how the company</w:t>
      </w:r>
      <w:r w:rsidR="005913BC" w:rsidRPr="00147D59">
        <w:rPr>
          <w:sz w:val="24"/>
          <w:bdr w:val="none" w:sz="0" w:space="0" w:color="auto" w:frame="1"/>
          <w:shd w:val="clear" w:color="auto" w:fill="FFFFFF"/>
          <w:lang w:eastAsia="nl-NL"/>
        </w:rPr>
        <w:t>’s profits are divided among the shareholders. The EPS is the net income divided by the common shares outstanding. A higher EPS usually represents a higher profitability.</w:t>
      </w:r>
    </w:p>
    <w:p w:rsidR="00DC1895" w:rsidRDefault="00DC1895" w:rsidP="005E19AF">
      <w:pPr>
        <w:spacing w:line="360" w:lineRule="auto"/>
        <w:jc w:val="both"/>
        <w:rPr>
          <w:b/>
          <w:sz w:val="24"/>
          <w:bdr w:val="none" w:sz="0" w:space="0" w:color="auto" w:frame="1"/>
          <w:shd w:val="clear" w:color="auto" w:fill="FFFFFF"/>
          <w:lang w:eastAsia="nl-NL"/>
        </w:rPr>
      </w:pPr>
    </w:p>
    <w:p w:rsidR="001A014B" w:rsidRPr="00147D59" w:rsidRDefault="001A014B" w:rsidP="005E19AF">
      <w:pPr>
        <w:spacing w:line="360" w:lineRule="auto"/>
        <w:jc w:val="both"/>
        <w:rPr>
          <w:b/>
          <w:sz w:val="24"/>
          <w:bdr w:val="none" w:sz="0" w:space="0" w:color="auto" w:frame="1"/>
          <w:shd w:val="clear" w:color="auto" w:fill="FFFFFF"/>
          <w:lang w:eastAsia="nl-NL"/>
        </w:rPr>
      </w:pPr>
      <w:r w:rsidRPr="00147D59">
        <w:rPr>
          <w:b/>
          <w:sz w:val="24"/>
          <w:bdr w:val="none" w:sz="0" w:space="0" w:color="auto" w:frame="1"/>
          <w:shd w:val="clear" w:color="auto" w:fill="FFFFFF"/>
          <w:lang w:eastAsia="nl-NL"/>
        </w:rPr>
        <w:lastRenderedPageBreak/>
        <w:t>Purpose of the M&amp;A dummies</w:t>
      </w:r>
    </w:p>
    <w:p w:rsidR="001A014B" w:rsidRPr="00147D59" w:rsidRDefault="00726AE3" w:rsidP="005E19AF">
      <w:pPr>
        <w:spacing w:line="360" w:lineRule="auto"/>
        <w:jc w:val="both"/>
        <w:rPr>
          <w:sz w:val="24"/>
          <w:bdr w:val="none" w:sz="0" w:space="0" w:color="auto" w:frame="1"/>
          <w:shd w:val="clear" w:color="auto" w:fill="FFFFFF"/>
          <w:lang w:eastAsia="nl-NL"/>
        </w:rPr>
      </w:pPr>
      <w:r w:rsidRPr="00147D59">
        <w:rPr>
          <w:sz w:val="24"/>
          <w:bdr w:val="none" w:sz="0" w:space="0" w:color="auto" w:frame="1"/>
          <w:shd w:val="clear" w:color="auto" w:fill="FFFFFF"/>
          <w:lang w:eastAsia="nl-NL"/>
        </w:rPr>
        <w:t xml:space="preserve">When a merger or acquisition is announced, the firm releases the purpose of the event. This can be several reasons and most of the times more than one is given. The purposes used are retrieved from the Thomson One database and may give an insight on how firms ‘sold’ the merger or acquisition to their stockholders and to the rest of the world. The most common reason is to strengthen their operations, this is to compete better with competitors with a more efficient use of their assets. </w:t>
      </w:r>
      <w:r w:rsidR="00340B38" w:rsidRPr="00147D59">
        <w:rPr>
          <w:sz w:val="24"/>
          <w:bdr w:val="none" w:sz="0" w:space="0" w:color="auto" w:frame="1"/>
          <w:shd w:val="clear" w:color="auto" w:fill="FFFFFF"/>
          <w:lang w:eastAsia="nl-NL"/>
        </w:rPr>
        <w:t>Realizing s</w:t>
      </w:r>
      <w:r w:rsidRPr="00147D59">
        <w:rPr>
          <w:sz w:val="24"/>
          <w:bdr w:val="none" w:sz="0" w:space="0" w:color="auto" w:frame="1"/>
          <w:shd w:val="clear" w:color="auto" w:fill="FFFFFF"/>
          <w:lang w:eastAsia="nl-NL"/>
        </w:rPr>
        <w:t>ynerg</w:t>
      </w:r>
      <w:r w:rsidR="00340B38" w:rsidRPr="00147D59">
        <w:rPr>
          <w:sz w:val="24"/>
          <w:bdr w:val="none" w:sz="0" w:space="0" w:color="auto" w:frame="1"/>
          <w:shd w:val="clear" w:color="auto" w:fill="FFFFFF"/>
          <w:lang w:eastAsia="nl-NL"/>
        </w:rPr>
        <w:t>y effects is also a common motivator why firms decide to acquire, this can also support the first hypothesis. Furthermore, creating shareholder value, expanding the line of products and expansion to new markets are also given to be the purposes of the mergers or acquisitions. A dummy will be created for all these five purposes and will be tested for significance.</w:t>
      </w:r>
    </w:p>
    <w:p w:rsidR="00392C5E" w:rsidRPr="00147D59" w:rsidRDefault="00392C5E" w:rsidP="005E19AF">
      <w:pPr>
        <w:spacing w:line="360" w:lineRule="auto"/>
        <w:jc w:val="both"/>
        <w:rPr>
          <w:b/>
          <w:sz w:val="24"/>
          <w:bdr w:val="none" w:sz="0" w:space="0" w:color="auto" w:frame="1"/>
          <w:shd w:val="clear" w:color="auto" w:fill="FFFFFF"/>
          <w:lang w:eastAsia="nl-NL"/>
        </w:rPr>
      </w:pPr>
      <w:r w:rsidRPr="00147D59">
        <w:rPr>
          <w:b/>
          <w:sz w:val="24"/>
          <w:bdr w:val="none" w:sz="0" w:space="0" w:color="auto" w:frame="1"/>
          <w:shd w:val="clear" w:color="auto" w:fill="FFFFFF"/>
          <w:lang w:eastAsia="nl-NL"/>
        </w:rPr>
        <w:t>Fixed-Year Effects</w:t>
      </w:r>
    </w:p>
    <w:p w:rsidR="00392C5E" w:rsidRPr="00147D59" w:rsidRDefault="00392C5E" w:rsidP="005E19AF">
      <w:pPr>
        <w:spacing w:line="360" w:lineRule="auto"/>
        <w:jc w:val="both"/>
        <w:rPr>
          <w:sz w:val="24"/>
          <w:bdr w:val="none" w:sz="0" w:space="0" w:color="auto" w:frame="1"/>
          <w:shd w:val="clear" w:color="auto" w:fill="FFFFFF"/>
          <w:lang w:eastAsia="nl-NL"/>
        </w:rPr>
      </w:pPr>
      <w:r w:rsidRPr="00147D59">
        <w:rPr>
          <w:sz w:val="24"/>
          <w:bdr w:val="none" w:sz="0" w:space="0" w:color="auto" w:frame="1"/>
          <w:shd w:val="clear" w:color="auto" w:fill="FFFFFF"/>
          <w:lang w:eastAsia="nl-NL"/>
        </w:rPr>
        <w:t>To account for the differences through the years in regulation, industry size and merger waves, the fixed year effects will be added to every regression to rule out any differences throughout the years and thus making the regression more correct.</w:t>
      </w:r>
    </w:p>
    <w:p w:rsidR="0060111A" w:rsidRPr="00147D59" w:rsidRDefault="00220321" w:rsidP="005E19AF">
      <w:pPr>
        <w:pStyle w:val="Heading2"/>
        <w:jc w:val="both"/>
        <w:rPr>
          <w:bdr w:val="none" w:sz="0" w:space="0" w:color="auto" w:frame="1"/>
          <w:shd w:val="clear" w:color="auto" w:fill="FFFFFF"/>
          <w:lang w:eastAsia="nl-NL"/>
        </w:rPr>
      </w:pPr>
      <w:bookmarkStart w:id="17" w:name="_Toc13477602"/>
      <w:r w:rsidRPr="00147D59">
        <w:rPr>
          <w:bdr w:val="none" w:sz="0" w:space="0" w:color="auto" w:frame="1"/>
          <w:shd w:val="clear" w:color="auto" w:fill="FFFFFF"/>
          <w:lang w:eastAsia="nl-NL"/>
        </w:rPr>
        <w:t xml:space="preserve">3.2.2 </w:t>
      </w:r>
      <w:r w:rsidR="008B71B2" w:rsidRPr="00147D59">
        <w:rPr>
          <w:bdr w:val="none" w:sz="0" w:space="0" w:color="auto" w:frame="1"/>
          <w:shd w:val="clear" w:color="auto" w:fill="FFFFFF"/>
          <w:lang w:eastAsia="nl-NL"/>
        </w:rPr>
        <w:t>Application</w:t>
      </w:r>
      <w:r w:rsidRPr="00147D59">
        <w:rPr>
          <w:bdr w:val="none" w:sz="0" w:space="0" w:color="auto" w:frame="1"/>
          <w:shd w:val="clear" w:color="auto" w:fill="FFFFFF"/>
          <w:lang w:eastAsia="nl-NL"/>
        </w:rPr>
        <w:t xml:space="preserve"> of the regression</w:t>
      </w:r>
      <w:bookmarkEnd w:id="17"/>
    </w:p>
    <w:p w:rsidR="0060111A" w:rsidRPr="00147D59" w:rsidRDefault="00714BB8" w:rsidP="005E19AF">
      <w:pPr>
        <w:spacing w:line="360" w:lineRule="auto"/>
        <w:jc w:val="both"/>
        <w:rPr>
          <w:sz w:val="24"/>
          <w:bdr w:val="none" w:sz="0" w:space="0" w:color="auto" w:frame="1"/>
          <w:shd w:val="clear" w:color="auto" w:fill="FFFFFF"/>
          <w:lang w:eastAsia="nl-NL"/>
        </w:rPr>
      </w:pPr>
      <w:r w:rsidRPr="00147D59">
        <w:rPr>
          <w:sz w:val="24"/>
          <w:bdr w:val="none" w:sz="0" w:space="0" w:color="auto" w:frame="1"/>
          <w:shd w:val="clear" w:color="auto" w:fill="FFFFFF"/>
          <w:lang w:eastAsia="nl-NL"/>
        </w:rPr>
        <w:t>The method that will be used to calculate the explanatory value of the determinants will be done through regression analysis. First all determinants will be regressed separately against the CAR, with the CAR as dependent variable and the determinants as independent variables.</w:t>
      </w:r>
      <w:r w:rsidR="00116AFD">
        <w:rPr>
          <w:sz w:val="24"/>
          <w:bdr w:val="none" w:sz="0" w:space="0" w:color="auto" w:frame="1"/>
          <w:shd w:val="clear" w:color="auto" w:fill="FFFFFF"/>
          <w:lang w:eastAsia="nl-NL"/>
        </w:rPr>
        <w:t xml:space="preserve"> And against each other, to see if there is multicollinearity.</w:t>
      </w:r>
      <w:r w:rsidRPr="00147D59">
        <w:rPr>
          <w:sz w:val="24"/>
          <w:bdr w:val="none" w:sz="0" w:space="0" w:color="auto" w:frame="1"/>
          <w:shd w:val="clear" w:color="auto" w:fill="FFFFFF"/>
          <w:lang w:eastAsia="nl-NL"/>
        </w:rPr>
        <w:t xml:space="preserve"> Formula 5 gives </w:t>
      </w:r>
      <w:r w:rsidR="00116AFD">
        <w:rPr>
          <w:sz w:val="24"/>
          <w:bdr w:val="none" w:sz="0" w:space="0" w:color="auto" w:frame="1"/>
          <w:shd w:val="clear" w:color="auto" w:fill="FFFFFF"/>
          <w:lang w:eastAsia="nl-NL"/>
        </w:rPr>
        <w:t>the relationship that the CAR and the variables have</w:t>
      </w:r>
    </w:p>
    <w:p w:rsidR="00714BB8" w:rsidRPr="00147D59" w:rsidRDefault="000317E8" w:rsidP="005E19AF">
      <w:pPr>
        <w:spacing w:line="360" w:lineRule="auto"/>
        <w:jc w:val="right"/>
        <w:rPr>
          <w:rFonts w:eastAsiaTheme="minorEastAsia"/>
          <w:sz w:val="24"/>
          <w:bdr w:val="none" w:sz="0" w:space="0" w:color="auto" w:frame="1"/>
          <w:shd w:val="clear" w:color="auto" w:fill="FFFFFF"/>
          <w:lang w:eastAsia="nl-NL"/>
        </w:rPr>
      </w:pPr>
      <m:oMath>
        <m:sSub>
          <m:sSubPr>
            <m:ctrlPr>
              <w:rPr>
                <w:rFonts w:ascii="Cambria Math" w:hAnsi="Cambria Math"/>
                <w:i/>
                <w:sz w:val="24"/>
                <w:bdr w:val="none" w:sz="0" w:space="0" w:color="auto" w:frame="1"/>
                <w:shd w:val="clear" w:color="auto" w:fill="FFFFFF"/>
                <w:lang w:eastAsia="nl-NL"/>
              </w:rPr>
            </m:ctrlPr>
          </m:sSubPr>
          <m:e>
            <m:r>
              <w:rPr>
                <w:rFonts w:ascii="Cambria Math" w:hAnsi="Cambria Math"/>
                <w:sz w:val="24"/>
                <w:bdr w:val="none" w:sz="0" w:space="0" w:color="auto" w:frame="1"/>
                <w:shd w:val="clear" w:color="auto" w:fill="FFFFFF"/>
                <w:lang w:eastAsia="nl-NL"/>
              </w:rPr>
              <m:t xml:space="preserve">   CAR</m:t>
            </m:r>
          </m:e>
          <m:sub>
            <m:r>
              <w:rPr>
                <w:rFonts w:ascii="Cambria Math" w:hAnsi="Cambria Math"/>
                <w:sz w:val="24"/>
                <w:bdr w:val="none" w:sz="0" w:space="0" w:color="auto" w:frame="1"/>
                <w:shd w:val="clear" w:color="auto" w:fill="FFFFFF"/>
                <w:lang w:eastAsia="nl-NL"/>
              </w:rPr>
              <m:t>i[K,L]</m:t>
            </m:r>
          </m:sub>
        </m:sSub>
        <m:r>
          <w:rPr>
            <w:rFonts w:ascii="Cambria Math" w:eastAsiaTheme="minorEastAsia" w:hAnsi="Cambria Math"/>
            <w:sz w:val="24"/>
            <w:bdr w:val="none" w:sz="0" w:space="0" w:color="auto" w:frame="1"/>
            <w:shd w:val="clear" w:color="auto" w:fill="FFFFFF"/>
            <w:lang w:eastAsia="nl-NL"/>
          </w:rPr>
          <m:t>=α+</m:t>
        </m:r>
        <m:sSub>
          <m:sSubPr>
            <m:ctrlPr>
              <w:rPr>
                <w:rFonts w:ascii="Cambria Math" w:eastAsiaTheme="minorEastAsia" w:hAnsi="Cambria Math"/>
                <w:i/>
                <w:sz w:val="24"/>
                <w:bdr w:val="none" w:sz="0" w:space="0" w:color="auto" w:frame="1"/>
                <w:shd w:val="clear" w:color="auto" w:fill="FFFFFF"/>
                <w:lang w:eastAsia="nl-NL"/>
              </w:rPr>
            </m:ctrlPr>
          </m:sSubPr>
          <m:e>
            <m:r>
              <w:rPr>
                <w:rFonts w:ascii="Cambria Math" w:eastAsiaTheme="minorEastAsia" w:hAnsi="Cambria Math"/>
                <w:sz w:val="24"/>
                <w:bdr w:val="none" w:sz="0" w:space="0" w:color="auto" w:frame="1"/>
                <w:shd w:val="clear" w:color="auto" w:fill="FFFFFF"/>
                <w:lang w:eastAsia="nl-NL"/>
              </w:rPr>
              <m:t>β</m:t>
            </m:r>
          </m:e>
          <m:sub>
            <m:r>
              <w:rPr>
                <w:rFonts w:ascii="Cambria Math" w:eastAsiaTheme="minorEastAsia" w:hAnsi="Cambria Math"/>
                <w:sz w:val="24"/>
                <w:bdr w:val="none" w:sz="0" w:space="0" w:color="auto" w:frame="1"/>
                <w:shd w:val="clear" w:color="auto" w:fill="FFFFFF"/>
                <w:lang w:eastAsia="nl-NL"/>
              </w:rPr>
              <m:t>i,X</m:t>
            </m:r>
          </m:sub>
        </m:sSub>
        <m:sSub>
          <m:sSubPr>
            <m:ctrlPr>
              <w:rPr>
                <w:rFonts w:ascii="Cambria Math" w:eastAsiaTheme="minorEastAsia" w:hAnsi="Cambria Math"/>
                <w:i/>
                <w:sz w:val="24"/>
                <w:bdr w:val="none" w:sz="0" w:space="0" w:color="auto" w:frame="1"/>
                <w:shd w:val="clear" w:color="auto" w:fill="FFFFFF"/>
                <w:lang w:eastAsia="nl-NL"/>
              </w:rPr>
            </m:ctrlPr>
          </m:sSubPr>
          <m:e>
            <m:r>
              <w:rPr>
                <w:rFonts w:ascii="Cambria Math" w:eastAsiaTheme="minorEastAsia" w:hAnsi="Cambria Math"/>
                <w:sz w:val="24"/>
                <w:bdr w:val="none" w:sz="0" w:space="0" w:color="auto" w:frame="1"/>
                <w:shd w:val="clear" w:color="auto" w:fill="FFFFFF"/>
                <w:lang w:eastAsia="nl-NL"/>
              </w:rPr>
              <m:t>X</m:t>
            </m:r>
          </m:e>
          <m:sub>
            <m:r>
              <w:rPr>
                <w:rFonts w:ascii="Cambria Math" w:eastAsiaTheme="minorEastAsia" w:hAnsi="Cambria Math"/>
                <w:sz w:val="24"/>
                <w:bdr w:val="none" w:sz="0" w:space="0" w:color="auto" w:frame="1"/>
                <w:shd w:val="clear" w:color="auto" w:fill="FFFFFF"/>
                <w:lang w:eastAsia="nl-NL"/>
              </w:rPr>
              <m:t>i</m:t>
            </m:r>
          </m:sub>
        </m:sSub>
      </m:oMath>
      <w:r w:rsidR="008B71B2" w:rsidRPr="00147D59">
        <w:rPr>
          <w:rFonts w:eastAsiaTheme="minorEastAsia"/>
          <w:sz w:val="24"/>
          <w:bdr w:val="none" w:sz="0" w:space="0" w:color="auto" w:frame="1"/>
          <w:shd w:val="clear" w:color="auto" w:fill="FFFFFF"/>
          <w:lang w:eastAsia="nl-NL"/>
        </w:rPr>
        <w:tab/>
      </w:r>
      <w:r w:rsidR="00EE4A66" w:rsidRPr="00147D59">
        <w:rPr>
          <w:rFonts w:eastAsiaTheme="minorEastAsia"/>
          <w:sz w:val="24"/>
          <w:bdr w:val="none" w:sz="0" w:space="0" w:color="auto" w:frame="1"/>
          <w:shd w:val="clear" w:color="auto" w:fill="FFFFFF"/>
          <w:lang w:eastAsia="nl-NL"/>
        </w:rPr>
        <w:tab/>
      </w:r>
      <w:r w:rsidR="008B71B2" w:rsidRPr="00147D59">
        <w:rPr>
          <w:rFonts w:eastAsiaTheme="minorEastAsia"/>
          <w:sz w:val="24"/>
          <w:bdr w:val="none" w:sz="0" w:space="0" w:color="auto" w:frame="1"/>
          <w:shd w:val="clear" w:color="auto" w:fill="FFFFFF"/>
          <w:lang w:eastAsia="nl-NL"/>
        </w:rPr>
        <w:tab/>
      </w:r>
      <w:r w:rsidR="008B71B2" w:rsidRPr="00147D59">
        <w:rPr>
          <w:rFonts w:eastAsiaTheme="minorEastAsia"/>
          <w:sz w:val="24"/>
          <w:bdr w:val="none" w:sz="0" w:space="0" w:color="auto" w:frame="1"/>
          <w:shd w:val="clear" w:color="auto" w:fill="FFFFFF"/>
          <w:lang w:eastAsia="nl-NL"/>
        </w:rPr>
        <w:tab/>
      </w:r>
      <w:r w:rsidR="008B71B2" w:rsidRPr="00147D59">
        <w:rPr>
          <w:rFonts w:eastAsiaTheme="minorEastAsia"/>
          <w:sz w:val="24"/>
          <w:bdr w:val="none" w:sz="0" w:space="0" w:color="auto" w:frame="1"/>
          <w:shd w:val="clear" w:color="auto" w:fill="FFFFFF"/>
          <w:lang w:eastAsia="nl-NL"/>
        </w:rPr>
        <w:tab/>
        <w:t>(5)</w:t>
      </w:r>
    </w:p>
    <w:p w:rsidR="0060111A" w:rsidRPr="00147D59" w:rsidRDefault="008B71B2" w:rsidP="005E19AF">
      <w:pPr>
        <w:spacing w:line="360" w:lineRule="auto"/>
        <w:jc w:val="both"/>
        <w:rPr>
          <w:rFonts w:eastAsiaTheme="minorEastAsia"/>
          <w:sz w:val="24"/>
          <w:bdr w:val="none" w:sz="0" w:space="0" w:color="auto" w:frame="1"/>
          <w:shd w:val="clear" w:color="auto" w:fill="FFFFFF"/>
          <w:lang w:eastAsia="nl-NL"/>
        </w:rPr>
      </w:pPr>
      <w:r w:rsidRPr="00147D59">
        <w:rPr>
          <w:sz w:val="24"/>
          <w:bdr w:val="none" w:sz="0" w:space="0" w:color="auto" w:frame="1"/>
          <w:shd w:val="clear" w:color="auto" w:fill="FFFFFF"/>
          <w:lang w:eastAsia="nl-NL"/>
        </w:rPr>
        <w:t xml:space="preserve">Where </w:t>
      </w:r>
      <m:oMath>
        <m:r>
          <w:rPr>
            <w:rFonts w:ascii="Cambria Math" w:eastAsiaTheme="minorEastAsia" w:hAnsi="Cambria Math"/>
            <w:sz w:val="24"/>
            <w:bdr w:val="none" w:sz="0" w:space="0" w:color="auto" w:frame="1"/>
            <w:shd w:val="clear" w:color="auto" w:fill="FFFFFF"/>
            <w:lang w:eastAsia="nl-NL"/>
          </w:rPr>
          <m:t>α</m:t>
        </m:r>
      </m:oMath>
      <w:r w:rsidRPr="00147D59">
        <w:rPr>
          <w:rFonts w:eastAsiaTheme="minorEastAsia"/>
          <w:sz w:val="24"/>
          <w:bdr w:val="none" w:sz="0" w:space="0" w:color="auto" w:frame="1"/>
          <w:shd w:val="clear" w:color="auto" w:fill="FFFFFF"/>
          <w:lang w:eastAsia="nl-NL"/>
        </w:rPr>
        <w:t xml:space="preserve"> is the constant term and </w:t>
      </w:r>
      <m:oMath>
        <m:sSub>
          <m:sSubPr>
            <m:ctrlPr>
              <w:rPr>
                <w:rFonts w:ascii="Cambria Math" w:eastAsiaTheme="minorEastAsia" w:hAnsi="Cambria Math"/>
                <w:i/>
                <w:sz w:val="24"/>
                <w:bdr w:val="none" w:sz="0" w:space="0" w:color="auto" w:frame="1"/>
                <w:shd w:val="clear" w:color="auto" w:fill="FFFFFF"/>
                <w:lang w:eastAsia="nl-NL"/>
              </w:rPr>
            </m:ctrlPr>
          </m:sSubPr>
          <m:e>
            <m:r>
              <w:rPr>
                <w:rFonts w:ascii="Cambria Math" w:eastAsiaTheme="minorEastAsia" w:hAnsi="Cambria Math"/>
                <w:sz w:val="24"/>
                <w:bdr w:val="none" w:sz="0" w:space="0" w:color="auto" w:frame="1"/>
                <w:shd w:val="clear" w:color="auto" w:fill="FFFFFF"/>
                <w:lang w:eastAsia="nl-NL"/>
              </w:rPr>
              <m:t>β</m:t>
            </m:r>
          </m:e>
          <m:sub>
            <m:r>
              <w:rPr>
                <w:rFonts w:ascii="Cambria Math" w:eastAsiaTheme="minorEastAsia" w:hAnsi="Cambria Math"/>
                <w:sz w:val="24"/>
                <w:bdr w:val="none" w:sz="0" w:space="0" w:color="auto" w:frame="1"/>
                <w:shd w:val="clear" w:color="auto" w:fill="FFFFFF"/>
                <w:lang w:eastAsia="nl-NL"/>
              </w:rPr>
              <m:t>1</m:t>
            </m:r>
          </m:sub>
        </m:sSub>
      </m:oMath>
      <w:r w:rsidRPr="00147D59">
        <w:rPr>
          <w:rFonts w:eastAsiaTheme="minorEastAsia"/>
          <w:sz w:val="24"/>
          <w:bdr w:val="none" w:sz="0" w:space="0" w:color="auto" w:frame="1"/>
          <w:shd w:val="clear" w:color="auto" w:fill="FFFFFF"/>
          <w:lang w:eastAsia="nl-NL"/>
        </w:rPr>
        <w:t xml:space="preserve"> is the slope of the regression of the determinant calculated. </w:t>
      </w:r>
      <w:r w:rsidR="00116AFD">
        <w:rPr>
          <w:rFonts w:eastAsiaTheme="minorEastAsia"/>
          <w:sz w:val="24"/>
          <w:bdr w:val="none" w:sz="0" w:space="0" w:color="auto" w:frame="1"/>
          <w:shd w:val="clear" w:color="auto" w:fill="FFFFFF"/>
          <w:lang w:eastAsia="nl-NL"/>
        </w:rPr>
        <w:t xml:space="preserve">All the terms will be checked for any linear relationship in the Pearson Matrix, the sign denotes a positive or negative relationship. The bigger the coefficient, the bigger the effect. All variables will then be put in a multivariate model to be checked if they have any </w:t>
      </w:r>
      <w:r w:rsidR="00116AFD">
        <w:rPr>
          <w:rFonts w:eastAsiaTheme="minorEastAsia"/>
          <w:sz w:val="24"/>
          <w:bdr w:val="none" w:sz="0" w:space="0" w:color="auto" w:frame="1"/>
          <w:shd w:val="clear" w:color="auto" w:fill="FFFFFF"/>
          <w:lang w:eastAsia="nl-NL"/>
        </w:rPr>
        <w:lastRenderedPageBreak/>
        <w:t xml:space="preserve">effect on the CAR. </w:t>
      </w:r>
      <w:r w:rsidR="00D53ED7" w:rsidRPr="00147D59">
        <w:rPr>
          <w:rFonts w:eastAsiaTheme="minorEastAsia"/>
          <w:sz w:val="24"/>
          <w:bdr w:val="none" w:sz="0" w:space="0" w:color="auto" w:frame="1"/>
          <w:shd w:val="clear" w:color="auto" w:fill="FFFFFF"/>
          <w:lang w:eastAsia="nl-NL"/>
        </w:rPr>
        <w:t xml:space="preserve">All variables will be tested for significance. </w:t>
      </w:r>
      <w:r w:rsidR="00116AFD">
        <w:rPr>
          <w:rFonts w:eastAsiaTheme="minorEastAsia"/>
          <w:sz w:val="24"/>
          <w:bdr w:val="none" w:sz="0" w:space="0" w:color="auto" w:frame="1"/>
          <w:shd w:val="clear" w:color="auto" w:fill="FFFFFF"/>
          <w:lang w:eastAsia="nl-NL"/>
        </w:rPr>
        <w:t>The multivariate regression is formulated in formula 6:</w:t>
      </w:r>
    </w:p>
    <w:p w:rsidR="008F17C8" w:rsidRPr="00147D59" w:rsidRDefault="00457E2E" w:rsidP="005E19AF">
      <w:pPr>
        <w:spacing w:line="360" w:lineRule="auto"/>
        <w:jc w:val="right"/>
        <w:rPr>
          <w:rFonts w:eastAsiaTheme="minorEastAsia"/>
          <w:sz w:val="24"/>
          <w:bdr w:val="none" w:sz="0" w:space="0" w:color="auto" w:frame="1"/>
          <w:shd w:val="clear" w:color="auto" w:fill="FFFFFF"/>
          <w:lang w:eastAsia="nl-NL"/>
        </w:rPr>
      </w:pPr>
      <w:r w:rsidRPr="00147D59">
        <w:rPr>
          <w:rFonts w:eastAsiaTheme="minorEastAsia"/>
          <w:sz w:val="24"/>
          <w:bdr w:val="none" w:sz="0" w:space="0" w:color="auto" w:frame="1"/>
          <w:shd w:val="clear" w:color="auto" w:fill="FFFFFF"/>
          <w:lang w:eastAsia="nl-NL"/>
        </w:rPr>
        <w:t xml:space="preserve">  </w:t>
      </w:r>
      <m:oMath>
        <m:sSub>
          <m:sSubPr>
            <m:ctrlPr>
              <w:rPr>
                <w:rFonts w:ascii="Cambria Math" w:hAnsi="Cambria Math"/>
                <w:i/>
                <w:sz w:val="24"/>
                <w:bdr w:val="none" w:sz="0" w:space="0" w:color="auto" w:frame="1"/>
                <w:shd w:val="clear" w:color="auto" w:fill="FFFFFF"/>
                <w:lang w:eastAsia="nl-NL"/>
              </w:rPr>
            </m:ctrlPr>
          </m:sSubPr>
          <m:e>
            <m:r>
              <w:rPr>
                <w:rFonts w:ascii="Cambria Math" w:hAnsi="Cambria Math"/>
                <w:sz w:val="24"/>
                <w:bdr w:val="none" w:sz="0" w:space="0" w:color="auto" w:frame="1"/>
                <w:shd w:val="clear" w:color="auto" w:fill="FFFFFF"/>
                <w:lang w:eastAsia="nl-NL"/>
              </w:rPr>
              <m:t xml:space="preserve"> CAR</m:t>
            </m:r>
          </m:e>
          <m:sub>
            <m:r>
              <w:rPr>
                <w:rFonts w:ascii="Cambria Math" w:hAnsi="Cambria Math"/>
                <w:sz w:val="24"/>
                <w:bdr w:val="none" w:sz="0" w:space="0" w:color="auto" w:frame="1"/>
                <w:shd w:val="clear" w:color="auto" w:fill="FFFFFF"/>
                <w:lang w:eastAsia="nl-NL"/>
              </w:rPr>
              <m:t>i[K,L]</m:t>
            </m:r>
          </m:sub>
        </m:sSub>
        <m:r>
          <w:rPr>
            <w:rFonts w:ascii="Cambria Math" w:eastAsiaTheme="minorEastAsia" w:hAnsi="Cambria Math"/>
            <w:sz w:val="24"/>
            <w:bdr w:val="none" w:sz="0" w:space="0" w:color="auto" w:frame="1"/>
            <w:shd w:val="clear" w:color="auto" w:fill="FFFFFF"/>
            <w:lang w:eastAsia="nl-NL"/>
          </w:rPr>
          <m:t>=</m:t>
        </m:r>
        <m:sSub>
          <m:sSubPr>
            <m:ctrlPr>
              <w:rPr>
                <w:rFonts w:ascii="Cambria Math" w:eastAsiaTheme="minorEastAsia" w:hAnsi="Cambria Math"/>
                <w:i/>
                <w:sz w:val="24"/>
                <w:bdr w:val="none" w:sz="0" w:space="0" w:color="auto" w:frame="1"/>
                <w:shd w:val="clear" w:color="auto" w:fill="FFFFFF"/>
                <w:lang w:eastAsia="nl-NL"/>
              </w:rPr>
            </m:ctrlPr>
          </m:sSubPr>
          <m:e>
            <m:r>
              <w:rPr>
                <w:rFonts w:ascii="Cambria Math" w:eastAsiaTheme="minorEastAsia" w:hAnsi="Cambria Math"/>
                <w:sz w:val="24"/>
                <w:bdr w:val="none" w:sz="0" w:space="0" w:color="auto" w:frame="1"/>
                <w:shd w:val="clear" w:color="auto" w:fill="FFFFFF"/>
                <w:lang w:eastAsia="nl-NL"/>
              </w:rPr>
              <m:t>α</m:t>
            </m:r>
          </m:e>
          <m:sub>
            <m:r>
              <w:rPr>
                <w:rFonts w:ascii="Cambria Math" w:eastAsiaTheme="minorEastAsia" w:hAnsi="Cambria Math"/>
                <w:sz w:val="24"/>
                <w:bdr w:val="none" w:sz="0" w:space="0" w:color="auto" w:frame="1"/>
                <w:shd w:val="clear" w:color="auto" w:fill="FFFFFF"/>
                <w:lang w:eastAsia="nl-NL"/>
              </w:rPr>
              <m:t>i</m:t>
            </m:r>
          </m:sub>
        </m:sSub>
        <m:r>
          <w:rPr>
            <w:rFonts w:ascii="Cambria Math" w:eastAsiaTheme="minorEastAsia" w:hAnsi="Cambria Math"/>
            <w:sz w:val="24"/>
            <w:bdr w:val="none" w:sz="0" w:space="0" w:color="auto" w:frame="1"/>
            <w:shd w:val="clear" w:color="auto" w:fill="FFFFFF"/>
            <w:lang w:eastAsia="nl-NL"/>
          </w:rPr>
          <m:t>+</m:t>
        </m:r>
        <m:sSub>
          <m:sSubPr>
            <m:ctrlPr>
              <w:rPr>
                <w:rFonts w:ascii="Cambria Math" w:eastAsiaTheme="minorEastAsia" w:hAnsi="Cambria Math"/>
                <w:i/>
                <w:sz w:val="24"/>
                <w:bdr w:val="none" w:sz="0" w:space="0" w:color="auto" w:frame="1"/>
                <w:shd w:val="clear" w:color="auto" w:fill="FFFFFF"/>
                <w:lang w:eastAsia="nl-NL"/>
              </w:rPr>
            </m:ctrlPr>
          </m:sSubPr>
          <m:e>
            <m:r>
              <w:rPr>
                <w:rFonts w:ascii="Cambria Math" w:eastAsiaTheme="minorEastAsia" w:hAnsi="Cambria Math"/>
                <w:sz w:val="24"/>
                <w:bdr w:val="none" w:sz="0" w:space="0" w:color="auto" w:frame="1"/>
                <w:shd w:val="clear" w:color="auto" w:fill="FFFFFF"/>
                <w:lang w:eastAsia="nl-NL"/>
              </w:rPr>
              <m:t>β</m:t>
            </m:r>
          </m:e>
          <m:sub>
            <m:r>
              <w:rPr>
                <w:rFonts w:ascii="Cambria Math" w:eastAsiaTheme="minorEastAsia" w:hAnsi="Cambria Math"/>
                <w:sz w:val="24"/>
                <w:bdr w:val="none" w:sz="0" w:space="0" w:color="auto" w:frame="1"/>
                <w:shd w:val="clear" w:color="auto" w:fill="FFFFFF"/>
                <w:lang w:eastAsia="nl-NL"/>
              </w:rPr>
              <m:t>i,X</m:t>
            </m:r>
          </m:sub>
        </m:sSub>
        <m:sSub>
          <m:sSubPr>
            <m:ctrlPr>
              <w:rPr>
                <w:rFonts w:ascii="Cambria Math" w:eastAsiaTheme="minorEastAsia" w:hAnsi="Cambria Math"/>
                <w:i/>
                <w:sz w:val="24"/>
                <w:bdr w:val="none" w:sz="0" w:space="0" w:color="auto" w:frame="1"/>
                <w:shd w:val="clear" w:color="auto" w:fill="FFFFFF"/>
                <w:lang w:eastAsia="nl-NL"/>
              </w:rPr>
            </m:ctrlPr>
          </m:sSubPr>
          <m:e>
            <m:r>
              <w:rPr>
                <w:rFonts w:ascii="Cambria Math" w:eastAsiaTheme="minorEastAsia" w:hAnsi="Cambria Math"/>
                <w:sz w:val="24"/>
                <w:bdr w:val="none" w:sz="0" w:space="0" w:color="auto" w:frame="1"/>
                <w:shd w:val="clear" w:color="auto" w:fill="FFFFFF"/>
                <w:lang w:eastAsia="nl-NL"/>
              </w:rPr>
              <m:t>X</m:t>
            </m:r>
          </m:e>
          <m:sub>
            <m:r>
              <w:rPr>
                <w:rFonts w:ascii="Cambria Math" w:eastAsiaTheme="minorEastAsia" w:hAnsi="Cambria Math"/>
                <w:sz w:val="24"/>
                <w:bdr w:val="none" w:sz="0" w:space="0" w:color="auto" w:frame="1"/>
                <w:shd w:val="clear" w:color="auto" w:fill="FFFFFF"/>
                <w:lang w:eastAsia="nl-NL"/>
              </w:rPr>
              <m:t>i</m:t>
            </m:r>
          </m:sub>
        </m:sSub>
        <m:r>
          <m:rPr>
            <m:sty m:val="p"/>
          </m:rPr>
          <w:rPr>
            <w:rFonts w:ascii="Cambria Math" w:eastAsiaTheme="minorEastAsia"/>
            <w:sz w:val="24"/>
            <w:bdr w:val="none" w:sz="0" w:space="0" w:color="auto" w:frame="1"/>
            <w:shd w:val="clear" w:color="auto" w:fill="FFFFFF"/>
            <w:lang w:eastAsia="nl-NL"/>
          </w:rPr>
          <m:t xml:space="preserve">+ </m:t>
        </m:r>
        <m:r>
          <m:rPr>
            <m:sty m:val="p"/>
          </m:rPr>
          <w:rPr>
            <w:rFonts w:ascii="Cambria Math" w:eastAsiaTheme="minorEastAsia"/>
            <w:sz w:val="24"/>
            <w:bdr w:val="none" w:sz="0" w:space="0" w:color="auto" w:frame="1"/>
            <w:shd w:val="clear" w:color="auto" w:fill="FFFFFF"/>
            <w:lang w:eastAsia="nl-NL"/>
          </w:rPr>
          <m:t>…</m:t>
        </m:r>
        <m:r>
          <m:rPr>
            <m:sty m:val="p"/>
          </m:rPr>
          <w:rPr>
            <w:rFonts w:ascii="Cambria Math" w:eastAsiaTheme="minorEastAsia"/>
            <w:sz w:val="24"/>
            <w:bdr w:val="none" w:sz="0" w:space="0" w:color="auto" w:frame="1"/>
            <w:shd w:val="clear" w:color="auto" w:fill="FFFFFF"/>
            <w:lang w:eastAsia="nl-NL"/>
          </w:rPr>
          <m:t xml:space="preserve">+ </m:t>
        </m:r>
        <m:sSub>
          <m:sSubPr>
            <m:ctrlPr>
              <w:rPr>
                <w:rFonts w:ascii="Cambria Math" w:eastAsiaTheme="minorEastAsia" w:hAnsi="Cambria Math"/>
                <w:sz w:val="24"/>
                <w:bdr w:val="none" w:sz="0" w:space="0" w:color="auto" w:frame="1"/>
                <w:shd w:val="clear" w:color="auto" w:fill="FFFFFF"/>
                <w:lang w:eastAsia="nl-NL"/>
              </w:rPr>
            </m:ctrlPr>
          </m:sSubPr>
          <m:e>
            <m:r>
              <w:rPr>
                <w:rFonts w:ascii="Cambria Math" w:eastAsiaTheme="minorEastAsia" w:hAnsi="Cambria Math"/>
                <w:sz w:val="24"/>
                <w:bdr w:val="none" w:sz="0" w:space="0" w:color="auto" w:frame="1"/>
                <w:shd w:val="clear" w:color="auto" w:fill="FFFFFF"/>
                <w:lang w:eastAsia="nl-NL"/>
              </w:rPr>
              <m:t>β</m:t>
            </m:r>
          </m:e>
          <m:sub>
            <m:r>
              <w:rPr>
                <w:rFonts w:ascii="Cambria Math" w:eastAsiaTheme="minorEastAsia"/>
                <w:sz w:val="24"/>
                <w:bdr w:val="none" w:sz="0" w:space="0" w:color="auto" w:frame="1"/>
                <w:shd w:val="clear" w:color="auto" w:fill="FFFFFF"/>
                <w:lang w:eastAsia="nl-NL"/>
              </w:rPr>
              <m:t>i,</m:t>
            </m:r>
            <m:r>
              <w:rPr>
                <w:rFonts w:ascii="Cambria Math" w:eastAsiaTheme="minorEastAsia" w:hAnsi="Cambria Math"/>
                <w:sz w:val="24"/>
                <w:bdr w:val="none" w:sz="0" w:space="0" w:color="auto" w:frame="1"/>
                <w:shd w:val="clear" w:color="auto" w:fill="FFFFFF"/>
                <w:lang w:eastAsia="nl-NL"/>
              </w:rPr>
              <m:t>θ</m:t>
            </m:r>
          </m:sub>
        </m:sSub>
        <m:sSub>
          <m:sSubPr>
            <m:ctrlPr>
              <w:rPr>
                <w:rFonts w:ascii="Cambria Math" w:eastAsiaTheme="minorEastAsia" w:hAnsi="Cambria Math"/>
                <w:i/>
                <w:sz w:val="24"/>
                <w:bdr w:val="none" w:sz="0" w:space="0" w:color="auto" w:frame="1"/>
                <w:shd w:val="clear" w:color="auto" w:fill="FFFFFF"/>
                <w:lang w:eastAsia="nl-NL"/>
              </w:rPr>
            </m:ctrlPr>
          </m:sSubPr>
          <m:e>
            <m:r>
              <w:rPr>
                <w:rFonts w:ascii="Cambria Math" w:eastAsiaTheme="minorEastAsia" w:hAnsi="Cambria Math"/>
                <w:sz w:val="24"/>
                <w:bdr w:val="none" w:sz="0" w:space="0" w:color="auto" w:frame="1"/>
                <w:shd w:val="clear" w:color="auto" w:fill="FFFFFF"/>
                <w:lang w:eastAsia="nl-NL"/>
              </w:rPr>
              <m:t>θ</m:t>
            </m:r>
          </m:e>
          <m:sub>
            <m:r>
              <w:rPr>
                <w:rFonts w:ascii="Cambria Math" w:eastAsiaTheme="minorEastAsia" w:hAnsi="Cambria Math"/>
                <w:sz w:val="24"/>
                <w:bdr w:val="none" w:sz="0" w:space="0" w:color="auto" w:frame="1"/>
                <w:shd w:val="clear" w:color="auto" w:fill="FFFFFF"/>
                <w:lang w:eastAsia="nl-NL"/>
              </w:rPr>
              <m:t>i</m:t>
            </m:r>
          </m:sub>
        </m:sSub>
      </m:oMath>
      <w:r w:rsidR="00312C90" w:rsidRPr="00147D59">
        <w:rPr>
          <w:rFonts w:eastAsiaTheme="minorEastAsia"/>
          <w:sz w:val="24"/>
          <w:bdr w:val="none" w:sz="0" w:space="0" w:color="auto" w:frame="1"/>
          <w:shd w:val="clear" w:color="auto" w:fill="FFFFFF"/>
          <w:lang w:eastAsia="nl-NL"/>
        </w:rPr>
        <w:tab/>
      </w:r>
      <w:r w:rsidRPr="00147D59">
        <w:rPr>
          <w:rFonts w:eastAsiaTheme="minorEastAsia"/>
          <w:sz w:val="24"/>
          <w:bdr w:val="none" w:sz="0" w:space="0" w:color="auto" w:frame="1"/>
          <w:shd w:val="clear" w:color="auto" w:fill="FFFFFF"/>
          <w:lang w:eastAsia="nl-NL"/>
        </w:rPr>
        <w:tab/>
      </w:r>
      <w:r w:rsidR="00312C90" w:rsidRPr="00147D59">
        <w:rPr>
          <w:rFonts w:eastAsiaTheme="minorEastAsia"/>
          <w:sz w:val="24"/>
          <w:bdr w:val="none" w:sz="0" w:space="0" w:color="auto" w:frame="1"/>
          <w:shd w:val="clear" w:color="auto" w:fill="FFFFFF"/>
          <w:lang w:eastAsia="nl-NL"/>
        </w:rPr>
        <w:tab/>
      </w:r>
      <w:r w:rsidR="00312C90" w:rsidRPr="00147D59">
        <w:rPr>
          <w:rFonts w:eastAsiaTheme="minorEastAsia"/>
          <w:sz w:val="24"/>
          <w:bdr w:val="none" w:sz="0" w:space="0" w:color="auto" w:frame="1"/>
          <w:shd w:val="clear" w:color="auto" w:fill="FFFFFF"/>
          <w:lang w:eastAsia="nl-NL"/>
        </w:rPr>
        <w:tab/>
        <w:t>(6)</w:t>
      </w:r>
    </w:p>
    <w:p w:rsidR="00312C90" w:rsidRPr="00147D59" w:rsidRDefault="00312C90" w:rsidP="005E19AF">
      <w:pPr>
        <w:spacing w:line="360" w:lineRule="auto"/>
        <w:jc w:val="both"/>
        <w:rPr>
          <w:sz w:val="24"/>
          <w:bdr w:val="none" w:sz="0" w:space="0" w:color="auto" w:frame="1"/>
          <w:shd w:val="clear" w:color="auto" w:fill="FFFFFF"/>
          <w:lang w:eastAsia="nl-NL"/>
        </w:rPr>
      </w:pPr>
      <w:r w:rsidRPr="00147D59">
        <w:rPr>
          <w:sz w:val="24"/>
          <w:bdr w:val="none" w:sz="0" w:space="0" w:color="auto" w:frame="1"/>
          <w:shd w:val="clear" w:color="auto" w:fill="FFFFFF"/>
          <w:lang w:eastAsia="nl-NL"/>
        </w:rPr>
        <w:t xml:space="preserve">Where </w:t>
      </w:r>
      <m:oMath>
        <m:sSub>
          <m:sSubPr>
            <m:ctrlPr>
              <w:rPr>
                <w:rFonts w:ascii="Cambria Math" w:eastAsiaTheme="minorEastAsia" w:hAnsi="Cambria Math"/>
                <w:i/>
                <w:sz w:val="24"/>
                <w:bdr w:val="none" w:sz="0" w:space="0" w:color="auto" w:frame="1"/>
                <w:shd w:val="clear" w:color="auto" w:fill="FFFFFF"/>
                <w:lang w:eastAsia="nl-NL"/>
              </w:rPr>
            </m:ctrlPr>
          </m:sSubPr>
          <m:e>
            <m:r>
              <w:rPr>
                <w:rFonts w:ascii="Cambria Math" w:eastAsiaTheme="minorEastAsia" w:hAnsi="Cambria Math"/>
                <w:sz w:val="24"/>
                <w:bdr w:val="none" w:sz="0" w:space="0" w:color="auto" w:frame="1"/>
                <w:shd w:val="clear" w:color="auto" w:fill="FFFFFF"/>
                <w:lang w:eastAsia="nl-NL"/>
              </w:rPr>
              <m:t>θ</m:t>
            </m:r>
          </m:e>
          <m:sub>
            <m:r>
              <w:rPr>
                <w:rFonts w:ascii="Cambria Math" w:eastAsiaTheme="minorEastAsia" w:hAnsi="Cambria Math"/>
                <w:sz w:val="24"/>
                <w:bdr w:val="none" w:sz="0" w:space="0" w:color="auto" w:frame="1"/>
                <w:shd w:val="clear" w:color="auto" w:fill="FFFFFF"/>
                <w:lang w:eastAsia="nl-NL"/>
              </w:rPr>
              <m:t>i</m:t>
            </m:r>
          </m:sub>
        </m:sSub>
      </m:oMath>
      <w:r w:rsidRPr="00147D59">
        <w:rPr>
          <w:rFonts w:eastAsiaTheme="minorEastAsia"/>
          <w:sz w:val="24"/>
          <w:bdr w:val="none" w:sz="0" w:space="0" w:color="auto" w:frame="1"/>
          <w:shd w:val="clear" w:color="auto" w:fill="FFFFFF"/>
          <w:lang w:eastAsia="nl-NL"/>
        </w:rPr>
        <w:t xml:space="preserve"> is the last, significant independent </w:t>
      </w:r>
      <w:r w:rsidR="00116AFD">
        <w:rPr>
          <w:rFonts w:eastAsiaTheme="minorEastAsia"/>
          <w:sz w:val="24"/>
          <w:bdr w:val="none" w:sz="0" w:space="0" w:color="auto" w:frame="1"/>
          <w:shd w:val="clear" w:color="auto" w:fill="FFFFFF"/>
          <w:lang w:eastAsia="nl-NL"/>
        </w:rPr>
        <w:t xml:space="preserve">variable. </w:t>
      </w:r>
      <w:r w:rsidRPr="00147D59">
        <w:rPr>
          <w:sz w:val="24"/>
          <w:bdr w:val="none" w:sz="0" w:space="0" w:color="auto" w:frame="1"/>
          <w:shd w:val="clear" w:color="auto" w:fill="FFFFFF"/>
          <w:lang w:eastAsia="nl-NL"/>
        </w:rPr>
        <w:t>The regression that remains is a model that can (partly) explain the cumulative abnormal returns, with the determinants given.</w:t>
      </w:r>
    </w:p>
    <w:p w:rsidR="0065671E" w:rsidRPr="00147D59" w:rsidRDefault="0065671E" w:rsidP="005E19AF">
      <w:pPr>
        <w:spacing w:line="360" w:lineRule="auto"/>
        <w:jc w:val="both"/>
        <w:rPr>
          <w:sz w:val="24"/>
          <w:bdr w:val="none" w:sz="0" w:space="0" w:color="auto" w:frame="1"/>
          <w:shd w:val="clear" w:color="auto" w:fill="FFFFFF"/>
          <w:lang w:eastAsia="nl-NL"/>
        </w:rPr>
      </w:pPr>
      <w:r w:rsidRPr="00147D59">
        <w:rPr>
          <w:sz w:val="24"/>
          <w:bdr w:val="none" w:sz="0" w:space="0" w:color="auto" w:frame="1"/>
          <w:shd w:val="clear" w:color="auto" w:fill="FFFFFF"/>
          <w:lang w:eastAsia="nl-NL"/>
        </w:rPr>
        <w:t>All the data will be</w:t>
      </w:r>
      <w:r w:rsidR="00780EBE" w:rsidRPr="00147D59">
        <w:rPr>
          <w:sz w:val="24"/>
          <w:bdr w:val="none" w:sz="0" w:space="0" w:color="auto" w:frame="1"/>
          <w:shd w:val="clear" w:color="auto" w:fill="FFFFFF"/>
          <w:lang w:eastAsia="nl-NL"/>
        </w:rPr>
        <w:t xml:space="preserve"> checked for </w:t>
      </w:r>
      <w:r w:rsidR="00116AFD" w:rsidRPr="00147D59">
        <w:rPr>
          <w:sz w:val="24"/>
          <w:bdr w:val="none" w:sz="0" w:space="0" w:color="auto" w:frame="1"/>
          <w:shd w:val="clear" w:color="auto" w:fill="FFFFFF"/>
          <w:lang w:eastAsia="nl-NL"/>
        </w:rPr>
        <w:t>heteroscedasticity and</w:t>
      </w:r>
      <w:r w:rsidR="00780EBE" w:rsidRPr="00147D59">
        <w:rPr>
          <w:sz w:val="24"/>
          <w:bdr w:val="none" w:sz="0" w:space="0" w:color="auto" w:frame="1"/>
          <w:shd w:val="clear" w:color="auto" w:fill="FFFFFF"/>
          <w:lang w:eastAsia="nl-NL"/>
        </w:rPr>
        <w:t xml:space="preserve"> will be corrected. There is no reason to check for stationarity or autocorrelation because the data is not in time series.</w:t>
      </w:r>
    </w:p>
    <w:p w:rsidR="009A3EF0" w:rsidRPr="00147D59" w:rsidRDefault="009A3EF0" w:rsidP="005E19AF">
      <w:pPr>
        <w:pStyle w:val="Heading2"/>
        <w:jc w:val="both"/>
        <w:rPr>
          <w:bdr w:val="none" w:sz="0" w:space="0" w:color="auto" w:frame="1"/>
          <w:shd w:val="clear" w:color="auto" w:fill="FFFFFF"/>
          <w:lang w:eastAsia="nl-NL"/>
        </w:rPr>
      </w:pPr>
      <w:bookmarkStart w:id="18" w:name="_Toc13477603"/>
      <w:r w:rsidRPr="00147D59">
        <w:rPr>
          <w:bdr w:val="none" w:sz="0" w:space="0" w:color="auto" w:frame="1"/>
          <w:shd w:val="clear" w:color="auto" w:fill="FFFFFF"/>
          <w:lang w:eastAsia="nl-NL"/>
        </w:rPr>
        <w:t>3.3 Data</w:t>
      </w:r>
      <w:bookmarkEnd w:id="18"/>
    </w:p>
    <w:p w:rsidR="00D7792B" w:rsidRPr="00147D59" w:rsidRDefault="00F10CAD" w:rsidP="005E19AF">
      <w:pPr>
        <w:spacing w:line="360" w:lineRule="auto"/>
        <w:jc w:val="both"/>
        <w:rPr>
          <w:sz w:val="24"/>
          <w:bdr w:val="none" w:sz="0" w:space="0" w:color="auto" w:frame="1"/>
          <w:shd w:val="clear" w:color="auto" w:fill="FFFFFF"/>
          <w:lang w:eastAsia="nl-NL"/>
        </w:rPr>
      </w:pPr>
      <w:r w:rsidRPr="00147D59">
        <w:rPr>
          <w:sz w:val="24"/>
          <w:bdr w:val="none" w:sz="0" w:space="0" w:color="auto" w:frame="1"/>
          <w:shd w:val="clear" w:color="auto" w:fill="FFFFFF"/>
          <w:lang w:eastAsia="nl-NL"/>
        </w:rPr>
        <w:t xml:space="preserve">The mergers and acquisitions of this research were found with the financial database Thomson One. The sample consists of 240 different events with the data for both the acquirer and the target. All deal values were 100 US dollar or higher and where between firms both located in the United States of America. The announcement day range is from 1995 </w:t>
      </w:r>
      <w:r w:rsidR="00D339B3" w:rsidRPr="00147D59">
        <w:rPr>
          <w:sz w:val="24"/>
          <w:bdr w:val="none" w:sz="0" w:space="0" w:color="auto" w:frame="1"/>
          <w:shd w:val="clear" w:color="auto" w:fill="FFFFFF"/>
          <w:lang w:eastAsia="nl-NL"/>
        </w:rPr>
        <w:t>unti</w:t>
      </w:r>
      <w:r w:rsidRPr="00147D59">
        <w:rPr>
          <w:sz w:val="24"/>
          <w:bdr w:val="none" w:sz="0" w:space="0" w:color="auto" w:frame="1"/>
          <w:shd w:val="clear" w:color="auto" w:fill="FFFFFF"/>
          <w:lang w:eastAsia="nl-NL"/>
        </w:rPr>
        <w:t>l 2017. All acquirers are from the macro industry Energy and Power, provided by Thomson One. The target</w:t>
      </w:r>
      <w:r w:rsidR="008A171B" w:rsidRPr="00147D59">
        <w:rPr>
          <w:sz w:val="24"/>
          <w:bdr w:val="none" w:sz="0" w:space="0" w:color="auto" w:frame="1"/>
          <w:shd w:val="clear" w:color="auto" w:fill="FFFFFF"/>
          <w:lang w:eastAsia="nl-NL"/>
        </w:rPr>
        <w:t>s</w:t>
      </w:r>
      <w:r w:rsidRPr="00147D59">
        <w:rPr>
          <w:sz w:val="24"/>
          <w:bdr w:val="none" w:sz="0" w:space="0" w:color="auto" w:frame="1"/>
          <w:shd w:val="clear" w:color="auto" w:fill="FFFFFF"/>
          <w:lang w:eastAsia="nl-NL"/>
        </w:rPr>
        <w:t xml:space="preserve"> are not necessarily from the Energy and Power sector.</w:t>
      </w:r>
      <w:r w:rsidR="00CE51DE" w:rsidRPr="00147D59">
        <w:rPr>
          <w:sz w:val="24"/>
          <w:bdr w:val="none" w:sz="0" w:space="0" w:color="auto" w:frame="1"/>
          <w:shd w:val="clear" w:color="auto" w:fill="FFFFFF"/>
          <w:lang w:eastAsia="nl-NL"/>
        </w:rPr>
        <w:t xml:space="preserve"> All M&amp;A’s were publicly available.</w:t>
      </w:r>
      <w:r w:rsidR="008A171B" w:rsidRPr="00147D59">
        <w:rPr>
          <w:sz w:val="24"/>
          <w:bdr w:val="none" w:sz="0" w:space="0" w:color="auto" w:frame="1"/>
          <w:shd w:val="clear" w:color="auto" w:fill="FFFFFF"/>
          <w:lang w:eastAsia="nl-NL"/>
        </w:rPr>
        <w:t xml:space="preserve"> After this the stock price data are retrieved from Datastream and are checked for missing information. Firms with missing data are removed from the dataset, both target and acquirer of the same </w:t>
      </w:r>
      <w:r w:rsidR="009A3EF0" w:rsidRPr="00147D59">
        <w:rPr>
          <w:sz w:val="24"/>
          <w:bdr w:val="none" w:sz="0" w:space="0" w:color="auto" w:frame="1"/>
          <w:shd w:val="clear" w:color="auto" w:fill="FFFFFF"/>
          <w:lang w:eastAsia="nl-NL"/>
        </w:rPr>
        <w:t>event</w:t>
      </w:r>
      <w:r w:rsidR="008A171B" w:rsidRPr="00147D59">
        <w:rPr>
          <w:sz w:val="24"/>
          <w:bdr w:val="none" w:sz="0" w:space="0" w:color="auto" w:frame="1"/>
          <w:shd w:val="clear" w:color="auto" w:fill="FFFFFF"/>
          <w:lang w:eastAsia="nl-NL"/>
        </w:rPr>
        <w:t xml:space="preserve">. The (financial) determinants are taken exactly 70 days [-70] before the announcement day, this due to possible interference caused by the event. </w:t>
      </w:r>
      <w:r w:rsidR="00C70DC5" w:rsidRPr="00147D59">
        <w:rPr>
          <w:sz w:val="24"/>
          <w:bdr w:val="none" w:sz="0" w:space="0" w:color="auto" w:frame="1"/>
          <w:shd w:val="clear" w:color="auto" w:fill="FFFFFF"/>
          <w:lang w:eastAsia="nl-NL"/>
        </w:rPr>
        <w:t>In table 1 gives the descriptive statistics for the financial determinants.</w:t>
      </w:r>
    </w:p>
    <w:p w:rsidR="00780AC3" w:rsidRPr="00147D59" w:rsidRDefault="00325D4E" w:rsidP="005E19AF">
      <w:pPr>
        <w:spacing w:line="360" w:lineRule="auto"/>
        <w:jc w:val="both"/>
        <w:rPr>
          <w:sz w:val="24"/>
          <w:bdr w:val="none" w:sz="0" w:space="0" w:color="auto" w:frame="1"/>
          <w:shd w:val="clear" w:color="auto" w:fill="FFFFFF"/>
          <w:lang w:eastAsia="nl-NL"/>
        </w:rPr>
      </w:pPr>
      <w:r w:rsidRPr="00147D59">
        <w:rPr>
          <w:sz w:val="24"/>
          <w:bdr w:val="none" w:sz="0" w:space="0" w:color="auto" w:frame="1"/>
          <w:shd w:val="clear" w:color="auto" w:fill="FFFFFF"/>
          <w:lang w:eastAsia="nl-NL"/>
        </w:rPr>
        <w:t>Not surprisingly, the absolute market value of the acquirers is more than four times higher than the absolute market value of the targets. Given the standard deviations of the absolute market values in comparison to the mean, it can be concluded that it got a right-skewed distribution. It is thoughtful to take the natural logarithm to reduce the explanatory power of big firms and make it more evenly distributed. Furthermore, the P/E ratio is greater for acquirers than for targets, which indicates overvaluation of the acquirers stocks. This is consistent with earlier literature</w:t>
      </w:r>
      <w:r w:rsidR="00780AC3" w:rsidRPr="00147D59">
        <w:rPr>
          <w:sz w:val="24"/>
          <w:bdr w:val="none" w:sz="0" w:space="0" w:color="auto" w:frame="1"/>
          <w:shd w:val="clear" w:color="auto" w:fill="FFFFFF"/>
          <w:lang w:eastAsia="nl-NL"/>
        </w:rPr>
        <w:t>.</w:t>
      </w:r>
      <w:r w:rsidRPr="00147D59">
        <w:rPr>
          <w:sz w:val="24"/>
          <w:bdr w:val="none" w:sz="0" w:space="0" w:color="auto" w:frame="1"/>
          <w:shd w:val="clear" w:color="auto" w:fill="FFFFFF"/>
          <w:lang w:eastAsia="nl-NL"/>
        </w:rPr>
        <w:t xml:space="preserve"> </w:t>
      </w:r>
      <w:r w:rsidR="00780AC3" w:rsidRPr="00147D59">
        <w:rPr>
          <w:sz w:val="24"/>
          <w:bdr w:val="none" w:sz="0" w:space="0" w:color="auto" w:frame="1"/>
          <w:shd w:val="clear" w:color="auto" w:fill="FFFFFF"/>
          <w:lang w:eastAsia="nl-NL"/>
        </w:rPr>
        <w:t xml:space="preserve">Investors often have less information than managers, which can be influenced by hubris </w:t>
      </w:r>
      <w:sdt>
        <w:sdtPr>
          <w:rPr>
            <w:sz w:val="24"/>
            <w:bdr w:val="none" w:sz="0" w:space="0" w:color="auto" w:frame="1"/>
            <w:shd w:val="clear" w:color="auto" w:fill="FFFFFF"/>
            <w:lang w:eastAsia="nl-NL"/>
          </w:rPr>
          <w:id w:val="2140836319"/>
          <w:citation/>
        </w:sdtPr>
        <w:sdtEndPr/>
        <w:sdtContent>
          <w:r w:rsidR="00780AC3" w:rsidRPr="00147D59">
            <w:rPr>
              <w:sz w:val="24"/>
              <w:bdr w:val="none" w:sz="0" w:space="0" w:color="auto" w:frame="1"/>
              <w:shd w:val="clear" w:color="auto" w:fill="FFFFFF"/>
              <w:lang w:eastAsia="nl-NL"/>
            </w:rPr>
            <w:fldChar w:fldCharType="begin"/>
          </w:r>
          <w:r w:rsidR="00780AC3" w:rsidRPr="00147D59">
            <w:rPr>
              <w:sz w:val="24"/>
              <w:bdr w:val="none" w:sz="0" w:space="0" w:color="auto" w:frame="1"/>
              <w:shd w:val="clear" w:color="auto" w:fill="FFFFFF"/>
              <w:lang w:eastAsia="nl-NL"/>
            </w:rPr>
            <w:instrText xml:space="preserve"> CITATION Rol86 \l 1043 </w:instrText>
          </w:r>
          <w:r w:rsidR="00780AC3" w:rsidRPr="00147D59">
            <w:rPr>
              <w:sz w:val="24"/>
              <w:bdr w:val="none" w:sz="0" w:space="0" w:color="auto" w:frame="1"/>
              <w:shd w:val="clear" w:color="auto" w:fill="FFFFFF"/>
              <w:lang w:eastAsia="nl-NL"/>
            </w:rPr>
            <w:fldChar w:fldCharType="separate"/>
          </w:r>
          <w:r w:rsidR="00780AC3" w:rsidRPr="00147D59">
            <w:rPr>
              <w:noProof/>
              <w:sz w:val="24"/>
              <w:bdr w:val="none" w:sz="0" w:space="0" w:color="auto" w:frame="1"/>
              <w:shd w:val="clear" w:color="auto" w:fill="FFFFFF"/>
              <w:lang w:eastAsia="nl-NL"/>
            </w:rPr>
            <w:t>(Roll, 1986)</w:t>
          </w:r>
          <w:r w:rsidR="00780AC3" w:rsidRPr="00147D59">
            <w:rPr>
              <w:sz w:val="24"/>
              <w:bdr w:val="none" w:sz="0" w:space="0" w:color="auto" w:frame="1"/>
              <w:shd w:val="clear" w:color="auto" w:fill="FFFFFF"/>
              <w:lang w:eastAsia="nl-NL"/>
            </w:rPr>
            <w:fldChar w:fldCharType="end"/>
          </w:r>
        </w:sdtContent>
      </w:sdt>
      <w:r w:rsidR="00780AC3" w:rsidRPr="00147D59">
        <w:rPr>
          <w:sz w:val="24"/>
          <w:bdr w:val="none" w:sz="0" w:space="0" w:color="auto" w:frame="1"/>
          <w:shd w:val="clear" w:color="auto" w:fill="FFFFFF"/>
          <w:lang w:eastAsia="nl-NL"/>
        </w:rPr>
        <w:t xml:space="preserve">. Managers can be power-seeking and seduced to engage in non-value </w:t>
      </w:r>
      <w:r w:rsidR="00780AC3" w:rsidRPr="00147D59">
        <w:rPr>
          <w:sz w:val="24"/>
          <w:bdr w:val="none" w:sz="0" w:space="0" w:color="auto" w:frame="1"/>
          <w:shd w:val="clear" w:color="auto" w:fill="FFFFFF"/>
          <w:lang w:eastAsia="nl-NL"/>
        </w:rPr>
        <w:lastRenderedPageBreak/>
        <w:t xml:space="preserve">creating deals, this is easier to do when the stocks used are over-valuated </w:t>
      </w:r>
      <w:sdt>
        <w:sdtPr>
          <w:rPr>
            <w:sz w:val="24"/>
            <w:bdr w:val="none" w:sz="0" w:space="0" w:color="auto" w:frame="1"/>
            <w:shd w:val="clear" w:color="auto" w:fill="FFFFFF"/>
            <w:lang w:eastAsia="nl-NL"/>
          </w:rPr>
          <w:id w:val="-722982974"/>
          <w:citation/>
        </w:sdtPr>
        <w:sdtEndPr/>
        <w:sdtContent>
          <w:r w:rsidR="00780AC3" w:rsidRPr="00147D59">
            <w:rPr>
              <w:sz w:val="24"/>
              <w:bdr w:val="none" w:sz="0" w:space="0" w:color="auto" w:frame="1"/>
              <w:shd w:val="clear" w:color="auto" w:fill="FFFFFF"/>
              <w:lang w:eastAsia="nl-NL"/>
            </w:rPr>
            <w:fldChar w:fldCharType="begin"/>
          </w:r>
          <w:r w:rsidR="00780AC3" w:rsidRPr="00147D59">
            <w:rPr>
              <w:sz w:val="24"/>
              <w:bdr w:val="none" w:sz="0" w:space="0" w:color="auto" w:frame="1"/>
              <w:shd w:val="clear" w:color="auto" w:fill="FFFFFF"/>
              <w:lang w:eastAsia="nl-NL"/>
            </w:rPr>
            <w:instrText xml:space="preserve"> CITATION Mye84 \l 1043 </w:instrText>
          </w:r>
          <w:r w:rsidR="00780AC3" w:rsidRPr="00147D59">
            <w:rPr>
              <w:sz w:val="24"/>
              <w:bdr w:val="none" w:sz="0" w:space="0" w:color="auto" w:frame="1"/>
              <w:shd w:val="clear" w:color="auto" w:fill="FFFFFF"/>
              <w:lang w:eastAsia="nl-NL"/>
            </w:rPr>
            <w:fldChar w:fldCharType="separate"/>
          </w:r>
          <w:r w:rsidR="00780AC3" w:rsidRPr="00147D59">
            <w:rPr>
              <w:noProof/>
              <w:sz w:val="24"/>
              <w:bdr w:val="none" w:sz="0" w:space="0" w:color="auto" w:frame="1"/>
              <w:shd w:val="clear" w:color="auto" w:fill="FFFFFF"/>
              <w:lang w:eastAsia="nl-NL"/>
            </w:rPr>
            <w:t>(Myers &amp; Majluf, 1984)</w:t>
          </w:r>
          <w:r w:rsidR="00780AC3" w:rsidRPr="00147D59">
            <w:rPr>
              <w:sz w:val="24"/>
              <w:bdr w:val="none" w:sz="0" w:space="0" w:color="auto" w:frame="1"/>
              <w:shd w:val="clear" w:color="auto" w:fill="FFFFFF"/>
              <w:lang w:eastAsia="nl-NL"/>
            </w:rPr>
            <w:fldChar w:fldCharType="end"/>
          </w:r>
        </w:sdtContent>
      </w:sdt>
      <w:r w:rsidR="00780AC3" w:rsidRPr="00147D59">
        <w:rPr>
          <w:sz w:val="24"/>
          <w:bdr w:val="none" w:sz="0" w:space="0" w:color="auto" w:frame="1"/>
          <w:shd w:val="clear" w:color="auto" w:fill="FFFFFF"/>
          <w:lang w:eastAsia="nl-NL"/>
        </w:rPr>
        <w:t>.</w:t>
      </w:r>
    </w:p>
    <w:p w:rsidR="00325D4E" w:rsidRPr="00147D59" w:rsidRDefault="00325D4E" w:rsidP="005E19AF">
      <w:pPr>
        <w:spacing w:line="360" w:lineRule="auto"/>
        <w:jc w:val="both"/>
        <w:rPr>
          <w:sz w:val="24"/>
          <w:bdr w:val="none" w:sz="0" w:space="0" w:color="auto" w:frame="1"/>
          <w:shd w:val="clear" w:color="auto" w:fill="FFFFFF"/>
          <w:lang w:eastAsia="nl-NL"/>
        </w:rPr>
      </w:pPr>
      <w:r w:rsidRPr="00147D59">
        <w:rPr>
          <w:sz w:val="24"/>
          <w:bdr w:val="none" w:sz="0" w:space="0" w:color="auto" w:frame="1"/>
          <w:shd w:val="clear" w:color="auto" w:fill="FFFFFF"/>
          <w:lang w:eastAsia="nl-NL"/>
        </w:rPr>
        <w:t>Besides the financial determinants, also dummy variables are used to calculate the explanatory value of the categorical variables. The payment method is separated in three different groups: Cash; Stock and Mixed. Cash when payment method is cash only, Stock when payment method is stock only and Mixed when a combination of cash and stock or a different kind of payment method. Also a dummy will be created which takes value 1 if the target is in the same industry as the acquirer and takes 0 when it is in a different industry than Energy and Power, this will be performed on both macro- and mid-industry.</w:t>
      </w:r>
      <w:r w:rsidR="00A05A01" w:rsidRPr="00147D59">
        <w:rPr>
          <w:sz w:val="24"/>
          <w:bdr w:val="none" w:sz="0" w:space="0" w:color="auto" w:frame="1"/>
          <w:shd w:val="clear" w:color="auto" w:fill="FFFFFF"/>
          <w:lang w:eastAsia="nl-NL"/>
        </w:rPr>
        <w:t xml:space="preserve"> </w:t>
      </w:r>
      <w:r w:rsidR="00C9531A" w:rsidRPr="00147D59">
        <w:rPr>
          <w:sz w:val="24"/>
          <w:bdr w:val="none" w:sz="0" w:space="0" w:color="auto" w:frame="1"/>
          <w:shd w:val="clear" w:color="auto" w:fill="FFFFFF"/>
          <w:lang w:eastAsia="nl-NL"/>
        </w:rPr>
        <w:t xml:space="preserve">Lastly, the number of firms that have given the purpose of the M&amp;A is given. </w:t>
      </w:r>
      <w:r w:rsidR="00A05A01" w:rsidRPr="00147D59">
        <w:rPr>
          <w:sz w:val="24"/>
          <w:bdr w:val="none" w:sz="0" w:space="0" w:color="auto" w:frame="1"/>
          <w:shd w:val="clear" w:color="auto" w:fill="FFFFFF"/>
          <w:lang w:eastAsia="nl-NL"/>
        </w:rPr>
        <w:t xml:space="preserve">Table </w:t>
      </w:r>
      <w:r w:rsidR="001A014B" w:rsidRPr="00147D59">
        <w:rPr>
          <w:sz w:val="24"/>
          <w:bdr w:val="none" w:sz="0" w:space="0" w:color="auto" w:frame="1"/>
          <w:shd w:val="clear" w:color="auto" w:fill="FFFFFF"/>
          <w:lang w:eastAsia="nl-NL"/>
        </w:rPr>
        <w:t>A</w:t>
      </w:r>
      <w:r w:rsidR="00A05A01" w:rsidRPr="00147D59">
        <w:rPr>
          <w:sz w:val="24"/>
          <w:bdr w:val="none" w:sz="0" w:space="0" w:color="auto" w:frame="1"/>
          <w:shd w:val="clear" w:color="auto" w:fill="FFFFFF"/>
          <w:lang w:eastAsia="nl-NL"/>
        </w:rPr>
        <w:t xml:space="preserve"> gives the distribution of the dummy variables.</w:t>
      </w:r>
    </w:p>
    <w:tbl>
      <w:tblPr>
        <w:tblStyle w:val="LightGrid-Accent1"/>
        <w:tblW w:w="8819" w:type="dxa"/>
        <w:tblLook w:val="04A0" w:firstRow="1" w:lastRow="0" w:firstColumn="1" w:lastColumn="0" w:noHBand="0" w:noVBand="1"/>
      </w:tblPr>
      <w:tblGrid>
        <w:gridCol w:w="2943"/>
        <w:gridCol w:w="1087"/>
        <w:gridCol w:w="1134"/>
        <w:gridCol w:w="1349"/>
        <w:gridCol w:w="1088"/>
        <w:gridCol w:w="1218"/>
      </w:tblGrid>
      <w:tr w:rsidR="00E60EB0" w:rsidRPr="00147D59" w:rsidTr="00F16D61">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943" w:type="dxa"/>
            <w:noWrap/>
            <w:hideMark/>
          </w:tcPr>
          <w:p w:rsidR="00E60EB0" w:rsidRPr="00147D59" w:rsidRDefault="00E60EB0" w:rsidP="005E19AF">
            <w:pPr>
              <w:jc w:val="both"/>
              <w:rPr>
                <w:rFonts w:ascii="Calibri" w:eastAsia="Times New Roman" w:hAnsi="Calibri" w:cs="Times New Roman"/>
                <w:color w:val="000000"/>
              </w:rPr>
            </w:pPr>
          </w:p>
        </w:tc>
        <w:tc>
          <w:tcPr>
            <w:tcW w:w="1087" w:type="dxa"/>
            <w:noWrap/>
            <w:hideMark/>
          </w:tcPr>
          <w:p w:rsidR="00E60EB0" w:rsidRPr="00147D59" w:rsidRDefault="00E60EB0" w:rsidP="005E19AF">
            <w:pPr>
              <w:jc w:val="both"/>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rPr>
            </w:pPr>
            <w:r w:rsidRPr="00147D59">
              <w:rPr>
                <w:rFonts w:ascii="Calibri" w:eastAsia="Times New Roman" w:hAnsi="Calibri" w:cs="Times New Roman"/>
                <w:color w:val="000000"/>
              </w:rPr>
              <w:t>Targets</w:t>
            </w:r>
          </w:p>
        </w:tc>
        <w:tc>
          <w:tcPr>
            <w:tcW w:w="1134" w:type="dxa"/>
            <w:noWrap/>
            <w:hideMark/>
          </w:tcPr>
          <w:p w:rsidR="00E60EB0" w:rsidRPr="00147D59" w:rsidRDefault="00E60EB0" w:rsidP="005E19AF">
            <w:pPr>
              <w:jc w:val="both"/>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rPr>
            </w:pPr>
          </w:p>
        </w:tc>
        <w:tc>
          <w:tcPr>
            <w:tcW w:w="1349" w:type="dxa"/>
            <w:noWrap/>
            <w:hideMark/>
          </w:tcPr>
          <w:p w:rsidR="00E60EB0" w:rsidRPr="00147D59" w:rsidRDefault="00E60EB0" w:rsidP="005E19AF">
            <w:pPr>
              <w:jc w:val="both"/>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rPr>
            </w:pPr>
          </w:p>
        </w:tc>
        <w:tc>
          <w:tcPr>
            <w:tcW w:w="1088" w:type="dxa"/>
            <w:noWrap/>
            <w:hideMark/>
          </w:tcPr>
          <w:p w:rsidR="00E60EB0" w:rsidRPr="00147D59" w:rsidRDefault="00E60EB0" w:rsidP="005E19AF">
            <w:pPr>
              <w:jc w:val="both"/>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rPr>
            </w:pPr>
          </w:p>
        </w:tc>
        <w:tc>
          <w:tcPr>
            <w:tcW w:w="1218" w:type="dxa"/>
            <w:noWrap/>
            <w:hideMark/>
          </w:tcPr>
          <w:p w:rsidR="00E60EB0" w:rsidRPr="00147D59" w:rsidRDefault="00E60EB0" w:rsidP="005E19AF">
            <w:pPr>
              <w:jc w:val="both"/>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rPr>
            </w:pPr>
          </w:p>
        </w:tc>
      </w:tr>
      <w:tr w:rsidR="00E60EB0" w:rsidRPr="00147D59" w:rsidTr="00F16D6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943" w:type="dxa"/>
            <w:noWrap/>
            <w:hideMark/>
          </w:tcPr>
          <w:p w:rsidR="00E60EB0" w:rsidRPr="00147D59" w:rsidRDefault="00E60EB0" w:rsidP="005E19AF">
            <w:pPr>
              <w:jc w:val="both"/>
              <w:rPr>
                <w:rFonts w:ascii="Calibri" w:eastAsia="Times New Roman" w:hAnsi="Calibri" w:cs="Times New Roman"/>
                <w:color w:val="000000"/>
              </w:rPr>
            </w:pPr>
          </w:p>
        </w:tc>
        <w:tc>
          <w:tcPr>
            <w:tcW w:w="1087" w:type="dxa"/>
            <w:noWrap/>
            <w:hideMark/>
          </w:tcPr>
          <w:p w:rsidR="00E60EB0" w:rsidRPr="00147D59" w:rsidRDefault="00E60EB0" w:rsidP="005E19AF">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rPr>
            </w:pPr>
            <w:r w:rsidRPr="00147D59">
              <w:rPr>
                <w:rFonts w:ascii="Calibri" w:eastAsia="Times New Roman" w:hAnsi="Calibri" w:cs="Times New Roman"/>
                <w:color w:val="000000"/>
              </w:rPr>
              <w:t>n=</w:t>
            </w:r>
          </w:p>
        </w:tc>
        <w:tc>
          <w:tcPr>
            <w:tcW w:w="1134" w:type="dxa"/>
            <w:noWrap/>
            <w:hideMark/>
          </w:tcPr>
          <w:p w:rsidR="00E60EB0" w:rsidRPr="00147D59" w:rsidRDefault="00E60EB0" w:rsidP="005E19AF">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rPr>
            </w:pPr>
            <w:r w:rsidRPr="00147D59">
              <w:rPr>
                <w:rFonts w:ascii="Calibri" w:eastAsia="Times New Roman" w:hAnsi="Calibri" w:cs="Times New Roman"/>
                <w:color w:val="000000"/>
              </w:rPr>
              <w:t>Mean</w:t>
            </w:r>
          </w:p>
        </w:tc>
        <w:tc>
          <w:tcPr>
            <w:tcW w:w="1349" w:type="dxa"/>
            <w:noWrap/>
            <w:hideMark/>
          </w:tcPr>
          <w:p w:rsidR="00E60EB0" w:rsidRPr="00147D59" w:rsidRDefault="00E60EB0" w:rsidP="005E19AF">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rPr>
            </w:pPr>
            <w:r w:rsidRPr="00147D59">
              <w:rPr>
                <w:rFonts w:ascii="Calibri" w:eastAsia="Times New Roman" w:hAnsi="Calibri" w:cs="Times New Roman"/>
                <w:color w:val="000000"/>
              </w:rPr>
              <w:t>Std. Dev.</w:t>
            </w:r>
          </w:p>
        </w:tc>
        <w:tc>
          <w:tcPr>
            <w:tcW w:w="1088" w:type="dxa"/>
            <w:noWrap/>
            <w:hideMark/>
          </w:tcPr>
          <w:p w:rsidR="00E60EB0" w:rsidRPr="00147D59" w:rsidRDefault="00E60EB0" w:rsidP="005E19AF">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rPr>
            </w:pPr>
            <w:r w:rsidRPr="00147D59">
              <w:rPr>
                <w:rFonts w:ascii="Calibri" w:eastAsia="Times New Roman" w:hAnsi="Calibri" w:cs="Times New Roman"/>
                <w:color w:val="000000"/>
              </w:rPr>
              <w:t>Minimum</w:t>
            </w:r>
          </w:p>
        </w:tc>
        <w:tc>
          <w:tcPr>
            <w:tcW w:w="1218" w:type="dxa"/>
            <w:noWrap/>
            <w:hideMark/>
          </w:tcPr>
          <w:p w:rsidR="00E60EB0" w:rsidRPr="00147D59" w:rsidRDefault="00E60EB0" w:rsidP="005E19AF">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rPr>
            </w:pPr>
            <w:r w:rsidRPr="00147D59">
              <w:rPr>
                <w:rFonts w:ascii="Calibri" w:eastAsia="Times New Roman" w:hAnsi="Calibri" w:cs="Times New Roman"/>
                <w:color w:val="000000"/>
              </w:rPr>
              <w:t>Maximum</w:t>
            </w:r>
          </w:p>
        </w:tc>
      </w:tr>
      <w:tr w:rsidR="00E60EB0" w:rsidRPr="00147D59" w:rsidTr="00F16D61">
        <w:trPr>
          <w:cnfStyle w:val="000000010000" w:firstRow="0" w:lastRow="0" w:firstColumn="0" w:lastColumn="0" w:oddVBand="0" w:evenVBand="0" w:oddHBand="0" w:evenHBand="1"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943" w:type="dxa"/>
            <w:noWrap/>
            <w:hideMark/>
          </w:tcPr>
          <w:p w:rsidR="00E60EB0" w:rsidRPr="00147D59" w:rsidRDefault="00E60EB0" w:rsidP="005E19AF">
            <w:pPr>
              <w:jc w:val="both"/>
              <w:rPr>
                <w:rFonts w:ascii="Calibri" w:eastAsia="Times New Roman" w:hAnsi="Calibri" w:cs="Times New Roman"/>
                <w:color w:val="000000"/>
              </w:rPr>
            </w:pPr>
            <w:r w:rsidRPr="00147D59">
              <w:rPr>
                <w:rFonts w:ascii="Calibri" w:eastAsia="Times New Roman" w:hAnsi="Calibri" w:cs="Times New Roman"/>
                <w:color w:val="000000"/>
              </w:rPr>
              <w:t>Earnings per Share</w:t>
            </w:r>
            <w:r w:rsidR="00837E1F" w:rsidRPr="00147D59">
              <w:rPr>
                <w:rFonts w:ascii="Calibri" w:eastAsia="Times New Roman" w:hAnsi="Calibri" w:cs="Times New Roman"/>
                <w:color w:val="000000"/>
              </w:rPr>
              <w:t xml:space="preserve"> (in $)</w:t>
            </w:r>
          </w:p>
        </w:tc>
        <w:tc>
          <w:tcPr>
            <w:tcW w:w="1087" w:type="dxa"/>
            <w:noWrap/>
            <w:hideMark/>
          </w:tcPr>
          <w:p w:rsidR="00E60EB0" w:rsidRPr="00147D59" w:rsidRDefault="00E60EB0" w:rsidP="005E19AF">
            <w:pPr>
              <w:jc w:val="both"/>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00000"/>
              </w:rPr>
            </w:pPr>
            <w:r w:rsidRPr="00147D59">
              <w:rPr>
                <w:rFonts w:ascii="Calibri" w:eastAsia="Times New Roman" w:hAnsi="Calibri" w:cs="Times New Roman"/>
                <w:color w:val="000000"/>
              </w:rPr>
              <w:t>226</w:t>
            </w:r>
          </w:p>
        </w:tc>
        <w:tc>
          <w:tcPr>
            <w:tcW w:w="1134" w:type="dxa"/>
            <w:noWrap/>
            <w:hideMark/>
          </w:tcPr>
          <w:p w:rsidR="00E60EB0" w:rsidRPr="00147D59" w:rsidRDefault="00E60EB0" w:rsidP="005E19AF">
            <w:pPr>
              <w:jc w:val="both"/>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00000"/>
              </w:rPr>
            </w:pPr>
            <w:r w:rsidRPr="00147D59">
              <w:rPr>
                <w:rFonts w:ascii="Calibri" w:eastAsia="Times New Roman" w:hAnsi="Calibri" w:cs="Times New Roman"/>
                <w:color w:val="000000"/>
              </w:rPr>
              <w:t>1,5104</w:t>
            </w:r>
          </w:p>
        </w:tc>
        <w:tc>
          <w:tcPr>
            <w:tcW w:w="1349" w:type="dxa"/>
            <w:noWrap/>
            <w:hideMark/>
          </w:tcPr>
          <w:p w:rsidR="00E60EB0" w:rsidRPr="00147D59" w:rsidRDefault="00E60EB0" w:rsidP="005E19AF">
            <w:pPr>
              <w:jc w:val="both"/>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00000"/>
              </w:rPr>
            </w:pPr>
            <w:r w:rsidRPr="00147D59">
              <w:rPr>
                <w:rFonts w:ascii="Calibri" w:eastAsia="Times New Roman" w:hAnsi="Calibri" w:cs="Times New Roman"/>
                <w:color w:val="000000"/>
              </w:rPr>
              <w:t>1,85437</w:t>
            </w:r>
          </w:p>
        </w:tc>
        <w:tc>
          <w:tcPr>
            <w:tcW w:w="1088" w:type="dxa"/>
            <w:noWrap/>
            <w:hideMark/>
          </w:tcPr>
          <w:p w:rsidR="00E60EB0" w:rsidRPr="00147D59" w:rsidRDefault="00E60EB0" w:rsidP="005E19AF">
            <w:pPr>
              <w:jc w:val="both"/>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00000"/>
              </w:rPr>
            </w:pPr>
            <w:r w:rsidRPr="00147D59">
              <w:rPr>
                <w:rFonts w:ascii="Calibri" w:eastAsia="Times New Roman" w:hAnsi="Calibri" w:cs="Times New Roman"/>
                <w:color w:val="000000"/>
              </w:rPr>
              <w:t>0</w:t>
            </w:r>
          </w:p>
        </w:tc>
        <w:tc>
          <w:tcPr>
            <w:tcW w:w="1218" w:type="dxa"/>
            <w:noWrap/>
            <w:hideMark/>
          </w:tcPr>
          <w:p w:rsidR="00E60EB0" w:rsidRPr="00147D59" w:rsidRDefault="00E60EB0" w:rsidP="005E19AF">
            <w:pPr>
              <w:jc w:val="both"/>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00000"/>
              </w:rPr>
            </w:pPr>
            <w:r w:rsidRPr="00147D59">
              <w:rPr>
                <w:rFonts w:ascii="Calibri" w:eastAsia="Times New Roman" w:hAnsi="Calibri" w:cs="Times New Roman"/>
                <w:color w:val="000000"/>
              </w:rPr>
              <w:t>16,38</w:t>
            </w:r>
          </w:p>
        </w:tc>
      </w:tr>
      <w:tr w:rsidR="00E60EB0" w:rsidRPr="00147D59" w:rsidTr="00F16D6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943" w:type="dxa"/>
            <w:noWrap/>
            <w:hideMark/>
          </w:tcPr>
          <w:p w:rsidR="00E60EB0" w:rsidRPr="00147D59" w:rsidRDefault="00E60EB0" w:rsidP="005E19AF">
            <w:pPr>
              <w:jc w:val="both"/>
              <w:rPr>
                <w:rFonts w:ascii="Calibri" w:eastAsia="Times New Roman" w:hAnsi="Calibri" w:cs="Times New Roman"/>
                <w:color w:val="000000"/>
              </w:rPr>
            </w:pPr>
            <w:r w:rsidRPr="00147D59">
              <w:rPr>
                <w:rFonts w:ascii="Calibri" w:eastAsia="Times New Roman" w:hAnsi="Calibri" w:cs="Times New Roman"/>
                <w:color w:val="000000"/>
              </w:rPr>
              <w:t>Market-to-book-ratio</w:t>
            </w:r>
          </w:p>
        </w:tc>
        <w:tc>
          <w:tcPr>
            <w:tcW w:w="1087" w:type="dxa"/>
            <w:noWrap/>
            <w:hideMark/>
          </w:tcPr>
          <w:p w:rsidR="00E60EB0" w:rsidRPr="00147D59" w:rsidRDefault="00E60EB0" w:rsidP="005E19AF">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rPr>
            </w:pPr>
            <w:r w:rsidRPr="00147D59">
              <w:rPr>
                <w:rFonts w:ascii="Calibri" w:eastAsia="Times New Roman" w:hAnsi="Calibri" w:cs="Times New Roman"/>
                <w:color w:val="000000"/>
              </w:rPr>
              <w:t>203</w:t>
            </w:r>
          </w:p>
        </w:tc>
        <w:tc>
          <w:tcPr>
            <w:tcW w:w="1134" w:type="dxa"/>
            <w:noWrap/>
            <w:hideMark/>
          </w:tcPr>
          <w:p w:rsidR="00E60EB0" w:rsidRPr="00147D59" w:rsidRDefault="00E60EB0" w:rsidP="005E19AF">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rPr>
            </w:pPr>
            <w:r w:rsidRPr="00147D59">
              <w:rPr>
                <w:rFonts w:ascii="Calibri" w:eastAsia="Times New Roman" w:hAnsi="Calibri" w:cs="Times New Roman"/>
                <w:color w:val="000000"/>
              </w:rPr>
              <w:t>2,78227</w:t>
            </w:r>
          </w:p>
        </w:tc>
        <w:tc>
          <w:tcPr>
            <w:tcW w:w="1349" w:type="dxa"/>
            <w:noWrap/>
            <w:hideMark/>
          </w:tcPr>
          <w:p w:rsidR="00E60EB0" w:rsidRPr="00147D59" w:rsidRDefault="00E60EB0" w:rsidP="005E19AF">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rPr>
            </w:pPr>
            <w:r w:rsidRPr="00147D59">
              <w:rPr>
                <w:rFonts w:ascii="Calibri" w:eastAsia="Times New Roman" w:hAnsi="Calibri" w:cs="Times New Roman"/>
                <w:color w:val="000000"/>
              </w:rPr>
              <w:t>2,93246</w:t>
            </w:r>
          </w:p>
        </w:tc>
        <w:tc>
          <w:tcPr>
            <w:tcW w:w="1088" w:type="dxa"/>
            <w:noWrap/>
            <w:hideMark/>
          </w:tcPr>
          <w:p w:rsidR="00E60EB0" w:rsidRPr="00147D59" w:rsidRDefault="00E60EB0" w:rsidP="005E19AF">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rPr>
            </w:pPr>
            <w:r w:rsidRPr="00147D59">
              <w:rPr>
                <w:rFonts w:ascii="Calibri" w:eastAsia="Times New Roman" w:hAnsi="Calibri" w:cs="Times New Roman"/>
                <w:color w:val="000000"/>
              </w:rPr>
              <w:t>0,01</w:t>
            </w:r>
          </w:p>
        </w:tc>
        <w:tc>
          <w:tcPr>
            <w:tcW w:w="1218" w:type="dxa"/>
            <w:noWrap/>
            <w:hideMark/>
          </w:tcPr>
          <w:p w:rsidR="00E60EB0" w:rsidRPr="00147D59" w:rsidRDefault="00E60EB0" w:rsidP="005E19AF">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rPr>
            </w:pPr>
            <w:r w:rsidRPr="00147D59">
              <w:rPr>
                <w:rFonts w:ascii="Calibri" w:eastAsia="Times New Roman" w:hAnsi="Calibri" w:cs="Times New Roman"/>
                <w:color w:val="000000"/>
              </w:rPr>
              <w:t>21,12</w:t>
            </w:r>
          </w:p>
        </w:tc>
      </w:tr>
      <w:tr w:rsidR="00E60EB0" w:rsidRPr="00147D59" w:rsidTr="00F16D61">
        <w:trPr>
          <w:cnfStyle w:val="000000010000" w:firstRow="0" w:lastRow="0" w:firstColumn="0" w:lastColumn="0" w:oddVBand="0" w:evenVBand="0" w:oddHBand="0" w:evenHBand="1"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943" w:type="dxa"/>
            <w:noWrap/>
            <w:hideMark/>
          </w:tcPr>
          <w:p w:rsidR="00E60EB0" w:rsidRPr="00147D59" w:rsidRDefault="00837E1F" w:rsidP="005E19AF">
            <w:pPr>
              <w:jc w:val="both"/>
              <w:rPr>
                <w:rFonts w:ascii="Calibri" w:eastAsia="Times New Roman" w:hAnsi="Calibri" w:cs="Times New Roman"/>
                <w:color w:val="000000"/>
              </w:rPr>
            </w:pPr>
            <w:r w:rsidRPr="00147D59">
              <w:rPr>
                <w:rFonts w:ascii="Calibri" w:eastAsia="Times New Roman" w:hAnsi="Calibri" w:cs="Times New Roman"/>
                <w:color w:val="000000"/>
              </w:rPr>
              <w:t>Ln(</w:t>
            </w:r>
            <w:r w:rsidR="00E60EB0" w:rsidRPr="00147D59">
              <w:rPr>
                <w:rFonts w:ascii="Calibri" w:eastAsia="Times New Roman" w:hAnsi="Calibri" w:cs="Times New Roman"/>
                <w:color w:val="000000"/>
              </w:rPr>
              <w:t>Market Value</w:t>
            </w:r>
            <w:r w:rsidRPr="00147D59">
              <w:rPr>
                <w:rFonts w:ascii="Calibri" w:eastAsia="Times New Roman" w:hAnsi="Calibri" w:cs="Times New Roman"/>
                <w:color w:val="000000"/>
              </w:rPr>
              <w:t>)</w:t>
            </w:r>
          </w:p>
        </w:tc>
        <w:tc>
          <w:tcPr>
            <w:tcW w:w="1087" w:type="dxa"/>
            <w:noWrap/>
            <w:hideMark/>
          </w:tcPr>
          <w:p w:rsidR="00E60EB0" w:rsidRPr="00147D59" w:rsidRDefault="00E60EB0" w:rsidP="005E19AF">
            <w:pPr>
              <w:jc w:val="both"/>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00000"/>
              </w:rPr>
            </w:pPr>
            <w:r w:rsidRPr="00147D59">
              <w:rPr>
                <w:rFonts w:ascii="Calibri" w:eastAsia="Times New Roman" w:hAnsi="Calibri" w:cs="Times New Roman"/>
                <w:color w:val="000000"/>
              </w:rPr>
              <w:t>234</w:t>
            </w:r>
          </w:p>
        </w:tc>
        <w:tc>
          <w:tcPr>
            <w:tcW w:w="1134" w:type="dxa"/>
            <w:noWrap/>
            <w:hideMark/>
          </w:tcPr>
          <w:p w:rsidR="00E60EB0" w:rsidRPr="00147D59" w:rsidRDefault="00E60EB0" w:rsidP="005E19AF">
            <w:pPr>
              <w:jc w:val="both"/>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00000"/>
              </w:rPr>
            </w:pPr>
            <w:r w:rsidRPr="00147D59">
              <w:rPr>
                <w:rFonts w:ascii="Calibri" w:eastAsia="Times New Roman" w:hAnsi="Calibri" w:cs="Times New Roman"/>
                <w:color w:val="000000"/>
              </w:rPr>
              <w:t>6,58077</w:t>
            </w:r>
          </w:p>
        </w:tc>
        <w:tc>
          <w:tcPr>
            <w:tcW w:w="1349" w:type="dxa"/>
            <w:noWrap/>
            <w:hideMark/>
          </w:tcPr>
          <w:p w:rsidR="00E60EB0" w:rsidRPr="00147D59" w:rsidRDefault="00E60EB0" w:rsidP="005E19AF">
            <w:pPr>
              <w:jc w:val="both"/>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00000"/>
              </w:rPr>
            </w:pPr>
            <w:r w:rsidRPr="00147D59">
              <w:rPr>
                <w:rFonts w:ascii="Calibri" w:eastAsia="Times New Roman" w:hAnsi="Calibri" w:cs="Times New Roman"/>
                <w:color w:val="000000"/>
              </w:rPr>
              <w:t>1,76268</w:t>
            </w:r>
          </w:p>
        </w:tc>
        <w:tc>
          <w:tcPr>
            <w:tcW w:w="1088" w:type="dxa"/>
            <w:noWrap/>
            <w:hideMark/>
          </w:tcPr>
          <w:p w:rsidR="00E60EB0" w:rsidRPr="00147D59" w:rsidRDefault="00E60EB0" w:rsidP="005E19AF">
            <w:pPr>
              <w:jc w:val="both"/>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00000"/>
              </w:rPr>
            </w:pPr>
            <w:r w:rsidRPr="00147D59">
              <w:rPr>
                <w:rFonts w:ascii="Calibri" w:eastAsia="Times New Roman" w:hAnsi="Calibri" w:cs="Times New Roman"/>
                <w:color w:val="000000"/>
              </w:rPr>
              <w:t>-2,30259</w:t>
            </w:r>
          </w:p>
        </w:tc>
        <w:tc>
          <w:tcPr>
            <w:tcW w:w="1218" w:type="dxa"/>
            <w:noWrap/>
            <w:hideMark/>
          </w:tcPr>
          <w:p w:rsidR="00E60EB0" w:rsidRPr="00147D59" w:rsidRDefault="00E60EB0" w:rsidP="005E19AF">
            <w:pPr>
              <w:jc w:val="both"/>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00000"/>
              </w:rPr>
            </w:pPr>
            <w:r w:rsidRPr="00147D59">
              <w:rPr>
                <w:rFonts w:ascii="Calibri" w:eastAsia="Times New Roman" w:hAnsi="Calibri" w:cs="Times New Roman"/>
                <w:color w:val="000000"/>
              </w:rPr>
              <w:t>10,35082</w:t>
            </w:r>
          </w:p>
        </w:tc>
      </w:tr>
      <w:tr w:rsidR="00E60EB0" w:rsidRPr="00147D59" w:rsidTr="00F16D6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943" w:type="dxa"/>
            <w:noWrap/>
            <w:hideMark/>
          </w:tcPr>
          <w:p w:rsidR="00E60EB0" w:rsidRPr="00147D59" w:rsidRDefault="00E60EB0" w:rsidP="005E19AF">
            <w:pPr>
              <w:jc w:val="both"/>
              <w:rPr>
                <w:rFonts w:ascii="Calibri" w:eastAsia="Times New Roman" w:hAnsi="Calibri" w:cs="Times New Roman"/>
                <w:color w:val="000000"/>
              </w:rPr>
            </w:pPr>
            <w:r w:rsidRPr="00147D59">
              <w:rPr>
                <w:rFonts w:ascii="Calibri" w:eastAsia="Times New Roman" w:hAnsi="Calibri" w:cs="Times New Roman"/>
                <w:color w:val="000000"/>
              </w:rPr>
              <w:t>Discounted Cashflow</w:t>
            </w:r>
            <w:r w:rsidR="00837E1F" w:rsidRPr="00147D59">
              <w:rPr>
                <w:rFonts w:ascii="Calibri" w:eastAsia="Times New Roman" w:hAnsi="Calibri" w:cs="Times New Roman"/>
                <w:color w:val="000000"/>
              </w:rPr>
              <w:t xml:space="preserve"> (in $)</w:t>
            </w:r>
          </w:p>
        </w:tc>
        <w:tc>
          <w:tcPr>
            <w:tcW w:w="1087" w:type="dxa"/>
            <w:noWrap/>
            <w:hideMark/>
          </w:tcPr>
          <w:p w:rsidR="00E60EB0" w:rsidRPr="00147D59" w:rsidRDefault="00E60EB0" w:rsidP="005E19AF">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rPr>
            </w:pPr>
            <w:r w:rsidRPr="00147D59">
              <w:rPr>
                <w:rFonts w:ascii="Calibri" w:eastAsia="Times New Roman" w:hAnsi="Calibri" w:cs="Times New Roman"/>
                <w:color w:val="000000"/>
              </w:rPr>
              <w:t>214</w:t>
            </w:r>
          </w:p>
        </w:tc>
        <w:tc>
          <w:tcPr>
            <w:tcW w:w="1134" w:type="dxa"/>
            <w:noWrap/>
            <w:hideMark/>
          </w:tcPr>
          <w:p w:rsidR="00E60EB0" w:rsidRPr="00147D59" w:rsidRDefault="00E60EB0" w:rsidP="005E19AF">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rPr>
            </w:pPr>
            <w:r w:rsidRPr="00147D59">
              <w:rPr>
                <w:rFonts w:ascii="Calibri" w:eastAsia="Times New Roman" w:hAnsi="Calibri" w:cs="Times New Roman"/>
                <w:color w:val="000000"/>
              </w:rPr>
              <w:t>350</w:t>
            </w:r>
            <w:r w:rsidR="00837E1F" w:rsidRPr="00147D59">
              <w:rPr>
                <w:rFonts w:ascii="Calibri" w:eastAsia="Times New Roman" w:hAnsi="Calibri" w:cs="Times New Roman"/>
                <w:color w:val="000000"/>
              </w:rPr>
              <w:t>,</w:t>
            </w:r>
            <w:r w:rsidRPr="00147D59">
              <w:rPr>
                <w:rFonts w:ascii="Calibri" w:eastAsia="Times New Roman" w:hAnsi="Calibri" w:cs="Times New Roman"/>
                <w:color w:val="000000"/>
              </w:rPr>
              <w:t>625,8</w:t>
            </w:r>
          </w:p>
        </w:tc>
        <w:tc>
          <w:tcPr>
            <w:tcW w:w="1349" w:type="dxa"/>
            <w:noWrap/>
            <w:hideMark/>
          </w:tcPr>
          <w:p w:rsidR="00E60EB0" w:rsidRPr="00147D59" w:rsidRDefault="00E60EB0" w:rsidP="005E19AF">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rPr>
            </w:pPr>
            <w:r w:rsidRPr="00147D59">
              <w:rPr>
                <w:rFonts w:ascii="Calibri" w:eastAsia="Times New Roman" w:hAnsi="Calibri" w:cs="Times New Roman"/>
                <w:color w:val="000000"/>
              </w:rPr>
              <w:t>634</w:t>
            </w:r>
            <w:r w:rsidR="00837E1F" w:rsidRPr="00147D59">
              <w:rPr>
                <w:rFonts w:ascii="Calibri" w:eastAsia="Times New Roman" w:hAnsi="Calibri" w:cs="Times New Roman"/>
                <w:color w:val="000000"/>
              </w:rPr>
              <w:t>,</w:t>
            </w:r>
            <w:r w:rsidRPr="00147D59">
              <w:rPr>
                <w:rFonts w:ascii="Calibri" w:eastAsia="Times New Roman" w:hAnsi="Calibri" w:cs="Times New Roman"/>
                <w:color w:val="000000"/>
              </w:rPr>
              <w:t>576</w:t>
            </w:r>
          </w:p>
        </w:tc>
        <w:tc>
          <w:tcPr>
            <w:tcW w:w="1088" w:type="dxa"/>
            <w:noWrap/>
            <w:hideMark/>
          </w:tcPr>
          <w:p w:rsidR="00E60EB0" w:rsidRPr="00147D59" w:rsidRDefault="00E60EB0" w:rsidP="005E19AF">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rPr>
            </w:pPr>
            <w:r w:rsidRPr="00147D59">
              <w:rPr>
                <w:rFonts w:ascii="Calibri" w:eastAsia="Times New Roman" w:hAnsi="Calibri" w:cs="Times New Roman"/>
                <w:color w:val="000000"/>
              </w:rPr>
              <w:t>-173</w:t>
            </w:r>
            <w:r w:rsidR="00837E1F" w:rsidRPr="00147D59">
              <w:rPr>
                <w:rFonts w:ascii="Calibri" w:eastAsia="Times New Roman" w:hAnsi="Calibri" w:cs="Times New Roman"/>
                <w:color w:val="000000"/>
              </w:rPr>
              <w:t>,</w:t>
            </w:r>
            <w:r w:rsidRPr="00147D59">
              <w:rPr>
                <w:rFonts w:ascii="Calibri" w:eastAsia="Times New Roman" w:hAnsi="Calibri" w:cs="Times New Roman"/>
                <w:color w:val="000000"/>
              </w:rPr>
              <w:t>700</w:t>
            </w:r>
          </w:p>
        </w:tc>
        <w:tc>
          <w:tcPr>
            <w:tcW w:w="1218" w:type="dxa"/>
            <w:noWrap/>
            <w:hideMark/>
          </w:tcPr>
          <w:p w:rsidR="00E60EB0" w:rsidRPr="00147D59" w:rsidRDefault="00E60EB0" w:rsidP="005E19AF">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rPr>
            </w:pPr>
            <w:r w:rsidRPr="00147D59">
              <w:rPr>
                <w:rFonts w:ascii="Calibri" w:eastAsia="Times New Roman" w:hAnsi="Calibri" w:cs="Times New Roman"/>
                <w:color w:val="000000"/>
              </w:rPr>
              <w:t>4</w:t>
            </w:r>
            <w:r w:rsidR="00837E1F" w:rsidRPr="00147D59">
              <w:rPr>
                <w:rFonts w:ascii="Calibri" w:eastAsia="Times New Roman" w:hAnsi="Calibri" w:cs="Times New Roman"/>
                <w:color w:val="000000"/>
              </w:rPr>
              <w:t>,</w:t>
            </w:r>
            <w:r w:rsidRPr="00147D59">
              <w:rPr>
                <w:rFonts w:ascii="Calibri" w:eastAsia="Times New Roman" w:hAnsi="Calibri" w:cs="Times New Roman"/>
                <w:color w:val="000000"/>
              </w:rPr>
              <w:t>200</w:t>
            </w:r>
            <w:r w:rsidR="00837E1F" w:rsidRPr="00147D59">
              <w:rPr>
                <w:rFonts w:ascii="Calibri" w:eastAsia="Times New Roman" w:hAnsi="Calibri" w:cs="Times New Roman"/>
                <w:color w:val="000000"/>
              </w:rPr>
              <w:t>,</w:t>
            </w:r>
            <w:r w:rsidRPr="00147D59">
              <w:rPr>
                <w:rFonts w:ascii="Calibri" w:eastAsia="Times New Roman" w:hAnsi="Calibri" w:cs="Times New Roman"/>
                <w:color w:val="000000"/>
              </w:rPr>
              <w:t>000</w:t>
            </w:r>
          </w:p>
        </w:tc>
      </w:tr>
      <w:tr w:rsidR="00E60EB0" w:rsidRPr="00147D59" w:rsidTr="00F16D61">
        <w:trPr>
          <w:cnfStyle w:val="000000010000" w:firstRow="0" w:lastRow="0" w:firstColumn="0" w:lastColumn="0" w:oddVBand="0" w:evenVBand="0" w:oddHBand="0" w:evenHBand="1"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943" w:type="dxa"/>
            <w:noWrap/>
            <w:hideMark/>
          </w:tcPr>
          <w:p w:rsidR="00E60EB0" w:rsidRPr="00147D59" w:rsidRDefault="00E60EB0" w:rsidP="005E19AF">
            <w:pPr>
              <w:jc w:val="both"/>
              <w:rPr>
                <w:rFonts w:ascii="Calibri" w:eastAsia="Times New Roman" w:hAnsi="Calibri" w:cs="Times New Roman"/>
                <w:color w:val="000000"/>
              </w:rPr>
            </w:pPr>
            <w:r w:rsidRPr="00147D59">
              <w:rPr>
                <w:rFonts w:ascii="Calibri" w:eastAsia="Times New Roman" w:hAnsi="Calibri" w:cs="Times New Roman"/>
                <w:color w:val="000000"/>
              </w:rPr>
              <w:t>Price/Earnings</w:t>
            </w:r>
            <w:r w:rsidR="00837E1F" w:rsidRPr="00147D59">
              <w:rPr>
                <w:rFonts w:ascii="Calibri" w:eastAsia="Times New Roman" w:hAnsi="Calibri" w:cs="Times New Roman"/>
                <w:color w:val="000000"/>
              </w:rPr>
              <w:t xml:space="preserve"> (in $)</w:t>
            </w:r>
          </w:p>
        </w:tc>
        <w:tc>
          <w:tcPr>
            <w:tcW w:w="1087" w:type="dxa"/>
            <w:noWrap/>
            <w:hideMark/>
          </w:tcPr>
          <w:p w:rsidR="00E60EB0" w:rsidRPr="00147D59" w:rsidRDefault="00E60EB0" w:rsidP="005E19AF">
            <w:pPr>
              <w:jc w:val="both"/>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00000"/>
              </w:rPr>
            </w:pPr>
            <w:r w:rsidRPr="00147D59">
              <w:rPr>
                <w:rFonts w:ascii="Calibri" w:eastAsia="Times New Roman" w:hAnsi="Calibri" w:cs="Times New Roman"/>
                <w:color w:val="000000"/>
              </w:rPr>
              <w:t>178</w:t>
            </w:r>
          </w:p>
        </w:tc>
        <w:tc>
          <w:tcPr>
            <w:tcW w:w="1134" w:type="dxa"/>
            <w:noWrap/>
            <w:hideMark/>
          </w:tcPr>
          <w:p w:rsidR="00E60EB0" w:rsidRPr="00147D59" w:rsidRDefault="00E60EB0" w:rsidP="005E19AF">
            <w:pPr>
              <w:jc w:val="both"/>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00000"/>
              </w:rPr>
            </w:pPr>
            <w:r w:rsidRPr="00147D59">
              <w:rPr>
                <w:rFonts w:ascii="Calibri" w:eastAsia="Times New Roman" w:hAnsi="Calibri" w:cs="Times New Roman"/>
                <w:color w:val="000000"/>
              </w:rPr>
              <w:t>24,54382</w:t>
            </w:r>
          </w:p>
        </w:tc>
        <w:tc>
          <w:tcPr>
            <w:tcW w:w="1349" w:type="dxa"/>
            <w:noWrap/>
            <w:hideMark/>
          </w:tcPr>
          <w:p w:rsidR="00E60EB0" w:rsidRPr="00147D59" w:rsidRDefault="00E60EB0" w:rsidP="005E19AF">
            <w:pPr>
              <w:jc w:val="both"/>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00000"/>
              </w:rPr>
            </w:pPr>
            <w:r w:rsidRPr="00147D59">
              <w:rPr>
                <w:rFonts w:ascii="Calibri" w:eastAsia="Times New Roman" w:hAnsi="Calibri" w:cs="Times New Roman"/>
                <w:color w:val="000000"/>
              </w:rPr>
              <w:t>29,14566</w:t>
            </w:r>
          </w:p>
        </w:tc>
        <w:tc>
          <w:tcPr>
            <w:tcW w:w="1088" w:type="dxa"/>
            <w:noWrap/>
            <w:hideMark/>
          </w:tcPr>
          <w:p w:rsidR="00E60EB0" w:rsidRPr="00147D59" w:rsidRDefault="00E60EB0" w:rsidP="005E19AF">
            <w:pPr>
              <w:jc w:val="both"/>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00000"/>
              </w:rPr>
            </w:pPr>
            <w:r w:rsidRPr="00147D59">
              <w:rPr>
                <w:rFonts w:ascii="Calibri" w:eastAsia="Times New Roman" w:hAnsi="Calibri" w:cs="Times New Roman"/>
                <w:color w:val="000000"/>
              </w:rPr>
              <w:t>1,9</w:t>
            </w:r>
          </w:p>
        </w:tc>
        <w:tc>
          <w:tcPr>
            <w:tcW w:w="1218" w:type="dxa"/>
            <w:noWrap/>
            <w:hideMark/>
          </w:tcPr>
          <w:p w:rsidR="00E60EB0" w:rsidRPr="00147D59" w:rsidRDefault="00E60EB0" w:rsidP="005E19AF">
            <w:pPr>
              <w:jc w:val="both"/>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00000"/>
              </w:rPr>
            </w:pPr>
            <w:r w:rsidRPr="00147D59">
              <w:rPr>
                <w:rFonts w:ascii="Calibri" w:eastAsia="Times New Roman" w:hAnsi="Calibri" w:cs="Times New Roman"/>
                <w:color w:val="000000"/>
              </w:rPr>
              <w:t>316</w:t>
            </w:r>
          </w:p>
        </w:tc>
      </w:tr>
      <w:tr w:rsidR="00E60EB0" w:rsidRPr="00147D59" w:rsidTr="00F16D6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943" w:type="dxa"/>
            <w:noWrap/>
          </w:tcPr>
          <w:p w:rsidR="00E60EB0" w:rsidRPr="00147D59" w:rsidRDefault="00E60EB0" w:rsidP="005E19AF">
            <w:pPr>
              <w:jc w:val="both"/>
              <w:rPr>
                <w:rFonts w:ascii="Calibri" w:eastAsia="Times New Roman" w:hAnsi="Calibri" w:cs="Times New Roman"/>
                <w:color w:val="000000"/>
              </w:rPr>
            </w:pPr>
          </w:p>
        </w:tc>
        <w:tc>
          <w:tcPr>
            <w:tcW w:w="1087" w:type="dxa"/>
            <w:noWrap/>
          </w:tcPr>
          <w:p w:rsidR="00E60EB0" w:rsidRPr="00147D59" w:rsidRDefault="00E60EB0" w:rsidP="005E19AF">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rPr>
            </w:pPr>
          </w:p>
        </w:tc>
        <w:tc>
          <w:tcPr>
            <w:tcW w:w="1134" w:type="dxa"/>
            <w:noWrap/>
          </w:tcPr>
          <w:p w:rsidR="00E60EB0" w:rsidRPr="00147D59" w:rsidRDefault="00E60EB0" w:rsidP="005E19AF">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rPr>
            </w:pPr>
          </w:p>
        </w:tc>
        <w:tc>
          <w:tcPr>
            <w:tcW w:w="1349" w:type="dxa"/>
            <w:noWrap/>
          </w:tcPr>
          <w:p w:rsidR="00E60EB0" w:rsidRPr="00147D59" w:rsidRDefault="00E60EB0" w:rsidP="005E19AF">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rPr>
            </w:pPr>
          </w:p>
        </w:tc>
        <w:tc>
          <w:tcPr>
            <w:tcW w:w="1088" w:type="dxa"/>
            <w:noWrap/>
          </w:tcPr>
          <w:p w:rsidR="00E60EB0" w:rsidRPr="00147D59" w:rsidRDefault="00E60EB0" w:rsidP="005E19AF">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rPr>
            </w:pPr>
          </w:p>
        </w:tc>
        <w:tc>
          <w:tcPr>
            <w:tcW w:w="1218" w:type="dxa"/>
            <w:noWrap/>
          </w:tcPr>
          <w:p w:rsidR="00E60EB0" w:rsidRPr="00147D59" w:rsidRDefault="00E60EB0" w:rsidP="005E19AF">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rPr>
            </w:pPr>
          </w:p>
        </w:tc>
      </w:tr>
      <w:tr w:rsidR="00E60EB0" w:rsidRPr="00147D59" w:rsidTr="00F16D61">
        <w:trPr>
          <w:cnfStyle w:val="000000010000" w:firstRow="0" w:lastRow="0" w:firstColumn="0" w:lastColumn="0" w:oddVBand="0" w:evenVBand="0" w:oddHBand="0" w:evenHBand="1"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943" w:type="dxa"/>
            <w:noWrap/>
            <w:hideMark/>
          </w:tcPr>
          <w:p w:rsidR="00E60EB0" w:rsidRPr="00147D59" w:rsidRDefault="00E60EB0" w:rsidP="005E19AF">
            <w:pPr>
              <w:jc w:val="both"/>
              <w:rPr>
                <w:rFonts w:ascii="Calibri" w:eastAsia="Times New Roman" w:hAnsi="Calibri" w:cs="Times New Roman"/>
                <w:color w:val="000000"/>
              </w:rPr>
            </w:pPr>
          </w:p>
        </w:tc>
        <w:tc>
          <w:tcPr>
            <w:tcW w:w="1087" w:type="dxa"/>
            <w:noWrap/>
            <w:hideMark/>
          </w:tcPr>
          <w:p w:rsidR="00E60EB0" w:rsidRPr="00147D59" w:rsidRDefault="00E60EB0" w:rsidP="005E19AF">
            <w:pPr>
              <w:jc w:val="both"/>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00000"/>
              </w:rPr>
            </w:pPr>
            <w:r w:rsidRPr="00147D59">
              <w:rPr>
                <w:rFonts w:ascii="Calibri" w:eastAsia="Times New Roman" w:hAnsi="Calibri" w:cs="Times New Roman"/>
                <w:b/>
                <w:color w:val="000000"/>
              </w:rPr>
              <w:t>Acquirers</w:t>
            </w:r>
          </w:p>
        </w:tc>
        <w:tc>
          <w:tcPr>
            <w:tcW w:w="1134" w:type="dxa"/>
            <w:noWrap/>
            <w:hideMark/>
          </w:tcPr>
          <w:p w:rsidR="00E60EB0" w:rsidRPr="00147D59" w:rsidRDefault="00E60EB0" w:rsidP="005E19AF">
            <w:pPr>
              <w:jc w:val="both"/>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00000"/>
              </w:rPr>
            </w:pPr>
          </w:p>
        </w:tc>
        <w:tc>
          <w:tcPr>
            <w:tcW w:w="1349" w:type="dxa"/>
            <w:noWrap/>
            <w:hideMark/>
          </w:tcPr>
          <w:p w:rsidR="00E60EB0" w:rsidRPr="00147D59" w:rsidRDefault="00E60EB0" w:rsidP="005E19AF">
            <w:pPr>
              <w:jc w:val="both"/>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00000"/>
              </w:rPr>
            </w:pPr>
          </w:p>
        </w:tc>
        <w:tc>
          <w:tcPr>
            <w:tcW w:w="1088" w:type="dxa"/>
            <w:noWrap/>
            <w:hideMark/>
          </w:tcPr>
          <w:p w:rsidR="00E60EB0" w:rsidRPr="00147D59" w:rsidRDefault="00E60EB0" w:rsidP="005E19AF">
            <w:pPr>
              <w:jc w:val="both"/>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00000"/>
              </w:rPr>
            </w:pPr>
          </w:p>
        </w:tc>
        <w:tc>
          <w:tcPr>
            <w:tcW w:w="1218" w:type="dxa"/>
            <w:noWrap/>
            <w:hideMark/>
          </w:tcPr>
          <w:p w:rsidR="00E60EB0" w:rsidRPr="00147D59" w:rsidRDefault="00E60EB0" w:rsidP="005E19AF">
            <w:pPr>
              <w:jc w:val="both"/>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00000"/>
              </w:rPr>
            </w:pPr>
          </w:p>
        </w:tc>
      </w:tr>
      <w:tr w:rsidR="00E60EB0" w:rsidRPr="00147D59" w:rsidTr="00F16D6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943" w:type="dxa"/>
            <w:noWrap/>
            <w:hideMark/>
          </w:tcPr>
          <w:p w:rsidR="00E60EB0" w:rsidRPr="00147D59" w:rsidRDefault="00E60EB0" w:rsidP="005E19AF">
            <w:pPr>
              <w:jc w:val="both"/>
              <w:rPr>
                <w:rFonts w:ascii="Calibri" w:eastAsia="Times New Roman" w:hAnsi="Calibri" w:cs="Times New Roman"/>
                <w:color w:val="000000"/>
              </w:rPr>
            </w:pPr>
          </w:p>
        </w:tc>
        <w:tc>
          <w:tcPr>
            <w:tcW w:w="1087" w:type="dxa"/>
            <w:noWrap/>
            <w:hideMark/>
          </w:tcPr>
          <w:p w:rsidR="00E60EB0" w:rsidRPr="00147D59" w:rsidRDefault="00E60EB0" w:rsidP="005E19AF">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rPr>
            </w:pPr>
            <w:r w:rsidRPr="00147D59">
              <w:rPr>
                <w:rFonts w:ascii="Calibri" w:eastAsia="Times New Roman" w:hAnsi="Calibri" w:cs="Times New Roman"/>
                <w:color w:val="000000"/>
              </w:rPr>
              <w:t>n=</w:t>
            </w:r>
          </w:p>
        </w:tc>
        <w:tc>
          <w:tcPr>
            <w:tcW w:w="1134" w:type="dxa"/>
            <w:noWrap/>
            <w:hideMark/>
          </w:tcPr>
          <w:p w:rsidR="00E60EB0" w:rsidRPr="00147D59" w:rsidRDefault="00E60EB0" w:rsidP="005E19AF">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rPr>
            </w:pPr>
            <w:r w:rsidRPr="00147D59">
              <w:rPr>
                <w:rFonts w:ascii="Calibri" w:eastAsia="Times New Roman" w:hAnsi="Calibri" w:cs="Times New Roman"/>
                <w:color w:val="000000"/>
              </w:rPr>
              <w:t>Mean</w:t>
            </w:r>
          </w:p>
        </w:tc>
        <w:tc>
          <w:tcPr>
            <w:tcW w:w="1349" w:type="dxa"/>
            <w:noWrap/>
            <w:hideMark/>
          </w:tcPr>
          <w:p w:rsidR="00E60EB0" w:rsidRPr="00147D59" w:rsidRDefault="00E60EB0" w:rsidP="005E19AF">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rPr>
            </w:pPr>
            <w:r w:rsidRPr="00147D59">
              <w:rPr>
                <w:rFonts w:ascii="Calibri" w:eastAsia="Times New Roman" w:hAnsi="Calibri" w:cs="Times New Roman"/>
                <w:color w:val="000000"/>
              </w:rPr>
              <w:t>Std. Dev.</w:t>
            </w:r>
          </w:p>
        </w:tc>
        <w:tc>
          <w:tcPr>
            <w:tcW w:w="1088" w:type="dxa"/>
            <w:noWrap/>
            <w:hideMark/>
          </w:tcPr>
          <w:p w:rsidR="00E60EB0" w:rsidRPr="00147D59" w:rsidRDefault="00E60EB0" w:rsidP="005E19AF">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rPr>
            </w:pPr>
            <w:r w:rsidRPr="00147D59">
              <w:rPr>
                <w:rFonts w:ascii="Calibri" w:eastAsia="Times New Roman" w:hAnsi="Calibri" w:cs="Times New Roman"/>
                <w:color w:val="000000"/>
              </w:rPr>
              <w:t>Minimum</w:t>
            </w:r>
          </w:p>
        </w:tc>
        <w:tc>
          <w:tcPr>
            <w:tcW w:w="1218" w:type="dxa"/>
            <w:noWrap/>
            <w:hideMark/>
          </w:tcPr>
          <w:p w:rsidR="00E60EB0" w:rsidRPr="00147D59" w:rsidRDefault="00E60EB0" w:rsidP="005E19AF">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rPr>
            </w:pPr>
            <w:r w:rsidRPr="00147D59">
              <w:rPr>
                <w:rFonts w:ascii="Calibri" w:eastAsia="Times New Roman" w:hAnsi="Calibri" w:cs="Times New Roman"/>
                <w:color w:val="000000"/>
              </w:rPr>
              <w:t>Maximum</w:t>
            </w:r>
          </w:p>
        </w:tc>
      </w:tr>
      <w:tr w:rsidR="00E60EB0" w:rsidRPr="00147D59" w:rsidTr="00F16D61">
        <w:trPr>
          <w:cnfStyle w:val="000000010000" w:firstRow="0" w:lastRow="0" w:firstColumn="0" w:lastColumn="0" w:oddVBand="0" w:evenVBand="0" w:oddHBand="0" w:evenHBand="1"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943" w:type="dxa"/>
            <w:noWrap/>
            <w:hideMark/>
          </w:tcPr>
          <w:p w:rsidR="00E60EB0" w:rsidRPr="00147D59" w:rsidRDefault="00E60EB0" w:rsidP="005E19AF">
            <w:pPr>
              <w:jc w:val="both"/>
              <w:rPr>
                <w:rFonts w:ascii="Calibri" w:eastAsia="Times New Roman" w:hAnsi="Calibri" w:cs="Times New Roman"/>
                <w:color w:val="000000"/>
              </w:rPr>
            </w:pPr>
            <w:r w:rsidRPr="00147D59">
              <w:rPr>
                <w:rFonts w:ascii="Calibri" w:eastAsia="Times New Roman" w:hAnsi="Calibri" w:cs="Times New Roman"/>
                <w:color w:val="000000"/>
              </w:rPr>
              <w:t>Earnings per Share</w:t>
            </w:r>
            <w:r w:rsidR="00837E1F" w:rsidRPr="00147D59">
              <w:rPr>
                <w:rFonts w:ascii="Calibri" w:eastAsia="Times New Roman" w:hAnsi="Calibri" w:cs="Times New Roman"/>
                <w:color w:val="000000"/>
              </w:rPr>
              <w:t xml:space="preserve"> (in $)</w:t>
            </w:r>
          </w:p>
        </w:tc>
        <w:tc>
          <w:tcPr>
            <w:tcW w:w="1087" w:type="dxa"/>
            <w:noWrap/>
            <w:hideMark/>
          </w:tcPr>
          <w:p w:rsidR="00E60EB0" w:rsidRPr="00147D59" w:rsidRDefault="00E60EB0" w:rsidP="005E19AF">
            <w:pPr>
              <w:jc w:val="both"/>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00000"/>
              </w:rPr>
            </w:pPr>
            <w:r w:rsidRPr="00147D59">
              <w:rPr>
                <w:rFonts w:ascii="Calibri" w:eastAsia="Times New Roman" w:hAnsi="Calibri" w:cs="Times New Roman"/>
                <w:color w:val="000000"/>
              </w:rPr>
              <w:t>235</w:t>
            </w:r>
          </w:p>
        </w:tc>
        <w:tc>
          <w:tcPr>
            <w:tcW w:w="1134" w:type="dxa"/>
            <w:noWrap/>
            <w:hideMark/>
          </w:tcPr>
          <w:p w:rsidR="00E60EB0" w:rsidRPr="00147D59" w:rsidRDefault="00E60EB0" w:rsidP="005E19AF">
            <w:pPr>
              <w:jc w:val="both"/>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00000"/>
              </w:rPr>
            </w:pPr>
            <w:r w:rsidRPr="00147D59">
              <w:rPr>
                <w:rFonts w:ascii="Calibri" w:eastAsia="Times New Roman" w:hAnsi="Calibri" w:cs="Times New Roman"/>
                <w:color w:val="000000"/>
              </w:rPr>
              <w:t>2,08375</w:t>
            </w:r>
          </w:p>
        </w:tc>
        <w:tc>
          <w:tcPr>
            <w:tcW w:w="1349" w:type="dxa"/>
            <w:noWrap/>
            <w:hideMark/>
          </w:tcPr>
          <w:p w:rsidR="00E60EB0" w:rsidRPr="00147D59" w:rsidRDefault="00E60EB0" w:rsidP="005E19AF">
            <w:pPr>
              <w:jc w:val="both"/>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00000"/>
              </w:rPr>
            </w:pPr>
            <w:r w:rsidRPr="00147D59">
              <w:rPr>
                <w:rFonts w:ascii="Calibri" w:eastAsia="Times New Roman" w:hAnsi="Calibri" w:cs="Times New Roman"/>
                <w:color w:val="000000"/>
              </w:rPr>
              <w:t>4,77237</w:t>
            </w:r>
          </w:p>
        </w:tc>
        <w:tc>
          <w:tcPr>
            <w:tcW w:w="1088" w:type="dxa"/>
            <w:noWrap/>
            <w:hideMark/>
          </w:tcPr>
          <w:p w:rsidR="00E60EB0" w:rsidRPr="00147D59" w:rsidRDefault="00E60EB0" w:rsidP="005E19AF">
            <w:pPr>
              <w:jc w:val="both"/>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00000"/>
              </w:rPr>
            </w:pPr>
            <w:r w:rsidRPr="00147D59">
              <w:rPr>
                <w:rFonts w:ascii="Calibri" w:eastAsia="Times New Roman" w:hAnsi="Calibri" w:cs="Times New Roman"/>
                <w:color w:val="000000"/>
              </w:rPr>
              <w:t>0</w:t>
            </w:r>
          </w:p>
        </w:tc>
        <w:tc>
          <w:tcPr>
            <w:tcW w:w="1218" w:type="dxa"/>
            <w:noWrap/>
            <w:hideMark/>
          </w:tcPr>
          <w:p w:rsidR="00E60EB0" w:rsidRPr="00147D59" w:rsidRDefault="00E60EB0" w:rsidP="005E19AF">
            <w:pPr>
              <w:jc w:val="both"/>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00000"/>
              </w:rPr>
            </w:pPr>
            <w:r w:rsidRPr="00147D59">
              <w:rPr>
                <w:rFonts w:ascii="Calibri" w:eastAsia="Times New Roman" w:hAnsi="Calibri" w:cs="Times New Roman"/>
                <w:color w:val="000000"/>
              </w:rPr>
              <w:t>54,04</w:t>
            </w:r>
          </w:p>
        </w:tc>
      </w:tr>
      <w:tr w:rsidR="00E60EB0" w:rsidRPr="00147D59" w:rsidTr="00F16D6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943" w:type="dxa"/>
            <w:noWrap/>
            <w:hideMark/>
          </w:tcPr>
          <w:p w:rsidR="00E60EB0" w:rsidRPr="00147D59" w:rsidRDefault="00E60EB0" w:rsidP="005E19AF">
            <w:pPr>
              <w:jc w:val="both"/>
              <w:rPr>
                <w:rFonts w:ascii="Calibri" w:eastAsia="Times New Roman" w:hAnsi="Calibri" w:cs="Times New Roman"/>
                <w:color w:val="000000"/>
              </w:rPr>
            </w:pPr>
            <w:r w:rsidRPr="00147D59">
              <w:rPr>
                <w:rFonts w:ascii="Calibri" w:eastAsia="Times New Roman" w:hAnsi="Calibri" w:cs="Times New Roman"/>
                <w:color w:val="000000"/>
              </w:rPr>
              <w:t>Market-to-book-ratio</w:t>
            </w:r>
          </w:p>
        </w:tc>
        <w:tc>
          <w:tcPr>
            <w:tcW w:w="1087" w:type="dxa"/>
            <w:noWrap/>
            <w:hideMark/>
          </w:tcPr>
          <w:p w:rsidR="00E60EB0" w:rsidRPr="00147D59" w:rsidRDefault="00E60EB0" w:rsidP="005E19AF">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rPr>
            </w:pPr>
            <w:r w:rsidRPr="00147D59">
              <w:rPr>
                <w:rFonts w:ascii="Calibri" w:eastAsia="Times New Roman" w:hAnsi="Calibri" w:cs="Times New Roman"/>
                <w:color w:val="000000"/>
              </w:rPr>
              <w:t>228</w:t>
            </w:r>
          </w:p>
        </w:tc>
        <w:tc>
          <w:tcPr>
            <w:tcW w:w="1134" w:type="dxa"/>
            <w:noWrap/>
            <w:hideMark/>
          </w:tcPr>
          <w:p w:rsidR="00E60EB0" w:rsidRPr="00147D59" w:rsidRDefault="00E60EB0" w:rsidP="005E19AF">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rPr>
            </w:pPr>
            <w:r w:rsidRPr="00147D59">
              <w:rPr>
                <w:rFonts w:ascii="Calibri" w:eastAsia="Times New Roman" w:hAnsi="Calibri" w:cs="Times New Roman"/>
                <w:color w:val="000000"/>
              </w:rPr>
              <w:t>3,32504</w:t>
            </w:r>
          </w:p>
        </w:tc>
        <w:tc>
          <w:tcPr>
            <w:tcW w:w="1349" w:type="dxa"/>
            <w:noWrap/>
            <w:hideMark/>
          </w:tcPr>
          <w:p w:rsidR="00E60EB0" w:rsidRPr="00147D59" w:rsidRDefault="00E60EB0" w:rsidP="005E19AF">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rPr>
            </w:pPr>
            <w:r w:rsidRPr="00147D59">
              <w:rPr>
                <w:rFonts w:ascii="Calibri" w:eastAsia="Times New Roman" w:hAnsi="Calibri" w:cs="Times New Roman"/>
                <w:color w:val="000000"/>
              </w:rPr>
              <w:t>13,33345</w:t>
            </w:r>
          </w:p>
        </w:tc>
        <w:tc>
          <w:tcPr>
            <w:tcW w:w="1088" w:type="dxa"/>
            <w:noWrap/>
            <w:hideMark/>
          </w:tcPr>
          <w:p w:rsidR="00E60EB0" w:rsidRPr="00147D59" w:rsidRDefault="00E60EB0" w:rsidP="005E19AF">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rPr>
            </w:pPr>
            <w:r w:rsidRPr="00147D59">
              <w:rPr>
                <w:rFonts w:ascii="Calibri" w:eastAsia="Times New Roman" w:hAnsi="Calibri" w:cs="Times New Roman"/>
                <w:color w:val="000000"/>
              </w:rPr>
              <w:t>0,22</w:t>
            </w:r>
          </w:p>
        </w:tc>
        <w:tc>
          <w:tcPr>
            <w:tcW w:w="1218" w:type="dxa"/>
            <w:noWrap/>
            <w:hideMark/>
          </w:tcPr>
          <w:p w:rsidR="00E60EB0" w:rsidRPr="00147D59" w:rsidRDefault="00E60EB0" w:rsidP="005E19AF">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rPr>
            </w:pPr>
            <w:r w:rsidRPr="00147D59">
              <w:rPr>
                <w:rFonts w:ascii="Calibri" w:eastAsia="Times New Roman" w:hAnsi="Calibri" w:cs="Times New Roman"/>
                <w:color w:val="000000"/>
              </w:rPr>
              <w:t>190,51</w:t>
            </w:r>
          </w:p>
        </w:tc>
      </w:tr>
      <w:tr w:rsidR="00E60EB0" w:rsidRPr="00147D59" w:rsidTr="00F16D61">
        <w:trPr>
          <w:cnfStyle w:val="000000010000" w:firstRow="0" w:lastRow="0" w:firstColumn="0" w:lastColumn="0" w:oddVBand="0" w:evenVBand="0" w:oddHBand="0" w:evenHBand="1"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943" w:type="dxa"/>
            <w:noWrap/>
            <w:hideMark/>
          </w:tcPr>
          <w:p w:rsidR="00E60EB0" w:rsidRPr="00147D59" w:rsidRDefault="00837E1F" w:rsidP="005E19AF">
            <w:pPr>
              <w:jc w:val="both"/>
              <w:rPr>
                <w:rFonts w:ascii="Calibri" w:eastAsia="Times New Roman" w:hAnsi="Calibri" w:cs="Times New Roman"/>
                <w:color w:val="000000"/>
              </w:rPr>
            </w:pPr>
            <w:r w:rsidRPr="00147D59">
              <w:rPr>
                <w:rFonts w:ascii="Calibri" w:eastAsia="Times New Roman" w:hAnsi="Calibri" w:cs="Times New Roman"/>
                <w:color w:val="000000"/>
              </w:rPr>
              <w:t>ln(</w:t>
            </w:r>
            <w:r w:rsidR="00E60EB0" w:rsidRPr="00147D59">
              <w:rPr>
                <w:rFonts w:ascii="Calibri" w:eastAsia="Times New Roman" w:hAnsi="Calibri" w:cs="Times New Roman"/>
                <w:color w:val="000000"/>
              </w:rPr>
              <w:t>Market Value</w:t>
            </w:r>
            <w:r w:rsidRPr="00147D59">
              <w:rPr>
                <w:rFonts w:ascii="Calibri" w:eastAsia="Times New Roman" w:hAnsi="Calibri" w:cs="Times New Roman"/>
                <w:color w:val="000000"/>
              </w:rPr>
              <w:t>)</w:t>
            </w:r>
          </w:p>
        </w:tc>
        <w:tc>
          <w:tcPr>
            <w:tcW w:w="1087" w:type="dxa"/>
            <w:noWrap/>
            <w:hideMark/>
          </w:tcPr>
          <w:p w:rsidR="00E60EB0" w:rsidRPr="00147D59" w:rsidRDefault="00E60EB0" w:rsidP="005E19AF">
            <w:pPr>
              <w:jc w:val="both"/>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00000"/>
              </w:rPr>
            </w:pPr>
            <w:r w:rsidRPr="00147D59">
              <w:rPr>
                <w:rFonts w:ascii="Calibri" w:eastAsia="Times New Roman" w:hAnsi="Calibri" w:cs="Times New Roman"/>
                <w:color w:val="000000"/>
              </w:rPr>
              <w:t>240</w:t>
            </w:r>
          </w:p>
        </w:tc>
        <w:tc>
          <w:tcPr>
            <w:tcW w:w="1134" w:type="dxa"/>
            <w:noWrap/>
            <w:hideMark/>
          </w:tcPr>
          <w:p w:rsidR="00E60EB0" w:rsidRPr="00147D59" w:rsidRDefault="00E60EB0" w:rsidP="005E19AF">
            <w:pPr>
              <w:jc w:val="both"/>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00000"/>
              </w:rPr>
            </w:pPr>
            <w:r w:rsidRPr="00147D59">
              <w:rPr>
                <w:rFonts w:ascii="Calibri" w:eastAsia="Times New Roman" w:hAnsi="Calibri" w:cs="Times New Roman"/>
                <w:color w:val="000000"/>
              </w:rPr>
              <w:t>8,19816</w:t>
            </w:r>
          </w:p>
        </w:tc>
        <w:tc>
          <w:tcPr>
            <w:tcW w:w="1349" w:type="dxa"/>
            <w:noWrap/>
            <w:hideMark/>
          </w:tcPr>
          <w:p w:rsidR="00E60EB0" w:rsidRPr="00147D59" w:rsidRDefault="00E60EB0" w:rsidP="005E19AF">
            <w:pPr>
              <w:jc w:val="both"/>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00000"/>
              </w:rPr>
            </w:pPr>
            <w:r w:rsidRPr="00147D59">
              <w:rPr>
                <w:rFonts w:ascii="Calibri" w:eastAsia="Times New Roman" w:hAnsi="Calibri" w:cs="Times New Roman"/>
                <w:color w:val="000000"/>
              </w:rPr>
              <w:t>1,44654</w:t>
            </w:r>
          </w:p>
        </w:tc>
        <w:tc>
          <w:tcPr>
            <w:tcW w:w="1088" w:type="dxa"/>
            <w:noWrap/>
            <w:hideMark/>
          </w:tcPr>
          <w:p w:rsidR="00E60EB0" w:rsidRPr="00147D59" w:rsidRDefault="00E60EB0" w:rsidP="005E19AF">
            <w:pPr>
              <w:jc w:val="both"/>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00000"/>
              </w:rPr>
            </w:pPr>
            <w:r w:rsidRPr="00147D59">
              <w:rPr>
                <w:rFonts w:ascii="Calibri" w:eastAsia="Times New Roman" w:hAnsi="Calibri" w:cs="Times New Roman"/>
                <w:color w:val="000000"/>
              </w:rPr>
              <w:t>2,95126</w:t>
            </w:r>
          </w:p>
        </w:tc>
        <w:tc>
          <w:tcPr>
            <w:tcW w:w="1218" w:type="dxa"/>
            <w:noWrap/>
            <w:hideMark/>
          </w:tcPr>
          <w:p w:rsidR="00E60EB0" w:rsidRPr="00147D59" w:rsidRDefault="00E60EB0" w:rsidP="005E19AF">
            <w:pPr>
              <w:jc w:val="both"/>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00000"/>
              </w:rPr>
            </w:pPr>
            <w:r w:rsidRPr="00147D59">
              <w:rPr>
                <w:rFonts w:ascii="Calibri" w:eastAsia="Times New Roman" w:hAnsi="Calibri" w:cs="Times New Roman"/>
                <w:color w:val="000000"/>
              </w:rPr>
              <w:t>11,62066</w:t>
            </w:r>
          </w:p>
        </w:tc>
      </w:tr>
      <w:tr w:rsidR="00E60EB0" w:rsidRPr="00147D59" w:rsidTr="00F16D6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943" w:type="dxa"/>
            <w:noWrap/>
            <w:hideMark/>
          </w:tcPr>
          <w:p w:rsidR="00E60EB0" w:rsidRPr="00147D59" w:rsidRDefault="00E60EB0" w:rsidP="005E19AF">
            <w:pPr>
              <w:jc w:val="both"/>
              <w:rPr>
                <w:rFonts w:ascii="Calibri" w:eastAsia="Times New Roman" w:hAnsi="Calibri" w:cs="Times New Roman"/>
                <w:color w:val="000000"/>
              </w:rPr>
            </w:pPr>
            <w:r w:rsidRPr="00147D59">
              <w:rPr>
                <w:rFonts w:ascii="Calibri" w:eastAsia="Times New Roman" w:hAnsi="Calibri" w:cs="Times New Roman"/>
                <w:color w:val="000000"/>
              </w:rPr>
              <w:t>Discounted Cashflow</w:t>
            </w:r>
            <w:r w:rsidR="00837E1F" w:rsidRPr="00147D59">
              <w:rPr>
                <w:rFonts w:ascii="Calibri" w:eastAsia="Times New Roman" w:hAnsi="Calibri" w:cs="Times New Roman"/>
                <w:color w:val="000000"/>
              </w:rPr>
              <w:t xml:space="preserve"> (in $)</w:t>
            </w:r>
          </w:p>
        </w:tc>
        <w:tc>
          <w:tcPr>
            <w:tcW w:w="1087" w:type="dxa"/>
            <w:noWrap/>
            <w:hideMark/>
          </w:tcPr>
          <w:p w:rsidR="00E60EB0" w:rsidRPr="00147D59" w:rsidRDefault="00E60EB0" w:rsidP="005E19AF">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rPr>
            </w:pPr>
            <w:r w:rsidRPr="00147D59">
              <w:rPr>
                <w:rFonts w:ascii="Calibri" w:eastAsia="Times New Roman" w:hAnsi="Calibri" w:cs="Times New Roman"/>
                <w:color w:val="000000"/>
              </w:rPr>
              <w:t>230</w:t>
            </w:r>
          </w:p>
        </w:tc>
        <w:tc>
          <w:tcPr>
            <w:tcW w:w="1134" w:type="dxa"/>
            <w:noWrap/>
            <w:hideMark/>
          </w:tcPr>
          <w:p w:rsidR="00E60EB0" w:rsidRPr="00147D59" w:rsidRDefault="00E60EB0" w:rsidP="005E19AF">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rPr>
            </w:pPr>
            <w:r w:rsidRPr="00147D59">
              <w:rPr>
                <w:rFonts w:ascii="Calibri" w:eastAsia="Times New Roman" w:hAnsi="Calibri" w:cs="Times New Roman"/>
                <w:color w:val="000000"/>
              </w:rPr>
              <w:t>1</w:t>
            </w:r>
            <w:r w:rsidR="00837E1F" w:rsidRPr="00147D59">
              <w:rPr>
                <w:rFonts w:ascii="Calibri" w:eastAsia="Times New Roman" w:hAnsi="Calibri" w:cs="Times New Roman"/>
                <w:color w:val="000000"/>
              </w:rPr>
              <w:t>,</w:t>
            </w:r>
            <w:r w:rsidRPr="00147D59">
              <w:rPr>
                <w:rFonts w:ascii="Calibri" w:eastAsia="Times New Roman" w:hAnsi="Calibri" w:cs="Times New Roman"/>
                <w:color w:val="000000"/>
              </w:rPr>
              <w:t>130</w:t>
            </w:r>
            <w:r w:rsidR="00837E1F" w:rsidRPr="00147D59">
              <w:rPr>
                <w:rFonts w:ascii="Calibri" w:eastAsia="Times New Roman" w:hAnsi="Calibri" w:cs="Times New Roman"/>
                <w:color w:val="000000"/>
              </w:rPr>
              <w:t>,</w:t>
            </w:r>
            <w:r w:rsidRPr="00147D59">
              <w:rPr>
                <w:rFonts w:ascii="Calibri" w:eastAsia="Times New Roman" w:hAnsi="Calibri" w:cs="Times New Roman"/>
                <w:color w:val="000000"/>
              </w:rPr>
              <w:t>131</w:t>
            </w:r>
          </w:p>
        </w:tc>
        <w:tc>
          <w:tcPr>
            <w:tcW w:w="1349" w:type="dxa"/>
            <w:noWrap/>
            <w:hideMark/>
          </w:tcPr>
          <w:p w:rsidR="00E60EB0" w:rsidRPr="00147D59" w:rsidRDefault="00E60EB0" w:rsidP="005E19AF">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rPr>
            </w:pPr>
            <w:r w:rsidRPr="00147D59">
              <w:rPr>
                <w:rFonts w:ascii="Calibri" w:eastAsia="Times New Roman" w:hAnsi="Calibri" w:cs="Times New Roman"/>
                <w:color w:val="000000"/>
              </w:rPr>
              <w:t>1</w:t>
            </w:r>
            <w:r w:rsidR="00837E1F" w:rsidRPr="00147D59">
              <w:rPr>
                <w:rFonts w:ascii="Calibri" w:eastAsia="Times New Roman" w:hAnsi="Calibri" w:cs="Times New Roman"/>
                <w:color w:val="000000"/>
              </w:rPr>
              <w:t>,</w:t>
            </w:r>
            <w:r w:rsidRPr="00147D59">
              <w:rPr>
                <w:rFonts w:ascii="Calibri" w:eastAsia="Times New Roman" w:hAnsi="Calibri" w:cs="Times New Roman"/>
                <w:color w:val="000000"/>
              </w:rPr>
              <w:t>958</w:t>
            </w:r>
            <w:r w:rsidR="00837E1F" w:rsidRPr="00147D59">
              <w:rPr>
                <w:rFonts w:ascii="Calibri" w:eastAsia="Times New Roman" w:hAnsi="Calibri" w:cs="Times New Roman"/>
                <w:color w:val="000000"/>
              </w:rPr>
              <w:t>,</w:t>
            </w:r>
            <w:r w:rsidRPr="00147D59">
              <w:rPr>
                <w:rFonts w:ascii="Calibri" w:eastAsia="Times New Roman" w:hAnsi="Calibri" w:cs="Times New Roman"/>
                <w:color w:val="000000"/>
              </w:rPr>
              <w:t>393</w:t>
            </w:r>
          </w:p>
        </w:tc>
        <w:tc>
          <w:tcPr>
            <w:tcW w:w="1088" w:type="dxa"/>
            <w:noWrap/>
            <w:hideMark/>
          </w:tcPr>
          <w:p w:rsidR="00E60EB0" w:rsidRPr="00147D59" w:rsidRDefault="00E60EB0" w:rsidP="005E19AF">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rPr>
            </w:pPr>
            <w:r w:rsidRPr="00147D59">
              <w:rPr>
                <w:rFonts w:ascii="Calibri" w:eastAsia="Times New Roman" w:hAnsi="Calibri" w:cs="Times New Roman"/>
                <w:color w:val="000000"/>
              </w:rPr>
              <w:t>-460</w:t>
            </w:r>
            <w:r w:rsidR="00837E1F" w:rsidRPr="00147D59">
              <w:rPr>
                <w:rFonts w:ascii="Calibri" w:eastAsia="Times New Roman" w:hAnsi="Calibri" w:cs="Times New Roman"/>
                <w:color w:val="000000"/>
              </w:rPr>
              <w:t>,</w:t>
            </w:r>
            <w:r w:rsidRPr="00147D59">
              <w:rPr>
                <w:rFonts w:ascii="Calibri" w:eastAsia="Times New Roman" w:hAnsi="Calibri" w:cs="Times New Roman"/>
                <w:color w:val="000000"/>
              </w:rPr>
              <w:t>288</w:t>
            </w:r>
          </w:p>
        </w:tc>
        <w:tc>
          <w:tcPr>
            <w:tcW w:w="1218" w:type="dxa"/>
            <w:noWrap/>
            <w:hideMark/>
          </w:tcPr>
          <w:p w:rsidR="00E60EB0" w:rsidRPr="00147D59" w:rsidRDefault="00E60EB0" w:rsidP="005E19AF">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rPr>
            </w:pPr>
            <w:r w:rsidRPr="00147D59">
              <w:rPr>
                <w:rFonts w:ascii="Calibri" w:eastAsia="Times New Roman" w:hAnsi="Calibri" w:cs="Times New Roman"/>
                <w:color w:val="000000"/>
              </w:rPr>
              <w:t>16</w:t>
            </w:r>
            <w:r w:rsidR="00837E1F" w:rsidRPr="00147D59">
              <w:rPr>
                <w:rFonts w:ascii="Calibri" w:eastAsia="Times New Roman" w:hAnsi="Calibri" w:cs="Times New Roman"/>
                <w:color w:val="000000"/>
              </w:rPr>
              <w:t>,</w:t>
            </w:r>
            <w:r w:rsidRPr="00147D59">
              <w:rPr>
                <w:rFonts w:ascii="Calibri" w:eastAsia="Times New Roman" w:hAnsi="Calibri" w:cs="Times New Roman"/>
                <w:color w:val="000000"/>
              </w:rPr>
              <w:t>150</w:t>
            </w:r>
            <w:r w:rsidR="00837E1F" w:rsidRPr="00147D59">
              <w:rPr>
                <w:rFonts w:ascii="Calibri" w:eastAsia="Times New Roman" w:hAnsi="Calibri" w:cs="Times New Roman"/>
                <w:color w:val="000000"/>
              </w:rPr>
              <w:t>,</w:t>
            </w:r>
            <w:r w:rsidRPr="00147D59">
              <w:rPr>
                <w:rFonts w:ascii="Calibri" w:eastAsia="Times New Roman" w:hAnsi="Calibri" w:cs="Times New Roman"/>
                <w:color w:val="000000"/>
              </w:rPr>
              <w:t>000</w:t>
            </w:r>
          </w:p>
        </w:tc>
      </w:tr>
      <w:tr w:rsidR="00E60EB0" w:rsidRPr="00147D59" w:rsidTr="00F16D61">
        <w:trPr>
          <w:cnfStyle w:val="000000010000" w:firstRow="0" w:lastRow="0" w:firstColumn="0" w:lastColumn="0" w:oddVBand="0" w:evenVBand="0" w:oddHBand="0" w:evenHBand="1"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943" w:type="dxa"/>
            <w:noWrap/>
            <w:hideMark/>
          </w:tcPr>
          <w:p w:rsidR="00E60EB0" w:rsidRPr="00147D59" w:rsidRDefault="00E60EB0" w:rsidP="005E19AF">
            <w:pPr>
              <w:jc w:val="both"/>
              <w:rPr>
                <w:rFonts w:ascii="Calibri" w:eastAsia="Times New Roman" w:hAnsi="Calibri" w:cs="Times New Roman"/>
                <w:color w:val="000000"/>
              </w:rPr>
            </w:pPr>
            <w:r w:rsidRPr="00147D59">
              <w:rPr>
                <w:rFonts w:ascii="Calibri" w:eastAsia="Times New Roman" w:hAnsi="Calibri" w:cs="Times New Roman"/>
                <w:color w:val="000000"/>
              </w:rPr>
              <w:t>Price/Earnings</w:t>
            </w:r>
            <w:r w:rsidR="00837E1F" w:rsidRPr="00147D59">
              <w:rPr>
                <w:rFonts w:ascii="Calibri" w:eastAsia="Times New Roman" w:hAnsi="Calibri" w:cs="Times New Roman"/>
                <w:color w:val="000000"/>
              </w:rPr>
              <w:t xml:space="preserve"> (in $)</w:t>
            </w:r>
          </w:p>
        </w:tc>
        <w:tc>
          <w:tcPr>
            <w:tcW w:w="1087" w:type="dxa"/>
            <w:noWrap/>
            <w:hideMark/>
          </w:tcPr>
          <w:p w:rsidR="00E60EB0" w:rsidRPr="00147D59" w:rsidRDefault="00E60EB0" w:rsidP="005E19AF">
            <w:pPr>
              <w:jc w:val="both"/>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00000"/>
              </w:rPr>
            </w:pPr>
            <w:r w:rsidRPr="00147D59">
              <w:rPr>
                <w:rFonts w:ascii="Calibri" w:eastAsia="Times New Roman" w:hAnsi="Calibri" w:cs="Times New Roman"/>
                <w:color w:val="000000"/>
              </w:rPr>
              <w:t>212</w:t>
            </w:r>
          </w:p>
        </w:tc>
        <w:tc>
          <w:tcPr>
            <w:tcW w:w="1134" w:type="dxa"/>
            <w:noWrap/>
            <w:hideMark/>
          </w:tcPr>
          <w:p w:rsidR="00E60EB0" w:rsidRPr="00147D59" w:rsidRDefault="00E60EB0" w:rsidP="005E19AF">
            <w:pPr>
              <w:jc w:val="both"/>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00000"/>
              </w:rPr>
            </w:pPr>
            <w:r w:rsidRPr="00147D59">
              <w:rPr>
                <w:rFonts w:ascii="Calibri" w:eastAsia="Times New Roman" w:hAnsi="Calibri" w:cs="Times New Roman"/>
                <w:color w:val="000000"/>
              </w:rPr>
              <w:t>40,47264</w:t>
            </w:r>
          </w:p>
        </w:tc>
        <w:tc>
          <w:tcPr>
            <w:tcW w:w="1349" w:type="dxa"/>
            <w:noWrap/>
            <w:hideMark/>
          </w:tcPr>
          <w:p w:rsidR="00E60EB0" w:rsidRPr="00147D59" w:rsidRDefault="00E60EB0" w:rsidP="005E19AF">
            <w:pPr>
              <w:jc w:val="both"/>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00000"/>
              </w:rPr>
            </w:pPr>
            <w:r w:rsidRPr="00147D59">
              <w:rPr>
                <w:rFonts w:ascii="Calibri" w:eastAsia="Times New Roman" w:hAnsi="Calibri" w:cs="Times New Roman"/>
                <w:color w:val="000000"/>
              </w:rPr>
              <w:t>177,4414</w:t>
            </w:r>
          </w:p>
        </w:tc>
        <w:tc>
          <w:tcPr>
            <w:tcW w:w="1088" w:type="dxa"/>
            <w:noWrap/>
            <w:hideMark/>
          </w:tcPr>
          <w:p w:rsidR="00E60EB0" w:rsidRPr="00147D59" w:rsidRDefault="00E60EB0" w:rsidP="005E19AF">
            <w:pPr>
              <w:jc w:val="both"/>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00000"/>
              </w:rPr>
            </w:pPr>
            <w:r w:rsidRPr="00147D59">
              <w:rPr>
                <w:rFonts w:ascii="Calibri" w:eastAsia="Times New Roman" w:hAnsi="Calibri" w:cs="Times New Roman"/>
                <w:color w:val="000000"/>
              </w:rPr>
              <w:t>0,3</w:t>
            </w:r>
          </w:p>
        </w:tc>
        <w:tc>
          <w:tcPr>
            <w:tcW w:w="1218" w:type="dxa"/>
            <w:noWrap/>
            <w:hideMark/>
          </w:tcPr>
          <w:p w:rsidR="00E60EB0" w:rsidRPr="00147D59" w:rsidRDefault="00E60EB0" w:rsidP="005E19AF">
            <w:pPr>
              <w:jc w:val="both"/>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00000"/>
              </w:rPr>
            </w:pPr>
            <w:r w:rsidRPr="00147D59">
              <w:rPr>
                <w:rFonts w:ascii="Calibri" w:eastAsia="Times New Roman" w:hAnsi="Calibri" w:cs="Times New Roman"/>
                <w:color w:val="000000"/>
              </w:rPr>
              <w:t>2560</w:t>
            </w:r>
          </w:p>
        </w:tc>
      </w:tr>
    </w:tbl>
    <w:p w:rsidR="00E60EB0" w:rsidRPr="00147D59" w:rsidRDefault="00837E1F" w:rsidP="005E19AF">
      <w:pPr>
        <w:jc w:val="both"/>
        <w:rPr>
          <w:i/>
        </w:rPr>
      </w:pPr>
      <w:r w:rsidRPr="00147D59">
        <w:rPr>
          <w:i/>
        </w:rPr>
        <w:t>Table 1</w:t>
      </w:r>
      <w:r w:rsidR="00E60EB0" w:rsidRPr="00147D59">
        <w:rPr>
          <w:i/>
        </w:rPr>
        <w:t>: Descriptive Statistics Financials</w:t>
      </w:r>
    </w:p>
    <w:p w:rsidR="004324BD" w:rsidRDefault="004324BD" w:rsidP="005E19AF">
      <w:pPr>
        <w:jc w:val="both"/>
        <w:rPr>
          <w:bdr w:val="none" w:sz="0" w:space="0" w:color="auto" w:frame="1"/>
          <w:shd w:val="clear" w:color="auto" w:fill="FFFFFF"/>
          <w:lang w:eastAsia="nl-NL"/>
        </w:rPr>
      </w:pPr>
      <w:bookmarkStart w:id="19" w:name="_Toc13477604"/>
    </w:p>
    <w:p w:rsidR="008D65B4" w:rsidRPr="00147D59" w:rsidRDefault="008D65B4" w:rsidP="005E19AF">
      <w:pPr>
        <w:pStyle w:val="Heading1"/>
        <w:jc w:val="both"/>
        <w:rPr>
          <w:bdr w:val="none" w:sz="0" w:space="0" w:color="auto" w:frame="1"/>
          <w:shd w:val="clear" w:color="auto" w:fill="FFFFFF"/>
          <w:lang w:eastAsia="nl-NL"/>
        </w:rPr>
      </w:pPr>
      <w:r w:rsidRPr="00147D59">
        <w:rPr>
          <w:bdr w:val="none" w:sz="0" w:space="0" w:color="auto" w:frame="1"/>
          <w:shd w:val="clear" w:color="auto" w:fill="FFFFFF"/>
          <w:lang w:eastAsia="nl-NL"/>
        </w:rPr>
        <w:lastRenderedPageBreak/>
        <w:t>4. Results</w:t>
      </w:r>
      <w:bookmarkEnd w:id="19"/>
    </w:p>
    <w:p w:rsidR="00CE51DE" w:rsidRPr="00147D59" w:rsidRDefault="008D65B4" w:rsidP="005E19AF">
      <w:pPr>
        <w:spacing w:line="360" w:lineRule="auto"/>
        <w:jc w:val="both"/>
        <w:rPr>
          <w:sz w:val="24"/>
          <w:bdr w:val="none" w:sz="0" w:space="0" w:color="auto" w:frame="1"/>
          <w:shd w:val="clear" w:color="auto" w:fill="FFFFFF"/>
          <w:lang w:eastAsia="nl-NL"/>
        </w:rPr>
      </w:pPr>
      <w:r w:rsidRPr="00147D59">
        <w:rPr>
          <w:sz w:val="24"/>
          <w:bdr w:val="none" w:sz="0" w:space="0" w:color="auto" w:frame="1"/>
          <w:shd w:val="clear" w:color="auto" w:fill="FFFFFF"/>
          <w:lang w:eastAsia="nl-NL"/>
        </w:rPr>
        <w:t xml:space="preserve">This section will give the results for this research. First the results of the event study will be given, then the regression analysis will discussed. Also the </w:t>
      </w:r>
      <w:r w:rsidR="004324BD">
        <w:rPr>
          <w:sz w:val="24"/>
          <w:bdr w:val="none" w:sz="0" w:space="0" w:color="auto" w:frame="1"/>
          <w:shd w:val="clear" w:color="auto" w:fill="FFFFFF"/>
          <w:lang w:eastAsia="nl-NL"/>
        </w:rPr>
        <w:t>hypotheses</w:t>
      </w:r>
      <w:r w:rsidRPr="00147D59">
        <w:rPr>
          <w:sz w:val="24"/>
          <w:bdr w:val="none" w:sz="0" w:space="0" w:color="auto" w:frame="1"/>
          <w:shd w:val="clear" w:color="auto" w:fill="FFFFFF"/>
          <w:lang w:eastAsia="nl-NL"/>
        </w:rPr>
        <w:t xml:space="preserve"> will be rejected or not.</w:t>
      </w:r>
    </w:p>
    <w:p w:rsidR="008D65B4" w:rsidRPr="00147D59" w:rsidRDefault="008D65B4" w:rsidP="005E19AF">
      <w:pPr>
        <w:pStyle w:val="Heading2"/>
        <w:jc w:val="both"/>
        <w:rPr>
          <w:bdr w:val="none" w:sz="0" w:space="0" w:color="auto" w:frame="1"/>
          <w:shd w:val="clear" w:color="auto" w:fill="FFFFFF"/>
          <w:lang w:eastAsia="nl-NL"/>
        </w:rPr>
      </w:pPr>
      <w:bookmarkStart w:id="20" w:name="_Toc13477605"/>
      <w:r w:rsidRPr="00147D59">
        <w:rPr>
          <w:bdr w:val="none" w:sz="0" w:space="0" w:color="auto" w:frame="1"/>
          <w:shd w:val="clear" w:color="auto" w:fill="FFFFFF"/>
          <w:lang w:eastAsia="nl-NL"/>
        </w:rPr>
        <w:t>4.1 Results of the event study</w:t>
      </w:r>
      <w:bookmarkEnd w:id="20"/>
    </w:p>
    <w:p w:rsidR="00C65FE6" w:rsidRPr="00147D59" w:rsidRDefault="008D65B4" w:rsidP="005E19AF">
      <w:pPr>
        <w:spacing w:line="360" w:lineRule="auto"/>
        <w:jc w:val="both"/>
        <w:rPr>
          <w:sz w:val="24"/>
          <w:lang w:eastAsia="nl-NL"/>
        </w:rPr>
      </w:pPr>
      <w:r w:rsidRPr="00147D59">
        <w:rPr>
          <w:sz w:val="24"/>
          <w:lang w:eastAsia="nl-NL"/>
        </w:rPr>
        <w:t>To answer the research question, the abnormal returns of the even</w:t>
      </w:r>
      <w:r w:rsidR="00AD64AF" w:rsidRPr="00147D59">
        <w:rPr>
          <w:sz w:val="24"/>
          <w:lang w:eastAsia="nl-NL"/>
        </w:rPr>
        <w:t xml:space="preserve">t study have been calculated per day. In </w:t>
      </w:r>
      <w:r w:rsidR="00A05A01" w:rsidRPr="00147D59">
        <w:rPr>
          <w:sz w:val="24"/>
          <w:lang w:eastAsia="nl-NL"/>
        </w:rPr>
        <w:t>table 3</w:t>
      </w:r>
      <w:r w:rsidR="00AD64AF" w:rsidRPr="00147D59">
        <w:rPr>
          <w:sz w:val="24"/>
          <w:lang w:eastAsia="nl-NL"/>
        </w:rPr>
        <w:t xml:space="preserve"> are the results of the event study per day for both the acquirer and the targets. Also the significant days are highlighted with a significance level of 5%</w:t>
      </w:r>
      <w:r w:rsidR="009F6ACB" w:rsidRPr="00147D59">
        <w:rPr>
          <w:sz w:val="24"/>
          <w:lang w:eastAsia="nl-NL"/>
        </w:rPr>
        <w:t xml:space="preserve"> or 1%.</w:t>
      </w:r>
    </w:p>
    <w:tbl>
      <w:tblPr>
        <w:tblStyle w:val="LightGrid-Accent1"/>
        <w:tblW w:w="5525" w:type="dxa"/>
        <w:tblLook w:val="04A0" w:firstRow="1" w:lastRow="0" w:firstColumn="1" w:lastColumn="0" w:noHBand="0" w:noVBand="1"/>
      </w:tblPr>
      <w:tblGrid>
        <w:gridCol w:w="2001"/>
        <w:gridCol w:w="1821"/>
        <w:gridCol w:w="1703"/>
      </w:tblGrid>
      <w:tr w:rsidR="00AD64AF" w:rsidRPr="00147D59" w:rsidTr="00F16D61">
        <w:trPr>
          <w:cnfStyle w:val="100000000000" w:firstRow="1" w:lastRow="0" w:firstColumn="0" w:lastColumn="0" w:oddVBand="0" w:evenVBand="0" w:oddHBand="0" w:evenHBand="0" w:firstRowFirstColumn="0" w:firstRowLastColumn="0" w:lastRowFirstColumn="0" w:lastRowLastColumn="0"/>
          <w:trHeight w:val="277"/>
        </w:trPr>
        <w:tc>
          <w:tcPr>
            <w:cnfStyle w:val="001000000000" w:firstRow="0" w:lastRow="0" w:firstColumn="1" w:lastColumn="0" w:oddVBand="0" w:evenVBand="0" w:oddHBand="0" w:evenHBand="0" w:firstRowFirstColumn="0" w:firstRowLastColumn="0" w:lastRowFirstColumn="0" w:lastRowLastColumn="0"/>
            <w:tcW w:w="2001" w:type="dxa"/>
            <w:noWrap/>
          </w:tcPr>
          <w:p w:rsidR="00AD64AF" w:rsidRPr="00147D59" w:rsidRDefault="00AD64AF" w:rsidP="005E19AF">
            <w:pPr>
              <w:jc w:val="both"/>
              <w:rPr>
                <w:rFonts w:ascii="Arial" w:eastAsia="Times New Roman" w:hAnsi="Arial" w:cs="Arial"/>
                <w:b w:val="0"/>
                <w:bCs w:val="0"/>
                <w:sz w:val="20"/>
                <w:szCs w:val="20"/>
                <w:lang w:eastAsia="nl-NL"/>
              </w:rPr>
            </w:pPr>
            <w:r w:rsidRPr="00147D59">
              <w:rPr>
                <w:rFonts w:ascii="Arial" w:eastAsia="Times New Roman" w:hAnsi="Arial" w:cs="Arial"/>
                <w:sz w:val="20"/>
                <w:szCs w:val="20"/>
                <w:lang w:eastAsia="nl-NL"/>
              </w:rPr>
              <w:t>Test Period Day</w:t>
            </w:r>
          </w:p>
        </w:tc>
        <w:tc>
          <w:tcPr>
            <w:tcW w:w="1821" w:type="dxa"/>
            <w:noWrap/>
          </w:tcPr>
          <w:p w:rsidR="00AD64AF" w:rsidRPr="00147D59" w:rsidRDefault="00AD64AF" w:rsidP="005E19AF">
            <w:pPr>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sz w:val="20"/>
                <w:szCs w:val="20"/>
                <w:lang w:eastAsia="nl-NL"/>
              </w:rPr>
            </w:pPr>
            <w:r w:rsidRPr="00147D59">
              <w:rPr>
                <w:rFonts w:ascii="Arial" w:eastAsia="Times New Roman" w:hAnsi="Arial" w:cs="Arial"/>
                <w:sz w:val="20"/>
                <w:szCs w:val="20"/>
                <w:lang w:eastAsia="nl-NL"/>
              </w:rPr>
              <w:t>Target</w:t>
            </w:r>
          </w:p>
        </w:tc>
        <w:tc>
          <w:tcPr>
            <w:tcW w:w="1703" w:type="dxa"/>
            <w:noWrap/>
          </w:tcPr>
          <w:p w:rsidR="00AD64AF" w:rsidRPr="00147D59" w:rsidRDefault="00AD64AF" w:rsidP="005E19AF">
            <w:pPr>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sz w:val="20"/>
                <w:szCs w:val="20"/>
                <w:lang w:eastAsia="nl-NL"/>
              </w:rPr>
            </w:pPr>
            <w:r w:rsidRPr="00147D59">
              <w:rPr>
                <w:rFonts w:ascii="Arial" w:eastAsia="Times New Roman" w:hAnsi="Arial" w:cs="Arial"/>
                <w:sz w:val="20"/>
                <w:szCs w:val="20"/>
                <w:lang w:eastAsia="nl-NL"/>
              </w:rPr>
              <w:t>Acquirer</w:t>
            </w:r>
          </w:p>
        </w:tc>
      </w:tr>
      <w:tr w:rsidR="00AD64AF" w:rsidRPr="00147D59" w:rsidTr="00F16D61">
        <w:trPr>
          <w:cnfStyle w:val="000000100000" w:firstRow="0" w:lastRow="0" w:firstColumn="0" w:lastColumn="0" w:oddVBand="0" w:evenVBand="0" w:oddHBand="1" w:evenHBand="0" w:firstRowFirstColumn="0" w:firstRowLastColumn="0" w:lastRowFirstColumn="0" w:lastRowLastColumn="0"/>
          <w:trHeight w:val="277"/>
        </w:trPr>
        <w:tc>
          <w:tcPr>
            <w:cnfStyle w:val="001000000000" w:firstRow="0" w:lastRow="0" w:firstColumn="1" w:lastColumn="0" w:oddVBand="0" w:evenVBand="0" w:oddHBand="0" w:evenHBand="0" w:firstRowFirstColumn="0" w:firstRowLastColumn="0" w:lastRowFirstColumn="0" w:lastRowLastColumn="0"/>
            <w:tcW w:w="2001" w:type="dxa"/>
            <w:noWrap/>
            <w:hideMark/>
          </w:tcPr>
          <w:p w:rsidR="00AD64AF" w:rsidRPr="00147D59" w:rsidRDefault="00AD64AF" w:rsidP="005E19AF">
            <w:pPr>
              <w:jc w:val="both"/>
              <w:rPr>
                <w:rFonts w:ascii="Arial" w:eastAsia="Times New Roman" w:hAnsi="Arial" w:cs="Arial"/>
                <w:bCs w:val="0"/>
                <w:sz w:val="20"/>
                <w:szCs w:val="20"/>
                <w:lang w:eastAsia="nl-NL"/>
              </w:rPr>
            </w:pPr>
            <w:r w:rsidRPr="00147D59">
              <w:rPr>
                <w:rFonts w:ascii="Arial" w:eastAsia="Times New Roman" w:hAnsi="Arial" w:cs="Arial"/>
                <w:sz w:val="20"/>
                <w:szCs w:val="20"/>
                <w:lang w:eastAsia="nl-NL"/>
              </w:rPr>
              <w:t>t=-5</w:t>
            </w:r>
          </w:p>
        </w:tc>
        <w:tc>
          <w:tcPr>
            <w:tcW w:w="1821" w:type="dxa"/>
            <w:noWrap/>
            <w:hideMark/>
          </w:tcPr>
          <w:p w:rsidR="00AD64AF" w:rsidRPr="00147D59" w:rsidRDefault="00AD64AF" w:rsidP="005E19AF">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nl-NL"/>
              </w:rPr>
            </w:pPr>
            <w:r w:rsidRPr="00147D59">
              <w:rPr>
                <w:rFonts w:ascii="Arial" w:eastAsia="Times New Roman" w:hAnsi="Arial" w:cs="Arial"/>
                <w:sz w:val="20"/>
                <w:szCs w:val="20"/>
                <w:lang w:eastAsia="nl-NL"/>
              </w:rPr>
              <w:t>0,00188</w:t>
            </w:r>
          </w:p>
        </w:tc>
        <w:tc>
          <w:tcPr>
            <w:tcW w:w="1703" w:type="dxa"/>
            <w:noWrap/>
            <w:hideMark/>
          </w:tcPr>
          <w:p w:rsidR="00AD64AF" w:rsidRPr="00147D59" w:rsidRDefault="00AD64AF" w:rsidP="005E19AF">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nl-NL"/>
              </w:rPr>
            </w:pPr>
            <w:r w:rsidRPr="00147D59">
              <w:rPr>
                <w:rFonts w:ascii="Arial" w:eastAsia="Times New Roman" w:hAnsi="Arial" w:cs="Arial"/>
                <w:sz w:val="20"/>
                <w:szCs w:val="20"/>
                <w:lang w:eastAsia="nl-NL"/>
              </w:rPr>
              <w:t>-0,00009</w:t>
            </w:r>
          </w:p>
        </w:tc>
      </w:tr>
      <w:tr w:rsidR="00AD64AF" w:rsidRPr="00147D59" w:rsidTr="00F16D61">
        <w:trPr>
          <w:cnfStyle w:val="000000010000" w:firstRow="0" w:lastRow="0" w:firstColumn="0" w:lastColumn="0" w:oddVBand="0" w:evenVBand="0" w:oddHBand="0" w:evenHBand="1" w:firstRowFirstColumn="0" w:firstRowLastColumn="0" w:lastRowFirstColumn="0" w:lastRowLastColumn="0"/>
          <w:trHeight w:val="277"/>
        </w:trPr>
        <w:tc>
          <w:tcPr>
            <w:cnfStyle w:val="001000000000" w:firstRow="0" w:lastRow="0" w:firstColumn="1" w:lastColumn="0" w:oddVBand="0" w:evenVBand="0" w:oddHBand="0" w:evenHBand="0" w:firstRowFirstColumn="0" w:firstRowLastColumn="0" w:lastRowFirstColumn="0" w:lastRowLastColumn="0"/>
            <w:tcW w:w="2001" w:type="dxa"/>
            <w:noWrap/>
            <w:hideMark/>
          </w:tcPr>
          <w:p w:rsidR="00AD64AF" w:rsidRPr="00147D59" w:rsidRDefault="00AD64AF" w:rsidP="005E19AF">
            <w:pPr>
              <w:jc w:val="both"/>
              <w:rPr>
                <w:rFonts w:ascii="Arial" w:eastAsia="Times New Roman" w:hAnsi="Arial" w:cs="Arial"/>
                <w:bCs w:val="0"/>
                <w:sz w:val="20"/>
                <w:szCs w:val="20"/>
                <w:lang w:eastAsia="nl-NL"/>
              </w:rPr>
            </w:pPr>
            <w:r w:rsidRPr="00147D59">
              <w:rPr>
                <w:rFonts w:ascii="Arial" w:eastAsia="Times New Roman" w:hAnsi="Arial" w:cs="Arial"/>
                <w:sz w:val="20"/>
                <w:szCs w:val="20"/>
                <w:lang w:eastAsia="nl-NL"/>
              </w:rPr>
              <w:t>t=-4</w:t>
            </w:r>
          </w:p>
        </w:tc>
        <w:tc>
          <w:tcPr>
            <w:tcW w:w="1821" w:type="dxa"/>
            <w:noWrap/>
            <w:hideMark/>
          </w:tcPr>
          <w:p w:rsidR="00AD64AF" w:rsidRPr="00147D59" w:rsidRDefault="00AD64AF" w:rsidP="005E19AF">
            <w:pPr>
              <w:jc w:val="both"/>
              <w:cnfStyle w:val="000000010000" w:firstRow="0" w:lastRow="0" w:firstColumn="0" w:lastColumn="0" w:oddVBand="0" w:evenVBand="0" w:oddHBand="0" w:evenHBand="1" w:firstRowFirstColumn="0" w:firstRowLastColumn="0" w:lastRowFirstColumn="0" w:lastRowLastColumn="0"/>
              <w:rPr>
                <w:rFonts w:ascii="Arial" w:eastAsia="Times New Roman" w:hAnsi="Arial" w:cs="Arial"/>
                <w:sz w:val="20"/>
                <w:szCs w:val="20"/>
                <w:lang w:eastAsia="nl-NL"/>
              </w:rPr>
            </w:pPr>
            <w:r w:rsidRPr="00147D59">
              <w:rPr>
                <w:rFonts w:ascii="Arial" w:eastAsia="Times New Roman" w:hAnsi="Arial" w:cs="Arial"/>
                <w:sz w:val="20"/>
                <w:szCs w:val="20"/>
                <w:lang w:eastAsia="nl-NL"/>
              </w:rPr>
              <w:t>0,00572</w:t>
            </w:r>
            <w:r w:rsidR="009451B3" w:rsidRPr="00147D59">
              <w:rPr>
                <w:rFonts w:ascii="Arial" w:eastAsia="Times New Roman" w:hAnsi="Arial" w:cs="Arial"/>
                <w:sz w:val="20"/>
                <w:szCs w:val="20"/>
                <w:lang w:eastAsia="nl-NL"/>
              </w:rPr>
              <w:t>*</w:t>
            </w:r>
            <w:r w:rsidRPr="00147D59">
              <w:rPr>
                <w:rFonts w:ascii="Arial" w:eastAsia="Times New Roman" w:hAnsi="Arial" w:cs="Arial"/>
                <w:sz w:val="20"/>
                <w:szCs w:val="20"/>
                <w:lang w:eastAsia="nl-NL"/>
              </w:rPr>
              <w:t>*</w:t>
            </w:r>
          </w:p>
        </w:tc>
        <w:tc>
          <w:tcPr>
            <w:tcW w:w="1703" w:type="dxa"/>
            <w:noWrap/>
            <w:hideMark/>
          </w:tcPr>
          <w:p w:rsidR="00AD64AF" w:rsidRPr="00147D59" w:rsidRDefault="00AD64AF" w:rsidP="005E19AF">
            <w:pPr>
              <w:jc w:val="both"/>
              <w:cnfStyle w:val="000000010000" w:firstRow="0" w:lastRow="0" w:firstColumn="0" w:lastColumn="0" w:oddVBand="0" w:evenVBand="0" w:oddHBand="0" w:evenHBand="1" w:firstRowFirstColumn="0" w:firstRowLastColumn="0" w:lastRowFirstColumn="0" w:lastRowLastColumn="0"/>
              <w:rPr>
                <w:rFonts w:ascii="Arial" w:eastAsia="Times New Roman" w:hAnsi="Arial" w:cs="Arial"/>
                <w:sz w:val="20"/>
                <w:szCs w:val="20"/>
                <w:lang w:eastAsia="nl-NL"/>
              </w:rPr>
            </w:pPr>
            <w:r w:rsidRPr="00147D59">
              <w:rPr>
                <w:rFonts w:ascii="Arial" w:eastAsia="Times New Roman" w:hAnsi="Arial" w:cs="Arial"/>
                <w:sz w:val="20"/>
                <w:szCs w:val="20"/>
                <w:lang w:eastAsia="nl-NL"/>
              </w:rPr>
              <w:t>-0,00117</w:t>
            </w:r>
          </w:p>
        </w:tc>
      </w:tr>
      <w:tr w:rsidR="00AD64AF" w:rsidRPr="00147D59" w:rsidTr="00F16D61">
        <w:trPr>
          <w:cnfStyle w:val="000000100000" w:firstRow="0" w:lastRow="0" w:firstColumn="0" w:lastColumn="0" w:oddVBand="0" w:evenVBand="0" w:oddHBand="1" w:evenHBand="0" w:firstRowFirstColumn="0" w:firstRowLastColumn="0" w:lastRowFirstColumn="0" w:lastRowLastColumn="0"/>
          <w:trHeight w:val="277"/>
        </w:trPr>
        <w:tc>
          <w:tcPr>
            <w:cnfStyle w:val="001000000000" w:firstRow="0" w:lastRow="0" w:firstColumn="1" w:lastColumn="0" w:oddVBand="0" w:evenVBand="0" w:oddHBand="0" w:evenHBand="0" w:firstRowFirstColumn="0" w:firstRowLastColumn="0" w:lastRowFirstColumn="0" w:lastRowLastColumn="0"/>
            <w:tcW w:w="2001" w:type="dxa"/>
            <w:noWrap/>
            <w:hideMark/>
          </w:tcPr>
          <w:p w:rsidR="00AD64AF" w:rsidRPr="00147D59" w:rsidRDefault="00AD64AF" w:rsidP="005E19AF">
            <w:pPr>
              <w:jc w:val="both"/>
              <w:rPr>
                <w:rFonts w:ascii="Arial" w:eastAsia="Times New Roman" w:hAnsi="Arial" w:cs="Arial"/>
                <w:bCs w:val="0"/>
                <w:sz w:val="20"/>
                <w:szCs w:val="20"/>
                <w:lang w:eastAsia="nl-NL"/>
              </w:rPr>
            </w:pPr>
            <w:r w:rsidRPr="00147D59">
              <w:rPr>
                <w:rFonts w:ascii="Arial" w:eastAsia="Times New Roman" w:hAnsi="Arial" w:cs="Arial"/>
                <w:sz w:val="20"/>
                <w:szCs w:val="20"/>
                <w:lang w:eastAsia="nl-NL"/>
              </w:rPr>
              <w:t>t=-3</w:t>
            </w:r>
          </w:p>
        </w:tc>
        <w:tc>
          <w:tcPr>
            <w:tcW w:w="1821" w:type="dxa"/>
            <w:noWrap/>
            <w:hideMark/>
          </w:tcPr>
          <w:p w:rsidR="00AD64AF" w:rsidRPr="00147D59" w:rsidRDefault="00AD64AF" w:rsidP="005E19AF">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nl-NL"/>
              </w:rPr>
            </w:pPr>
            <w:r w:rsidRPr="00147D59">
              <w:rPr>
                <w:rFonts w:ascii="Arial" w:eastAsia="Times New Roman" w:hAnsi="Arial" w:cs="Arial"/>
                <w:sz w:val="20"/>
                <w:szCs w:val="20"/>
                <w:lang w:eastAsia="nl-NL"/>
              </w:rPr>
              <w:t>0,00236</w:t>
            </w:r>
          </w:p>
        </w:tc>
        <w:tc>
          <w:tcPr>
            <w:tcW w:w="1703" w:type="dxa"/>
            <w:noWrap/>
            <w:hideMark/>
          </w:tcPr>
          <w:p w:rsidR="00AD64AF" w:rsidRPr="00147D59" w:rsidRDefault="00AD64AF" w:rsidP="005E19AF">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nl-NL"/>
              </w:rPr>
            </w:pPr>
            <w:r w:rsidRPr="00147D59">
              <w:rPr>
                <w:rFonts w:ascii="Arial" w:eastAsia="Times New Roman" w:hAnsi="Arial" w:cs="Arial"/>
                <w:sz w:val="20"/>
                <w:szCs w:val="20"/>
                <w:lang w:eastAsia="nl-NL"/>
              </w:rPr>
              <w:t>-0,00086</w:t>
            </w:r>
          </w:p>
        </w:tc>
      </w:tr>
      <w:tr w:rsidR="00AD64AF" w:rsidRPr="00147D59" w:rsidTr="00F16D61">
        <w:trPr>
          <w:cnfStyle w:val="000000010000" w:firstRow="0" w:lastRow="0" w:firstColumn="0" w:lastColumn="0" w:oddVBand="0" w:evenVBand="0" w:oddHBand="0" w:evenHBand="1" w:firstRowFirstColumn="0" w:firstRowLastColumn="0" w:lastRowFirstColumn="0" w:lastRowLastColumn="0"/>
          <w:trHeight w:val="277"/>
        </w:trPr>
        <w:tc>
          <w:tcPr>
            <w:cnfStyle w:val="001000000000" w:firstRow="0" w:lastRow="0" w:firstColumn="1" w:lastColumn="0" w:oddVBand="0" w:evenVBand="0" w:oddHBand="0" w:evenHBand="0" w:firstRowFirstColumn="0" w:firstRowLastColumn="0" w:lastRowFirstColumn="0" w:lastRowLastColumn="0"/>
            <w:tcW w:w="2001" w:type="dxa"/>
            <w:noWrap/>
            <w:hideMark/>
          </w:tcPr>
          <w:p w:rsidR="00AD64AF" w:rsidRPr="00147D59" w:rsidRDefault="00AD64AF" w:rsidP="005E19AF">
            <w:pPr>
              <w:jc w:val="both"/>
              <w:rPr>
                <w:rFonts w:ascii="Arial" w:eastAsia="Times New Roman" w:hAnsi="Arial" w:cs="Arial"/>
                <w:bCs w:val="0"/>
                <w:sz w:val="20"/>
                <w:szCs w:val="20"/>
                <w:lang w:eastAsia="nl-NL"/>
              </w:rPr>
            </w:pPr>
            <w:r w:rsidRPr="00147D59">
              <w:rPr>
                <w:rFonts w:ascii="Arial" w:eastAsia="Times New Roman" w:hAnsi="Arial" w:cs="Arial"/>
                <w:sz w:val="20"/>
                <w:szCs w:val="20"/>
                <w:lang w:eastAsia="nl-NL"/>
              </w:rPr>
              <w:t>t=-2</w:t>
            </w:r>
          </w:p>
        </w:tc>
        <w:tc>
          <w:tcPr>
            <w:tcW w:w="1821" w:type="dxa"/>
            <w:noWrap/>
            <w:hideMark/>
          </w:tcPr>
          <w:p w:rsidR="00AD64AF" w:rsidRPr="00147D59" w:rsidRDefault="00AD64AF" w:rsidP="005E19AF">
            <w:pPr>
              <w:jc w:val="both"/>
              <w:cnfStyle w:val="000000010000" w:firstRow="0" w:lastRow="0" w:firstColumn="0" w:lastColumn="0" w:oddVBand="0" w:evenVBand="0" w:oddHBand="0" w:evenHBand="1" w:firstRowFirstColumn="0" w:firstRowLastColumn="0" w:lastRowFirstColumn="0" w:lastRowLastColumn="0"/>
              <w:rPr>
                <w:rFonts w:ascii="Arial" w:eastAsia="Times New Roman" w:hAnsi="Arial" w:cs="Arial"/>
                <w:sz w:val="20"/>
                <w:szCs w:val="20"/>
                <w:lang w:eastAsia="nl-NL"/>
              </w:rPr>
            </w:pPr>
            <w:r w:rsidRPr="00147D59">
              <w:rPr>
                <w:rFonts w:ascii="Arial" w:eastAsia="Times New Roman" w:hAnsi="Arial" w:cs="Arial"/>
                <w:sz w:val="20"/>
                <w:szCs w:val="20"/>
                <w:lang w:eastAsia="nl-NL"/>
              </w:rPr>
              <w:t>0,00290*</w:t>
            </w:r>
          </w:p>
        </w:tc>
        <w:tc>
          <w:tcPr>
            <w:tcW w:w="1703" w:type="dxa"/>
            <w:noWrap/>
            <w:hideMark/>
          </w:tcPr>
          <w:p w:rsidR="00AD64AF" w:rsidRPr="00147D59" w:rsidRDefault="00AD64AF" w:rsidP="005E19AF">
            <w:pPr>
              <w:jc w:val="both"/>
              <w:cnfStyle w:val="000000010000" w:firstRow="0" w:lastRow="0" w:firstColumn="0" w:lastColumn="0" w:oddVBand="0" w:evenVBand="0" w:oddHBand="0" w:evenHBand="1" w:firstRowFirstColumn="0" w:firstRowLastColumn="0" w:lastRowFirstColumn="0" w:lastRowLastColumn="0"/>
              <w:rPr>
                <w:rFonts w:ascii="Arial" w:eastAsia="Times New Roman" w:hAnsi="Arial" w:cs="Arial"/>
                <w:sz w:val="20"/>
                <w:szCs w:val="20"/>
                <w:lang w:eastAsia="nl-NL"/>
              </w:rPr>
            </w:pPr>
            <w:r w:rsidRPr="00147D59">
              <w:rPr>
                <w:rFonts w:ascii="Arial" w:eastAsia="Times New Roman" w:hAnsi="Arial" w:cs="Arial"/>
                <w:sz w:val="20"/>
                <w:szCs w:val="20"/>
                <w:lang w:eastAsia="nl-NL"/>
              </w:rPr>
              <w:t>0,00025</w:t>
            </w:r>
          </w:p>
        </w:tc>
      </w:tr>
      <w:tr w:rsidR="00AD64AF" w:rsidRPr="00147D59" w:rsidTr="00F16D61">
        <w:trPr>
          <w:cnfStyle w:val="000000100000" w:firstRow="0" w:lastRow="0" w:firstColumn="0" w:lastColumn="0" w:oddVBand="0" w:evenVBand="0" w:oddHBand="1" w:evenHBand="0" w:firstRowFirstColumn="0" w:firstRowLastColumn="0" w:lastRowFirstColumn="0" w:lastRowLastColumn="0"/>
          <w:trHeight w:val="277"/>
        </w:trPr>
        <w:tc>
          <w:tcPr>
            <w:cnfStyle w:val="001000000000" w:firstRow="0" w:lastRow="0" w:firstColumn="1" w:lastColumn="0" w:oddVBand="0" w:evenVBand="0" w:oddHBand="0" w:evenHBand="0" w:firstRowFirstColumn="0" w:firstRowLastColumn="0" w:lastRowFirstColumn="0" w:lastRowLastColumn="0"/>
            <w:tcW w:w="2001" w:type="dxa"/>
            <w:noWrap/>
            <w:hideMark/>
          </w:tcPr>
          <w:p w:rsidR="00AD64AF" w:rsidRPr="00147D59" w:rsidRDefault="00AD64AF" w:rsidP="005E19AF">
            <w:pPr>
              <w:jc w:val="both"/>
              <w:rPr>
                <w:rFonts w:ascii="Arial" w:eastAsia="Times New Roman" w:hAnsi="Arial" w:cs="Arial"/>
                <w:bCs w:val="0"/>
                <w:sz w:val="20"/>
                <w:szCs w:val="20"/>
                <w:lang w:eastAsia="nl-NL"/>
              </w:rPr>
            </w:pPr>
            <w:r w:rsidRPr="00147D59">
              <w:rPr>
                <w:rFonts w:ascii="Arial" w:eastAsia="Times New Roman" w:hAnsi="Arial" w:cs="Arial"/>
                <w:sz w:val="20"/>
                <w:szCs w:val="20"/>
                <w:lang w:eastAsia="nl-NL"/>
              </w:rPr>
              <w:t>t=-1</w:t>
            </w:r>
          </w:p>
        </w:tc>
        <w:tc>
          <w:tcPr>
            <w:tcW w:w="1821" w:type="dxa"/>
            <w:noWrap/>
            <w:hideMark/>
          </w:tcPr>
          <w:p w:rsidR="00AD64AF" w:rsidRPr="00147D59" w:rsidRDefault="00AD64AF" w:rsidP="005E19AF">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nl-NL"/>
              </w:rPr>
            </w:pPr>
            <w:r w:rsidRPr="00147D59">
              <w:rPr>
                <w:rFonts w:ascii="Arial" w:eastAsia="Times New Roman" w:hAnsi="Arial" w:cs="Arial"/>
                <w:sz w:val="20"/>
                <w:szCs w:val="20"/>
                <w:lang w:eastAsia="nl-NL"/>
              </w:rPr>
              <w:t>0,01435*</w:t>
            </w:r>
            <w:r w:rsidR="00C65FE6" w:rsidRPr="00147D59">
              <w:rPr>
                <w:rFonts w:ascii="Arial" w:eastAsia="Times New Roman" w:hAnsi="Arial" w:cs="Arial"/>
                <w:sz w:val="20"/>
                <w:szCs w:val="20"/>
                <w:lang w:eastAsia="nl-NL"/>
              </w:rPr>
              <w:t>*</w:t>
            </w:r>
          </w:p>
        </w:tc>
        <w:tc>
          <w:tcPr>
            <w:tcW w:w="1703" w:type="dxa"/>
            <w:noWrap/>
            <w:hideMark/>
          </w:tcPr>
          <w:p w:rsidR="00AD64AF" w:rsidRPr="00147D59" w:rsidRDefault="00AD64AF" w:rsidP="005E19AF">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nl-NL"/>
              </w:rPr>
            </w:pPr>
            <w:r w:rsidRPr="00147D59">
              <w:rPr>
                <w:rFonts w:ascii="Arial" w:eastAsia="Times New Roman" w:hAnsi="Arial" w:cs="Arial"/>
                <w:sz w:val="20"/>
                <w:szCs w:val="20"/>
                <w:lang w:eastAsia="nl-NL"/>
              </w:rPr>
              <w:t>0,00006</w:t>
            </w:r>
          </w:p>
        </w:tc>
      </w:tr>
      <w:tr w:rsidR="00AD64AF" w:rsidRPr="00147D59" w:rsidTr="00F16D61">
        <w:trPr>
          <w:cnfStyle w:val="000000010000" w:firstRow="0" w:lastRow="0" w:firstColumn="0" w:lastColumn="0" w:oddVBand="0" w:evenVBand="0" w:oddHBand="0" w:evenHBand="1" w:firstRowFirstColumn="0" w:firstRowLastColumn="0" w:lastRowFirstColumn="0" w:lastRowLastColumn="0"/>
          <w:trHeight w:val="277"/>
        </w:trPr>
        <w:tc>
          <w:tcPr>
            <w:cnfStyle w:val="001000000000" w:firstRow="0" w:lastRow="0" w:firstColumn="1" w:lastColumn="0" w:oddVBand="0" w:evenVBand="0" w:oddHBand="0" w:evenHBand="0" w:firstRowFirstColumn="0" w:firstRowLastColumn="0" w:lastRowFirstColumn="0" w:lastRowLastColumn="0"/>
            <w:tcW w:w="2001" w:type="dxa"/>
            <w:noWrap/>
            <w:hideMark/>
          </w:tcPr>
          <w:p w:rsidR="00AD64AF" w:rsidRPr="00147D59" w:rsidRDefault="005E19AF" w:rsidP="005E19AF">
            <w:pPr>
              <w:jc w:val="both"/>
              <w:rPr>
                <w:rFonts w:ascii="Arial" w:eastAsia="Times New Roman" w:hAnsi="Arial" w:cs="Arial"/>
                <w:bCs w:val="0"/>
                <w:sz w:val="20"/>
                <w:szCs w:val="20"/>
                <w:lang w:eastAsia="nl-NL"/>
              </w:rPr>
            </w:pPr>
            <w:r>
              <w:rPr>
                <w:rFonts w:ascii="Arial" w:eastAsia="Times New Roman" w:hAnsi="Arial" w:cs="Arial"/>
                <w:sz w:val="20"/>
                <w:szCs w:val="20"/>
                <w:lang w:eastAsia="nl-NL"/>
              </w:rPr>
              <w:t>t=</w:t>
            </w:r>
            <w:r w:rsidR="00AD64AF" w:rsidRPr="00147D59">
              <w:rPr>
                <w:rFonts w:ascii="Arial" w:eastAsia="Times New Roman" w:hAnsi="Arial" w:cs="Arial"/>
                <w:sz w:val="20"/>
                <w:szCs w:val="20"/>
                <w:lang w:eastAsia="nl-NL"/>
              </w:rPr>
              <w:t>0</w:t>
            </w:r>
          </w:p>
        </w:tc>
        <w:tc>
          <w:tcPr>
            <w:tcW w:w="1821" w:type="dxa"/>
            <w:noWrap/>
            <w:hideMark/>
          </w:tcPr>
          <w:p w:rsidR="00AD64AF" w:rsidRPr="00147D59" w:rsidRDefault="00AD64AF" w:rsidP="005E19AF">
            <w:pPr>
              <w:jc w:val="both"/>
              <w:cnfStyle w:val="000000010000" w:firstRow="0" w:lastRow="0" w:firstColumn="0" w:lastColumn="0" w:oddVBand="0" w:evenVBand="0" w:oddHBand="0" w:evenHBand="1" w:firstRowFirstColumn="0" w:firstRowLastColumn="0" w:lastRowFirstColumn="0" w:lastRowLastColumn="0"/>
              <w:rPr>
                <w:rFonts w:ascii="Arial" w:eastAsia="Times New Roman" w:hAnsi="Arial" w:cs="Arial"/>
                <w:sz w:val="20"/>
                <w:szCs w:val="20"/>
                <w:lang w:eastAsia="nl-NL"/>
              </w:rPr>
            </w:pPr>
            <w:r w:rsidRPr="00147D59">
              <w:rPr>
                <w:rFonts w:ascii="Arial" w:eastAsia="Times New Roman" w:hAnsi="Arial" w:cs="Arial"/>
                <w:sz w:val="20"/>
                <w:szCs w:val="20"/>
                <w:lang w:eastAsia="nl-NL"/>
              </w:rPr>
              <w:t>0,11846*</w:t>
            </w:r>
            <w:r w:rsidR="00C65FE6" w:rsidRPr="00147D59">
              <w:rPr>
                <w:rFonts w:ascii="Arial" w:eastAsia="Times New Roman" w:hAnsi="Arial" w:cs="Arial"/>
                <w:sz w:val="20"/>
                <w:szCs w:val="20"/>
                <w:lang w:eastAsia="nl-NL"/>
              </w:rPr>
              <w:t>*</w:t>
            </w:r>
          </w:p>
        </w:tc>
        <w:tc>
          <w:tcPr>
            <w:tcW w:w="1703" w:type="dxa"/>
            <w:noWrap/>
            <w:hideMark/>
          </w:tcPr>
          <w:p w:rsidR="00AD64AF" w:rsidRPr="00147D59" w:rsidRDefault="00AD64AF" w:rsidP="005E19AF">
            <w:pPr>
              <w:jc w:val="both"/>
              <w:cnfStyle w:val="000000010000" w:firstRow="0" w:lastRow="0" w:firstColumn="0" w:lastColumn="0" w:oddVBand="0" w:evenVBand="0" w:oddHBand="0" w:evenHBand="1" w:firstRowFirstColumn="0" w:firstRowLastColumn="0" w:lastRowFirstColumn="0" w:lastRowLastColumn="0"/>
              <w:rPr>
                <w:rFonts w:ascii="Arial" w:eastAsia="Times New Roman" w:hAnsi="Arial" w:cs="Arial"/>
                <w:sz w:val="20"/>
                <w:szCs w:val="20"/>
                <w:lang w:eastAsia="nl-NL"/>
              </w:rPr>
            </w:pPr>
            <w:r w:rsidRPr="00147D59">
              <w:rPr>
                <w:rFonts w:ascii="Arial" w:eastAsia="Times New Roman" w:hAnsi="Arial" w:cs="Arial"/>
                <w:sz w:val="20"/>
                <w:szCs w:val="20"/>
                <w:lang w:eastAsia="nl-NL"/>
              </w:rPr>
              <w:t>-0,01672*</w:t>
            </w:r>
            <w:r w:rsidR="009451B3" w:rsidRPr="00147D59">
              <w:rPr>
                <w:rFonts w:ascii="Arial" w:eastAsia="Times New Roman" w:hAnsi="Arial" w:cs="Arial"/>
                <w:sz w:val="20"/>
                <w:szCs w:val="20"/>
                <w:lang w:eastAsia="nl-NL"/>
              </w:rPr>
              <w:t>*</w:t>
            </w:r>
          </w:p>
        </w:tc>
      </w:tr>
      <w:tr w:rsidR="00AD64AF" w:rsidRPr="00147D59" w:rsidTr="00F16D61">
        <w:trPr>
          <w:cnfStyle w:val="000000100000" w:firstRow="0" w:lastRow="0" w:firstColumn="0" w:lastColumn="0" w:oddVBand="0" w:evenVBand="0" w:oddHBand="1" w:evenHBand="0" w:firstRowFirstColumn="0" w:firstRowLastColumn="0" w:lastRowFirstColumn="0" w:lastRowLastColumn="0"/>
          <w:trHeight w:val="277"/>
        </w:trPr>
        <w:tc>
          <w:tcPr>
            <w:cnfStyle w:val="001000000000" w:firstRow="0" w:lastRow="0" w:firstColumn="1" w:lastColumn="0" w:oddVBand="0" w:evenVBand="0" w:oddHBand="0" w:evenHBand="0" w:firstRowFirstColumn="0" w:firstRowLastColumn="0" w:lastRowFirstColumn="0" w:lastRowLastColumn="0"/>
            <w:tcW w:w="2001" w:type="dxa"/>
            <w:noWrap/>
            <w:hideMark/>
          </w:tcPr>
          <w:p w:rsidR="00AD64AF" w:rsidRPr="00147D59" w:rsidRDefault="00AD64AF" w:rsidP="005E19AF">
            <w:pPr>
              <w:jc w:val="both"/>
              <w:rPr>
                <w:rFonts w:ascii="Arial" w:eastAsia="Times New Roman" w:hAnsi="Arial" w:cs="Arial"/>
                <w:bCs w:val="0"/>
                <w:sz w:val="20"/>
                <w:szCs w:val="20"/>
                <w:lang w:eastAsia="nl-NL"/>
              </w:rPr>
            </w:pPr>
            <w:r w:rsidRPr="00147D59">
              <w:rPr>
                <w:rFonts w:ascii="Arial" w:eastAsia="Times New Roman" w:hAnsi="Arial" w:cs="Arial"/>
                <w:sz w:val="20"/>
                <w:szCs w:val="20"/>
                <w:lang w:eastAsia="nl-NL"/>
              </w:rPr>
              <w:t>t=1</w:t>
            </w:r>
          </w:p>
        </w:tc>
        <w:tc>
          <w:tcPr>
            <w:tcW w:w="1821" w:type="dxa"/>
            <w:noWrap/>
            <w:hideMark/>
          </w:tcPr>
          <w:p w:rsidR="00AD64AF" w:rsidRPr="00147D59" w:rsidRDefault="00AD64AF" w:rsidP="005E19AF">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nl-NL"/>
              </w:rPr>
            </w:pPr>
            <w:r w:rsidRPr="00147D59">
              <w:rPr>
                <w:rFonts w:ascii="Arial" w:eastAsia="Times New Roman" w:hAnsi="Arial" w:cs="Arial"/>
                <w:sz w:val="20"/>
                <w:szCs w:val="20"/>
                <w:lang w:eastAsia="nl-NL"/>
              </w:rPr>
              <w:t>0,03215*</w:t>
            </w:r>
            <w:r w:rsidR="00C65FE6" w:rsidRPr="00147D59">
              <w:rPr>
                <w:rFonts w:ascii="Arial" w:eastAsia="Times New Roman" w:hAnsi="Arial" w:cs="Arial"/>
                <w:sz w:val="20"/>
                <w:szCs w:val="20"/>
                <w:lang w:eastAsia="nl-NL"/>
              </w:rPr>
              <w:t>*</w:t>
            </w:r>
          </w:p>
        </w:tc>
        <w:tc>
          <w:tcPr>
            <w:tcW w:w="1703" w:type="dxa"/>
            <w:noWrap/>
            <w:hideMark/>
          </w:tcPr>
          <w:p w:rsidR="00AD64AF" w:rsidRPr="00147D59" w:rsidRDefault="00AD64AF" w:rsidP="005E19AF">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nl-NL"/>
              </w:rPr>
            </w:pPr>
            <w:r w:rsidRPr="00147D59">
              <w:rPr>
                <w:rFonts w:ascii="Arial" w:eastAsia="Times New Roman" w:hAnsi="Arial" w:cs="Arial"/>
                <w:sz w:val="20"/>
                <w:szCs w:val="20"/>
                <w:lang w:eastAsia="nl-NL"/>
              </w:rPr>
              <w:t>-0,00207</w:t>
            </w:r>
          </w:p>
        </w:tc>
      </w:tr>
      <w:tr w:rsidR="00AD64AF" w:rsidRPr="00147D59" w:rsidTr="00F16D61">
        <w:trPr>
          <w:cnfStyle w:val="000000010000" w:firstRow="0" w:lastRow="0" w:firstColumn="0" w:lastColumn="0" w:oddVBand="0" w:evenVBand="0" w:oddHBand="0" w:evenHBand="1" w:firstRowFirstColumn="0" w:firstRowLastColumn="0" w:lastRowFirstColumn="0" w:lastRowLastColumn="0"/>
          <w:trHeight w:val="277"/>
        </w:trPr>
        <w:tc>
          <w:tcPr>
            <w:cnfStyle w:val="001000000000" w:firstRow="0" w:lastRow="0" w:firstColumn="1" w:lastColumn="0" w:oddVBand="0" w:evenVBand="0" w:oddHBand="0" w:evenHBand="0" w:firstRowFirstColumn="0" w:firstRowLastColumn="0" w:lastRowFirstColumn="0" w:lastRowLastColumn="0"/>
            <w:tcW w:w="2001" w:type="dxa"/>
            <w:noWrap/>
            <w:hideMark/>
          </w:tcPr>
          <w:p w:rsidR="00AD64AF" w:rsidRPr="00147D59" w:rsidRDefault="00AD64AF" w:rsidP="005E19AF">
            <w:pPr>
              <w:jc w:val="both"/>
              <w:rPr>
                <w:rFonts w:ascii="Arial" w:eastAsia="Times New Roman" w:hAnsi="Arial" w:cs="Arial"/>
                <w:bCs w:val="0"/>
                <w:sz w:val="20"/>
                <w:szCs w:val="20"/>
                <w:lang w:eastAsia="nl-NL"/>
              </w:rPr>
            </w:pPr>
            <w:r w:rsidRPr="00147D59">
              <w:rPr>
                <w:rFonts w:ascii="Arial" w:eastAsia="Times New Roman" w:hAnsi="Arial" w:cs="Arial"/>
                <w:sz w:val="20"/>
                <w:szCs w:val="20"/>
                <w:lang w:eastAsia="nl-NL"/>
              </w:rPr>
              <w:t>t=2</w:t>
            </w:r>
          </w:p>
        </w:tc>
        <w:tc>
          <w:tcPr>
            <w:tcW w:w="1821" w:type="dxa"/>
            <w:noWrap/>
            <w:hideMark/>
          </w:tcPr>
          <w:p w:rsidR="00AD64AF" w:rsidRPr="00147D59" w:rsidRDefault="00AD64AF" w:rsidP="005E19AF">
            <w:pPr>
              <w:jc w:val="both"/>
              <w:cnfStyle w:val="000000010000" w:firstRow="0" w:lastRow="0" w:firstColumn="0" w:lastColumn="0" w:oddVBand="0" w:evenVBand="0" w:oddHBand="0" w:evenHBand="1" w:firstRowFirstColumn="0" w:firstRowLastColumn="0" w:lastRowFirstColumn="0" w:lastRowLastColumn="0"/>
              <w:rPr>
                <w:rFonts w:ascii="Arial" w:eastAsia="Times New Roman" w:hAnsi="Arial" w:cs="Arial"/>
                <w:sz w:val="20"/>
                <w:szCs w:val="20"/>
                <w:lang w:eastAsia="nl-NL"/>
              </w:rPr>
            </w:pPr>
            <w:r w:rsidRPr="00147D59">
              <w:rPr>
                <w:rFonts w:ascii="Arial" w:eastAsia="Times New Roman" w:hAnsi="Arial" w:cs="Arial"/>
                <w:sz w:val="20"/>
                <w:szCs w:val="20"/>
                <w:lang w:eastAsia="nl-NL"/>
              </w:rPr>
              <w:t>0,00038</w:t>
            </w:r>
          </w:p>
        </w:tc>
        <w:tc>
          <w:tcPr>
            <w:tcW w:w="1703" w:type="dxa"/>
            <w:noWrap/>
            <w:hideMark/>
          </w:tcPr>
          <w:p w:rsidR="00AD64AF" w:rsidRPr="00147D59" w:rsidRDefault="00AD64AF" w:rsidP="005E19AF">
            <w:pPr>
              <w:jc w:val="both"/>
              <w:cnfStyle w:val="000000010000" w:firstRow="0" w:lastRow="0" w:firstColumn="0" w:lastColumn="0" w:oddVBand="0" w:evenVBand="0" w:oddHBand="0" w:evenHBand="1" w:firstRowFirstColumn="0" w:firstRowLastColumn="0" w:lastRowFirstColumn="0" w:lastRowLastColumn="0"/>
              <w:rPr>
                <w:rFonts w:ascii="Arial" w:eastAsia="Times New Roman" w:hAnsi="Arial" w:cs="Arial"/>
                <w:sz w:val="20"/>
                <w:szCs w:val="20"/>
                <w:lang w:eastAsia="nl-NL"/>
              </w:rPr>
            </w:pPr>
            <w:r w:rsidRPr="00147D59">
              <w:rPr>
                <w:rFonts w:ascii="Arial" w:eastAsia="Times New Roman" w:hAnsi="Arial" w:cs="Arial"/>
                <w:sz w:val="20"/>
                <w:szCs w:val="20"/>
                <w:lang w:eastAsia="nl-NL"/>
              </w:rPr>
              <w:t>-0,00147</w:t>
            </w:r>
          </w:p>
        </w:tc>
      </w:tr>
      <w:tr w:rsidR="00AD64AF" w:rsidRPr="00147D59" w:rsidTr="00F16D61">
        <w:trPr>
          <w:cnfStyle w:val="000000100000" w:firstRow="0" w:lastRow="0" w:firstColumn="0" w:lastColumn="0" w:oddVBand="0" w:evenVBand="0" w:oddHBand="1" w:evenHBand="0" w:firstRowFirstColumn="0" w:firstRowLastColumn="0" w:lastRowFirstColumn="0" w:lastRowLastColumn="0"/>
          <w:trHeight w:val="277"/>
        </w:trPr>
        <w:tc>
          <w:tcPr>
            <w:cnfStyle w:val="001000000000" w:firstRow="0" w:lastRow="0" w:firstColumn="1" w:lastColumn="0" w:oddVBand="0" w:evenVBand="0" w:oddHBand="0" w:evenHBand="0" w:firstRowFirstColumn="0" w:firstRowLastColumn="0" w:lastRowFirstColumn="0" w:lastRowLastColumn="0"/>
            <w:tcW w:w="2001" w:type="dxa"/>
            <w:noWrap/>
            <w:hideMark/>
          </w:tcPr>
          <w:p w:rsidR="00AD64AF" w:rsidRPr="00147D59" w:rsidRDefault="00AD64AF" w:rsidP="005E19AF">
            <w:pPr>
              <w:jc w:val="both"/>
              <w:rPr>
                <w:rFonts w:ascii="Arial" w:eastAsia="Times New Roman" w:hAnsi="Arial" w:cs="Arial"/>
                <w:bCs w:val="0"/>
                <w:sz w:val="20"/>
                <w:szCs w:val="20"/>
                <w:lang w:eastAsia="nl-NL"/>
              </w:rPr>
            </w:pPr>
            <w:r w:rsidRPr="00147D59">
              <w:rPr>
                <w:rFonts w:ascii="Arial" w:eastAsia="Times New Roman" w:hAnsi="Arial" w:cs="Arial"/>
                <w:sz w:val="20"/>
                <w:szCs w:val="20"/>
                <w:lang w:eastAsia="nl-NL"/>
              </w:rPr>
              <w:t>t=3</w:t>
            </w:r>
          </w:p>
        </w:tc>
        <w:tc>
          <w:tcPr>
            <w:tcW w:w="1821" w:type="dxa"/>
            <w:noWrap/>
            <w:hideMark/>
          </w:tcPr>
          <w:p w:rsidR="00AD64AF" w:rsidRPr="00147D59" w:rsidRDefault="00AD64AF" w:rsidP="005E19AF">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nl-NL"/>
              </w:rPr>
            </w:pPr>
            <w:r w:rsidRPr="00147D59">
              <w:rPr>
                <w:rFonts w:ascii="Arial" w:eastAsia="Times New Roman" w:hAnsi="Arial" w:cs="Arial"/>
                <w:sz w:val="20"/>
                <w:szCs w:val="20"/>
                <w:lang w:eastAsia="nl-NL"/>
              </w:rPr>
              <w:t>0,00005</w:t>
            </w:r>
          </w:p>
        </w:tc>
        <w:tc>
          <w:tcPr>
            <w:tcW w:w="1703" w:type="dxa"/>
            <w:noWrap/>
            <w:hideMark/>
          </w:tcPr>
          <w:p w:rsidR="00AD64AF" w:rsidRPr="00147D59" w:rsidRDefault="00AD64AF" w:rsidP="005E19AF">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nl-NL"/>
              </w:rPr>
            </w:pPr>
            <w:r w:rsidRPr="00147D59">
              <w:rPr>
                <w:rFonts w:ascii="Arial" w:eastAsia="Times New Roman" w:hAnsi="Arial" w:cs="Arial"/>
                <w:sz w:val="20"/>
                <w:szCs w:val="20"/>
                <w:lang w:eastAsia="nl-NL"/>
              </w:rPr>
              <w:t>0,00238*</w:t>
            </w:r>
            <w:r w:rsidR="009451B3" w:rsidRPr="00147D59">
              <w:rPr>
                <w:rFonts w:ascii="Arial" w:eastAsia="Times New Roman" w:hAnsi="Arial" w:cs="Arial"/>
                <w:sz w:val="20"/>
                <w:szCs w:val="20"/>
                <w:lang w:eastAsia="nl-NL"/>
              </w:rPr>
              <w:t>*</w:t>
            </w:r>
          </w:p>
        </w:tc>
      </w:tr>
      <w:tr w:rsidR="00AD64AF" w:rsidRPr="00147D59" w:rsidTr="00F16D61">
        <w:trPr>
          <w:cnfStyle w:val="000000010000" w:firstRow="0" w:lastRow="0" w:firstColumn="0" w:lastColumn="0" w:oddVBand="0" w:evenVBand="0" w:oddHBand="0" w:evenHBand="1" w:firstRowFirstColumn="0" w:firstRowLastColumn="0" w:lastRowFirstColumn="0" w:lastRowLastColumn="0"/>
          <w:trHeight w:val="277"/>
        </w:trPr>
        <w:tc>
          <w:tcPr>
            <w:cnfStyle w:val="001000000000" w:firstRow="0" w:lastRow="0" w:firstColumn="1" w:lastColumn="0" w:oddVBand="0" w:evenVBand="0" w:oddHBand="0" w:evenHBand="0" w:firstRowFirstColumn="0" w:firstRowLastColumn="0" w:lastRowFirstColumn="0" w:lastRowLastColumn="0"/>
            <w:tcW w:w="2001" w:type="dxa"/>
            <w:noWrap/>
            <w:hideMark/>
          </w:tcPr>
          <w:p w:rsidR="00AD64AF" w:rsidRPr="00147D59" w:rsidRDefault="00AD64AF" w:rsidP="005E19AF">
            <w:pPr>
              <w:jc w:val="both"/>
              <w:rPr>
                <w:rFonts w:ascii="Arial" w:eastAsia="Times New Roman" w:hAnsi="Arial" w:cs="Arial"/>
                <w:bCs w:val="0"/>
                <w:sz w:val="20"/>
                <w:szCs w:val="20"/>
                <w:lang w:eastAsia="nl-NL"/>
              </w:rPr>
            </w:pPr>
            <w:r w:rsidRPr="00147D59">
              <w:rPr>
                <w:rFonts w:ascii="Arial" w:eastAsia="Times New Roman" w:hAnsi="Arial" w:cs="Arial"/>
                <w:sz w:val="20"/>
                <w:szCs w:val="20"/>
                <w:lang w:eastAsia="nl-NL"/>
              </w:rPr>
              <w:t>t=4</w:t>
            </w:r>
          </w:p>
        </w:tc>
        <w:tc>
          <w:tcPr>
            <w:tcW w:w="1821" w:type="dxa"/>
            <w:noWrap/>
            <w:hideMark/>
          </w:tcPr>
          <w:p w:rsidR="00AD64AF" w:rsidRPr="00147D59" w:rsidRDefault="00AD64AF" w:rsidP="005E19AF">
            <w:pPr>
              <w:jc w:val="both"/>
              <w:cnfStyle w:val="000000010000" w:firstRow="0" w:lastRow="0" w:firstColumn="0" w:lastColumn="0" w:oddVBand="0" w:evenVBand="0" w:oddHBand="0" w:evenHBand="1" w:firstRowFirstColumn="0" w:firstRowLastColumn="0" w:lastRowFirstColumn="0" w:lastRowLastColumn="0"/>
              <w:rPr>
                <w:rFonts w:ascii="Arial" w:eastAsia="Times New Roman" w:hAnsi="Arial" w:cs="Arial"/>
                <w:sz w:val="20"/>
                <w:szCs w:val="20"/>
                <w:lang w:eastAsia="nl-NL"/>
              </w:rPr>
            </w:pPr>
            <w:r w:rsidRPr="00147D59">
              <w:rPr>
                <w:rFonts w:ascii="Arial" w:eastAsia="Times New Roman" w:hAnsi="Arial" w:cs="Arial"/>
                <w:sz w:val="20"/>
                <w:szCs w:val="20"/>
                <w:lang w:eastAsia="nl-NL"/>
              </w:rPr>
              <w:t>-0,00092</w:t>
            </w:r>
          </w:p>
        </w:tc>
        <w:tc>
          <w:tcPr>
            <w:tcW w:w="1703" w:type="dxa"/>
            <w:noWrap/>
            <w:hideMark/>
          </w:tcPr>
          <w:p w:rsidR="00AD64AF" w:rsidRPr="00147D59" w:rsidRDefault="00AD64AF" w:rsidP="005E19AF">
            <w:pPr>
              <w:jc w:val="both"/>
              <w:cnfStyle w:val="000000010000" w:firstRow="0" w:lastRow="0" w:firstColumn="0" w:lastColumn="0" w:oddVBand="0" w:evenVBand="0" w:oddHBand="0" w:evenHBand="1" w:firstRowFirstColumn="0" w:firstRowLastColumn="0" w:lastRowFirstColumn="0" w:lastRowLastColumn="0"/>
              <w:rPr>
                <w:rFonts w:ascii="Arial" w:eastAsia="Times New Roman" w:hAnsi="Arial" w:cs="Arial"/>
                <w:sz w:val="20"/>
                <w:szCs w:val="20"/>
                <w:lang w:eastAsia="nl-NL"/>
              </w:rPr>
            </w:pPr>
            <w:r w:rsidRPr="00147D59">
              <w:rPr>
                <w:rFonts w:ascii="Arial" w:eastAsia="Times New Roman" w:hAnsi="Arial" w:cs="Arial"/>
                <w:sz w:val="20"/>
                <w:szCs w:val="20"/>
                <w:lang w:eastAsia="nl-NL"/>
              </w:rPr>
              <w:t>-0,00119</w:t>
            </w:r>
          </w:p>
        </w:tc>
      </w:tr>
      <w:tr w:rsidR="00AD64AF" w:rsidRPr="00147D59" w:rsidTr="00F16D61">
        <w:trPr>
          <w:cnfStyle w:val="000000100000" w:firstRow="0" w:lastRow="0" w:firstColumn="0" w:lastColumn="0" w:oddVBand="0" w:evenVBand="0" w:oddHBand="1" w:evenHBand="0" w:firstRowFirstColumn="0" w:firstRowLastColumn="0" w:lastRowFirstColumn="0" w:lastRowLastColumn="0"/>
          <w:trHeight w:val="277"/>
        </w:trPr>
        <w:tc>
          <w:tcPr>
            <w:cnfStyle w:val="001000000000" w:firstRow="0" w:lastRow="0" w:firstColumn="1" w:lastColumn="0" w:oddVBand="0" w:evenVBand="0" w:oddHBand="0" w:evenHBand="0" w:firstRowFirstColumn="0" w:firstRowLastColumn="0" w:lastRowFirstColumn="0" w:lastRowLastColumn="0"/>
            <w:tcW w:w="2001" w:type="dxa"/>
            <w:noWrap/>
            <w:hideMark/>
          </w:tcPr>
          <w:p w:rsidR="00AD64AF" w:rsidRPr="00147D59" w:rsidRDefault="00AD64AF" w:rsidP="005E19AF">
            <w:pPr>
              <w:jc w:val="both"/>
              <w:rPr>
                <w:rFonts w:ascii="Arial" w:eastAsia="Times New Roman" w:hAnsi="Arial" w:cs="Arial"/>
                <w:bCs w:val="0"/>
                <w:sz w:val="20"/>
                <w:szCs w:val="20"/>
                <w:lang w:eastAsia="nl-NL"/>
              </w:rPr>
            </w:pPr>
            <w:r w:rsidRPr="00147D59">
              <w:rPr>
                <w:rFonts w:ascii="Arial" w:eastAsia="Times New Roman" w:hAnsi="Arial" w:cs="Arial"/>
                <w:sz w:val="20"/>
                <w:szCs w:val="20"/>
                <w:lang w:eastAsia="nl-NL"/>
              </w:rPr>
              <w:t>t=5</w:t>
            </w:r>
          </w:p>
        </w:tc>
        <w:tc>
          <w:tcPr>
            <w:tcW w:w="1821" w:type="dxa"/>
            <w:noWrap/>
            <w:hideMark/>
          </w:tcPr>
          <w:p w:rsidR="00AD64AF" w:rsidRPr="00147D59" w:rsidRDefault="00AD64AF" w:rsidP="005E19AF">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nl-NL"/>
              </w:rPr>
            </w:pPr>
            <w:r w:rsidRPr="00147D59">
              <w:rPr>
                <w:rFonts w:ascii="Arial" w:eastAsia="Times New Roman" w:hAnsi="Arial" w:cs="Arial"/>
                <w:sz w:val="20"/>
                <w:szCs w:val="20"/>
                <w:lang w:eastAsia="nl-NL"/>
              </w:rPr>
              <w:t>-0,00169*</w:t>
            </w:r>
          </w:p>
        </w:tc>
        <w:tc>
          <w:tcPr>
            <w:tcW w:w="1703" w:type="dxa"/>
            <w:noWrap/>
            <w:hideMark/>
          </w:tcPr>
          <w:p w:rsidR="00AD64AF" w:rsidRPr="00147D59" w:rsidRDefault="00AD64AF" w:rsidP="005E19AF">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nl-NL"/>
              </w:rPr>
            </w:pPr>
            <w:r w:rsidRPr="00147D59">
              <w:rPr>
                <w:rFonts w:ascii="Arial" w:eastAsia="Times New Roman" w:hAnsi="Arial" w:cs="Arial"/>
                <w:sz w:val="20"/>
                <w:szCs w:val="20"/>
                <w:lang w:eastAsia="nl-NL"/>
              </w:rPr>
              <w:t>-0,00357</w:t>
            </w:r>
            <w:r w:rsidR="009451B3" w:rsidRPr="00147D59">
              <w:rPr>
                <w:rFonts w:ascii="Arial" w:eastAsia="Times New Roman" w:hAnsi="Arial" w:cs="Arial"/>
                <w:sz w:val="20"/>
                <w:szCs w:val="20"/>
                <w:lang w:eastAsia="nl-NL"/>
              </w:rPr>
              <w:t>*</w:t>
            </w:r>
            <w:r w:rsidRPr="00147D59">
              <w:rPr>
                <w:rFonts w:ascii="Arial" w:eastAsia="Times New Roman" w:hAnsi="Arial" w:cs="Arial"/>
                <w:sz w:val="20"/>
                <w:szCs w:val="20"/>
                <w:lang w:eastAsia="nl-NL"/>
              </w:rPr>
              <w:t>*</w:t>
            </w:r>
          </w:p>
        </w:tc>
      </w:tr>
    </w:tbl>
    <w:p w:rsidR="00C65FE6" w:rsidRPr="00147D59" w:rsidRDefault="00AD64AF" w:rsidP="005E19AF">
      <w:pPr>
        <w:pStyle w:val="NoSpacing"/>
        <w:jc w:val="both"/>
        <w:rPr>
          <w:i/>
        </w:rPr>
      </w:pPr>
      <w:r w:rsidRPr="00147D59">
        <w:rPr>
          <w:i/>
        </w:rPr>
        <w:t xml:space="preserve">Table </w:t>
      </w:r>
      <w:r w:rsidR="00A05A01" w:rsidRPr="00147D59">
        <w:rPr>
          <w:i/>
        </w:rPr>
        <w:t>3</w:t>
      </w:r>
      <w:r w:rsidRPr="00147D59">
        <w:rPr>
          <w:i/>
        </w:rPr>
        <w:t>: Abnormal Retur</w:t>
      </w:r>
      <w:r w:rsidR="00C65FE6" w:rsidRPr="00147D59">
        <w:rPr>
          <w:i/>
        </w:rPr>
        <w:t>ns (AR) for acquirers and targets per day</w:t>
      </w:r>
    </w:p>
    <w:p w:rsidR="00C65FE6" w:rsidRPr="00147D59" w:rsidRDefault="00C65FE6" w:rsidP="005E19AF">
      <w:pPr>
        <w:pStyle w:val="NoSpacing"/>
        <w:jc w:val="both"/>
        <w:rPr>
          <w:i/>
        </w:rPr>
      </w:pPr>
      <w:r w:rsidRPr="00147D59">
        <w:rPr>
          <w:i/>
        </w:rPr>
        <w:t>*p-value &lt; 0.05</w:t>
      </w:r>
      <w:r w:rsidR="009451B3" w:rsidRPr="00147D59">
        <w:rPr>
          <w:i/>
        </w:rPr>
        <w:t xml:space="preserve"> ** p-value &lt; 0.01</w:t>
      </w:r>
    </w:p>
    <w:p w:rsidR="00610AF6" w:rsidRPr="00147D59" w:rsidRDefault="00610AF6" w:rsidP="005E19AF">
      <w:pPr>
        <w:pStyle w:val="NoSpacing"/>
        <w:jc w:val="both"/>
        <w:rPr>
          <w:i/>
        </w:rPr>
      </w:pPr>
    </w:p>
    <w:p w:rsidR="00AD64AF" w:rsidRDefault="00C65FE6" w:rsidP="005E19AF">
      <w:pPr>
        <w:spacing w:line="360" w:lineRule="auto"/>
        <w:jc w:val="both"/>
        <w:rPr>
          <w:sz w:val="24"/>
          <w:lang w:eastAsia="nl-NL"/>
        </w:rPr>
      </w:pPr>
      <w:r w:rsidRPr="00147D59">
        <w:rPr>
          <w:sz w:val="24"/>
          <w:lang w:eastAsia="nl-NL"/>
        </w:rPr>
        <w:t xml:space="preserve">For the acquirers a negative abnormal return is obtained on the day of the announcement of     -1,67%  and also on the third and fifth day after the announcement a significant abnormal return is obtained. For the targets a positive abnormal return is obtained from day [-2,1] around the announcement day. Also day t=-4 and t=5 an abnormal return is obtained. To </w:t>
      </w:r>
      <w:r w:rsidR="009451B3" w:rsidRPr="00147D59">
        <w:rPr>
          <w:sz w:val="24"/>
          <w:lang w:eastAsia="nl-NL"/>
        </w:rPr>
        <w:t xml:space="preserve">determine the CAR [K,L]  we want to use only significant abnormal returns around the announcement day which are subsequent from each other. For the acquirers this would be only t=0 and for the targets this would be [-2,1]. However, if we want to measure the explanatory value for the CAR’s accurate, they should be equal for both the acquirer and the target. </w:t>
      </w:r>
      <w:r w:rsidR="009F6ACB" w:rsidRPr="00147D59">
        <w:rPr>
          <w:sz w:val="24"/>
          <w:lang w:eastAsia="nl-NL"/>
        </w:rPr>
        <w:lastRenderedPageBreak/>
        <w:t xml:space="preserve">Therefore, the CAR used will be from day -1 till 1. Which are for both the acquirer and target significant at a 1% level. In </w:t>
      </w:r>
      <w:r w:rsidR="00A05A01" w:rsidRPr="00147D59">
        <w:rPr>
          <w:sz w:val="24"/>
          <w:lang w:eastAsia="nl-NL"/>
        </w:rPr>
        <w:t xml:space="preserve">table 4 </w:t>
      </w:r>
      <w:r w:rsidR="009F6ACB" w:rsidRPr="00147D59">
        <w:rPr>
          <w:sz w:val="24"/>
          <w:lang w:eastAsia="nl-NL"/>
        </w:rPr>
        <w:t>are the descriptive statistics for the cumulative abnormal returns for event window [-1,1].</w:t>
      </w:r>
    </w:p>
    <w:tbl>
      <w:tblPr>
        <w:tblStyle w:val="MediumShading1-Accent1"/>
        <w:tblW w:w="7763" w:type="dxa"/>
        <w:tblLayout w:type="fixed"/>
        <w:tblLook w:val="04A0" w:firstRow="1" w:lastRow="0" w:firstColumn="1" w:lastColumn="0" w:noHBand="0" w:noVBand="1"/>
      </w:tblPr>
      <w:tblGrid>
        <w:gridCol w:w="3687"/>
        <w:gridCol w:w="1156"/>
        <w:gridCol w:w="417"/>
        <w:gridCol w:w="1085"/>
        <w:gridCol w:w="1418"/>
      </w:tblGrid>
      <w:tr w:rsidR="00F312B0" w:rsidRPr="00147D59" w:rsidTr="00F312B0">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687" w:type="dxa"/>
            <w:noWrap/>
            <w:hideMark/>
          </w:tcPr>
          <w:p w:rsidR="00F312B0" w:rsidRPr="00147D59" w:rsidRDefault="00F312B0" w:rsidP="005E19AF">
            <w:pPr>
              <w:spacing w:after="0" w:line="240" w:lineRule="auto"/>
              <w:jc w:val="both"/>
              <w:rPr>
                <w:rFonts w:ascii="Calibri" w:eastAsia="Times New Roman" w:hAnsi="Calibri" w:cs="Times New Roman"/>
                <w:color w:val="FFFFFF"/>
              </w:rPr>
            </w:pPr>
            <w:r w:rsidRPr="00147D59">
              <w:rPr>
                <w:rFonts w:ascii="Calibri" w:eastAsia="Times New Roman" w:hAnsi="Calibri" w:cs="Times New Roman"/>
                <w:color w:val="FFFFFF"/>
              </w:rPr>
              <w:t xml:space="preserve">Cumulative Abnormal Returns [-1,1] </w:t>
            </w:r>
          </w:p>
        </w:tc>
        <w:tc>
          <w:tcPr>
            <w:tcW w:w="1156" w:type="dxa"/>
            <w:noWrap/>
            <w:hideMark/>
          </w:tcPr>
          <w:p w:rsidR="00F312B0" w:rsidRPr="00147D59" w:rsidRDefault="00F312B0" w:rsidP="005E19AF">
            <w:pPr>
              <w:spacing w:after="0" w:line="240" w:lineRule="auto"/>
              <w:jc w:val="both"/>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FFFFFF"/>
              </w:rPr>
            </w:pPr>
          </w:p>
        </w:tc>
        <w:tc>
          <w:tcPr>
            <w:tcW w:w="1502" w:type="dxa"/>
            <w:gridSpan w:val="2"/>
            <w:noWrap/>
            <w:hideMark/>
          </w:tcPr>
          <w:p w:rsidR="00F312B0" w:rsidRPr="00147D59" w:rsidRDefault="00F312B0" w:rsidP="005E19AF">
            <w:pPr>
              <w:spacing w:after="0" w:line="240" w:lineRule="auto"/>
              <w:jc w:val="both"/>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FFFFFF"/>
              </w:rPr>
            </w:pPr>
          </w:p>
        </w:tc>
        <w:tc>
          <w:tcPr>
            <w:tcW w:w="1418" w:type="dxa"/>
          </w:tcPr>
          <w:p w:rsidR="00F312B0" w:rsidRPr="00147D59" w:rsidRDefault="00F312B0" w:rsidP="005E19AF">
            <w:pPr>
              <w:spacing w:after="0" w:line="240" w:lineRule="auto"/>
              <w:jc w:val="both"/>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b w:val="0"/>
                <w:bCs w:val="0"/>
                <w:color w:val="FFFFFF"/>
              </w:rPr>
            </w:pPr>
          </w:p>
        </w:tc>
      </w:tr>
      <w:tr w:rsidR="00F312B0" w:rsidRPr="00147D59" w:rsidTr="00F312B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687" w:type="dxa"/>
            <w:noWrap/>
            <w:hideMark/>
          </w:tcPr>
          <w:p w:rsidR="00F312B0" w:rsidRPr="00147D59" w:rsidRDefault="00F312B0" w:rsidP="005E19AF">
            <w:pPr>
              <w:spacing w:after="0" w:line="240" w:lineRule="auto"/>
              <w:jc w:val="both"/>
              <w:rPr>
                <w:rFonts w:ascii="Calibri" w:eastAsia="Times New Roman" w:hAnsi="Calibri" w:cs="Times New Roman"/>
                <w:color w:val="000000"/>
              </w:rPr>
            </w:pPr>
          </w:p>
        </w:tc>
        <w:tc>
          <w:tcPr>
            <w:tcW w:w="1156" w:type="dxa"/>
            <w:noWrap/>
            <w:hideMark/>
          </w:tcPr>
          <w:p w:rsidR="00F312B0" w:rsidRPr="00147D59" w:rsidRDefault="00F312B0" w:rsidP="005E19AF">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rPr>
            </w:pPr>
          </w:p>
        </w:tc>
        <w:tc>
          <w:tcPr>
            <w:tcW w:w="1502" w:type="dxa"/>
            <w:gridSpan w:val="2"/>
            <w:noWrap/>
            <w:hideMark/>
          </w:tcPr>
          <w:p w:rsidR="00F312B0" w:rsidRPr="00147D59" w:rsidRDefault="00F312B0" w:rsidP="005E19AF">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rPr>
            </w:pPr>
          </w:p>
        </w:tc>
        <w:tc>
          <w:tcPr>
            <w:tcW w:w="1418" w:type="dxa"/>
          </w:tcPr>
          <w:p w:rsidR="00F312B0" w:rsidRPr="00147D59" w:rsidRDefault="00F312B0" w:rsidP="005E19AF">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rPr>
            </w:pPr>
          </w:p>
        </w:tc>
      </w:tr>
      <w:tr w:rsidR="00F312B0" w:rsidRPr="00147D59" w:rsidTr="00F312B0">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687" w:type="dxa"/>
            <w:noWrap/>
            <w:hideMark/>
          </w:tcPr>
          <w:p w:rsidR="00F312B0" w:rsidRPr="00147D59" w:rsidRDefault="00F312B0" w:rsidP="005E19AF">
            <w:pPr>
              <w:spacing w:after="0" w:line="240" w:lineRule="auto"/>
              <w:jc w:val="both"/>
              <w:rPr>
                <w:rFonts w:ascii="Calibri" w:eastAsia="Times New Roman" w:hAnsi="Calibri" w:cs="Times New Roman"/>
                <w:color w:val="000000"/>
              </w:rPr>
            </w:pPr>
          </w:p>
        </w:tc>
        <w:tc>
          <w:tcPr>
            <w:tcW w:w="1573" w:type="dxa"/>
            <w:gridSpan w:val="2"/>
            <w:noWrap/>
            <w:hideMark/>
          </w:tcPr>
          <w:p w:rsidR="00F312B0" w:rsidRPr="00147D59" w:rsidRDefault="00F312B0" w:rsidP="005E19AF">
            <w:pPr>
              <w:spacing w:after="0"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b/>
                <w:color w:val="000000"/>
              </w:rPr>
            </w:pPr>
            <w:r w:rsidRPr="00147D59">
              <w:rPr>
                <w:rFonts w:ascii="Calibri" w:eastAsia="Times New Roman" w:hAnsi="Calibri" w:cs="Times New Roman"/>
                <w:b/>
                <w:color w:val="000000"/>
              </w:rPr>
              <w:t>Acquirer</w:t>
            </w:r>
          </w:p>
        </w:tc>
        <w:tc>
          <w:tcPr>
            <w:tcW w:w="1085" w:type="dxa"/>
            <w:noWrap/>
            <w:hideMark/>
          </w:tcPr>
          <w:p w:rsidR="00F312B0" w:rsidRPr="00147D59" w:rsidRDefault="00F312B0" w:rsidP="005E19AF">
            <w:pPr>
              <w:spacing w:after="0"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b/>
                <w:color w:val="000000"/>
              </w:rPr>
            </w:pPr>
            <w:r w:rsidRPr="00147D59">
              <w:rPr>
                <w:rFonts w:ascii="Calibri" w:eastAsia="Times New Roman" w:hAnsi="Calibri" w:cs="Times New Roman"/>
                <w:b/>
                <w:color w:val="000000"/>
              </w:rPr>
              <w:t>Target</w:t>
            </w:r>
          </w:p>
        </w:tc>
        <w:tc>
          <w:tcPr>
            <w:tcW w:w="1418" w:type="dxa"/>
          </w:tcPr>
          <w:p w:rsidR="00F312B0" w:rsidRPr="00147D59" w:rsidRDefault="00F312B0" w:rsidP="005E19AF">
            <w:pPr>
              <w:spacing w:after="0" w:line="240" w:lineRule="auto"/>
              <w:jc w:val="cente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b/>
                <w:color w:val="000000"/>
              </w:rPr>
            </w:pPr>
            <w:r w:rsidRPr="00147D59">
              <w:rPr>
                <w:rFonts w:ascii="Calibri" w:eastAsia="Times New Roman" w:hAnsi="Calibri" w:cs="Times New Roman"/>
                <w:b/>
                <w:color w:val="000000"/>
              </w:rPr>
              <w:t>Joint</w:t>
            </w:r>
          </w:p>
        </w:tc>
      </w:tr>
      <w:tr w:rsidR="00F312B0" w:rsidRPr="00147D59" w:rsidTr="00F312B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687" w:type="dxa"/>
            <w:noWrap/>
            <w:hideMark/>
          </w:tcPr>
          <w:p w:rsidR="00F312B0" w:rsidRPr="00147D59" w:rsidRDefault="00F312B0" w:rsidP="005E19AF">
            <w:pPr>
              <w:spacing w:after="0" w:line="240" w:lineRule="auto"/>
              <w:jc w:val="both"/>
              <w:rPr>
                <w:rFonts w:ascii="Calibri" w:eastAsia="Times New Roman" w:hAnsi="Calibri" w:cs="Times New Roman"/>
                <w:color w:val="000000"/>
              </w:rPr>
            </w:pPr>
          </w:p>
        </w:tc>
        <w:tc>
          <w:tcPr>
            <w:tcW w:w="1156" w:type="dxa"/>
            <w:noWrap/>
            <w:hideMark/>
          </w:tcPr>
          <w:p w:rsidR="00F312B0" w:rsidRPr="00147D59" w:rsidRDefault="00F312B0" w:rsidP="005E19AF">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rPr>
            </w:pPr>
          </w:p>
        </w:tc>
        <w:tc>
          <w:tcPr>
            <w:tcW w:w="1502" w:type="dxa"/>
            <w:gridSpan w:val="2"/>
            <w:noWrap/>
            <w:hideMark/>
          </w:tcPr>
          <w:p w:rsidR="00F312B0" w:rsidRPr="00147D59" w:rsidRDefault="00F312B0" w:rsidP="005E19AF">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rPr>
            </w:pPr>
          </w:p>
        </w:tc>
        <w:tc>
          <w:tcPr>
            <w:tcW w:w="1418" w:type="dxa"/>
          </w:tcPr>
          <w:p w:rsidR="00F312B0" w:rsidRPr="00147D59" w:rsidRDefault="00F312B0" w:rsidP="005E19AF">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rPr>
            </w:pPr>
          </w:p>
        </w:tc>
      </w:tr>
      <w:tr w:rsidR="00F312B0" w:rsidRPr="00147D59" w:rsidTr="00F312B0">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687" w:type="dxa"/>
            <w:noWrap/>
            <w:hideMark/>
          </w:tcPr>
          <w:p w:rsidR="00F312B0" w:rsidRPr="00147D59" w:rsidRDefault="00F312B0" w:rsidP="005E19AF">
            <w:pPr>
              <w:spacing w:after="0" w:line="240" w:lineRule="auto"/>
              <w:jc w:val="both"/>
              <w:rPr>
                <w:rFonts w:ascii="Calibri" w:eastAsia="Times New Roman" w:hAnsi="Calibri" w:cs="Times New Roman"/>
                <w:color w:val="000000"/>
              </w:rPr>
            </w:pPr>
            <w:r w:rsidRPr="00147D59">
              <w:rPr>
                <w:rFonts w:ascii="Calibri" w:eastAsia="Times New Roman" w:hAnsi="Calibri" w:cs="Times New Roman"/>
                <w:color w:val="000000"/>
              </w:rPr>
              <w:t>Mean</w:t>
            </w:r>
          </w:p>
        </w:tc>
        <w:tc>
          <w:tcPr>
            <w:tcW w:w="1156" w:type="dxa"/>
            <w:noWrap/>
            <w:hideMark/>
          </w:tcPr>
          <w:p w:rsidR="00F312B0" w:rsidRPr="00147D59" w:rsidRDefault="00F312B0" w:rsidP="005E19AF">
            <w:pPr>
              <w:spacing w:after="0" w:line="240" w:lineRule="auto"/>
              <w:jc w:val="right"/>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00000"/>
              </w:rPr>
            </w:pPr>
            <w:r w:rsidRPr="00147D59">
              <w:rPr>
                <w:rFonts w:ascii="Calibri" w:eastAsia="Times New Roman" w:hAnsi="Calibri" w:cs="Times New Roman"/>
                <w:color w:val="000000"/>
              </w:rPr>
              <w:t>-3,66%</w:t>
            </w:r>
          </w:p>
        </w:tc>
        <w:tc>
          <w:tcPr>
            <w:tcW w:w="1502" w:type="dxa"/>
            <w:gridSpan w:val="2"/>
            <w:noWrap/>
            <w:hideMark/>
          </w:tcPr>
          <w:p w:rsidR="00F312B0" w:rsidRPr="00147D59" w:rsidRDefault="00F312B0" w:rsidP="005E19AF">
            <w:pPr>
              <w:spacing w:after="0" w:line="240" w:lineRule="auto"/>
              <w:jc w:val="right"/>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00000"/>
              </w:rPr>
            </w:pPr>
            <w:r w:rsidRPr="00147D59">
              <w:rPr>
                <w:rFonts w:ascii="Calibri" w:eastAsia="Times New Roman" w:hAnsi="Calibri" w:cs="Times New Roman"/>
                <w:color w:val="000000"/>
              </w:rPr>
              <w:t>16,49%</w:t>
            </w:r>
          </w:p>
        </w:tc>
        <w:tc>
          <w:tcPr>
            <w:tcW w:w="1418" w:type="dxa"/>
          </w:tcPr>
          <w:p w:rsidR="00F312B0" w:rsidRPr="00147D59" w:rsidRDefault="00647F9B" w:rsidP="005E19AF">
            <w:pPr>
              <w:spacing w:after="0" w:line="240" w:lineRule="auto"/>
              <w:jc w:val="right"/>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00000"/>
              </w:rPr>
            </w:pPr>
            <w:r w:rsidRPr="00147D59">
              <w:rPr>
                <w:rFonts w:ascii="Calibri" w:eastAsia="Times New Roman" w:hAnsi="Calibri" w:cs="Times New Roman"/>
                <w:color w:val="000000"/>
              </w:rPr>
              <w:t>1,62</w:t>
            </w:r>
            <w:r w:rsidR="00F312B0" w:rsidRPr="00147D59">
              <w:rPr>
                <w:rFonts w:ascii="Calibri" w:eastAsia="Times New Roman" w:hAnsi="Calibri" w:cs="Times New Roman"/>
                <w:color w:val="000000"/>
              </w:rPr>
              <w:t>%</w:t>
            </w:r>
          </w:p>
        </w:tc>
      </w:tr>
      <w:tr w:rsidR="00276779" w:rsidRPr="00147D59" w:rsidTr="00F312B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687" w:type="dxa"/>
            <w:noWrap/>
          </w:tcPr>
          <w:p w:rsidR="00276779" w:rsidRPr="00147D59" w:rsidRDefault="00276779" w:rsidP="005E19AF">
            <w:pPr>
              <w:spacing w:after="0" w:line="240" w:lineRule="auto"/>
              <w:jc w:val="both"/>
              <w:rPr>
                <w:rFonts w:ascii="Calibri" w:eastAsia="Times New Roman" w:hAnsi="Calibri" w:cs="Times New Roman"/>
                <w:color w:val="000000"/>
              </w:rPr>
            </w:pPr>
            <w:r w:rsidRPr="00147D59">
              <w:rPr>
                <w:rFonts w:ascii="Calibri" w:eastAsia="Times New Roman" w:hAnsi="Calibri" w:cs="Times New Roman"/>
                <w:color w:val="000000"/>
              </w:rPr>
              <w:t>P-value</w:t>
            </w:r>
          </w:p>
        </w:tc>
        <w:tc>
          <w:tcPr>
            <w:tcW w:w="1156" w:type="dxa"/>
            <w:noWrap/>
          </w:tcPr>
          <w:p w:rsidR="00276779" w:rsidRPr="00147D59" w:rsidRDefault="00276779" w:rsidP="005E19AF">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rPr>
            </w:pPr>
            <w:r w:rsidRPr="00147D59">
              <w:rPr>
                <w:rFonts w:ascii="Calibri" w:eastAsia="Times New Roman" w:hAnsi="Calibri" w:cs="Times New Roman"/>
                <w:color w:val="000000"/>
              </w:rPr>
              <w:t>0,000</w:t>
            </w:r>
            <w:r w:rsidR="004B392E" w:rsidRPr="00147D59">
              <w:rPr>
                <w:rFonts w:ascii="Calibri" w:eastAsia="Times New Roman" w:hAnsi="Calibri" w:cs="Times New Roman"/>
                <w:color w:val="000000"/>
              </w:rPr>
              <w:t>*</w:t>
            </w:r>
          </w:p>
        </w:tc>
        <w:tc>
          <w:tcPr>
            <w:tcW w:w="1502" w:type="dxa"/>
            <w:gridSpan w:val="2"/>
            <w:noWrap/>
          </w:tcPr>
          <w:p w:rsidR="00276779" w:rsidRPr="00147D59" w:rsidRDefault="00276779" w:rsidP="005E19AF">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rPr>
            </w:pPr>
            <w:r w:rsidRPr="00147D59">
              <w:rPr>
                <w:rFonts w:ascii="Calibri" w:eastAsia="Times New Roman" w:hAnsi="Calibri" w:cs="Times New Roman"/>
                <w:color w:val="000000"/>
              </w:rPr>
              <w:t>0,000</w:t>
            </w:r>
            <w:r w:rsidR="004B392E" w:rsidRPr="00147D59">
              <w:rPr>
                <w:rFonts w:ascii="Calibri" w:eastAsia="Times New Roman" w:hAnsi="Calibri" w:cs="Times New Roman"/>
                <w:color w:val="000000"/>
              </w:rPr>
              <w:t>*</w:t>
            </w:r>
          </w:p>
        </w:tc>
        <w:tc>
          <w:tcPr>
            <w:tcW w:w="1418" w:type="dxa"/>
          </w:tcPr>
          <w:p w:rsidR="00276779" w:rsidRPr="00147D59" w:rsidRDefault="004B392E" w:rsidP="005E19AF">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rPr>
            </w:pPr>
            <w:r w:rsidRPr="00147D59">
              <w:rPr>
                <w:rFonts w:ascii="Calibri" w:eastAsia="Times New Roman" w:hAnsi="Calibri" w:cs="Times New Roman"/>
                <w:color w:val="000000"/>
              </w:rPr>
              <w:t>0,036*</w:t>
            </w:r>
          </w:p>
        </w:tc>
      </w:tr>
      <w:tr w:rsidR="00F312B0" w:rsidRPr="00147D59" w:rsidTr="00F312B0">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687" w:type="dxa"/>
            <w:noWrap/>
            <w:hideMark/>
          </w:tcPr>
          <w:p w:rsidR="00F312B0" w:rsidRPr="00147D59" w:rsidRDefault="00F312B0" w:rsidP="005E19AF">
            <w:pPr>
              <w:spacing w:after="0" w:line="240" w:lineRule="auto"/>
              <w:jc w:val="both"/>
              <w:rPr>
                <w:rFonts w:ascii="Calibri" w:eastAsia="Times New Roman" w:hAnsi="Calibri" w:cs="Times New Roman"/>
                <w:color w:val="000000"/>
              </w:rPr>
            </w:pPr>
            <w:r w:rsidRPr="00147D59">
              <w:rPr>
                <w:rFonts w:ascii="Calibri" w:eastAsia="Times New Roman" w:hAnsi="Calibri" w:cs="Times New Roman"/>
                <w:color w:val="000000"/>
              </w:rPr>
              <w:t>Std. Dev.</w:t>
            </w:r>
          </w:p>
        </w:tc>
        <w:tc>
          <w:tcPr>
            <w:tcW w:w="1156" w:type="dxa"/>
            <w:noWrap/>
            <w:hideMark/>
          </w:tcPr>
          <w:p w:rsidR="00F312B0" w:rsidRPr="00147D59" w:rsidRDefault="00F312B0" w:rsidP="005E19AF">
            <w:pPr>
              <w:spacing w:after="0" w:line="240" w:lineRule="auto"/>
              <w:jc w:val="right"/>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00000"/>
              </w:rPr>
            </w:pPr>
            <w:r w:rsidRPr="00147D59">
              <w:rPr>
                <w:rFonts w:ascii="Calibri" w:eastAsia="Times New Roman" w:hAnsi="Calibri" w:cs="Times New Roman"/>
                <w:color w:val="000000"/>
              </w:rPr>
              <w:t>12%</w:t>
            </w:r>
          </w:p>
        </w:tc>
        <w:tc>
          <w:tcPr>
            <w:tcW w:w="1502" w:type="dxa"/>
            <w:gridSpan w:val="2"/>
            <w:noWrap/>
            <w:hideMark/>
          </w:tcPr>
          <w:p w:rsidR="00F312B0" w:rsidRPr="00147D59" w:rsidRDefault="00F312B0" w:rsidP="005E19AF">
            <w:pPr>
              <w:spacing w:after="0" w:line="240" w:lineRule="auto"/>
              <w:jc w:val="right"/>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00000"/>
              </w:rPr>
            </w:pPr>
            <w:r w:rsidRPr="00147D59">
              <w:rPr>
                <w:rFonts w:ascii="Calibri" w:eastAsia="Times New Roman" w:hAnsi="Calibri" w:cs="Times New Roman"/>
                <w:color w:val="000000"/>
              </w:rPr>
              <w:t>22,75%</w:t>
            </w:r>
          </w:p>
        </w:tc>
        <w:tc>
          <w:tcPr>
            <w:tcW w:w="1418" w:type="dxa"/>
          </w:tcPr>
          <w:p w:rsidR="00F312B0" w:rsidRPr="00147D59" w:rsidRDefault="00647F9B" w:rsidP="005E19AF">
            <w:pPr>
              <w:spacing w:after="0" w:line="240" w:lineRule="auto"/>
              <w:jc w:val="right"/>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00000"/>
              </w:rPr>
            </w:pPr>
            <w:r w:rsidRPr="00147D59">
              <w:rPr>
                <w:rFonts w:ascii="Calibri" w:eastAsia="Times New Roman" w:hAnsi="Calibri" w:cs="Times New Roman"/>
                <w:color w:val="000000"/>
              </w:rPr>
              <w:t>11,79</w:t>
            </w:r>
            <w:r w:rsidR="00F312B0" w:rsidRPr="00147D59">
              <w:rPr>
                <w:rFonts w:ascii="Calibri" w:eastAsia="Times New Roman" w:hAnsi="Calibri" w:cs="Times New Roman"/>
                <w:color w:val="000000"/>
              </w:rPr>
              <w:t>%</w:t>
            </w:r>
          </w:p>
        </w:tc>
      </w:tr>
      <w:tr w:rsidR="00F312B0" w:rsidRPr="00147D59" w:rsidTr="00F312B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687" w:type="dxa"/>
            <w:noWrap/>
            <w:hideMark/>
          </w:tcPr>
          <w:p w:rsidR="00F312B0" w:rsidRPr="00147D59" w:rsidRDefault="00F312B0" w:rsidP="005E19AF">
            <w:pPr>
              <w:spacing w:after="0" w:line="240" w:lineRule="auto"/>
              <w:jc w:val="both"/>
              <w:rPr>
                <w:rFonts w:ascii="Calibri" w:eastAsia="Times New Roman" w:hAnsi="Calibri" w:cs="Times New Roman"/>
                <w:color w:val="000000"/>
              </w:rPr>
            </w:pPr>
            <w:r w:rsidRPr="00147D59">
              <w:rPr>
                <w:rFonts w:ascii="Calibri" w:eastAsia="Times New Roman" w:hAnsi="Calibri" w:cs="Times New Roman"/>
                <w:color w:val="000000"/>
              </w:rPr>
              <w:t>Minimum</w:t>
            </w:r>
          </w:p>
        </w:tc>
        <w:tc>
          <w:tcPr>
            <w:tcW w:w="1156" w:type="dxa"/>
            <w:noWrap/>
            <w:hideMark/>
          </w:tcPr>
          <w:p w:rsidR="00F312B0" w:rsidRPr="00147D59" w:rsidRDefault="00F312B0" w:rsidP="005E19AF">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rPr>
            </w:pPr>
            <w:r w:rsidRPr="00147D59">
              <w:rPr>
                <w:rFonts w:ascii="Calibri" w:eastAsia="Times New Roman" w:hAnsi="Calibri" w:cs="Times New Roman"/>
                <w:color w:val="000000"/>
              </w:rPr>
              <w:t>-35,94%</w:t>
            </w:r>
          </w:p>
        </w:tc>
        <w:tc>
          <w:tcPr>
            <w:tcW w:w="1502" w:type="dxa"/>
            <w:gridSpan w:val="2"/>
            <w:noWrap/>
            <w:hideMark/>
          </w:tcPr>
          <w:p w:rsidR="00F312B0" w:rsidRPr="00147D59" w:rsidRDefault="00F312B0" w:rsidP="005E19AF">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rPr>
            </w:pPr>
            <w:r w:rsidRPr="00147D59">
              <w:rPr>
                <w:rFonts w:ascii="Calibri" w:eastAsia="Times New Roman" w:hAnsi="Calibri" w:cs="Times New Roman"/>
                <w:color w:val="000000"/>
              </w:rPr>
              <w:t>-16,57%</w:t>
            </w:r>
          </w:p>
        </w:tc>
        <w:tc>
          <w:tcPr>
            <w:tcW w:w="1418" w:type="dxa"/>
          </w:tcPr>
          <w:p w:rsidR="00F312B0" w:rsidRPr="00147D59" w:rsidRDefault="00647F9B" w:rsidP="005E19AF">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rPr>
            </w:pPr>
            <w:r w:rsidRPr="00147D59">
              <w:rPr>
                <w:rFonts w:ascii="Calibri" w:eastAsia="Times New Roman" w:hAnsi="Calibri" w:cs="Times New Roman"/>
                <w:color w:val="000000"/>
              </w:rPr>
              <w:t>-21,06</w:t>
            </w:r>
            <w:r w:rsidR="00F312B0" w:rsidRPr="00147D59">
              <w:rPr>
                <w:rFonts w:ascii="Calibri" w:eastAsia="Times New Roman" w:hAnsi="Calibri" w:cs="Times New Roman"/>
                <w:color w:val="000000"/>
              </w:rPr>
              <w:t>%</w:t>
            </w:r>
          </w:p>
        </w:tc>
      </w:tr>
      <w:tr w:rsidR="00F312B0" w:rsidRPr="00147D59" w:rsidTr="00F312B0">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687" w:type="dxa"/>
            <w:noWrap/>
            <w:hideMark/>
          </w:tcPr>
          <w:p w:rsidR="00F312B0" w:rsidRPr="00147D59" w:rsidRDefault="00F312B0" w:rsidP="005E19AF">
            <w:pPr>
              <w:spacing w:after="0" w:line="240" w:lineRule="auto"/>
              <w:jc w:val="both"/>
              <w:rPr>
                <w:rFonts w:ascii="Calibri" w:eastAsia="Times New Roman" w:hAnsi="Calibri" w:cs="Times New Roman"/>
                <w:color w:val="000000"/>
              </w:rPr>
            </w:pPr>
            <w:r w:rsidRPr="00147D59">
              <w:rPr>
                <w:rFonts w:ascii="Calibri" w:eastAsia="Times New Roman" w:hAnsi="Calibri" w:cs="Times New Roman"/>
                <w:color w:val="000000"/>
              </w:rPr>
              <w:t>Maximum</w:t>
            </w:r>
          </w:p>
        </w:tc>
        <w:tc>
          <w:tcPr>
            <w:tcW w:w="1156" w:type="dxa"/>
            <w:noWrap/>
            <w:hideMark/>
          </w:tcPr>
          <w:p w:rsidR="00F312B0" w:rsidRPr="00147D59" w:rsidRDefault="00F312B0" w:rsidP="005E19AF">
            <w:pPr>
              <w:spacing w:after="0" w:line="240" w:lineRule="auto"/>
              <w:jc w:val="right"/>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00000"/>
              </w:rPr>
            </w:pPr>
            <w:r w:rsidRPr="00147D59">
              <w:rPr>
                <w:rFonts w:ascii="Calibri" w:eastAsia="Times New Roman" w:hAnsi="Calibri" w:cs="Times New Roman"/>
                <w:color w:val="000000"/>
              </w:rPr>
              <w:t>33,44%</w:t>
            </w:r>
          </w:p>
        </w:tc>
        <w:tc>
          <w:tcPr>
            <w:tcW w:w="1502" w:type="dxa"/>
            <w:gridSpan w:val="2"/>
            <w:noWrap/>
            <w:hideMark/>
          </w:tcPr>
          <w:p w:rsidR="00F312B0" w:rsidRPr="00147D59" w:rsidRDefault="00F312B0" w:rsidP="005E19AF">
            <w:pPr>
              <w:spacing w:after="0" w:line="240" w:lineRule="auto"/>
              <w:jc w:val="right"/>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00000"/>
              </w:rPr>
            </w:pPr>
            <w:r w:rsidRPr="00147D59">
              <w:rPr>
                <w:rFonts w:ascii="Calibri" w:eastAsia="Times New Roman" w:hAnsi="Calibri" w:cs="Times New Roman"/>
                <w:color w:val="000000"/>
              </w:rPr>
              <w:t>239,85%</w:t>
            </w:r>
          </w:p>
        </w:tc>
        <w:tc>
          <w:tcPr>
            <w:tcW w:w="1418" w:type="dxa"/>
          </w:tcPr>
          <w:p w:rsidR="00F312B0" w:rsidRPr="00147D59" w:rsidRDefault="00647F9B" w:rsidP="005E19AF">
            <w:pPr>
              <w:spacing w:after="0" w:line="240" w:lineRule="auto"/>
              <w:jc w:val="right"/>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00000"/>
              </w:rPr>
            </w:pPr>
            <w:r w:rsidRPr="00147D59">
              <w:rPr>
                <w:rFonts w:ascii="Calibri" w:eastAsia="Times New Roman" w:hAnsi="Calibri" w:cs="Times New Roman"/>
                <w:color w:val="000000"/>
              </w:rPr>
              <w:t>87,88</w:t>
            </w:r>
            <w:r w:rsidR="00F312B0" w:rsidRPr="00147D59">
              <w:rPr>
                <w:rFonts w:ascii="Calibri" w:eastAsia="Times New Roman" w:hAnsi="Calibri" w:cs="Times New Roman"/>
                <w:color w:val="000000"/>
              </w:rPr>
              <w:t>%</w:t>
            </w:r>
          </w:p>
        </w:tc>
      </w:tr>
      <w:tr w:rsidR="00F312B0" w:rsidRPr="00147D59" w:rsidTr="00F312B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687" w:type="dxa"/>
            <w:noWrap/>
          </w:tcPr>
          <w:p w:rsidR="00F312B0" w:rsidRPr="00147D59" w:rsidRDefault="00F312B0" w:rsidP="005E19AF">
            <w:pPr>
              <w:spacing w:after="0" w:line="240" w:lineRule="auto"/>
              <w:jc w:val="both"/>
              <w:rPr>
                <w:rFonts w:ascii="Calibri" w:eastAsia="Times New Roman" w:hAnsi="Calibri" w:cs="Times New Roman"/>
                <w:color w:val="000000"/>
              </w:rPr>
            </w:pPr>
            <w:r w:rsidRPr="00147D59">
              <w:rPr>
                <w:rFonts w:ascii="Calibri" w:eastAsia="Times New Roman" w:hAnsi="Calibri" w:cs="Times New Roman"/>
                <w:color w:val="000000"/>
              </w:rPr>
              <w:t>Observations</w:t>
            </w:r>
          </w:p>
        </w:tc>
        <w:tc>
          <w:tcPr>
            <w:tcW w:w="1156" w:type="dxa"/>
            <w:noWrap/>
          </w:tcPr>
          <w:p w:rsidR="00F312B0" w:rsidRPr="00147D59" w:rsidRDefault="00F312B0" w:rsidP="005E19AF">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rPr>
            </w:pPr>
            <w:r w:rsidRPr="00147D59">
              <w:rPr>
                <w:rFonts w:ascii="Calibri" w:eastAsia="Times New Roman" w:hAnsi="Calibri" w:cs="Times New Roman"/>
                <w:color w:val="000000"/>
              </w:rPr>
              <w:t>240</w:t>
            </w:r>
          </w:p>
        </w:tc>
        <w:tc>
          <w:tcPr>
            <w:tcW w:w="1502" w:type="dxa"/>
            <w:gridSpan w:val="2"/>
            <w:noWrap/>
          </w:tcPr>
          <w:p w:rsidR="00F312B0" w:rsidRPr="00147D59" w:rsidRDefault="00F312B0" w:rsidP="005E19AF">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rPr>
            </w:pPr>
            <w:r w:rsidRPr="00147D59">
              <w:rPr>
                <w:rFonts w:ascii="Calibri" w:eastAsia="Times New Roman" w:hAnsi="Calibri" w:cs="Times New Roman"/>
                <w:color w:val="000000"/>
              </w:rPr>
              <w:t>240</w:t>
            </w:r>
          </w:p>
        </w:tc>
        <w:tc>
          <w:tcPr>
            <w:tcW w:w="1418" w:type="dxa"/>
          </w:tcPr>
          <w:p w:rsidR="00F312B0" w:rsidRPr="00147D59" w:rsidRDefault="00647F9B" w:rsidP="005E19AF">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rPr>
            </w:pPr>
            <w:r w:rsidRPr="00147D59">
              <w:rPr>
                <w:rFonts w:ascii="Calibri" w:eastAsia="Times New Roman" w:hAnsi="Calibri" w:cs="Times New Roman"/>
                <w:color w:val="000000"/>
              </w:rPr>
              <w:t>234</w:t>
            </w:r>
          </w:p>
        </w:tc>
      </w:tr>
    </w:tbl>
    <w:p w:rsidR="004B392E" w:rsidRPr="00147D59" w:rsidRDefault="00A05A01" w:rsidP="005E19AF">
      <w:pPr>
        <w:pStyle w:val="NoSpacing"/>
        <w:jc w:val="both"/>
        <w:rPr>
          <w:i/>
          <w:lang w:eastAsia="nl-NL"/>
        </w:rPr>
      </w:pPr>
      <w:r w:rsidRPr="00147D59">
        <w:rPr>
          <w:i/>
          <w:lang w:eastAsia="nl-NL"/>
        </w:rPr>
        <w:t>Table 4</w:t>
      </w:r>
      <w:r w:rsidR="004B392E" w:rsidRPr="00147D59">
        <w:rPr>
          <w:i/>
          <w:lang w:eastAsia="nl-NL"/>
        </w:rPr>
        <w:t>: Descriptive statistics for CAR[-1,1]</w:t>
      </w:r>
    </w:p>
    <w:p w:rsidR="009F6ACB" w:rsidRPr="00147D59" w:rsidRDefault="004B392E" w:rsidP="005E19AF">
      <w:pPr>
        <w:jc w:val="both"/>
        <w:rPr>
          <w:i/>
          <w:lang w:eastAsia="nl-NL"/>
        </w:rPr>
      </w:pPr>
      <w:r w:rsidRPr="00147D59">
        <w:rPr>
          <w:i/>
          <w:lang w:eastAsia="nl-NL"/>
        </w:rPr>
        <w:t>*P-value &lt; 0,05</w:t>
      </w:r>
    </w:p>
    <w:p w:rsidR="009F6ACB" w:rsidRPr="00147D59" w:rsidRDefault="00F312B0" w:rsidP="005E19AF">
      <w:pPr>
        <w:spacing w:line="360" w:lineRule="auto"/>
        <w:jc w:val="both"/>
        <w:rPr>
          <w:sz w:val="24"/>
          <w:lang w:eastAsia="nl-NL"/>
        </w:rPr>
      </w:pPr>
      <w:r w:rsidRPr="00147D59">
        <w:rPr>
          <w:sz w:val="24"/>
          <w:lang w:eastAsia="nl-NL"/>
        </w:rPr>
        <w:t>The main research question states to what extent abnormal returns are obtained at times of a merger or acquisition in the US Energy industry. The cumulative abnormal returns for acquiring firms are -3,66% on average. The</w:t>
      </w:r>
      <w:r w:rsidR="00647F9B" w:rsidRPr="00147D59">
        <w:rPr>
          <w:sz w:val="24"/>
          <w:lang w:eastAsia="nl-NL"/>
        </w:rPr>
        <w:t xml:space="preserve"> average</w:t>
      </w:r>
      <w:r w:rsidRPr="00147D59">
        <w:rPr>
          <w:sz w:val="24"/>
          <w:lang w:eastAsia="nl-NL"/>
        </w:rPr>
        <w:t xml:space="preserve"> cumulative abnormal returns for acquired firms are 16,49%. Also the CAR’s are added to see </w:t>
      </w:r>
      <w:r w:rsidR="00A61F82" w:rsidRPr="00147D59">
        <w:rPr>
          <w:sz w:val="24"/>
          <w:lang w:eastAsia="nl-NL"/>
        </w:rPr>
        <w:t xml:space="preserve">what the </w:t>
      </w:r>
      <w:r w:rsidR="00FE2569" w:rsidRPr="00147D59">
        <w:rPr>
          <w:sz w:val="24"/>
          <w:lang w:eastAsia="nl-NL"/>
        </w:rPr>
        <w:t>joint abnormal returns are, re</w:t>
      </w:r>
      <w:r w:rsidR="00647F9B" w:rsidRPr="00147D59">
        <w:rPr>
          <w:sz w:val="24"/>
          <w:lang w:eastAsia="nl-NL"/>
        </w:rPr>
        <w:t>lative to absolute Market Value</w:t>
      </w:r>
      <w:r w:rsidR="00FE2569" w:rsidRPr="00147D59">
        <w:rPr>
          <w:rStyle w:val="FootnoteReference"/>
          <w:sz w:val="24"/>
          <w:lang w:eastAsia="nl-NL"/>
        </w:rPr>
        <w:footnoteReference w:id="1"/>
      </w:r>
      <w:r w:rsidR="00647F9B" w:rsidRPr="00147D59">
        <w:rPr>
          <w:sz w:val="24"/>
          <w:lang w:eastAsia="nl-NL"/>
        </w:rPr>
        <w:t xml:space="preserve">. The Jointed CAR’s have an average abnormal return 1,62%. Also the target’s CAR is much more distributed than acquirer CAR and Joint CAR has the smallest distribution. </w:t>
      </w:r>
      <w:r w:rsidR="00A90581" w:rsidRPr="00147D59">
        <w:rPr>
          <w:sz w:val="24"/>
          <w:lang w:eastAsia="nl-NL"/>
        </w:rPr>
        <w:t xml:space="preserve">These results are in line with a lot of earlier literature. </w:t>
      </w:r>
      <w:r w:rsidR="009E0B26" w:rsidRPr="00147D59">
        <w:rPr>
          <w:sz w:val="24"/>
          <w:lang w:eastAsia="nl-NL"/>
        </w:rPr>
        <w:t xml:space="preserve">Dodd &amp; Ruback </w:t>
      </w:r>
      <w:sdt>
        <w:sdtPr>
          <w:rPr>
            <w:sz w:val="24"/>
            <w:lang w:eastAsia="nl-NL"/>
          </w:rPr>
          <w:id w:val="276307194"/>
          <w:citation/>
        </w:sdtPr>
        <w:sdtEndPr/>
        <w:sdtContent>
          <w:r w:rsidR="00A90581" w:rsidRPr="00147D59">
            <w:rPr>
              <w:sz w:val="24"/>
              <w:lang w:eastAsia="nl-NL"/>
            </w:rPr>
            <w:fldChar w:fldCharType="begin"/>
          </w:r>
          <w:r w:rsidR="009E0B26" w:rsidRPr="00147D59">
            <w:rPr>
              <w:sz w:val="24"/>
              <w:lang w:eastAsia="nl-NL"/>
            </w:rPr>
            <w:instrText xml:space="preserve">CITATION Dod \n  \t  \l 1043 </w:instrText>
          </w:r>
          <w:r w:rsidR="00A90581" w:rsidRPr="00147D59">
            <w:rPr>
              <w:sz w:val="24"/>
              <w:lang w:eastAsia="nl-NL"/>
            </w:rPr>
            <w:fldChar w:fldCharType="separate"/>
          </w:r>
          <w:r w:rsidR="009E0B26" w:rsidRPr="00147D59">
            <w:rPr>
              <w:noProof/>
              <w:sz w:val="24"/>
              <w:lang w:eastAsia="nl-NL"/>
            </w:rPr>
            <w:t>(1977)</w:t>
          </w:r>
          <w:r w:rsidR="00A90581" w:rsidRPr="00147D59">
            <w:rPr>
              <w:sz w:val="24"/>
              <w:lang w:eastAsia="nl-NL"/>
            </w:rPr>
            <w:fldChar w:fldCharType="end"/>
          </w:r>
        </w:sdtContent>
      </w:sdt>
      <w:r w:rsidR="00A90581" w:rsidRPr="00147D59">
        <w:rPr>
          <w:sz w:val="24"/>
          <w:lang w:eastAsia="nl-NL"/>
        </w:rPr>
        <w:t xml:space="preserve"> and</w:t>
      </w:r>
      <w:r w:rsidR="009E0B26" w:rsidRPr="00147D59">
        <w:rPr>
          <w:sz w:val="24"/>
          <w:lang w:eastAsia="nl-NL"/>
        </w:rPr>
        <w:t xml:space="preserve"> Jarrel &amp; Poulsen</w:t>
      </w:r>
      <w:r w:rsidR="00A90581" w:rsidRPr="00147D59">
        <w:rPr>
          <w:sz w:val="24"/>
          <w:lang w:eastAsia="nl-NL"/>
        </w:rPr>
        <w:t xml:space="preserve"> </w:t>
      </w:r>
      <w:sdt>
        <w:sdtPr>
          <w:rPr>
            <w:sz w:val="24"/>
            <w:lang w:eastAsia="nl-NL"/>
          </w:rPr>
          <w:id w:val="-609733205"/>
          <w:citation/>
        </w:sdtPr>
        <w:sdtEndPr/>
        <w:sdtContent>
          <w:r w:rsidR="009E0B26" w:rsidRPr="00147D59">
            <w:rPr>
              <w:sz w:val="24"/>
              <w:lang w:eastAsia="nl-NL"/>
            </w:rPr>
            <w:fldChar w:fldCharType="begin"/>
          </w:r>
          <w:r w:rsidR="009E0B26" w:rsidRPr="00147D59">
            <w:rPr>
              <w:sz w:val="24"/>
              <w:lang w:eastAsia="nl-NL"/>
            </w:rPr>
            <w:instrText xml:space="preserve">CITATION Jar89 \n  \t  \l 1043 </w:instrText>
          </w:r>
          <w:r w:rsidR="009E0B26" w:rsidRPr="00147D59">
            <w:rPr>
              <w:sz w:val="24"/>
              <w:lang w:eastAsia="nl-NL"/>
            </w:rPr>
            <w:fldChar w:fldCharType="separate"/>
          </w:r>
          <w:r w:rsidR="009E0B26" w:rsidRPr="00147D59">
            <w:rPr>
              <w:noProof/>
              <w:sz w:val="24"/>
              <w:lang w:eastAsia="nl-NL"/>
            </w:rPr>
            <w:t>(1989)</w:t>
          </w:r>
          <w:r w:rsidR="009E0B26" w:rsidRPr="00147D59">
            <w:rPr>
              <w:sz w:val="24"/>
              <w:lang w:eastAsia="nl-NL"/>
            </w:rPr>
            <w:fldChar w:fldCharType="end"/>
          </w:r>
        </w:sdtContent>
      </w:sdt>
      <w:r w:rsidR="009E0B26" w:rsidRPr="00147D59">
        <w:rPr>
          <w:sz w:val="24"/>
          <w:lang w:eastAsia="nl-NL"/>
        </w:rPr>
        <w:t xml:space="preserve"> found abnormal positive returns for targets and Jarrel and Poulsen </w:t>
      </w:r>
      <w:r w:rsidR="004324BD">
        <w:rPr>
          <w:sz w:val="24"/>
          <w:lang w:eastAsia="nl-NL"/>
        </w:rPr>
        <w:t>likewise</w:t>
      </w:r>
      <w:r w:rsidR="009E0B26" w:rsidRPr="00147D59">
        <w:rPr>
          <w:sz w:val="24"/>
          <w:lang w:eastAsia="nl-NL"/>
        </w:rPr>
        <w:t xml:space="preserve"> found slightly negative abnormal returns for acquirers. The results are </w:t>
      </w:r>
      <w:r w:rsidR="004324BD">
        <w:rPr>
          <w:sz w:val="24"/>
          <w:lang w:eastAsia="nl-NL"/>
        </w:rPr>
        <w:t>as well</w:t>
      </w:r>
      <w:r w:rsidR="009E0B26" w:rsidRPr="00147D59">
        <w:rPr>
          <w:sz w:val="24"/>
          <w:lang w:eastAsia="nl-NL"/>
        </w:rPr>
        <w:t xml:space="preserve"> in line </w:t>
      </w:r>
      <w:r w:rsidR="00F26093" w:rsidRPr="00147D59">
        <w:rPr>
          <w:sz w:val="24"/>
          <w:lang w:eastAsia="nl-NL"/>
        </w:rPr>
        <w:t>with the</w:t>
      </w:r>
      <w:r w:rsidR="009E0B26" w:rsidRPr="00147D59">
        <w:rPr>
          <w:sz w:val="24"/>
          <w:lang w:eastAsia="nl-NL"/>
        </w:rPr>
        <w:t xml:space="preserve"> research of</w:t>
      </w:r>
      <w:r w:rsidR="00F16D61" w:rsidRPr="00147D59">
        <w:rPr>
          <w:sz w:val="24"/>
          <w:lang w:eastAsia="nl-NL"/>
        </w:rPr>
        <w:t xml:space="preserve"> Bruner</w:t>
      </w:r>
      <w:r w:rsidR="009E0B26" w:rsidRPr="00147D59">
        <w:rPr>
          <w:sz w:val="24"/>
          <w:lang w:eastAsia="nl-NL"/>
        </w:rPr>
        <w:t xml:space="preserve"> </w:t>
      </w:r>
      <w:sdt>
        <w:sdtPr>
          <w:rPr>
            <w:sz w:val="24"/>
            <w:lang w:eastAsia="nl-NL"/>
          </w:rPr>
          <w:id w:val="1504780778"/>
          <w:citation/>
        </w:sdtPr>
        <w:sdtEndPr/>
        <w:sdtContent>
          <w:r w:rsidR="009E0B26" w:rsidRPr="00147D59">
            <w:rPr>
              <w:sz w:val="24"/>
              <w:lang w:eastAsia="nl-NL"/>
            </w:rPr>
            <w:fldChar w:fldCharType="begin"/>
          </w:r>
          <w:r w:rsidR="00F16D61" w:rsidRPr="00147D59">
            <w:rPr>
              <w:sz w:val="24"/>
              <w:lang w:eastAsia="nl-NL"/>
            </w:rPr>
            <w:instrText xml:space="preserve">CITATION Bru \n  \t  \l 1043 </w:instrText>
          </w:r>
          <w:r w:rsidR="009E0B26" w:rsidRPr="00147D59">
            <w:rPr>
              <w:sz w:val="24"/>
              <w:lang w:eastAsia="nl-NL"/>
            </w:rPr>
            <w:fldChar w:fldCharType="separate"/>
          </w:r>
          <w:r w:rsidR="00F16D61" w:rsidRPr="00147D59">
            <w:rPr>
              <w:noProof/>
              <w:sz w:val="24"/>
              <w:lang w:eastAsia="nl-NL"/>
            </w:rPr>
            <w:t>(2002)</w:t>
          </w:r>
          <w:r w:rsidR="009E0B26" w:rsidRPr="00147D59">
            <w:rPr>
              <w:sz w:val="24"/>
              <w:lang w:eastAsia="nl-NL"/>
            </w:rPr>
            <w:fldChar w:fldCharType="end"/>
          </w:r>
        </w:sdtContent>
      </w:sdt>
      <w:r w:rsidR="00F16D61" w:rsidRPr="00147D59">
        <w:rPr>
          <w:sz w:val="24"/>
          <w:lang w:eastAsia="nl-NL"/>
        </w:rPr>
        <w:t xml:space="preserve"> who found also positive abnormal for returns for targets and the combined abnormal returns where significantly higher than zero. </w:t>
      </w:r>
      <w:r w:rsidR="00C8095E" w:rsidRPr="00147D59">
        <w:rPr>
          <w:sz w:val="24"/>
          <w:lang w:eastAsia="nl-NL"/>
        </w:rPr>
        <w:t>The fact that the Joint CAR is significantly different from zero in a positive matter, means that value is created during the M&amp;A announcement. On average, investors expect that the NPV of these M&amp;A’s are positive</w:t>
      </w:r>
      <w:r w:rsidR="00842273" w:rsidRPr="00147D59">
        <w:rPr>
          <w:sz w:val="24"/>
          <w:lang w:eastAsia="nl-NL"/>
        </w:rPr>
        <w:t xml:space="preserve"> for the merged company.</w:t>
      </w:r>
    </w:p>
    <w:p w:rsidR="0050348F" w:rsidRPr="00147D59" w:rsidRDefault="0050348F" w:rsidP="005E19AF">
      <w:pPr>
        <w:pStyle w:val="Heading2"/>
        <w:jc w:val="both"/>
        <w:rPr>
          <w:lang w:eastAsia="nl-NL"/>
        </w:rPr>
      </w:pPr>
      <w:bookmarkStart w:id="21" w:name="_Toc13477606"/>
      <w:r w:rsidRPr="00147D59">
        <w:rPr>
          <w:lang w:eastAsia="nl-NL"/>
        </w:rPr>
        <w:lastRenderedPageBreak/>
        <w:t xml:space="preserve">4.2 </w:t>
      </w:r>
      <w:r w:rsidR="00147D59">
        <w:rPr>
          <w:lang w:eastAsia="nl-NL"/>
        </w:rPr>
        <w:t>Correlation Matrices</w:t>
      </w:r>
      <w:bookmarkEnd w:id="21"/>
    </w:p>
    <w:p w:rsidR="00147D59" w:rsidRDefault="00D042A9" w:rsidP="005E19AF">
      <w:pPr>
        <w:spacing w:line="360" w:lineRule="auto"/>
        <w:jc w:val="both"/>
        <w:rPr>
          <w:sz w:val="24"/>
          <w:lang w:eastAsia="nl-NL"/>
        </w:rPr>
      </w:pPr>
      <w:r>
        <w:rPr>
          <w:sz w:val="24"/>
          <w:lang w:eastAsia="nl-NL"/>
        </w:rPr>
        <w:t>Table C and D (appendix)</w:t>
      </w:r>
      <w:r w:rsidR="00147D59">
        <w:rPr>
          <w:sz w:val="24"/>
          <w:lang w:eastAsia="nl-NL"/>
        </w:rPr>
        <w:t xml:space="preserve"> present the Pearson Correlation matrices for the acquirer and target respectively, showing the correlation coefficients between all the independent and dependent variables. They present the power of the relationship between the dependent and independent variables. </w:t>
      </w:r>
      <w:r w:rsidR="004324BD">
        <w:rPr>
          <w:sz w:val="24"/>
          <w:lang w:eastAsia="nl-NL"/>
        </w:rPr>
        <w:t>Too</w:t>
      </w:r>
      <w:r w:rsidR="00147D59">
        <w:rPr>
          <w:sz w:val="24"/>
          <w:lang w:eastAsia="nl-NL"/>
        </w:rPr>
        <w:t xml:space="preserve"> do they give the direction of the relationship. </w:t>
      </w:r>
      <w:r w:rsidR="00C33168">
        <w:rPr>
          <w:sz w:val="24"/>
          <w:lang w:eastAsia="nl-NL"/>
        </w:rPr>
        <w:t xml:space="preserve">All the coefficients are relatively low, with the exception for ln(Market Value) and Discounted Cash Flow for both the target and the acquirer. This is somewhat logical because big companies also have greater cash flows and since it is an absolute value, it is not surprising. The low coefficients imply that there is no reason to believe that multicollinearity is present. </w:t>
      </w:r>
      <w:r w:rsidR="00815F41">
        <w:rPr>
          <w:sz w:val="24"/>
          <w:lang w:eastAsia="nl-NL"/>
        </w:rPr>
        <w:t xml:space="preserve">Of course, is there a positive relationship between the dummy for macro- and mid-industry, because a firm cannot be in the mid-industry without being in the macro-industry. </w:t>
      </w:r>
      <w:r w:rsidR="00C33168">
        <w:rPr>
          <w:sz w:val="24"/>
          <w:lang w:eastAsia="nl-NL"/>
        </w:rPr>
        <w:t>Furthermore, the purpose of the M&amp;A, Synergy effects and Shareholder Value creation does seem to have a positive relationship, which is not surprising. Often sharehold</w:t>
      </w:r>
      <w:r w:rsidR="006C31B6">
        <w:rPr>
          <w:sz w:val="24"/>
          <w:lang w:eastAsia="nl-NL"/>
        </w:rPr>
        <w:t xml:space="preserve">er value is created through economies of scale and thus synergy effects. The sign for ln(Market Value) and both the CAR’s implies a negative relationship between these two variables, which is consistent </w:t>
      </w:r>
      <w:r w:rsidR="00E27C53">
        <w:rPr>
          <w:sz w:val="24"/>
          <w:lang w:eastAsia="nl-NL"/>
        </w:rPr>
        <w:t xml:space="preserve">with hypothesis </w:t>
      </w:r>
      <w:r w:rsidR="006C31B6">
        <w:rPr>
          <w:sz w:val="24"/>
          <w:lang w:eastAsia="nl-NL"/>
        </w:rPr>
        <w:t xml:space="preserve">3. It is however too low to conclude anything yet. </w:t>
      </w:r>
    </w:p>
    <w:p w:rsidR="00DD09EE" w:rsidRDefault="00DD09EE" w:rsidP="005E19AF">
      <w:pPr>
        <w:pStyle w:val="Heading2"/>
        <w:jc w:val="both"/>
        <w:rPr>
          <w:lang w:eastAsia="nl-NL"/>
        </w:rPr>
      </w:pPr>
      <w:bookmarkStart w:id="22" w:name="_Toc13477607"/>
      <w:r>
        <w:rPr>
          <w:lang w:eastAsia="nl-NL"/>
        </w:rPr>
        <w:t>4.3 Regression Analysis</w:t>
      </w:r>
      <w:bookmarkEnd w:id="22"/>
    </w:p>
    <w:p w:rsidR="00F56E1B" w:rsidRPr="00147D59" w:rsidRDefault="0050348F" w:rsidP="005E19AF">
      <w:pPr>
        <w:spacing w:line="360" w:lineRule="auto"/>
        <w:jc w:val="both"/>
        <w:rPr>
          <w:sz w:val="24"/>
          <w:lang w:eastAsia="nl-NL"/>
        </w:rPr>
      </w:pPr>
      <w:r w:rsidRPr="00147D59">
        <w:rPr>
          <w:sz w:val="24"/>
          <w:lang w:eastAsia="nl-NL"/>
        </w:rPr>
        <w:t>With the knowledge that abnormal returns exist at times of a</w:t>
      </w:r>
      <w:r w:rsidR="00CD1D05" w:rsidRPr="00147D59">
        <w:rPr>
          <w:sz w:val="24"/>
          <w:lang w:eastAsia="nl-NL"/>
        </w:rPr>
        <w:t xml:space="preserve"> M&amp;A a</w:t>
      </w:r>
      <w:r w:rsidR="007B3428">
        <w:rPr>
          <w:sz w:val="24"/>
          <w:lang w:eastAsia="nl-NL"/>
        </w:rPr>
        <w:t>nnouncement, now the hypothese</w:t>
      </w:r>
      <w:r w:rsidR="00CD1D05" w:rsidRPr="00147D59">
        <w:rPr>
          <w:sz w:val="24"/>
          <w:lang w:eastAsia="nl-NL"/>
        </w:rPr>
        <w:t xml:space="preserve">s can be tested. It has been found that the abnormal returns for bidders are negative and the abnormal returns for targets are positive. The objective is to know where these announcement effects come from. </w:t>
      </w:r>
      <w:r w:rsidR="00D27088" w:rsidRPr="00147D59">
        <w:rPr>
          <w:sz w:val="24"/>
          <w:lang w:eastAsia="nl-NL"/>
        </w:rPr>
        <w:t>The CAR will be regressed against the earlier explained determinants and will be tested for</w:t>
      </w:r>
      <w:r w:rsidR="006C31B6">
        <w:rPr>
          <w:sz w:val="24"/>
          <w:lang w:eastAsia="nl-NL"/>
        </w:rPr>
        <w:t xml:space="preserve"> significance</w:t>
      </w:r>
      <w:r w:rsidR="0040644B" w:rsidRPr="00147D59">
        <w:rPr>
          <w:sz w:val="24"/>
          <w:lang w:eastAsia="nl-NL"/>
        </w:rPr>
        <w:t xml:space="preserve">. </w:t>
      </w:r>
      <w:r w:rsidR="004400B2" w:rsidRPr="00147D59">
        <w:rPr>
          <w:sz w:val="24"/>
          <w:lang w:eastAsia="nl-NL"/>
        </w:rPr>
        <w:t xml:space="preserve">All coefficients are regressed with fixed-year effects to account for </w:t>
      </w:r>
      <w:r w:rsidR="00786540">
        <w:rPr>
          <w:sz w:val="24"/>
          <w:lang w:eastAsia="nl-NL"/>
        </w:rPr>
        <w:t>clustered standard errors</w:t>
      </w:r>
      <w:r w:rsidR="004400B2" w:rsidRPr="00147D59">
        <w:rPr>
          <w:sz w:val="24"/>
          <w:lang w:eastAsia="nl-NL"/>
        </w:rPr>
        <w:t>.</w:t>
      </w:r>
      <w:r w:rsidR="00D042A9">
        <w:rPr>
          <w:sz w:val="24"/>
          <w:lang w:eastAsia="nl-NL"/>
        </w:rPr>
        <w:t xml:space="preserve"> Table 5</w:t>
      </w:r>
      <w:r w:rsidR="00786540">
        <w:rPr>
          <w:sz w:val="24"/>
          <w:lang w:eastAsia="nl-NL"/>
        </w:rPr>
        <w:t xml:space="preserve"> gives the result</w:t>
      </w:r>
      <w:r w:rsidR="00E27C53">
        <w:rPr>
          <w:sz w:val="24"/>
          <w:lang w:eastAsia="nl-NL"/>
        </w:rPr>
        <w:t>s of the regression analyses</w:t>
      </w:r>
      <w:r w:rsidR="00786540">
        <w:rPr>
          <w:sz w:val="24"/>
          <w:lang w:eastAsia="nl-NL"/>
        </w:rPr>
        <w:t xml:space="preserve"> for the acquirer-, target and joint CAR for one day before the announcement to one day after the announcement. </w:t>
      </w:r>
    </w:p>
    <w:p w:rsidR="00171193" w:rsidRDefault="00E27C53" w:rsidP="005E19AF">
      <w:pPr>
        <w:spacing w:line="360" w:lineRule="auto"/>
        <w:jc w:val="both"/>
        <w:rPr>
          <w:sz w:val="24"/>
          <w:lang w:eastAsia="nl-NL"/>
        </w:rPr>
      </w:pPr>
      <w:r>
        <w:rPr>
          <w:sz w:val="24"/>
          <w:lang w:eastAsia="nl-NL"/>
        </w:rPr>
        <w:t xml:space="preserve">The dummy for macro-industry is weakly significant for explaining the abnormal returns for the acquirers. This means that merging in the Energy sector has an positive effect for stock prices and can explain 3,3% of the CAR for the acquirers when the target is also active in the Energy industry. This consistent with hypothesis 1, which states that merging in the same industry has </w:t>
      </w:r>
      <w:r>
        <w:rPr>
          <w:sz w:val="24"/>
          <w:lang w:eastAsia="nl-NL"/>
        </w:rPr>
        <w:lastRenderedPageBreak/>
        <w:t>a positive effect on abnormal returns. Surprisingly, cash as payment method seems to have negative effect on abnormal returns for acquirers, but it is both statistically and economically</w:t>
      </w:r>
      <w:r w:rsidR="004324BD">
        <w:rPr>
          <w:sz w:val="24"/>
          <w:lang w:eastAsia="nl-NL"/>
        </w:rPr>
        <w:t xml:space="preserve"> insignificant,</w:t>
      </w:r>
      <w:r>
        <w:rPr>
          <w:sz w:val="24"/>
          <w:lang w:eastAsia="nl-NL"/>
        </w:rPr>
        <w:t xml:space="preserve"> with a co</w:t>
      </w:r>
      <w:r w:rsidR="004324BD">
        <w:rPr>
          <w:sz w:val="24"/>
          <w:lang w:eastAsia="nl-NL"/>
        </w:rPr>
        <w:t>efficient of 0,3%</w:t>
      </w:r>
      <w:r>
        <w:rPr>
          <w:sz w:val="24"/>
          <w:lang w:eastAsia="nl-NL"/>
        </w:rPr>
        <w:t xml:space="preserve">. As we expected from the correlation matrix, the natural logarithm of market value has a negative effect on abnormal returns, however it is both economically and </w:t>
      </w:r>
      <w:r w:rsidR="00E42471">
        <w:rPr>
          <w:sz w:val="24"/>
          <w:lang w:eastAsia="nl-NL"/>
        </w:rPr>
        <w:t xml:space="preserve">statistically insignificant for </w:t>
      </w:r>
      <w:r w:rsidR="00171193">
        <w:rPr>
          <w:sz w:val="24"/>
          <w:lang w:eastAsia="nl-NL"/>
        </w:rPr>
        <w:t xml:space="preserve">the </w:t>
      </w:r>
      <w:r w:rsidR="00E42471">
        <w:rPr>
          <w:sz w:val="24"/>
          <w:lang w:eastAsia="nl-NL"/>
        </w:rPr>
        <w:t xml:space="preserve">acquirers. But when looking at the Joint CAR, there is indeed a statistically and economically significant relationship of minus 3,3% between the abnormal returns and relative market value. </w:t>
      </w:r>
      <w:r w:rsidR="00171193">
        <w:rPr>
          <w:sz w:val="24"/>
          <w:lang w:eastAsia="nl-NL"/>
        </w:rPr>
        <w:t xml:space="preserve">There are no variables which can explain the </w:t>
      </w:r>
    </w:p>
    <w:p w:rsidR="0040644B" w:rsidRDefault="00171193" w:rsidP="005E19AF">
      <w:pPr>
        <w:spacing w:line="360" w:lineRule="auto"/>
        <w:jc w:val="both"/>
        <w:rPr>
          <w:sz w:val="24"/>
          <w:lang w:eastAsia="nl-NL"/>
        </w:rPr>
      </w:pPr>
      <w:r>
        <w:rPr>
          <w:sz w:val="24"/>
          <w:lang w:eastAsia="nl-NL"/>
        </w:rPr>
        <w:t>CAR for the targets significantly. What we do</w:t>
      </w:r>
      <w:r w:rsidR="00E42471">
        <w:rPr>
          <w:sz w:val="24"/>
          <w:lang w:eastAsia="nl-NL"/>
        </w:rPr>
        <w:t xml:space="preserve"> find</w:t>
      </w:r>
      <w:r>
        <w:rPr>
          <w:sz w:val="24"/>
          <w:lang w:eastAsia="nl-NL"/>
        </w:rPr>
        <w:t xml:space="preserve"> are</w:t>
      </w:r>
      <w:r w:rsidR="00E42471">
        <w:rPr>
          <w:sz w:val="24"/>
          <w:lang w:eastAsia="nl-NL"/>
        </w:rPr>
        <w:t xml:space="preserve"> positive constants for Target CAR and Joint CAR, which is not surprising, because they were also significant when tested without the variables. In combination with the R-squared for all the CAR’s, which do not exceed the 0,14</w:t>
      </w:r>
      <w:r>
        <w:rPr>
          <w:sz w:val="24"/>
          <w:lang w:eastAsia="nl-NL"/>
        </w:rPr>
        <w:t xml:space="preserve">, it becomes clear that a lot of the abnormal returns cannot be explained with the variables used in this research. </w:t>
      </w:r>
    </w:p>
    <w:p w:rsidR="00171193" w:rsidRPr="00147D59" w:rsidRDefault="00DD09EE" w:rsidP="005E19AF">
      <w:pPr>
        <w:pStyle w:val="Heading2"/>
        <w:jc w:val="both"/>
      </w:pPr>
      <w:bookmarkStart w:id="23" w:name="_Toc13477608"/>
      <w:r>
        <w:t>4.4</w:t>
      </w:r>
      <w:r w:rsidR="00171193" w:rsidRPr="00147D59">
        <w:t xml:space="preserve"> Robustness checks</w:t>
      </w:r>
      <w:bookmarkEnd w:id="23"/>
    </w:p>
    <w:p w:rsidR="00815F41" w:rsidRDefault="00D042A9" w:rsidP="005E19AF">
      <w:pPr>
        <w:spacing w:line="360" w:lineRule="auto"/>
        <w:jc w:val="both"/>
        <w:rPr>
          <w:sz w:val="24"/>
          <w:lang w:eastAsia="nl-NL"/>
        </w:rPr>
      </w:pPr>
      <w:r>
        <w:rPr>
          <w:sz w:val="24"/>
          <w:lang w:eastAsia="nl-NL"/>
        </w:rPr>
        <w:t>In table E (appendix)</w:t>
      </w:r>
      <w:r w:rsidR="00904BDE">
        <w:rPr>
          <w:sz w:val="24"/>
          <w:lang w:eastAsia="nl-NL"/>
        </w:rPr>
        <w:t xml:space="preserve"> the multivariate regression is repeated with robust standard errors. The dummy for macro-industry for acquirers is still positive and somehow related to the non-robust regression, but is now significant. This implies that heteroscedasticity is still interfering with the variables and fixed year effects do not resolve the problem of heteroscedasticity. This is also found when looking at the effect of the natural logarithm of market value on the joint CAR. This means that the coefficients are not efficient when using normal standard errors. However, other coefficients become significant when using robust standard errors. </w:t>
      </w:r>
      <w:r w:rsidR="00822C79">
        <w:rPr>
          <w:sz w:val="24"/>
          <w:lang w:eastAsia="nl-NL"/>
        </w:rPr>
        <w:t>Market-to-book value becomes significant at a 5% level, however the coefficient is with 0,07% and 0,09% for the acquirer and the joint CAR respectively not economically significant to make any difference. The dummy for macro-industry is significant with 5,4% when the CAR’s are combined, which means that hypothesis 1 will not be rejected just yet.</w:t>
      </w:r>
      <w:r w:rsidR="00DD09EE">
        <w:rPr>
          <w:sz w:val="24"/>
          <w:lang w:eastAsia="nl-NL"/>
        </w:rPr>
        <w:t xml:space="preserve"> Contradictory, the dummy for mid-industry has a negative effect on abnormal returns of 3,8% on acquirer abnormal returns.</w:t>
      </w:r>
      <w:r w:rsidR="00822C79">
        <w:rPr>
          <w:sz w:val="24"/>
          <w:lang w:eastAsia="nl-NL"/>
        </w:rPr>
        <w:t xml:space="preserve"> The Price/Earnings ratio for explaining target abnormal returns is statistically significant, however not economically. The dummy for product expansion as purpose is weakly significant at a 10% level, having a negative effect on the acquirers abnormal returns of 5,2%. </w:t>
      </w:r>
    </w:p>
    <w:p w:rsidR="00815F41" w:rsidRDefault="00D042A9" w:rsidP="005E19AF">
      <w:pPr>
        <w:spacing w:line="276" w:lineRule="auto"/>
        <w:jc w:val="both"/>
        <w:rPr>
          <w:rFonts w:cstheme="minorHAnsi"/>
          <w:b/>
          <w:sz w:val="24"/>
          <w:szCs w:val="20"/>
        </w:rPr>
      </w:pPr>
      <w:r>
        <w:rPr>
          <w:rFonts w:cstheme="minorHAnsi"/>
          <w:b/>
          <w:sz w:val="24"/>
          <w:szCs w:val="20"/>
        </w:rPr>
        <w:lastRenderedPageBreak/>
        <w:t>Table 5</w:t>
      </w:r>
      <w:r w:rsidR="00815F41">
        <w:rPr>
          <w:rFonts w:cstheme="minorHAnsi"/>
          <w:b/>
          <w:sz w:val="24"/>
          <w:szCs w:val="20"/>
        </w:rPr>
        <w:t>: Regression results – Cumulative Abnormal Returns [-1, 1]</w:t>
      </w:r>
    </w:p>
    <w:tbl>
      <w:tblPr>
        <w:tblpPr w:leftFromText="180" w:rightFromText="180" w:vertAnchor="page" w:horzAnchor="margin" w:tblpXSpec="center" w:tblpY="3709"/>
        <w:tblW w:w="9498" w:type="dxa"/>
        <w:tblLook w:val="04A0" w:firstRow="1" w:lastRow="0" w:firstColumn="1" w:lastColumn="0" w:noHBand="0" w:noVBand="1"/>
      </w:tblPr>
      <w:tblGrid>
        <w:gridCol w:w="3119"/>
        <w:gridCol w:w="2268"/>
        <w:gridCol w:w="2126"/>
        <w:gridCol w:w="1985"/>
      </w:tblGrid>
      <w:tr w:rsidR="00815F41" w:rsidRPr="00EF3E14" w:rsidTr="00815F41">
        <w:trPr>
          <w:trHeight w:val="255"/>
        </w:trPr>
        <w:tc>
          <w:tcPr>
            <w:tcW w:w="3119" w:type="dxa"/>
            <w:tcBorders>
              <w:top w:val="nil"/>
              <w:left w:val="nil"/>
              <w:bottom w:val="nil"/>
              <w:right w:val="nil"/>
            </w:tcBorders>
            <w:shd w:val="clear" w:color="auto" w:fill="auto"/>
            <w:noWrap/>
            <w:vAlign w:val="bottom"/>
            <w:hideMark/>
          </w:tcPr>
          <w:p w:rsidR="00815F41" w:rsidRPr="00EF3E14" w:rsidRDefault="00815F41" w:rsidP="005E19AF">
            <w:pPr>
              <w:spacing w:after="0" w:line="276" w:lineRule="auto"/>
              <w:jc w:val="both"/>
              <w:rPr>
                <w:rFonts w:eastAsia="Times New Roman" w:cstheme="minorHAnsi"/>
                <w:b/>
                <w:sz w:val="20"/>
                <w:szCs w:val="20"/>
              </w:rPr>
            </w:pPr>
            <w:r w:rsidRPr="00EF3E14">
              <w:rPr>
                <w:rFonts w:eastAsia="Times New Roman" w:cstheme="minorHAnsi"/>
                <w:b/>
                <w:sz w:val="20"/>
                <w:szCs w:val="20"/>
              </w:rPr>
              <w:t>VARIABLES</w:t>
            </w:r>
          </w:p>
        </w:tc>
        <w:tc>
          <w:tcPr>
            <w:tcW w:w="2268" w:type="dxa"/>
            <w:tcBorders>
              <w:top w:val="nil"/>
              <w:left w:val="nil"/>
              <w:bottom w:val="nil"/>
              <w:right w:val="nil"/>
            </w:tcBorders>
            <w:shd w:val="clear" w:color="auto" w:fill="auto"/>
            <w:noWrap/>
            <w:vAlign w:val="bottom"/>
            <w:hideMark/>
          </w:tcPr>
          <w:p w:rsidR="00815F41" w:rsidRPr="00EF3E14" w:rsidRDefault="00815F41" w:rsidP="005E19AF">
            <w:pPr>
              <w:spacing w:after="0" w:line="276" w:lineRule="auto"/>
              <w:jc w:val="both"/>
              <w:rPr>
                <w:rFonts w:eastAsia="Times New Roman" w:cstheme="minorHAnsi"/>
                <w:b/>
                <w:sz w:val="20"/>
                <w:szCs w:val="20"/>
              </w:rPr>
            </w:pPr>
            <w:r w:rsidRPr="00EF3E14">
              <w:rPr>
                <w:rFonts w:eastAsia="Times New Roman" w:cstheme="minorHAnsi"/>
                <w:b/>
                <w:sz w:val="20"/>
                <w:szCs w:val="20"/>
              </w:rPr>
              <w:t>Acquirer CAR [-1,1]</w:t>
            </w:r>
          </w:p>
        </w:tc>
        <w:tc>
          <w:tcPr>
            <w:tcW w:w="2126" w:type="dxa"/>
            <w:tcBorders>
              <w:top w:val="nil"/>
              <w:left w:val="nil"/>
              <w:bottom w:val="nil"/>
              <w:right w:val="nil"/>
            </w:tcBorders>
            <w:shd w:val="clear" w:color="auto" w:fill="auto"/>
            <w:noWrap/>
            <w:vAlign w:val="bottom"/>
            <w:hideMark/>
          </w:tcPr>
          <w:p w:rsidR="00815F41" w:rsidRPr="00EF3E14" w:rsidRDefault="00815F41" w:rsidP="005E19AF">
            <w:pPr>
              <w:spacing w:after="0" w:line="276" w:lineRule="auto"/>
              <w:jc w:val="both"/>
              <w:rPr>
                <w:rFonts w:eastAsia="Times New Roman" w:cstheme="minorHAnsi"/>
                <w:b/>
                <w:sz w:val="20"/>
                <w:szCs w:val="20"/>
              </w:rPr>
            </w:pPr>
            <w:r w:rsidRPr="00EF3E14">
              <w:rPr>
                <w:rFonts w:eastAsia="Times New Roman" w:cstheme="minorHAnsi"/>
                <w:b/>
                <w:sz w:val="20"/>
                <w:szCs w:val="20"/>
              </w:rPr>
              <w:t>Target CAR [-1,1]</w:t>
            </w:r>
          </w:p>
        </w:tc>
        <w:tc>
          <w:tcPr>
            <w:tcW w:w="1985" w:type="dxa"/>
            <w:tcBorders>
              <w:top w:val="nil"/>
              <w:left w:val="nil"/>
              <w:bottom w:val="nil"/>
              <w:right w:val="nil"/>
            </w:tcBorders>
            <w:shd w:val="clear" w:color="auto" w:fill="auto"/>
            <w:noWrap/>
            <w:vAlign w:val="bottom"/>
            <w:hideMark/>
          </w:tcPr>
          <w:p w:rsidR="00815F41" w:rsidRPr="00EF3E14" w:rsidRDefault="00815F41" w:rsidP="005E19AF">
            <w:pPr>
              <w:spacing w:after="0" w:line="276" w:lineRule="auto"/>
              <w:jc w:val="both"/>
              <w:rPr>
                <w:rFonts w:eastAsia="Times New Roman" w:cstheme="minorHAnsi"/>
                <w:b/>
                <w:sz w:val="20"/>
                <w:szCs w:val="20"/>
              </w:rPr>
            </w:pPr>
            <w:r w:rsidRPr="00EF3E14">
              <w:rPr>
                <w:rFonts w:eastAsia="Times New Roman" w:cstheme="minorHAnsi"/>
                <w:b/>
                <w:sz w:val="20"/>
                <w:szCs w:val="20"/>
              </w:rPr>
              <w:t>Joint CAR [-1,1]</w:t>
            </w:r>
          </w:p>
        </w:tc>
      </w:tr>
      <w:tr w:rsidR="00815F41" w:rsidRPr="00A9000B" w:rsidTr="00815F41">
        <w:trPr>
          <w:trHeight w:val="255"/>
        </w:trPr>
        <w:tc>
          <w:tcPr>
            <w:tcW w:w="3119" w:type="dxa"/>
            <w:tcBorders>
              <w:top w:val="single" w:sz="4" w:space="0" w:color="000000"/>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 </w:t>
            </w:r>
          </w:p>
        </w:tc>
        <w:tc>
          <w:tcPr>
            <w:tcW w:w="2268" w:type="dxa"/>
            <w:tcBorders>
              <w:top w:val="single" w:sz="4" w:space="0" w:color="000000"/>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 </w:t>
            </w:r>
          </w:p>
        </w:tc>
        <w:tc>
          <w:tcPr>
            <w:tcW w:w="2126" w:type="dxa"/>
            <w:tcBorders>
              <w:top w:val="single" w:sz="4" w:space="0" w:color="000000"/>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 </w:t>
            </w:r>
          </w:p>
        </w:tc>
        <w:tc>
          <w:tcPr>
            <w:tcW w:w="1985" w:type="dxa"/>
            <w:tcBorders>
              <w:top w:val="single" w:sz="4" w:space="0" w:color="000000"/>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 </w:t>
            </w:r>
          </w:p>
        </w:tc>
      </w:tr>
      <w:tr w:rsidR="00815F41" w:rsidRPr="00A9000B" w:rsidTr="00815F41">
        <w:trPr>
          <w:trHeight w:val="255"/>
        </w:trPr>
        <w:tc>
          <w:tcPr>
            <w:tcW w:w="3119"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Earnings per Share</w:t>
            </w:r>
          </w:p>
        </w:tc>
        <w:tc>
          <w:tcPr>
            <w:tcW w:w="2268"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7.10e-05</w:t>
            </w:r>
          </w:p>
        </w:tc>
        <w:tc>
          <w:tcPr>
            <w:tcW w:w="2126"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0.00663</w:t>
            </w:r>
          </w:p>
        </w:tc>
        <w:tc>
          <w:tcPr>
            <w:tcW w:w="1985"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-9.07e-05</w:t>
            </w:r>
          </w:p>
        </w:tc>
      </w:tr>
      <w:tr w:rsidR="00815F41" w:rsidRPr="00A9000B" w:rsidTr="00815F41">
        <w:trPr>
          <w:trHeight w:val="255"/>
        </w:trPr>
        <w:tc>
          <w:tcPr>
            <w:tcW w:w="3119"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p>
        </w:tc>
        <w:tc>
          <w:tcPr>
            <w:tcW w:w="2268"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Pr>
                <w:rFonts w:eastAsia="Times New Roman" w:cstheme="minorHAnsi"/>
                <w:sz w:val="20"/>
                <w:szCs w:val="20"/>
              </w:rPr>
              <w:t>(0.000</w:t>
            </w:r>
            <w:r w:rsidRPr="004C6782">
              <w:rPr>
                <w:rFonts w:eastAsia="Times New Roman" w:cstheme="minorHAnsi"/>
                <w:sz w:val="20"/>
                <w:szCs w:val="20"/>
              </w:rPr>
              <w:t>)</w:t>
            </w:r>
          </w:p>
        </w:tc>
        <w:tc>
          <w:tcPr>
            <w:tcW w:w="2126"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(0.0130)</w:t>
            </w:r>
          </w:p>
        </w:tc>
        <w:tc>
          <w:tcPr>
            <w:tcW w:w="1985"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Pr>
                <w:rFonts w:eastAsia="Times New Roman" w:cstheme="minorHAnsi"/>
                <w:sz w:val="20"/>
                <w:szCs w:val="20"/>
              </w:rPr>
              <w:t>(0.000)</w:t>
            </w:r>
          </w:p>
        </w:tc>
      </w:tr>
      <w:tr w:rsidR="00815F41" w:rsidRPr="00A9000B" w:rsidTr="00815F41">
        <w:trPr>
          <w:trHeight w:val="255"/>
        </w:trPr>
        <w:tc>
          <w:tcPr>
            <w:tcW w:w="3119"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Market to book value</w:t>
            </w:r>
          </w:p>
        </w:tc>
        <w:tc>
          <w:tcPr>
            <w:tcW w:w="2268"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0.000464</w:t>
            </w:r>
          </w:p>
        </w:tc>
        <w:tc>
          <w:tcPr>
            <w:tcW w:w="2126"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-0.00372</w:t>
            </w:r>
          </w:p>
        </w:tc>
        <w:tc>
          <w:tcPr>
            <w:tcW w:w="1985"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0.000682</w:t>
            </w:r>
          </w:p>
        </w:tc>
      </w:tr>
      <w:tr w:rsidR="00815F41" w:rsidRPr="00A9000B" w:rsidTr="00815F41">
        <w:trPr>
          <w:trHeight w:val="255"/>
        </w:trPr>
        <w:tc>
          <w:tcPr>
            <w:tcW w:w="3119"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p>
        </w:tc>
        <w:tc>
          <w:tcPr>
            <w:tcW w:w="2268"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Pr>
                <w:rFonts w:eastAsia="Times New Roman" w:cstheme="minorHAnsi"/>
                <w:sz w:val="20"/>
                <w:szCs w:val="20"/>
              </w:rPr>
              <w:t>(0.0005</w:t>
            </w:r>
            <w:r w:rsidRPr="004C6782">
              <w:rPr>
                <w:rFonts w:eastAsia="Times New Roman" w:cstheme="minorHAnsi"/>
                <w:sz w:val="20"/>
                <w:szCs w:val="20"/>
              </w:rPr>
              <w:t>)</w:t>
            </w:r>
          </w:p>
        </w:tc>
        <w:tc>
          <w:tcPr>
            <w:tcW w:w="2126"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(0.00853)</w:t>
            </w:r>
          </w:p>
        </w:tc>
        <w:tc>
          <w:tcPr>
            <w:tcW w:w="1985"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Pr>
                <w:rFonts w:eastAsia="Times New Roman" w:cstheme="minorHAnsi"/>
                <w:sz w:val="20"/>
                <w:szCs w:val="20"/>
              </w:rPr>
              <w:t>(0.001</w:t>
            </w:r>
            <w:r w:rsidRPr="004C6782">
              <w:rPr>
                <w:rFonts w:eastAsia="Times New Roman" w:cstheme="minorHAnsi"/>
                <w:sz w:val="20"/>
                <w:szCs w:val="20"/>
              </w:rPr>
              <w:t>)</w:t>
            </w:r>
          </w:p>
        </w:tc>
      </w:tr>
      <w:tr w:rsidR="00815F41" w:rsidRPr="00A9000B" w:rsidTr="00815F41">
        <w:trPr>
          <w:trHeight w:val="255"/>
        </w:trPr>
        <w:tc>
          <w:tcPr>
            <w:tcW w:w="3119"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ln(Market Value)</w:t>
            </w:r>
          </w:p>
        </w:tc>
        <w:tc>
          <w:tcPr>
            <w:tcW w:w="2268"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-0.00906</w:t>
            </w:r>
          </w:p>
        </w:tc>
        <w:tc>
          <w:tcPr>
            <w:tcW w:w="2126"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-0.0240</w:t>
            </w:r>
          </w:p>
        </w:tc>
        <w:tc>
          <w:tcPr>
            <w:tcW w:w="1985"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-0.0325**</w:t>
            </w:r>
          </w:p>
        </w:tc>
      </w:tr>
      <w:tr w:rsidR="00815F41" w:rsidRPr="00A9000B" w:rsidTr="00815F41">
        <w:trPr>
          <w:trHeight w:val="255"/>
        </w:trPr>
        <w:tc>
          <w:tcPr>
            <w:tcW w:w="3119"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p>
        </w:tc>
        <w:tc>
          <w:tcPr>
            <w:tcW w:w="2268"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Pr>
                <w:rFonts w:eastAsia="Times New Roman" w:cstheme="minorHAnsi"/>
                <w:sz w:val="20"/>
                <w:szCs w:val="20"/>
              </w:rPr>
              <w:t>(0.0081</w:t>
            </w:r>
            <w:r w:rsidRPr="004C6782">
              <w:rPr>
                <w:rFonts w:eastAsia="Times New Roman" w:cstheme="minorHAnsi"/>
                <w:sz w:val="20"/>
                <w:szCs w:val="20"/>
              </w:rPr>
              <w:t>)</w:t>
            </w:r>
          </w:p>
        </w:tc>
        <w:tc>
          <w:tcPr>
            <w:tcW w:w="2126"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(0.0228)</w:t>
            </w:r>
          </w:p>
        </w:tc>
        <w:tc>
          <w:tcPr>
            <w:tcW w:w="1985"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(0.0137)</w:t>
            </w:r>
          </w:p>
        </w:tc>
      </w:tr>
      <w:tr w:rsidR="00815F41" w:rsidRPr="00A9000B" w:rsidTr="00815F41">
        <w:trPr>
          <w:trHeight w:val="255"/>
        </w:trPr>
        <w:tc>
          <w:tcPr>
            <w:tcW w:w="3119"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Discounted Cash</w:t>
            </w:r>
            <w:r>
              <w:rPr>
                <w:rFonts w:eastAsia="Times New Roman" w:cstheme="minorHAnsi"/>
                <w:sz w:val="20"/>
                <w:szCs w:val="20"/>
              </w:rPr>
              <w:t xml:space="preserve"> F</w:t>
            </w:r>
            <w:r w:rsidRPr="004C6782">
              <w:rPr>
                <w:rFonts w:eastAsia="Times New Roman" w:cstheme="minorHAnsi"/>
                <w:sz w:val="20"/>
                <w:szCs w:val="20"/>
              </w:rPr>
              <w:t>low</w:t>
            </w:r>
          </w:p>
        </w:tc>
        <w:tc>
          <w:tcPr>
            <w:tcW w:w="2268"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6.18e-09</w:t>
            </w:r>
          </w:p>
        </w:tc>
        <w:tc>
          <w:tcPr>
            <w:tcW w:w="2126"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5.59e-09</w:t>
            </w:r>
          </w:p>
        </w:tc>
        <w:tc>
          <w:tcPr>
            <w:tcW w:w="1985"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4.60e-09</w:t>
            </w:r>
          </w:p>
        </w:tc>
      </w:tr>
      <w:tr w:rsidR="00815F41" w:rsidRPr="00A9000B" w:rsidTr="00815F41">
        <w:trPr>
          <w:trHeight w:val="255"/>
        </w:trPr>
        <w:tc>
          <w:tcPr>
            <w:tcW w:w="3119"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p>
        </w:tc>
        <w:tc>
          <w:tcPr>
            <w:tcW w:w="2268"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(5.91e-09)</w:t>
            </w:r>
          </w:p>
        </w:tc>
        <w:tc>
          <w:tcPr>
            <w:tcW w:w="2126"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(4.22e-08)</w:t>
            </w:r>
          </w:p>
        </w:tc>
        <w:tc>
          <w:tcPr>
            <w:tcW w:w="1985"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(9.08e-09)</w:t>
            </w:r>
          </w:p>
        </w:tc>
      </w:tr>
      <w:tr w:rsidR="00815F41" w:rsidRPr="00A9000B" w:rsidTr="00815F41">
        <w:trPr>
          <w:trHeight w:val="255"/>
        </w:trPr>
        <w:tc>
          <w:tcPr>
            <w:tcW w:w="3119"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Price/Earnings</w:t>
            </w:r>
          </w:p>
        </w:tc>
        <w:tc>
          <w:tcPr>
            <w:tcW w:w="2268"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-1.37e-05</w:t>
            </w:r>
          </w:p>
        </w:tc>
        <w:tc>
          <w:tcPr>
            <w:tcW w:w="2126"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-0.00101</w:t>
            </w:r>
          </w:p>
        </w:tc>
        <w:tc>
          <w:tcPr>
            <w:tcW w:w="1985"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-6.74e-05</w:t>
            </w:r>
          </w:p>
        </w:tc>
      </w:tr>
      <w:tr w:rsidR="00815F41" w:rsidRPr="00A9000B" w:rsidTr="00815F41">
        <w:trPr>
          <w:trHeight w:val="255"/>
        </w:trPr>
        <w:tc>
          <w:tcPr>
            <w:tcW w:w="3119"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p>
        </w:tc>
        <w:tc>
          <w:tcPr>
            <w:tcW w:w="2268"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(4.06e-05)</w:t>
            </w:r>
          </w:p>
        </w:tc>
        <w:tc>
          <w:tcPr>
            <w:tcW w:w="2126"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Pr>
                <w:rFonts w:eastAsia="Times New Roman" w:cstheme="minorHAnsi"/>
                <w:sz w:val="20"/>
                <w:szCs w:val="20"/>
              </w:rPr>
              <w:t>(0.001</w:t>
            </w:r>
            <w:r w:rsidRPr="004C6782">
              <w:rPr>
                <w:rFonts w:eastAsia="Times New Roman" w:cstheme="minorHAnsi"/>
                <w:sz w:val="20"/>
                <w:szCs w:val="20"/>
              </w:rPr>
              <w:t>)</w:t>
            </w:r>
          </w:p>
        </w:tc>
        <w:tc>
          <w:tcPr>
            <w:tcW w:w="1985"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(4.88e-05)</w:t>
            </w:r>
          </w:p>
        </w:tc>
      </w:tr>
      <w:tr w:rsidR="00815F41" w:rsidRPr="00A9000B" w:rsidTr="00815F41">
        <w:trPr>
          <w:trHeight w:val="255"/>
        </w:trPr>
        <w:tc>
          <w:tcPr>
            <w:tcW w:w="3119"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Dummy Stock</w:t>
            </w:r>
          </w:p>
        </w:tc>
        <w:tc>
          <w:tcPr>
            <w:tcW w:w="2268"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0.0253</w:t>
            </w:r>
          </w:p>
        </w:tc>
        <w:tc>
          <w:tcPr>
            <w:tcW w:w="2126"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0.0344</w:t>
            </w:r>
          </w:p>
        </w:tc>
        <w:tc>
          <w:tcPr>
            <w:tcW w:w="1985"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0.0290</w:t>
            </w:r>
          </w:p>
        </w:tc>
      </w:tr>
      <w:tr w:rsidR="00815F41" w:rsidRPr="00A9000B" w:rsidTr="00815F41">
        <w:trPr>
          <w:trHeight w:val="255"/>
        </w:trPr>
        <w:tc>
          <w:tcPr>
            <w:tcW w:w="3119"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p>
        </w:tc>
        <w:tc>
          <w:tcPr>
            <w:tcW w:w="2268"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(0.0173)</w:t>
            </w:r>
          </w:p>
        </w:tc>
        <w:tc>
          <w:tcPr>
            <w:tcW w:w="2126"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(0.0532)</w:t>
            </w:r>
          </w:p>
        </w:tc>
        <w:tc>
          <w:tcPr>
            <w:tcW w:w="1985"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(0.0265)</w:t>
            </w:r>
          </w:p>
        </w:tc>
      </w:tr>
      <w:tr w:rsidR="00815F41" w:rsidRPr="00A9000B" w:rsidTr="00815F41">
        <w:trPr>
          <w:trHeight w:val="255"/>
        </w:trPr>
        <w:tc>
          <w:tcPr>
            <w:tcW w:w="3119"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Dummy Cash</w:t>
            </w:r>
          </w:p>
        </w:tc>
        <w:tc>
          <w:tcPr>
            <w:tcW w:w="2268"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-0.00331</w:t>
            </w:r>
          </w:p>
        </w:tc>
        <w:tc>
          <w:tcPr>
            <w:tcW w:w="2126"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0.0274</w:t>
            </w:r>
          </w:p>
        </w:tc>
        <w:tc>
          <w:tcPr>
            <w:tcW w:w="1985"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0.0151</w:t>
            </w:r>
          </w:p>
        </w:tc>
      </w:tr>
      <w:tr w:rsidR="00815F41" w:rsidRPr="00A9000B" w:rsidTr="00815F41">
        <w:trPr>
          <w:trHeight w:val="255"/>
        </w:trPr>
        <w:tc>
          <w:tcPr>
            <w:tcW w:w="3119"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p>
        </w:tc>
        <w:tc>
          <w:tcPr>
            <w:tcW w:w="2268"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(0.0253)</w:t>
            </w:r>
          </w:p>
        </w:tc>
        <w:tc>
          <w:tcPr>
            <w:tcW w:w="2126"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(0.0722)</w:t>
            </w:r>
          </w:p>
        </w:tc>
        <w:tc>
          <w:tcPr>
            <w:tcW w:w="1985"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(0.0383)</w:t>
            </w:r>
          </w:p>
        </w:tc>
      </w:tr>
      <w:tr w:rsidR="00815F41" w:rsidRPr="00A9000B" w:rsidTr="00815F41">
        <w:trPr>
          <w:trHeight w:val="255"/>
        </w:trPr>
        <w:tc>
          <w:tcPr>
            <w:tcW w:w="3119"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Dummy Mid-industry</w:t>
            </w:r>
          </w:p>
        </w:tc>
        <w:tc>
          <w:tcPr>
            <w:tcW w:w="2268"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-0.0175</w:t>
            </w:r>
          </w:p>
        </w:tc>
        <w:tc>
          <w:tcPr>
            <w:tcW w:w="2126"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0.0586</w:t>
            </w:r>
          </w:p>
        </w:tc>
        <w:tc>
          <w:tcPr>
            <w:tcW w:w="1985"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-0.0180</w:t>
            </w:r>
          </w:p>
        </w:tc>
      </w:tr>
      <w:tr w:rsidR="00815F41" w:rsidRPr="00A9000B" w:rsidTr="00815F41">
        <w:trPr>
          <w:trHeight w:val="255"/>
        </w:trPr>
        <w:tc>
          <w:tcPr>
            <w:tcW w:w="3119"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p>
        </w:tc>
        <w:tc>
          <w:tcPr>
            <w:tcW w:w="2268"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(0.0210)</w:t>
            </w:r>
          </w:p>
        </w:tc>
        <w:tc>
          <w:tcPr>
            <w:tcW w:w="2126"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(0.0584)</w:t>
            </w:r>
          </w:p>
        </w:tc>
        <w:tc>
          <w:tcPr>
            <w:tcW w:w="1985"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(0.0301)</w:t>
            </w:r>
          </w:p>
        </w:tc>
      </w:tr>
      <w:tr w:rsidR="00815F41" w:rsidRPr="00A9000B" w:rsidTr="00815F41">
        <w:trPr>
          <w:trHeight w:val="255"/>
        </w:trPr>
        <w:tc>
          <w:tcPr>
            <w:tcW w:w="3119"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Dummy Macro-industry</w:t>
            </w:r>
          </w:p>
        </w:tc>
        <w:tc>
          <w:tcPr>
            <w:tcW w:w="2268"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0.0329</w:t>
            </w:r>
            <w:r>
              <w:rPr>
                <w:rFonts w:eastAsia="Times New Roman" w:cstheme="minorHAnsi"/>
                <w:sz w:val="20"/>
                <w:szCs w:val="20"/>
              </w:rPr>
              <w:t>*</w:t>
            </w:r>
          </w:p>
        </w:tc>
        <w:tc>
          <w:tcPr>
            <w:tcW w:w="2126"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0.00465</w:t>
            </w:r>
          </w:p>
        </w:tc>
        <w:tc>
          <w:tcPr>
            <w:tcW w:w="1985"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0.0249</w:t>
            </w:r>
          </w:p>
        </w:tc>
      </w:tr>
      <w:tr w:rsidR="00815F41" w:rsidRPr="00A9000B" w:rsidTr="00815F41">
        <w:trPr>
          <w:trHeight w:val="255"/>
        </w:trPr>
        <w:tc>
          <w:tcPr>
            <w:tcW w:w="3119"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p>
        </w:tc>
        <w:tc>
          <w:tcPr>
            <w:tcW w:w="2268"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(0.0298)</w:t>
            </w:r>
          </w:p>
        </w:tc>
        <w:tc>
          <w:tcPr>
            <w:tcW w:w="2126"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(0.0964)</w:t>
            </w:r>
          </w:p>
        </w:tc>
        <w:tc>
          <w:tcPr>
            <w:tcW w:w="1985"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(0.0473)</w:t>
            </w:r>
          </w:p>
        </w:tc>
      </w:tr>
      <w:tr w:rsidR="00815F41" w:rsidRPr="00A9000B" w:rsidTr="00815F41">
        <w:trPr>
          <w:trHeight w:val="255"/>
        </w:trPr>
        <w:tc>
          <w:tcPr>
            <w:tcW w:w="3119"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Dummy Synergies</w:t>
            </w:r>
          </w:p>
        </w:tc>
        <w:tc>
          <w:tcPr>
            <w:tcW w:w="2268"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0.0108</w:t>
            </w:r>
          </w:p>
        </w:tc>
        <w:tc>
          <w:tcPr>
            <w:tcW w:w="2126"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-0.0461</w:t>
            </w:r>
          </w:p>
        </w:tc>
        <w:tc>
          <w:tcPr>
            <w:tcW w:w="1985"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-0.0119</w:t>
            </w:r>
          </w:p>
        </w:tc>
      </w:tr>
      <w:tr w:rsidR="00815F41" w:rsidRPr="00A9000B" w:rsidTr="00815F41">
        <w:trPr>
          <w:trHeight w:val="255"/>
        </w:trPr>
        <w:tc>
          <w:tcPr>
            <w:tcW w:w="3119"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p>
        </w:tc>
        <w:tc>
          <w:tcPr>
            <w:tcW w:w="2268"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(0.0203)</w:t>
            </w:r>
          </w:p>
        </w:tc>
        <w:tc>
          <w:tcPr>
            <w:tcW w:w="2126"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(0.0561)</w:t>
            </w:r>
          </w:p>
        </w:tc>
        <w:tc>
          <w:tcPr>
            <w:tcW w:w="1985"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(0.0294)</w:t>
            </w:r>
          </w:p>
        </w:tc>
      </w:tr>
      <w:tr w:rsidR="00815F41" w:rsidRPr="00A9000B" w:rsidTr="00815F41">
        <w:trPr>
          <w:trHeight w:val="255"/>
        </w:trPr>
        <w:tc>
          <w:tcPr>
            <w:tcW w:w="3119"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Dummy Shareholder Value</w:t>
            </w:r>
          </w:p>
        </w:tc>
        <w:tc>
          <w:tcPr>
            <w:tcW w:w="2268"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-0.0185</w:t>
            </w:r>
          </w:p>
        </w:tc>
        <w:tc>
          <w:tcPr>
            <w:tcW w:w="2126"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-0.0393</w:t>
            </w:r>
          </w:p>
        </w:tc>
        <w:tc>
          <w:tcPr>
            <w:tcW w:w="1985"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-0.0133</w:t>
            </w:r>
          </w:p>
        </w:tc>
      </w:tr>
      <w:tr w:rsidR="00815F41" w:rsidRPr="00A9000B" w:rsidTr="00815F41">
        <w:trPr>
          <w:trHeight w:val="255"/>
        </w:trPr>
        <w:tc>
          <w:tcPr>
            <w:tcW w:w="3119"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p>
        </w:tc>
        <w:tc>
          <w:tcPr>
            <w:tcW w:w="2268"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(0.0240)</w:t>
            </w:r>
          </w:p>
        </w:tc>
        <w:tc>
          <w:tcPr>
            <w:tcW w:w="2126"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(0.0661)</w:t>
            </w:r>
          </w:p>
        </w:tc>
        <w:tc>
          <w:tcPr>
            <w:tcW w:w="1985"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(0.0324)</w:t>
            </w:r>
          </w:p>
        </w:tc>
      </w:tr>
      <w:tr w:rsidR="00815F41" w:rsidRPr="00A9000B" w:rsidTr="00815F41">
        <w:trPr>
          <w:trHeight w:val="255"/>
        </w:trPr>
        <w:tc>
          <w:tcPr>
            <w:tcW w:w="3119"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 xml:space="preserve">Dummy Product </w:t>
            </w:r>
            <w:r w:rsidRPr="00A9000B">
              <w:rPr>
                <w:rFonts w:eastAsia="Times New Roman" w:cstheme="minorHAnsi"/>
                <w:sz w:val="20"/>
                <w:szCs w:val="20"/>
              </w:rPr>
              <w:t>E</w:t>
            </w:r>
            <w:r w:rsidRPr="004C6782">
              <w:rPr>
                <w:rFonts w:eastAsia="Times New Roman" w:cstheme="minorHAnsi"/>
                <w:sz w:val="20"/>
                <w:szCs w:val="20"/>
              </w:rPr>
              <w:t>xpansion</w:t>
            </w:r>
          </w:p>
        </w:tc>
        <w:tc>
          <w:tcPr>
            <w:tcW w:w="2268"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-0.0253</w:t>
            </w:r>
          </w:p>
        </w:tc>
        <w:tc>
          <w:tcPr>
            <w:tcW w:w="2126"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0.0794</w:t>
            </w:r>
          </w:p>
        </w:tc>
        <w:tc>
          <w:tcPr>
            <w:tcW w:w="1985"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0.00984</w:t>
            </w:r>
          </w:p>
        </w:tc>
      </w:tr>
      <w:tr w:rsidR="00815F41" w:rsidRPr="00A9000B" w:rsidTr="00815F41">
        <w:trPr>
          <w:trHeight w:val="255"/>
        </w:trPr>
        <w:tc>
          <w:tcPr>
            <w:tcW w:w="3119"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p>
        </w:tc>
        <w:tc>
          <w:tcPr>
            <w:tcW w:w="2268"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(0.0296)</w:t>
            </w:r>
          </w:p>
        </w:tc>
        <w:tc>
          <w:tcPr>
            <w:tcW w:w="2126"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(0.0860)</w:t>
            </w:r>
          </w:p>
        </w:tc>
        <w:tc>
          <w:tcPr>
            <w:tcW w:w="1985"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(0.0410)</w:t>
            </w:r>
          </w:p>
        </w:tc>
      </w:tr>
      <w:tr w:rsidR="00815F41" w:rsidRPr="00A9000B" w:rsidTr="00815F41">
        <w:trPr>
          <w:trHeight w:val="255"/>
        </w:trPr>
        <w:tc>
          <w:tcPr>
            <w:tcW w:w="3119"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Dummy Market Expansion</w:t>
            </w:r>
          </w:p>
        </w:tc>
        <w:tc>
          <w:tcPr>
            <w:tcW w:w="2268"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0.0256</w:t>
            </w:r>
          </w:p>
        </w:tc>
        <w:tc>
          <w:tcPr>
            <w:tcW w:w="2126"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0.0596</w:t>
            </w:r>
          </w:p>
        </w:tc>
        <w:tc>
          <w:tcPr>
            <w:tcW w:w="1985"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0.00315</w:t>
            </w:r>
          </w:p>
        </w:tc>
      </w:tr>
      <w:tr w:rsidR="00815F41" w:rsidRPr="00A9000B" w:rsidTr="00815F41">
        <w:trPr>
          <w:trHeight w:val="255"/>
        </w:trPr>
        <w:tc>
          <w:tcPr>
            <w:tcW w:w="3119"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p>
        </w:tc>
        <w:tc>
          <w:tcPr>
            <w:tcW w:w="2268"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(0.0322)</w:t>
            </w:r>
          </w:p>
        </w:tc>
        <w:tc>
          <w:tcPr>
            <w:tcW w:w="2126"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(0.0740)</w:t>
            </w:r>
          </w:p>
        </w:tc>
        <w:tc>
          <w:tcPr>
            <w:tcW w:w="1985"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(0.0411)</w:t>
            </w:r>
          </w:p>
        </w:tc>
      </w:tr>
      <w:tr w:rsidR="00815F41" w:rsidRPr="00A9000B" w:rsidTr="00815F41">
        <w:trPr>
          <w:trHeight w:val="255"/>
        </w:trPr>
        <w:tc>
          <w:tcPr>
            <w:tcW w:w="3119"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Dummy Strengthen Operations</w:t>
            </w:r>
          </w:p>
        </w:tc>
        <w:tc>
          <w:tcPr>
            <w:tcW w:w="2268"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0.00420</w:t>
            </w:r>
          </w:p>
        </w:tc>
        <w:tc>
          <w:tcPr>
            <w:tcW w:w="2126"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-0.0793</w:t>
            </w:r>
          </w:p>
        </w:tc>
        <w:tc>
          <w:tcPr>
            <w:tcW w:w="1985"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-0.0332</w:t>
            </w:r>
          </w:p>
        </w:tc>
      </w:tr>
      <w:tr w:rsidR="00815F41" w:rsidRPr="00A9000B" w:rsidTr="00815F41">
        <w:trPr>
          <w:trHeight w:val="255"/>
        </w:trPr>
        <w:tc>
          <w:tcPr>
            <w:tcW w:w="3119"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p>
        </w:tc>
        <w:tc>
          <w:tcPr>
            <w:tcW w:w="2268"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(0.0210)</w:t>
            </w:r>
          </w:p>
        </w:tc>
        <w:tc>
          <w:tcPr>
            <w:tcW w:w="2126"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(0.0603)</w:t>
            </w:r>
          </w:p>
        </w:tc>
        <w:tc>
          <w:tcPr>
            <w:tcW w:w="1985"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(0.0313)</w:t>
            </w:r>
          </w:p>
        </w:tc>
      </w:tr>
      <w:tr w:rsidR="00815F41" w:rsidRPr="00A9000B" w:rsidTr="00815F41">
        <w:trPr>
          <w:trHeight w:val="255"/>
        </w:trPr>
        <w:tc>
          <w:tcPr>
            <w:tcW w:w="3119"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p>
        </w:tc>
        <w:tc>
          <w:tcPr>
            <w:tcW w:w="2268"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p>
        </w:tc>
        <w:tc>
          <w:tcPr>
            <w:tcW w:w="2126"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p>
        </w:tc>
        <w:tc>
          <w:tcPr>
            <w:tcW w:w="1985"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p>
        </w:tc>
      </w:tr>
      <w:tr w:rsidR="00815F41" w:rsidRPr="00A9000B" w:rsidTr="00815F41">
        <w:trPr>
          <w:trHeight w:val="255"/>
        </w:trPr>
        <w:tc>
          <w:tcPr>
            <w:tcW w:w="3119"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Constant</w:t>
            </w:r>
          </w:p>
        </w:tc>
        <w:tc>
          <w:tcPr>
            <w:tcW w:w="2268"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-0.0148</w:t>
            </w:r>
          </w:p>
        </w:tc>
        <w:tc>
          <w:tcPr>
            <w:tcW w:w="2126"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0.316**</w:t>
            </w:r>
          </w:p>
        </w:tc>
        <w:tc>
          <w:tcPr>
            <w:tcW w:w="1985"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0.283***</w:t>
            </w:r>
          </w:p>
        </w:tc>
      </w:tr>
      <w:tr w:rsidR="00815F41" w:rsidRPr="00A9000B" w:rsidTr="00815F41">
        <w:trPr>
          <w:trHeight w:val="255"/>
        </w:trPr>
        <w:tc>
          <w:tcPr>
            <w:tcW w:w="3119"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p>
        </w:tc>
        <w:tc>
          <w:tcPr>
            <w:tcW w:w="2268"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(0.0712)</w:t>
            </w:r>
          </w:p>
        </w:tc>
        <w:tc>
          <w:tcPr>
            <w:tcW w:w="2126"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(0.157)</w:t>
            </w:r>
          </w:p>
        </w:tc>
        <w:tc>
          <w:tcPr>
            <w:tcW w:w="1985"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(0.107)</w:t>
            </w:r>
          </w:p>
        </w:tc>
      </w:tr>
      <w:tr w:rsidR="00815F41" w:rsidRPr="00A9000B" w:rsidTr="00815F41">
        <w:trPr>
          <w:trHeight w:val="255"/>
        </w:trPr>
        <w:tc>
          <w:tcPr>
            <w:tcW w:w="3119"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p>
        </w:tc>
        <w:tc>
          <w:tcPr>
            <w:tcW w:w="2268"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p>
        </w:tc>
        <w:tc>
          <w:tcPr>
            <w:tcW w:w="2126"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p>
        </w:tc>
        <w:tc>
          <w:tcPr>
            <w:tcW w:w="1985"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p>
        </w:tc>
      </w:tr>
      <w:tr w:rsidR="00815F41" w:rsidRPr="00A9000B" w:rsidTr="00815F41">
        <w:trPr>
          <w:trHeight w:val="255"/>
        </w:trPr>
        <w:tc>
          <w:tcPr>
            <w:tcW w:w="3119"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Observations</w:t>
            </w:r>
          </w:p>
        </w:tc>
        <w:tc>
          <w:tcPr>
            <w:tcW w:w="2268"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203</w:t>
            </w:r>
          </w:p>
        </w:tc>
        <w:tc>
          <w:tcPr>
            <w:tcW w:w="2126"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162</w:t>
            </w:r>
          </w:p>
        </w:tc>
        <w:tc>
          <w:tcPr>
            <w:tcW w:w="1985"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147</w:t>
            </w:r>
          </w:p>
        </w:tc>
      </w:tr>
      <w:tr w:rsidR="00815F41" w:rsidRPr="00A9000B" w:rsidTr="00815F41">
        <w:trPr>
          <w:trHeight w:val="255"/>
        </w:trPr>
        <w:tc>
          <w:tcPr>
            <w:tcW w:w="3119"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R-squared</w:t>
            </w:r>
          </w:p>
        </w:tc>
        <w:tc>
          <w:tcPr>
            <w:tcW w:w="2268"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0.067</w:t>
            </w:r>
          </w:p>
        </w:tc>
        <w:tc>
          <w:tcPr>
            <w:tcW w:w="2126"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0.081</w:t>
            </w:r>
          </w:p>
        </w:tc>
        <w:tc>
          <w:tcPr>
            <w:tcW w:w="1985"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0.140</w:t>
            </w:r>
          </w:p>
        </w:tc>
      </w:tr>
      <w:tr w:rsidR="00815F41" w:rsidRPr="00A9000B" w:rsidTr="00815F41">
        <w:trPr>
          <w:trHeight w:val="255"/>
        </w:trPr>
        <w:tc>
          <w:tcPr>
            <w:tcW w:w="3119"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Number of Year</w:t>
            </w:r>
            <w:r>
              <w:rPr>
                <w:rFonts w:eastAsia="Times New Roman" w:cstheme="minorHAnsi"/>
                <w:sz w:val="20"/>
                <w:szCs w:val="20"/>
              </w:rPr>
              <w:t>s</w:t>
            </w:r>
          </w:p>
        </w:tc>
        <w:tc>
          <w:tcPr>
            <w:tcW w:w="2268"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23</w:t>
            </w:r>
          </w:p>
        </w:tc>
        <w:tc>
          <w:tcPr>
            <w:tcW w:w="2126"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23</w:t>
            </w:r>
          </w:p>
        </w:tc>
        <w:tc>
          <w:tcPr>
            <w:tcW w:w="1985" w:type="dxa"/>
            <w:tcBorders>
              <w:top w:val="nil"/>
              <w:left w:val="nil"/>
              <w:bottom w:val="nil"/>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23</w:t>
            </w:r>
          </w:p>
        </w:tc>
      </w:tr>
      <w:tr w:rsidR="00815F41" w:rsidRPr="00A9000B" w:rsidTr="00815F41">
        <w:trPr>
          <w:trHeight w:val="255"/>
        </w:trPr>
        <w:tc>
          <w:tcPr>
            <w:tcW w:w="3119" w:type="dxa"/>
            <w:tcBorders>
              <w:top w:val="nil"/>
              <w:left w:val="nil"/>
              <w:bottom w:val="single" w:sz="4" w:space="0" w:color="000000"/>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Year FE</w:t>
            </w:r>
          </w:p>
        </w:tc>
        <w:tc>
          <w:tcPr>
            <w:tcW w:w="2268" w:type="dxa"/>
            <w:tcBorders>
              <w:top w:val="nil"/>
              <w:left w:val="nil"/>
              <w:bottom w:val="single" w:sz="4" w:space="0" w:color="000000"/>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YES</w:t>
            </w:r>
          </w:p>
        </w:tc>
        <w:tc>
          <w:tcPr>
            <w:tcW w:w="2126" w:type="dxa"/>
            <w:tcBorders>
              <w:top w:val="nil"/>
              <w:left w:val="nil"/>
              <w:bottom w:val="single" w:sz="4" w:space="0" w:color="000000"/>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YES</w:t>
            </w:r>
          </w:p>
        </w:tc>
        <w:tc>
          <w:tcPr>
            <w:tcW w:w="1985" w:type="dxa"/>
            <w:tcBorders>
              <w:top w:val="nil"/>
              <w:left w:val="nil"/>
              <w:bottom w:val="single" w:sz="4" w:space="0" w:color="000000"/>
              <w:right w:val="nil"/>
            </w:tcBorders>
            <w:shd w:val="clear" w:color="auto" w:fill="auto"/>
            <w:noWrap/>
            <w:vAlign w:val="bottom"/>
            <w:hideMark/>
          </w:tcPr>
          <w:p w:rsidR="00815F41" w:rsidRPr="004C6782" w:rsidRDefault="00815F41" w:rsidP="005E19AF">
            <w:pPr>
              <w:spacing w:after="0" w:line="276" w:lineRule="auto"/>
              <w:jc w:val="both"/>
              <w:rPr>
                <w:rFonts w:eastAsia="Times New Roman" w:cstheme="minorHAnsi"/>
                <w:sz w:val="20"/>
                <w:szCs w:val="20"/>
              </w:rPr>
            </w:pPr>
            <w:r w:rsidRPr="004C6782">
              <w:rPr>
                <w:rFonts w:eastAsia="Times New Roman" w:cstheme="minorHAnsi"/>
                <w:sz w:val="20"/>
                <w:szCs w:val="20"/>
              </w:rPr>
              <w:t>YES</w:t>
            </w:r>
          </w:p>
        </w:tc>
      </w:tr>
    </w:tbl>
    <w:p w:rsidR="00815F41" w:rsidRPr="00815F41" w:rsidRDefault="00815F41" w:rsidP="005E19AF">
      <w:pPr>
        <w:spacing w:line="360" w:lineRule="auto"/>
        <w:jc w:val="both"/>
        <w:rPr>
          <w:sz w:val="24"/>
          <w:lang w:eastAsia="nl-NL"/>
        </w:rPr>
      </w:pPr>
      <w:r w:rsidRPr="00EF3E14">
        <w:rPr>
          <w:rFonts w:cstheme="minorHAnsi"/>
          <w:sz w:val="20"/>
          <w:szCs w:val="20"/>
        </w:rPr>
        <w:t>Results for the OLS regression with the acquirer, target and joint CAR as dependent variable. The joint CAR financial determinants are based on the acquirer’s financials. All models are controlled for heteroscedasticity and autocorrelation by using clustered standard errors with year as fixed effect.</w:t>
      </w:r>
      <w:r>
        <w:rPr>
          <w:rFonts w:cstheme="minorHAnsi"/>
          <w:sz w:val="20"/>
          <w:szCs w:val="20"/>
        </w:rPr>
        <w:t xml:space="preserve"> The standard errors are reported in the parentheses. ***, ** and * denote statistical significance at a 1%, 5% and 10% level respectively.</w:t>
      </w:r>
    </w:p>
    <w:p w:rsidR="00D519E9" w:rsidRPr="00147D59" w:rsidRDefault="00DD09EE" w:rsidP="005E19AF">
      <w:pPr>
        <w:pStyle w:val="Heading2"/>
        <w:jc w:val="both"/>
      </w:pPr>
      <w:bookmarkStart w:id="24" w:name="_Toc13477609"/>
      <w:bookmarkStart w:id="25" w:name="_Toc6143449"/>
      <w:r>
        <w:lastRenderedPageBreak/>
        <w:t>4.5</w:t>
      </w:r>
      <w:r w:rsidR="00D519E9" w:rsidRPr="00147D59">
        <w:t xml:space="preserve"> </w:t>
      </w:r>
      <w:r w:rsidR="00325D4E" w:rsidRPr="00147D59">
        <w:t xml:space="preserve">Testing the </w:t>
      </w:r>
      <w:bookmarkEnd w:id="24"/>
      <w:r w:rsidR="007B3428" w:rsidRPr="00147D59">
        <w:t>h</w:t>
      </w:r>
      <w:r w:rsidR="007B3428">
        <w:t>ypothese</w:t>
      </w:r>
      <w:r w:rsidR="007B3428" w:rsidRPr="00147D59">
        <w:t>s</w:t>
      </w:r>
    </w:p>
    <w:p w:rsidR="00276779" w:rsidRPr="00147D59" w:rsidRDefault="00D519E9" w:rsidP="005E19AF">
      <w:pPr>
        <w:spacing w:line="360" w:lineRule="auto"/>
        <w:jc w:val="both"/>
        <w:rPr>
          <w:sz w:val="24"/>
        </w:rPr>
      </w:pPr>
      <w:r w:rsidRPr="00147D59">
        <w:rPr>
          <w:sz w:val="24"/>
        </w:rPr>
        <w:t xml:space="preserve">Now all the results of the research are given, the </w:t>
      </w:r>
      <w:r w:rsidR="004324BD">
        <w:rPr>
          <w:sz w:val="24"/>
        </w:rPr>
        <w:t>hypotheses</w:t>
      </w:r>
      <w:r w:rsidRPr="00147D59">
        <w:rPr>
          <w:sz w:val="24"/>
        </w:rPr>
        <w:t xml:space="preserve"> can be kept or rejected. </w:t>
      </w:r>
    </w:p>
    <w:p w:rsidR="00D519E9" w:rsidRPr="00147D59" w:rsidRDefault="00D519E9" w:rsidP="005E19AF">
      <w:pPr>
        <w:spacing w:line="360" w:lineRule="auto"/>
        <w:jc w:val="both"/>
        <w:rPr>
          <w:i/>
          <w:sz w:val="24"/>
        </w:rPr>
      </w:pPr>
      <w:r w:rsidRPr="00147D59">
        <w:rPr>
          <w:i/>
          <w:sz w:val="24"/>
        </w:rPr>
        <w:t>H1: M&amp;</w:t>
      </w:r>
      <w:r w:rsidR="00DC1895" w:rsidRPr="00147D59">
        <w:rPr>
          <w:i/>
          <w:sz w:val="24"/>
        </w:rPr>
        <w:t>A’s in</w:t>
      </w:r>
      <w:r w:rsidRPr="00147D59">
        <w:rPr>
          <w:i/>
          <w:sz w:val="24"/>
        </w:rPr>
        <w:t xml:space="preserve"> the same industry will experience higher abnormal returns than unrelated M&amp;A’s.</w:t>
      </w:r>
    </w:p>
    <w:p w:rsidR="00D519E9" w:rsidRDefault="00D519E9" w:rsidP="005E19AF">
      <w:pPr>
        <w:spacing w:line="360" w:lineRule="auto"/>
        <w:jc w:val="both"/>
        <w:rPr>
          <w:sz w:val="24"/>
        </w:rPr>
      </w:pPr>
      <w:r w:rsidRPr="00147D59">
        <w:rPr>
          <w:sz w:val="24"/>
        </w:rPr>
        <w:t xml:space="preserve">This hypothesis is tested on two levels, the macro- and mid-industry level. Of course, if two firms operate in the same mid-industry, they also operate in the same macro-industry. </w:t>
      </w:r>
      <w:r w:rsidR="00DD09EE">
        <w:rPr>
          <w:sz w:val="24"/>
        </w:rPr>
        <w:t xml:space="preserve">With OLS with standard errors a positive effect was found on acquirer abnormal returns of 3,3% when the two firms were operating in the same macro industry. However, when looking at the regression with robust standard errors, only the joint CAR was positive with 5,4%. Even more surprising, when the two firms were active in the same mid-industry, a negative abnormal return of 3,8% was found. </w:t>
      </w:r>
      <w:r w:rsidR="00B27F9E">
        <w:rPr>
          <w:sz w:val="24"/>
        </w:rPr>
        <w:t xml:space="preserve">This is not exactly in line with Eckbo </w:t>
      </w:r>
      <w:sdt>
        <w:sdtPr>
          <w:rPr>
            <w:sz w:val="24"/>
          </w:rPr>
          <w:id w:val="-782105775"/>
          <w:citation/>
        </w:sdtPr>
        <w:sdtEndPr/>
        <w:sdtContent>
          <w:r w:rsidR="00B27F9E">
            <w:rPr>
              <w:sz w:val="24"/>
            </w:rPr>
            <w:fldChar w:fldCharType="begin"/>
          </w:r>
          <w:r w:rsidR="00B27F9E" w:rsidRPr="00B27F9E">
            <w:rPr>
              <w:sz w:val="24"/>
            </w:rPr>
            <w:instrText xml:space="preserve">CITATION Eck83 \n  \t  \l 1043 </w:instrText>
          </w:r>
          <w:r w:rsidR="00B27F9E">
            <w:rPr>
              <w:sz w:val="24"/>
            </w:rPr>
            <w:fldChar w:fldCharType="separate"/>
          </w:r>
          <w:r w:rsidR="00B27F9E" w:rsidRPr="00B27F9E">
            <w:rPr>
              <w:noProof/>
              <w:sz w:val="24"/>
            </w:rPr>
            <w:t>(1983)</w:t>
          </w:r>
          <w:r w:rsidR="00B27F9E">
            <w:rPr>
              <w:sz w:val="24"/>
            </w:rPr>
            <w:fldChar w:fldCharType="end"/>
          </w:r>
        </w:sdtContent>
      </w:sdt>
      <w:r w:rsidR="00B27F9E">
        <w:rPr>
          <w:sz w:val="24"/>
        </w:rPr>
        <w:t xml:space="preserve">, who only found higher abnormal returns for targets in the same industry. However, Hypothesis 1 will not be rejected and does hold on a macro-industry level. It does not hold on a mid-industry level. </w:t>
      </w:r>
    </w:p>
    <w:p w:rsidR="00D519E9" w:rsidRPr="00147D59" w:rsidRDefault="00D519E9" w:rsidP="005E19AF">
      <w:pPr>
        <w:spacing w:line="360" w:lineRule="auto"/>
        <w:jc w:val="both"/>
        <w:rPr>
          <w:i/>
          <w:sz w:val="24"/>
        </w:rPr>
      </w:pPr>
      <w:r w:rsidRPr="00147D59">
        <w:rPr>
          <w:i/>
          <w:sz w:val="24"/>
        </w:rPr>
        <w:t>H2: Cash as payment for a M&amp;A has a positive effect on abnormal returns.</w:t>
      </w:r>
    </w:p>
    <w:p w:rsidR="00D519E9" w:rsidRPr="00147D59" w:rsidRDefault="001D657D" w:rsidP="005E19AF">
      <w:pPr>
        <w:spacing w:line="360" w:lineRule="auto"/>
        <w:jc w:val="both"/>
        <w:rPr>
          <w:sz w:val="24"/>
        </w:rPr>
      </w:pPr>
      <w:r w:rsidRPr="00147D59">
        <w:rPr>
          <w:sz w:val="24"/>
        </w:rPr>
        <w:t>For acquirers cash</w:t>
      </w:r>
      <w:r w:rsidR="004324BD">
        <w:rPr>
          <w:sz w:val="24"/>
        </w:rPr>
        <w:t xml:space="preserve"> as payment does have a slight</w:t>
      </w:r>
      <w:r w:rsidRPr="00147D59">
        <w:rPr>
          <w:sz w:val="24"/>
        </w:rPr>
        <w:t xml:space="preserve"> posit</w:t>
      </w:r>
      <w:r w:rsidR="004324BD">
        <w:rPr>
          <w:sz w:val="24"/>
        </w:rPr>
        <w:t>ive effect, as it has a slight</w:t>
      </w:r>
      <w:r w:rsidRPr="00147D59">
        <w:rPr>
          <w:sz w:val="24"/>
        </w:rPr>
        <w:t xml:space="preserve"> negative effect for the acquired firm. But for both payment methods the difference is not significantly different from zero. </w:t>
      </w:r>
      <w:r w:rsidR="00B27F9E">
        <w:rPr>
          <w:sz w:val="24"/>
        </w:rPr>
        <w:t xml:space="preserve">This is not in line of expectation which stated that Cash as payment method has a positive effect on abnormal returns </w:t>
      </w:r>
      <w:sdt>
        <w:sdtPr>
          <w:rPr>
            <w:sz w:val="24"/>
          </w:rPr>
          <w:id w:val="-785739864"/>
          <w:citation/>
        </w:sdtPr>
        <w:sdtEndPr/>
        <w:sdtContent>
          <w:r w:rsidR="00B27F9E">
            <w:rPr>
              <w:sz w:val="24"/>
            </w:rPr>
            <w:fldChar w:fldCharType="begin"/>
          </w:r>
          <w:r w:rsidR="00B27F9E">
            <w:rPr>
              <w:sz w:val="24"/>
            </w:rPr>
            <w:instrText xml:space="preserve">CITATION Hua87 \t  \l 1043 </w:instrText>
          </w:r>
          <w:r w:rsidR="00B27F9E">
            <w:rPr>
              <w:sz w:val="24"/>
            </w:rPr>
            <w:fldChar w:fldCharType="separate"/>
          </w:r>
          <w:r w:rsidR="00B27F9E" w:rsidRPr="00B27F9E">
            <w:rPr>
              <w:noProof/>
              <w:sz w:val="24"/>
            </w:rPr>
            <w:t>(Huang &amp; Walkling, 1987)</w:t>
          </w:r>
          <w:r w:rsidR="00B27F9E">
            <w:rPr>
              <w:sz w:val="24"/>
            </w:rPr>
            <w:fldChar w:fldCharType="end"/>
          </w:r>
        </w:sdtContent>
      </w:sdt>
      <w:r w:rsidR="00B27F9E">
        <w:rPr>
          <w:sz w:val="24"/>
        </w:rPr>
        <w:t>. Therefore, hypothesis 2 will be rejected, cash as payment method does not have a positive effect on abnormal returns in the US Energy Market.</w:t>
      </w:r>
    </w:p>
    <w:p w:rsidR="00D519E9" w:rsidRPr="00147D59" w:rsidRDefault="00D519E9" w:rsidP="005E19AF">
      <w:pPr>
        <w:spacing w:line="360" w:lineRule="auto"/>
        <w:jc w:val="both"/>
        <w:rPr>
          <w:i/>
          <w:sz w:val="24"/>
        </w:rPr>
      </w:pPr>
      <w:r w:rsidRPr="00147D59">
        <w:rPr>
          <w:i/>
          <w:sz w:val="24"/>
        </w:rPr>
        <w:t>H3: Relative size of the acquiring firm has a negative effect on the abnormal returns of a M&amp;A.</w:t>
      </w:r>
    </w:p>
    <w:p w:rsidR="00505620" w:rsidRPr="00353AC3" w:rsidRDefault="00353AC3" w:rsidP="005E19AF">
      <w:pPr>
        <w:spacing w:line="360" w:lineRule="auto"/>
        <w:jc w:val="both"/>
        <w:rPr>
          <w:sz w:val="24"/>
        </w:rPr>
      </w:pPr>
      <w:r>
        <w:rPr>
          <w:sz w:val="24"/>
        </w:rPr>
        <w:t>In the normal regression, the natural logarithm of market value has a negative effect of 3,3% on the abnormal returns for the joint firm’s abnormal returns. However, this did not hold when the regression was the model was adjusted for robust standard errors. This makes it hard to draw any conclusions on the effect of the size on the abnormal returns. Therefore, hypothesis 3 will be rejected with a little side note, possibly a larger sample size had made the difference between retaining and rejecting the hypothesis. But in this sample, the relative size has no effect on the abnormal returns around the announcement date of a merger or acquisition.</w:t>
      </w:r>
    </w:p>
    <w:p w:rsidR="001D657D" w:rsidRPr="00147D59" w:rsidRDefault="00D82DA0" w:rsidP="005E19AF">
      <w:pPr>
        <w:pStyle w:val="Heading1"/>
        <w:jc w:val="both"/>
      </w:pPr>
      <w:bookmarkStart w:id="26" w:name="_Toc13477610"/>
      <w:r w:rsidRPr="00147D59">
        <w:lastRenderedPageBreak/>
        <w:t>5. Conclusion</w:t>
      </w:r>
      <w:bookmarkEnd w:id="26"/>
    </w:p>
    <w:p w:rsidR="007A3EC8" w:rsidRPr="00147D59" w:rsidRDefault="007A3EC8" w:rsidP="005E19AF">
      <w:pPr>
        <w:spacing w:line="360" w:lineRule="auto"/>
        <w:jc w:val="both"/>
        <w:rPr>
          <w:sz w:val="24"/>
          <w:szCs w:val="24"/>
        </w:rPr>
      </w:pPr>
      <w:r w:rsidRPr="00147D59">
        <w:rPr>
          <w:sz w:val="24"/>
          <w:szCs w:val="24"/>
        </w:rPr>
        <w:t xml:space="preserve">In this research, the objective was to investigate the effects of a merger or acquisition in the US Energy Industry for the years 1995 to 2017. A total of 240 different mergers and acquisition are used with </w:t>
      </w:r>
      <w:r w:rsidR="00DC1895" w:rsidRPr="00147D59">
        <w:rPr>
          <w:sz w:val="24"/>
          <w:szCs w:val="24"/>
        </w:rPr>
        <w:t>a</w:t>
      </w:r>
      <w:r w:rsidRPr="00147D59">
        <w:rPr>
          <w:sz w:val="24"/>
          <w:szCs w:val="24"/>
        </w:rPr>
        <w:t xml:space="preserve"> minimum of 100 million dollars of deal value. The main research question is: </w:t>
      </w:r>
    </w:p>
    <w:p w:rsidR="007A3EC8" w:rsidRPr="00147D59" w:rsidRDefault="007A3EC8" w:rsidP="005E19AF">
      <w:pPr>
        <w:spacing w:line="360" w:lineRule="auto"/>
        <w:jc w:val="both"/>
        <w:rPr>
          <w:b/>
          <w:i/>
          <w:sz w:val="24"/>
        </w:rPr>
      </w:pPr>
      <w:r w:rsidRPr="00147D59">
        <w:rPr>
          <w:b/>
          <w:i/>
        </w:rPr>
        <w:t>T</w:t>
      </w:r>
      <w:r w:rsidRPr="00147D59">
        <w:rPr>
          <w:b/>
          <w:i/>
          <w:sz w:val="24"/>
        </w:rPr>
        <w:t xml:space="preserve">o what extent </w:t>
      </w:r>
      <w:r w:rsidR="00DC1895" w:rsidRPr="00147D59">
        <w:rPr>
          <w:b/>
          <w:i/>
          <w:sz w:val="24"/>
        </w:rPr>
        <w:t>do abnormal</w:t>
      </w:r>
      <w:r w:rsidRPr="00147D59">
        <w:rPr>
          <w:b/>
          <w:i/>
          <w:sz w:val="24"/>
        </w:rPr>
        <w:t xml:space="preserve"> returns for </w:t>
      </w:r>
      <w:r w:rsidR="00DC1895" w:rsidRPr="00147D59">
        <w:rPr>
          <w:b/>
          <w:i/>
          <w:sz w:val="24"/>
        </w:rPr>
        <w:t>both target</w:t>
      </w:r>
      <w:r w:rsidRPr="00147D59">
        <w:rPr>
          <w:b/>
          <w:i/>
          <w:sz w:val="24"/>
        </w:rPr>
        <w:t xml:space="preserve"> and acquiring firms exist around the announcement day of a merger or acquisition in the United States Energy Industry?</w:t>
      </w:r>
    </w:p>
    <w:p w:rsidR="00815F41" w:rsidRDefault="007A3EC8" w:rsidP="005E19AF">
      <w:pPr>
        <w:spacing w:line="360" w:lineRule="auto"/>
        <w:jc w:val="both"/>
        <w:rPr>
          <w:sz w:val="24"/>
          <w:szCs w:val="24"/>
        </w:rPr>
      </w:pPr>
      <w:r w:rsidRPr="00147D59">
        <w:rPr>
          <w:sz w:val="24"/>
          <w:szCs w:val="24"/>
        </w:rPr>
        <w:t xml:space="preserve">To </w:t>
      </w:r>
      <w:r w:rsidR="00DC1895" w:rsidRPr="00147D59">
        <w:rPr>
          <w:sz w:val="24"/>
          <w:szCs w:val="24"/>
        </w:rPr>
        <w:t>answer this</w:t>
      </w:r>
      <w:r w:rsidRPr="00147D59">
        <w:rPr>
          <w:sz w:val="24"/>
          <w:szCs w:val="24"/>
        </w:rPr>
        <w:t xml:space="preserve"> research question an event study is used and the returns of the stocks around the announcement day are compared with market model. </w:t>
      </w:r>
      <w:r w:rsidR="004F0625" w:rsidRPr="00147D59">
        <w:rPr>
          <w:sz w:val="24"/>
          <w:szCs w:val="24"/>
        </w:rPr>
        <w:t xml:space="preserve">The cumulative abnormal returns for the day before, while and after the announcement are for the acquirers and targets, -3,66% and 16,49% respectively. This means that abnormal returns around the announcement day of a merger or acquisition in United States Energy Industry do exist. Furthermore, the joint cumulative abnormal return’s for both the target and acquirer is 1,62%. This implies that value is created for shareholders around the announcement day of a merger or acquisition. </w:t>
      </w:r>
    </w:p>
    <w:p w:rsidR="00815F41" w:rsidRDefault="004F0625" w:rsidP="005E19AF">
      <w:pPr>
        <w:spacing w:line="360" w:lineRule="auto"/>
        <w:jc w:val="both"/>
        <w:rPr>
          <w:sz w:val="24"/>
          <w:szCs w:val="24"/>
        </w:rPr>
      </w:pPr>
      <w:r w:rsidRPr="00147D59">
        <w:rPr>
          <w:sz w:val="24"/>
          <w:szCs w:val="24"/>
        </w:rPr>
        <w:t>To support the main resea</w:t>
      </w:r>
      <w:r w:rsidR="007B3428">
        <w:rPr>
          <w:sz w:val="24"/>
          <w:szCs w:val="24"/>
        </w:rPr>
        <w:t>rch question, three hypotheses</w:t>
      </w:r>
      <w:r w:rsidRPr="00147D59">
        <w:rPr>
          <w:sz w:val="24"/>
          <w:szCs w:val="24"/>
        </w:rPr>
        <w:t xml:space="preserve"> are taken to explain where the abnormal returns come from. </w:t>
      </w:r>
      <w:r w:rsidR="00815F41">
        <w:rPr>
          <w:sz w:val="24"/>
          <w:szCs w:val="24"/>
        </w:rPr>
        <w:t xml:space="preserve">Only hypothesis 1 is retained, the rest is rejected. Merging in the Energy and Power industry leads to higher abnormal returns of 5,4% for the sum of the abnormal returns of the firms. </w:t>
      </w:r>
      <w:r w:rsidR="009C6D46">
        <w:rPr>
          <w:sz w:val="24"/>
          <w:szCs w:val="24"/>
        </w:rPr>
        <w:t xml:space="preserve">This is however when controlled for heteroscedasticity. Hypothesis 3 is a sort of in a grey area on rejecting or retaining. There seems to be a negative relationship between the size of the firm and the abnormal returns, but other ways of testing give other results. Further research in this sector will maybe come to a decision concerning this hypothesis. </w:t>
      </w:r>
    </w:p>
    <w:p w:rsidR="000F71A9" w:rsidRDefault="000F71A9" w:rsidP="005E19AF">
      <w:pPr>
        <w:spacing w:line="360" w:lineRule="auto"/>
        <w:jc w:val="both"/>
        <w:rPr>
          <w:sz w:val="24"/>
          <w:szCs w:val="24"/>
        </w:rPr>
      </w:pPr>
      <w:r>
        <w:rPr>
          <w:sz w:val="24"/>
          <w:szCs w:val="24"/>
        </w:rPr>
        <w:t xml:space="preserve">At last, there seems to be a negative relationship between expanding the product line and the acquirers abnormal returns, which has an effect of 5,2%. </w:t>
      </w:r>
      <w:r w:rsidR="0082799C">
        <w:rPr>
          <w:sz w:val="24"/>
          <w:szCs w:val="24"/>
        </w:rPr>
        <w:t>This is maybe due with hubris infested managers, which are overconfident and power-seeking and therefore take the wrong investment decisions. But the exact source of this negative</w:t>
      </w:r>
      <w:r w:rsidR="009371C7">
        <w:rPr>
          <w:sz w:val="24"/>
          <w:szCs w:val="24"/>
        </w:rPr>
        <w:t xml:space="preserve"> connection</w:t>
      </w:r>
      <w:r w:rsidR="0082799C">
        <w:rPr>
          <w:sz w:val="24"/>
          <w:szCs w:val="24"/>
        </w:rPr>
        <w:t xml:space="preserve"> does need more research.</w:t>
      </w:r>
    </w:p>
    <w:p w:rsidR="009371C7" w:rsidRDefault="009371C7" w:rsidP="005E19AF">
      <w:pPr>
        <w:spacing w:line="360" w:lineRule="auto"/>
        <w:jc w:val="both"/>
        <w:rPr>
          <w:sz w:val="24"/>
          <w:szCs w:val="24"/>
        </w:rPr>
      </w:pPr>
      <w:r>
        <w:rPr>
          <w:sz w:val="24"/>
          <w:szCs w:val="24"/>
        </w:rPr>
        <w:t xml:space="preserve">This thesis also consists of some shortcomings. First, the sample maybe was not big enough to really draw any good conclusions on it. Bigger samples often detect irregularities better and can </w:t>
      </w:r>
      <w:r>
        <w:rPr>
          <w:sz w:val="24"/>
          <w:szCs w:val="24"/>
        </w:rPr>
        <w:lastRenderedPageBreak/>
        <w:t>therefore be more trusted. Also the sample maybe consists of omitted variable bias, because maybe relevant variables were not included in the regressions which would help better explain the abnormal returns. Furthermore, seeing the sample experienced a lot of heteroscedasticity, ordinary least squares were maybe not the best linear unbiased estimator and an another method of measuring the abnormal returns would have been more efficient. It is therefore inte</w:t>
      </w:r>
      <w:r w:rsidR="00C84D26">
        <w:rPr>
          <w:sz w:val="24"/>
          <w:szCs w:val="24"/>
        </w:rPr>
        <w:t>resting to extend this study with the application of other regression models. Also the sample can be changed to different countries or industries, to see if the results still hold. Also is it possibly interesting to look at the long term effects of mergers and acquisitions, do these events still pay off on the long? Anyway, there is still a lot to find with investigating mergers and acquisitions abnormal returns.</w:t>
      </w:r>
    </w:p>
    <w:p w:rsidR="00D50D6D" w:rsidRPr="00147D59" w:rsidRDefault="00D50D6D" w:rsidP="005E19AF">
      <w:pPr>
        <w:jc w:val="both"/>
      </w:pPr>
    </w:p>
    <w:p w:rsidR="00232B60" w:rsidRPr="00147D59" w:rsidRDefault="00232B60" w:rsidP="005E19AF">
      <w:pPr>
        <w:jc w:val="both"/>
      </w:pPr>
    </w:p>
    <w:p w:rsidR="00232B60" w:rsidRPr="00147D59" w:rsidRDefault="00232B60" w:rsidP="005E19AF">
      <w:pPr>
        <w:jc w:val="both"/>
      </w:pPr>
    </w:p>
    <w:p w:rsidR="00232B60" w:rsidRPr="00147D59" w:rsidRDefault="00232B60" w:rsidP="005E19AF">
      <w:pPr>
        <w:jc w:val="both"/>
      </w:pPr>
    </w:p>
    <w:p w:rsidR="00232B60" w:rsidRPr="00147D59" w:rsidRDefault="00232B60" w:rsidP="005E19AF">
      <w:pPr>
        <w:jc w:val="both"/>
      </w:pPr>
    </w:p>
    <w:p w:rsidR="00232B60" w:rsidRPr="00147D59" w:rsidRDefault="00232B60" w:rsidP="005E19AF">
      <w:pPr>
        <w:jc w:val="both"/>
      </w:pPr>
    </w:p>
    <w:p w:rsidR="00232B60" w:rsidRPr="00147D59" w:rsidRDefault="00232B60" w:rsidP="005E19AF">
      <w:pPr>
        <w:jc w:val="both"/>
      </w:pPr>
    </w:p>
    <w:p w:rsidR="00232B60" w:rsidRPr="00147D59" w:rsidRDefault="00232B60" w:rsidP="005E19AF">
      <w:pPr>
        <w:jc w:val="both"/>
      </w:pPr>
    </w:p>
    <w:p w:rsidR="00232B60" w:rsidRPr="00147D59" w:rsidRDefault="00232B60" w:rsidP="005E19AF">
      <w:pPr>
        <w:jc w:val="both"/>
      </w:pPr>
    </w:p>
    <w:p w:rsidR="00232B60" w:rsidRPr="00147D59" w:rsidRDefault="00232B60" w:rsidP="005E19AF">
      <w:pPr>
        <w:jc w:val="both"/>
      </w:pPr>
    </w:p>
    <w:p w:rsidR="00232B60" w:rsidRPr="00147D59" w:rsidRDefault="00232B60" w:rsidP="005E19AF">
      <w:pPr>
        <w:jc w:val="both"/>
      </w:pPr>
    </w:p>
    <w:p w:rsidR="00232B60" w:rsidRPr="00147D59" w:rsidRDefault="00232B60" w:rsidP="005E19AF">
      <w:pPr>
        <w:jc w:val="both"/>
      </w:pPr>
    </w:p>
    <w:p w:rsidR="00232B60" w:rsidRPr="00147D59" w:rsidRDefault="00232B60" w:rsidP="005E19AF">
      <w:pPr>
        <w:jc w:val="both"/>
      </w:pPr>
    </w:p>
    <w:p w:rsidR="00232B60" w:rsidRPr="00147D59" w:rsidRDefault="00232B60" w:rsidP="005E19AF">
      <w:pPr>
        <w:jc w:val="both"/>
      </w:pPr>
    </w:p>
    <w:p w:rsidR="00232B60" w:rsidRPr="00147D59" w:rsidRDefault="00232B60" w:rsidP="005E19AF">
      <w:pPr>
        <w:jc w:val="both"/>
      </w:pPr>
    </w:p>
    <w:p w:rsidR="00232B60" w:rsidRPr="00147D59" w:rsidRDefault="00232B60" w:rsidP="005E19AF">
      <w:pPr>
        <w:jc w:val="both"/>
      </w:pPr>
    </w:p>
    <w:p w:rsidR="00232B60" w:rsidRPr="00147D59" w:rsidRDefault="00232B60" w:rsidP="005E19AF">
      <w:pPr>
        <w:jc w:val="both"/>
      </w:pPr>
    </w:p>
    <w:p w:rsidR="00232B60" w:rsidRPr="00147D59" w:rsidRDefault="00232B60" w:rsidP="005E19AF">
      <w:pPr>
        <w:jc w:val="both"/>
      </w:pPr>
    </w:p>
    <w:p w:rsidR="00232B60" w:rsidRPr="00147D59" w:rsidRDefault="00232B60" w:rsidP="005E19AF">
      <w:pPr>
        <w:jc w:val="both"/>
      </w:pPr>
    </w:p>
    <w:p w:rsidR="004B3E9F" w:rsidRPr="00147D59" w:rsidRDefault="004B3E9F" w:rsidP="005E19AF">
      <w:pPr>
        <w:pStyle w:val="Heading1"/>
        <w:jc w:val="both"/>
        <w:rPr>
          <w:rFonts w:asciiTheme="minorHAnsi" w:eastAsiaTheme="minorHAnsi" w:hAnsiTheme="minorHAnsi" w:cstheme="minorBidi"/>
          <w:color w:val="auto"/>
          <w:sz w:val="22"/>
          <w:szCs w:val="22"/>
        </w:rPr>
      </w:pPr>
      <w:bookmarkStart w:id="27" w:name="_Toc13477611"/>
      <w:r w:rsidRPr="00147D59">
        <w:lastRenderedPageBreak/>
        <w:t>Bibliography</w:t>
      </w:r>
      <w:bookmarkEnd w:id="25"/>
      <w:bookmarkEnd w:id="27"/>
    </w:p>
    <w:p w:rsidR="00BD36FD" w:rsidRPr="00147D59" w:rsidRDefault="004B3E9F" w:rsidP="005E19AF">
      <w:pPr>
        <w:pStyle w:val="Bibliography"/>
        <w:ind w:left="720" w:hanging="720"/>
        <w:jc w:val="both"/>
        <w:rPr>
          <w:noProof/>
        </w:rPr>
      </w:pPr>
      <w:r w:rsidRPr="00147D59">
        <w:fldChar w:fldCharType="begin"/>
      </w:r>
      <w:r w:rsidRPr="00147D59">
        <w:instrText xml:space="preserve"> BIBLIOGRAPHY </w:instrText>
      </w:r>
      <w:r w:rsidRPr="00147D59">
        <w:fldChar w:fldCharType="separate"/>
      </w:r>
      <w:r w:rsidR="00BD36FD" w:rsidRPr="00147D59">
        <w:rPr>
          <w:noProof/>
        </w:rPr>
        <w:t xml:space="preserve">Benny, J. (2018). </w:t>
      </w:r>
      <w:r w:rsidR="00BD36FD" w:rsidRPr="00147D59">
        <w:rPr>
          <w:i/>
          <w:iCs/>
          <w:noProof/>
        </w:rPr>
        <w:t>www.reuters.com</w:t>
      </w:r>
      <w:r w:rsidR="00BD36FD" w:rsidRPr="00147D59">
        <w:rPr>
          <w:noProof/>
        </w:rPr>
        <w:t>. Retrieved from https://www.reuters.com/article/us-andeavor-us-m-a-marathon-petroleum/marathon-to-become-top-u-s-refiner-with-23-billion-andeavor-buy-idUSKBN1I1043</w:t>
      </w:r>
    </w:p>
    <w:p w:rsidR="00BD36FD" w:rsidRPr="00147D59" w:rsidRDefault="00BD36FD" w:rsidP="005E19AF">
      <w:pPr>
        <w:pStyle w:val="Bibliography"/>
        <w:ind w:left="720" w:hanging="720"/>
        <w:jc w:val="both"/>
        <w:rPr>
          <w:noProof/>
        </w:rPr>
      </w:pPr>
      <w:r w:rsidRPr="00147D59">
        <w:rPr>
          <w:noProof/>
        </w:rPr>
        <w:t xml:space="preserve">Bruner, R. F. (2002). Does M&amp;A pay? A survey of evidence for the decision-maker. </w:t>
      </w:r>
      <w:r w:rsidRPr="00147D59">
        <w:rPr>
          <w:i/>
          <w:iCs/>
          <w:noProof/>
        </w:rPr>
        <w:t>Journal of Applied Finance</w:t>
      </w:r>
      <w:r w:rsidRPr="00147D59">
        <w:rPr>
          <w:noProof/>
        </w:rPr>
        <w:t>, pp. 7 - 26.</w:t>
      </w:r>
    </w:p>
    <w:p w:rsidR="00BD36FD" w:rsidRPr="00147D59" w:rsidRDefault="00BD36FD" w:rsidP="005E19AF">
      <w:pPr>
        <w:pStyle w:val="Bibliography"/>
        <w:ind w:left="720" w:hanging="720"/>
        <w:jc w:val="both"/>
        <w:rPr>
          <w:noProof/>
        </w:rPr>
      </w:pPr>
      <w:r w:rsidRPr="00147D59">
        <w:rPr>
          <w:noProof/>
        </w:rPr>
        <w:t xml:space="preserve">Chang, S. (1998). Takeovers of Privately Held Targets, Methods of Payment, and Bidder Returns. </w:t>
      </w:r>
      <w:r w:rsidRPr="00147D59">
        <w:rPr>
          <w:i/>
          <w:iCs/>
          <w:noProof/>
        </w:rPr>
        <w:t>The Journal of Finance</w:t>
      </w:r>
      <w:r w:rsidRPr="00147D59">
        <w:rPr>
          <w:noProof/>
        </w:rPr>
        <w:t>, 773-784.</w:t>
      </w:r>
    </w:p>
    <w:p w:rsidR="00BD36FD" w:rsidRPr="00147D59" w:rsidRDefault="00BD36FD" w:rsidP="005E19AF">
      <w:pPr>
        <w:pStyle w:val="Bibliography"/>
        <w:ind w:left="720" w:hanging="720"/>
        <w:jc w:val="both"/>
        <w:rPr>
          <w:noProof/>
        </w:rPr>
      </w:pPr>
      <w:r w:rsidRPr="00147D59">
        <w:rPr>
          <w:noProof/>
        </w:rPr>
        <w:t xml:space="preserve">Coyle, B. (2000). </w:t>
      </w:r>
      <w:r w:rsidRPr="00147D59">
        <w:rPr>
          <w:i/>
          <w:iCs/>
          <w:noProof/>
        </w:rPr>
        <w:t>Corporate Finance: Mergers and Acquisitions.</w:t>
      </w:r>
      <w:r w:rsidRPr="00147D59">
        <w:rPr>
          <w:noProof/>
        </w:rPr>
        <w:t xml:space="preserve"> Kent: Financial World Publishing.</w:t>
      </w:r>
    </w:p>
    <w:p w:rsidR="00BD36FD" w:rsidRPr="00147D59" w:rsidRDefault="00BD36FD" w:rsidP="005E19AF">
      <w:pPr>
        <w:pStyle w:val="Bibliography"/>
        <w:ind w:left="720" w:hanging="720"/>
        <w:jc w:val="both"/>
        <w:rPr>
          <w:noProof/>
        </w:rPr>
      </w:pPr>
      <w:r w:rsidRPr="00147D59">
        <w:rPr>
          <w:noProof/>
        </w:rPr>
        <w:t xml:space="preserve">Dodd, P., &amp; Ruback, R. (1977). Tender offers and stockholder returns: An empirical analysis. </w:t>
      </w:r>
      <w:r w:rsidRPr="00147D59">
        <w:rPr>
          <w:i/>
          <w:iCs/>
          <w:noProof/>
        </w:rPr>
        <w:t>Journal of Financial Economics</w:t>
      </w:r>
      <w:r w:rsidRPr="00147D59">
        <w:rPr>
          <w:noProof/>
        </w:rPr>
        <w:t>, 351-373.</w:t>
      </w:r>
    </w:p>
    <w:p w:rsidR="00BD36FD" w:rsidRPr="00147D59" w:rsidRDefault="00BD36FD" w:rsidP="005E19AF">
      <w:pPr>
        <w:pStyle w:val="Bibliography"/>
        <w:ind w:left="720" w:hanging="720"/>
        <w:jc w:val="both"/>
        <w:rPr>
          <w:noProof/>
        </w:rPr>
      </w:pPr>
      <w:r w:rsidRPr="00147D59">
        <w:rPr>
          <w:noProof/>
        </w:rPr>
        <w:t xml:space="preserve">Dutordoir, M. (2014). Synergy disclosures in mergers and acquisitions. </w:t>
      </w:r>
      <w:r w:rsidRPr="00147D59">
        <w:rPr>
          <w:i/>
          <w:iCs/>
          <w:noProof/>
        </w:rPr>
        <w:t>International Review of Financial Analysis</w:t>
      </w:r>
      <w:r w:rsidRPr="00147D59">
        <w:rPr>
          <w:noProof/>
        </w:rPr>
        <w:t>, pp. 88-100.</w:t>
      </w:r>
    </w:p>
    <w:p w:rsidR="00BD36FD" w:rsidRPr="00147D59" w:rsidRDefault="00BD36FD" w:rsidP="005E19AF">
      <w:pPr>
        <w:pStyle w:val="Bibliography"/>
        <w:ind w:left="720" w:hanging="720"/>
        <w:jc w:val="both"/>
        <w:rPr>
          <w:noProof/>
        </w:rPr>
      </w:pPr>
      <w:r w:rsidRPr="00147D59">
        <w:rPr>
          <w:noProof/>
        </w:rPr>
        <w:t xml:space="preserve">Eckbo, E. (1983). Horizontal mergers, collusion and stockholders wealth. </w:t>
      </w:r>
      <w:r w:rsidRPr="00147D59">
        <w:rPr>
          <w:i/>
          <w:iCs/>
          <w:noProof/>
        </w:rPr>
        <w:t>Journal of Financial Economics</w:t>
      </w:r>
      <w:r w:rsidRPr="00147D59">
        <w:rPr>
          <w:noProof/>
        </w:rPr>
        <w:t>, 241-273.</w:t>
      </w:r>
    </w:p>
    <w:p w:rsidR="00BD36FD" w:rsidRPr="00147D59" w:rsidRDefault="00BD36FD" w:rsidP="005E19AF">
      <w:pPr>
        <w:pStyle w:val="Bibliography"/>
        <w:ind w:left="720" w:hanging="720"/>
        <w:jc w:val="both"/>
        <w:rPr>
          <w:noProof/>
        </w:rPr>
      </w:pPr>
      <w:r w:rsidRPr="00147D59">
        <w:rPr>
          <w:noProof/>
        </w:rPr>
        <w:t xml:space="preserve">Fraquelli, G., Piacenza, D., &amp; Vannoni, D. (2005). Cost savings from generation and distribution with an application to Italian electric utilities. </w:t>
      </w:r>
      <w:r w:rsidRPr="00147D59">
        <w:rPr>
          <w:i/>
          <w:iCs/>
          <w:noProof/>
        </w:rPr>
        <w:t>Journal of Regulatory Economics</w:t>
      </w:r>
      <w:r w:rsidRPr="00147D59">
        <w:rPr>
          <w:noProof/>
        </w:rPr>
        <w:t>, 289-308.</w:t>
      </w:r>
    </w:p>
    <w:p w:rsidR="00BD36FD" w:rsidRPr="00147D59" w:rsidRDefault="00BD36FD" w:rsidP="005E19AF">
      <w:pPr>
        <w:pStyle w:val="Bibliography"/>
        <w:ind w:left="720" w:hanging="720"/>
        <w:jc w:val="both"/>
        <w:rPr>
          <w:noProof/>
        </w:rPr>
      </w:pPr>
      <w:r w:rsidRPr="00147D59">
        <w:rPr>
          <w:noProof/>
        </w:rPr>
        <w:t xml:space="preserve">Grocer, S. (2018, 7 4). </w:t>
      </w:r>
      <w:r w:rsidRPr="00147D59">
        <w:rPr>
          <w:i/>
          <w:iCs/>
          <w:noProof/>
        </w:rPr>
        <w:t>https://www.nytimes.com/2018/07/03/business/dealbook/mergers-record-levels.html.</w:t>
      </w:r>
      <w:r w:rsidRPr="00147D59">
        <w:rPr>
          <w:noProof/>
        </w:rPr>
        <w:t xml:space="preserve"> Retrieved from www.nytimes.com.</w:t>
      </w:r>
    </w:p>
    <w:p w:rsidR="00BD36FD" w:rsidRPr="00147D59" w:rsidRDefault="00BD36FD" w:rsidP="005E19AF">
      <w:pPr>
        <w:pStyle w:val="Bibliography"/>
        <w:ind w:left="720" w:hanging="720"/>
        <w:jc w:val="both"/>
        <w:rPr>
          <w:noProof/>
        </w:rPr>
      </w:pPr>
      <w:r w:rsidRPr="00147D59">
        <w:rPr>
          <w:noProof/>
        </w:rPr>
        <w:t xml:space="preserve">Hackbarth, D., &amp; Morellec, E. (2008). Stock Returns in Mergers and Acquisitions. </w:t>
      </w:r>
      <w:r w:rsidRPr="00147D59">
        <w:rPr>
          <w:i/>
          <w:iCs/>
          <w:noProof/>
        </w:rPr>
        <w:t>The Journal of Finance</w:t>
      </w:r>
      <w:r w:rsidRPr="00147D59">
        <w:rPr>
          <w:noProof/>
        </w:rPr>
        <w:t>, 1213-1252.</w:t>
      </w:r>
    </w:p>
    <w:p w:rsidR="00BD36FD" w:rsidRPr="00147D59" w:rsidRDefault="00BD36FD" w:rsidP="005E19AF">
      <w:pPr>
        <w:pStyle w:val="Bibliography"/>
        <w:ind w:left="720" w:hanging="720"/>
        <w:jc w:val="both"/>
        <w:rPr>
          <w:noProof/>
        </w:rPr>
      </w:pPr>
      <w:r w:rsidRPr="00147D59">
        <w:rPr>
          <w:noProof/>
        </w:rPr>
        <w:t xml:space="preserve">Halpern, P. (1983). Corporate Acquistions: A theory of special cases? A review of event studies applied to acquisitions. </w:t>
      </w:r>
      <w:r w:rsidRPr="00147D59">
        <w:rPr>
          <w:i/>
          <w:iCs/>
          <w:noProof/>
        </w:rPr>
        <w:t>The Journal of Finance</w:t>
      </w:r>
      <w:r w:rsidRPr="00147D59">
        <w:rPr>
          <w:noProof/>
        </w:rPr>
        <w:t>, 297-317.</w:t>
      </w:r>
    </w:p>
    <w:p w:rsidR="00BD36FD" w:rsidRPr="00147D59" w:rsidRDefault="00BD36FD" w:rsidP="005E19AF">
      <w:pPr>
        <w:pStyle w:val="Bibliography"/>
        <w:ind w:left="720" w:hanging="720"/>
        <w:jc w:val="both"/>
        <w:rPr>
          <w:noProof/>
        </w:rPr>
      </w:pPr>
      <w:r w:rsidRPr="00147D59">
        <w:rPr>
          <w:noProof/>
        </w:rPr>
        <w:t xml:space="preserve">Huang, Y., &amp; Walkling, R. (1987). Target abnormal returns associated with acquisition announcements: Payment, acquisition form, and managerial resistance. </w:t>
      </w:r>
      <w:r w:rsidRPr="00147D59">
        <w:rPr>
          <w:i/>
          <w:iCs/>
          <w:noProof/>
        </w:rPr>
        <w:t>Journal of Financial Economics</w:t>
      </w:r>
      <w:r w:rsidRPr="00147D59">
        <w:rPr>
          <w:noProof/>
        </w:rPr>
        <w:t>, 329-359.</w:t>
      </w:r>
    </w:p>
    <w:p w:rsidR="00BD36FD" w:rsidRPr="00147D59" w:rsidRDefault="00BD36FD" w:rsidP="005E19AF">
      <w:pPr>
        <w:pStyle w:val="Bibliography"/>
        <w:ind w:left="720" w:hanging="720"/>
        <w:jc w:val="both"/>
        <w:rPr>
          <w:noProof/>
        </w:rPr>
      </w:pPr>
      <w:r w:rsidRPr="00147D59">
        <w:rPr>
          <w:noProof/>
        </w:rPr>
        <w:t xml:space="preserve">Huang, Y., &amp; Walkling, R. A. (1987). Target abnormal returns associated with acquisition announcements: Payment, acquisition form, and managerial resistance. </w:t>
      </w:r>
      <w:r w:rsidRPr="00147D59">
        <w:rPr>
          <w:i/>
          <w:iCs/>
          <w:noProof/>
        </w:rPr>
        <w:t>Journal of Financial Economics</w:t>
      </w:r>
      <w:r w:rsidRPr="00147D59">
        <w:rPr>
          <w:noProof/>
        </w:rPr>
        <w:t>, 329-349.</w:t>
      </w:r>
    </w:p>
    <w:p w:rsidR="00BD36FD" w:rsidRPr="00147D59" w:rsidRDefault="00BD36FD" w:rsidP="005E19AF">
      <w:pPr>
        <w:pStyle w:val="Bibliography"/>
        <w:ind w:left="720" w:hanging="720"/>
        <w:jc w:val="both"/>
        <w:rPr>
          <w:noProof/>
        </w:rPr>
      </w:pPr>
      <w:r w:rsidRPr="00147D59">
        <w:rPr>
          <w:noProof/>
        </w:rPr>
        <w:t xml:space="preserve">Jarrel, G., &amp; Poulsen, A. (1989). The Returns to Acquiring Firms in Tender Offers: Evidence from Three Decades. </w:t>
      </w:r>
      <w:r w:rsidRPr="00147D59">
        <w:rPr>
          <w:i/>
          <w:iCs/>
          <w:noProof/>
        </w:rPr>
        <w:t>Financial Management</w:t>
      </w:r>
      <w:r w:rsidRPr="00147D59">
        <w:rPr>
          <w:noProof/>
        </w:rPr>
        <w:t>, 12-19.</w:t>
      </w:r>
    </w:p>
    <w:p w:rsidR="00BD36FD" w:rsidRPr="00147D59" w:rsidRDefault="00BD36FD" w:rsidP="005E19AF">
      <w:pPr>
        <w:pStyle w:val="Bibliography"/>
        <w:ind w:left="720" w:hanging="720"/>
        <w:jc w:val="both"/>
        <w:rPr>
          <w:noProof/>
        </w:rPr>
      </w:pPr>
      <w:r w:rsidRPr="00147D59">
        <w:rPr>
          <w:noProof/>
        </w:rPr>
        <w:t xml:space="preserve">Jensen, M. (1986). Agency Costs of Free Cash Flow, Corporate Finance, and Takeovers. </w:t>
      </w:r>
      <w:r w:rsidRPr="00147D59">
        <w:rPr>
          <w:i/>
          <w:iCs/>
          <w:noProof/>
        </w:rPr>
        <w:t>The American Economic Review</w:t>
      </w:r>
      <w:r w:rsidRPr="00147D59">
        <w:rPr>
          <w:noProof/>
        </w:rPr>
        <w:t>, 323-329.</w:t>
      </w:r>
    </w:p>
    <w:p w:rsidR="00BD36FD" w:rsidRPr="00147D59" w:rsidRDefault="00BD36FD" w:rsidP="005E19AF">
      <w:pPr>
        <w:pStyle w:val="Bibliography"/>
        <w:ind w:left="720" w:hanging="720"/>
        <w:jc w:val="both"/>
        <w:rPr>
          <w:noProof/>
        </w:rPr>
      </w:pPr>
      <w:r w:rsidRPr="00147D59">
        <w:rPr>
          <w:noProof/>
        </w:rPr>
        <w:t xml:space="preserve">Jensen, M., &amp; Ruback, R. (1983). The Market For Corporate Control: The Scientific Evidence. </w:t>
      </w:r>
      <w:r w:rsidRPr="00147D59">
        <w:rPr>
          <w:i/>
          <w:iCs/>
          <w:noProof/>
        </w:rPr>
        <w:t>Journal of Financial Economics</w:t>
      </w:r>
      <w:r w:rsidRPr="00147D59">
        <w:rPr>
          <w:noProof/>
        </w:rPr>
        <w:t>, 5-50.</w:t>
      </w:r>
    </w:p>
    <w:p w:rsidR="00BD36FD" w:rsidRPr="00147D59" w:rsidRDefault="00BD36FD" w:rsidP="005E19AF">
      <w:pPr>
        <w:pStyle w:val="Bibliography"/>
        <w:ind w:left="720" w:hanging="720"/>
        <w:jc w:val="both"/>
        <w:rPr>
          <w:noProof/>
        </w:rPr>
      </w:pPr>
      <w:r w:rsidRPr="00147D59">
        <w:rPr>
          <w:noProof/>
        </w:rPr>
        <w:lastRenderedPageBreak/>
        <w:t xml:space="preserve">Kwoka, J., &amp; Pollit, M. (2010). Do mergers improve efficiency? Evidence from restructuring the US electric power sector. </w:t>
      </w:r>
      <w:r w:rsidRPr="00147D59">
        <w:rPr>
          <w:i/>
          <w:iCs/>
          <w:noProof/>
        </w:rPr>
        <w:t>International Journal of Industrial Organization</w:t>
      </w:r>
      <w:r w:rsidRPr="00147D59">
        <w:rPr>
          <w:noProof/>
        </w:rPr>
        <w:t>, 645-656.</w:t>
      </w:r>
    </w:p>
    <w:p w:rsidR="00BD36FD" w:rsidRPr="00147D59" w:rsidRDefault="00BD36FD" w:rsidP="005E19AF">
      <w:pPr>
        <w:pStyle w:val="Bibliography"/>
        <w:ind w:left="720" w:hanging="720"/>
        <w:jc w:val="both"/>
        <w:rPr>
          <w:noProof/>
        </w:rPr>
      </w:pPr>
      <w:r w:rsidRPr="00147D59">
        <w:rPr>
          <w:noProof/>
        </w:rPr>
        <w:t xml:space="preserve">Mackinlay, A. (1997). Event Studies in Economics and Finance. </w:t>
      </w:r>
      <w:r w:rsidRPr="00147D59">
        <w:rPr>
          <w:i/>
          <w:iCs/>
          <w:noProof/>
        </w:rPr>
        <w:t>Journal of Economic Literature</w:t>
      </w:r>
      <w:r w:rsidRPr="00147D59">
        <w:rPr>
          <w:noProof/>
        </w:rPr>
        <w:t>, 13-39.</w:t>
      </w:r>
    </w:p>
    <w:p w:rsidR="00BD36FD" w:rsidRPr="00147D59" w:rsidRDefault="00BD36FD" w:rsidP="005E19AF">
      <w:pPr>
        <w:pStyle w:val="Bibliography"/>
        <w:ind w:left="720" w:hanging="720"/>
        <w:jc w:val="both"/>
        <w:rPr>
          <w:noProof/>
        </w:rPr>
      </w:pPr>
      <w:r w:rsidRPr="00147D59">
        <w:rPr>
          <w:noProof/>
        </w:rPr>
        <w:t xml:space="preserve">Martynova, M., &amp; Renneboog, L. (2011). The performance of the eurpoean market for corporate control: evidence from the fifth takeover wave. </w:t>
      </w:r>
      <w:r w:rsidRPr="00147D59">
        <w:rPr>
          <w:i/>
          <w:iCs/>
          <w:noProof/>
        </w:rPr>
        <w:t>European Financial Management</w:t>
      </w:r>
      <w:r w:rsidRPr="00147D59">
        <w:rPr>
          <w:noProof/>
        </w:rPr>
        <w:t>, 208-259.</w:t>
      </w:r>
    </w:p>
    <w:p w:rsidR="00BD36FD" w:rsidRPr="00147D59" w:rsidRDefault="00BD36FD" w:rsidP="005E19AF">
      <w:pPr>
        <w:pStyle w:val="Bibliography"/>
        <w:ind w:left="720" w:hanging="720"/>
        <w:jc w:val="both"/>
        <w:rPr>
          <w:noProof/>
        </w:rPr>
      </w:pPr>
      <w:r w:rsidRPr="00147D59">
        <w:rPr>
          <w:noProof/>
        </w:rPr>
        <w:t xml:space="preserve">Moeller, S., Schlingemann, F., &amp; Stulz, R. (2004). Firm Size and the Gains from Acquisitions. </w:t>
      </w:r>
      <w:r w:rsidRPr="00147D59">
        <w:rPr>
          <w:i/>
          <w:iCs/>
          <w:noProof/>
        </w:rPr>
        <w:t>Journal of Financial Economics</w:t>
      </w:r>
      <w:r w:rsidRPr="00147D59">
        <w:rPr>
          <w:noProof/>
        </w:rPr>
        <w:t>, 201-228.</w:t>
      </w:r>
    </w:p>
    <w:p w:rsidR="00BD36FD" w:rsidRPr="00147D59" w:rsidRDefault="00BD36FD" w:rsidP="005E19AF">
      <w:pPr>
        <w:pStyle w:val="Bibliography"/>
        <w:ind w:left="720" w:hanging="720"/>
        <w:jc w:val="both"/>
        <w:rPr>
          <w:noProof/>
        </w:rPr>
      </w:pPr>
      <w:r w:rsidRPr="00147D59">
        <w:rPr>
          <w:noProof/>
        </w:rPr>
        <w:t xml:space="preserve">Morck, R., Shleifer, A., &amp; Vishny, R. (1990). Do managerial objective drive bad acquisitions? </w:t>
      </w:r>
      <w:r w:rsidRPr="00147D59">
        <w:rPr>
          <w:i/>
          <w:iCs/>
          <w:noProof/>
        </w:rPr>
        <w:t>The Journal of Finance</w:t>
      </w:r>
      <w:r w:rsidRPr="00147D59">
        <w:rPr>
          <w:noProof/>
        </w:rPr>
        <w:t>, 31-48.</w:t>
      </w:r>
    </w:p>
    <w:p w:rsidR="00BD36FD" w:rsidRPr="00147D59" w:rsidRDefault="00BD36FD" w:rsidP="005E19AF">
      <w:pPr>
        <w:pStyle w:val="Bibliography"/>
        <w:ind w:left="720" w:hanging="720"/>
        <w:jc w:val="both"/>
        <w:rPr>
          <w:noProof/>
        </w:rPr>
      </w:pPr>
      <w:r w:rsidRPr="00147D59">
        <w:rPr>
          <w:noProof/>
        </w:rPr>
        <w:t xml:space="preserve">Myers, S., &amp; Majluf, N. (1984). Corporate financing and investment decisions when firms have information that investors do not have. </w:t>
      </w:r>
      <w:r w:rsidRPr="00147D59">
        <w:rPr>
          <w:i/>
          <w:iCs/>
          <w:noProof/>
        </w:rPr>
        <w:t>Journal of Financial Economics</w:t>
      </w:r>
      <w:r w:rsidRPr="00147D59">
        <w:rPr>
          <w:noProof/>
        </w:rPr>
        <w:t>, 187-221.</w:t>
      </w:r>
    </w:p>
    <w:p w:rsidR="00BD36FD" w:rsidRPr="00147D59" w:rsidRDefault="00BD36FD" w:rsidP="005E19AF">
      <w:pPr>
        <w:pStyle w:val="Bibliography"/>
        <w:ind w:left="720" w:hanging="720"/>
        <w:jc w:val="both"/>
        <w:rPr>
          <w:noProof/>
        </w:rPr>
      </w:pPr>
      <w:r w:rsidRPr="00147D59">
        <w:rPr>
          <w:noProof/>
        </w:rPr>
        <w:t xml:space="preserve">Myers, S., &amp; Majluf, N. (1984). Corporate financing and investment decisions when firms have information that investors do not have. </w:t>
      </w:r>
      <w:r w:rsidRPr="00147D59">
        <w:rPr>
          <w:i/>
          <w:iCs/>
          <w:noProof/>
        </w:rPr>
        <w:t>Journal of Financial Economics</w:t>
      </w:r>
      <w:r w:rsidRPr="00147D59">
        <w:rPr>
          <w:noProof/>
        </w:rPr>
        <w:t>, 187-221.</w:t>
      </w:r>
    </w:p>
    <w:p w:rsidR="00BD36FD" w:rsidRPr="00147D59" w:rsidRDefault="00BD36FD" w:rsidP="005E19AF">
      <w:pPr>
        <w:pStyle w:val="Bibliography"/>
        <w:ind w:left="720" w:hanging="720"/>
        <w:jc w:val="both"/>
        <w:rPr>
          <w:noProof/>
        </w:rPr>
      </w:pPr>
      <w:r w:rsidRPr="00147D59">
        <w:rPr>
          <w:noProof/>
        </w:rPr>
        <w:t xml:space="preserve">Roll, R. (1986). The Hubris Hypothesis of Corporate Takeover. </w:t>
      </w:r>
      <w:r w:rsidRPr="00147D59">
        <w:rPr>
          <w:i/>
          <w:iCs/>
          <w:noProof/>
        </w:rPr>
        <w:t>The Journal of Business</w:t>
      </w:r>
      <w:r w:rsidRPr="00147D59">
        <w:rPr>
          <w:noProof/>
        </w:rPr>
        <w:t>, 197-216.</w:t>
      </w:r>
    </w:p>
    <w:p w:rsidR="00BD36FD" w:rsidRPr="00147D59" w:rsidRDefault="00BD36FD" w:rsidP="005E19AF">
      <w:pPr>
        <w:pStyle w:val="Bibliography"/>
        <w:ind w:left="720" w:hanging="720"/>
        <w:jc w:val="both"/>
        <w:rPr>
          <w:noProof/>
        </w:rPr>
      </w:pPr>
      <w:r w:rsidRPr="00147D59">
        <w:rPr>
          <w:noProof/>
        </w:rPr>
        <w:t xml:space="preserve">Schwert, G. W. (1996). Markup pricing in mergers and acquisitions. </w:t>
      </w:r>
      <w:r w:rsidRPr="00147D59">
        <w:rPr>
          <w:i/>
          <w:iCs/>
          <w:noProof/>
        </w:rPr>
        <w:t>Journal of Financial Economics</w:t>
      </w:r>
      <w:r w:rsidRPr="00147D59">
        <w:rPr>
          <w:noProof/>
        </w:rPr>
        <w:t>, pp. 153-192.</w:t>
      </w:r>
    </w:p>
    <w:p w:rsidR="00BD36FD" w:rsidRPr="00147D59" w:rsidRDefault="00BD36FD" w:rsidP="005E19AF">
      <w:pPr>
        <w:pStyle w:val="Bibliography"/>
        <w:ind w:left="720" w:hanging="720"/>
        <w:jc w:val="both"/>
        <w:rPr>
          <w:noProof/>
        </w:rPr>
      </w:pPr>
      <w:r w:rsidRPr="00147D59">
        <w:rPr>
          <w:noProof/>
        </w:rPr>
        <w:t xml:space="preserve">Smith, C. (2008). </w:t>
      </w:r>
      <w:r w:rsidRPr="00147D59">
        <w:rPr>
          <w:i/>
          <w:iCs/>
          <w:noProof/>
        </w:rPr>
        <w:t>Handbook of Empirical Corporate Finance: Managing Corporate Risk.</w:t>
      </w:r>
      <w:r w:rsidRPr="00147D59">
        <w:rPr>
          <w:noProof/>
        </w:rPr>
        <w:t xml:space="preserve"> Amsterdam: Elsevier.</w:t>
      </w:r>
    </w:p>
    <w:p w:rsidR="00BD36FD" w:rsidRPr="00147D59" w:rsidRDefault="00BD36FD" w:rsidP="005E19AF">
      <w:pPr>
        <w:pStyle w:val="Bibliography"/>
        <w:ind w:left="720" w:hanging="720"/>
        <w:jc w:val="both"/>
        <w:rPr>
          <w:noProof/>
        </w:rPr>
      </w:pPr>
      <w:r w:rsidRPr="00147D59">
        <w:rPr>
          <w:noProof/>
        </w:rPr>
        <w:t xml:space="preserve">Travlos, N. (1987). Corporate Takeover Bids, Methods of Payment, and Bidding Firms' Stock Returns. </w:t>
      </w:r>
      <w:r w:rsidRPr="00147D59">
        <w:rPr>
          <w:i/>
          <w:iCs/>
          <w:noProof/>
        </w:rPr>
        <w:t>The journal of Finance</w:t>
      </w:r>
      <w:r w:rsidRPr="00147D59">
        <w:rPr>
          <w:noProof/>
        </w:rPr>
        <w:t>, 943-963.</w:t>
      </w:r>
    </w:p>
    <w:p w:rsidR="00BD36FD" w:rsidRPr="00147D59" w:rsidRDefault="00BD36FD" w:rsidP="005E19AF">
      <w:pPr>
        <w:pStyle w:val="Bibliography"/>
        <w:ind w:left="720" w:hanging="720"/>
        <w:jc w:val="both"/>
        <w:rPr>
          <w:noProof/>
        </w:rPr>
      </w:pPr>
      <w:r w:rsidRPr="00147D59">
        <w:rPr>
          <w:noProof/>
        </w:rPr>
        <w:t xml:space="preserve">Verde, S. (2008). Everybody merges with somebody - The wave of M&amp;As in the energy industry and the EU merger policy. </w:t>
      </w:r>
      <w:r w:rsidRPr="00147D59">
        <w:rPr>
          <w:i/>
          <w:iCs/>
          <w:noProof/>
        </w:rPr>
        <w:t>Energy Policy</w:t>
      </w:r>
      <w:r w:rsidRPr="00147D59">
        <w:rPr>
          <w:noProof/>
        </w:rPr>
        <w:t>, 1125-1133.</w:t>
      </w:r>
    </w:p>
    <w:p w:rsidR="00BD36FD" w:rsidRPr="00147D59" w:rsidRDefault="00BD36FD" w:rsidP="005E19AF">
      <w:pPr>
        <w:pStyle w:val="Bibliography"/>
        <w:ind w:left="720" w:hanging="720"/>
        <w:jc w:val="both"/>
        <w:rPr>
          <w:noProof/>
        </w:rPr>
      </w:pPr>
      <w:r w:rsidRPr="00147D59">
        <w:rPr>
          <w:noProof/>
        </w:rPr>
        <w:t xml:space="preserve">Weston, J., Johnson, B., &amp; Siu, J. (1999). Mergers and restructering in the world oil industry. </w:t>
      </w:r>
      <w:r w:rsidRPr="00147D59">
        <w:rPr>
          <w:i/>
          <w:iCs/>
          <w:noProof/>
        </w:rPr>
        <w:t>Journal of Energy Finance &amp; Development</w:t>
      </w:r>
      <w:r w:rsidRPr="00147D59">
        <w:rPr>
          <w:noProof/>
        </w:rPr>
        <w:t>, 149-183.</w:t>
      </w:r>
    </w:p>
    <w:p w:rsidR="00BD36FD" w:rsidRPr="00147D59" w:rsidRDefault="004B3E9F" w:rsidP="005E19AF">
      <w:pPr>
        <w:pStyle w:val="Heading1"/>
        <w:jc w:val="both"/>
        <w:rPr>
          <w:noProof/>
        </w:rPr>
      </w:pPr>
      <w:r w:rsidRPr="00147D59">
        <w:rPr>
          <w:noProof/>
        </w:rPr>
        <w:fldChar w:fldCharType="end"/>
      </w:r>
    </w:p>
    <w:p w:rsidR="00BD36FD" w:rsidRPr="00147D59" w:rsidRDefault="00BD36FD" w:rsidP="005E19AF">
      <w:pPr>
        <w:jc w:val="both"/>
      </w:pPr>
    </w:p>
    <w:p w:rsidR="00BD36FD" w:rsidRPr="00147D59" w:rsidRDefault="00BD36FD" w:rsidP="005E19AF">
      <w:pPr>
        <w:jc w:val="both"/>
      </w:pPr>
    </w:p>
    <w:p w:rsidR="00BD36FD" w:rsidRPr="00147D59" w:rsidRDefault="00BD36FD" w:rsidP="005E19AF">
      <w:pPr>
        <w:jc w:val="both"/>
      </w:pPr>
    </w:p>
    <w:p w:rsidR="00BD36FD" w:rsidRPr="00147D59" w:rsidRDefault="00BD36FD" w:rsidP="005E19AF">
      <w:pPr>
        <w:jc w:val="both"/>
      </w:pPr>
    </w:p>
    <w:p w:rsidR="00BD36FD" w:rsidRPr="00147D59" w:rsidRDefault="00BD36FD" w:rsidP="005E19AF">
      <w:pPr>
        <w:jc w:val="both"/>
      </w:pPr>
    </w:p>
    <w:p w:rsidR="00BD36FD" w:rsidRPr="00147D59" w:rsidRDefault="00BD36FD" w:rsidP="005E19AF">
      <w:pPr>
        <w:jc w:val="both"/>
        <w:rPr>
          <w:noProof/>
        </w:rPr>
      </w:pPr>
    </w:p>
    <w:p w:rsidR="00505620" w:rsidRPr="00147D59" w:rsidRDefault="00505620" w:rsidP="005E19AF">
      <w:pPr>
        <w:jc w:val="both"/>
        <w:rPr>
          <w:noProof/>
        </w:rPr>
      </w:pPr>
    </w:p>
    <w:p w:rsidR="00505620" w:rsidRPr="00147D59" w:rsidRDefault="00505620" w:rsidP="005E19AF">
      <w:pPr>
        <w:jc w:val="both"/>
        <w:rPr>
          <w:noProof/>
        </w:rPr>
      </w:pPr>
    </w:p>
    <w:p w:rsidR="004B3E9F" w:rsidRPr="00147D59" w:rsidRDefault="005E77DF" w:rsidP="005E19AF">
      <w:pPr>
        <w:pStyle w:val="Heading1"/>
        <w:jc w:val="both"/>
        <w:rPr>
          <w:noProof/>
        </w:rPr>
      </w:pPr>
      <w:bookmarkStart w:id="28" w:name="_Toc13477612"/>
      <w:r w:rsidRPr="00147D59">
        <w:rPr>
          <w:noProof/>
        </w:rPr>
        <w:lastRenderedPageBreak/>
        <w:t>Appendix</w:t>
      </w:r>
      <w:bookmarkEnd w:id="28"/>
    </w:p>
    <w:p w:rsidR="00505620" w:rsidRPr="00147D59" w:rsidRDefault="00505620" w:rsidP="005E19AF">
      <w:pPr>
        <w:jc w:val="both"/>
      </w:pPr>
    </w:p>
    <w:tbl>
      <w:tblPr>
        <w:tblW w:w="6260" w:type="dxa"/>
        <w:tblInd w:w="93" w:type="dxa"/>
        <w:tblLook w:val="04A0" w:firstRow="1" w:lastRow="0" w:firstColumn="1" w:lastColumn="0" w:noHBand="0" w:noVBand="1"/>
      </w:tblPr>
      <w:tblGrid>
        <w:gridCol w:w="3620"/>
        <w:gridCol w:w="1300"/>
        <w:gridCol w:w="1340"/>
      </w:tblGrid>
      <w:tr w:rsidR="00F03122" w:rsidTr="00F03122">
        <w:trPr>
          <w:trHeight w:val="300"/>
        </w:trPr>
        <w:tc>
          <w:tcPr>
            <w:tcW w:w="3620" w:type="dxa"/>
            <w:tcBorders>
              <w:top w:val="single" w:sz="8" w:space="0" w:color="5B9BD5"/>
              <w:left w:val="single" w:sz="8" w:space="0" w:color="5B9BD5"/>
              <w:bottom w:val="single" w:sz="12" w:space="0" w:color="5B9BD5"/>
              <w:right w:val="single" w:sz="8" w:space="0" w:color="5B9BD5"/>
            </w:tcBorders>
            <w:shd w:val="clear" w:color="4F81BD" w:fill="4F81BD"/>
            <w:noWrap/>
            <w:vAlign w:val="center"/>
            <w:hideMark/>
          </w:tcPr>
          <w:p w:rsidR="00F03122" w:rsidRDefault="00F03122" w:rsidP="005E19AF">
            <w:pPr>
              <w:jc w:val="both"/>
              <w:rPr>
                <w:rFonts w:ascii="Calibri" w:hAnsi="Calibri"/>
                <w:b/>
                <w:bCs/>
                <w:color w:val="000000"/>
              </w:rPr>
            </w:pPr>
            <w:r>
              <w:rPr>
                <w:rFonts w:ascii="Calibri" w:hAnsi="Calibri"/>
                <w:b/>
                <w:bCs/>
                <w:color w:val="000000"/>
              </w:rPr>
              <w:t>Consideration</w:t>
            </w:r>
          </w:p>
        </w:tc>
        <w:tc>
          <w:tcPr>
            <w:tcW w:w="1300" w:type="dxa"/>
            <w:tcBorders>
              <w:top w:val="single" w:sz="8" w:space="0" w:color="5B9BD5"/>
              <w:left w:val="nil"/>
              <w:bottom w:val="single" w:sz="12" w:space="0" w:color="5B9BD5"/>
              <w:right w:val="single" w:sz="8" w:space="0" w:color="5B9BD5"/>
            </w:tcBorders>
            <w:shd w:val="clear" w:color="4F81BD" w:fill="4F81BD"/>
            <w:noWrap/>
            <w:vAlign w:val="center"/>
            <w:hideMark/>
          </w:tcPr>
          <w:p w:rsidR="00F03122" w:rsidRDefault="00F03122" w:rsidP="005E19AF">
            <w:pPr>
              <w:jc w:val="both"/>
              <w:rPr>
                <w:rFonts w:ascii="Calibri" w:hAnsi="Calibri"/>
                <w:b/>
                <w:bCs/>
                <w:color w:val="000000"/>
              </w:rPr>
            </w:pPr>
            <w:r>
              <w:rPr>
                <w:rFonts w:ascii="Calibri" w:hAnsi="Calibri"/>
                <w:b/>
                <w:bCs/>
                <w:color w:val="000000"/>
              </w:rPr>
              <w:t xml:space="preserve">N= </w:t>
            </w:r>
          </w:p>
        </w:tc>
        <w:tc>
          <w:tcPr>
            <w:tcW w:w="1340" w:type="dxa"/>
            <w:tcBorders>
              <w:top w:val="single" w:sz="4" w:space="0" w:color="95B3D7"/>
              <w:left w:val="nil"/>
              <w:bottom w:val="single" w:sz="4" w:space="0" w:color="95B3D7"/>
              <w:right w:val="single" w:sz="4" w:space="0" w:color="95B3D7"/>
            </w:tcBorders>
            <w:shd w:val="clear" w:color="4F81BD" w:fill="4F81BD"/>
            <w:noWrap/>
            <w:vAlign w:val="bottom"/>
            <w:hideMark/>
          </w:tcPr>
          <w:p w:rsidR="00F03122" w:rsidRDefault="00F03122" w:rsidP="005E19AF">
            <w:pPr>
              <w:jc w:val="both"/>
              <w:rPr>
                <w:rFonts w:ascii="Calibri" w:hAnsi="Calibri"/>
                <w:b/>
                <w:bCs/>
              </w:rPr>
            </w:pPr>
            <w:r>
              <w:rPr>
                <w:rFonts w:ascii="Calibri" w:hAnsi="Calibri"/>
                <w:b/>
                <w:bCs/>
              </w:rPr>
              <w:t>Percentage</w:t>
            </w:r>
          </w:p>
        </w:tc>
      </w:tr>
      <w:tr w:rsidR="00F03122" w:rsidTr="00F03122">
        <w:trPr>
          <w:trHeight w:val="312"/>
        </w:trPr>
        <w:tc>
          <w:tcPr>
            <w:tcW w:w="3620" w:type="dxa"/>
            <w:tcBorders>
              <w:top w:val="single" w:sz="4" w:space="0" w:color="95B3D7"/>
              <w:left w:val="single" w:sz="8" w:space="0" w:color="5B9BD5"/>
              <w:bottom w:val="single" w:sz="8" w:space="0" w:color="5B9BD5"/>
              <w:right w:val="single" w:sz="8" w:space="0" w:color="5B9BD5"/>
            </w:tcBorders>
            <w:shd w:val="clear" w:color="000000" w:fill="D6E6F4"/>
            <w:noWrap/>
            <w:vAlign w:val="center"/>
            <w:hideMark/>
          </w:tcPr>
          <w:p w:rsidR="00F03122" w:rsidRDefault="00F03122" w:rsidP="005E19AF">
            <w:pPr>
              <w:jc w:val="both"/>
              <w:rPr>
                <w:rFonts w:ascii="Calibri" w:hAnsi="Calibri"/>
                <w:color w:val="000000"/>
              </w:rPr>
            </w:pPr>
            <w:r>
              <w:rPr>
                <w:rFonts w:ascii="Calibri" w:hAnsi="Calibri"/>
                <w:color w:val="000000"/>
              </w:rPr>
              <w:t>Cash</w:t>
            </w:r>
          </w:p>
        </w:tc>
        <w:tc>
          <w:tcPr>
            <w:tcW w:w="1300" w:type="dxa"/>
            <w:tcBorders>
              <w:top w:val="single" w:sz="4" w:space="0" w:color="95B3D7"/>
              <w:left w:val="nil"/>
              <w:bottom w:val="single" w:sz="8" w:space="0" w:color="5B9BD5"/>
              <w:right w:val="single" w:sz="8" w:space="0" w:color="5B9BD5"/>
            </w:tcBorders>
            <w:shd w:val="clear" w:color="000000" w:fill="D6E6F4"/>
            <w:noWrap/>
            <w:vAlign w:val="center"/>
            <w:hideMark/>
          </w:tcPr>
          <w:p w:rsidR="00F03122" w:rsidRDefault="00F03122" w:rsidP="005E19AF">
            <w:pPr>
              <w:jc w:val="both"/>
              <w:rPr>
                <w:rFonts w:ascii="Calibri" w:hAnsi="Calibri"/>
                <w:color w:val="000000"/>
              </w:rPr>
            </w:pPr>
            <w:r>
              <w:rPr>
                <w:rFonts w:ascii="Calibri" w:hAnsi="Calibri"/>
                <w:color w:val="000000"/>
              </w:rPr>
              <w:t>26</w:t>
            </w:r>
          </w:p>
        </w:tc>
        <w:tc>
          <w:tcPr>
            <w:tcW w:w="1340" w:type="dxa"/>
            <w:tcBorders>
              <w:top w:val="single" w:sz="4" w:space="0" w:color="95B3D7"/>
              <w:left w:val="nil"/>
              <w:bottom w:val="single" w:sz="4" w:space="0" w:color="95B3D7"/>
              <w:right w:val="single" w:sz="4" w:space="0" w:color="95B3D7"/>
            </w:tcBorders>
            <w:shd w:val="clear" w:color="DCE6F1" w:fill="DCE6F1"/>
            <w:noWrap/>
            <w:vAlign w:val="bottom"/>
            <w:hideMark/>
          </w:tcPr>
          <w:p w:rsidR="00F03122" w:rsidRDefault="00F03122" w:rsidP="005E19AF">
            <w:pPr>
              <w:jc w:val="both"/>
              <w:rPr>
                <w:rFonts w:ascii="Calibri" w:hAnsi="Calibri"/>
                <w:color w:val="000000"/>
              </w:rPr>
            </w:pPr>
            <w:r>
              <w:rPr>
                <w:rFonts w:ascii="Calibri" w:hAnsi="Calibri"/>
                <w:color w:val="000000"/>
              </w:rPr>
              <w:t>10,83%</w:t>
            </w:r>
          </w:p>
        </w:tc>
      </w:tr>
      <w:tr w:rsidR="00F03122" w:rsidTr="00F03122">
        <w:trPr>
          <w:trHeight w:val="300"/>
        </w:trPr>
        <w:tc>
          <w:tcPr>
            <w:tcW w:w="3620" w:type="dxa"/>
            <w:tcBorders>
              <w:top w:val="single" w:sz="4" w:space="0" w:color="95B3D7"/>
              <w:left w:val="single" w:sz="8" w:space="0" w:color="5B9BD5"/>
              <w:bottom w:val="single" w:sz="8" w:space="0" w:color="5B9BD5"/>
              <w:right w:val="single" w:sz="8" w:space="0" w:color="5B9BD5"/>
            </w:tcBorders>
            <w:shd w:val="clear" w:color="auto" w:fill="auto"/>
            <w:noWrap/>
            <w:vAlign w:val="center"/>
            <w:hideMark/>
          </w:tcPr>
          <w:p w:rsidR="00F03122" w:rsidRDefault="00F03122" w:rsidP="005E19AF">
            <w:pPr>
              <w:jc w:val="both"/>
              <w:rPr>
                <w:rFonts w:ascii="Calibri" w:hAnsi="Calibri"/>
                <w:color w:val="000000"/>
              </w:rPr>
            </w:pPr>
            <w:r>
              <w:rPr>
                <w:rFonts w:ascii="Calibri" w:hAnsi="Calibri"/>
                <w:color w:val="000000"/>
              </w:rPr>
              <w:t>Stock</w:t>
            </w:r>
          </w:p>
        </w:tc>
        <w:tc>
          <w:tcPr>
            <w:tcW w:w="1300" w:type="dxa"/>
            <w:tcBorders>
              <w:top w:val="single" w:sz="4" w:space="0" w:color="95B3D7"/>
              <w:left w:val="nil"/>
              <w:bottom w:val="single" w:sz="8" w:space="0" w:color="5B9BD5"/>
              <w:right w:val="single" w:sz="8" w:space="0" w:color="5B9BD5"/>
            </w:tcBorders>
            <w:shd w:val="clear" w:color="auto" w:fill="auto"/>
            <w:noWrap/>
            <w:vAlign w:val="center"/>
            <w:hideMark/>
          </w:tcPr>
          <w:p w:rsidR="00F03122" w:rsidRDefault="00F03122" w:rsidP="005E19AF">
            <w:pPr>
              <w:jc w:val="both"/>
              <w:rPr>
                <w:rFonts w:ascii="Calibri" w:hAnsi="Calibri"/>
                <w:color w:val="000000"/>
              </w:rPr>
            </w:pPr>
            <w:r>
              <w:rPr>
                <w:rFonts w:ascii="Calibri" w:hAnsi="Calibri"/>
                <w:color w:val="000000"/>
              </w:rPr>
              <w:t>73</w:t>
            </w:r>
          </w:p>
        </w:tc>
        <w:tc>
          <w:tcPr>
            <w:tcW w:w="1340" w:type="dxa"/>
            <w:tcBorders>
              <w:top w:val="single" w:sz="4" w:space="0" w:color="95B3D7"/>
              <w:left w:val="nil"/>
              <w:bottom w:val="single" w:sz="4" w:space="0" w:color="95B3D7"/>
              <w:right w:val="single" w:sz="4" w:space="0" w:color="95B3D7"/>
            </w:tcBorders>
            <w:shd w:val="clear" w:color="auto" w:fill="auto"/>
            <w:noWrap/>
            <w:vAlign w:val="bottom"/>
            <w:hideMark/>
          </w:tcPr>
          <w:p w:rsidR="00F03122" w:rsidRDefault="00F03122" w:rsidP="005E19AF">
            <w:pPr>
              <w:jc w:val="both"/>
              <w:rPr>
                <w:rFonts w:ascii="Calibri" w:hAnsi="Calibri"/>
                <w:color w:val="000000"/>
              </w:rPr>
            </w:pPr>
            <w:r>
              <w:rPr>
                <w:rFonts w:ascii="Calibri" w:hAnsi="Calibri"/>
                <w:color w:val="000000"/>
              </w:rPr>
              <w:t>30,42%</w:t>
            </w:r>
          </w:p>
        </w:tc>
      </w:tr>
      <w:tr w:rsidR="00F03122" w:rsidTr="00F03122">
        <w:trPr>
          <w:trHeight w:val="300"/>
        </w:trPr>
        <w:tc>
          <w:tcPr>
            <w:tcW w:w="3620" w:type="dxa"/>
            <w:tcBorders>
              <w:top w:val="single" w:sz="4" w:space="0" w:color="95B3D7"/>
              <w:left w:val="single" w:sz="8" w:space="0" w:color="5B9BD5"/>
              <w:bottom w:val="single" w:sz="8" w:space="0" w:color="5B9BD5"/>
              <w:right w:val="single" w:sz="8" w:space="0" w:color="5B9BD5"/>
            </w:tcBorders>
            <w:shd w:val="clear" w:color="000000" w:fill="D6E6F4"/>
            <w:noWrap/>
            <w:vAlign w:val="center"/>
            <w:hideMark/>
          </w:tcPr>
          <w:p w:rsidR="00F03122" w:rsidRDefault="00F03122" w:rsidP="005E19AF">
            <w:pPr>
              <w:jc w:val="both"/>
              <w:rPr>
                <w:rFonts w:ascii="Calibri" w:hAnsi="Calibri"/>
                <w:color w:val="000000"/>
              </w:rPr>
            </w:pPr>
            <w:r>
              <w:rPr>
                <w:rFonts w:ascii="Calibri" w:hAnsi="Calibri"/>
                <w:color w:val="000000"/>
              </w:rPr>
              <w:t>Mixed</w:t>
            </w:r>
          </w:p>
        </w:tc>
        <w:tc>
          <w:tcPr>
            <w:tcW w:w="1300" w:type="dxa"/>
            <w:tcBorders>
              <w:top w:val="single" w:sz="4" w:space="0" w:color="95B3D7"/>
              <w:left w:val="nil"/>
              <w:bottom w:val="single" w:sz="8" w:space="0" w:color="5B9BD5"/>
              <w:right w:val="single" w:sz="8" w:space="0" w:color="5B9BD5"/>
            </w:tcBorders>
            <w:shd w:val="clear" w:color="000000" w:fill="D6E6F4"/>
            <w:noWrap/>
            <w:vAlign w:val="center"/>
            <w:hideMark/>
          </w:tcPr>
          <w:p w:rsidR="00F03122" w:rsidRDefault="00F03122" w:rsidP="005E19AF">
            <w:pPr>
              <w:jc w:val="both"/>
              <w:rPr>
                <w:rFonts w:ascii="Calibri" w:hAnsi="Calibri"/>
                <w:color w:val="000000"/>
              </w:rPr>
            </w:pPr>
            <w:r>
              <w:rPr>
                <w:rFonts w:ascii="Calibri" w:hAnsi="Calibri"/>
                <w:color w:val="000000"/>
              </w:rPr>
              <w:t>141</w:t>
            </w:r>
          </w:p>
        </w:tc>
        <w:tc>
          <w:tcPr>
            <w:tcW w:w="1340" w:type="dxa"/>
            <w:tcBorders>
              <w:top w:val="single" w:sz="4" w:space="0" w:color="95B3D7"/>
              <w:left w:val="nil"/>
              <w:bottom w:val="single" w:sz="4" w:space="0" w:color="95B3D7"/>
              <w:right w:val="single" w:sz="4" w:space="0" w:color="95B3D7"/>
            </w:tcBorders>
            <w:shd w:val="clear" w:color="DCE6F1" w:fill="DCE6F1"/>
            <w:noWrap/>
            <w:vAlign w:val="bottom"/>
            <w:hideMark/>
          </w:tcPr>
          <w:p w:rsidR="00F03122" w:rsidRDefault="00F03122" w:rsidP="005E19AF">
            <w:pPr>
              <w:jc w:val="both"/>
              <w:rPr>
                <w:rFonts w:ascii="Calibri" w:hAnsi="Calibri"/>
                <w:color w:val="000000"/>
              </w:rPr>
            </w:pPr>
            <w:r>
              <w:rPr>
                <w:rFonts w:ascii="Calibri" w:hAnsi="Calibri"/>
                <w:color w:val="000000"/>
              </w:rPr>
              <w:t>58,75%</w:t>
            </w:r>
          </w:p>
        </w:tc>
      </w:tr>
      <w:tr w:rsidR="00F03122" w:rsidTr="00F03122">
        <w:trPr>
          <w:trHeight w:val="300"/>
        </w:trPr>
        <w:tc>
          <w:tcPr>
            <w:tcW w:w="3620" w:type="dxa"/>
            <w:tcBorders>
              <w:top w:val="single" w:sz="4" w:space="0" w:color="95B3D7"/>
              <w:left w:val="single" w:sz="8" w:space="0" w:color="5B9BD5"/>
              <w:bottom w:val="single" w:sz="8" w:space="0" w:color="5B9BD5"/>
              <w:right w:val="single" w:sz="8" w:space="0" w:color="5B9BD5"/>
            </w:tcBorders>
            <w:shd w:val="clear" w:color="auto" w:fill="auto"/>
            <w:noWrap/>
            <w:hideMark/>
          </w:tcPr>
          <w:p w:rsidR="00F03122" w:rsidRDefault="00F03122" w:rsidP="005E19AF">
            <w:pPr>
              <w:jc w:val="both"/>
              <w:rPr>
                <w:rFonts w:ascii="Calibri" w:hAnsi="Calibri"/>
                <w:color w:val="000000"/>
              </w:rPr>
            </w:pPr>
            <w:r>
              <w:rPr>
                <w:rFonts w:ascii="Calibri" w:hAnsi="Calibri"/>
                <w:color w:val="000000"/>
              </w:rPr>
              <w:t> </w:t>
            </w:r>
          </w:p>
        </w:tc>
        <w:tc>
          <w:tcPr>
            <w:tcW w:w="1300" w:type="dxa"/>
            <w:tcBorders>
              <w:top w:val="single" w:sz="4" w:space="0" w:color="95B3D7"/>
              <w:left w:val="nil"/>
              <w:bottom w:val="single" w:sz="8" w:space="0" w:color="5B9BD5"/>
              <w:right w:val="single" w:sz="8" w:space="0" w:color="5B9BD5"/>
            </w:tcBorders>
            <w:shd w:val="clear" w:color="auto" w:fill="auto"/>
            <w:noWrap/>
            <w:hideMark/>
          </w:tcPr>
          <w:p w:rsidR="00F03122" w:rsidRDefault="00F03122" w:rsidP="005E19AF">
            <w:pPr>
              <w:jc w:val="both"/>
              <w:rPr>
                <w:rFonts w:ascii="Calibri" w:hAnsi="Calibri"/>
                <w:color w:val="000000"/>
              </w:rPr>
            </w:pPr>
            <w:r>
              <w:rPr>
                <w:rFonts w:ascii="Calibri" w:hAnsi="Calibri"/>
                <w:color w:val="000000"/>
              </w:rPr>
              <w:t> </w:t>
            </w:r>
          </w:p>
        </w:tc>
        <w:tc>
          <w:tcPr>
            <w:tcW w:w="1340" w:type="dxa"/>
            <w:tcBorders>
              <w:top w:val="single" w:sz="4" w:space="0" w:color="95B3D7"/>
              <w:left w:val="nil"/>
              <w:bottom w:val="single" w:sz="4" w:space="0" w:color="95B3D7"/>
              <w:right w:val="single" w:sz="4" w:space="0" w:color="95B3D7"/>
            </w:tcBorders>
            <w:shd w:val="clear" w:color="auto" w:fill="auto"/>
            <w:noWrap/>
            <w:vAlign w:val="bottom"/>
            <w:hideMark/>
          </w:tcPr>
          <w:p w:rsidR="00F03122" w:rsidRDefault="00F03122" w:rsidP="005E19AF">
            <w:pPr>
              <w:jc w:val="both"/>
              <w:rPr>
                <w:rFonts w:ascii="Calibri" w:hAnsi="Calibri"/>
                <w:color w:val="000000"/>
              </w:rPr>
            </w:pPr>
          </w:p>
        </w:tc>
      </w:tr>
      <w:tr w:rsidR="00F03122" w:rsidTr="00F03122">
        <w:trPr>
          <w:trHeight w:val="300"/>
        </w:trPr>
        <w:tc>
          <w:tcPr>
            <w:tcW w:w="3620" w:type="dxa"/>
            <w:tcBorders>
              <w:top w:val="single" w:sz="4" w:space="0" w:color="95B3D7"/>
              <w:left w:val="single" w:sz="8" w:space="0" w:color="5B9BD5"/>
              <w:bottom w:val="single" w:sz="8" w:space="0" w:color="5B9BD5"/>
              <w:right w:val="single" w:sz="8" w:space="0" w:color="5B9BD5"/>
            </w:tcBorders>
            <w:shd w:val="clear" w:color="000000" w:fill="D6E6F4"/>
            <w:noWrap/>
            <w:vAlign w:val="center"/>
            <w:hideMark/>
          </w:tcPr>
          <w:p w:rsidR="00F03122" w:rsidRDefault="00F03122" w:rsidP="005E19AF">
            <w:pPr>
              <w:jc w:val="both"/>
              <w:rPr>
                <w:rFonts w:ascii="Calibri" w:hAnsi="Calibri"/>
                <w:b/>
                <w:bCs/>
                <w:color w:val="000000"/>
              </w:rPr>
            </w:pPr>
            <w:r>
              <w:rPr>
                <w:rFonts w:ascii="Calibri" w:hAnsi="Calibri"/>
                <w:b/>
                <w:bCs/>
                <w:color w:val="000000"/>
              </w:rPr>
              <w:t>Mid and Macro-Industry</w:t>
            </w:r>
          </w:p>
        </w:tc>
        <w:tc>
          <w:tcPr>
            <w:tcW w:w="1300" w:type="dxa"/>
            <w:tcBorders>
              <w:top w:val="single" w:sz="4" w:space="0" w:color="95B3D7"/>
              <w:left w:val="nil"/>
              <w:bottom w:val="single" w:sz="8" w:space="0" w:color="5B9BD5"/>
              <w:right w:val="single" w:sz="8" w:space="0" w:color="5B9BD5"/>
            </w:tcBorders>
            <w:shd w:val="clear" w:color="000000" w:fill="D6E6F4"/>
            <w:noWrap/>
            <w:hideMark/>
          </w:tcPr>
          <w:p w:rsidR="00F03122" w:rsidRDefault="00F03122" w:rsidP="005E19AF">
            <w:pPr>
              <w:jc w:val="both"/>
              <w:rPr>
                <w:rFonts w:ascii="Calibri" w:hAnsi="Calibri"/>
                <w:color w:val="000000"/>
              </w:rPr>
            </w:pPr>
            <w:r>
              <w:rPr>
                <w:rFonts w:ascii="Calibri" w:hAnsi="Calibri"/>
                <w:color w:val="000000"/>
              </w:rPr>
              <w:t> </w:t>
            </w:r>
          </w:p>
        </w:tc>
        <w:tc>
          <w:tcPr>
            <w:tcW w:w="1340" w:type="dxa"/>
            <w:tcBorders>
              <w:top w:val="single" w:sz="4" w:space="0" w:color="95B3D7"/>
              <w:left w:val="nil"/>
              <w:bottom w:val="single" w:sz="4" w:space="0" w:color="95B3D7"/>
              <w:right w:val="single" w:sz="4" w:space="0" w:color="95B3D7"/>
            </w:tcBorders>
            <w:shd w:val="clear" w:color="DCE6F1" w:fill="DCE6F1"/>
            <w:noWrap/>
            <w:vAlign w:val="bottom"/>
            <w:hideMark/>
          </w:tcPr>
          <w:p w:rsidR="00F03122" w:rsidRDefault="00F03122" w:rsidP="005E19AF">
            <w:pPr>
              <w:jc w:val="both"/>
              <w:rPr>
                <w:rFonts w:ascii="Calibri" w:hAnsi="Calibri"/>
                <w:color w:val="000000"/>
              </w:rPr>
            </w:pPr>
          </w:p>
        </w:tc>
      </w:tr>
      <w:tr w:rsidR="00F03122" w:rsidTr="00F03122">
        <w:trPr>
          <w:trHeight w:val="300"/>
        </w:trPr>
        <w:tc>
          <w:tcPr>
            <w:tcW w:w="3620" w:type="dxa"/>
            <w:tcBorders>
              <w:top w:val="single" w:sz="4" w:space="0" w:color="95B3D7"/>
              <w:left w:val="single" w:sz="8" w:space="0" w:color="5B9BD5"/>
              <w:bottom w:val="single" w:sz="8" w:space="0" w:color="5B9BD5"/>
              <w:right w:val="single" w:sz="8" w:space="0" w:color="5B9BD5"/>
            </w:tcBorders>
            <w:shd w:val="clear" w:color="auto" w:fill="auto"/>
            <w:noWrap/>
            <w:vAlign w:val="center"/>
            <w:hideMark/>
          </w:tcPr>
          <w:p w:rsidR="00F03122" w:rsidRDefault="00F03122" w:rsidP="005E19AF">
            <w:pPr>
              <w:jc w:val="both"/>
              <w:rPr>
                <w:rFonts w:ascii="Calibri" w:hAnsi="Calibri"/>
                <w:color w:val="000000"/>
              </w:rPr>
            </w:pPr>
            <w:r>
              <w:rPr>
                <w:rFonts w:ascii="Calibri" w:hAnsi="Calibri"/>
                <w:color w:val="000000"/>
              </w:rPr>
              <w:t>Target in different industry</w:t>
            </w:r>
          </w:p>
        </w:tc>
        <w:tc>
          <w:tcPr>
            <w:tcW w:w="1300" w:type="dxa"/>
            <w:tcBorders>
              <w:top w:val="single" w:sz="4" w:space="0" w:color="95B3D7"/>
              <w:left w:val="nil"/>
              <w:bottom w:val="single" w:sz="8" w:space="0" w:color="5B9BD5"/>
              <w:right w:val="single" w:sz="8" w:space="0" w:color="5B9BD5"/>
            </w:tcBorders>
            <w:shd w:val="clear" w:color="auto" w:fill="auto"/>
            <w:noWrap/>
            <w:vAlign w:val="center"/>
            <w:hideMark/>
          </w:tcPr>
          <w:p w:rsidR="00F03122" w:rsidRDefault="00F03122" w:rsidP="005E19AF">
            <w:pPr>
              <w:jc w:val="both"/>
              <w:rPr>
                <w:rFonts w:ascii="Calibri" w:hAnsi="Calibri"/>
                <w:color w:val="000000"/>
              </w:rPr>
            </w:pPr>
            <w:r>
              <w:rPr>
                <w:rFonts w:ascii="Calibri" w:hAnsi="Calibri"/>
                <w:color w:val="000000"/>
              </w:rPr>
              <w:t>26</w:t>
            </w:r>
          </w:p>
        </w:tc>
        <w:tc>
          <w:tcPr>
            <w:tcW w:w="1340" w:type="dxa"/>
            <w:tcBorders>
              <w:top w:val="single" w:sz="4" w:space="0" w:color="95B3D7"/>
              <w:left w:val="nil"/>
              <w:bottom w:val="single" w:sz="4" w:space="0" w:color="95B3D7"/>
              <w:right w:val="single" w:sz="4" w:space="0" w:color="95B3D7"/>
            </w:tcBorders>
            <w:shd w:val="clear" w:color="auto" w:fill="auto"/>
            <w:noWrap/>
            <w:vAlign w:val="bottom"/>
            <w:hideMark/>
          </w:tcPr>
          <w:p w:rsidR="00F03122" w:rsidRDefault="00F03122" w:rsidP="005E19AF">
            <w:pPr>
              <w:jc w:val="both"/>
              <w:rPr>
                <w:rFonts w:ascii="Calibri" w:hAnsi="Calibri"/>
                <w:color w:val="000000"/>
              </w:rPr>
            </w:pPr>
            <w:r>
              <w:rPr>
                <w:rFonts w:ascii="Calibri" w:hAnsi="Calibri"/>
                <w:color w:val="000000"/>
              </w:rPr>
              <w:t>10,83%</w:t>
            </w:r>
          </w:p>
        </w:tc>
      </w:tr>
      <w:tr w:rsidR="00F03122" w:rsidTr="00F03122">
        <w:trPr>
          <w:trHeight w:val="300"/>
        </w:trPr>
        <w:tc>
          <w:tcPr>
            <w:tcW w:w="3620" w:type="dxa"/>
            <w:tcBorders>
              <w:top w:val="single" w:sz="4" w:space="0" w:color="95B3D7"/>
              <w:left w:val="single" w:sz="8" w:space="0" w:color="5B9BD5"/>
              <w:bottom w:val="single" w:sz="8" w:space="0" w:color="5B9BD5"/>
              <w:right w:val="single" w:sz="8" w:space="0" w:color="5B9BD5"/>
            </w:tcBorders>
            <w:shd w:val="clear" w:color="000000" w:fill="D6E6F4"/>
            <w:noWrap/>
            <w:vAlign w:val="center"/>
            <w:hideMark/>
          </w:tcPr>
          <w:p w:rsidR="00F03122" w:rsidRDefault="00F03122" w:rsidP="005E19AF">
            <w:pPr>
              <w:jc w:val="both"/>
              <w:rPr>
                <w:rFonts w:ascii="Calibri" w:hAnsi="Calibri"/>
                <w:color w:val="000000"/>
              </w:rPr>
            </w:pPr>
            <w:r>
              <w:rPr>
                <w:rFonts w:ascii="Calibri" w:hAnsi="Calibri"/>
                <w:color w:val="000000"/>
              </w:rPr>
              <w:t>Target in same macro-industry</w:t>
            </w:r>
          </w:p>
        </w:tc>
        <w:tc>
          <w:tcPr>
            <w:tcW w:w="1300" w:type="dxa"/>
            <w:tcBorders>
              <w:top w:val="single" w:sz="4" w:space="0" w:color="95B3D7"/>
              <w:left w:val="nil"/>
              <w:bottom w:val="single" w:sz="8" w:space="0" w:color="5B9BD5"/>
              <w:right w:val="single" w:sz="8" w:space="0" w:color="5B9BD5"/>
            </w:tcBorders>
            <w:shd w:val="clear" w:color="000000" w:fill="D6E6F4"/>
            <w:noWrap/>
            <w:vAlign w:val="center"/>
            <w:hideMark/>
          </w:tcPr>
          <w:p w:rsidR="00F03122" w:rsidRDefault="00F03122" w:rsidP="005E19AF">
            <w:pPr>
              <w:jc w:val="both"/>
              <w:rPr>
                <w:rFonts w:ascii="Calibri" w:hAnsi="Calibri"/>
                <w:color w:val="000000"/>
              </w:rPr>
            </w:pPr>
            <w:r>
              <w:rPr>
                <w:rFonts w:ascii="Calibri" w:hAnsi="Calibri"/>
                <w:color w:val="000000"/>
              </w:rPr>
              <w:t>214</w:t>
            </w:r>
          </w:p>
        </w:tc>
        <w:tc>
          <w:tcPr>
            <w:tcW w:w="1340" w:type="dxa"/>
            <w:tcBorders>
              <w:top w:val="single" w:sz="4" w:space="0" w:color="95B3D7"/>
              <w:left w:val="nil"/>
              <w:bottom w:val="single" w:sz="4" w:space="0" w:color="95B3D7"/>
              <w:right w:val="single" w:sz="4" w:space="0" w:color="95B3D7"/>
            </w:tcBorders>
            <w:shd w:val="clear" w:color="DCE6F1" w:fill="DCE6F1"/>
            <w:noWrap/>
            <w:vAlign w:val="bottom"/>
            <w:hideMark/>
          </w:tcPr>
          <w:p w:rsidR="00F03122" w:rsidRDefault="00F03122" w:rsidP="005E19AF">
            <w:pPr>
              <w:jc w:val="both"/>
              <w:rPr>
                <w:rFonts w:ascii="Calibri" w:hAnsi="Calibri"/>
                <w:color w:val="000000"/>
              </w:rPr>
            </w:pPr>
            <w:r>
              <w:rPr>
                <w:rFonts w:ascii="Calibri" w:hAnsi="Calibri"/>
                <w:color w:val="000000"/>
              </w:rPr>
              <w:t>89,17%</w:t>
            </w:r>
          </w:p>
        </w:tc>
      </w:tr>
      <w:tr w:rsidR="00F03122" w:rsidTr="00F03122">
        <w:trPr>
          <w:trHeight w:val="300"/>
        </w:trPr>
        <w:tc>
          <w:tcPr>
            <w:tcW w:w="3620" w:type="dxa"/>
            <w:tcBorders>
              <w:top w:val="single" w:sz="4" w:space="0" w:color="95B3D7"/>
              <w:left w:val="single" w:sz="8" w:space="0" w:color="5B9BD5"/>
              <w:bottom w:val="single" w:sz="8" w:space="0" w:color="5B9BD5"/>
              <w:right w:val="single" w:sz="8" w:space="0" w:color="5B9BD5"/>
            </w:tcBorders>
            <w:shd w:val="clear" w:color="auto" w:fill="auto"/>
            <w:noWrap/>
            <w:vAlign w:val="center"/>
            <w:hideMark/>
          </w:tcPr>
          <w:p w:rsidR="00F03122" w:rsidRDefault="00F03122" w:rsidP="005E19AF">
            <w:pPr>
              <w:jc w:val="both"/>
              <w:rPr>
                <w:rFonts w:ascii="Calibri" w:hAnsi="Calibri"/>
                <w:color w:val="000000"/>
              </w:rPr>
            </w:pPr>
            <w:r>
              <w:rPr>
                <w:rFonts w:ascii="Calibri" w:hAnsi="Calibri"/>
                <w:color w:val="000000"/>
              </w:rPr>
              <w:t>Target in same mid-industry</w:t>
            </w:r>
          </w:p>
        </w:tc>
        <w:tc>
          <w:tcPr>
            <w:tcW w:w="1300" w:type="dxa"/>
            <w:tcBorders>
              <w:top w:val="single" w:sz="4" w:space="0" w:color="95B3D7"/>
              <w:left w:val="nil"/>
              <w:bottom w:val="single" w:sz="8" w:space="0" w:color="5B9BD5"/>
              <w:right w:val="single" w:sz="8" w:space="0" w:color="5B9BD5"/>
            </w:tcBorders>
            <w:shd w:val="clear" w:color="auto" w:fill="auto"/>
            <w:noWrap/>
            <w:vAlign w:val="center"/>
            <w:hideMark/>
          </w:tcPr>
          <w:p w:rsidR="00F03122" w:rsidRDefault="00F03122" w:rsidP="005E19AF">
            <w:pPr>
              <w:jc w:val="both"/>
              <w:rPr>
                <w:rFonts w:ascii="Calibri" w:hAnsi="Calibri"/>
                <w:color w:val="000000"/>
              </w:rPr>
            </w:pPr>
            <w:r>
              <w:rPr>
                <w:rFonts w:ascii="Calibri" w:hAnsi="Calibri"/>
                <w:color w:val="000000"/>
              </w:rPr>
              <w:t>174</w:t>
            </w:r>
          </w:p>
        </w:tc>
        <w:tc>
          <w:tcPr>
            <w:tcW w:w="1340" w:type="dxa"/>
            <w:tcBorders>
              <w:top w:val="single" w:sz="4" w:space="0" w:color="95B3D7"/>
              <w:left w:val="nil"/>
              <w:bottom w:val="single" w:sz="4" w:space="0" w:color="95B3D7"/>
              <w:right w:val="single" w:sz="4" w:space="0" w:color="95B3D7"/>
            </w:tcBorders>
            <w:shd w:val="clear" w:color="auto" w:fill="auto"/>
            <w:noWrap/>
            <w:vAlign w:val="bottom"/>
            <w:hideMark/>
          </w:tcPr>
          <w:p w:rsidR="00F03122" w:rsidRDefault="00F03122" w:rsidP="005E19AF">
            <w:pPr>
              <w:jc w:val="both"/>
              <w:rPr>
                <w:rFonts w:ascii="Calibri" w:hAnsi="Calibri"/>
                <w:color w:val="000000"/>
              </w:rPr>
            </w:pPr>
            <w:r>
              <w:rPr>
                <w:rFonts w:ascii="Calibri" w:hAnsi="Calibri"/>
                <w:color w:val="000000"/>
              </w:rPr>
              <w:t>72,50%</w:t>
            </w:r>
          </w:p>
        </w:tc>
      </w:tr>
      <w:tr w:rsidR="00F03122" w:rsidTr="00F03122">
        <w:trPr>
          <w:trHeight w:val="300"/>
        </w:trPr>
        <w:tc>
          <w:tcPr>
            <w:tcW w:w="3620" w:type="dxa"/>
            <w:tcBorders>
              <w:top w:val="single" w:sz="4" w:space="0" w:color="95B3D7"/>
              <w:left w:val="single" w:sz="8" w:space="0" w:color="5B9BD5"/>
              <w:bottom w:val="single" w:sz="8" w:space="0" w:color="5B9BD5"/>
              <w:right w:val="single" w:sz="8" w:space="0" w:color="5B9BD5"/>
            </w:tcBorders>
            <w:shd w:val="clear" w:color="000000" w:fill="D6E6F4"/>
            <w:noWrap/>
            <w:vAlign w:val="center"/>
            <w:hideMark/>
          </w:tcPr>
          <w:p w:rsidR="00F03122" w:rsidRDefault="00F03122" w:rsidP="005E19AF">
            <w:pPr>
              <w:jc w:val="both"/>
              <w:rPr>
                <w:rFonts w:ascii="Calibri" w:hAnsi="Calibri"/>
                <w:b/>
                <w:bCs/>
                <w:color w:val="000000"/>
              </w:rPr>
            </w:pPr>
            <w:r>
              <w:rPr>
                <w:rFonts w:ascii="Calibri" w:hAnsi="Calibri"/>
                <w:b/>
                <w:bCs/>
                <w:color w:val="000000"/>
              </w:rPr>
              <w:t> </w:t>
            </w:r>
          </w:p>
        </w:tc>
        <w:tc>
          <w:tcPr>
            <w:tcW w:w="1300" w:type="dxa"/>
            <w:tcBorders>
              <w:top w:val="single" w:sz="4" w:space="0" w:color="95B3D7"/>
              <w:left w:val="nil"/>
              <w:bottom w:val="single" w:sz="8" w:space="0" w:color="5B9BD5"/>
              <w:right w:val="single" w:sz="8" w:space="0" w:color="5B9BD5"/>
            </w:tcBorders>
            <w:shd w:val="clear" w:color="000000" w:fill="D6E6F4"/>
            <w:noWrap/>
            <w:vAlign w:val="center"/>
            <w:hideMark/>
          </w:tcPr>
          <w:p w:rsidR="00F03122" w:rsidRDefault="00F03122" w:rsidP="005E19AF">
            <w:pPr>
              <w:jc w:val="both"/>
              <w:rPr>
                <w:rFonts w:ascii="Calibri" w:hAnsi="Calibri"/>
                <w:color w:val="000000"/>
              </w:rPr>
            </w:pPr>
            <w:r>
              <w:rPr>
                <w:rFonts w:ascii="Calibri" w:hAnsi="Calibri"/>
                <w:color w:val="000000"/>
              </w:rPr>
              <w:t> </w:t>
            </w:r>
          </w:p>
        </w:tc>
        <w:tc>
          <w:tcPr>
            <w:tcW w:w="1340" w:type="dxa"/>
            <w:tcBorders>
              <w:top w:val="single" w:sz="4" w:space="0" w:color="95B3D7"/>
              <w:left w:val="nil"/>
              <w:bottom w:val="single" w:sz="4" w:space="0" w:color="95B3D7"/>
              <w:right w:val="single" w:sz="4" w:space="0" w:color="95B3D7"/>
            </w:tcBorders>
            <w:shd w:val="clear" w:color="DCE6F1" w:fill="DCE6F1"/>
            <w:noWrap/>
            <w:vAlign w:val="bottom"/>
            <w:hideMark/>
          </w:tcPr>
          <w:p w:rsidR="00F03122" w:rsidRDefault="00F03122" w:rsidP="005E19AF">
            <w:pPr>
              <w:jc w:val="both"/>
              <w:rPr>
                <w:rFonts w:ascii="Calibri" w:hAnsi="Calibri"/>
                <w:color w:val="000000"/>
              </w:rPr>
            </w:pPr>
          </w:p>
        </w:tc>
      </w:tr>
      <w:tr w:rsidR="00F03122" w:rsidTr="00F03122">
        <w:trPr>
          <w:trHeight w:val="300"/>
        </w:trPr>
        <w:tc>
          <w:tcPr>
            <w:tcW w:w="3620" w:type="dxa"/>
            <w:tcBorders>
              <w:top w:val="single" w:sz="4" w:space="0" w:color="95B3D7"/>
              <w:left w:val="single" w:sz="8" w:space="0" w:color="5B9BD5"/>
              <w:bottom w:val="single" w:sz="8" w:space="0" w:color="5B9BD5"/>
              <w:right w:val="single" w:sz="8" w:space="0" w:color="5B9BD5"/>
            </w:tcBorders>
            <w:shd w:val="clear" w:color="auto" w:fill="auto"/>
            <w:noWrap/>
            <w:vAlign w:val="center"/>
            <w:hideMark/>
          </w:tcPr>
          <w:p w:rsidR="00F03122" w:rsidRDefault="00F03122" w:rsidP="005E19AF">
            <w:pPr>
              <w:jc w:val="both"/>
              <w:rPr>
                <w:rFonts w:ascii="Calibri" w:hAnsi="Calibri"/>
                <w:b/>
                <w:bCs/>
                <w:color w:val="000000"/>
              </w:rPr>
            </w:pPr>
            <w:r>
              <w:rPr>
                <w:rFonts w:ascii="Calibri" w:hAnsi="Calibri"/>
                <w:b/>
                <w:bCs/>
                <w:color w:val="000000"/>
              </w:rPr>
              <w:t>Purpose</w:t>
            </w:r>
          </w:p>
        </w:tc>
        <w:tc>
          <w:tcPr>
            <w:tcW w:w="1300" w:type="dxa"/>
            <w:tcBorders>
              <w:top w:val="single" w:sz="4" w:space="0" w:color="95B3D7"/>
              <w:left w:val="nil"/>
              <w:bottom w:val="single" w:sz="8" w:space="0" w:color="5B9BD5"/>
              <w:right w:val="single" w:sz="8" w:space="0" w:color="5B9BD5"/>
            </w:tcBorders>
            <w:shd w:val="clear" w:color="auto" w:fill="auto"/>
            <w:noWrap/>
            <w:vAlign w:val="center"/>
            <w:hideMark/>
          </w:tcPr>
          <w:p w:rsidR="00F03122" w:rsidRDefault="00F03122" w:rsidP="005E19AF">
            <w:pPr>
              <w:jc w:val="both"/>
              <w:rPr>
                <w:rFonts w:ascii="Calibri" w:hAnsi="Calibri"/>
                <w:color w:val="000000"/>
              </w:rPr>
            </w:pPr>
            <w:r>
              <w:rPr>
                <w:rFonts w:ascii="Calibri" w:hAnsi="Calibri"/>
                <w:color w:val="000000"/>
              </w:rPr>
              <w:t> </w:t>
            </w:r>
          </w:p>
        </w:tc>
        <w:tc>
          <w:tcPr>
            <w:tcW w:w="1340" w:type="dxa"/>
            <w:tcBorders>
              <w:top w:val="single" w:sz="4" w:space="0" w:color="95B3D7"/>
              <w:left w:val="nil"/>
              <w:bottom w:val="single" w:sz="4" w:space="0" w:color="95B3D7"/>
              <w:right w:val="single" w:sz="4" w:space="0" w:color="95B3D7"/>
            </w:tcBorders>
            <w:shd w:val="clear" w:color="auto" w:fill="auto"/>
            <w:noWrap/>
            <w:vAlign w:val="bottom"/>
            <w:hideMark/>
          </w:tcPr>
          <w:p w:rsidR="00F03122" w:rsidRDefault="00F03122" w:rsidP="005E19AF">
            <w:pPr>
              <w:jc w:val="both"/>
              <w:rPr>
                <w:rFonts w:ascii="Calibri" w:hAnsi="Calibri"/>
                <w:color w:val="000000"/>
              </w:rPr>
            </w:pPr>
          </w:p>
        </w:tc>
      </w:tr>
      <w:tr w:rsidR="00F03122" w:rsidTr="00F03122">
        <w:trPr>
          <w:trHeight w:val="300"/>
        </w:trPr>
        <w:tc>
          <w:tcPr>
            <w:tcW w:w="3620" w:type="dxa"/>
            <w:tcBorders>
              <w:top w:val="single" w:sz="4" w:space="0" w:color="95B3D7"/>
              <w:left w:val="single" w:sz="8" w:space="0" w:color="5B9BD5"/>
              <w:bottom w:val="single" w:sz="8" w:space="0" w:color="5B9BD5"/>
              <w:right w:val="single" w:sz="8" w:space="0" w:color="5B9BD5"/>
            </w:tcBorders>
            <w:shd w:val="clear" w:color="000000" w:fill="D6E6F4"/>
            <w:noWrap/>
            <w:vAlign w:val="center"/>
            <w:hideMark/>
          </w:tcPr>
          <w:p w:rsidR="00F03122" w:rsidRDefault="00F03122" w:rsidP="005E19AF">
            <w:pPr>
              <w:jc w:val="both"/>
              <w:rPr>
                <w:rFonts w:ascii="Calibri" w:hAnsi="Calibri"/>
                <w:color w:val="000000"/>
              </w:rPr>
            </w:pPr>
            <w:r>
              <w:rPr>
                <w:rFonts w:ascii="Calibri" w:hAnsi="Calibri"/>
                <w:color w:val="000000"/>
              </w:rPr>
              <w:t>Strengthen Operations</w:t>
            </w:r>
          </w:p>
        </w:tc>
        <w:tc>
          <w:tcPr>
            <w:tcW w:w="1300" w:type="dxa"/>
            <w:tcBorders>
              <w:top w:val="single" w:sz="4" w:space="0" w:color="95B3D7"/>
              <w:left w:val="nil"/>
              <w:bottom w:val="single" w:sz="8" w:space="0" w:color="5B9BD5"/>
              <w:right w:val="single" w:sz="8" w:space="0" w:color="5B9BD5"/>
            </w:tcBorders>
            <w:shd w:val="clear" w:color="000000" w:fill="D6E6F4"/>
            <w:noWrap/>
            <w:vAlign w:val="center"/>
            <w:hideMark/>
          </w:tcPr>
          <w:p w:rsidR="00F03122" w:rsidRDefault="00F03122" w:rsidP="005E19AF">
            <w:pPr>
              <w:jc w:val="both"/>
              <w:rPr>
                <w:rFonts w:ascii="Calibri" w:hAnsi="Calibri"/>
                <w:color w:val="000000"/>
              </w:rPr>
            </w:pPr>
            <w:r>
              <w:rPr>
                <w:rFonts w:ascii="Calibri" w:hAnsi="Calibri"/>
                <w:color w:val="000000"/>
              </w:rPr>
              <w:t>75</w:t>
            </w:r>
          </w:p>
        </w:tc>
        <w:tc>
          <w:tcPr>
            <w:tcW w:w="1340" w:type="dxa"/>
            <w:tcBorders>
              <w:top w:val="single" w:sz="4" w:space="0" w:color="95B3D7"/>
              <w:left w:val="nil"/>
              <w:bottom w:val="single" w:sz="4" w:space="0" w:color="95B3D7"/>
              <w:right w:val="single" w:sz="4" w:space="0" w:color="95B3D7"/>
            </w:tcBorders>
            <w:shd w:val="clear" w:color="DCE6F1" w:fill="DCE6F1"/>
            <w:noWrap/>
            <w:vAlign w:val="bottom"/>
            <w:hideMark/>
          </w:tcPr>
          <w:p w:rsidR="00F03122" w:rsidRDefault="00F03122" w:rsidP="005E19AF">
            <w:pPr>
              <w:jc w:val="both"/>
              <w:rPr>
                <w:rFonts w:ascii="Calibri" w:hAnsi="Calibri"/>
                <w:color w:val="000000"/>
              </w:rPr>
            </w:pPr>
            <w:r>
              <w:rPr>
                <w:rFonts w:ascii="Calibri" w:hAnsi="Calibri"/>
                <w:color w:val="000000"/>
              </w:rPr>
              <w:t>31,25%</w:t>
            </w:r>
          </w:p>
        </w:tc>
      </w:tr>
      <w:tr w:rsidR="00F03122" w:rsidTr="00F03122">
        <w:trPr>
          <w:trHeight w:val="300"/>
        </w:trPr>
        <w:tc>
          <w:tcPr>
            <w:tcW w:w="3620" w:type="dxa"/>
            <w:tcBorders>
              <w:top w:val="single" w:sz="4" w:space="0" w:color="95B3D7"/>
              <w:left w:val="single" w:sz="8" w:space="0" w:color="5B9BD5"/>
              <w:bottom w:val="single" w:sz="8" w:space="0" w:color="5B9BD5"/>
              <w:right w:val="single" w:sz="8" w:space="0" w:color="5B9BD5"/>
            </w:tcBorders>
            <w:shd w:val="clear" w:color="auto" w:fill="auto"/>
            <w:noWrap/>
            <w:vAlign w:val="center"/>
            <w:hideMark/>
          </w:tcPr>
          <w:p w:rsidR="00F03122" w:rsidRDefault="00F03122" w:rsidP="005E19AF">
            <w:pPr>
              <w:jc w:val="both"/>
              <w:rPr>
                <w:rFonts w:ascii="Calibri" w:hAnsi="Calibri"/>
                <w:color w:val="000000"/>
              </w:rPr>
            </w:pPr>
            <w:r>
              <w:rPr>
                <w:rFonts w:ascii="Calibri" w:hAnsi="Calibri"/>
                <w:color w:val="000000"/>
              </w:rPr>
              <w:t>Synergy Effects</w:t>
            </w:r>
          </w:p>
        </w:tc>
        <w:tc>
          <w:tcPr>
            <w:tcW w:w="1300" w:type="dxa"/>
            <w:tcBorders>
              <w:top w:val="single" w:sz="4" w:space="0" w:color="95B3D7"/>
              <w:left w:val="nil"/>
              <w:bottom w:val="single" w:sz="8" w:space="0" w:color="5B9BD5"/>
              <w:right w:val="single" w:sz="8" w:space="0" w:color="5B9BD5"/>
            </w:tcBorders>
            <w:shd w:val="clear" w:color="auto" w:fill="auto"/>
            <w:noWrap/>
            <w:vAlign w:val="center"/>
            <w:hideMark/>
          </w:tcPr>
          <w:p w:rsidR="00F03122" w:rsidRDefault="00F03122" w:rsidP="005E19AF">
            <w:pPr>
              <w:jc w:val="both"/>
              <w:rPr>
                <w:rFonts w:ascii="Calibri" w:hAnsi="Calibri"/>
                <w:color w:val="000000"/>
              </w:rPr>
            </w:pPr>
            <w:r>
              <w:rPr>
                <w:rFonts w:ascii="Calibri" w:hAnsi="Calibri"/>
                <w:color w:val="000000"/>
              </w:rPr>
              <w:t>54</w:t>
            </w:r>
          </w:p>
        </w:tc>
        <w:tc>
          <w:tcPr>
            <w:tcW w:w="1340" w:type="dxa"/>
            <w:tcBorders>
              <w:top w:val="single" w:sz="4" w:space="0" w:color="95B3D7"/>
              <w:left w:val="nil"/>
              <w:bottom w:val="single" w:sz="4" w:space="0" w:color="95B3D7"/>
              <w:right w:val="single" w:sz="4" w:space="0" w:color="95B3D7"/>
            </w:tcBorders>
            <w:shd w:val="clear" w:color="auto" w:fill="auto"/>
            <w:noWrap/>
            <w:vAlign w:val="bottom"/>
            <w:hideMark/>
          </w:tcPr>
          <w:p w:rsidR="00F03122" w:rsidRDefault="00F03122" w:rsidP="005E19AF">
            <w:pPr>
              <w:jc w:val="both"/>
              <w:rPr>
                <w:rFonts w:ascii="Calibri" w:hAnsi="Calibri"/>
                <w:color w:val="000000"/>
              </w:rPr>
            </w:pPr>
            <w:r>
              <w:rPr>
                <w:rFonts w:ascii="Calibri" w:hAnsi="Calibri"/>
                <w:color w:val="000000"/>
              </w:rPr>
              <w:t>22,50%</w:t>
            </w:r>
          </w:p>
        </w:tc>
      </w:tr>
      <w:tr w:rsidR="00F03122" w:rsidTr="00F03122">
        <w:trPr>
          <w:trHeight w:val="300"/>
        </w:trPr>
        <w:tc>
          <w:tcPr>
            <w:tcW w:w="3620" w:type="dxa"/>
            <w:tcBorders>
              <w:top w:val="single" w:sz="4" w:space="0" w:color="95B3D7"/>
              <w:left w:val="single" w:sz="8" w:space="0" w:color="5B9BD5"/>
              <w:bottom w:val="single" w:sz="8" w:space="0" w:color="5B9BD5"/>
              <w:right w:val="single" w:sz="8" w:space="0" w:color="5B9BD5"/>
            </w:tcBorders>
            <w:shd w:val="clear" w:color="000000" w:fill="D6E6F4"/>
            <w:noWrap/>
            <w:vAlign w:val="center"/>
            <w:hideMark/>
          </w:tcPr>
          <w:p w:rsidR="00F03122" w:rsidRDefault="00F03122" w:rsidP="005E19AF">
            <w:pPr>
              <w:jc w:val="both"/>
              <w:rPr>
                <w:rFonts w:ascii="Calibri" w:hAnsi="Calibri"/>
                <w:color w:val="000000"/>
              </w:rPr>
            </w:pPr>
            <w:r>
              <w:rPr>
                <w:rFonts w:ascii="Calibri" w:hAnsi="Calibri"/>
                <w:color w:val="000000"/>
              </w:rPr>
              <w:t>Shareholder Value</w:t>
            </w:r>
          </w:p>
        </w:tc>
        <w:tc>
          <w:tcPr>
            <w:tcW w:w="1300" w:type="dxa"/>
            <w:tcBorders>
              <w:top w:val="single" w:sz="4" w:space="0" w:color="95B3D7"/>
              <w:left w:val="nil"/>
              <w:bottom w:val="single" w:sz="8" w:space="0" w:color="5B9BD5"/>
              <w:right w:val="single" w:sz="8" w:space="0" w:color="5B9BD5"/>
            </w:tcBorders>
            <w:shd w:val="clear" w:color="000000" w:fill="D6E6F4"/>
            <w:noWrap/>
            <w:vAlign w:val="center"/>
            <w:hideMark/>
          </w:tcPr>
          <w:p w:rsidR="00F03122" w:rsidRDefault="00F03122" w:rsidP="005E19AF">
            <w:pPr>
              <w:jc w:val="both"/>
              <w:rPr>
                <w:rFonts w:ascii="Calibri" w:hAnsi="Calibri"/>
                <w:color w:val="000000"/>
              </w:rPr>
            </w:pPr>
            <w:r>
              <w:rPr>
                <w:rFonts w:ascii="Calibri" w:hAnsi="Calibri"/>
                <w:color w:val="000000"/>
              </w:rPr>
              <w:t>32</w:t>
            </w:r>
          </w:p>
        </w:tc>
        <w:tc>
          <w:tcPr>
            <w:tcW w:w="1340" w:type="dxa"/>
            <w:tcBorders>
              <w:top w:val="single" w:sz="4" w:space="0" w:color="95B3D7"/>
              <w:left w:val="nil"/>
              <w:bottom w:val="single" w:sz="4" w:space="0" w:color="95B3D7"/>
              <w:right w:val="single" w:sz="4" w:space="0" w:color="95B3D7"/>
            </w:tcBorders>
            <w:shd w:val="clear" w:color="DCE6F1" w:fill="DCE6F1"/>
            <w:noWrap/>
            <w:vAlign w:val="bottom"/>
            <w:hideMark/>
          </w:tcPr>
          <w:p w:rsidR="00F03122" w:rsidRDefault="00F03122" w:rsidP="005E19AF">
            <w:pPr>
              <w:jc w:val="both"/>
              <w:rPr>
                <w:rFonts w:ascii="Calibri" w:hAnsi="Calibri"/>
                <w:color w:val="000000"/>
              </w:rPr>
            </w:pPr>
            <w:r>
              <w:rPr>
                <w:rFonts w:ascii="Calibri" w:hAnsi="Calibri"/>
                <w:color w:val="000000"/>
              </w:rPr>
              <w:t>13,33%</w:t>
            </w:r>
          </w:p>
        </w:tc>
      </w:tr>
      <w:tr w:rsidR="00F03122" w:rsidTr="00F03122">
        <w:trPr>
          <w:trHeight w:val="300"/>
        </w:trPr>
        <w:tc>
          <w:tcPr>
            <w:tcW w:w="3620" w:type="dxa"/>
            <w:tcBorders>
              <w:top w:val="single" w:sz="4" w:space="0" w:color="95B3D7"/>
              <w:left w:val="single" w:sz="8" w:space="0" w:color="5B9BD5"/>
              <w:bottom w:val="single" w:sz="8" w:space="0" w:color="5B9BD5"/>
              <w:right w:val="single" w:sz="8" w:space="0" w:color="5B9BD5"/>
            </w:tcBorders>
            <w:shd w:val="clear" w:color="auto" w:fill="auto"/>
            <w:noWrap/>
            <w:vAlign w:val="center"/>
            <w:hideMark/>
          </w:tcPr>
          <w:p w:rsidR="00F03122" w:rsidRDefault="00F03122" w:rsidP="005E19AF">
            <w:pPr>
              <w:jc w:val="both"/>
              <w:rPr>
                <w:rFonts w:ascii="Calibri" w:hAnsi="Calibri"/>
                <w:color w:val="000000"/>
              </w:rPr>
            </w:pPr>
            <w:r>
              <w:rPr>
                <w:rFonts w:ascii="Calibri" w:hAnsi="Calibri"/>
                <w:color w:val="000000"/>
              </w:rPr>
              <w:t>New Products</w:t>
            </w:r>
          </w:p>
        </w:tc>
        <w:tc>
          <w:tcPr>
            <w:tcW w:w="1300" w:type="dxa"/>
            <w:tcBorders>
              <w:top w:val="single" w:sz="4" w:space="0" w:color="95B3D7"/>
              <w:left w:val="nil"/>
              <w:bottom w:val="single" w:sz="8" w:space="0" w:color="5B9BD5"/>
              <w:right w:val="single" w:sz="8" w:space="0" w:color="5B9BD5"/>
            </w:tcBorders>
            <w:shd w:val="clear" w:color="auto" w:fill="auto"/>
            <w:noWrap/>
            <w:vAlign w:val="center"/>
            <w:hideMark/>
          </w:tcPr>
          <w:p w:rsidR="00F03122" w:rsidRDefault="00F03122" w:rsidP="005E19AF">
            <w:pPr>
              <w:jc w:val="both"/>
              <w:rPr>
                <w:rFonts w:ascii="Calibri" w:hAnsi="Calibri"/>
                <w:color w:val="000000"/>
              </w:rPr>
            </w:pPr>
            <w:r>
              <w:rPr>
                <w:rFonts w:ascii="Calibri" w:hAnsi="Calibri"/>
                <w:color w:val="000000"/>
              </w:rPr>
              <w:t>18</w:t>
            </w:r>
          </w:p>
        </w:tc>
        <w:tc>
          <w:tcPr>
            <w:tcW w:w="1340" w:type="dxa"/>
            <w:tcBorders>
              <w:top w:val="single" w:sz="4" w:space="0" w:color="95B3D7"/>
              <w:left w:val="nil"/>
              <w:bottom w:val="single" w:sz="4" w:space="0" w:color="95B3D7"/>
              <w:right w:val="single" w:sz="4" w:space="0" w:color="95B3D7"/>
            </w:tcBorders>
            <w:shd w:val="clear" w:color="auto" w:fill="auto"/>
            <w:noWrap/>
            <w:vAlign w:val="bottom"/>
            <w:hideMark/>
          </w:tcPr>
          <w:p w:rsidR="00F03122" w:rsidRDefault="00F03122" w:rsidP="005E19AF">
            <w:pPr>
              <w:jc w:val="both"/>
              <w:rPr>
                <w:rFonts w:ascii="Calibri" w:hAnsi="Calibri"/>
                <w:color w:val="000000"/>
              </w:rPr>
            </w:pPr>
            <w:r>
              <w:rPr>
                <w:rFonts w:ascii="Calibri" w:hAnsi="Calibri"/>
                <w:color w:val="000000"/>
              </w:rPr>
              <w:t>7,50%</w:t>
            </w:r>
          </w:p>
        </w:tc>
      </w:tr>
      <w:tr w:rsidR="00F03122" w:rsidTr="00D042A9">
        <w:trPr>
          <w:trHeight w:val="300"/>
        </w:trPr>
        <w:tc>
          <w:tcPr>
            <w:tcW w:w="3620" w:type="dxa"/>
            <w:tcBorders>
              <w:top w:val="single" w:sz="4" w:space="0" w:color="95B3D7"/>
              <w:left w:val="single" w:sz="8" w:space="0" w:color="5B9BD5"/>
              <w:bottom w:val="single" w:sz="4" w:space="0" w:color="95B3D7"/>
              <w:right w:val="single" w:sz="8" w:space="0" w:color="5B9BD5"/>
            </w:tcBorders>
            <w:shd w:val="clear" w:color="000000" w:fill="D6E6F4"/>
            <w:noWrap/>
            <w:vAlign w:val="center"/>
            <w:hideMark/>
          </w:tcPr>
          <w:p w:rsidR="00F03122" w:rsidRDefault="00F03122" w:rsidP="005E19AF">
            <w:pPr>
              <w:jc w:val="both"/>
              <w:rPr>
                <w:rFonts w:ascii="Calibri" w:hAnsi="Calibri"/>
                <w:color w:val="000000"/>
              </w:rPr>
            </w:pPr>
            <w:r>
              <w:rPr>
                <w:rFonts w:ascii="Calibri" w:hAnsi="Calibri"/>
                <w:color w:val="000000"/>
              </w:rPr>
              <w:t>Expansion</w:t>
            </w:r>
          </w:p>
        </w:tc>
        <w:tc>
          <w:tcPr>
            <w:tcW w:w="1300" w:type="dxa"/>
            <w:tcBorders>
              <w:top w:val="single" w:sz="4" w:space="0" w:color="95B3D7"/>
              <w:left w:val="nil"/>
              <w:bottom w:val="single" w:sz="4" w:space="0" w:color="95B3D7"/>
              <w:right w:val="single" w:sz="8" w:space="0" w:color="5B9BD5"/>
            </w:tcBorders>
            <w:shd w:val="clear" w:color="000000" w:fill="D6E6F4"/>
            <w:noWrap/>
            <w:vAlign w:val="center"/>
            <w:hideMark/>
          </w:tcPr>
          <w:p w:rsidR="00F03122" w:rsidRDefault="00F03122" w:rsidP="005E19AF">
            <w:pPr>
              <w:jc w:val="both"/>
              <w:rPr>
                <w:rFonts w:ascii="Calibri" w:hAnsi="Calibri"/>
                <w:color w:val="000000"/>
              </w:rPr>
            </w:pPr>
            <w:r>
              <w:rPr>
                <w:rFonts w:ascii="Calibri" w:hAnsi="Calibri"/>
                <w:color w:val="000000"/>
              </w:rPr>
              <w:t>19</w:t>
            </w:r>
          </w:p>
        </w:tc>
        <w:tc>
          <w:tcPr>
            <w:tcW w:w="1340" w:type="dxa"/>
            <w:tcBorders>
              <w:top w:val="single" w:sz="4" w:space="0" w:color="95B3D7"/>
              <w:left w:val="nil"/>
              <w:bottom w:val="single" w:sz="4" w:space="0" w:color="95B3D7"/>
              <w:right w:val="single" w:sz="4" w:space="0" w:color="95B3D7"/>
            </w:tcBorders>
            <w:shd w:val="clear" w:color="DCE6F1" w:fill="DCE6F1"/>
            <w:noWrap/>
            <w:vAlign w:val="bottom"/>
            <w:hideMark/>
          </w:tcPr>
          <w:p w:rsidR="00F03122" w:rsidRDefault="00F03122" w:rsidP="005E19AF">
            <w:pPr>
              <w:jc w:val="both"/>
              <w:rPr>
                <w:rFonts w:ascii="Calibri" w:hAnsi="Calibri"/>
                <w:color w:val="000000"/>
              </w:rPr>
            </w:pPr>
            <w:r>
              <w:rPr>
                <w:rFonts w:ascii="Calibri" w:hAnsi="Calibri"/>
                <w:color w:val="000000"/>
              </w:rPr>
              <w:t>7,92%</w:t>
            </w:r>
          </w:p>
        </w:tc>
      </w:tr>
      <w:tr w:rsidR="00D042A9" w:rsidTr="00D042A9">
        <w:trPr>
          <w:trHeight w:val="300"/>
        </w:trPr>
        <w:tc>
          <w:tcPr>
            <w:tcW w:w="3620" w:type="dxa"/>
            <w:tcBorders>
              <w:top w:val="single" w:sz="4" w:space="0" w:color="95B3D7"/>
              <w:left w:val="single" w:sz="8" w:space="0" w:color="5B9BD5"/>
              <w:bottom w:val="single" w:sz="4" w:space="0" w:color="95B3D7"/>
              <w:right w:val="single" w:sz="8" w:space="0" w:color="5B9BD5"/>
            </w:tcBorders>
            <w:shd w:val="clear" w:color="000000" w:fill="D6E6F4"/>
            <w:noWrap/>
            <w:vAlign w:val="center"/>
          </w:tcPr>
          <w:p w:rsidR="00D042A9" w:rsidRDefault="00D042A9" w:rsidP="005E19AF">
            <w:pPr>
              <w:jc w:val="both"/>
              <w:rPr>
                <w:rFonts w:ascii="Calibri" w:hAnsi="Calibri"/>
                <w:color w:val="000000"/>
              </w:rPr>
            </w:pPr>
          </w:p>
        </w:tc>
        <w:tc>
          <w:tcPr>
            <w:tcW w:w="1300" w:type="dxa"/>
            <w:tcBorders>
              <w:top w:val="single" w:sz="4" w:space="0" w:color="95B3D7"/>
              <w:left w:val="nil"/>
              <w:bottom w:val="single" w:sz="4" w:space="0" w:color="95B3D7"/>
              <w:right w:val="single" w:sz="8" w:space="0" w:color="5B9BD5"/>
            </w:tcBorders>
            <w:shd w:val="clear" w:color="000000" w:fill="D6E6F4"/>
            <w:noWrap/>
            <w:vAlign w:val="center"/>
          </w:tcPr>
          <w:p w:rsidR="00D042A9" w:rsidRDefault="00D042A9" w:rsidP="005E19AF">
            <w:pPr>
              <w:jc w:val="both"/>
              <w:rPr>
                <w:rFonts w:ascii="Calibri" w:hAnsi="Calibri"/>
                <w:color w:val="000000"/>
              </w:rPr>
            </w:pPr>
          </w:p>
        </w:tc>
        <w:tc>
          <w:tcPr>
            <w:tcW w:w="1340" w:type="dxa"/>
            <w:tcBorders>
              <w:top w:val="single" w:sz="4" w:space="0" w:color="95B3D7"/>
              <w:left w:val="nil"/>
              <w:bottom w:val="single" w:sz="4" w:space="0" w:color="95B3D7"/>
              <w:right w:val="single" w:sz="4" w:space="0" w:color="95B3D7"/>
            </w:tcBorders>
            <w:shd w:val="clear" w:color="DCE6F1" w:fill="DCE6F1"/>
            <w:noWrap/>
            <w:vAlign w:val="bottom"/>
          </w:tcPr>
          <w:p w:rsidR="00D042A9" w:rsidRDefault="00D042A9" w:rsidP="005E19AF">
            <w:pPr>
              <w:jc w:val="both"/>
              <w:rPr>
                <w:rFonts w:ascii="Calibri" w:hAnsi="Calibri"/>
                <w:color w:val="000000"/>
              </w:rPr>
            </w:pPr>
          </w:p>
        </w:tc>
      </w:tr>
      <w:tr w:rsidR="00D042A9" w:rsidTr="00F03122">
        <w:trPr>
          <w:trHeight w:val="300"/>
        </w:trPr>
        <w:tc>
          <w:tcPr>
            <w:tcW w:w="3620" w:type="dxa"/>
            <w:tcBorders>
              <w:top w:val="single" w:sz="4" w:space="0" w:color="95B3D7"/>
              <w:left w:val="single" w:sz="8" w:space="0" w:color="5B9BD5"/>
              <w:bottom w:val="single" w:sz="8" w:space="0" w:color="5B9BD5"/>
              <w:right w:val="single" w:sz="8" w:space="0" w:color="5B9BD5"/>
            </w:tcBorders>
            <w:shd w:val="clear" w:color="000000" w:fill="D6E6F4"/>
            <w:noWrap/>
            <w:vAlign w:val="center"/>
          </w:tcPr>
          <w:p w:rsidR="00D042A9" w:rsidRDefault="00D042A9" w:rsidP="005E19AF">
            <w:pPr>
              <w:jc w:val="both"/>
              <w:rPr>
                <w:rFonts w:ascii="Calibri" w:hAnsi="Calibri"/>
                <w:color w:val="000000"/>
              </w:rPr>
            </w:pPr>
            <w:r>
              <w:rPr>
                <w:rFonts w:ascii="Calibri" w:hAnsi="Calibri"/>
                <w:color w:val="000000"/>
              </w:rPr>
              <w:t>Total deals</w:t>
            </w:r>
          </w:p>
        </w:tc>
        <w:tc>
          <w:tcPr>
            <w:tcW w:w="1300" w:type="dxa"/>
            <w:tcBorders>
              <w:top w:val="single" w:sz="4" w:space="0" w:color="95B3D7"/>
              <w:left w:val="nil"/>
              <w:bottom w:val="single" w:sz="8" w:space="0" w:color="5B9BD5"/>
              <w:right w:val="single" w:sz="8" w:space="0" w:color="5B9BD5"/>
            </w:tcBorders>
            <w:shd w:val="clear" w:color="000000" w:fill="D6E6F4"/>
            <w:noWrap/>
            <w:vAlign w:val="center"/>
          </w:tcPr>
          <w:p w:rsidR="00D042A9" w:rsidRDefault="00D042A9" w:rsidP="005E19AF">
            <w:pPr>
              <w:jc w:val="both"/>
              <w:rPr>
                <w:rFonts w:ascii="Calibri" w:hAnsi="Calibri"/>
                <w:color w:val="000000"/>
              </w:rPr>
            </w:pPr>
            <w:r>
              <w:rPr>
                <w:rFonts w:ascii="Calibri" w:hAnsi="Calibri"/>
                <w:color w:val="000000"/>
              </w:rPr>
              <w:t>240</w:t>
            </w:r>
          </w:p>
        </w:tc>
        <w:tc>
          <w:tcPr>
            <w:tcW w:w="1340" w:type="dxa"/>
            <w:tcBorders>
              <w:top w:val="single" w:sz="4" w:space="0" w:color="95B3D7"/>
              <w:left w:val="nil"/>
              <w:bottom w:val="single" w:sz="4" w:space="0" w:color="95B3D7"/>
              <w:right w:val="single" w:sz="4" w:space="0" w:color="95B3D7"/>
            </w:tcBorders>
            <w:shd w:val="clear" w:color="DCE6F1" w:fill="DCE6F1"/>
            <w:noWrap/>
            <w:vAlign w:val="bottom"/>
          </w:tcPr>
          <w:p w:rsidR="00D042A9" w:rsidRDefault="00D042A9" w:rsidP="005E19AF">
            <w:pPr>
              <w:jc w:val="both"/>
              <w:rPr>
                <w:rFonts w:ascii="Calibri" w:hAnsi="Calibri"/>
                <w:color w:val="000000"/>
              </w:rPr>
            </w:pPr>
            <w:r>
              <w:rPr>
                <w:rFonts w:ascii="Calibri" w:hAnsi="Calibri"/>
                <w:color w:val="000000"/>
              </w:rPr>
              <w:t>100%</w:t>
            </w:r>
          </w:p>
        </w:tc>
      </w:tr>
    </w:tbl>
    <w:p w:rsidR="00147D59" w:rsidRPr="00147D59" w:rsidRDefault="009C654B" w:rsidP="005E19AF">
      <w:pPr>
        <w:jc w:val="both"/>
        <w:rPr>
          <w:i/>
        </w:rPr>
      </w:pPr>
      <w:r w:rsidRPr="00147D59">
        <w:rPr>
          <w:i/>
        </w:rPr>
        <w:t>Table A: dummy variable distribution</w:t>
      </w:r>
    </w:p>
    <w:p w:rsidR="005E77DF" w:rsidRPr="00147D59" w:rsidRDefault="005E77DF" w:rsidP="005E19AF">
      <w:pPr>
        <w:jc w:val="both"/>
        <w:rPr>
          <w:i/>
        </w:rPr>
      </w:pPr>
      <w:r w:rsidRPr="00147D59">
        <w:rPr>
          <w:noProof/>
        </w:rPr>
        <w:lastRenderedPageBreak/>
        <w:drawing>
          <wp:inline distT="0" distB="0" distL="0" distR="0" wp14:anchorId="58BBF480" wp14:editId="3D9FC0CB">
            <wp:extent cx="4975860" cy="3531870"/>
            <wp:effectExtent l="0" t="0" r="15240" b="11430"/>
            <wp:docPr id="4"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5E77DF" w:rsidRPr="00147D59" w:rsidRDefault="00505620" w:rsidP="005E19AF">
      <w:pPr>
        <w:jc w:val="both"/>
        <w:rPr>
          <w:i/>
        </w:rPr>
      </w:pPr>
      <w:r w:rsidRPr="00147D59">
        <w:rPr>
          <w:i/>
        </w:rPr>
        <w:t>Graph A</w:t>
      </w:r>
      <w:r w:rsidR="005E77DF" w:rsidRPr="00147D59">
        <w:rPr>
          <w:i/>
        </w:rPr>
        <w:t>: Plot of the cumulative abnormal returns around the announcement day from t=-10 to t=10</w:t>
      </w:r>
    </w:p>
    <w:p w:rsidR="00A05A01" w:rsidRPr="00147D59" w:rsidRDefault="00A05A01" w:rsidP="005E19AF">
      <w:pPr>
        <w:jc w:val="both"/>
        <w:rPr>
          <w:i/>
        </w:rPr>
      </w:pPr>
    </w:p>
    <w:p w:rsidR="009C654B" w:rsidRPr="00147D59" w:rsidRDefault="009C654B" w:rsidP="005E19AF">
      <w:pPr>
        <w:jc w:val="both"/>
        <w:rPr>
          <w:i/>
        </w:rPr>
      </w:pPr>
    </w:p>
    <w:p w:rsidR="009C654B" w:rsidRPr="00147D59" w:rsidRDefault="009C654B" w:rsidP="005E19AF">
      <w:pPr>
        <w:jc w:val="both"/>
        <w:rPr>
          <w:i/>
        </w:rPr>
      </w:pPr>
    </w:p>
    <w:p w:rsidR="009C654B" w:rsidRPr="00147D59" w:rsidRDefault="009C654B" w:rsidP="005E19AF">
      <w:pPr>
        <w:jc w:val="both"/>
        <w:rPr>
          <w:i/>
        </w:rPr>
      </w:pPr>
    </w:p>
    <w:p w:rsidR="009C654B" w:rsidRPr="00147D59" w:rsidRDefault="009C654B" w:rsidP="005E19AF">
      <w:pPr>
        <w:jc w:val="both"/>
        <w:rPr>
          <w:i/>
        </w:rPr>
      </w:pPr>
    </w:p>
    <w:p w:rsidR="009C654B" w:rsidRPr="00147D59" w:rsidRDefault="009C654B" w:rsidP="005E19AF">
      <w:pPr>
        <w:jc w:val="both"/>
        <w:rPr>
          <w:i/>
        </w:rPr>
      </w:pPr>
    </w:p>
    <w:p w:rsidR="009C654B" w:rsidRPr="00147D59" w:rsidRDefault="009C654B" w:rsidP="005E19AF">
      <w:pPr>
        <w:jc w:val="both"/>
        <w:rPr>
          <w:i/>
        </w:rPr>
      </w:pPr>
    </w:p>
    <w:p w:rsidR="009C654B" w:rsidRDefault="009C654B" w:rsidP="005E19AF">
      <w:pPr>
        <w:jc w:val="both"/>
        <w:rPr>
          <w:i/>
        </w:rPr>
      </w:pPr>
    </w:p>
    <w:p w:rsidR="00F03122" w:rsidRDefault="00F03122" w:rsidP="005E19AF">
      <w:pPr>
        <w:jc w:val="both"/>
        <w:rPr>
          <w:i/>
        </w:rPr>
      </w:pPr>
    </w:p>
    <w:p w:rsidR="00F03122" w:rsidRDefault="00F03122" w:rsidP="005E19AF">
      <w:pPr>
        <w:jc w:val="both"/>
        <w:rPr>
          <w:i/>
        </w:rPr>
      </w:pPr>
    </w:p>
    <w:p w:rsidR="00F03122" w:rsidRDefault="00F03122" w:rsidP="005E19AF">
      <w:pPr>
        <w:jc w:val="both"/>
        <w:rPr>
          <w:i/>
        </w:rPr>
      </w:pPr>
    </w:p>
    <w:p w:rsidR="00F03122" w:rsidRDefault="00F03122" w:rsidP="005E19AF">
      <w:pPr>
        <w:jc w:val="both"/>
        <w:rPr>
          <w:i/>
        </w:rPr>
      </w:pPr>
    </w:p>
    <w:p w:rsidR="00F03122" w:rsidRDefault="00F03122" w:rsidP="005E19AF">
      <w:pPr>
        <w:jc w:val="both"/>
        <w:rPr>
          <w:i/>
        </w:rPr>
      </w:pPr>
    </w:p>
    <w:p w:rsidR="00F03122" w:rsidRDefault="00F03122" w:rsidP="005E19AF">
      <w:pPr>
        <w:jc w:val="both"/>
        <w:rPr>
          <w:i/>
        </w:rPr>
      </w:pPr>
    </w:p>
    <w:p w:rsidR="00F03122" w:rsidRPr="00147D59" w:rsidRDefault="00F03122" w:rsidP="005E19AF">
      <w:pPr>
        <w:jc w:val="both"/>
        <w:rPr>
          <w:i/>
        </w:rPr>
      </w:pPr>
    </w:p>
    <w:tbl>
      <w:tblPr>
        <w:tblStyle w:val="LightGrid-Accent1"/>
        <w:tblW w:w="5480" w:type="dxa"/>
        <w:tblLook w:val="04A0" w:firstRow="1" w:lastRow="0" w:firstColumn="1" w:lastColumn="0" w:noHBand="0" w:noVBand="1"/>
      </w:tblPr>
      <w:tblGrid>
        <w:gridCol w:w="1985"/>
        <w:gridCol w:w="1806"/>
        <w:gridCol w:w="1689"/>
      </w:tblGrid>
      <w:tr w:rsidR="005E77DF" w:rsidRPr="00147D59" w:rsidTr="00A05A01">
        <w:trPr>
          <w:cnfStyle w:val="100000000000" w:firstRow="1" w:lastRow="0" w:firstColumn="0" w:lastColumn="0" w:oddVBand="0" w:evenVBand="0" w:oddHBand="0" w:evenHBand="0"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1985" w:type="dxa"/>
            <w:noWrap/>
          </w:tcPr>
          <w:p w:rsidR="005E77DF" w:rsidRPr="00147D59" w:rsidRDefault="005E77DF" w:rsidP="005E19AF">
            <w:pPr>
              <w:jc w:val="both"/>
              <w:rPr>
                <w:rFonts w:ascii="Arial" w:eastAsia="Times New Roman" w:hAnsi="Arial" w:cs="Arial"/>
                <w:b w:val="0"/>
                <w:bCs w:val="0"/>
                <w:sz w:val="20"/>
                <w:szCs w:val="20"/>
                <w:lang w:eastAsia="nl-NL"/>
              </w:rPr>
            </w:pPr>
            <w:r w:rsidRPr="00147D59">
              <w:rPr>
                <w:rFonts w:ascii="Arial" w:eastAsia="Times New Roman" w:hAnsi="Arial" w:cs="Arial"/>
                <w:sz w:val="20"/>
                <w:szCs w:val="20"/>
                <w:lang w:eastAsia="nl-NL"/>
              </w:rPr>
              <w:lastRenderedPageBreak/>
              <w:t>Test Period Day</w:t>
            </w:r>
          </w:p>
        </w:tc>
        <w:tc>
          <w:tcPr>
            <w:tcW w:w="1806" w:type="dxa"/>
            <w:noWrap/>
          </w:tcPr>
          <w:p w:rsidR="005E77DF" w:rsidRPr="00147D59" w:rsidRDefault="005E77DF" w:rsidP="005E19AF">
            <w:pPr>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sz w:val="20"/>
                <w:szCs w:val="20"/>
                <w:lang w:eastAsia="nl-NL"/>
              </w:rPr>
            </w:pPr>
            <w:r w:rsidRPr="00147D59">
              <w:rPr>
                <w:rFonts w:ascii="Arial" w:eastAsia="Times New Roman" w:hAnsi="Arial" w:cs="Arial"/>
                <w:sz w:val="20"/>
                <w:szCs w:val="20"/>
                <w:lang w:eastAsia="nl-NL"/>
              </w:rPr>
              <w:t>Target</w:t>
            </w:r>
          </w:p>
        </w:tc>
        <w:tc>
          <w:tcPr>
            <w:tcW w:w="1689" w:type="dxa"/>
            <w:noWrap/>
          </w:tcPr>
          <w:p w:rsidR="005E77DF" w:rsidRPr="00147D59" w:rsidRDefault="005E77DF" w:rsidP="005E19AF">
            <w:pPr>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sz w:val="20"/>
                <w:szCs w:val="20"/>
                <w:lang w:eastAsia="nl-NL"/>
              </w:rPr>
            </w:pPr>
            <w:r w:rsidRPr="00147D59">
              <w:rPr>
                <w:rFonts w:ascii="Arial" w:eastAsia="Times New Roman" w:hAnsi="Arial" w:cs="Arial"/>
                <w:sz w:val="20"/>
                <w:szCs w:val="20"/>
                <w:lang w:eastAsia="nl-NL"/>
              </w:rPr>
              <w:t>Acquirer</w:t>
            </w:r>
          </w:p>
        </w:tc>
      </w:tr>
      <w:tr w:rsidR="005E77DF" w:rsidRPr="00147D59" w:rsidTr="00A05A01">
        <w:trPr>
          <w:cnfStyle w:val="000000100000" w:firstRow="0" w:lastRow="0" w:firstColumn="0" w:lastColumn="0" w:oddVBand="0" w:evenVBand="0" w:oddHBand="1" w:evenHBand="0"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1985" w:type="dxa"/>
            <w:noWrap/>
            <w:hideMark/>
          </w:tcPr>
          <w:p w:rsidR="005E77DF" w:rsidRPr="00147D59" w:rsidRDefault="005E77DF" w:rsidP="005E19AF">
            <w:pPr>
              <w:jc w:val="both"/>
              <w:rPr>
                <w:rFonts w:ascii="Arial" w:eastAsia="Times New Roman" w:hAnsi="Arial" w:cs="Arial"/>
                <w:bCs w:val="0"/>
                <w:sz w:val="20"/>
                <w:szCs w:val="20"/>
                <w:lang w:eastAsia="nl-NL"/>
              </w:rPr>
            </w:pPr>
            <w:r w:rsidRPr="00147D59">
              <w:rPr>
                <w:rFonts w:ascii="Arial" w:eastAsia="Times New Roman" w:hAnsi="Arial" w:cs="Arial"/>
                <w:sz w:val="20"/>
                <w:szCs w:val="20"/>
                <w:lang w:eastAsia="nl-NL"/>
              </w:rPr>
              <w:t>t=-10</w:t>
            </w:r>
          </w:p>
        </w:tc>
        <w:tc>
          <w:tcPr>
            <w:tcW w:w="1806" w:type="dxa"/>
            <w:noWrap/>
            <w:hideMark/>
          </w:tcPr>
          <w:p w:rsidR="005E77DF" w:rsidRPr="00147D59" w:rsidRDefault="005E77DF" w:rsidP="005E19AF">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nl-NL"/>
              </w:rPr>
            </w:pPr>
            <w:r w:rsidRPr="00147D59">
              <w:rPr>
                <w:rFonts w:ascii="Arial" w:eastAsia="Times New Roman" w:hAnsi="Arial" w:cs="Arial"/>
                <w:sz w:val="20"/>
                <w:szCs w:val="20"/>
                <w:lang w:eastAsia="nl-NL"/>
              </w:rPr>
              <w:t>-0,00186</w:t>
            </w:r>
          </w:p>
        </w:tc>
        <w:tc>
          <w:tcPr>
            <w:tcW w:w="1689" w:type="dxa"/>
            <w:noWrap/>
            <w:hideMark/>
          </w:tcPr>
          <w:p w:rsidR="005E77DF" w:rsidRPr="00147D59" w:rsidRDefault="005E77DF" w:rsidP="005E19AF">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nl-NL"/>
              </w:rPr>
            </w:pPr>
            <w:r w:rsidRPr="00147D59">
              <w:rPr>
                <w:rFonts w:ascii="Arial" w:eastAsia="Times New Roman" w:hAnsi="Arial" w:cs="Arial"/>
                <w:sz w:val="20"/>
                <w:szCs w:val="20"/>
                <w:lang w:eastAsia="nl-NL"/>
              </w:rPr>
              <w:t>0,00069</w:t>
            </w:r>
          </w:p>
        </w:tc>
      </w:tr>
      <w:tr w:rsidR="005E77DF" w:rsidRPr="00147D59" w:rsidTr="00A05A01">
        <w:trPr>
          <w:cnfStyle w:val="000000010000" w:firstRow="0" w:lastRow="0" w:firstColumn="0" w:lastColumn="0" w:oddVBand="0" w:evenVBand="0" w:oddHBand="0" w:evenHBand="1"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1985" w:type="dxa"/>
            <w:noWrap/>
            <w:hideMark/>
          </w:tcPr>
          <w:p w:rsidR="005E77DF" w:rsidRPr="00147D59" w:rsidRDefault="005E77DF" w:rsidP="005E19AF">
            <w:pPr>
              <w:jc w:val="both"/>
              <w:rPr>
                <w:rFonts w:ascii="Arial" w:eastAsia="Times New Roman" w:hAnsi="Arial" w:cs="Arial"/>
                <w:bCs w:val="0"/>
                <w:sz w:val="20"/>
                <w:szCs w:val="20"/>
                <w:lang w:eastAsia="nl-NL"/>
              </w:rPr>
            </w:pPr>
            <w:r w:rsidRPr="00147D59">
              <w:rPr>
                <w:rFonts w:ascii="Arial" w:eastAsia="Times New Roman" w:hAnsi="Arial" w:cs="Arial"/>
                <w:sz w:val="20"/>
                <w:szCs w:val="20"/>
                <w:lang w:eastAsia="nl-NL"/>
              </w:rPr>
              <w:t>t=-9</w:t>
            </w:r>
          </w:p>
        </w:tc>
        <w:tc>
          <w:tcPr>
            <w:tcW w:w="1806" w:type="dxa"/>
            <w:noWrap/>
            <w:hideMark/>
          </w:tcPr>
          <w:p w:rsidR="005E77DF" w:rsidRPr="00147D59" w:rsidRDefault="005E77DF" w:rsidP="005E19AF">
            <w:pPr>
              <w:jc w:val="both"/>
              <w:cnfStyle w:val="000000010000" w:firstRow="0" w:lastRow="0" w:firstColumn="0" w:lastColumn="0" w:oddVBand="0" w:evenVBand="0" w:oddHBand="0" w:evenHBand="1" w:firstRowFirstColumn="0" w:firstRowLastColumn="0" w:lastRowFirstColumn="0" w:lastRowLastColumn="0"/>
              <w:rPr>
                <w:rFonts w:ascii="Arial" w:eastAsia="Times New Roman" w:hAnsi="Arial" w:cs="Arial"/>
                <w:sz w:val="20"/>
                <w:szCs w:val="20"/>
                <w:lang w:eastAsia="nl-NL"/>
              </w:rPr>
            </w:pPr>
            <w:r w:rsidRPr="00147D59">
              <w:rPr>
                <w:rFonts w:ascii="Arial" w:eastAsia="Times New Roman" w:hAnsi="Arial" w:cs="Arial"/>
                <w:sz w:val="20"/>
                <w:szCs w:val="20"/>
                <w:lang w:eastAsia="nl-NL"/>
              </w:rPr>
              <w:t>-0,00026</w:t>
            </w:r>
          </w:p>
        </w:tc>
        <w:tc>
          <w:tcPr>
            <w:tcW w:w="1689" w:type="dxa"/>
            <w:noWrap/>
            <w:hideMark/>
          </w:tcPr>
          <w:p w:rsidR="005E77DF" w:rsidRPr="00147D59" w:rsidRDefault="005E77DF" w:rsidP="005E19AF">
            <w:pPr>
              <w:jc w:val="both"/>
              <w:cnfStyle w:val="000000010000" w:firstRow="0" w:lastRow="0" w:firstColumn="0" w:lastColumn="0" w:oddVBand="0" w:evenVBand="0" w:oddHBand="0" w:evenHBand="1" w:firstRowFirstColumn="0" w:firstRowLastColumn="0" w:lastRowFirstColumn="0" w:lastRowLastColumn="0"/>
              <w:rPr>
                <w:rFonts w:ascii="Arial" w:eastAsia="Times New Roman" w:hAnsi="Arial" w:cs="Arial"/>
                <w:sz w:val="20"/>
                <w:szCs w:val="20"/>
                <w:lang w:eastAsia="nl-NL"/>
              </w:rPr>
            </w:pPr>
            <w:r w:rsidRPr="00147D59">
              <w:rPr>
                <w:rFonts w:ascii="Arial" w:eastAsia="Times New Roman" w:hAnsi="Arial" w:cs="Arial"/>
                <w:sz w:val="20"/>
                <w:szCs w:val="20"/>
                <w:lang w:eastAsia="nl-NL"/>
              </w:rPr>
              <w:t>0,00001</w:t>
            </w:r>
          </w:p>
        </w:tc>
      </w:tr>
      <w:tr w:rsidR="005E77DF" w:rsidRPr="00147D59" w:rsidTr="00A05A01">
        <w:trPr>
          <w:cnfStyle w:val="000000100000" w:firstRow="0" w:lastRow="0" w:firstColumn="0" w:lastColumn="0" w:oddVBand="0" w:evenVBand="0" w:oddHBand="1" w:evenHBand="0"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1985" w:type="dxa"/>
            <w:noWrap/>
            <w:hideMark/>
          </w:tcPr>
          <w:p w:rsidR="005E77DF" w:rsidRPr="00147D59" w:rsidRDefault="005E77DF" w:rsidP="005E19AF">
            <w:pPr>
              <w:jc w:val="both"/>
              <w:rPr>
                <w:rFonts w:ascii="Arial" w:eastAsia="Times New Roman" w:hAnsi="Arial" w:cs="Arial"/>
                <w:bCs w:val="0"/>
                <w:sz w:val="20"/>
                <w:szCs w:val="20"/>
                <w:lang w:eastAsia="nl-NL"/>
              </w:rPr>
            </w:pPr>
            <w:r w:rsidRPr="00147D59">
              <w:rPr>
                <w:rFonts w:ascii="Arial" w:eastAsia="Times New Roman" w:hAnsi="Arial" w:cs="Arial"/>
                <w:sz w:val="20"/>
                <w:szCs w:val="20"/>
                <w:lang w:eastAsia="nl-NL"/>
              </w:rPr>
              <w:t>t=-8</w:t>
            </w:r>
          </w:p>
        </w:tc>
        <w:tc>
          <w:tcPr>
            <w:tcW w:w="1806" w:type="dxa"/>
            <w:noWrap/>
            <w:hideMark/>
          </w:tcPr>
          <w:p w:rsidR="005E77DF" w:rsidRPr="00147D59" w:rsidRDefault="005E77DF" w:rsidP="005E19AF">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nl-NL"/>
              </w:rPr>
            </w:pPr>
            <w:r w:rsidRPr="00147D59">
              <w:rPr>
                <w:rFonts w:ascii="Arial" w:eastAsia="Times New Roman" w:hAnsi="Arial" w:cs="Arial"/>
                <w:sz w:val="20"/>
                <w:szCs w:val="20"/>
                <w:lang w:eastAsia="nl-NL"/>
              </w:rPr>
              <w:t>-0,00305**</w:t>
            </w:r>
          </w:p>
        </w:tc>
        <w:tc>
          <w:tcPr>
            <w:tcW w:w="1689" w:type="dxa"/>
            <w:noWrap/>
            <w:hideMark/>
          </w:tcPr>
          <w:p w:rsidR="005E77DF" w:rsidRPr="00147D59" w:rsidRDefault="005E77DF" w:rsidP="005E19AF">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nl-NL"/>
              </w:rPr>
            </w:pPr>
            <w:r w:rsidRPr="00147D59">
              <w:rPr>
                <w:rFonts w:ascii="Arial" w:eastAsia="Times New Roman" w:hAnsi="Arial" w:cs="Arial"/>
                <w:sz w:val="20"/>
                <w:szCs w:val="20"/>
                <w:lang w:eastAsia="nl-NL"/>
              </w:rPr>
              <w:t>-0,00020</w:t>
            </w:r>
          </w:p>
        </w:tc>
      </w:tr>
      <w:tr w:rsidR="005E77DF" w:rsidRPr="00147D59" w:rsidTr="00A05A01">
        <w:trPr>
          <w:cnfStyle w:val="000000010000" w:firstRow="0" w:lastRow="0" w:firstColumn="0" w:lastColumn="0" w:oddVBand="0" w:evenVBand="0" w:oddHBand="0" w:evenHBand="1"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1985" w:type="dxa"/>
            <w:noWrap/>
            <w:hideMark/>
          </w:tcPr>
          <w:p w:rsidR="005E77DF" w:rsidRPr="00147D59" w:rsidRDefault="005E77DF" w:rsidP="005E19AF">
            <w:pPr>
              <w:jc w:val="both"/>
              <w:rPr>
                <w:rFonts w:ascii="Arial" w:eastAsia="Times New Roman" w:hAnsi="Arial" w:cs="Arial"/>
                <w:bCs w:val="0"/>
                <w:sz w:val="20"/>
                <w:szCs w:val="20"/>
                <w:lang w:eastAsia="nl-NL"/>
              </w:rPr>
            </w:pPr>
            <w:r w:rsidRPr="00147D59">
              <w:rPr>
                <w:rFonts w:ascii="Arial" w:eastAsia="Times New Roman" w:hAnsi="Arial" w:cs="Arial"/>
                <w:sz w:val="20"/>
                <w:szCs w:val="20"/>
                <w:lang w:eastAsia="nl-NL"/>
              </w:rPr>
              <w:t>t=-7</w:t>
            </w:r>
          </w:p>
        </w:tc>
        <w:tc>
          <w:tcPr>
            <w:tcW w:w="1806" w:type="dxa"/>
            <w:noWrap/>
            <w:hideMark/>
          </w:tcPr>
          <w:p w:rsidR="005E77DF" w:rsidRPr="00147D59" w:rsidRDefault="005E77DF" w:rsidP="005E19AF">
            <w:pPr>
              <w:jc w:val="both"/>
              <w:cnfStyle w:val="000000010000" w:firstRow="0" w:lastRow="0" w:firstColumn="0" w:lastColumn="0" w:oddVBand="0" w:evenVBand="0" w:oddHBand="0" w:evenHBand="1" w:firstRowFirstColumn="0" w:firstRowLastColumn="0" w:lastRowFirstColumn="0" w:lastRowLastColumn="0"/>
              <w:rPr>
                <w:rFonts w:ascii="Arial" w:eastAsia="Times New Roman" w:hAnsi="Arial" w:cs="Arial"/>
                <w:sz w:val="20"/>
                <w:szCs w:val="20"/>
                <w:lang w:eastAsia="nl-NL"/>
              </w:rPr>
            </w:pPr>
            <w:r w:rsidRPr="00147D59">
              <w:rPr>
                <w:rFonts w:ascii="Arial" w:eastAsia="Times New Roman" w:hAnsi="Arial" w:cs="Arial"/>
                <w:sz w:val="20"/>
                <w:szCs w:val="20"/>
                <w:lang w:eastAsia="nl-NL"/>
              </w:rPr>
              <w:t>0,00615**</w:t>
            </w:r>
          </w:p>
        </w:tc>
        <w:tc>
          <w:tcPr>
            <w:tcW w:w="1689" w:type="dxa"/>
            <w:noWrap/>
            <w:hideMark/>
          </w:tcPr>
          <w:p w:rsidR="005E77DF" w:rsidRPr="00147D59" w:rsidRDefault="005E77DF" w:rsidP="005E19AF">
            <w:pPr>
              <w:jc w:val="both"/>
              <w:cnfStyle w:val="000000010000" w:firstRow="0" w:lastRow="0" w:firstColumn="0" w:lastColumn="0" w:oddVBand="0" w:evenVBand="0" w:oddHBand="0" w:evenHBand="1" w:firstRowFirstColumn="0" w:firstRowLastColumn="0" w:lastRowFirstColumn="0" w:lastRowLastColumn="0"/>
              <w:rPr>
                <w:rFonts w:ascii="Arial" w:eastAsia="Times New Roman" w:hAnsi="Arial" w:cs="Arial"/>
                <w:sz w:val="20"/>
                <w:szCs w:val="20"/>
                <w:lang w:eastAsia="nl-NL"/>
              </w:rPr>
            </w:pPr>
            <w:r w:rsidRPr="00147D59">
              <w:rPr>
                <w:rFonts w:ascii="Arial" w:eastAsia="Times New Roman" w:hAnsi="Arial" w:cs="Arial"/>
                <w:sz w:val="20"/>
                <w:szCs w:val="20"/>
                <w:lang w:eastAsia="nl-NL"/>
              </w:rPr>
              <w:t>-0,00106</w:t>
            </w:r>
          </w:p>
        </w:tc>
      </w:tr>
      <w:tr w:rsidR="005E77DF" w:rsidRPr="00147D59" w:rsidTr="00A05A01">
        <w:trPr>
          <w:cnfStyle w:val="000000100000" w:firstRow="0" w:lastRow="0" w:firstColumn="0" w:lastColumn="0" w:oddVBand="0" w:evenVBand="0" w:oddHBand="1" w:evenHBand="0"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1985" w:type="dxa"/>
            <w:noWrap/>
            <w:hideMark/>
          </w:tcPr>
          <w:p w:rsidR="005E77DF" w:rsidRPr="00147D59" w:rsidRDefault="005E77DF" w:rsidP="005E19AF">
            <w:pPr>
              <w:jc w:val="both"/>
              <w:rPr>
                <w:rFonts w:ascii="Arial" w:eastAsia="Times New Roman" w:hAnsi="Arial" w:cs="Arial"/>
                <w:bCs w:val="0"/>
                <w:sz w:val="20"/>
                <w:szCs w:val="20"/>
                <w:lang w:eastAsia="nl-NL"/>
              </w:rPr>
            </w:pPr>
            <w:r w:rsidRPr="00147D59">
              <w:rPr>
                <w:rFonts w:ascii="Arial" w:eastAsia="Times New Roman" w:hAnsi="Arial" w:cs="Arial"/>
                <w:sz w:val="20"/>
                <w:szCs w:val="20"/>
                <w:lang w:eastAsia="nl-NL"/>
              </w:rPr>
              <w:t>t=-6</w:t>
            </w:r>
          </w:p>
        </w:tc>
        <w:tc>
          <w:tcPr>
            <w:tcW w:w="1806" w:type="dxa"/>
            <w:noWrap/>
            <w:hideMark/>
          </w:tcPr>
          <w:p w:rsidR="005E77DF" w:rsidRPr="00147D59" w:rsidRDefault="005E77DF" w:rsidP="005E19AF">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nl-NL"/>
              </w:rPr>
            </w:pPr>
            <w:r w:rsidRPr="00147D59">
              <w:rPr>
                <w:rFonts w:ascii="Arial" w:eastAsia="Times New Roman" w:hAnsi="Arial" w:cs="Arial"/>
                <w:sz w:val="20"/>
                <w:szCs w:val="20"/>
                <w:lang w:eastAsia="nl-NL"/>
              </w:rPr>
              <w:t>0,00054</w:t>
            </w:r>
          </w:p>
        </w:tc>
        <w:tc>
          <w:tcPr>
            <w:tcW w:w="1689" w:type="dxa"/>
            <w:noWrap/>
            <w:hideMark/>
          </w:tcPr>
          <w:p w:rsidR="005E77DF" w:rsidRPr="00147D59" w:rsidRDefault="005E77DF" w:rsidP="005E19AF">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nl-NL"/>
              </w:rPr>
            </w:pPr>
            <w:r w:rsidRPr="00147D59">
              <w:rPr>
                <w:rFonts w:ascii="Arial" w:eastAsia="Times New Roman" w:hAnsi="Arial" w:cs="Arial"/>
                <w:sz w:val="20"/>
                <w:szCs w:val="20"/>
                <w:lang w:eastAsia="nl-NL"/>
              </w:rPr>
              <w:t>0,00102</w:t>
            </w:r>
          </w:p>
        </w:tc>
      </w:tr>
      <w:tr w:rsidR="005E77DF" w:rsidRPr="00147D59" w:rsidTr="00A05A01">
        <w:trPr>
          <w:cnfStyle w:val="000000010000" w:firstRow="0" w:lastRow="0" w:firstColumn="0" w:lastColumn="0" w:oddVBand="0" w:evenVBand="0" w:oddHBand="0" w:evenHBand="1"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1985" w:type="dxa"/>
            <w:noWrap/>
            <w:hideMark/>
          </w:tcPr>
          <w:p w:rsidR="005E77DF" w:rsidRPr="00147D59" w:rsidRDefault="005E77DF" w:rsidP="005E19AF">
            <w:pPr>
              <w:jc w:val="both"/>
              <w:rPr>
                <w:rFonts w:ascii="Arial" w:eastAsia="Times New Roman" w:hAnsi="Arial" w:cs="Arial"/>
                <w:bCs w:val="0"/>
                <w:sz w:val="20"/>
                <w:szCs w:val="20"/>
                <w:lang w:eastAsia="nl-NL"/>
              </w:rPr>
            </w:pPr>
            <w:r w:rsidRPr="00147D59">
              <w:rPr>
                <w:rFonts w:ascii="Arial" w:eastAsia="Times New Roman" w:hAnsi="Arial" w:cs="Arial"/>
                <w:sz w:val="20"/>
                <w:szCs w:val="20"/>
                <w:lang w:eastAsia="nl-NL"/>
              </w:rPr>
              <w:t>t=-5</w:t>
            </w:r>
          </w:p>
        </w:tc>
        <w:tc>
          <w:tcPr>
            <w:tcW w:w="1806" w:type="dxa"/>
            <w:noWrap/>
            <w:hideMark/>
          </w:tcPr>
          <w:p w:rsidR="005E77DF" w:rsidRPr="00147D59" w:rsidRDefault="005E77DF" w:rsidP="005E19AF">
            <w:pPr>
              <w:jc w:val="both"/>
              <w:cnfStyle w:val="000000010000" w:firstRow="0" w:lastRow="0" w:firstColumn="0" w:lastColumn="0" w:oddVBand="0" w:evenVBand="0" w:oddHBand="0" w:evenHBand="1" w:firstRowFirstColumn="0" w:firstRowLastColumn="0" w:lastRowFirstColumn="0" w:lastRowLastColumn="0"/>
              <w:rPr>
                <w:rFonts w:ascii="Arial" w:eastAsia="Times New Roman" w:hAnsi="Arial" w:cs="Arial"/>
                <w:sz w:val="20"/>
                <w:szCs w:val="20"/>
                <w:lang w:eastAsia="nl-NL"/>
              </w:rPr>
            </w:pPr>
            <w:r w:rsidRPr="00147D59">
              <w:rPr>
                <w:rFonts w:ascii="Arial" w:eastAsia="Times New Roman" w:hAnsi="Arial" w:cs="Arial"/>
                <w:sz w:val="20"/>
                <w:szCs w:val="20"/>
                <w:lang w:eastAsia="nl-NL"/>
              </w:rPr>
              <w:t>0,00188</w:t>
            </w:r>
          </w:p>
        </w:tc>
        <w:tc>
          <w:tcPr>
            <w:tcW w:w="1689" w:type="dxa"/>
            <w:noWrap/>
            <w:hideMark/>
          </w:tcPr>
          <w:p w:rsidR="005E77DF" w:rsidRPr="00147D59" w:rsidRDefault="005E77DF" w:rsidP="005E19AF">
            <w:pPr>
              <w:jc w:val="both"/>
              <w:cnfStyle w:val="000000010000" w:firstRow="0" w:lastRow="0" w:firstColumn="0" w:lastColumn="0" w:oddVBand="0" w:evenVBand="0" w:oddHBand="0" w:evenHBand="1" w:firstRowFirstColumn="0" w:firstRowLastColumn="0" w:lastRowFirstColumn="0" w:lastRowLastColumn="0"/>
              <w:rPr>
                <w:rFonts w:ascii="Arial" w:eastAsia="Times New Roman" w:hAnsi="Arial" w:cs="Arial"/>
                <w:sz w:val="20"/>
                <w:szCs w:val="20"/>
                <w:lang w:eastAsia="nl-NL"/>
              </w:rPr>
            </w:pPr>
            <w:r w:rsidRPr="00147D59">
              <w:rPr>
                <w:rFonts w:ascii="Arial" w:eastAsia="Times New Roman" w:hAnsi="Arial" w:cs="Arial"/>
                <w:sz w:val="20"/>
                <w:szCs w:val="20"/>
                <w:lang w:eastAsia="nl-NL"/>
              </w:rPr>
              <w:t>-0,00009</w:t>
            </w:r>
          </w:p>
        </w:tc>
      </w:tr>
      <w:tr w:rsidR="005E77DF" w:rsidRPr="00147D59" w:rsidTr="00A05A01">
        <w:trPr>
          <w:cnfStyle w:val="000000100000" w:firstRow="0" w:lastRow="0" w:firstColumn="0" w:lastColumn="0" w:oddVBand="0" w:evenVBand="0" w:oddHBand="1" w:evenHBand="0"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1985" w:type="dxa"/>
            <w:noWrap/>
            <w:hideMark/>
          </w:tcPr>
          <w:p w:rsidR="005E77DF" w:rsidRPr="00147D59" w:rsidRDefault="005E77DF" w:rsidP="005E19AF">
            <w:pPr>
              <w:jc w:val="both"/>
              <w:rPr>
                <w:rFonts w:ascii="Arial" w:eastAsia="Times New Roman" w:hAnsi="Arial" w:cs="Arial"/>
                <w:bCs w:val="0"/>
                <w:sz w:val="20"/>
                <w:szCs w:val="20"/>
                <w:lang w:eastAsia="nl-NL"/>
              </w:rPr>
            </w:pPr>
            <w:r w:rsidRPr="00147D59">
              <w:rPr>
                <w:rFonts w:ascii="Arial" w:eastAsia="Times New Roman" w:hAnsi="Arial" w:cs="Arial"/>
                <w:sz w:val="20"/>
                <w:szCs w:val="20"/>
                <w:lang w:eastAsia="nl-NL"/>
              </w:rPr>
              <w:t>t=-4</w:t>
            </w:r>
          </w:p>
        </w:tc>
        <w:tc>
          <w:tcPr>
            <w:tcW w:w="1806" w:type="dxa"/>
            <w:noWrap/>
            <w:hideMark/>
          </w:tcPr>
          <w:p w:rsidR="005E77DF" w:rsidRPr="00147D59" w:rsidRDefault="005E77DF" w:rsidP="005E19AF">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nl-NL"/>
              </w:rPr>
            </w:pPr>
            <w:r w:rsidRPr="00147D59">
              <w:rPr>
                <w:rFonts w:ascii="Arial" w:eastAsia="Times New Roman" w:hAnsi="Arial" w:cs="Arial"/>
                <w:sz w:val="20"/>
                <w:szCs w:val="20"/>
                <w:lang w:eastAsia="nl-NL"/>
              </w:rPr>
              <w:t>0,00572**</w:t>
            </w:r>
          </w:p>
        </w:tc>
        <w:tc>
          <w:tcPr>
            <w:tcW w:w="1689" w:type="dxa"/>
            <w:noWrap/>
            <w:hideMark/>
          </w:tcPr>
          <w:p w:rsidR="005E77DF" w:rsidRPr="00147D59" w:rsidRDefault="005E77DF" w:rsidP="005E19AF">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nl-NL"/>
              </w:rPr>
            </w:pPr>
            <w:r w:rsidRPr="00147D59">
              <w:rPr>
                <w:rFonts w:ascii="Arial" w:eastAsia="Times New Roman" w:hAnsi="Arial" w:cs="Arial"/>
                <w:sz w:val="20"/>
                <w:szCs w:val="20"/>
                <w:lang w:eastAsia="nl-NL"/>
              </w:rPr>
              <w:t>-0,00117</w:t>
            </w:r>
          </w:p>
        </w:tc>
      </w:tr>
      <w:tr w:rsidR="005E77DF" w:rsidRPr="00147D59" w:rsidTr="00A05A01">
        <w:trPr>
          <w:cnfStyle w:val="000000010000" w:firstRow="0" w:lastRow="0" w:firstColumn="0" w:lastColumn="0" w:oddVBand="0" w:evenVBand="0" w:oddHBand="0" w:evenHBand="1"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1985" w:type="dxa"/>
            <w:noWrap/>
            <w:hideMark/>
          </w:tcPr>
          <w:p w:rsidR="005E77DF" w:rsidRPr="00147D59" w:rsidRDefault="005E77DF" w:rsidP="005E19AF">
            <w:pPr>
              <w:jc w:val="both"/>
              <w:rPr>
                <w:rFonts w:ascii="Arial" w:eastAsia="Times New Roman" w:hAnsi="Arial" w:cs="Arial"/>
                <w:bCs w:val="0"/>
                <w:sz w:val="20"/>
                <w:szCs w:val="20"/>
                <w:lang w:eastAsia="nl-NL"/>
              </w:rPr>
            </w:pPr>
            <w:r w:rsidRPr="00147D59">
              <w:rPr>
                <w:rFonts w:ascii="Arial" w:eastAsia="Times New Roman" w:hAnsi="Arial" w:cs="Arial"/>
                <w:sz w:val="20"/>
                <w:szCs w:val="20"/>
                <w:lang w:eastAsia="nl-NL"/>
              </w:rPr>
              <w:t>t=-3</w:t>
            </w:r>
          </w:p>
        </w:tc>
        <w:tc>
          <w:tcPr>
            <w:tcW w:w="1806" w:type="dxa"/>
            <w:noWrap/>
            <w:hideMark/>
          </w:tcPr>
          <w:p w:rsidR="005E77DF" w:rsidRPr="00147D59" w:rsidRDefault="005E77DF" w:rsidP="005E19AF">
            <w:pPr>
              <w:jc w:val="both"/>
              <w:cnfStyle w:val="000000010000" w:firstRow="0" w:lastRow="0" w:firstColumn="0" w:lastColumn="0" w:oddVBand="0" w:evenVBand="0" w:oddHBand="0" w:evenHBand="1" w:firstRowFirstColumn="0" w:firstRowLastColumn="0" w:lastRowFirstColumn="0" w:lastRowLastColumn="0"/>
              <w:rPr>
                <w:rFonts w:ascii="Arial" w:eastAsia="Times New Roman" w:hAnsi="Arial" w:cs="Arial"/>
                <w:sz w:val="20"/>
                <w:szCs w:val="20"/>
                <w:lang w:eastAsia="nl-NL"/>
              </w:rPr>
            </w:pPr>
            <w:r w:rsidRPr="00147D59">
              <w:rPr>
                <w:rFonts w:ascii="Arial" w:eastAsia="Times New Roman" w:hAnsi="Arial" w:cs="Arial"/>
                <w:sz w:val="20"/>
                <w:szCs w:val="20"/>
                <w:lang w:eastAsia="nl-NL"/>
              </w:rPr>
              <w:t>0,00236</w:t>
            </w:r>
          </w:p>
        </w:tc>
        <w:tc>
          <w:tcPr>
            <w:tcW w:w="1689" w:type="dxa"/>
            <w:noWrap/>
            <w:hideMark/>
          </w:tcPr>
          <w:p w:rsidR="005E77DF" w:rsidRPr="00147D59" w:rsidRDefault="005E77DF" w:rsidP="005E19AF">
            <w:pPr>
              <w:jc w:val="both"/>
              <w:cnfStyle w:val="000000010000" w:firstRow="0" w:lastRow="0" w:firstColumn="0" w:lastColumn="0" w:oddVBand="0" w:evenVBand="0" w:oddHBand="0" w:evenHBand="1" w:firstRowFirstColumn="0" w:firstRowLastColumn="0" w:lastRowFirstColumn="0" w:lastRowLastColumn="0"/>
              <w:rPr>
                <w:rFonts w:ascii="Arial" w:eastAsia="Times New Roman" w:hAnsi="Arial" w:cs="Arial"/>
                <w:sz w:val="20"/>
                <w:szCs w:val="20"/>
                <w:lang w:eastAsia="nl-NL"/>
              </w:rPr>
            </w:pPr>
            <w:r w:rsidRPr="00147D59">
              <w:rPr>
                <w:rFonts w:ascii="Arial" w:eastAsia="Times New Roman" w:hAnsi="Arial" w:cs="Arial"/>
                <w:sz w:val="20"/>
                <w:szCs w:val="20"/>
                <w:lang w:eastAsia="nl-NL"/>
              </w:rPr>
              <w:t>-0,00086</w:t>
            </w:r>
          </w:p>
        </w:tc>
      </w:tr>
      <w:tr w:rsidR="005E77DF" w:rsidRPr="00147D59" w:rsidTr="00A05A01">
        <w:trPr>
          <w:cnfStyle w:val="000000100000" w:firstRow="0" w:lastRow="0" w:firstColumn="0" w:lastColumn="0" w:oddVBand="0" w:evenVBand="0" w:oddHBand="1" w:evenHBand="0"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1985" w:type="dxa"/>
            <w:noWrap/>
            <w:hideMark/>
          </w:tcPr>
          <w:p w:rsidR="005E77DF" w:rsidRPr="00147D59" w:rsidRDefault="005E77DF" w:rsidP="005E19AF">
            <w:pPr>
              <w:jc w:val="both"/>
              <w:rPr>
                <w:rFonts w:ascii="Arial" w:eastAsia="Times New Roman" w:hAnsi="Arial" w:cs="Arial"/>
                <w:bCs w:val="0"/>
                <w:sz w:val="20"/>
                <w:szCs w:val="20"/>
                <w:lang w:eastAsia="nl-NL"/>
              </w:rPr>
            </w:pPr>
            <w:r w:rsidRPr="00147D59">
              <w:rPr>
                <w:rFonts w:ascii="Arial" w:eastAsia="Times New Roman" w:hAnsi="Arial" w:cs="Arial"/>
                <w:sz w:val="20"/>
                <w:szCs w:val="20"/>
                <w:lang w:eastAsia="nl-NL"/>
              </w:rPr>
              <w:t>t=-2</w:t>
            </w:r>
          </w:p>
        </w:tc>
        <w:tc>
          <w:tcPr>
            <w:tcW w:w="1806" w:type="dxa"/>
            <w:noWrap/>
            <w:hideMark/>
          </w:tcPr>
          <w:p w:rsidR="005E77DF" w:rsidRPr="00147D59" w:rsidRDefault="005E77DF" w:rsidP="005E19AF">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nl-NL"/>
              </w:rPr>
            </w:pPr>
            <w:r w:rsidRPr="00147D59">
              <w:rPr>
                <w:rFonts w:ascii="Arial" w:eastAsia="Times New Roman" w:hAnsi="Arial" w:cs="Arial"/>
                <w:sz w:val="20"/>
                <w:szCs w:val="20"/>
                <w:lang w:eastAsia="nl-NL"/>
              </w:rPr>
              <w:t>0,00290*</w:t>
            </w:r>
          </w:p>
        </w:tc>
        <w:tc>
          <w:tcPr>
            <w:tcW w:w="1689" w:type="dxa"/>
            <w:noWrap/>
            <w:hideMark/>
          </w:tcPr>
          <w:p w:rsidR="005E77DF" w:rsidRPr="00147D59" w:rsidRDefault="005E77DF" w:rsidP="005E19AF">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nl-NL"/>
              </w:rPr>
            </w:pPr>
            <w:r w:rsidRPr="00147D59">
              <w:rPr>
                <w:rFonts w:ascii="Arial" w:eastAsia="Times New Roman" w:hAnsi="Arial" w:cs="Arial"/>
                <w:sz w:val="20"/>
                <w:szCs w:val="20"/>
                <w:lang w:eastAsia="nl-NL"/>
              </w:rPr>
              <w:t>0,00025</w:t>
            </w:r>
          </w:p>
        </w:tc>
      </w:tr>
      <w:tr w:rsidR="005E77DF" w:rsidRPr="00147D59" w:rsidTr="00A05A01">
        <w:trPr>
          <w:cnfStyle w:val="000000010000" w:firstRow="0" w:lastRow="0" w:firstColumn="0" w:lastColumn="0" w:oddVBand="0" w:evenVBand="0" w:oddHBand="0" w:evenHBand="1"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1985" w:type="dxa"/>
            <w:noWrap/>
            <w:hideMark/>
          </w:tcPr>
          <w:p w:rsidR="005E77DF" w:rsidRPr="00147D59" w:rsidRDefault="005E77DF" w:rsidP="005E19AF">
            <w:pPr>
              <w:jc w:val="both"/>
              <w:rPr>
                <w:rFonts w:ascii="Arial" w:eastAsia="Times New Roman" w:hAnsi="Arial" w:cs="Arial"/>
                <w:bCs w:val="0"/>
                <w:sz w:val="20"/>
                <w:szCs w:val="20"/>
                <w:lang w:eastAsia="nl-NL"/>
              </w:rPr>
            </w:pPr>
            <w:r w:rsidRPr="00147D59">
              <w:rPr>
                <w:rFonts w:ascii="Arial" w:eastAsia="Times New Roman" w:hAnsi="Arial" w:cs="Arial"/>
                <w:sz w:val="20"/>
                <w:szCs w:val="20"/>
                <w:lang w:eastAsia="nl-NL"/>
              </w:rPr>
              <w:t>t=-1</w:t>
            </w:r>
          </w:p>
        </w:tc>
        <w:tc>
          <w:tcPr>
            <w:tcW w:w="1806" w:type="dxa"/>
            <w:noWrap/>
            <w:hideMark/>
          </w:tcPr>
          <w:p w:rsidR="005E77DF" w:rsidRPr="00147D59" w:rsidRDefault="005E77DF" w:rsidP="005E19AF">
            <w:pPr>
              <w:jc w:val="both"/>
              <w:cnfStyle w:val="000000010000" w:firstRow="0" w:lastRow="0" w:firstColumn="0" w:lastColumn="0" w:oddVBand="0" w:evenVBand="0" w:oddHBand="0" w:evenHBand="1" w:firstRowFirstColumn="0" w:firstRowLastColumn="0" w:lastRowFirstColumn="0" w:lastRowLastColumn="0"/>
              <w:rPr>
                <w:rFonts w:ascii="Arial" w:eastAsia="Times New Roman" w:hAnsi="Arial" w:cs="Arial"/>
                <w:sz w:val="20"/>
                <w:szCs w:val="20"/>
                <w:lang w:eastAsia="nl-NL"/>
              </w:rPr>
            </w:pPr>
            <w:r w:rsidRPr="00147D59">
              <w:rPr>
                <w:rFonts w:ascii="Arial" w:eastAsia="Times New Roman" w:hAnsi="Arial" w:cs="Arial"/>
                <w:sz w:val="20"/>
                <w:szCs w:val="20"/>
                <w:lang w:eastAsia="nl-NL"/>
              </w:rPr>
              <w:t>0,01435**</w:t>
            </w:r>
          </w:p>
        </w:tc>
        <w:tc>
          <w:tcPr>
            <w:tcW w:w="1689" w:type="dxa"/>
            <w:noWrap/>
            <w:hideMark/>
          </w:tcPr>
          <w:p w:rsidR="005E77DF" w:rsidRPr="00147D59" w:rsidRDefault="005E77DF" w:rsidP="005E19AF">
            <w:pPr>
              <w:jc w:val="both"/>
              <w:cnfStyle w:val="000000010000" w:firstRow="0" w:lastRow="0" w:firstColumn="0" w:lastColumn="0" w:oddVBand="0" w:evenVBand="0" w:oddHBand="0" w:evenHBand="1" w:firstRowFirstColumn="0" w:firstRowLastColumn="0" w:lastRowFirstColumn="0" w:lastRowLastColumn="0"/>
              <w:rPr>
                <w:rFonts w:ascii="Arial" w:eastAsia="Times New Roman" w:hAnsi="Arial" w:cs="Arial"/>
                <w:sz w:val="20"/>
                <w:szCs w:val="20"/>
                <w:lang w:eastAsia="nl-NL"/>
              </w:rPr>
            </w:pPr>
            <w:r w:rsidRPr="00147D59">
              <w:rPr>
                <w:rFonts w:ascii="Arial" w:eastAsia="Times New Roman" w:hAnsi="Arial" w:cs="Arial"/>
                <w:sz w:val="20"/>
                <w:szCs w:val="20"/>
                <w:lang w:eastAsia="nl-NL"/>
              </w:rPr>
              <w:t>0,00006</w:t>
            </w:r>
          </w:p>
        </w:tc>
      </w:tr>
      <w:tr w:rsidR="005E77DF" w:rsidRPr="00147D59" w:rsidTr="00A05A01">
        <w:trPr>
          <w:cnfStyle w:val="000000100000" w:firstRow="0" w:lastRow="0" w:firstColumn="0" w:lastColumn="0" w:oddVBand="0" w:evenVBand="0" w:oddHBand="1" w:evenHBand="0"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1985" w:type="dxa"/>
            <w:noWrap/>
            <w:hideMark/>
          </w:tcPr>
          <w:p w:rsidR="005E77DF" w:rsidRPr="00147D59" w:rsidRDefault="005E77DF" w:rsidP="005E19AF">
            <w:pPr>
              <w:jc w:val="both"/>
              <w:rPr>
                <w:rFonts w:ascii="Arial" w:eastAsia="Times New Roman" w:hAnsi="Arial" w:cs="Arial"/>
                <w:bCs w:val="0"/>
                <w:sz w:val="20"/>
                <w:szCs w:val="20"/>
                <w:lang w:eastAsia="nl-NL"/>
              </w:rPr>
            </w:pPr>
            <w:r w:rsidRPr="00147D59">
              <w:rPr>
                <w:rFonts w:ascii="Arial" w:eastAsia="Times New Roman" w:hAnsi="Arial" w:cs="Arial"/>
                <w:sz w:val="20"/>
                <w:szCs w:val="20"/>
                <w:lang w:eastAsia="nl-NL"/>
              </w:rPr>
              <w:t>t=-0</w:t>
            </w:r>
          </w:p>
        </w:tc>
        <w:tc>
          <w:tcPr>
            <w:tcW w:w="1806" w:type="dxa"/>
            <w:noWrap/>
            <w:hideMark/>
          </w:tcPr>
          <w:p w:rsidR="005E77DF" w:rsidRPr="00147D59" w:rsidRDefault="005E77DF" w:rsidP="005E19AF">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nl-NL"/>
              </w:rPr>
            </w:pPr>
            <w:r w:rsidRPr="00147D59">
              <w:rPr>
                <w:rFonts w:ascii="Arial" w:eastAsia="Times New Roman" w:hAnsi="Arial" w:cs="Arial"/>
                <w:sz w:val="20"/>
                <w:szCs w:val="20"/>
                <w:lang w:eastAsia="nl-NL"/>
              </w:rPr>
              <w:t>0,11846**</w:t>
            </w:r>
          </w:p>
        </w:tc>
        <w:tc>
          <w:tcPr>
            <w:tcW w:w="1689" w:type="dxa"/>
            <w:noWrap/>
            <w:hideMark/>
          </w:tcPr>
          <w:p w:rsidR="005E77DF" w:rsidRPr="00147D59" w:rsidRDefault="005E77DF" w:rsidP="005E19AF">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nl-NL"/>
              </w:rPr>
            </w:pPr>
            <w:r w:rsidRPr="00147D59">
              <w:rPr>
                <w:rFonts w:ascii="Arial" w:eastAsia="Times New Roman" w:hAnsi="Arial" w:cs="Arial"/>
                <w:sz w:val="20"/>
                <w:szCs w:val="20"/>
                <w:lang w:eastAsia="nl-NL"/>
              </w:rPr>
              <w:t>-0,01672**</w:t>
            </w:r>
          </w:p>
        </w:tc>
      </w:tr>
      <w:tr w:rsidR="005E77DF" w:rsidRPr="00147D59" w:rsidTr="00A05A01">
        <w:trPr>
          <w:cnfStyle w:val="000000010000" w:firstRow="0" w:lastRow="0" w:firstColumn="0" w:lastColumn="0" w:oddVBand="0" w:evenVBand="0" w:oddHBand="0" w:evenHBand="1"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1985" w:type="dxa"/>
            <w:noWrap/>
            <w:hideMark/>
          </w:tcPr>
          <w:p w:rsidR="005E77DF" w:rsidRPr="00147D59" w:rsidRDefault="005E77DF" w:rsidP="005E19AF">
            <w:pPr>
              <w:jc w:val="both"/>
              <w:rPr>
                <w:rFonts w:ascii="Arial" w:eastAsia="Times New Roman" w:hAnsi="Arial" w:cs="Arial"/>
                <w:bCs w:val="0"/>
                <w:sz w:val="20"/>
                <w:szCs w:val="20"/>
                <w:lang w:eastAsia="nl-NL"/>
              </w:rPr>
            </w:pPr>
            <w:r w:rsidRPr="00147D59">
              <w:rPr>
                <w:rFonts w:ascii="Arial" w:eastAsia="Times New Roman" w:hAnsi="Arial" w:cs="Arial"/>
                <w:sz w:val="20"/>
                <w:szCs w:val="20"/>
                <w:lang w:eastAsia="nl-NL"/>
              </w:rPr>
              <w:t>t=1</w:t>
            </w:r>
          </w:p>
        </w:tc>
        <w:tc>
          <w:tcPr>
            <w:tcW w:w="1806" w:type="dxa"/>
            <w:noWrap/>
            <w:hideMark/>
          </w:tcPr>
          <w:p w:rsidR="005E77DF" w:rsidRPr="00147D59" w:rsidRDefault="005E77DF" w:rsidP="005E19AF">
            <w:pPr>
              <w:jc w:val="both"/>
              <w:cnfStyle w:val="000000010000" w:firstRow="0" w:lastRow="0" w:firstColumn="0" w:lastColumn="0" w:oddVBand="0" w:evenVBand="0" w:oddHBand="0" w:evenHBand="1" w:firstRowFirstColumn="0" w:firstRowLastColumn="0" w:lastRowFirstColumn="0" w:lastRowLastColumn="0"/>
              <w:rPr>
                <w:rFonts w:ascii="Arial" w:eastAsia="Times New Roman" w:hAnsi="Arial" w:cs="Arial"/>
                <w:sz w:val="20"/>
                <w:szCs w:val="20"/>
                <w:lang w:eastAsia="nl-NL"/>
              </w:rPr>
            </w:pPr>
            <w:r w:rsidRPr="00147D59">
              <w:rPr>
                <w:rFonts w:ascii="Arial" w:eastAsia="Times New Roman" w:hAnsi="Arial" w:cs="Arial"/>
                <w:sz w:val="20"/>
                <w:szCs w:val="20"/>
                <w:lang w:eastAsia="nl-NL"/>
              </w:rPr>
              <w:t>0,03215**</w:t>
            </w:r>
          </w:p>
        </w:tc>
        <w:tc>
          <w:tcPr>
            <w:tcW w:w="1689" w:type="dxa"/>
            <w:noWrap/>
            <w:hideMark/>
          </w:tcPr>
          <w:p w:rsidR="005E77DF" w:rsidRPr="00147D59" w:rsidRDefault="005E77DF" w:rsidP="005E19AF">
            <w:pPr>
              <w:jc w:val="both"/>
              <w:cnfStyle w:val="000000010000" w:firstRow="0" w:lastRow="0" w:firstColumn="0" w:lastColumn="0" w:oddVBand="0" w:evenVBand="0" w:oddHBand="0" w:evenHBand="1" w:firstRowFirstColumn="0" w:firstRowLastColumn="0" w:lastRowFirstColumn="0" w:lastRowLastColumn="0"/>
              <w:rPr>
                <w:rFonts w:ascii="Arial" w:eastAsia="Times New Roman" w:hAnsi="Arial" w:cs="Arial"/>
                <w:sz w:val="20"/>
                <w:szCs w:val="20"/>
                <w:lang w:eastAsia="nl-NL"/>
              </w:rPr>
            </w:pPr>
            <w:r w:rsidRPr="00147D59">
              <w:rPr>
                <w:rFonts w:ascii="Arial" w:eastAsia="Times New Roman" w:hAnsi="Arial" w:cs="Arial"/>
                <w:sz w:val="20"/>
                <w:szCs w:val="20"/>
                <w:lang w:eastAsia="nl-NL"/>
              </w:rPr>
              <w:t>-0,00207</w:t>
            </w:r>
          </w:p>
        </w:tc>
      </w:tr>
      <w:tr w:rsidR="005E77DF" w:rsidRPr="00147D59" w:rsidTr="00A05A01">
        <w:trPr>
          <w:cnfStyle w:val="000000100000" w:firstRow="0" w:lastRow="0" w:firstColumn="0" w:lastColumn="0" w:oddVBand="0" w:evenVBand="0" w:oddHBand="1" w:evenHBand="0"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1985" w:type="dxa"/>
            <w:noWrap/>
            <w:hideMark/>
          </w:tcPr>
          <w:p w:rsidR="005E77DF" w:rsidRPr="00147D59" w:rsidRDefault="005E77DF" w:rsidP="005E19AF">
            <w:pPr>
              <w:jc w:val="both"/>
              <w:rPr>
                <w:rFonts w:ascii="Arial" w:eastAsia="Times New Roman" w:hAnsi="Arial" w:cs="Arial"/>
                <w:bCs w:val="0"/>
                <w:sz w:val="20"/>
                <w:szCs w:val="20"/>
                <w:lang w:eastAsia="nl-NL"/>
              </w:rPr>
            </w:pPr>
            <w:r w:rsidRPr="00147D59">
              <w:rPr>
                <w:rFonts w:ascii="Arial" w:eastAsia="Times New Roman" w:hAnsi="Arial" w:cs="Arial"/>
                <w:sz w:val="20"/>
                <w:szCs w:val="20"/>
                <w:lang w:eastAsia="nl-NL"/>
              </w:rPr>
              <w:t>t=2</w:t>
            </w:r>
          </w:p>
        </w:tc>
        <w:tc>
          <w:tcPr>
            <w:tcW w:w="1806" w:type="dxa"/>
            <w:noWrap/>
            <w:hideMark/>
          </w:tcPr>
          <w:p w:rsidR="005E77DF" w:rsidRPr="00147D59" w:rsidRDefault="005E77DF" w:rsidP="005E19AF">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nl-NL"/>
              </w:rPr>
            </w:pPr>
            <w:r w:rsidRPr="00147D59">
              <w:rPr>
                <w:rFonts w:ascii="Arial" w:eastAsia="Times New Roman" w:hAnsi="Arial" w:cs="Arial"/>
                <w:sz w:val="20"/>
                <w:szCs w:val="20"/>
                <w:lang w:eastAsia="nl-NL"/>
              </w:rPr>
              <w:t>0,00038</w:t>
            </w:r>
          </w:p>
        </w:tc>
        <w:tc>
          <w:tcPr>
            <w:tcW w:w="1689" w:type="dxa"/>
            <w:noWrap/>
            <w:hideMark/>
          </w:tcPr>
          <w:p w:rsidR="005E77DF" w:rsidRPr="00147D59" w:rsidRDefault="005E77DF" w:rsidP="005E19AF">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nl-NL"/>
              </w:rPr>
            </w:pPr>
            <w:r w:rsidRPr="00147D59">
              <w:rPr>
                <w:rFonts w:ascii="Arial" w:eastAsia="Times New Roman" w:hAnsi="Arial" w:cs="Arial"/>
                <w:sz w:val="20"/>
                <w:szCs w:val="20"/>
                <w:lang w:eastAsia="nl-NL"/>
              </w:rPr>
              <w:t>-0,00147</w:t>
            </w:r>
          </w:p>
        </w:tc>
      </w:tr>
      <w:tr w:rsidR="005E77DF" w:rsidRPr="00147D59" w:rsidTr="00A05A01">
        <w:trPr>
          <w:cnfStyle w:val="000000010000" w:firstRow="0" w:lastRow="0" w:firstColumn="0" w:lastColumn="0" w:oddVBand="0" w:evenVBand="0" w:oddHBand="0" w:evenHBand="1"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1985" w:type="dxa"/>
            <w:noWrap/>
            <w:hideMark/>
          </w:tcPr>
          <w:p w:rsidR="005E77DF" w:rsidRPr="00147D59" w:rsidRDefault="005E77DF" w:rsidP="005E19AF">
            <w:pPr>
              <w:jc w:val="both"/>
              <w:rPr>
                <w:rFonts w:ascii="Arial" w:eastAsia="Times New Roman" w:hAnsi="Arial" w:cs="Arial"/>
                <w:bCs w:val="0"/>
                <w:sz w:val="20"/>
                <w:szCs w:val="20"/>
                <w:lang w:eastAsia="nl-NL"/>
              </w:rPr>
            </w:pPr>
            <w:r w:rsidRPr="00147D59">
              <w:rPr>
                <w:rFonts w:ascii="Arial" w:eastAsia="Times New Roman" w:hAnsi="Arial" w:cs="Arial"/>
                <w:sz w:val="20"/>
                <w:szCs w:val="20"/>
                <w:lang w:eastAsia="nl-NL"/>
              </w:rPr>
              <w:t>t=3</w:t>
            </w:r>
          </w:p>
        </w:tc>
        <w:tc>
          <w:tcPr>
            <w:tcW w:w="1806" w:type="dxa"/>
            <w:noWrap/>
            <w:hideMark/>
          </w:tcPr>
          <w:p w:rsidR="005E77DF" w:rsidRPr="00147D59" w:rsidRDefault="005E77DF" w:rsidP="005E19AF">
            <w:pPr>
              <w:jc w:val="both"/>
              <w:cnfStyle w:val="000000010000" w:firstRow="0" w:lastRow="0" w:firstColumn="0" w:lastColumn="0" w:oddVBand="0" w:evenVBand="0" w:oddHBand="0" w:evenHBand="1" w:firstRowFirstColumn="0" w:firstRowLastColumn="0" w:lastRowFirstColumn="0" w:lastRowLastColumn="0"/>
              <w:rPr>
                <w:rFonts w:ascii="Arial" w:eastAsia="Times New Roman" w:hAnsi="Arial" w:cs="Arial"/>
                <w:sz w:val="20"/>
                <w:szCs w:val="20"/>
                <w:lang w:eastAsia="nl-NL"/>
              </w:rPr>
            </w:pPr>
            <w:r w:rsidRPr="00147D59">
              <w:rPr>
                <w:rFonts w:ascii="Arial" w:eastAsia="Times New Roman" w:hAnsi="Arial" w:cs="Arial"/>
                <w:sz w:val="20"/>
                <w:szCs w:val="20"/>
                <w:lang w:eastAsia="nl-NL"/>
              </w:rPr>
              <w:t>0,00005</w:t>
            </w:r>
          </w:p>
        </w:tc>
        <w:tc>
          <w:tcPr>
            <w:tcW w:w="1689" w:type="dxa"/>
            <w:noWrap/>
            <w:hideMark/>
          </w:tcPr>
          <w:p w:rsidR="005E77DF" w:rsidRPr="00147D59" w:rsidRDefault="005E77DF" w:rsidP="005E19AF">
            <w:pPr>
              <w:jc w:val="both"/>
              <w:cnfStyle w:val="000000010000" w:firstRow="0" w:lastRow="0" w:firstColumn="0" w:lastColumn="0" w:oddVBand="0" w:evenVBand="0" w:oddHBand="0" w:evenHBand="1" w:firstRowFirstColumn="0" w:firstRowLastColumn="0" w:lastRowFirstColumn="0" w:lastRowLastColumn="0"/>
              <w:rPr>
                <w:rFonts w:ascii="Arial" w:eastAsia="Times New Roman" w:hAnsi="Arial" w:cs="Arial"/>
                <w:sz w:val="20"/>
                <w:szCs w:val="20"/>
                <w:lang w:eastAsia="nl-NL"/>
              </w:rPr>
            </w:pPr>
            <w:r w:rsidRPr="00147D59">
              <w:rPr>
                <w:rFonts w:ascii="Arial" w:eastAsia="Times New Roman" w:hAnsi="Arial" w:cs="Arial"/>
                <w:sz w:val="20"/>
                <w:szCs w:val="20"/>
                <w:lang w:eastAsia="nl-NL"/>
              </w:rPr>
              <w:t>0,00238**</w:t>
            </w:r>
          </w:p>
        </w:tc>
      </w:tr>
      <w:tr w:rsidR="005E77DF" w:rsidRPr="00147D59" w:rsidTr="00A05A01">
        <w:trPr>
          <w:cnfStyle w:val="000000100000" w:firstRow="0" w:lastRow="0" w:firstColumn="0" w:lastColumn="0" w:oddVBand="0" w:evenVBand="0" w:oddHBand="1" w:evenHBand="0"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1985" w:type="dxa"/>
            <w:noWrap/>
            <w:hideMark/>
          </w:tcPr>
          <w:p w:rsidR="005E77DF" w:rsidRPr="00147D59" w:rsidRDefault="005E77DF" w:rsidP="005E19AF">
            <w:pPr>
              <w:jc w:val="both"/>
              <w:rPr>
                <w:rFonts w:ascii="Arial" w:eastAsia="Times New Roman" w:hAnsi="Arial" w:cs="Arial"/>
                <w:bCs w:val="0"/>
                <w:sz w:val="20"/>
                <w:szCs w:val="20"/>
                <w:lang w:eastAsia="nl-NL"/>
              </w:rPr>
            </w:pPr>
            <w:r w:rsidRPr="00147D59">
              <w:rPr>
                <w:rFonts w:ascii="Arial" w:eastAsia="Times New Roman" w:hAnsi="Arial" w:cs="Arial"/>
                <w:sz w:val="20"/>
                <w:szCs w:val="20"/>
                <w:lang w:eastAsia="nl-NL"/>
              </w:rPr>
              <w:t>t=4</w:t>
            </w:r>
          </w:p>
        </w:tc>
        <w:tc>
          <w:tcPr>
            <w:tcW w:w="1806" w:type="dxa"/>
            <w:noWrap/>
            <w:hideMark/>
          </w:tcPr>
          <w:p w:rsidR="005E77DF" w:rsidRPr="00147D59" w:rsidRDefault="005E77DF" w:rsidP="005E19AF">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nl-NL"/>
              </w:rPr>
            </w:pPr>
            <w:r w:rsidRPr="00147D59">
              <w:rPr>
                <w:rFonts w:ascii="Arial" w:eastAsia="Times New Roman" w:hAnsi="Arial" w:cs="Arial"/>
                <w:sz w:val="20"/>
                <w:szCs w:val="20"/>
                <w:lang w:eastAsia="nl-NL"/>
              </w:rPr>
              <w:t>-0,00092</w:t>
            </w:r>
          </w:p>
        </w:tc>
        <w:tc>
          <w:tcPr>
            <w:tcW w:w="1689" w:type="dxa"/>
            <w:noWrap/>
            <w:hideMark/>
          </w:tcPr>
          <w:p w:rsidR="005E77DF" w:rsidRPr="00147D59" w:rsidRDefault="005E77DF" w:rsidP="005E19AF">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nl-NL"/>
              </w:rPr>
            </w:pPr>
            <w:r w:rsidRPr="00147D59">
              <w:rPr>
                <w:rFonts w:ascii="Arial" w:eastAsia="Times New Roman" w:hAnsi="Arial" w:cs="Arial"/>
                <w:sz w:val="20"/>
                <w:szCs w:val="20"/>
                <w:lang w:eastAsia="nl-NL"/>
              </w:rPr>
              <w:t>-0,00119</w:t>
            </w:r>
          </w:p>
        </w:tc>
      </w:tr>
      <w:tr w:rsidR="005E77DF" w:rsidRPr="00147D59" w:rsidTr="00A05A01">
        <w:trPr>
          <w:cnfStyle w:val="000000010000" w:firstRow="0" w:lastRow="0" w:firstColumn="0" w:lastColumn="0" w:oddVBand="0" w:evenVBand="0" w:oddHBand="0" w:evenHBand="1"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1985" w:type="dxa"/>
            <w:noWrap/>
            <w:hideMark/>
          </w:tcPr>
          <w:p w:rsidR="005E77DF" w:rsidRPr="00147D59" w:rsidRDefault="005E77DF" w:rsidP="005E19AF">
            <w:pPr>
              <w:jc w:val="both"/>
              <w:rPr>
                <w:rFonts w:ascii="Arial" w:eastAsia="Times New Roman" w:hAnsi="Arial" w:cs="Arial"/>
                <w:bCs w:val="0"/>
                <w:sz w:val="20"/>
                <w:szCs w:val="20"/>
                <w:lang w:eastAsia="nl-NL"/>
              </w:rPr>
            </w:pPr>
            <w:r w:rsidRPr="00147D59">
              <w:rPr>
                <w:rFonts w:ascii="Arial" w:eastAsia="Times New Roman" w:hAnsi="Arial" w:cs="Arial"/>
                <w:sz w:val="20"/>
                <w:szCs w:val="20"/>
                <w:lang w:eastAsia="nl-NL"/>
              </w:rPr>
              <w:t>t=5</w:t>
            </w:r>
          </w:p>
        </w:tc>
        <w:tc>
          <w:tcPr>
            <w:tcW w:w="1806" w:type="dxa"/>
            <w:noWrap/>
            <w:hideMark/>
          </w:tcPr>
          <w:p w:rsidR="005E77DF" w:rsidRPr="00147D59" w:rsidRDefault="005E77DF" w:rsidP="005E19AF">
            <w:pPr>
              <w:jc w:val="both"/>
              <w:cnfStyle w:val="000000010000" w:firstRow="0" w:lastRow="0" w:firstColumn="0" w:lastColumn="0" w:oddVBand="0" w:evenVBand="0" w:oddHBand="0" w:evenHBand="1" w:firstRowFirstColumn="0" w:firstRowLastColumn="0" w:lastRowFirstColumn="0" w:lastRowLastColumn="0"/>
              <w:rPr>
                <w:rFonts w:ascii="Arial" w:eastAsia="Times New Roman" w:hAnsi="Arial" w:cs="Arial"/>
                <w:sz w:val="20"/>
                <w:szCs w:val="20"/>
                <w:lang w:eastAsia="nl-NL"/>
              </w:rPr>
            </w:pPr>
            <w:r w:rsidRPr="00147D59">
              <w:rPr>
                <w:rFonts w:ascii="Arial" w:eastAsia="Times New Roman" w:hAnsi="Arial" w:cs="Arial"/>
                <w:sz w:val="20"/>
                <w:szCs w:val="20"/>
                <w:lang w:eastAsia="nl-NL"/>
              </w:rPr>
              <w:t>-0,00169*</w:t>
            </w:r>
          </w:p>
        </w:tc>
        <w:tc>
          <w:tcPr>
            <w:tcW w:w="1689" w:type="dxa"/>
            <w:noWrap/>
            <w:hideMark/>
          </w:tcPr>
          <w:p w:rsidR="005E77DF" w:rsidRPr="00147D59" w:rsidRDefault="005E77DF" w:rsidP="005E19AF">
            <w:pPr>
              <w:jc w:val="both"/>
              <w:cnfStyle w:val="000000010000" w:firstRow="0" w:lastRow="0" w:firstColumn="0" w:lastColumn="0" w:oddVBand="0" w:evenVBand="0" w:oddHBand="0" w:evenHBand="1" w:firstRowFirstColumn="0" w:firstRowLastColumn="0" w:lastRowFirstColumn="0" w:lastRowLastColumn="0"/>
              <w:rPr>
                <w:rFonts w:ascii="Arial" w:eastAsia="Times New Roman" w:hAnsi="Arial" w:cs="Arial"/>
                <w:sz w:val="20"/>
                <w:szCs w:val="20"/>
                <w:lang w:eastAsia="nl-NL"/>
              </w:rPr>
            </w:pPr>
            <w:r w:rsidRPr="00147D59">
              <w:rPr>
                <w:rFonts w:ascii="Arial" w:eastAsia="Times New Roman" w:hAnsi="Arial" w:cs="Arial"/>
                <w:sz w:val="20"/>
                <w:szCs w:val="20"/>
                <w:lang w:eastAsia="nl-NL"/>
              </w:rPr>
              <w:t>-0,00357**</w:t>
            </w:r>
          </w:p>
        </w:tc>
      </w:tr>
      <w:tr w:rsidR="005E77DF" w:rsidRPr="00147D59" w:rsidTr="00A05A01">
        <w:trPr>
          <w:cnfStyle w:val="000000100000" w:firstRow="0" w:lastRow="0" w:firstColumn="0" w:lastColumn="0" w:oddVBand="0" w:evenVBand="0" w:oddHBand="1" w:evenHBand="0"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1985" w:type="dxa"/>
            <w:noWrap/>
            <w:hideMark/>
          </w:tcPr>
          <w:p w:rsidR="005E77DF" w:rsidRPr="00147D59" w:rsidRDefault="005E77DF" w:rsidP="005E19AF">
            <w:pPr>
              <w:jc w:val="both"/>
              <w:rPr>
                <w:rFonts w:ascii="Arial" w:eastAsia="Times New Roman" w:hAnsi="Arial" w:cs="Arial"/>
                <w:bCs w:val="0"/>
                <w:sz w:val="20"/>
                <w:szCs w:val="20"/>
                <w:lang w:eastAsia="nl-NL"/>
              </w:rPr>
            </w:pPr>
            <w:r w:rsidRPr="00147D59">
              <w:rPr>
                <w:rFonts w:ascii="Arial" w:eastAsia="Times New Roman" w:hAnsi="Arial" w:cs="Arial"/>
                <w:sz w:val="20"/>
                <w:szCs w:val="20"/>
                <w:lang w:eastAsia="nl-NL"/>
              </w:rPr>
              <w:t>t=6</w:t>
            </w:r>
          </w:p>
        </w:tc>
        <w:tc>
          <w:tcPr>
            <w:tcW w:w="1806" w:type="dxa"/>
            <w:noWrap/>
            <w:hideMark/>
          </w:tcPr>
          <w:p w:rsidR="005E77DF" w:rsidRPr="00147D59" w:rsidRDefault="005E77DF" w:rsidP="005E19AF">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nl-NL"/>
              </w:rPr>
            </w:pPr>
            <w:r w:rsidRPr="00147D59">
              <w:rPr>
                <w:rFonts w:ascii="Arial" w:eastAsia="Times New Roman" w:hAnsi="Arial" w:cs="Arial"/>
                <w:sz w:val="20"/>
                <w:szCs w:val="20"/>
                <w:lang w:eastAsia="nl-NL"/>
              </w:rPr>
              <w:t>-0,00060</w:t>
            </w:r>
          </w:p>
        </w:tc>
        <w:tc>
          <w:tcPr>
            <w:tcW w:w="1689" w:type="dxa"/>
            <w:noWrap/>
            <w:hideMark/>
          </w:tcPr>
          <w:p w:rsidR="005E77DF" w:rsidRPr="00147D59" w:rsidRDefault="005E77DF" w:rsidP="005E19AF">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nl-NL"/>
              </w:rPr>
            </w:pPr>
            <w:r w:rsidRPr="00147D59">
              <w:rPr>
                <w:rFonts w:ascii="Arial" w:eastAsia="Times New Roman" w:hAnsi="Arial" w:cs="Arial"/>
                <w:sz w:val="20"/>
                <w:szCs w:val="20"/>
                <w:lang w:eastAsia="nl-NL"/>
              </w:rPr>
              <w:t>-0,00065</w:t>
            </w:r>
          </w:p>
        </w:tc>
      </w:tr>
      <w:tr w:rsidR="005E77DF" w:rsidRPr="00147D59" w:rsidTr="00A05A01">
        <w:trPr>
          <w:cnfStyle w:val="000000010000" w:firstRow="0" w:lastRow="0" w:firstColumn="0" w:lastColumn="0" w:oddVBand="0" w:evenVBand="0" w:oddHBand="0" w:evenHBand="1"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1985" w:type="dxa"/>
            <w:noWrap/>
            <w:hideMark/>
          </w:tcPr>
          <w:p w:rsidR="005E77DF" w:rsidRPr="00147D59" w:rsidRDefault="005E77DF" w:rsidP="005E19AF">
            <w:pPr>
              <w:jc w:val="both"/>
              <w:rPr>
                <w:rFonts w:ascii="Arial" w:eastAsia="Times New Roman" w:hAnsi="Arial" w:cs="Arial"/>
                <w:bCs w:val="0"/>
                <w:sz w:val="20"/>
                <w:szCs w:val="20"/>
                <w:lang w:eastAsia="nl-NL"/>
              </w:rPr>
            </w:pPr>
            <w:r w:rsidRPr="00147D59">
              <w:rPr>
                <w:rFonts w:ascii="Arial" w:eastAsia="Times New Roman" w:hAnsi="Arial" w:cs="Arial"/>
                <w:sz w:val="20"/>
                <w:szCs w:val="20"/>
                <w:lang w:eastAsia="nl-NL"/>
              </w:rPr>
              <w:t>t=7</w:t>
            </w:r>
          </w:p>
        </w:tc>
        <w:tc>
          <w:tcPr>
            <w:tcW w:w="1806" w:type="dxa"/>
            <w:noWrap/>
            <w:hideMark/>
          </w:tcPr>
          <w:p w:rsidR="005E77DF" w:rsidRPr="00147D59" w:rsidRDefault="005E77DF" w:rsidP="005E19AF">
            <w:pPr>
              <w:jc w:val="both"/>
              <w:cnfStyle w:val="000000010000" w:firstRow="0" w:lastRow="0" w:firstColumn="0" w:lastColumn="0" w:oddVBand="0" w:evenVBand="0" w:oddHBand="0" w:evenHBand="1" w:firstRowFirstColumn="0" w:firstRowLastColumn="0" w:lastRowFirstColumn="0" w:lastRowLastColumn="0"/>
              <w:rPr>
                <w:rFonts w:ascii="Arial" w:eastAsia="Times New Roman" w:hAnsi="Arial" w:cs="Arial"/>
                <w:sz w:val="20"/>
                <w:szCs w:val="20"/>
                <w:lang w:eastAsia="nl-NL"/>
              </w:rPr>
            </w:pPr>
            <w:r w:rsidRPr="00147D59">
              <w:rPr>
                <w:rFonts w:ascii="Arial" w:eastAsia="Times New Roman" w:hAnsi="Arial" w:cs="Arial"/>
                <w:sz w:val="20"/>
                <w:szCs w:val="20"/>
                <w:lang w:eastAsia="nl-NL"/>
              </w:rPr>
              <w:t>0,00008</w:t>
            </w:r>
          </w:p>
        </w:tc>
        <w:tc>
          <w:tcPr>
            <w:tcW w:w="1689" w:type="dxa"/>
            <w:noWrap/>
            <w:hideMark/>
          </w:tcPr>
          <w:p w:rsidR="005E77DF" w:rsidRPr="00147D59" w:rsidRDefault="005E77DF" w:rsidP="005E19AF">
            <w:pPr>
              <w:jc w:val="both"/>
              <w:cnfStyle w:val="000000010000" w:firstRow="0" w:lastRow="0" w:firstColumn="0" w:lastColumn="0" w:oddVBand="0" w:evenVBand="0" w:oddHBand="0" w:evenHBand="1" w:firstRowFirstColumn="0" w:firstRowLastColumn="0" w:lastRowFirstColumn="0" w:lastRowLastColumn="0"/>
              <w:rPr>
                <w:rFonts w:ascii="Arial" w:eastAsia="Times New Roman" w:hAnsi="Arial" w:cs="Arial"/>
                <w:sz w:val="20"/>
                <w:szCs w:val="20"/>
                <w:lang w:eastAsia="nl-NL"/>
              </w:rPr>
            </w:pPr>
            <w:r w:rsidRPr="00147D59">
              <w:rPr>
                <w:rFonts w:ascii="Arial" w:eastAsia="Times New Roman" w:hAnsi="Arial" w:cs="Arial"/>
                <w:sz w:val="20"/>
                <w:szCs w:val="20"/>
                <w:lang w:eastAsia="nl-NL"/>
              </w:rPr>
              <w:t>-0,00122</w:t>
            </w:r>
          </w:p>
        </w:tc>
      </w:tr>
      <w:tr w:rsidR="005E77DF" w:rsidRPr="00147D59" w:rsidTr="00A05A01">
        <w:trPr>
          <w:cnfStyle w:val="000000100000" w:firstRow="0" w:lastRow="0" w:firstColumn="0" w:lastColumn="0" w:oddVBand="0" w:evenVBand="0" w:oddHBand="1" w:evenHBand="0"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1985" w:type="dxa"/>
            <w:noWrap/>
            <w:hideMark/>
          </w:tcPr>
          <w:p w:rsidR="005E77DF" w:rsidRPr="00147D59" w:rsidRDefault="005E77DF" w:rsidP="005E19AF">
            <w:pPr>
              <w:jc w:val="both"/>
              <w:rPr>
                <w:rFonts w:ascii="Arial" w:eastAsia="Times New Roman" w:hAnsi="Arial" w:cs="Arial"/>
                <w:bCs w:val="0"/>
                <w:sz w:val="20"/>
                <w:szCs w:val="20"/>
                <w:lang w:eastAsia="nl-NL"/>
              </w:rPr>
            </w:pPr>
            <w:r w:rsidRPr="00147D59">
              <w:rPr>
                <w:rFonts w:ascii="Arial" w:eastAsia="Times New Roman" w:hAnsi="Arial" w:cs="Arial"/>
                <w:sz w:val="20"/>
                <w:szCs w:val="20"/>
                <w:lang w:eastAsia="nl-NL"/>
              </w:rPr>
              <w:t>t=8</w:t>
            </w:r>
          </w:p>
        </w:tc>
        <w:tc>
          <w:tcPr>
            <w:tcW w:w="1806" w:type="dxa"/>
            <w:noWrap/>
            <w:hideMark/>
          </w:tcPr>
          <w:p w:rsidR="005E77DF" w:rsidRPr="00147D59" w:rsidRDefault="005E77DF" w:rsidP="005E19AF">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nl-NL"/>
              </w:rPr>
            </w:pPr>
            <w:r w:rsidRPr="00147D59">
              <w:rPr>
                <w:rFonts w:ascii="Arial" w:eastAsia="Times New Roman" w:hAnsi="Arial" w:cs="Arial"/>
                <w:sz w:val="20"/>
                <w:szCs w:val="20"/>
                <w:lang w:eastAsia="nl-NL"/>
              </w:rPr>
              <w:t>-0,00322**</w:t>
            </w:r>
          </w:p>
        </w:tc>
        <w:tc>
          <w:tcPr>
            <w:tcW w:w="1689" w:type="dxa"/>
            <w:noWrap/>
            <w:hideMark/>
          </w:tcPr>
          <w:p w:rsidR="005E77DF" w:rsidRPr="00147D59" w:rsidRDefault="005E77DF" w:rsidP="005E19AF">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nl-NL"/>
              </w:rPr>
            </w:pPr>
            <w:r w:rsidRPr="00147D59">
              <w:rPr>
                <w:rFonts w:ascii="Arial" w:eastAsia="Times New Roman" w:hAnsi="Arial" w:cs="Arial"/>
                <w:sz w:val="20"/>
                <w:szCs w:val="20"/>
                <w:lang w:eastAsia="nl-NL"/>
              </w:rPr>
              <w:t>-0,00243**</w:t>
            </w:r>
          </w:p>
        </w:tc>
      </w:tr>
      <w:tr w:rsidR="005E77DF" w:rsidRPr="00147D59" w:rsidTr="00A05A01">
        <w:trPr>
          <w:cnfStyle w:val="000000010000" w:firstRow="0" w:lastRow="0" w:firstColumn="0" w:lastColumn="0" w:oddVBand="0" w:evenVBand="0" w:oddHBand="0" w:evenHBand="1"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1985" w:type="dxa"/>
            <w:noWrap/>
            <w:hideMark/>
          </w:tcPr>
          <w:p w:rsidR="005E77DF" w:rsidRPr="00147D59" w:rsidRDefault="005E77DF" w:rsidP="005E19AF">
            <w:pPr>
              <w:jc w:val="both"/>
              <w:rPr>
                <w:rFonts w:ascii="Arial" w:eastAsia="Times New Roman" w:hAnsi="Arial" w:cs="Arial"/>
                <w:bCs w:val="0"/>
                <w:sz w:val="20"/>
                <w:szCs w:val="20"/>
                <w:lang w:eastAsia="nl-NL"/>
              </w:rPr>
            </w:pPr>
            <w:r w:rsidRPr="00147D59">
              <w:rPr>
                <w:rFonts w:ascii="Arial" w:eastAsia="Times New Roman" w:hAnsi="Arial" w:cs="Arial"/>
                <w:sz w:val="20"/>
                <w:szCs w:val="20"/>
                <w:lang w:eastAsia="nl-NL"/>
              </w:rPr>
              <w:t>t=9</w:t>
            </w:r>
          </w:p>
        </w:tc>
        <w:tc>
          <w:tcPr>
            <w:tcW w:w="1806" w:type="dxa"/>
            <w:noWrap/>
            <w:hideMark/>
          </w:tcPr>
          <w:p w:rsidR="005E77DF" w:rsidRPr="00147D59" w:rsidRDefault="005E77DF" w:rsidP="005E19AF">
            <w:pPr>
              <w:jc w:val="both"/>
              <w:cnfStyle w:val="000000010000" w:firstRow="0" w:lastRow="0" w:firstColumn="0" w:lastColumn="0" w:oddVBand="0" w:evenVBand="0" w:oddHBand="0" w:evenHBand="1" w:firstRowFirstColumn="0" w:firstRowLastColumn="0" w:lastRowFirstColumn="0" w:lastRowLastColumn="0"/>
              <w:rPr>
                <w:rFonts w:ascii="Arial" w:eastAsia="Times New Roman" w:hAnsi="Arial" w:cs="Arial"/>
                <w:sz w:val="20"/>
                <w:szCs w:val="20"/>
                <w:lang w:eastAsia="nl-NL"/>
              </w:rPr>
            </w:pPr>
            <w:r w:rsidRPr="00147D59">
              <w:rPr>
                <w:rFonts w:ascii="Arial" w:eastAsia="Times New Roman" w:hAnsi="Arial" w:cs="Arial"/>
                <w:sz w:val="20"/>
                <w:szCs w:val="20"/>
                <w:lang w:eastAsia="nl-NL"/>
              </w:rPr>
              <w:t>0,00034</w:t>
            </w:r>
          </w:p>
        </w:tc>
        <w:tc>
          <w:tcPr>
            <w:tcW w:w="1689" w:type="dxa"/>
            <w:noWrap/>
            <w:hideMark/>
          </w:tcPr>
          <w:p w:rsidR="005E77DF" w:rsidRPr="00147D59" w:rsidRDefault="005E77DF" w:rsidP="005E19AF">
            <w:pPr>
              <w:jc w:val="both"/>
              <w:cnfStyle w:val="000000010000" w:firstRow="0" w:lastRow="0" w:firstColumn="0" w:lastColumn="0" w:oddVBand="0" w:evenVBand="0" w:oddHBand="0" w:evenHBand="1" w:firstRowFirstColumn="0" w:firstRowLastColumn="0" w:lastRowFirstColumn="0" w:lastRowLastColumn="0"/>
              <w:rPr>
                <w:rFonts w:ascii="Arial" w:eastAsia="Times New Roman" w:hAnsi="Arial" w:cs="Arial"/>
                <w:sz w:val="20"/>
                <w:szCs w:val="20"/>
                <w:lang w:eastAsia="nl-NL"/>
              </w:rPr>
            </w:pPr>
            <w:r w:rsidRPr="00147D59">
              <w:rPr>
                <w:rFonts w:ascii="Arial" w:eastAsia="Times New Roman" w:hAnsi="Arial" w:cs="Arial"/>
                <w:sz w:val="20"/>
                <w:szCs w:val="20"/>
                <w:lang w:eastAsia="nl-NL"/>
              </w:rPr>
              <w:t>-0,00116</w:t>
            </w:r>
          </w:p>
        </w:tc>
      </w:tr>
      <w:tr w:rsidR="005E77DF" w:rsidRPr="00147D59" w:rsidTr="00A05A01">
        <w:trPr>
          <w:cnfStyle w:val="000000100000" w:firstRow="0" w:lastRow="0" w:firstColumn="0" w:lastColumn="0" w:oddVBand="0" w:evenVBand="0" w:oddHBand="1" w:evenHBand="0"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1985" w:type="dxa"/>
            <w:noWrap/>
            <w:hideMark/>
          </w:tcPr>
          <w:p w:rsidR="005E77DF" w:rsidRPr="00147D59" w:rsidRDefault="005E77DF" w:rsidP="005E19AF">
            <w:pPr>
              <w:jc w:val="both"/>
              <w:rPr>
                <w:rFonts w:ascii="Arial" w:eastAsia="Times New Roman" w:hAnsi="Arial" w:cs="Arial"/>
                <w:bCs w:val="0"/>
                <w:sz w:val="20"/>
                <w:szCs w:val="20"/>
                <w:lang w:eastAsia="nl-NL"/>
              </w:rPr>
            </w:pPr>
            <w:r w:rsidRPr="00147D59">
              <w:rPr>
                <w:rFonts w:ascii="Arial" w:eastAsia="Times New Roman" w:hAnsi="Arial" w:cs="Arial"/>
                <w:sz w:val="20"/>
                <w:szCs w:val="20"/>
                <w:lang w:eastAsia="nl-NL"/>
              </w:rPr>
              <w:t>t=10</w:t>
            </w:r>
          </w:p>
        </w:tc>
        <w:tc>
          <w:tcPr>
            <w:tcW w:w="1806" w:type="dxa"/>
            <w:noWrap/>
            <w:hideMark/>
          </w:tcPr>
          <w:p w:rsidR="005E77DF" w:rsidRPr="00147D59" w:rsidRDefault="005E77DF" w:rsidP="005E19AF">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nl-NL"/>
              </w:rPr>
            </w:pPr>
            <w:r w:rsidRPr="00147D59">
              <w:rPr>
                <w:rFonts w:ascii="Arial" w:eastAsia="Times New Roman" w:hAnsi="Arial" w:cs="Arial"/>
                <w:sz w:val="20"/>
                <w:szCs w:val="20"/>
                <w:lang w:eastAsia="nl-NL"/>
              </w:rPr>
              <w:t>-0,00123</w:t>
            </w:r>
          </w:p>
        </w:tc>
        <w:tc>
          <w:tcPr>
            <w:tcW w:w="1689" w:type="dxa"/>
            <w:noWrap/>
            <w:hideMark/>
          </w:tcPr>
          <w:p w:rsidR="005E77DF" w:rsidRPr="00147D59" w:rsidRDefault="005E77DF" w:rsidP="005E19AF">
            <w:pPr>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nl-NL"/>
              </w:rPr>
            </w:pPr>
            <w:r w:rsidRPr="00147D59">
              <w:rPr>
                <w:rFonts w:ascii="Arial" w:eastAsia="Times New Roman" w:hAnsi="Arial" w:cs="Arial"/>
                <w:sz w:val="20"/>
                <w:szCs w:val="20"/>
                <w:lang w:eastAsia="nl-NL"/>
              </w:rPr>
              <w:t>-0,00077</w:t>
            </w:r>
          </w:p>
        </w:tc>
      </w:tr>
    </w:tbl>
    <w:p w:rsidR="00116AFD" w:rsidRDefault="00BD36FD" w:rsidP="005E19AF">
      <w:pPr>
        <w:jc w:val="both"/>
        <w:rPr>
          <w:i/>
        </w:rPr>
      </w:pPr>
      <w:r w:rsidRPr="00147D59">
        <w:rPr>
          <w:i/>
        </w:rPr>
        <w:t xml:space="preserve">Table </w:t>
      </w:r>
      <w:r w:rsidR="00505620" w:rsidRPr="00147D59">
        <w:rPr>
          <w:i/>
        </w:rPr>
        <w:t>B</w:t>
      </w:r>
      <w:r w:rsidR="005E77DF" w:rsidRPr="00147D59">
        <w:rPr>
          <w:i/>
        </w:rPr>
        <w:t>: Average Abnormal Return (AAR)</w:t>
      </w:r>
      <w:r w:rsidR="00116AFD" w:rsidRPr="00116AFD">
        <w:t xml:space="preserve"> </w:t>
      </w:r>
    </w:p>
    <w:p w:rsidR="005E77DF" w:rsidRDefault="00116AFD" w:rsidP="005E19AF">
      <w:pPr>
        <w:jc w:val="both"/>
      </w:pPr>
      <w:r w:rsidRPr="00116AFD">
        <w:rPr>
          <w:i/>
        </w:rPr>
        <w:t>*</w:t>
      </w:r>
      <w:r>
        <w:rPr>
          <w:i/>
        </w:rPr>
        <w:t>*</w:t>
      </w:r>
      <w:r w:rsidRPr="00116AFD">
        <w:rPr>
          <w:i/>
        </w:rPr>
        <w:t>P-value &lt; 0,05</w:t>
      </w:r>
      <w:r>
        <w:rPr>
          <w:i/>
        </w:rPr>
        <w:t>, *P-value &lt; 0,1</w:t>
      </w:r>
    </w:p>
    <w:p w:rsidR="00147D59" w:rsidRDefault="00147D59" w:rsidP="005E19AF">
      <w:pPr>
        <w:jc w:val="both"/>
      </w:pPr>
    </w:p>
    <w:p w:rsidR="00A2271F" w:rsidRDefault="00A2271F" w:rsidP="005E19AF">
      <w:pPr>
        <w:jc w:val="both"/>
      </w:pPr>
    </w:p>
    <w:p w:rsidR="00A2271F" w:rsidRDefault="00A2271F" w:rsidP="005E19AF">
      <w:pPr>
        <w:jc w:val="both"/>
      </w:pPr>
    </w:p>
    <w:p w:rsidR="00A2271F" w:rsidRDefault="00A2271F" w:rsidP="005E19AF">
      <w:pPr>
        <w:jc w:val="both"/>
      </w:pPr>
    </w:p>
    <w:p w:rsidR="00A2271F" w:rsidRDefault="00A2271F" w:rsidP="005E19AF">
      <w:pPr>
        <w:jc w:val="both"/>
      </w:pPr>
    </w:p>
    <w:p w:rsidR="00A2271F" w:rsidRDefault="00A2271F" w:rsidP="005E19AF">
      <w:pPr>
        <w:jc w:val="both"/>
      </w:pPr>
    </w:p>
    <w:p w:rsidR="00A2271F" w:rsidRDefault="00787C7D" w:rsidP="005E19AF">
      <w:pPr>
        <w:jc w:val="both"/>
      </w:pPr>
      <w:r>
        <w:rPr>
          <w:noProof/>
        </w:rPr>
        <w:lastRenderedPageBreak/>
        <mc:AlternateContent>
          <mc:Choice Requires="wps">
            <w:drawing>
              <wp:anchor distT="0" distB="0" distL="114300" distR="114300" simplePos="0" relativeHeight="251663360" behindDoc="0" locked="0" layoutInCell="1" allowOverlap="1" wp14:anchorId="1D7D95F6" wp14:editId="75EEB762">
                <wp:simplePos x="0" y="0"/>
                <wp:positionH relativeFrom="column">
                  <wp:posOffset>1189038</wp:posOffset>
                </wp:positionH>
                <wp:positionV relativeFrom="paragraph">
                  <wp:posOffset>3598228</wp:posOffset>
                </wp:positionV>
                <wp:extent cx="6183630" cy="1016635"/>
                <wp:effectExtent l="0" t="7303" r="19368" b="19367"/>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6183630" cy="1016635"/>
                        </a:xfrm>
                        <a:prstGeom prst="rect">
                          <a:avLst/>
                        </a:prstGeom>
                        <a:solidFill>
                          <a:srgbClr val="FFFFFF"/>
                        </a:solidFill>
                        <a:ln w="9525">
                          <a:solidFill>
                            <a:schemeClr val="bg1"/>
                          </a:solidFill>
                          <a:miter lim="800000"/>
                          <a:headEnd/>
                          <a:tailEnd/>
                        </a:ln>
                      </wps:spPr>
                      <wps:txbx>
                        <w:txbxContent>
                          <w:p w:rsidR="004324BD" w:rsidRDefault="004324BD" w:rsidP="00A2271F">
                            <w:pPr>
                              <w:jc w:val="center"/>
                              <w:rPr>
                                <w:b/>
                                <w:sz w:val="24"/>
                              </w:rPr>
                            </w:pPr>
                            <w:r>
                              <w:rPr>
                                <w:b/>
                                <w:sz w:val="24"/>
                              </w:rPr>
                              <w:t>Table C</w:t>
                            </w:r>
                            <w:r w:rsidRPr="00A2271F">
                              <w:rPr>
                                <w:b/>
                                <w:sz w:val="24"/>
                              </w:rPr>
                              <w:t>: Correlation Matrix Acquirers:</w:t>
                            </w:r>
                          </w:p>
                          <w:p w:rsidR="004324BD" w:rsidRPr="00A2271F" w:rsidRDefault="004324BD" w:rsidP="00A80387">
                            <w:pPr>
                              <w:jc w:val="both"/>
                              <w:rPr>
                                <w:sz w:val="24"/>
                              </w:rPr>
                            </w:pPr>
                            <w:r>
                              <w:rPr>
                                <w:sz w:val="24"/>
                              </w:rPr>
                              <w:t xml:space="preserve">Pearson’s Correlation Matrix between the independent and dependent variables concerning the acquirer. All correlation coefficients present the linear relation between the two variables. The sign presents a positive or negative relationship between the variables.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D7D95F6" id="_x0000_s1029" type="#_x0000_t202" style="position:absolute;left:0;text-align:left;margin-left:93.65pt;margin-top:283.35pt;width:486.9pt;height:80.05pt;rotation:9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" strokecolor="white [3212]">
                <v:textbox>
                  <w:txbxContent>
                    <w:p w:rsidR="004324BD" w:rsidRDefault="004324BD" w:rsidP="00A2271F">
                      <w:pPr>
                        <w:jc w:val="center"/>
                        <w:rPr>
                          <w:b/>
                          <w:sz w:val="24"/>
                        </w:rPr>
                      </w:pPr>
                      <w:r>
                        <w:rPr>
                          <w:b/>
                          <w:sz w:val="24"/>
                        </w:rPr>
                        <w:t>Table C</w:t>
                      </w:r>
                      <w:r w:rsidRPr="00A2271F">
                        <w:rPr>
                          <w:b/>
                          <w:sz w:val="24"/>
                        </w:rPr>
                        <w:t>: Correlation Matrix Acquirers:</w:t>
                      </w:r>
                    </w:p>
                    <w:p w:rsidR="004324BD" w:rsidRPr="00A2271F" w:rsidRDefault="004324BD" w:rsidP="00A80387">
                      <w:pPr>
                        <w:jc w:val="both"/>
                        <w:rPr>
                          <w:sz w:val="24"/>
                        </w:rPr>
                      </w:pPr>
                      <w:r>
                        <w:rPr>
                          <w:sz w:val="24"/>
                        </w:rPr>
                        <w:t xml:space="preserve">Pearson’s Correlation Matrix between the independent and dependent variables concerning the acquirer. All correlation coefficients present the linear relation between the two variables. The sign presents a positive or negative relationship between the variables. </w:t>
                      </w:r>
                    </w:p>
                  </w:txbxContent>
                </v:textbox>
              </v:shape>
            </w:pict>
          </mc:Fallback>
        </mc:AlternateContent>
      </w:r>
    </w:p>
    <w:p w:rsidR="00A2271F" w:rsidRDefault="00A2271F" w:rsidP="005E19AF">
      <w:pPr>
        <w:jc w:val="both"/>
      </w:pPr>
    </w:p>
    <w:p w:rsidR="005E19AF" w:rsidRDefault="005E19AF" w:rsidP="005E19AF">
      <w:pPr>
        <w:spacing w:line="276" w:lineRule="auto"/>
        <w:jc w:val="both"/>
        <w:rPr>
          <w:rFonts w:cstheme="minorHAnsi"/>
          <w:b/>
          <w:sz w:val="24"/>
          <w:szCs w:val="20"/>
        </w:rPr>
      </w:pPr>
    </w:p>
    <w:p w:rsidR="005E19AF" w:rsidRDefault="005E19AF" w:rsidP="005E19AF">
      <w:pPr>
        <w:spacing w:line="276" w:lineRule="auto"/>
        <w:jc w:val="both"/>
        <w:rPr>
          <w:rFonts w:cstheme="minorHAnsi"/>
          <w:b/>
          <w:sz w:val="24"/>
          <w:szCs w:val="20"/>
        </w:rPr>
      </w:pPr>
    </w:p>
    <w:p w:rsidR="005E19AF" w:rsidRDefault="005E19AF" w:rsidP="005E19AF">
      <w:pPr>
        <w:spacing w:line="276" w:lineRule="auto"/>
        <w:jc w:val="both"/>
        <w:rPr>
          <w:rFonts w:cstheme="minorHAnsi"/>
          <w:b/>
          <w:sz w:val="24"/>
          <w:szCs w:val="20"/>
        </w:rPr>
      </w:pPr>
    </w:p>
    <w:p w:rsidR="005E19AF" w:rsidRDefault="005E19AF" w:rsidP="005E19AF">
      <w:pPr>
        <w:spacing w:line="276" w:lineRule="auto"/>
        <w:jc w:val="both"/>
        <w:rPr>
          <w:rFonts w:cstheme="minorHAnsi"/>
          <w:b/>
          <w:sz w:val="24"/>
          <w:szCs w:val="20"/>
        </w:rPr>
      </w:pPr>
    </w:p>
    <w:p w:rsidR="005E19AF" w:rsidRDefault="005E19AF" w:rsidP="005E19AF">
      <w:pPr>
        <w:spacing w:line="276" w:lineRule="auto"/>
        <w:jc w:val="both"/>
        <w:rPr>
          <w:rFonts w:cstheme="minorHAnsi"/>
          <w:b/>
          <w:sz w:val="24"/>
          <w:szCs w:val="20"/>
        </w:rPr>
      </w:pPr>
    </w:p>
    <w:p w:rsidR="005E19AF" w:rsidRDefault="005E19AF" w:rsidP="005E19AF">
      <w:pPr>
        <w:spacing w:line="276" w:lineRule="auto"/>
        <w:jc w:val="both"/>
        <w:rPr>
          <w:rFonts w:cstheme="minorHAnsi"/>
          <w:b/>
          <w:sz w:val="24"/>
          <w:szCs w:val="20"/>
        </w:rPr>
      </w:pPr>
    </w:p>
    <w:p w:rsidR="005E19AF" w:rsidRDefault="005E19AF" w:rsidP="005E19AF">
      <w:pPr>
        <w:spacing w:line="276" w:lineRule="auto"/>
        <w:jc w:val="both"/>
        <w:rPr>
          <w:rFonts w:cstheme="minorHAnsi"/>
          <w:b/>
          <w:sz w:val="24"/>
          <w:szCs w:val="20"/>
        </w:rPr>
      </w:pPr>
      <w:r>
        <w:rPr>
          <w:noProof/>
        </w:rPr>
        <w:drawing>
          <wp:anchor distT="0" distB="0" distL="114300" distR="114300" simplePos="0" relativeHeight="251661312" behindDoc="0" locked="0" layoutInCell="1" allowOverlap="1" wp14:anchorId="0814A85F" wp14:editId="1B8BEA5A">
            <wp:simplePos x="0" y="0"/>
            <wp:positionH relativeFrom="column">
              <wp:posOffset>-1993900</wp:posOffset>
            </wp:positionH>
            <wp:positionV relativeFrom="paragraph">
              <wp:posOffset>151130</wp:posOffset>
            </wp:positionV>
            <wp:extent cx="8645525" cy="2997835"/>
            <wp:effectExtent l="4445" t="0" r="7620" b="762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cquirer Correlelogram.png"/>
                    <pic:cNvPicPr/>
                  </pic:nvPicPr>
                  <pic:blipFill>
                    <a:blip r:embed="rId9">
                      <a:extLst>
                        <a:ext uri="{28A0092B-C50C-407E-A947-70E740481C1C}">
                          <a14:useLocalDpi xmlns:a14="http://schemas.microsoft.com/office/drawing/2010/main" val="0"/>
                        </a:ext>
                      </a:extLst>
                    </a:blip>
                    <a:stretch>
                      <a:fillRect/>
                    </a:stretch>
                  </pic:blipFill>
                  <pic:spPr>
                    <a:xfrm rot="5400000">
                      <a:off x="0" y="0"/>
                      <a:ext cx="8645525" cy="2997835"/>
                    </a:xfrm>
                    <a:prstGeom prst="rect">
                      <a:avLst/>
                    </a:prstGeom>
                  </pic:spPr>
                </pic:pic>
              </a:graphicData>
            </a:graphic>
            <wp14:sizeRelH relativeFrom="page">
              <wp14:pctWidth>0</wp14:pctWidth>
            </wp14:sizeRelH>
            <wp14:sizeRelV relativeFrom="page">
              <wp14:pctHeight>0</wp14:pctHeight>
            </wp14:sizeRelV>
          </wp:anchor>
        </w:drawing>
      </w:r>
    </w:p>
    <w:p w:rsidR="005E19AF" w:rsidRDefault="005E19AF" w:rsidP="005E19AF">
      <w:pPr>
        <w:spacing w:line="276" w:lineRule="auto"/>
        <w:jc w:val="both"/>
        <w:rPr>
          <w:rFonts w:cstheme="minorHAnsi"/>
          <w:b/>
          <w:sz w:val="24"/>
          <w:szCs w:val="20"/>
        </w:rPr>
      </w:pPr>
    </w:p>
    <w:p w:rsidR="005E19AF" w:rsidRDefault="005E19AF" w:rsidP="005E19AF">
      <w:pPr>
        <w:spacing w:line="276" w:lineRule="auto"/>
        <w:jc w:val="both"/>
        <w:rPr>
          <w:rFonts w:cstheme="minorHAnsi"/>
          <w:b/>
          <w:sz w:val="24"/>
          <w:szCs w:val="20"/>
        </w:rPr>
      </w:pPr>
    </w:p>
    <w:p w:rsidR="005E19AF" w:rsidRDefault="005E19AF" w:rsidP="005E19AF">
      <w:pPr>
        <w:spacing w:line="276" w:lineRule="auto"/>
        <w:jc w:val="both"/>
        <w:rPr>
          <w:rFonts w:cstheme="minorHAnsi"/>
          <w:b/>
          <w:sz w:val="24"/>
          <w:szCs w:val="20"/>
        </w:rPr>
      </w:pPr>
    </w:p>
    <w:p w:rsidR="005E19AF" w:rsidRDefault="005E19AF" w:rsidP="005E19AF">
      <w:pPr>
        <w:spacing w:line="276" w:lineRule="auto"/>
        <w:jc w:val="both"/>
        <w:rPr>
          <w:rFonts w:cstheme="minorHAnsi"/>
          <w:b/>
          <w:sz w:val="24"/>
          <w:szCs w:val="20"/>
        </w:rPr>
      </w:pPr>
    </w:p>
    <w:p w:rsidR="005E19AF" w:rsidRDefault="005E19AF" w:rsidP="005E19AF">
      <w:pPr>
        <w:spacing w:line="276" w:lineRule="auto"/>
        <w:jc w:val="both"/>
        <w:rPr>
          <w:rFonts w:cstheme="minorHAnsi"/>
          <w:b/>
          <w:sz w:val="24"/>
          <w:szCs w:val="20"/>
        </w:rPr>
      </w:pPr>
    </w:p>
    <w:p w:rsidR="005E19AF" w:rsidRDefault="005E19AF" w:rsidP="005E19AF">
      <w:pPr>
        <w:spacing w:line="276" w:lineRule="auto"/>
        <w:jc w:val="both"/>
        <w:rPr>
          <w:rFonts w:cstheme="minorHAnsi"/>
          <w:b/>
          <w:sz w:val="24"/>
          <w:szCs w:val="20"/>
        </w:rPr>
      </w:pPr>
    </w:p>
    <w:p w:rsidR="005E19AF" w:rsidRDefault="005E19AF" w:rsidP="005E19AF">
      <w:pPr>
        <w:spacing w:line="276" w:lineRule="auto"/>
        <w:jc w:val="both"/>
        <w:rPr>
          <w:rFonts w:cstheme="minorHAnsi"/>
          <w:b/>
          <w:sz w:val="24"/>
          <w:szCs w:val="20"/>
        </w:rPr>
      </w:pPr>
    </w:p>
    <w:p w:rsidR="005E19AF" w:rsidRDefault="005E19AF" w:rsidP="005E19AF">
      <w:pPr>
        <w:spacing w:line="276" w:lineRule="auto"/>
        <w:jc w:val="both"/>
        <w:rPr>
          <w:rFonts w:cstheme="minorHAnsi"/>
          <w:b/>
          <w:sz w:val="24"/>
          <w:szCs w:val="20"/>
        </w:rPr>
      </w:pPr>
    </w:p>
    <w:p w:rsidR="005E19AF" w:rsidRDefault="005E19AF" w:rsidP="005E19AF">
      <w:pPr>
        <w:spacing w:line="276" w:lineRule="auto"/>
        <w:jc w:val="both"/>
        <w:rPr>
          <w:rFonts w:cstheme="minorHAnsi"/>
          <w:b/>
          <w:sz w:val="24"/>
          <w:szCs w:val="20"/>
        </w:rPr>
      </w:pPr>
    </w:p>
    <w:p w:rsidR="005E19AF" w:rsidRDefault="005E19AF" w:rsidP="005E19AF">
      <w:pPr>
        <w:spacing w:line="276" w:lineRule="auto"/>
        <w:jc w:val="both"/>
        <w:rPr>
          <w:rFonts w:cstheme="minorHAnsi"/>
          <w:b/>
          <w:sz w:val="24"/>
          <w:szCs w:val="20"/>
        </w:rPr>
      </w:pPr>
    </w:p>
    <w:p w:rsidR="005E19AF" w:rsidRDefault="005E19AF" w:rsidP="005E19AF">
      <w:pPr>
        <w:spacing w:line="276" w:lineRule="auto"/>
        <w:jc w:val="both"/>
        <w:rPr>
          <w:rFonts w:cstheme="minorHAnsi"/>
          <w:b/>
          <w:sz w:val="24"/>
          <w:szCs w:val="20"/>
        </w:rPr>
      </w:pPr>
    </w:p>
    <w:p w:rsidR="005E19AF" w:rsidRDefault="005E19AF" w:rsidP="005E19AF">
      <w:pPr>
        <w:spacing w:line="276" w:lineRule="auto"/>
        <w:jc w:val="both"/>
        <w:rPr>
          <w:rFonts w:cstheme="minorHAnsi"/>
          <w:b/>
          <w:sz w:val="24"/>
          <w:szCs w:val="20"/>
        </w:rPr>
      </w:pPr>
    </w:p>
    <w:p w:rsidR="005E19AF" w:rsidRDefault="005E19AF" w:rsidP="005E19AF">
      <w:pPr>
        <w:spacing w:line="276" w:lineRule="auto"/>
        <w:jc w:val="both"/>
        <w:rPr>
          <w:rFonts w:cstheme="minorHAnsi"/>
          <w:b/>
          <w:sz w:val="24"/>
          <w:szCs w:val="20"/>
        </w:rPr>
      </w:pPr>
    </w:p>
    <w:p w:rsidR="005E19AF" w:rsidRDefault="005E19AF" w:rsidP="005E19AF">
      <w:pPr>
        <w:spacing w:line="276" w:lineRule="auto"/>
        <w:jc w:val="both"/>
        <w:rPr>
          <w:rFonts w:cstheme="minorHAnsi"/>
          <w:b/>
          <w:sz w:val="24"/>
          <w:szCs w:val="20"/>
        </w:rPr>
      </w:pPr>
    </w:p>
    <w:p w:rsidR="005E19AF" w:rsidRDefault="005E19AF" w:rsidP="005E19AF">
      <w:pPr>
        <w:spacing w:line="276" w:lineRule="auto"/>
        <w:jc w:val="both"/>
        <w:rPr>
          <w:rFonts w:cstheme="minorHAnsi"/>
          <w:b/>
          <w:sz w:val="24"/>
          <w:szCs w:val="20"/>
        </w:rPr>
      </w:pPr>
    </w:p>
    <w:p w:rsidR="005E19AF" w:rsidRDefault="005E19AF" w:rsidP="005E19AF">
      <w:pPr>
        <w:spacing w:line="276" w:lineRule="auto"/>
        <w:jc w:val="both"/>
        <w:rPr>
          <w:rFonts w:cstheme="minorHAnsi"/>
          <w:b/>
          <w:sz w:val="24"/>
          <w:szCs w:val="20"/>
        </w:rPr>
      </w:pPr>
    </w:p>
    <w:p w:rsidR="005E19AF" w:rsidRDefault="005E19AF" w:rsidP="005E19AF">
      <w:pPr>
        <w:spacing w:line="276" w:lineRule="auto"/>
        <w:jc w:val="both"/>
        <w:rPr>
          <w:rFonts w:cstheme="minorHAnsi"/>
          <w:b/>
          <w:sz w:val="24"/>
          <w:szCs w:val="20"/>
        </w:rPr>
      </w:pPr>
    </w:p>
    <w:p w:rsidR="005E19AF" w:rsidRDefault="005E19AF" w:rsidP="005E19AF">
      <w:pPr>
        <w:spacing w:line="276" w:lineRule="auto"/>
        <w:jc w:val="both"/>
        <w:rPr>
          <w:rFonts w:cstheme="minorHAnsi"/>
          <w:b/>
          <w:sz w:val="24"/>
          <w:szCs w:val="20"/>
        </w:rPr>
      </w:pPr>
    </w:p>
    <w:p w:rsidR="005E19AF" w:rsidRDefault="005E19AF" w:rsidP="005E19AF">
      <w:pPr>
        <w:spacing w:line="276" w:lineRule="auto"/>
        <w:jc w:val="both"/>
        <w:rPr>
          <w:rFonts w:cstheme="minorHAnsi"/>
          <w:b/>
          <w:sz w:val="24"/>
          <w:szCs w:val="20"/>
        </w:rPr>
      </w:pPr>
    </w:p>
    <w:p w:rsidR="005E19AF" w:rsidRDefault="005E19AF" w:rsidP="005E19AF">
      <w:pPr>
        <w:spacing w:line="276" w:lineRule="auto"/>
        <w:jc w:val="both"/>
        <w:rPr>
          <w:rFonts w:cstheme="minorHAnsi"/>
          <w:b/>
          <w:sz w:val="24"/>
          <w:szCs w:val="20"/>
        </w:rPr>
      </w:pPr>
    </w:p>
    <w:p w:rsidR="005E19AF" w:rsidRDefault="005E19AF" w:rsidP="005E19AF">
      <w:pPr>
        <w:spacing w:line="276" w:lineRule="auto"/>
        <w:jc w:val="both"/>
        <w:rPr>
          <w:rFonts w:cstheme="minorHAnsi"/>
          <w:b/>
          <w:sz w:val="24"/>
          <w:szCs w:val="20"/>
        </w:rPr>
      </w:pPr>
    </w:p>
    <w:p w:rsidR="005E19AF" w:rsidRDefault="005E19AF" w:rsidP="005E19AF">
      <w:pPr>
        <w:spacing w:line="276" w:lineRule="auto"/>
        <w:jc w:val="both"/>
        <w:rPr>
          <w:rFonts w:cstheme="minorHAnsi"/>
          <w:b/>
          <w:sz w:val="24"/>
          <w:szCs w:val="20"/>
        </w:rPr>
      </w:pPr>
    </w:p>
    <w:p w:rsidR="005E19AF" w:rsidRDefault="005E19AF" w:rsidP="005E19AF">
      <w:pPr>
        <w:spacing w:line="276" w:lineRule="auto"/>
        <w:jc w:val="both"/>
        <w:rPr>
          <w:rFonts w:cstheme="minorHAnsi"/>
          <w:b/>
          <w:sz w:val="24"/>
          <w:szCs w:val="20"/>
        </w:rPr>
      </w:pPr>
    </w:p>
    <w:p w:rsidR="005E19AF" w:rsidRDefault="005E19AF" w:rsidP="005E19AF">
      <w:pPr>
        <w:spacing w:line="276" w:lineRule="auto"/>
        <w:jc w:val="both"/>
        <w:rPr>
          <w:rFonts w:cstheme="minorHAnsi"/>
          <w:b/>
          <w:sz w:val="24"/>
          <w:szCs w:val="20"/>
        </w:rPr>
      </w:pPr>
    </w:p>
    <w:p w:rsidR="005E19AF" w:rsidRDefault="005E19AF" w:rsidP="005E19AF">
      <w:pPr>
        <w:spacing w:line="276" w:lineRule="auto"/>
        <w:jc w:val="both"/>
        <w:rPr>
          <w:rFonts w:cstheme="minorHAnsi"/>
          <w:b/>
          <w:sz w:val="24"/>
          <w:szCs w:val="20"/>
        </w:rPr>
      </w:pPr>
      <w:r>
        <w:rPr>
          <w:noProof/>
        </w:rPr>
        <w:drawing>
          <wp:anchor distT="0" distB="0" distL="114300" distR="114300" simplePos="0" relativeHeight="251660288" behindDoc="0" locked="0" layoutInCell="1" allowOverlap="1" wp14:anchorId="47C47C34" wp14:editId="57DDBF1D">
            <wp:simplePos x="0" y="0"/>
            <wp:positionH relativeFrom="column">
              <wp:posOffset>-1961515</wp:posOffset>
            </wp:positionH>
            <wp:positionV relativeFrom="paragraph">
              <wp:posOffset>287655</wp:posOffset>
            </wp:positionV>
            <wp:extent cx="8616315" cy="2999105"/>
            <wp:effectExtent l="8255" t="0" r="2540" b="254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arget Correlelogram.png"/>
                    <pic:cNvPicPr/>
                  </pic:nvPicPr>
                  <pic:blipFill>
                    <a:blip r:embed="rId10">
                      <a:extLst>
                        <a:ext uri="{28A0092B-C50C-407E-A947-70E740481C1C}">
                          <a14:useLocalDpi xmlns:a14="http://schemas.microsoft.com/office/drawing/2010/main" val="0"/>
                        </a:ext>
                      </a:extLst>
                    </a:blip>
                    <a:stretch>
                      <a:fillRect/>
                    </a:stretch>
                  </pic:blipFill>
                  <pic:spPr>
                    <a:xfrm rot="5400000">
                      <a:off x="0" y="0"/>
                      <a:ext cx="8616315" cy="2999105"/>
                    </a:xfrm>
                    <a:prstGeom prst="rect">
                      <a:avLst/>
                    </a:prstGeom>
                  </pic:spPr>
                </pic:pic>
              </a:graphicData>
            </a:graphic>
            <wp14:sizeRelH relativeFrom="page">
              <wp14:pctWidth>0</wp14:pctWidth>
            </wp14:sizeRelH>
            <wp14:sizeRelV relativeFrom="page">
              <wp14:pctHeight>0</wp14:pctHeight>
            </wp14:sizeRelV>
          </wp:anchor>
        </w:drawing>
      </w:r>
    </w:p>
    <w:p w:rsidR="005E19AF" w:rsidRDefault="005E19AF" w:rsidP="005E19AF">
      <w:pPr>
        <w:spacing w:line="276" w:lineRule="auto"/>
        <w:jc w:val="both"/>
        <w:rPr>
          <w:rFonts w:cstheme="minorHAnsi"/>
          <w:b/>
          <w:sz w:val="24"/>
          <w:szCs w:val="20"/>
        </w:rPr>
      </w:pPr>
    </w:p>
    <w:p w:rsidR="005E19AF" w:rsidRDefault="005E19AF" w:rsidP="005E19AF">
      <w:pPr>
        <w:spacing w:line="276" w:lineRule="auto"/>
        <w:jc w:val="both"/>
        <w:rPr>
          <w:rFonts w:cstheme="minorHAnsi"/>
          <w:b/>
          <w:sz w:val="24"/>
          <w:szCs w:val="20"/>
        </w:rPr>
      </w:pPr>
    </w:p>
    <w:p w:rsidR="005E19AF" w:rsidRDefault="005E19AF" w:rsidP="005E19AF">
      <w:pPr>
        <w:spacing w:line="276" w:lineRule="auto"/>
        <w:jc w:val="both"/>
        <w:rPr>
          <w:rFonts w:cstheme="minorHAnsi"/>
          <w:b/>
          <w:sz w:val="24"/>
          <w:szCs w:val="20"/>
        </w:rPr>
      </w:pPr>
    </w:p>
    <w:p w:rsidR="005E19AF" w:rsidRDefault="005E19AF" w:rsidP="005E19AF">
      <w:pPr>
        <w:spacing w:line="276" w:lineRule="auto"/>
        <w:jc w:val="both"/>
        <w:rPr>
          <w:rFonts w:cstheme="minorHAnsi"/>
          <w:b/>
          <w:sz w:val="24"/>
          <w:szCs w:val="20"/>
        </w:rPr>
      </w:pPr>
      <w:r>
        <w:rPr>
          <w:noProof/>
        </w:rPr>
        <mc:AlternateContent>
          <mc:Choice Requires="wps">
            <w:drawing>
              <wp:anchor distT="0" distB="0" distL="114300" distR="114300" simplePos="0" relativeHeight="251665408" behindDoc="0" locked="0" layoutInCell="1" allowOverlap="1" wp14:anchorId="6BC16106" wp14:editId="74B40542">
                <wp:simplePos x="0" y="0"/>
                <wp:positionH relativeFrom="column">
                  <wp:posOffset>1373505</wp:posOffset>
                </wp:positionH>
                <wp:positionV relativeFrom="paragraph">
                  <wp:posOffset>44450</wp:posOffset>
                </wp:positionV>
                <wp:extent cx="6183630" cy="1016635"/>
                <wp:effectExtent l="0" t="7303" r="19368" b="19367"/>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6183630" cy="1016635"/>
                        </a:xfrm>
                        <a:prstGeom prst="rect">
                          <a:avLst/>
                        </a:prstGeom>
                        <a:solidFill>
                          <a:srgbClr val="FFFFFF"/>
                        </a:solidFill>
                        <a:ln w="9525">
                          <a:solidFill>
                            <a:schemeClr val="bg1"/>
                          </a:solidFill>
                          <a:miter lim="800000"/>
                          <a:headEnd/>
                          <a:tailEnd/>
                        </a:ln>
                      </wps:spPr>
                      <wps:txbx>
                        <w:txbxContent>
                          <w:p w:rsidR="004324BD" w:rsidRDefault="004324BD" w:rsidP="00A80387">
                            <w:pPr>
                              <w:jc w:val="center"/>
                              <w:rPr>
                                <w:b/>
                                <w:sz w:val="24"/>
                              </w:rPr>
                            </w:pPr>
                            <w:r>
                              <w:rPr>
                                <w:b/>
                                <w:sz w:val="24"/>
                              </w:rPr>
                              <w:t>Table D</w:t>
                            </w:r>
                            <w:r w:rsidRPr="00A2271F">
                              <w:rPr>
                                <w:b/>
                                <w:sz w:val="24"/>
                              </w:rPr>
                              <w:t xml:space="preserve">: Correlation Matrix </w:t>
                            </w:r>
                            <w:r>
                              <w:rPr>
                                <w:b/>
                                <w:sz w:val="24"/>
                              </w:rPr>
                              <w:t>Targets</w:t>
                            </w:r>
                            <w:r w:rsidRPr="00A2271F">
                              <w:rPr>
                                <w:b/>
                                <w:sz w:val="24"/>
                              </w:rPr>
                              <w:t>:</w:t>
                            </w:r>
                          </w:p>
                          <w:p w:rsidR="004324BD" w:rsidRPr="00A2271F" w:rsidRDefault="004324BD" w:rsidP="00A80387">
                            <w:pPr>
                              <w:jc w:val="both"/>
                              <w:rPr>
                                <w:sz w:val="24"/>
                              </w:rPr>
                            </w:pPr>
                            <w:r>
                              <w:rPr>
                                <w:sz w:val="24"/>
                              </w:rPr>
                              <w:t xml:space="preserve">Pearson’s Correlation Matrix between the independent and dependent variables concerning the acquirer. All correlation coefficients present the linear relation between the two variables. The sign presents a positive or negative relationship between the variables.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BC16106" id="_x0000_s1030" type="#_x0000_t202" style="position:absolute;left:0;text-align:left;margin-left:108.15pt;margin-top:3.5pt;width:486.9pt;height:80.05pt;rotation:90;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" strokecolor="white [3212]">
                <v:textbox>
                  <w:txbxContent>
                    <w:p w:rsidR="004324BD" w:rsidRDefault="004324BD" w:rsidP="00A80387">
                      <w:pPr>
                        <w:jc w:val="center"/>
                        <w:rPr>
                          <w:b/>
                          <w:sz w:val="24"/>
                        </w:rPr>
                      </w:pPr>
                      <w:r>
                        <w:rPr>
                          <w:b/>
                          <w:sz w:val="24"/>
                        </w:rPr>
                        <w:t>Table D</w:t>
                      </w:r>
                      <w:r w:rsidRPr="00A2271F">
                        <w:rPr>
                          <w:b/>
                          <w:sz w:val="24"/>
                        </w:rPr>
                        <w:t xml:space="preserve">: Correlation Matrix </w:t>
                      </w:r>
                      <w:r>
                        <w:rPr>
                          <w:b/>
                          <w:sz w:val="24"/>
                        </w:rPr>
                        <w:t>Targets</w:t>
                      </w:r>
                      <w:r w:rsidRPr="00A2271F">
                        <w:rPr>
                          <w:b/>
                          <w:sz w:val="24"/>
                        </w:rPr>
                        <w:t>:</w:t>
                      </w:r>
                    </w:p>
                    <w:p w:rsidR="004324BD" w:rsidRPr="00A2271F" w:rsidRDefault="004324BD" w:rsidP="00A80387">
                      <w:pPr>
                        <w:jc w:val="both"/>
                        <w:rPr>
                          <w:sz w:val="24"/>
                        </w:rPr>
                      </w:pPr>
                      <w:r>
                        <w:rPr>
                          <w:sz w:val="24"/>
                        </w:rPr>
                        <w:t xml:space="preserve">Pearson’s Correlation Matrix between the independent and dependent variables concerning the acquirer. All correlation coefficients present the linear relation between the two variables. The sign presents a positive or negative relationship between the variables. </w:t>
                      </w:r>
                    </w:p>
                  </w:txbxContent>
                </v:textbox>
              </v:shape>
            </w:pict>
          </mc:Fallback>
        </mc:AlternateContent>
      </w:r>
    </w:p>
    <w:p w:rsidR="005E19AF" w:rsidRDefault="005E19AF" w:rsidP="005E19AF">
      <w:pPr>
        <w:spacing w:line="276" w:lineRule="auto"/>
        <w:jc w:val="both"/>
        <w:rPr>
          <w:rFonts w:cstheme="minorHAnsi"/>
          <w:b/>
          <w:sz w:val="24"/>
          <w:szCs w:val="20"/>
        </w:rPr>
      </w:pPr>
    </w:p>
    <w:p w:rsidR="005E19AF" w:rsidRDefault="005E19AF" w:rsidP="005E19AF">
      <w:pPr>
        <w:spacing w:line="276" w:lineRule="auto"/>
        <w:jc w:val="both"/>
        <w:rPr>
          <w:rFonts w:cstheme="minorHAnsi"/>
          <w:b/>
          <w:sz w:val="24"/>
          <w:szCs w:val="20"/>
        </w:rPr>
      </w:pPr>
    </w:p>
    <w:p w:rsidR="005E19AF" w:rsidRDefault="005E19AF" w:rsidP="005E19AF">
      <w:pPr>
        <w:spacing w:line="276" w:lineRule="auto"/>
        <w:jc w:val="both"/>
        <w:rPr>
          <w:rFonts w:cstheme="minorHAnsi"/>
          <w:b/>
          <w:sz w:val="24"/>
          <w:szCs w:val="20"/>
        </w:rPr>
      </w:pPr>
    </w:p>
    <w:p w:rsidR="005E19AF" w:rsidRDefault="005E19AF" w:rsidP="005E19AF">
      <w:pPr>
        <w:spacing w:line="276" w:lineRule="auto"/>
        <w:jc w:val="both"/>
        <w:rPr>
          <w:rFonts w:cstheme="minorHAnsi"/>
          <w:b/>
          <w:sz w:val="24"/>
          <w:szCs w:val="20"/>
        </w:rPr>
      </w:pPr>
    </w:p>
    <w:p w:rsidR="005E19AF" w:rsidRDefault="005E19AF" w:rsidP="005E19AF">
      <w:pPr>
        <w:spacing w:line="276" w:lineRule="auto"/>
        <w:jc w:val="both"/>
        <w:rPr>
          <w:rFonts w:cstheme="minorHAnsi"/>
          <w:b/>
          <w:sz w:val="24"/>
          <w:szCs w:val="20"/>
        </w:rPr>
      </w:pPr>
    </w:p>
    <w:p w:rsidR="005E19AF" w:rsidRDefault="005E19AF" w:rsidP="005E19AF">
      <w:pPr>
        <w:spacing w:line="276" w:lineRule="auto"/>
        <w:jc w:val="both"/>
        <w:rPr>
          <w:rFonts w:cstheme="minorHAnsi"/>
          <w:b/>
          <w:sz w:val="24"/>
          <w:szCs w:val="20"/>
        </w:rPr>
      </w:pPr>
    </w:p>
    <w:p w:rsidR="005E19AF" w:rsidRDefault="005E19AF" w:rsidP="005E19AF">
      <w:pPr>
        <w:spacing w:line="276" w:lineRule="auto"/>
        <w:jc w:val="both"/>
        <w:rPr>
          <w:rFonts w:cstheme="minorHAnsi"/>
          <w:b/>
          <w:sz w:val="24"/>
          <w:szCs w:val="20"/>
        </w:rPr>
      </w:pPr>
    </w:p>
    <w:p w:rsidR="005E19AF" w:rsidRDefault="005E19AF" w:rsidP="005E19AF">
      <w:pPr>
        <w:spacing w:line="276" w:lineRule="auto"/>
        <w:jc w:val="both"/>
        <w:rPr>
          <w:rFonts w:cstheme="minorHAnsi"/>
          <w:b/>
          <w:sz w:val="24"/>
          <w:szCs w:val="20"/>
        </w:rPr>
      </w:pPr>
    </w:p>
    <w:p w:rsidR="005E19AF" w:rsidRDefault="005E19AF" w:rsidP="005E19AF">
      <w:pPr>
        <w:spacing w:line="276" w:lineRule="auto"/>
        <w:jc w:val="both"/>
        <w:rPr>
          <w:rFonts w:cstheme="minorHAnsi"/>
          <w:b/>
          <w:sz w:val="24"/>
          <w:szCs w:val="20"/>
        </w:rPr>
      </w:pPr>
    </w:p>
    <w:p w:rsidR="005E19AF" w:rsidRDefault="005E19AF" w:rsidP="005E19AF">
      <w:pPr>
        <w:spacing w:line="276" w:lineRule="auto"/>
        <w:jc w:val="both"/>
        <w:rPr>
          <w:rFonts w:cstheme="minorHAnsi"/>
          <w:b/>
          <w:sz w:val="24"/>
          <w:szCs w:val="20"/>
        </w:rPr>
      </w:pPr>
    </w:p>
    <w:p w:rsidR="005E19AF" w:rsidRDefault="005E19AF" w:rsidP="005E19AF">
      <w:pPr>
        <w:spacing w:line="276" w:lineRule="auto"/>
        <w:jc w:val="both"/>
        <w:rPr>
          <w:rFonts w:cstheme="minorHAnsi"/>
          <w:b/>
          <w:sz w:val="24"/>
          <w:szCs w:val="20"/>
        </w:rPr>
      </w:pPr>
    </w:p>
    <w:p w:rsidR="005E19AF" w:rsidRDefault="005E19AF" w:rsidP="005E19AF">
      <w:pPr>
        <w:spacing w:line="276" w:lineRule="auto"/>
        <w:jc w:val="both"/>
        <w:rPr>
          <w:rFonts w:cstheme="minorHAnsi"/>
          <w:b/>
          <w:sz w:val="24"/>
          <w:szCs w:val="20"/>
        </w:rPr>
      </w:pPr>
    </w:p>
    <w:p w:rsidR="005E19AF" w:rsidRDefault="005E19AF" w:rsidP="005E19AF">
      <w:pPr>
        <w:spacing w:line="276" w:lineRule="auto"/>
        <w:jc w:val="both"/>
        <w:rPr>
          <w:rFonts w:cstheme="minorHAnsi"/>
          <w:b/>
          <w:sz w:val="24"/>
          <w:szCs w:val="20"/>
        </w:rPr>
      </w:pPr>
    </w:p>
    <w:p w:rsidR="005E19AF" w:rsidRDefault="005E19AF" w:rsidP="005E19AF">
      <w:pPr>
        <w:spacing w:line="276" w:lineRule="auto"/>
        <w:jc w:val="both"/>
        <w:rPr>
          <w:rFonts w:cstheme="minorHAnsi"/>
          <w:b/>
          <w:sz w:val="24"/>
          <w:szCs w:val="20"/>
        </w:rPr>
      </w:pPr>
    </w:p>
    <w:p w:rsidR="00F03122" w:rsidRDefault="00D042A9" w:rsidP="005E19AF">
      <w:pPr>
        <w:spacing w:line="276" w:lineRule="auto"/>
        <w:jc w:val="both"/>
        <w:rPr>
          <w:rFonts w:cstheme="minorHAnsi"/>
          <w:b/>
          <w:sz w:val="24"/>
          <w:szCs w:val="20"/>
        </w:rPr>
      </w:pPr>
      <w:r>
        <w:rPr>
          <w:rFonts w:cstheme="minorHAnsi"/>
          <w:b/>
          <w:sz w:val="24"/>
          <w:szCs w:val="20"/>
        </w:rPr>
        <w:lastRenderedPageBreak/>
        <w:t>Table E</w:t>
      </w:r>
      <w:r w:rsidR="00F03122">
        <w:rPr>
          <w:rFonts w:cstheme="minorHAnsi"/>
          <w:b/>
          <w:sz w:val="24"/>
          <w:szCs w:val="20"/>
        </w:rPr>
        <w:t>: Robustness Check – Cumulative Abnormal Returns [-1, 1]</w:t>
      </w:r>
    </w:p>
    <w:p w:rsidR="00F03122" w:rsidRPr="00EF3E14" w:rsidRDefault="00F03122" w:rsidP="005E19AF">
      <w:pPr>
        <w:spacing w:line="276" w:lineRule="auto"/>
        <w:jc w:val="both"/>
        <w:rPr>
          <w:rFonts w:cstheme="minorHAnsi"/>
          <w:sz w:val="20"/>
          <w:szCs w:val="20"/>
        </w:rPr>
      </w:pPr>
      <w:r w:rsidRPr="00EF3E14">
        <w:rPr>
          <w:rFonts w:cstheme="minorHAnsi"/>
          <w:sz w:val="20"/>
          <w:szCs w:val="20"/>
        </w:rPr>
        <w:t>Results for the OLS regression with the acquirer, target and joint CAR as dependent variable. The joint CAR financial determinants are based on the acquirer’s financials. All models are controlled for heteroscedasticity and autocorrelation by using clustered standard errors with year as fixed effect.</w:t>
      </w:r>
      <w:r>
        <w:rPr>
          <w:rFonts w:cstheme="minorHAnsi"/>
          <w:sz w:val="20"/>
          <w:szCs w:val="20"/>
        </w:rPr>
        <w:t xml:space="preserve"> The robust standard errors are reported in the parentheses. ***, ** and * denote statistical significance at a 1%, 5% and 10% level respectively.</w:t>
      </w:r>
    </w:p>
    <w:tbl>
      <w:tblPr>
        <w:tblW w:w="9498" w:type="dxa"/>
        <w:tblLook w:val="04A0" w:firstRow="1" w:lastRow="0" w:firstColumn="1" w:lastColumn="0" w:noHBand="0" w:noVBand="1"/>
      </w:tblPr>
      <w:tblGrid>
        <w:gridCol w:w="3119"/>
        <w:gridCol w:w="2268"/>
        <w:gridCol w:w="2126"/>
        <w:gridCol w:w="1985"/>
      </w:tblGrid>
      <w:tr w:rsidR="00F03122" w:rsidRPr="00A9000B" w:rsidTr="00F03122">
        <w:trPr>
          <w:trHeight w:val="300"/>
        </w:trPr>
        <w:tc>
          <w:tcPr>
            <w:tcW w:w="3119"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VARIABLES</w:t>
            </w:r>
          </w:p>
        </w:tc>
        <w:tc>
          <w:tcPr>
            <w:tcW w:w="2268" w:type="dxa"/>
            <w:tcBorders>
              <w:top w:val="nil"/>
              <w:left w:val="nil"/>
              <w:bottom w:val="nil"/>
              <w:right w:val="nil"/>
            </w:tcBorders>
            <w:shd w:val="clear" w:color="auto" w:fill="auto"/>
            <w:noWrap/>
            <w:vAlign w:val="center"/>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Acquirer CAR [-1,1]</w:t>
            </w:r>
          </w:p>
        </w:tc>
        <w:tc>
          <w:tcPr>
            <w:tcW w:w="2126" w:type="dxa"/>
            <w:tcBorders>
              <w:top w:val="nil"/>
              <w:left w:val="nil"/>
              <w:bottom w:val="nil"/>
              <w:right w:val="nil"/>
            </w:tcBorders>
            <w:shd w:val="clear" w:color="auto" w:fill="auto"/>
            <w:noWrap/>
            <w:vAlign w:val="center"/>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Target CAR [-1,1]</w:t>
            </w:r>
          </w:p>
        </w:tc>
        <w:tc>
          <w:tcPr>
            <w:tcW w:w="1985" w:type="dxa"/>
            <w:tcBorders>
              <w:top w:val="nil"/>
              <w:left w:val="nil"/>
              <w:bottom w:val="nil"/>
              <w:right w:val="nil"/>
            </w:tcBorders>
            <w:shd w:val="clear" w:color="auto" w:fill="auto"/>
            <w:noWrap/>
            <w:vAlign w:val="center"/>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Joint CAR [-1,1]</w:t>
            </w:r>
          </w:p>
        </w:tc>
      </w:tr>
      <w:tr w:rsidR="00F03122" w:rsidRPr="00A9000B" w:rsidTr="00F03122">
        <w:trPr>
          <w:trHeight w:val="255"/>
        </w:trPr>
        <w:tc>
          <w:tcPr>
            <w:tcW w:w="3119" w:type="dxa"/>
            <w:tcBorders>
              <w:top w:val="single" w:sz="4" w:space="0" w:color="000000"/>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 </w:t>
            </w:r>
          </w:p>
        </w:tc>
        <w:tc>
          <w:tcPr>
            <w:tcW w:w="2268" w:type="dxa"/>
            <w:tcBorders>
              <w:top w:val="single" w:sz="4" w:space="0" w:color="000000"/>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 </w:t>
            </w:r>
          </w:p>
        </w:tc>
        <w:tc>
          <w:tcPr>
            <w:tcW w:w="2126" w:type="dxa"/>
            <w:tcBorders>
              <w:top w:val="single" w:sz="4" w:space="0" w:color="000000"/>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 </w:t>
            </w:r>
          </w:p>
        </w:tc>
        <w:tc>
          <w:tcPr>
            <w:tcW w:w="1985" w:type="dxa"/>
            <w:tcBorders>
              <w:top w:val="single" w:sz="4" w:space="0" w:color="000000"/>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 </w:t>
            </w:r>
          </w:p>
        </w:tc>
      </w:tr>
      <w:tr w:rsidR="00F03122" w:rsidRPr="00A9000B" w:rsidTr="00F03122">
        <w:trPr>
          <w:trHeight w:val="255"/>
        </w:trPr>
        <w:tc>
          <w:tcPr>
            <w:tcW w:w="3119"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Earnings per Share</w:t>
            </w:r>
          </w:p>
        </w:tc>
        <w:tc>
          <w:tcPr>
            <w:tcW w:w="2268"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9.19e-05</w:t>
            </w:r>
          </w:p>
        </w:tc>
        <w:tc>
          <w:tcPr>
            <w:tcW w:w="2126"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0.00688</w:t>
            </w:r>
          </w:p>
        </w:tc>
        <w:tc>
          <w:tcPr>
            <w:tcW w:w="1985"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-0.000167</w:t>
            </w:r>
          </w:p>
        </w:tc>
      </w:tr>
      <w:tr w:rsidR="00F03122" w:rsidRPr="00A9000B" w:rsidTr="00F03122">
        <w:trPr>
          <w:trHeight w:val="255"/>
        </w:trPr>
        <w:tc>
          <w:tcPr>
            <w:tcW w:w="3119"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p>
        </w:tc>
        <w:tc>
          <w:tcPr>
            <w:tcW w:w="2268"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Pr>
                <w:rFonts w:eastAsia="Times New Roman" w:cstheme="minorHAnsi"/>
                <w:sz w:val="20"/>
                <w:szCs w:val="20"/>
              </w:rPr>
              <w:t>(0.0001</w:t>
            </w:r>
            <w:r w:rsidRPr="00A9000B">
              <w:rPr>
                <w:rFonts w:eastAsia="Times New Roman" w:cstheme="minorHAnsi"/>
                <w:sz w:val="20"/>
                <w:szCs w:val="20"/>
              </w:rPr>
              <w:t>)</w:t>
            </w:r>
          </w:p>
        </w:tc>
        <w:tc>
          <w:tcPr>
            <w:tcW w:w="2126"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w:t>
            </w:r>
            <w:r>
              <w:rPr>
                <w:rFonts w:eastAsia="Times New Roman" w:cstheme="minorHAnsi"/>
                <w:sz w:val="20"/>
                <w:szCs w:val="20"/>
              </w:rPr>
              <w:t>0.0086</w:t>
            </w:r>
            <w:r w:rsidRPr="00A9000B">
              <w:rPr>
                <w:rFonts w:eastAsia="Times New Roman" w:cstheme="minorHAnsi"/>
                <w:sz w:val="20"/>
                <w:szCs w:val="20"/>
              </w:rPr>
              <w:t>)</w:t>
            </w:r>
          </w:p>
        </w:tc>
        <w:tc>
          <w:tcPr>
            <w:tcW w:w="1985"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Pr>
                <w:rFonts w:eastAsia="Times New Roman" w:cstheme="minorHAnsi"/>
                <w:sz w:val="20"/>
                <w:szCs w:val="20"/>
              </w:rPr>
              <w:t>(0.0001</w:t>
            </w:r>
            <w:r w:rsidRPr="00A9000B">
              <w:rPr>
                <w:rFonts w:eastAsia="Times New Roman" w:cstheme="minorHAnsi"/>
                <w:sz w:val="20"/>
                <w:szCs w:val="20"/>
              </w:rPr>
              <w:t>)</w:t>
            </w:r>
          </w:p>
        </w:tc>
      </w:tr>
      <w:tr w:rsidR="00F03122" w:rsidRPr="00A9000B" w:rsidTr="00F03122">
        <w:trPr>
          <w:trHeight w:val="255"/>
        </w:trPr>
        <w:tc>
          <w:tcPr>
            <w:tcW w:w="3119"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Market to book value</w:t>
            </w:r>
          </w:p>
        </w:tc>
        <w:tc>
          <w:tcPr>
            <w:tcW w:w="2268"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0.000715*</w:t>
            </w:r>
          </w:p>
        </w:tc>
        <w:tc>
          <w:tcPr>
            <w:tcW w:w="2126"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-0.00374</w:t>
            </w:r>
          </w:p>
        </w:tc>
        <w:tc>
          <w:tcPr>
            <w:tcW w:w="1985"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0.000993**</w:t>
            </w:r>
          </w:p>
        </w:tc>
      </w:tr>
      <w:tr w:rsidR="00F03122" w:rsidRPr="00A9000B" w:rsidTr="00F03122">
        <w:trPr>
          <w:trHeight w:val="255"/>
        </w:trPr>
        <w:tc>
          <w:tcPr>
            <w:tcW w:w="3119"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p>
        </w:tc>
        <w:tc>
          <w:tcPr>
            <w:tcW w:w="2268"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Pr>
                <w:rFonts w:eastAsia="Times New Roman" w:cstheme="minorHAnsi"/>
                <w:sz w:val="20"/>
                <w:szCs w:val="20"/>
              </w:rPr>
              <w:t>(0.0004</w:t>
            </w:r>
            <w:r w:rsidRPr="00A9000B">
              <w:rPr>
                <w:rFonts w:eastAsia="Times New Roman" w:cstheme="minorHAnsi"/>
                <w:sz w:val="20"/>
                <w:szCs w:val="20"/>
              </w:rPr>
              <w:t>)</w:t>
            </w:r>
          </w:p>
        </w:tc>
        <w:tc>
          <w:tcPr>
            <w:tcW w:w="2126"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Pr>
                <w:rFonts w:eastAsia="Times New Roman" w:cstheme="minorHAnsi"/>
                <w:sz w:val="20"/>
                <w:szCs w:val="20"/>
              </w:rPr>
              <w:t>(0.0095</w:t>
            </w:r>
            <w:r w:rsidRPr="00A9000B">
              <w:rPr>
                <w:rFonts w:eastAsia="Times New Roman" w:cstheme="minorHAnsi"/>
                <w:sz w:val="20"/>
                <w:szCs w:val="20"/>
              </w:rPr>
              <w:t>)</w:t>
            </w:r>
          </w:p>
        </w:tc>
        <w:tc>
          <w:tcPr>
            <w:tcW w:w="1985"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Pr>
                <w:rFonts w:eastAsia="Times New Roman" w:cstheme="minorHAnsi"/>
                <w:sz w:val="20"/>
                <w:szCs w:val="20"/>
              </w:rPr>
              <w:t>(0.0004</w:t>
            </w:r>
            <w:r w:rsidRPr="00A9000B">
              <w:rPr>
                <w:rFonts w:eastAsia="Times New Roman" w:cstheme="minorHAnsi"/>
                <w:sz w:val="20"/>
                <w:szCs w:val="20"/>
              </w:rPr>
              <w:t>)</w:t>
            </w:r>
          </w:p>
        </w:tc>
      </w:tr>
      <w:tr w:rsidR="00F03122" w:rsidRPr="00A9000B" w:rsidTr="00F03122">
        <w:trPr>
          <w:trHeight w:val="255"/>
        </w:trPr>
        <w:tc>
          <w:tcPr>
            <w:tcW w:w="3119"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ln(Market Value)</w:t>
            </w:r>
          </w:p>
        </w:tc>
        <w:tc>
          <w:tcPr>
            <w:tcW w:w="2268"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-0.0117</w:t>
            </w:r>
          </w:p>
        </w:tc>
        <w:tc>
          <w:tcPr>
            <w:tcW w:w="2126"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-0.0233</w:t>
            </w:r>
          </w:p>
        </w:tc>
        <w:tc>
          <w:tcPr>
            <w:tcW w:w="1985"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-0.0339</w:t>
            </w:r>
          </w:p>
        </w:tc>
      </w:tr>
      <w:tr w:rsidR="00F03122" w:rsidRPr="00A9000B" w:rsidTr="00F03122">
        <w:trPr>
          <w:trHeight w:val="255"/>
        </w:trPr>
        <w:tc>
          <w:tcPr>
            <w:tcW w:w="3119"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p>
        </w:tc>
        <w:tc>
          <w:tcPr>
            <w:tcW w:w="2268"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(0.0131)</w:t>
            </w:r>
          </w:p>
        </w:tc>
        <w:tc>
          <w:tcPr>
            <w:tcW w:w="2126"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(0.0179)</w:t>
            </w:r>
          </w:p>
        </w:tc>
        <w:tc>
          <w:tcPr>
            <w:tcW w:w="1985"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(0.0199)</w:t>
            </w:r>
          </w:p>
        </w:tc>
      </w:tr>
      <w:tr w:rsidR="00F03122" w:rsidRPr="00A9000B" w:rsidTr="00F03122">
        <w:trPr>
          <w:trHeight w:val="255"/>
        </w:trPr>
        <w:tc>
          <w:tcPr>
            <w:tcW w:w="3119"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Discounted Cashflow</w:t>
            </w:r>
          </w:p>
        </w:tc>
        <w:tc>
          <w:tcPr>
            <w:tcW w:w="2268"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7.17e-09</w:t>
            </w:r>
          </w:p>
        </w:tc>
        <w:tc>
          <w:tcPr>
            <w:tcW w:w="2126"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3.08e-09</w:t>
            </w:r>
          </w:p>
        </w:tc>
        <w:tc>
          <w:tcPr>
            <w:tcW w:w="1985"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8.34e-09</w:t>
            </w:r>
          </w:p>
        </w:tc>
      </w:tr>
      <w:tr w:rsidR="00F03122" w:rsidRPr="00A9000B" w:rsidTr="00F03122">
        <w:trPr>
          <w:trHeight w:val="255"/>
        </w:trPr>
        <w:tc>
          <w:tcPr>
            <w:tcW w:w="3119"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p>
        </w:tc>
        <w:tc>
          <w:tcPr>
            <w:tcW w:w="2268"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(7.13e-09)</w:t>
            </w:r>
          </w:p>
        </w:tc>
        <w:tc>
          <w:tcPr>
            <w:tcW w:w="2126"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(1.89e-08)</w:t>
            </w:r>
          </w:p>
        </w:tc>
        <w:tc>
          <w:tcPr>
            <w:tcW w:w="1985"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(9.00e-09)</w:t>
            </w:r>
          </w:p>
        </w:tc>
      </w:tr>
      <w:tr w:rsidR="00F03122" w:rsidRPr="00A9000B" w:rsidTr="00F03122">
        <w:trPr>
          <w:trHeight w:val="255"/>
        </w:trPr>
        <w:tc>
          <w:tcPr>
            <w:tcW w:w="3119"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Price/Earnings</w:t>
            </w:r>
          </w:p>
        </w:tc>
        <w:tc>
          <w:tcPr>
            <w:tcW w:w="2268"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-2.42e-05</w:t>
            </w:r>
          </w:p>
        </w:tc>
        <w:tc>
          <w:tcPr>
            <w:tcW w:w="2126"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-0.000993**</w:t>
            </w:r>
          </w:p>
        </w:tc>
        <w:tc>
          <w:tcPr>
            <w:tcW w:w="1985"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-0.000232</w:t>
            </w:r>
          </w:p>
        </w:tc>
      </w:tr>
      <w:tr w:rsidR="00F03122" w:rsidRPr="00A9000B" w:rsidTr="00F03122">
        <w:trPr>
          <w:trHeight w:val="255"/>
        </w:trPr>
        <w:tc>
          <w:tcPr>
            <w:tcW w:w="3119"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p>
        </w:tc>
        <w:tc>
          <w:tcPr>
            <w:tcW w:w="2268"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Pr>
                <w:rFonts w:eastAsia="Times New Roman" w:cstheme="minorHAnsi"/>
                <w:sz w:val="20"/>
                <w:szCs w:val="20"/>
              </w:rPr>
              <w:t>(0.000</w:t>
            </w:r>
            <w:r w:rsidRPr="00A9000B">
              <w:rPr>
                <w:rFonts w:eastAsia="Times New Roman" w:cstheme="minorHAnsi"/>
                <w:sz w:val="20"/>
                <w:szCs w:val="20"/>
              </w:rPr>
              <w:t>)</w:t>
            </w:r>
          </w:p>
        </w:tc>
        <w:tc>
          <w:tcPr>
            <w:tcW w:w="2126"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Pr>
                <w:rFonts w:eastAsia="Times New Roman" w:cstheme="minorHAnsi"/>
                <w:sz w:val="20"/>
                <w:szCs w:val="20"/>
              </w:rPr>
              <w:t>(0.000</w:t>
            </w:r>
            <w:r w:rsidRPr="00A9000B">
              <w:rPr>
                <w:rFonts w:eastAsia="Times New Roman" w:cstheme="minorHAnsi"/>
                <w:sz w:val="20"/>
                <w:szCs w:val="20"/>
              </w:rPr>
              <w:t>)</w:t>
            </w:r>
          </w:p>
        </w:tc>
        <w:tc>
          <w:tcPr>
            <w:tcW w:w="1985"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Pr>
                <w:rFonts w:eastAsia="Times New Roman" w:cstheme="minorHAnsi"/>
                <w:sz w:val="20"/>
                <w:szCs w:val="20"/>
              </w:rPr>
              <w:t>(0.000</w:t>
            </w:r>
            <w:r w:rsidRPr="00A9000B">
              <w:rPr>
                <w:rFonts w:eastAsia="Times New Roman" w:cstheme="minorHAnsi"/>
                <w:sz w:val="20"/>
                <w:szCs w:val="20"/>
              </w:rPr>
              <w:t>)</w:t>
            </w:r>
          </w:p>
        </w:tc>
      </w:tr>
      <w:tr w:rsidR="00F03122" w:rsidRPr="00A9000B" w:rsidTr="00F03122">
        <w:trPr>
          <w:trHeight w:val="255"/>
        </w:trPr>
        <w:tc>
          <w:tcPr>
            <w:tcW w:w="3119"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Dummy Stock</w:t>
            </w:r>
          </w:p>
        </w:tc>
        <w:tc>
          <w:tcPr>
            <w:tcW w:w="2268"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0.0158</w:t>
            </w:r>
          </w:p>
        </w:tc>
        <w:tc>
          <w:tcPr>
            <w:tcW w:w="2126"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0.0313</w:t>
            </w:r>
          </w:p>
        </w:tc>
        <w:tc>
          <w:tcPr>
            <w:tcW w:w="1985" w:type="dxa"/>
            <w:tcBorders>
              <w:top w:val="nil"/>
              <w:left w:val="nil"/>
              <w:bottom w:val="nil"/>
              <w:right w:val="nil"/>
            </w:tcBorders>
            <w:shd w:val="clear" w:color="auto" w:fill="auto"/>
            <w:noWrap/>
            <w:vAlign w:val="bottom"/>
            <w:hideMark/>
          </w:tcPr>
          <w:p w:rsidR="00F03122" w:rsidRPr="00A9000B" w:rsidRDefault="00B27F9E" w:rsidP="005E19AF">
            <w:pPr>
              <w:spacing w:after="0" w:line="276" w:lineRule="auto"/>
              <w:jc w:val="both"/>
              <w:rPr>
                <w:rFonts w:eastAsia="Times New Roman" w:cstheme="minorHAnsi"/>
                <w:sz w:val="20"/>
                <w:szCs w:val="20"/>
              </w:rPr>
            </w:pPr>
            <w:r>
              <w:rPr>
                <w:rFonts w:eastAsia="Times New Roman" w:cstheme="minorHAnsi"/>
                <w:sz w:val="20"/>
                <w:szCs w:val="20"/>
              </w:rPr>
              <w:t>0.0390</w:t>
            </w:r>
          </w:p>
        </w:tc>
      </w:tr>
      <w:tr w:rsidR="00F03122" w:rsidRPr="00A9000B" w:rsidTr="00F03122">
        <w:trPr>
          <w:trHeight w:val="255"/>
        </w:trPr>
        <w:tc>
          <w:tcPr>
            <w:tcW w:w="3119"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p>
        </w:tc>
        <w:tc>
          <w:tcPr>
            <w:tcW w:w="2268"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Pr>
                <w:rFonts w:eastAsia="Times New Roman" w:cstheme="minorHAnsi"/>
                <w:sz w:val="20"/>
                <w:szCs w:val="20"/>
              </w:rPr>
              <w:t>(0.022</w:t>
            </w:r>
            <w:r w:rsidRPr="00A9000B">
              <w:rPr>
                <w:rFonts w:eastAsia="Times New Roman" w:cstheme="minorHAnsi"/>
                <w:sz w:val="20"/>
                <w:szCs w:val="20"/>
              </w:rPr>
              <w:t>)</w:t>
            </w:r>
          </w:p>
        </w:tc>
        <w:tc>
          <w:tcPr>
            <w:tcW w:w="2126"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Pr>
                <w:rFonts w:eastAsia="Times New Roman" w:cstheme="minorHAnsi"/>
                <w:sz w:val="20"/>
                <w:szCs w:val="20"/>
              </w:rPr>
              <w:t>(0.035</w:t>
            </w:r>
            <w:r w:rsidRPr="00A9000B">
              <w:rPr>
                <w:rFonts w:eastAsia="Times New Roman" w:cstheme="minorHAnsi"/>
                <w:sz w:val="20"/>
                <w:szCs w:val="20"/>
              </w:rPr>
              <w:t>)</w:t>
            </w:r>
          </w:p>
        </w:tc>
        <w:tc>
          <w:tcPr>
            <w:tcW w:w="1985"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Pr>
                <w:rFonts w:eastAsia="Times New Roman" w:cstheme="minorHAnsi"/>
                <w:sz w:val="20"/>
                <w:szCs w:val="20"/>
              </w:rPr>
              <w:t>(0.022</w:t>
            </w:r>
            <w:r w:rsidRPr="00A9000B">
              <w:rPr>
                <w:rFonts w:eastAsia="Times New Roman" w:cstheme="minorHAnsi"/>
                <w:sz w:val="20"/>
                <w:szCs w:val="20"/>
              </w:rPr>
              <w:t>)</w:t>
            </w:r>
          </w:p>
        </w:tc>
      </w:tr>
      <w:tr w:rsidR="00F03122" w:rsidRPr="00A9000B" w:rsidTr="00F03122">
        <w:trPr>
          <w:trHeight w:val="255"/>
        </w:trPr>
        <w:tc>
          <w:tcPr>
            <w:tcW w:w="3119"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Dummy Cash</w:t>
            </w:r>
          </w:p>
        </w:tc>
        <w:tc>
          <w:tcPr>
            <w:tcW w:w="2268"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-0.000531</w:t>
            </w:r>
          </w:p>
        </w:tc>
        <w:tc>
          <w:tcPr>
            <w:tcW w:w="2126"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0.0265</w:t>
            </w:r>
          </w:p>
        </w:tc>
        <w:tc>
          <w:tcPr>
            <w:tcW w:w="1985"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0.0323</w:t>
            </w:r>
          </w:p>
        </w:tc>
      </w:tr>
      <w:tr w:rsidR="00F03122" w:rsidRPr="00A9000B" w:rsidTr="00F03122">
        <w:trPr>
          <w:trHeight w:val="255"/>
        </w:trPr>
        <w:tc>
          <w:tcPr>
            <w:tcW w:w="3119"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p>
        </w:tc>
        <w:tc>
          <w:tcPr>
            <w:tcW w:w="2268"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(0.0297)</w:t>
            </w:r>
          </w:p>
        </w:tc>
        <w:tc>
          <w:tcPr>
            <w:tcW w:w="2126"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Pr>
                <w:rFonts w:eastAsia="Times New Roman" w:cstheme="minorHAnsi"/>
                <w:sz w:val="20"/>
                <w:szCs w:val="20"/>
              </w:rPr>
              <w:t>(0.063</w:t>
            </w:r>
            <w:r w:rsidRPr="00A9000B">
              <w:rPr>
                <w:rFonts w:eastAsia="Times New Roman" w:cstheme="minorHAnsi"/>
                <w:sz w:val="20"/>
                <w:szCs w:val="20"/>
              </w:rPr>
              <w:t>)</w:t>
            </w:r>
          </w:p>
        </w:tc>
        <w:tc>
          <w:tcPr>
            <w:tcW w:w="1985"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Pr>
                <w:rFonts w:eastAsia="Times New Roman" w:cstheme="minorHAnsi"/>
                <w:sz w:val="20"/>
                <w:szCs w:val="20"/>
              </w:rPr>
              <w:t>(0.031</w:t>
            </w:r>
            <w:r w:rsidRPr="00A9000B">
              <w:rPr>
                <w:rFonts w:eastAsia="Times New Roman" w:cstheme="minorHAnsi"/>
                <w:sz w:val="20"/>
                <w:szCs w:val="20"/>
              </w:rPr>
              <w:t>)</w:t>
            </w:r>
          </w:p>
        </w:tc>
      </w:tr>
      <w:tr w:rsidR="00F03122" w:rsidRPr="00A9000B" w:rsidTr="00F03122">
        <w:trPr>
          <w:trHeight w:val="255"/>
        </w:trPr>
        <w:tc>
          <w:tcPr>
            <w:tcW w:w="3119"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Dummy Mid-industry</w:t>
            </w:r>
          </w:p>
        </w:tc>
        <w:tc>
          <w:tcPr>
            <w:tcW w:w="2268"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-0.0379**</w:t>
            </w:r>
          </w:p>
        </w:tc>
        <w:tc>
          <w:tcPr>
            <w:tcW w:w="2126"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0.0574</w:t>
            </w:r>
          </w:p>
        </w:tc>
        <w:tc>
          <w:tcPr>
            <w:tcW w:w="1985"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-0.0272</w:t>
            </w:r>
          </w:p>
        </w:tc>
      </w:tr>
      <w:tr w:rsidR="00F03122" w:rsidRPr="00A9000B" w:rsidTr="00F03122">
        <w:trPr>
          <w:trHeight w:val="255"/>
        </w:trPr>
        <w:tc>
          <w:tcPr>
            <w:tcW w:w="3119"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p>
        </w:tc>
        <w:tc>
          <w:tcPr>
            <w:tcW w:w="2268"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(0.0142)</w:t>
            </w:r>
          </w:p>
        </w:tc>
        <w:tc>
          <w:tcPr>
            <w:tcW w:w="2126"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(0.0445)</w:t>
            </w:r>
          </w:p>
        </w:tc>
        <w:tc>
          <w:tcPr>
            <w:tcW w:w="1985"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(0.0173)</w:t>
            </w:r>
          </w:p>
        </w:tc>
      </w:tr>
      <w:tr w:rsidR="00F03122" w:rsidRPr="00A9000B" w:rsidTr="00F03122">
        <w:trPr>
          <w:trHeight w:val="255"/>
        </w:trPr>
        <w:tc>
          <w:tcPr>
            <w:tcW w:w="3119"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Dummy Macro-industry</w:t>
            </w:r>
          </w:p>
        </w:tc>
        <w:tc>
          <w:tcPr>
            <w:tcW w:w="2268"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0.0281</w:t>
            </w:r>
          </w:p>
        </w:tc>
        <w:tc>
          <w:tcPr>
            <w:tcW w:w="2126"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0.00472</w:t>
            </w:r>
          </w:p>
        </w:tc>
        <w:tc>
          <w:tcPr>
            <w:tcW w:w="1985"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0.0535**</w:t>
            </w:r>
          </w:p>
        </w:tc>
      </w:tr>
      <w:tr w:rsidR="00F03122" w:rsidRPr="00A9000B" w:rsidTr="00F03122">
        <w:trPr>
          <w:trHeight w:val="255"/>
        </w:trPr>
        <w:tc>
          <w:tcPr>
            <w:tcW w:w="3119"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p>
        </w:tc>
        <w:tc>
          <w:tcPr>
            <w:tcW w:w="2268"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(0.0223)</w:t>
            </w:r>
          </w:p>
        </w:tc>
        <w:tc>
          <w:tcPr>
            <w:tcW w:w="2126"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(0.0758)</w:t>
            </w:r>
          </w:p>
        </w:tc>
        <w:tc>
          <w:tcPr>
            <w:tcW w:w="1985"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(0.0190)</w:t>
            </w:r>
          </w:p>
        </w:tc>
      </w:tr>
      <w:tr w:rsidR="00F03122" w:rsidRPr="00A9000B" w:rsidTr="00F03122">
        <w:trPr>
          <w:trHeight w:val="255"/>
        </w:trPr>
        <w:tc>
          <w:tcPr>
            <w:tcW w:w="3119"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Dummy Synergies</w:t>
            </w:r>
          </w:p>
        </w:tc>
        <w:tc>
          <w:tcPr>
            <w:tcW w:w="2268"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0.0196</w:t>
            </w:r>
          </w:p>
        </w:tc>
        <w:tc>
          <w:tcPr>
            <w:tcW w:w="2126"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-0.0447</w:t>
            </w:r>
          </w:p>
        </w:tc>
        <w:tc>
          <w:tcPr>
            <w:tcW w:w="1985"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-0.0112</w:t>
            </w:r>
          </w:p>
        </w:tc>
      </w:tr>
      <w:tr w:rsidR="00F03122" w:rsidRPr="00A9000B" w:rsidTr="00F03122">
        <w:trPr>
          <w:trHeight w:val="255"/>
        </w:trPr>
        <w:tc>
          <w:tcPr>
            <w:tcW w:w="3119"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p>
        </w:tc>
        <w:tc>
          <w:tcPr>
            <w:tcW w:w="2268"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(0.0150)</w:t>
            </w:r>
          </w:p>
        </w:tc>
        <w:tc>
          <w:tcPr>
            <w:tcW w:w="2126"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(0.0313)</w:t>
            </w:r>
          </w:p>
        </w:tc>
        <w:tc>
          <w:tcPr>
            <w:tcW w:w="1985"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(0.0181)</w:t>
            </w:r>
          </w:p>
        </w:tc>
      </w:tr>
      <w:tr w:rsidR="00F03122" w:rsidRPr="00A9000B" w:rsidTr="00F03122">
        <w:trPr>
          <w:trHeight w:val="255"/>
        </w:trPr>
        <w:tc>
          <w:tcPr>
            <w:tcW w:w="3119"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Dummy Shareholder Value</w:t>
            </w:r>
          </w:p>
        </w:tc>
        <w:tc>
          <w:tcPr>
            <w:tcW w:w="2268"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0.0175</w:t>
            </w:r>
          </w:p>
        </w:tc>
        <w:tc>
          <w:tcPr>
            <w:tcW w:w="2126"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-0.0330</w:t>
            </w:r>
          </w:p>
        </w:tc>
        <w:tc>
          <w:tcPr>
            <w:tcW w:w="1985"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Pr>
                <w:rFonts w:eastAsia="Times New Roman" w:cstheme="minorHAnsi"/>
                <w:sz w:val="20"/>
                <w:szCs w:val="20"/>
              </w:rPr>
              <w:t>0.003</w:t>
            </w:r>
          </w:p>
        </w:tc>
      </w:tr>
      <w:tr w:rsidR="00F03122" w:rsidRPr="00A9000B" w:rsidTr="00F03122">
        <w:trPr>
          <w:trHeight w:val="255"/>
        </w:trPr>
        <w:tc>
          <w:tcPr>
            <w:tcW w:w="3119"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p>
        </w:tc>
        <w:tc>
          <w:tcPr>
            <w:tcW w:w="2268"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(0.0213)</w:t>
            </w:r>
          </w:p>
        </w:tc>
        <w:tc>
          <w:tcPr>
            <w:tcW w:w="2126"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(0.0402)</w:t>
            </w:r>
          </w:p>
        </w:tc>
        <w:tc>
          <w:tcPr>
            <w:tcW w:w="1985"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(0.0248)</w:t>
            </w:r>
          </w:p>
        </w:tc>
      </w:tr>
      <w:tr w:rsidR="00F03122" w:rsidRPr="00A9000B" w:rsidTr="00F03122">
        <w:trPr>
          <w:trHeight w:val="255"/>
        </w:trPr>
        <w:tc>
          <w:tcPr>
            <w:tcW w:w="3119"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Dummy Product expansion</w:t>
            </w:r>
          </w:p>
        </w:tc>
        <w:tc>
          <w:tcPr>
            <w:tcW w:w="2268"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-0.0524*</w:t>
            </w:r>
          </w:p>
        </w:tc>
        <w:tc>
          <w:tcPr>
            <w:tcW w:w="2126"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0.0760</w:t>
            </w:r>
          </w:p>
        </w:tc>
        <w:tc>
          <w:tcPr>
            <w:tcW w:w="1985"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0.0287</w:t>
            </w:r>
          </w:p>
        </w:tc>
      </w:tr>
      <w:tr w:rsidR="00F03122" w:rsidRPr="00A9000B" w:rsidTr="00F03122">
        <w:trPr>
          <w:trHeight w:val="255"/>
        </w:trPr>
        <w:tc>
          <w:tcPr>
            <w:tcW w:w="3119"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p>
        </w:tc>
        <w:tc>
          <w:tcPr>
            <w:tcW w:w="2268"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(0.0261)</w:t>
            </w:r>
          </w:p>
        </w:tc>
        <w:tc>
          <w:tcPr>
            <w:tcW w:w="2126"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(0.0680)</w:t>
            </w:r>
          </w:p>
        </w:tc>
        <w:tc>
          <w:tcPr>
            <w:tcW w:w="1985"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(0.0333)</w:t>
            </w:r>
          </w:p>
        </w:tc>
      </w:tr>
      <w:tr w:rsidR="00F03122" w:rsidRPr="00A9000B" w:rsidTr="00F03122">
        <w:trPr>
          <w:trHeight w:val="255"/>
        </w:trPr>
        <w:tc>
          <w:tcPr>
            <w:tcW w:w="3119"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Dummy Market Expansion</w:t>
            </w:r>
          </w:p>
        </w:tc>
        <w:tc>
          <w:tcPr>
            <w:tcW w:w="2268"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0.0180</w:t>
            </w:r>
          </w:p>
        </w:tc>
        <w:tc>
          <w:tcPr>
            <w:tcW w:w="2126"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0.0547</w:t>
            </w:r>
          </w:p>
        </w:tc>
        <w:tc>
          <w:tcPr>
            <w:tcW w:w="1985"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0.0107</w:t>
            </w:r>
          </w:p>
        </w:tc>
      </w:tr>
      <w:tr w:rsidR="00F03122" w:rsidRPr="00A9000B" w:rsidTr="00F03122">
        <w:trPr>
          <w:trHeight w:val="255"/>
        </w:trPr>
        <w:tc>
          <w:tcPr>
            <w:tcW w:w="3119"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p>
        </w:tc>
        <w:tc>
          <w:tcPr>
            <w:tcW w:w="2268"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(0.0298)</w:t>
            </w:r>
          </w:p>
        </w:tc>
        <w:tc>
          <w:tcPr>
            <w:tcW w:w="2126"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(0.0551)</w:t>
            </w:r>
          </w:p>
        </w:tc>
        <w:tc>
          <w:tcPr>
            <w:tcW w:w="1985"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(0.0291)</w:t>
            </w:r>
          </w:p>
        </w:tc>
      </w:tr>
      <w:tr w:rsidR="00F03122" w:rsidRPr="00A9000B" w:rsidTr="00F03122">
        <w:trPr>
          <w:trHeight w:val="255"/>
        </w:trPr>
        <w:tc>
          <w:tcPr>
            <w:tcW w:w="3119"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Dummy Strengthen Operations</w:t>
            </w:r>
          </w:p>
        </w:tc>
        <w:tc>
          <w:tcPr>
            <w:tcW w:w="2268"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-0.00483</w:t>
            </w:r>
          </w:p>
        </w:tc>
        <w:tc>
          <w:tcPr>
            <w:tcW w:w="2126"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-0.0645</w:t>
            </w:r>
          </w:p>
        </w:tc>
        <w:tc>
          <w:tcPr>
            <w:tcW w:w="1985"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-0.0442</w:t>
            </w:r>
          </w:p>
        </w:tc>
      </w:tr>
      <w:tr w:rsidR="00F03122" w:rsidRPr="00A9000B" w:rsidTr="00F03122">
        <w:trPr>
          <w:trHeight w:val="255"/>
        </w:trPr>
        <w:tc>
          <w:tcPr>
            <w:tcW w:w="3119"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p>
        </w:tc>
        <w:tc>
          <w:tcPr>
            <w:tcW w:w="2268"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(0.0176)</w:t>
            </w:r>
          </w:p>
        </w:tc>
        <w:tc>
          <w:tcPr>
            <w:tcW w:w="2126"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(0.0394)</w:t>
            </w:r>
          </w:p>
        </w:tc>
        <w:tc>
          <w:tcPr>
            <w:tcW w:w="1985"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(0.0259)</w:t>
            </w:r>
          </w:p>
        </w:tc>
      </w:tr>
      <w:tr w:rsidR="00F03122" w:rsidRPr="00A9000B" w:rsidTr="00F03122">
        <w:trPr>
          <w:trHeight w:val="255"/>
        </w:trPr>
        <w:tc>
          <w:tcPr>
            <w:tcW w:w="3119" w:type="dxa"/>
            <w:tcBorders>
              <w:top w:val="nil"/>
              <w:left w:val="nil"/>
              <w:bottom w:val="nil"/>
              <w:right w:val="nil"/>
            </w:tcBorders>
            <w:shd w:val="clear" w:color="auto" w:fill="auto"/>
            <w:noWrap/>
            <w:vAlign w:val="bottom"/>
          </w:tcPr>
          <w:p w:rsidR="00F03122" w:rsidRPr="00A9000B" w:rsidRDefault="00F03122" w:rsidP="005E19AF">
            <w:pPr>
              <w:spacing w:after="0" w:line="276" w:lineRule="auto"/>
              <w:jc w:val="both"/>
              <w:rPr>
                <w:rFonts w:eastAsia="Times New Roman" w:cstheme="minorHAnsi"/>
                <w:sz w:val="20"/>
                <w:szCs w:val="20"/>
              </w:rPr>
            </w:pPr>
          </w:p>
        </w:tc>
        <w:tc>
          <w:tcPr>
            <w:tcW w:w="2268" w:type="dxa"/>
            <w:tcBorders>
              <w:top w:val="nil"/>
              <w:left w:val="nil"/>
              <w:bottom w:val="nil"/>
              <w:right w:val="nil"/>
            </w:tcBorders>
            <w:shd w:val="clear" w:color="auto" w:fill="auto"/>
            <w:noWrap/>
            <w:vAlign w:val="bottom"/>
          </w:tcPr>
          <w:p w:rsidR="00F03122" w:rsidRPr="00A9000B" w:rsidRDefault="00F03122" w:rsidP="005E19AF">
            <w:pPr>
              <w:spacing w:after="0" w:line="276" w:lineRule="auto"/>
              <w:jc w:val="both"/>
              <w:rPr>
                <w:rFonts w:eastAsia="Times New Roman" w:cstheme="minorHAnsi"/>
                <w:sz w:val="20"/>
                <w:szCs w:val="20"/>
              </w:rPr>
            </w:pPr>
          </w:p>
        </w:tc>
        <w:tc>
          <w:tcPr>
            <w:tcW w:w="2126" w:type="dxa"/>
            <w:tcBorders>
              <w:top w:val="nil"/>
              <w:left w:val="nil"/>
              <w:bottom w:val="nil"/>
              <w:right w:val="nil"/>
            </w:tcBorders>
            <w:shd w:val="clear" w:color="auto" w:fill="auto"/>
            <w:noWrap/>
            <w:vAlign w:val="bottom"/>
          </w:tcPr>
          <w:p w:rsidR="00F03122" w:rsidRPr="00A9000B" w:rsidRDefault="00F03122" w:rsidP="005E19AF">
            <w:pPr>
              <w:spacing w:after="0" w:line="276" w:lineRule="auto"/>
              <w:jc w:val="both"/>
              <w:rPr>
                <w:rFonts w:eastAsia="Times New Roman" w:cstheme="minorHAnsi"/>
                <w:sz w:val="20"/>
                <w:szCs w:val="20"/>
              </w:rPr>
            </w:pPr>
          </w:p>
        </w:tc>
        <w:tc>
          <w:tcPr>
            <w:tcW w:w="1985" w:type="dxa"/>
            <w:tcBorders>
              <w:top w:val="nil"/>
              <w:left w:val="nil"/>
              <w:bottom w:val="nil"/>
              <w:right w:val="nil"/>
            </w:tcBorders>
            <w:shd w:val="clear" w:color="auto" w:fill="auto"/>
            <w:noWrap/>
            <w:vAlign w:val="bottom"/>
          </w:tcPr>
          <w:p w:rsidR="00F03122" w:rsidRPr="00A9000B" w:rsidRDefault="00F03122" w:rsidP="005E19AF">
            <w:pPr>
              <w:spacing w:after="0" w:line="276" w:lineRule="auto"/>
              <w:jc w:val="both"/>
              <w:rPr>
                <w:rFonts w:eastAsia="Times New Roman" w:cstheme="minorHAnsi"/>
                <w:sz w:val="20"/>
                <w:szCs w:val="20"/>
              </w:rPr>
            </w:pPr>
          </w:p>
        </w:tc>
      </w:tr>
      <w:tr w:rsidR="00F03122" w:rsidRPr="00A9000B" w:rsidTr="00F03122">
        <w:trPr>
          <w:trHeight w:val="255"/>
        </w:trPr>
        <w:tc>
          <w:tcPr>
            <w:tcW w:w="3119"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Constant</w:t>
            </w:r>
          </w:p>
        </w:tc>
        <w:tc>
          <w:tcPr>
            <w:tcW w:w="2268"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0.0439</w:t>
            </w:r>
          </w:p>
        </w:tc>
        <w:tc>
          <w:tcPr>
            <w:tcW w:w="2126"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0.313**</w:t>
            </w:r>
          </w:p>
        </w:tc>
        <w:tc>
          <w:tcPr>
            <w:tcW w:w="1985"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0.265</w:t>
            </w:r>
          </w:p>
        </w:tc>
      </w:tr>
      <w:tr w:rsidR="00F03122" w:rsidRPr="00A9000B" w:rsidTr="00F03122">
        <w:trPr>
          <w:trHeight w:val="255"/>
        </w:trPr>
        <w:tc>
          <w:tcPr>
            <w:tcW w:w="3119"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p>
        </w:tc>
        <w:tc>
          <w:tcPr>
            <w:tcW w:w="2268"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(0.104)</w:t>
            </w:r>
          </w:p>
        </w:tc>
        <w:tc>
          <w:tcPr>
            <w:tcW w:w="2126"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(0.132)</w:t>
            </w:r>
          </w:p>
        </w:tc>
        <w:tc>
          <w:tcPr>
            <w:tcW w:w="1985"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(0.161)</w:t>
            </w:r>
          </w:p>
        </w:tc>
      </w:tr>
      <w:tr w:rsidR="00F03122" w:rsidRPr="00A9000B" w:rsidTr="00F03122">
        <w:trPr>
          <w:trHeight w:val="255"/>
        </w:trPr>
        <w:tc>
          <w:tcPr>
            <w:tcW w:w="3119"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p>
        </w:tc>
        <w:tc>
          <w:tcPr>
            <w:tcW w:w="2268"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p>
        </w:tc>
        <w:tc>
          <w:tcPr>
            <w:tcW w:w="2126"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p>
        </w:tc>
        <w:tc>
          <w:tcPr>
            <w:tcW w:w="1985"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p>
        </w:tc>
      </w:tr>
      <w:tr w:rsidR="00F03122" w:rsidRPr="00A9000B" w:rsidTr="00F03122">
        <w:trPr>
          <w:trHeight w:val="255"/>
        </w:trPr>
        <w:tc>
          <w:tcPr>
            <w:tcW w:w="3119"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Observations</w:t>
            </w:r>
          </w:p>
        </w:tc>
        <w:tc>
          <w:tcPr>
            <w:tcW w:w="2268"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173</w:t>
            </w:r>
          </w:p>
        </w:tc>
        <w:tc>
          <w:tcPr>
            <w:tcW w:w="2126"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163</w:t>
            </w:r>
          </w:p>
        </w:tc>
        <w:tc>
          <w:tcPr>
            <w:tcW w:w="1985"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173</w:t>
            </w:r>
          </w:p>
        </w:tc>
      </w:tr>
      <w:tr w:rsidR="00F03122" w:rsidRPr="00A9000B" w:rsidTr="00F03122">
        <w:trPr>
          <w:trHeight w:val="255"/>
        </w:trPr>
        <w:tc>
          <w:tcPr>
            <w:tcW w:w="3119"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R-squared</w:t>
            </w:r>
          </w:p>
        </w:tc>
        <w:tc>
          <w:tcPr>
            <w:tcW w:w="2268"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0.074</w:t>
            </w:r>
          </w:p>
        </w:tc>
        <w:tc>
          <w:tcPr>
            <w:tcW w:w="2126"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0.079</w:t>
            </w:r>
          </w:p>
        </w:tc>
        <w:tc>
          <w:tcPr>
            <w:tcW w:w="1985"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0.126</w:t>
            </w:r>
          </w:p>
        </w:tc>
      </w:tr>
      <w:tr w:rsidR="00F03122" w:rsidRPr="00A9000B" w:rsidTr="00F03122">
        <w:trPr>
          <w:trHeight w:val="255"/>
        </w:trPr>
        <w:tc>
          <w:tcPr>
            <w:tcW w:w="3119"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Number of Year</w:t>
            </w:r>
            <w:r>
              <w:rPr>
                <w:rFonts w:eastAsia="Times New Roman" w:cstheme="minorHAnsi"/>
                <w:sz w:val="20"/>
                <w:szCs w:val="20"/>
              </w:rPr>
              <w:t>s</w:t>
            </w:r>
          </w:p>
        </w:tc>
        <w:tc>
          <w:tcPr>
            <w:tcW w:w="2268"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23</w:t>
            </w:r>
          </w:p>
        </w:tc>
        <w:tc>
          <w:tcPr>
            <w:tcW w:w="2126"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23</w:t>
            </w:r>
          </w:p>
        </w:tc>
        <w:tc>
          <w:tcPr>
            <w:tcW w:w="1985" w:type="dxa"/>
            <w:tcBorders>
              <w:top w:val="nil"/>
              <w:left w:val="nil"/>
              <w:bottom w:val="nil"/>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23</w:t>
            </w:r>
          </w:p>
        </w:tc>
      </w:tr>
      <w:tr w:rsidR="00F03122" w:rsidRPr="00A9000B" w:rsidTr="00F03122">
        <w:trPr>
          <w:trHeight w:val="255"/>
        </w:trPr>
        <w:tc>
          <w:tcPr>
            <w:tcW w:w="3119" w:type="dxa"/>
            <w:tcBorders>
              <w:top w:val="nil"/>
              <w:left w:val="nil"/>
              <w:bottom w:val="single" w:sz="4" w:space="0" w:color="000000"/>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Year FE</w:t>
            </w:r>
          </w:p>
        </w:tc>
        <w:tc>
          <w:tcPr>
            <w:tcW w:w="2268" w:type="dxa"/>
            <w:tcBorders>
              <w:top w:val="nil"/>
              <w:left w:val="nil"/>
              <w:bottom w:val="single" w:sz="4" w:space="0" w:color="000000"/>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YES</w:t>
            </w:r>
          </w:p>
        </w:tc>
        <w:tc>
          <w:tcPr>
            <w:tcW w:w="2126" w:type="dxa"/>
            <w:tcBorders>
              <w:top w:val="nil"/>
              <w:left w:val="nil"/>
              <w:bottom w:val="single" w:sz="4" w:space="0" w:color="000000"/>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YES</w:t>
            </w:r>
          </w:p>
        </w:tc>
        <w:tc>
          <w:tcPr>
            <w:tcW w:w="1985" w:type="dxa"/>
            <w:tcBorders>
              <w:top w:val="nil"/>
              <w:left w:val="nil"/>
              <w:bottom w:val="single" w:sz="4" w:space="0" w:color="000000"/>
              <w:right w:val="nil"/>
            </w:tcBorders>
            <w:shd w:val="clear" w:color="auto" w:fill="auto"/>
            <w:noWrap/>
            <w:vAlign w:val="bottom"/>
            <w:hideMark/>
          </w:tcPr>
          <w:p w:rsidR="00F03122" w:rsidRPr="00A9000B" w:rsidRDefault="00F03122" w:rsidP="005E19AF">
            <w:pPr>
              <w:spacing w:after="0" w:line="276" w:lineRule="auto"/>
              <w:jc w:val="both"/>
              <w:rPr>
                <w:rFonts w:eastAsia="Times New Roman" w:cstheme="minorHAnsi"/>
                <w:sz w:val="20"/>
                <w:szCs w:val="20"/>
              </w:rPr>
            </w:pPr>
            <w:r w:rsidRPr="00A9000B">
              <w:rPr>
                <w:rFonts w:eastAsia="Times New Roman" w:cstheme="minorHAnsi"/>
                <w:sz w:val="20"/>
                <w:szCs w:val="20"/>
              </w:rPr>
              <w:t>YES</w:t>
            </w:r>
          </w:p>
        </w:tc>
      </w:tr>
      <w:tr w:rsidR="00F03122" w:rsidRPr="00A9000B" w:rsidTr="00D042A9">
        <w:trPr>
          <w:trHeight w:val="255"/>
        </w:trPr>
        <w:tc>
          <w:tcPr>
            <w:tcW w:w="3119" w:type="dxa"/>
            <w:tcBorders>
              <w:top w:val="nil"/>
              <w:left w:val="nil"/>
              <w:bottom w:val="nil"/>
              <w:right w:val="nil"/>
            </w:tcBorders>
            <w:shd w:val="clear" w:color="auto" w:fill="auto"/>
            <w:noWrap/>
            <w:vAlign w:val="bottom"/>
          </w:tcPr>
          <w:p w:rsidR="00F03122" w:rsidRPr="00A9000B" w:rsidRDefault="00F03122" w:rsidP="005E19AF">
            <w:pPr>
              <w:spacing w:after="0" w:line="276" w:lineRule="auto"/>
              <w:jc w:val="both"/>
              <w:rPr>
                <w:rFonts w:eastAsia="Times New Roman" w:cstheme="minorHAnsi"/>
                <w:sz w:val="20"/>
                <w:szCs w:val="20"/>
              </w:rPr>
            </w:pPr>
          </w:p>
        </w:tc>
        <w:tc>
          <w:tcPr>
            <w:tcW w:w="2268" w:type="dxa"/>
            <w:tcBorders>
              <w:top w:val="nil"/>
              <w:left w:val="nil"/>
              <w:bottom w:val="nil"/>
              <w:right w:val="nil"/>
            </w:tcBorders>
            <w:shd w:val="clear" w:color="auto" w:fill="auto"/>
            <w:noWrap/>
            <w:vAlign w:val="bottom"/>
          </w:tcPr>
          <w:p w:rsidR="00F03122" w:rsidRPr="00A9000B" w:rsidRDefault="00F03122" w:rsidP="005E19AF">
            <w:pPr>
              <w:spacing w:after="0" w:line="276" w:lineRule="auto"/>
              <w:jc w:val="both"/>
              <w:rPr>
                <w:rFonts w:eastAsia="Times New Roman" w:cstheme="minorHAnsi"/>
                <w:sz w:val="20"/>
                <w:szCs w:val="20"/>
              </w:rPr>
            </w:pPr>
          </w:p>
        </w:tc>
        <w:tc>
          <w:tcPr>
            <w:tcW w:w="2126" w:type="dxa"/>
            <w:tcBorders>
              <w:top w:val="nil"/>
              <w:left w:val="nil"/>
              <w:bottom w:val="nil"/>
              <w:right w:val="nil"/>
            </w:tcBorders>
            <w:shd w:val="clear" w:color="auto" w:fill="auto"/>
            <w:noWrap/>
            <w:vAlign w:val="bottom"/>
          </w:tcPr>
          <w:p w:rsidR="00F03122" w:rsidRPr="00A9000B" w:rsidRDefault="00F03122" w:rsidP="005E19AF">
            <w:pPr>
              <w:spacing w:after="0" w:line="276" w:lineRule="auto"/>
              <w:jc w:val="both"/>
              <w:rPr>
                <w:rFonts w:eastAsia="Times New Roman" w:cstheme="minorHAnsi"/>
                <w:sz w:val="20"/>
                <w:szCs w:val="20"/>
              </w:rPr>
            </w:pPr>
          </w:p>
        </w:tc>
        <w:tc>
          <w:tcPr>
            <w:tcW w:w="1985" w:type="dxa"/>
            <w:tcBorders>
              <w:top w:val="nil"/>
              <w:left w:val="nil"/>
              <w:bottom w:val="nil"/>
              <w:right w:val="nil"/>
            </w:tcBorders>
            <w:shd w:val="clear" w:color="auto" w:fill="auto"/>
            <w:noWrap/>
            <w:vAlign w:val="bottom"/>
          </w:tcPr>
          <w:p w:rsidR="00F03122" w:rsidRPr="00A9000B" w:rsidRDefault="00F03122" w:rsidP="005E19AF">
            <w:pPr>
              <w:spacing w:after="0" w:line="276" w:lineRule="auto"/>
              <w:jc w:val="both"/>
              <w:rPr>
                <w:rFonts w:eastAsia="Times New Roman" w:cstheme="minorHAnsi"/>
                <w:sz w:val="20"/>
                <w:szCs w:val="20"/>
              </w:rPr>
            </w:pPr>
          </w:p>
        </w:tc>
      </w:tr>
    </w:tbl>
    <w:p w:rsidR="00787C7D" w:rsidRDefault="00787C7D" w:rsidP="005E19AF">
      <w:pPr>
        <w:spacing w:after="200" w:line="276" w:lineRule="auto"/>
        <w:jc w:val="both"/>
      </w:pPr>
    </w:p>
    <w:sectPr w:rsidR="00787C7D">
      <w:footerReference w:type="default" r:id="rId11"/>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C50B8" w:rsidRDefault="005C50B8" w:rsidP="00686445">
      <w:pPr>
        <w:spacing w:after="0" w:line="240" w:lineRule="auto"/>
      </w:pPr>
      <w:r>
        <w:separator/>
      </w:r>
    </w:p>
  </w:endnote>
  <w:endnote w:type="continuationSeparator" w:id="0">
    <w:p w:rsidR="005C50B8" w:rsidRDefault="005C50B8" w:rsidP="006864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92882827"/>
      <w:docPartObj>
        <w:docPartGallery w:val="Page Numbers (Bottom of Page)"/>
        <w:docPartUnique/>
      </w:docPartObj>
    </w:sdtPr>
    <w:sdtEndPr>
      <w:rPr>
        <w:noProof/>
      </w:rPr>
    </w:sdtEndPr>
    <w:sdtContent>
      <w:p w:rsidR="004324BD" w:rsidRDefault="004324BD">
        <w:pPr>
          <w:pStyle w:val="Footer"/>
          <w:jc w:val="right"/>
        </w:pPr>
        <w:r>
          <w:fldChar w:fldCharType="begin"/>
        </w:r>
        <w:r>
          <w:instrText xml:space="preserve"> PAGE   \* MERGEFORMAT </w:instrText>
        </w:r>
        <w:r>
          <w:fldChar w:fldCharType="separate"/>
        </w:r>
        <w:r w:rsidR="000317E8">
          <w:rPr>
            <w:noProof/>
          </w:rPr>
          <w:t>6</w:t>
        </w:r>
        <w:r>
          <w:rPr>
            <w:noProof/>
          </w:rPr>
          <w:fldChar w:fldCharType="end"/>
        </w:r>
      </w:p>
    </w:sdtContent>
  </w:sdt>
  <w:p w:rsidR="004324BD" w:rsidRDefault="004324B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C50B8" w:rsidRDefault="005C50B8" w:rsidP="00686445">
      <w:pPr>
        <w:spacing w:after="0" w:line="240" w:lineRule="auto"/>
      </w:pPr>
      <w:r>
        <w:separator/>
      </w:r>
    </w:p>
  </w:footnote>
  <w:footnote w:type="continuationSeparator" w:id="0">
    <w:p w:rsidR="005C50B8" w:rsidRDefault="005C50B8" w:rsidP="00686445">
      <w:pPr>
        <w:spacing w:after="0" w:line="240" w:lineRule="auto"/>
      </w:pPr>
      <w:r>
        <w:continuationSeparator/>
      </w:r>
    </w:p>
  </w:footnote>
  <w:footnote w:id="1">
    <w:p w:rsidR="004324BD" w:rsidRPr="00647F9B" w:rsidRDefault="004324BD">
      <w:pPr>
        <w:pStyle w:val="FootnoteText"/>
      </w:pPr>
      <w:r>
        <w:rPr>
          <w:rStyle w:val="FootnoteReference"/>
        </w:rPr>
        <w:footnoteRef/>
      </w:r>
      <w:r>
        <w:t xml:space="preserve"> </w:t>
      </w:r>
      <m:oMath>
        <m:r>
          <w:rPr>
            <w:rFonts w:ascii="Cambria Math" w:hAnsi="Cambria Math"/>
          </w:rPr>
          <m:t xml:space="preserve">Joint CAR = </m:t>
        </m:r>
        <m:f>
          <m:fPr>
            <m:ctrlPr>
              <w:rPr>
                <w:rFonts w:ascii="Cambria Math" w:hAnsi="Cambria Math"/>
                <w:i/>
              </w:rPr>
            </m:ctrlPr>
          </m:fPr>
          <m:num>
            <m:r>
              <w:rPr>
                <w:rFonts w:ascii="Cambria Math" w:hAnsi="Cambria Math"/>
              </w:rPr>
              <m:t xml:space="preserve">Market Value Target </m:t>
            </m:r>
          </m:num>
          <m:den>
            <m:r>
              <w:rPr>
                <w:rFonts w:ascii="Cambria Math" w:hAnsi="Cambria Math"/>
              </w:rPr>
              <m:t>Total Market Value</m:t>
            </m:r>
          </m:den>
        </m:f>
        <m:r>
          <w:rPr>
            <w:rFonts w:ascii="Cambria Math" w:hAnsi="Cambria Math"/>
          </w:rPr>
          <m:t xml:space="preserve">*CAR Target+ </m:t>
        </m:r>
        <m:f>
          <m:fPr>
            <m:ctrlPr>
              <w:rPr>
                <w:rFonts w:ascii="Cambria Math" w:hAnsi="Cambria Math"/>
                <w:i/>
              </w:rPr>
            </m:ctrlPr>
          </m:fPr>
          <m:num>
            <m:r>
              <w:rPr>
                <w:rFonts w:ascii="Cambria Math" w:hAnsi="Cambria Math"/>
              </w:rPr>
              <m:t>Market Value Acquirer</m:t>
            </m:r>
          </m:num>
          <m:den>
            <m:r>
              <w:rPr>
                <w:rFonts w:ascii="Cambria Math" w:hAnsi="Cambria Math"/>
              </w:rPr>
              <m:t>Total Market Value</m:t>
            </m:r>
          </m:den>
        </m:f>
        <m:r>
          <w:rPr>
            <w:rFonts w:ascii="Cambria Math" w:hAnsi="Cambria Math"/>
          </w:rPr>
          <m:t>*CAR Acquirer</m:t>
        </m:r>
      </m:oMath>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351ED9"/>
    <w:multiLevelType w:val="hybridMultilevel"/>
    <w:tmpl w:val="84AAFA10"/>
    <w:lvl w:ilvl="0" w:tplc="04130019">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13252569"/>
    <w:multiLevelType w:val="hybridMultilevel"/>
    <w:tmpl w:val="5B702D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9AE02C1"/>
    <w:multiLevelType w:val="hybridMultilevel"/>
    <w:tmpl w:val="3A0645B0"/>
    <w:lvl w:ilvl="0" w:tplc="34C6E1F6">
      <w:numFmt w:val="bullet"/>
      <w:lvlText w:val=""/>
      <w:lvlJc w:val="left"/>
      <w:pPr>
        <w:ind w:left="408" w:hanging="360"/>
      </w:pPr>
      <w:rPr>
        <w:rFonts w:ascii="Symbol" w:eastAsiaTheme="minorHAnsi" w:hAnsi="Symbol" w:cstheme="minorBidi" w:hint="default"/>
      </w:rPr>
    </w:lvl>
    <w:lvl w:ilvl="1" w:tplc="04090003" w:tentative="1">
      <w:start w:val="1"/>
      <w:numFmt w:val="bullet"/>
      <w:lvlText w:val="o"/>
      <w:lvlJc w:val="left"/>
      <w:pPr>
        <w:ind w:left="1128" w:hanging="360"/>
      </w:pPr>
      <w:rPr>
        <w:rFonts w:ascii="Courier New" w:hAnsi="Courier New" w:cs="Courier New" w:hint="default"/>
      </w:rPr>
    </w:lvl>
    <w:lvl w:ilvl="2" w:tplc="04090005" w:tentative="1">
      <w:start w:val="1"/>
      <w:numFmt w:val="bullet"/>
      <w:lvlText w:val=""/>
      <w:lvlJc w:val="left"/>
      <w:pPr>
        <w:ind w:left="1848" w:hanging="360"/>
      </w:pPr>
      <w:rPr>
        <w:rFonts w:ascii="Wingdings" w:hAnsi="Wingdings" w:hint="default"/>
      </w:rPr>
    </w:lvl>
    <w:lvl w:ilvl="3" w:tplc="04090001" w:tentative="1">
      <w:start w:val="1"/>
      <w:numFmt w:val="bullet"/>
      <w:lvlText w:val=""/>
      <w:lvlJc w:val="left"/>
      <w:pPr>
        <w:ind w:left="2568" w:hanging="360"/>
      </w:pPr>
      <w:rPr>
        <w:rFonts w:ascii="Symbol" w:hAnsi="Symbol" w:hint="default"/>
      </w:rPr>
    </w:lvl>
    <w:lvl w:ilvl="4" w:tplc="04090003" w:tentative="1">
      <w:start w:val="1"/>
      <w:numFmt w:val="bullet"/>
      <w:lvlText w:val="o"/>
      <w:lvlJc w:val="left"/>
      <w:pPr>
        <w:ind w:left="3288" w:hanging="360"/>
      </w:pPr>
      <w:rPr>
        <w:rFonts w:ascii="Courier New" w:hAnsi="Courier New" w:cs="Courier New" w:hint="default"/>
      </w:rPr>
    </w:lvl>
    <w:lvl w:ilvl="5" w:tplc="04090005" w:tentative="1">
      <w:start w:val="1"/>
      <w:numFmt w:val="bullet"/>
      <w:lvlText w:val=""/>
      <w:lvlJc w:val="left"/>
      <w:pPr>
        <w:ind w:left="4008" w:hanging="360"/>
      </w:pPr>
      <w:rPr>
        <w:rFonts w:ascii="Wingdings" w:hAnsi="Wingdings" w:hint="default"/>
      </w:rPr>
    </w:lvl>
    <w:lvl w:ilvl="6" w:tplc="04090001" w:tentative="1">
      <w:start w:val="1"/>
      <w:numFmt w:val="bullet"/>
      <w:lvlText w:val=""/>
      <w:lvlJc w:val="left"/>
      <w:pPr>
        <w:ind w:left="4728" w:hanging="360"/>
      </w:pPr>
      <w:rPr>
        <w:rFonts w:ascii="Symbol" w:hAnsi="Symbol" w:hint="default"/>
      </w:rPr>
    </w:lvl>
    <w:lvl w:ilvl="7" w:tplc="04090003" w:tentative="1">
      <w:start w:val="1"/>
      <w:numFmt w:val="bullet"/>
      <w:lvlText w:val="o"/>
      <w:lvlJc w:val="left"/>
      <w:pPr>
        <w:ind w:left="5448" w:hanging="360"/>
      </w:pPr>
      <w:rPr>
        <w:rFonts w:ascii="Courier New" w:hAnsi="Courier New" w:cs="Courier New" w:hint="default"/>
      </w:rPr>
    </w:lvl>
    <w:lvl w:ilvl="8" w:tplc="04090005" w:tentative="1">
      <w:start w:val="1"/>
      <w:numFmt w:val="bullet"/>
      <w:lvlText w:val=""/>
      <w:lvlJc w:val="left"/>
      <w:pPr>
        <w:ind w:left="6168" w:hanging="360"/>
      </w:pPr>
      <w:rPr>
        <w:rFonts w:ascii="Wingdings" w:hAnsi="Wingdings" w:hint="default"/>
      </w:rPr>
    </w:lvl>
  </w:abstractNum>
  <w:abstractNum w:abstractNumId="3" w15:restartNumberingAfterBreak="0">
    <w:nsid w:val="5426783A"/>
    <w:multiLevelType w:val="hybridMultilevel"/>
    <w:tmpl w:val="A9408B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B6F46B2"/>
    <w:multiLevelType w:val="hybridMultilevel"/>
    <w:tmpl w:val="A62C65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EF26193"/>
    <w:multiLevelType w:val="hybridMultilevel"/>
    <w:tmpl w:val="6E0886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1"/>
  </w:num>
  <w:num w:numId="3">
    <w:abstractNumId w:val="5"/>
  </w:num>
  <w:num w:numId="4">
    <w:abstractNumId w:val="3"/>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5CF6"/>
    <w:rsid w:val="000057C5"/>
    <w:rsid w:val="00006A73"/>
    <w:rsid w:val="00013D34"/>
    <w:rsid w:val="00025757"/>
    <w:rsid w:val="00030262"/>
    <w:rsid w:val="000317E8"/>
    <w:rsid w:val="000359B7"/>
    <w:rsid w:val="00037378"/>
    <w:rsid w:val="00044E5E"/>
    <w:rsid w:val="000511AC"/>
    <w:rsid w:val="00056039"/>
    <w:rsid w:val="0008142B"/>
    <w:rsid w:val="00083C18"/>
    <w:rsid w:val="00093CEF"/>
    <w:rsid w:val="0009551D"/>
    <w:rsid w:val="000F2501"/>
    <w:rsid w:val="000F71A9"/>
    <w:rsid w:val="0011339D"/>
    <w:rsid w:val="00116AFD"/>
    <w:rsid w:val="0013339B"/>
    <w:rsid w:val="00135661"/>
    <w:rsid w:val="00147D59"/>
    <w:rsid w:val="001646A6"/>
    <w:rsid w:val="001679D2"/>
    <w:rsid w:val="00171193"/>
    <w:rsid w:val="001756DE"/>
    <w:rsid w:val="001837C6"/>
    <w:rsid w:val="00184177"/>
    <w:rsid w:val="0019263D"/>
    <w:rsid w:val="001A014B"/>
    <w:rsid w:val="001A33A8"/>
    <w:rsid w:val="001B65B8"/>
    <w:rsid w:val="001D1609"/>
    <w:rsid w:val="001D657D"/>
    <w:rsid w:val="001E25AA"/>
    <w:rsid w:val="001F3365"/>
    <w:rsid w:val="00220321"/>
    <w:rsid w:val="00221BD0"/>
    <w:rsid w:val="00227BA4"/>
    <w:rsid w:val="00232B60"/>
    <w:rsid w:val="002337C9"/>
    <w:rsid w:val="002357A5"/>
    <w:rsid w:val="0025392B"/>
    <w:rsid w:val="00262542"/>
    <w:rsid w:val="00265773"/>
    <w:rsid w:val="00276779"/>
    <w:rsid w:val="00294E3A"/>
    <w:rsid w:val="002A3F3B"/>
    <w:rsid w:val="002F0CCD"/>
    <w:rsid w:val="002F7824"/>
    <w:rsid w:val="00312C90"/>
    <w:rsid w:val="00325D4E"/>
    <w:rsid w:val="00340B38"/>
    <w:rsid w:val="00345535"/>
    <w:rsid w:val="00347A61"/>
    <w:rsid w:val="00353AC3"/>
    <w:rsid w:val="00353CAB"/>
    <w:rsid w:val="0036014C"/>
    <w:rsid w:val="00364C1D"/>
    <w:rsid w:val="003915BA"/>
    <w:rsid w:val="00392C5E"/>
    <w:rsid w:val="00397071"/>
    <w:rsid w:val="003A216B"/>
    <w:rsid w:val="003A7F83"/>
    <w:rsid w:val="003E10A6"/>
    <w:rsid w:val="003E2C75"/>
    <w:rsid w:val="0040644B"/>
    <w:rsid w:val="0041264F"/>
    <w:rsid w:val="00417746"/>
    <w:rsid w:val="004324BD"/>
    <w:rsid w:val="0043451F"/>
    <w:rsid w:val="004400B2"/>
    <w:rsid w:val="00440C13"/>
    <w:rsid w:val="0045169B"/>
    <w:rsid w:val="00457E2E"/>
    <w:rsid w:val="0046214D"/>
    <w:rsid w:val="004639D4"/>
    <w:rsid w:val="00465990"/>
    <w:rsid w:val="00471D01"/>
    <w:rsid w:val="00491331"/>
    <w:rsid w:val="004A1BBD"/>
    <w:rsid w:val="004B23F9"/>
    <w:rsid w:val="004B392E"/>
    <w:rsid w:val="004B3E9F"/>
    <w:rsid w:val="004B69E3"/>
    <w:rsid w:val="004B6DDD"/>
    <w:rsid w:val="004C5800"/>
    <w:rsid w:val="004D6103"/>
    <w:rsid w:val="004D79BC"/>
    <w:rsid w:val="004F0625"/>
    <w:rsid w:val="004F22DC"/>
    <w:rsid w:val="004F77DC"/>
    <w:rsid w:val="005030D9"/>
    <w:rsid w:val="0050348F"/>
    <w:rsid w:val="00505620"/>
    <w:rsid w:val="00510625"/>
    <w:rsid w:val="00513B05"/>
    <w:rsid w:val="005375F7"/>
    <w:rsid w:val="00542DAE"/>
    <w:rsid w:val="00550A6F"/>
    <w:rsid w:val="00574931"/>
    <w:rsid w:val="0057502D"/>
    <w:rsid w:val="005803B7"/>
    <w:rsid w:val="00586EA3"/>
    <w:rsid w:val="005913BC"/>
    <w:rsid w:val="005961BB"/>
    <w:rsid w:val="00596C74"/>
    <w:rsid w:val="005B150C"/>
    <w:rsid w:val="005C50B8"/>
    <w:rsid w:val="005D2BE9"/>
    <w:rsid w:val="005E19AF"/>
    <w:rsid w:val="005E77DF"/>
    <w:rsid w:val="005F5B3B"/>
    <w:rsid w:val="0060111A"/>
    <w:rsid w:val="0060372C"/>
    <w:rsid w:val="00610AF6"/>
    <w:rsid w:val="00622A57"/>
    <w:rsid w:val="0062783B"/>
    <w:rsid w:val="00632BE7"/>
    <w:rsid w:val="00647F9B"/>
    <w:rsid w:val="0065338E"/>
    <w:rsid w:val="0065671E"/>
    <w:rsid w:val="00657A63"/>
    <w:rsid w:val="00674EFB"/>
    <w:rsid w:val="006816B7"/>
    <w:rsid w:val="006833BA"/>
    <w:rsid w:val="00686445"/>
    <w:rsid w:val="006B1497"/>
    <w:rsid w:val="006B58E4"/>
    <w:rsid w:val="006B6F96"/>
    <w:rsid w:val="006C1B0F"/>
    <w:rsid w:val="006C31B6"/>
    <w:rsid w:val="006C5976"/>
    <w:rsid w:val="006C5BA8"/>
    <w:rsid w:val="006D7B61"/>
    <w:rsid w:val="006E681D"/>
    <w:rsid w:val="00714BB8"/>
    <w:rsid w:val="00726AE3"/>
    <w:rsid w:val="00734AF2"/>
    <w:rsid w:val="00735E5C"/>
    <w:rsid w:val="00740C7C"/>
    <w:rsid w:val="0075426F"/>
    <w:rsid w:val="0076266A"/>
    <w:rsid w:val="007738BD"/>
    <w:rsid w:val="00780AC3"/>
    <w:rsid w:val="00780EBE"/>
    <w:rsid w:val="00786540"/>
    <w:rsid w:val="00786965"/>
    <w:rsid w:val="00786986"/>
    <w:rsid w:val="00787C7D"/>
    <w:rsid w:val="007A057B"/>
    <w:rsid w:val="007A3EC8"/>
    <w:rsid w:val="007A6CE0"/>
    <w:rsid w:val="007B3428"/>
    <w:rsid w:val="007C2AC7"/>
    <w:rsid w:val="007C5CF6"/>
    <w:rsid w:val="007D1CEE"/>
    <w:rsid w:val="007F1A65"/>
    <w:rsid w:val="008007B2"/>
    <w:rsid w:val="00801B0A"/>
    <w:rsid w:val="00815F41"/>
    <w:rsid w:val="00822C79"/>
    <w:rsid w:val="008239C9"/>
    <w:rsid w:val="00825AE3"/>
    <w:rsid w:val="0082799C"/>
    <w:rsid w:val="00827CEF"/>
    <w:rsid w:val="00837E1F"/>
    <w:rsid w:val="00842273"/>
    <w:rsid w:val="00861799"/>
    <w:rsid w:val="00863D33"/>
    <w:rsid w:val="008941A6"/>
    <w:rsid w:val="008A171B"/>
    <w:rsid w:val="008A4543"/>
    <w:rsid w:val="008B71B2"/>
    <w:rsid w:val="008D00A7"/>
    <w:rsid w:val="008D4DDF"/>
    <w:rsid w:val="008D65B4"/>
    <w:rsid w:val="008F17C8"/>
    <w:rsid w:val="00904BDE"/>
    <w:rsid w:val="00907CDD"/>
    <w:rsid w:val="009237D5"/>
    <w:rsid w:val="009371C7"/>
    <w:rsid w:val="009451B3"/>
    <w:rsid w:val="00947B1D"/>
    <w:rsid w:val="00954206"/>
    <w:rsid w:val="00957DEE"/>
    <w:rsid w:val="0098577E"/>
    <w:rsid w:val="009A3EF0"/>
    <w:rsid w:val="009B4575"/>
    <w:rsid w:val="009C654B"/>
    <w:rsid w:val="009C6D46"/>
    <w:rsid w:val="009D0E6E"/>
    <w:rsid w:val="009E0B26"/>
    <w:rsid w:val="009F6ACB"/>
    <w:rsid w:val="00A005BB"/>
    <w:rsid w:val="00A04F6D"/>
    <w:rsid w:val="00A05405"/>
    <w:rsid w:val="00A05A01"/>
    <w:rsid w:val="00A109F5"/>
    <w:rsid w:val="00A2074F"/>
    <w:rsid w:val="00A2271F"/>
    <w:rsid w:val="00A258DD"/>
    <w:rsid w:val="00A36309"/>
    <w:rsid w:val="00A37DB6"/>
    <w:rsid w:val="00A42742"/>
    <w:rsid w:val="00A50C66"/>
    <w:rsid w:val="00A55ED1"/>
    <w:rsid w:val="00A6161D"/>
    <w:rsid w:val="00A61F82"/>
    <w:rsid w:val="00A752B5"/>
    <w:rsid w:val="00A75DA3"/>
    <w:rsid w:val="00A80387"/>
    <w:rsid w:val="00A90581"/>
    <w:rsid w:val="00A947E6"/>
    <w:rsid w:val="00A97577"/>
    <w:rsid w:val="00AA03F1"/>
    <w:rsid w:val="00AA0597"/>
    <w:rsid w:val="00AA2459"/>
    <w:rsid w:val="00AC301D"/>
    <w:rsid w:val="00AD28B5"/>
    <w:rsid w:val="00AD64AF"/>
    <w:rsid w:val="00AE3119"/>
    <w:rsid w:val="00AF59E7"/>
    <w:rsid w:val="00B01587"/>
    <w:rsid w:val="00B1648D"/>
    <w:rsid w:val="00B27F9E"/>
    <w:rsid w:val="00B35EDC"/>
    <w:rsid w:val="00B36E60"/>
    <w:rsid w:val="00B54827"/>
    <w:rsid w:val="00B753C2"/>
    <w:rsid w:val="00B808E9"/>
    <w:rsid w:val="00B86239"/>
    <w:rsid w:val="00BC49AD"/>
    <w:rsid w:val="00BD36FD"/>
    <w:rsid w:val="00BE2029"/>
    <w:rsid w:val="00BE2E13"/>
    <w:rsid w:val="00BE685D"/>
    <w:rsid w:val="00BF1514"/>
    <w:rsid w:val="00C01C1A"/>
    <w:rsid w:val="00C10853"/>
    <w:rsid w:val="00C22B7C"/>
    <w:rsid w:val="00C22BEC"/>
    <w:rsid w:val="00C24C44"/>
    <w:rsid w:val="00C33168"/>
    <w:rsid w:val="00C33F3C"/>
    <w:rsid w:val="00C34EA0"/>
    <w:rsid w:val="00C41AC6"/>
    <w:rsid w:val="00C44813"/>
    <w:rsid w:val="00C602DF"/>
    <w:rsid w:val="00C65FE6"/>
    <w:rsid w:val="00C67C3A"/>
    <w:rsid w:val="00C70DC5"/>
    <w:rsid w:val="00C7393C"/>
    <w:rsid w:val="00C75D3B"/>
    <w:rsid w:val="00C8095E"/>
    <w:rsid w:val="00C84D26"/>
    <w:rsid w:val="00C93320"/>
    <w:rsid w:val="00C9531A"/>
    <w:rsid w:val="00C96964"/>
    <w:rsid w:val="00CA5558"/>
    <w:rsid w:val="00CB21BF"/>
    <w:rsid w:val="00CC392C"/>
    <w:rsid w:val="00CD1D05"/>
    <w:rsid w:val="00CE51DE"/>
    <w:rsid w:val="00CF527B"/>
    <w:rsid w:val="00D042A9"/>
    <w:rsid w:val="00D27088"/>
    <w:rsid w:val="00D339B3"/>
    <w:rsid w:val="00D50D6D"/>
    <w:rsid w:val="00D519E9"/>
    <w:rsid w:val="00D53ED7"/>
    <w:rsid w:val="00D7792B"/>
    <w:rsid w:val="00D82DA0"/>
    <w:rsid w:val="00D8488F"/>
    <w:rsid w:val="00D84A19"/>
    <w:rsid w:val="00D90E97"/>
    <w:rsid w:val="00D93792"/>
    <w:rsid w:val="00D93DF2"/>
    <w:rsid w:val="00DC1895"/>
    <w:rsid w:val="00DC30FD"/>
    <w:rsid w:val="00DC4562"/>
    <w:rsid w:val="00DC7A92"/>
    <w:rsid w:val="00DD09EE"/>
    <w:rsid w:val="00DE493B"/>
    <w:rsid w:val="00DF55C4"/>
    <w:rsid w:val="00E05879"/>
    <w:rsid w:val="00E16019"/>
    <w:rsid w:val="00E22234"/>
    <w:rsid w:val="00E27C53"/>
    <w:rsid w:val="00E42471"/>
    <w:rsid w:val="00E506E6"/>
    <w:rsid w:val="00E60EB0"/>
    <w:rsid w:val="00E753B2"/>
    <w:rsid w:val="00E96467"/>
    <w:rsid w:val="00E96812"/>
    <w:rsid w:val="00EB68C5"/>
    <w:rsid w:val="00EC1AC4"/>
    <w:rsid w:val="00EC3F28"/>
    <w:rsid w:val="00ED597E"/>
    <w:rsid w:val="00ED5C36"/>
    <w:rsid w:val="00EE053C"/>
    <w:rsid w:val="00EE4A66"/>
    <w:rsid w:val="00EF3940"/>
    <w:rsid w:val="00F03122"/>
    <w:rsid w:val="00F10CAD"/>
    <w:rsid w:val="00F15EEA"/>
    <w:rsid w:val="00F16D61"/>
    <w:rsid w:val="00F21D69"/>
    <w:rsid w:val="00F26093"/>
    <w:rsid w:val="00F312B0"/>
    <w:rsid w:val="00F31AE9"/>
    <w:rsid w:val="00F56E1B"/>
    <w:rsid w:val="00F63E6F"/>
    <w:rsid w:val="00F7029B"/>
    <w:rsid w:val="00F848A6"/>
    <w:rsid w:val="00F93943"/>
    <w:rsid w:val="00FD185F"/>
    <w:rsid w:val="00FE25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0E911C8-1998-4A81-B634-BA24ABC196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86445"/>
    <w:pPr>
      <w:spacing w:after="160" w:line="259" w:lineRule="auto"/>
    </w:pPr>
  </w:style>
  <w:style w:type="paragraph" w:styleId="Heading1">
    <w:name w:val="heading 1"/>
    <w:basedOn w:val="Normal"/>
    <w:next w:val="Normal"/>
    <w:link w:val="Heading1Char"/>
    <w:uiPriority w:val="9"/>
    <w:qFormat/>
    <w:rsid w:val="004B3E9F"/>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EE4A66"/>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EE4A66"/>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LightShading-Accent4">
    <w:name w:val="Light Shading Accent 4"/>
    <w:basedOn w:val="TableNormal"/>
    <w:uiPriority w:val="60"/>
    <w:rsid w:val="007C5CF6"/>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Grid-Accent1">
    <w:name w:val="Light Grid Accent 1"/>
    <w:basedOn w:val="TableNormal"/>
    <w:uiPriority w:val="62"/>
    <w:rsid w:val="007C5CF6"/>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paragraph" w:styleId="FootnoteText">
    <w:name w:val="footnote text"/>
    <w:basedOn w:val="Normal"/>
    <w:link w:val="FootnoteTextChar"/>
    <w:uiPriority w:val="99"/>
    <w:semiHidden/>
    <w:unhideWhenUsed/>
    <w:rsid w:val="0068644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86445"/>
    <w:rPr>
      <w:sz w:val="20"/>
      <w:szCs w:val="20"/>
    </w:rPr>
  </w:style>
  <w:style w:type="character" w:styleId="FootnoteReference">
    <w:name w:val="footnote reference"/>
    <w:basedOn w:val="DefaultParagraphFont"/>
    <w:uiPriority w:val="99"/>
    <w:semiHidden/>
    <w:unhideWhenUsed/>
    <w:rsid w:val="00686445"/>
    <w:rPr>
      <w:vertAlign w:val="superscript"/>
    </w:rPr>
  </w:style>
  <w:style w:type="paragraph" w:styleId="BalloonText">
    <w:name w:val="Balloon Text"/>
    <w:basedOn w:val="Normal"/>
    <w:link w:val="BalloonTextChar"/>
    <w:uiPriority w:val="99"/>
    <w:semiHidden/>
    <w:unhideWhenUsed/>
    <w:rsid w:val="0068644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86445"/>
    <w:rPr>
      <w:rFonts w:ascii="Tahoma" w:hAnsi="Tahoma" w:cs="Tahoma"/>
      <w:sz w:val="16"/>
      <w:szCs w:val="16"/>
    </w:rPr>
  </w:style>
  <w:style w:type="paragraph" w:styleId="NoSpacing">
    <w:name w:val="No Spacing"/>
    <w:uiPriority w:val="1"/>
    <w:qFormat/>
    <w:rsid w:val="006833BA"/>
    <w:pPr>
      <w:spacing w:after="0" w:line="240" w:lineRule="auto"/>
    </w:pPr>
  </w:style>
  <w:style w:type="character" w:styleId="PlaceholderText">
    <w:name w:val="Placeholder Text"/>
    <w:basedOn w:val="DefaultParagraphFont"/>
    <w:uiPriority w:val="99"/>
    <w:semiHidden/>
    <w:rsid w:val="00D90E97"/>
    <w:rPr>
      <w:color w:val="808080"/>
    </w:rPr>
  </w:style>
  <w:style w:type="table" w:styleId="TableGrid">
    <w:name w:val="Table Grid"/>
    <w:basedOn w:val="TableNormal"/>
    <w:uiPriority w:val="59"/>
    <w:rsid w:val="00CE51D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CE51DE"/>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Grid">
    <w:name w:val="Light Grid"/>
    <w:basedOn w:val="TableNormal"/>
    <w:uiPriority w:val="62"/>
    <w:rsid w:val="00CE51DE"/>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Heading1Char">
    <w:name w:val="Heading 1 Char"/>
    <w:basedOn w:val="DefaultParagraphFont"/>
    <w:link w:val="Heading1"/>
    <w:uiPriority w:val="9"/>
    <w:rsid w:val="004B3E9F"/>
    <w:rPr>
      <w:rFonts w:asciiTheme="majorHAnsi" w:eastAsiaTheme="majorEastAsia" w:hAnsiTheme="majorHAnsi" w:cstheme="majorBidi"/>
      <w:color w:val="365F91" w:themeColor="accent1" w:themeShade="BF"/>
      <w:sz w:val="32"/>
      <w:szCs w:val="32"/>
    </w:rPr>
  </w:style>
  <w:style w:type="paragraph" w:styleId="Bibliography">
    <w:name w:val="Bibliography"/>
    <w:basedOn w:val="Normal"/>
    <w:next w:val="Normal"/>
    <w:uiPriority w:val="37"/>
    <w:unhideWhenUsed/>
    <w:rsid w:val="004B3E9F"/>
  </w:style>
  <w:style w:type="paragraph" w:styleId="Header">
    <w:name w:val="header"/>
    <w:basedOn w:val="Normal"/>
    <w:link w:val="HeaderChar"/>
    <w:uiPriority w:val="99"/>
    <w:unhideWhenUsed/>
    <w:rsid w:val="008F17C8"/>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17C8"/>
  </w:style>
  <w:style w:type="paragraph" w:styleId="Footer">
    <w:name w:val="footer"/>
    <w:basedOn w:val="Normal"/>
    <w:link w:val="FooterChar"/>
    <w:uiPriority w:val="99"/>
    <w:unhideWhenUsed/>
    <w:rsid w:val="008F17C8"/>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17C8"/>
  </w:style>
  <w:style w:type="paragraph" w:styleId="TOCHeading">
    <w:name w:val="TOC Heading"/>
    <w:basedOn w:val="Heading1"/>
    <w:next w:val="Normal"/>
    <w:uiPriority w:val="39"/>
    <w:unhideWhenUsed/>
    <w:qFormat/>
    <w:rsid w:val="00A005BB"/>
    <w:pPr>
      <w:spacing w:before="480" w:line="276" w:lineRule="auto"/>
      <w:outlineLvl w:val="9"/>
    </w:pPr>
    <w:rPr>
      <w:b/>
      <w:bCs/>
      <w:sz w:val="28"/>
      <w:szCs w:val="28"/>
      <w:lang w:eastAsia="ja-JP"/>
    </w:rPr>
  </w:style>
  <w:style w:type="paragraph" w:styleId="TOC1">
    <w:name w:val="toc 1"/>
    <w:basedOn w:val="Normal"/>
    <w:next w:val="Normal"/>
    <w:autoRedefine/>
    <w:uiPriority w:val="39"/>
    <w:unhideWhenUsed/>
    <w:rsid w:val="00A005BB"/>
    <w:pPr>
      <w:spacing w:after="100"/>
    </w:pPr>
  </w:style>
  <w:style w:type="character" w:styleId="Hyperlink">
    <w:name w:val="Hyperlink"/>
    <w:basedOn w:val="DefaultParagraphFont"/>
    <w:uiPriority w:val="99"/>
    <w:unhideWhenUsed/>
    <w:rsid w:val="00A005BB"/>
    <w:rPr>
      <w:color w:val="0000FF" w:themeColor="hyperlink"/>
      <w:u w:val="single"/>
    </w:rPr>
  </w:style>
  <w:style w:type="character" w:customStyle="1" w:styleId="Heading2Char">
    <w:name w:val="Heading 2 Char"/>
    <w:basedOn w:val="DefaultParagraphFont"/>
    <w:link w:val="Heading2"/>
    <w:uiPriority w:val="9"/>
    <w:rsid w:val="00EE4A66"/>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EE4A66"/>
    <w:rPr>
      <w:rFonts w:asciiTheme="majorHAnsi" w:eastAsiaTheme="majorEastAsia" w:hAnsiTheme="majorHAnsi" w:cstheme="majorBidi"/>
      <w:b/>
      <w:bCs/>
      <w:color w:val="4F81BD" w:themeColor="accent1"/>
    </w:rPr>
  </w:style>
  <w:style w:type="paragraph" w:styleId="TOC2">
    <w:name w:val="toc 2"/>
    <w:basedOn w:val="Normal"/>
    <w:next w:val="Normal"/>
    <w:autoRedefine/>
    <w:uiPriority w:val="39"/>
    <w:unhideWhenUsed/>
    <w:rsid w:val="00EE4A66"/>
    <w:pPr>
      <w:spacing w:after="100"/>
      <w:ind w:left="220"/>
    </w:pPr>
  </w:style>
  <w:style w:type="paragraph" w:styleId="TOC3">
    <w:name w:val="toc 3"/>
    <w:basedOn w:val="Normal"/>
    <w:next w:val="Normal"/>
    <w:autoRedefine/>
    <w:uiPriority w:val="39"/>
    <w:unhideWhenUsed/>
    <w:rsid w:val="00EE4A66"/>
    <w:pPr>
      <w:spacing w:after="100"/>
      <w:ind w:left="440"/>
    </w:pPr>
  </w:style>
  <w:style w:type="paragraph" w:styleId="ListParagraph">
    <w:name w:val="List Paragraph"/>
    <w:basedOn w:val="Normal"/>
    <w:uiPriority w:val="34"/>
    <w:qFormat/>
    <w:rsid w:val="00184177"/>
    <w:pPr>
      <w:ind w:left="720"/>
      <w:contextualSpacing/>
    </w:pPr>
  </w:style>
  <w:style w:type="table" w:styleId="MediumShading1-Accent1">
    <w:name w:val="Medium Shading 1 Accent 1"/>
    <w:basedOn w:val="TableNormal"/>
    <w:uiPriority w:val="63"/>
    <w:rsid w:val="009F6ACB"/>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LightShading-Accent1">
    <w:name w:val="Light Shading Accent 1"/>
    <w:basedOn w:val="TableNormal"/>
    <w:uiPriority w:val="60"/>
    <w:rsid w:val="00F56E1B"/>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MediumGrid2-Accent5">
    <w:name w:val="Medium Grid 2 Accent 5"/>
    <w:basedOn w:val="TableNormal"/>
    <w:uiPriority w:val="68"/>
    <w:rsid w:val="001A014B"/>
    <w:pPr>
      <w:spacing w:after="0" w:line="240" w:lineRule="auto"/>
    </w:pPr>
    <w:rPr>
      <w:rFonts w:asciiTheme="majorHAnsi" w:eastAsiaTheme="majorEastAsia" w:hAnsiTheme="majorHAnsi" w:cstheme="majorBidi"/>
      <w:color w:val="000000" w:themeColor="text1"/>
      <w:lang w:val="nl-NL"/>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1A014B"/>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33276853">
      <w:bodyDiv w:val="1"/>
      <w:marLeft w:val="0"/>
      <w:marRight w:val="0"/>
      <w:marTop w:val="0"/>
      <w:marBottom w:val="0"/>
      <w:divBdr>
        <w:top w:val="none" w:sz="0" w:space="0" w:color="auto"/>
        <w:left w:val="none" w:sz="0" w:space="0" w:color="auto"/>
        <w:bottom w:val="none" w:sz="0" w:space="0" w:color="auto"/>
        <w:right w:val="none" w:sz="0" w:space="0" w:color="auto"/>
      </w:divBdr>
    </w:div>
    <w:div w:id="701396842">
      <w:bodyDiv w:val="1"/>
      <w:marLeft w:val="0"/>
      <w:marRight w:val="0"/>
      <w:marTop w:val="0"/>
      <w:marBottom w:val="0"/>
      <w:divBdr>
        <w:top w:val="none" w:sz="0" w:space="0" w:color="auto"/>
        <w:left w:val="none" w:sz="0" w:space="0" w:color="auto"/>
        <w:bottom w:val="none" w:sz="0" w:space="0" w:color="auto"/>
        <w:right w:val="none" w:sz="0" w:space="0" w:color="auto"/>
      </w:divBdr>
    </w:div>
    <w:div w:id="16230007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s>
</file>

<file path=word/charts/_rels/chart1.xml.rels><?xml version="1.0" encoding="UTF-8" standalone="yes"?>
<Relationships xmlns="http://schemas.openxmlformats.org/package/2006/relationships"><Relationship Id="rId1" Type="http://schemas.openxmlformats.org/officeDocument/2006/relationships/oleObject" Target="file:///C:\Users\BW01087\Downloads\Data_Acquirers%2013-6.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lineChart>
        <c:grouping val="standard"/>
        <c:varyColors val="0"/>
        <c:ser>
          <c:idx val="1"/>
          <c:order val="0"/>
          <c:tx>
            <c:strRef>
              <c:f>ESoutput1!$IT$662</c:f>
              <c:strCache>
                <c:ptCount val="1"/>
                <c:pt idx="0">
                  <c:v>CAR Acquirers</c:v>
                </c:pt>
              </c:strCache>
            </c:strRef>
          </c:tx>
          <c:spPr>
            <a:ln>
              <a:solidFill>
                <a:schemeClr val="tx1"/>
              </a:solidFill>
            </a:ln>
          </c:spPr>
          <c:marker>
            <c:spPr>
              <a:solidFill>
                <a:schemeClr val="tx1"/>
              </a:solidFill>
              <a:ln>
                <a:solidFill>
                  <a:schemeClr val="tx1"/>
                </a:solidFill>
              </a:ln>
            </c:spPr>
          </c:marker>
          <c:cat>
            <c:numRef>
              <c:f>ESoutput1!$IS$663:$IS$683</c:f>
              <c:numCache>
                <c:formatCode>General</c:formatCode>
                <c:ptCount val="21"/>
                <c:pt idx="0">
                  <c:v>-10</c:v>
                </c:pt>
                <c:pt idx="1">
                  <c:v>-9</c:v>
                </c:pt>
                <c:pt idx="2">
                  <c:v>-8</c:v>
                </c:pt>
                <c:pt idx="3">
                  <c:v>-7</c:v>
                </c:pt>
                <c:pt idx="4">
                  <c:v>-6</c:v>
                </c:pt>
                <c:pt idx="5">
                  <c:v>-5</c:v>
                </c:pt>
                <c:pt idx="6">
                  <c:v>-4</c:v>
                </c:pt>
                <c:pt idx="7">
                  <c:v>-3</c:v>
                </c:pt>
                <c:pt idx="8">
                  <c:v>-2</c:v>
                </c:pt>
                <c:pt idx="9">
                  <c:v>-1</c:v>
                </c:pt>
                <c:pt idx="10">
                  <c:v>0</c:v>
                </c:pt>
                <c:pt idx="11">
                  <c:v>1</c:v>
                </c:pt>
                <c:pt idx="12">
                  <c:v>2</c:v>
                </c:pt>
                <c:pt idx="13">
                  <c:v>3</c:v>
                </c:pt>
                <c:pt idx="14">
                  <c:v>4</c:v>
                </c:pt>
                <c:pt idx="15">
                  <c:v>5</c:v>
                </c:pt>
                <c:pt idx="16">
                  <c:v>6</c:v>
                </c:pt>
                <c:pt idx="17">
                  <c:v>7</c:v>
                </c:pt>
                <c:pt idx="18">
                  <c:v>8</c:v>
                </c:pt>
                <c:pt idx="19">
                  <c:v>9</c:v>
                </c:pt>
                <c:pt idx="20">
                  <c:v>10</c:v>
                </c:pt>
              </c:numCache>
            </c:numRef>
          </c:cat>
          <c:val>
            <c:numRef>
              <c:f>ESoutput1!$IT$663:$IT$683</c:f>
              <c:numCache>
                <c:formatCode>0.000</c:formatCode>
                <c:ptCount val="21"/>
                <c:pt idx="0">
                  <c:v>6.9365925677371449E-4</c:v>
                </c:pt>
                <c:pt idx="1">
                  <c:v>7.0081621956178948E-4</c:v>
                </c:pt>
                <c:pt idx="2">
                  <c:v>4.9975134730428407E-4</c:v>
                </c:pt>
                <c:pt idx="3">
                  <c:v>-5.6063955804194624E-4</c:v>
                </c:pt>
                <c:pt idx="4">
                  <c:v>4.641856755208221E-4</c:v>
                </c:pt>
                <c:pt idx="5">
                  <c:v>3.6949822490592841E-4</c:v>
                </c:pt>
                <c:pt idx="6">
                  <c:v>-7.9701328390885168E-4</c:v>
                </c:pt>
                <c:pt idx="7">
                  <c:v>-1.6539242144647207E-3</c:v>
                </c:pt>
                <c:pt idx="8">
                  <c:v>-1.4071291185392568E-3</c:v>
                </c:pt>
                <c:pt idx="9">
                  <c:v>-1.3465180867852874E-3</c:v>
                </c:pt>
                <c:pt idx="10">
                  <c:v>-1.8066009747508729E-2</c:v>
                </c:pt>
                <c:pt idx="11">
                  <c:v>-2.0134427315768994E-2</c:v>
                </c:pt>
                <c:pt idx="12">
                  <c:v>-2.1607960153354373E-2</c:v>
                </c:pt>
                <c:pt idx="13">
                  <c:v>-1.923650111057567E-2</c:v>
                </c:pt>
                <c:pt idx="14">
                  <c:v>-2.0425624576366933E-2</c:v>
                </c:pt>
                <c:pt idx="15">
                  <c:v>-2.3992930826255834E-2</c:v>
                </c:pt>
                <c:pt idx="16">
                  <c:v>-2.4639303195677704E-2</c:v>
                </c:pt>
                <c:pt idx="17">
                  <c:v>-2.5861231966870516E-2</c:v>
                </c:pt>
                <c:pt idx="18">
                  <c:v>-2.8295834001910606E-2</c:v>
                </c:pt>
                <c:pt idx="19">
                  <c:v>-2.9455796812115222E-2</c:v>
                </c:pt>
                <c:pt idx="20">
                  <c:v>-3.0227524340864894E-2</c:v>
                </c:pt>
              </c:numCache>
            </c:numRef>
          </c:val>
          <c:smooth val="0"/>
        </c:ser>
        <c:ser>
          <c:idx val="2"/>
          <c:order val="1"/>
          <c:tx>
            <c:strRef>
              <c:f>ESoutput1!$IU$662</c:f>
              <c:strCache>
                <c:ptCount val="1"/>
                <c:pt idx="0">
                  <c:v>CAR Targets</c:v>
                </c:pt>
              </c:strCache>
            </c:strRef>
          </c:tx>
          <c:spPr>
            <a:ln>
              <a:solidFill>
                <a:schemeClr val="tx1"/>
              </a:solidFill>
            </a:ln>
          </c:spPr>
          <c:marker>
            <c:spPr>
              <a:solidFill>
                <a:schemeClr val="tx1"/>
              </a:solidFill>
              <a:ln>
                <a:solidFill>
                  <a:schemeClr val="tx1"/>
                </a:solidFill>
              </a:ln>
            </c:spPr>
          </c:marker>
          <c:cat>
            <c:numRef>
              <c:f>ESoutput1!$IS$663:$IS$683</c:f>
              <c:numCache>
                <c:formatCode>General</c:formatCode>
                <c:ptCount val="21"/>
                <c:pt idx="0">
                  <c:v>-10</c:v>
                </c:pt>
                <c:pt idx="1">
                  <c:v>-9</c:v>
                </c:pt>
                <c:pt idx="2">
                  <c:v>-8</c:v>
                </c:pt>
                <c:pt idx="3">
                  <c:v>-7</c:v>
                </c:pt>
                <c:pt idx="4">
                  <c:v>-6</c:v>
                </c:pt>
                <c:pt idx="5">
                  <c:v>-5</c:v>
                </c:pt>
                <c:pt idx="6">
                  <c:v>-4</c:v>
                </c:pt>
                <c:pt idx="7">
                  <c:v>-3</c:v>
                </c:pt>
                <c:pt idx="8">
                  <c:v>-2</c:v>
                </c:pt>
                <c:pt idx="9">
                  <c:v>-1</c:v>
                </c:pt>
                <c:pt idx="10">
                  <c:v>0</c:v>
                </c:pt>
                <c:pt idx="11">
                  <c:v>1</c:v>
                </c:pt>
                <c:pt idx="12">
                  <c:v>2</c:v>
                </c:pt>
                <c:pt idx="13">
                  <c:v>3</c:v>
                </c:pt>
                <c:pt idx="14">
                  <c:v>4</c:v>
                </c:pt>
                <c:pt idx="15">
                  <c:v>5</c:v>
                </c:pt>
                <c:pt idx="16">
                  <c:v>6</c:v>
                </c:pt>
                <c:pt idx="17">
                  <c:v>7</c:v>
                </c:pt>
                <c:pt idx="18">
                  <c:v>8</c:v>
                </c:pt>
                <c:pt idx="19">
                  <c:v>9</c:v>
                </c:pt>
                <c:pt idx="20">
                  <c:v>10</c:v>
                </c:pt>
              </c:numCache>
            </c:numRef>
          </c:cat>
          <c:val>
            <c:numRef>
              <c:f>ESoutput1!$IU$663:$IU$683</c:f>
              <c:numCache>
                <c:formatCode>0.000</c:formatCode>
                <c:ptCount val="21"/>
                <c:pt idx="0">
                  <c:v>-1.8583220874041012E-3</c:v>
                </c:pt>
                <c:pt idx="1">
                  <c:v>-2.1145978337304919E-3</c:v>
                </c:pt>
                <c:pt idx="2">
                  <c:v>-5.1692167951668108E-3</c:v>
                </c:pt>
                <c:pt idx="3">
                  <c:v>9.8147484452380633E-4</c:v>
                </c:pt>
                <c:pt idx="4">
                  <c:v>1.5195458501675229E-3</c:v>
                </c:pt>
                <c:pt idx="5">
                  <c:v>3.400059919195726E-3</c:v>
                </c:pt>
                <c:pt idx="6">
                  <c:v>9.1199924150231655E-3</c:v>
                </c:pt>
                <c:pt idx="7">
                  <c:v>1.1476228691408331E-2</c:v>
                </c:pt>
                <c:pt idx="8">
                  <c:v>1.4374813076336264E-2</c:v>
                </c:pt>
                <c:pt idx="9">
                  <c:v>2.8721029976796354E-2</c:v>
                </c:pt>
                <c:pt idx="10">
                  <c:v>0.14717870816248313</c:v>
                </c:pt>
                <c:pt idx="11">
                  <c:v>0.17932386048627016</c:v>
                </c:pt>
                <c:pt idx="12">
                  <c:v>0.17970276179701833</c:v>
                </c:pt>
                <c:pt idx="13">
                  <c:v>0.17975150357327252</c:v>
                </c:pt>
                <c:pt idx="14">
                  <c:v>0.17882863541244887</c:v>
                </c:pt>
                <c:pt idx="15">
                  <c:v>0.17713939926180136</c:v>
                </c:pt>
                <c:pt idx="16">
                  <c:v>0.17653733413560527</c:v>
                </c:pt>
                <c:pt idx="17">
                  <c:v>0.1766209504305716</c:v>
                </c:pt>
                <c:pt idx="18">
                  <c:v>0.17340029515812991</c:v>
                </c:pt>
                <c:pt idx="19">
                  <c:v>0.17373910079157273</c:v>
                </c:pt>
                <c:pt idx="20">
                  <c:v>0.17251400285478719</c:v>
                </c:pt>
              </c:numCache>
            </c:numRef>
          </c:val>
          <c:smooth val="0"/>
        </c:ser>
        <c:dLbls>
          <c:showLegendKey val="0"/>
          <c:showVal val="0"/>
          <c:showCatName val="0"/>
          <c:showSerName val="0"/>
          <c:showPercent val="0"/>
          <c:showBubbleSize val="0"/>
        </c:dLbls>
        <c:marker val="1"/>
        <c:smooth val="0"/>
        <c:axId val="310037824"/>
        <c:axId val="310035864"/>
      </c:lineChart>
      <c:catAx>
        <c:axId val="310037824"/>
        <c:scaling>
          <c:orientation val="minMax"/>
        </c:scaling>
        <c:delete val="0"/>
        <c:axPos val="b"/>
        <c:majorGridlines>
          <c:spPr>
            <a:ln>
              <a:noFill/>
            </a:ln>
          </c:spPr>
        </c:majorGridlines>
        <c:minorGridlines>
          <c:spPr>
            <a:ln>
              <a:noFill/>
            </a:ln>
          </c:spPr>
        </c:minorGridlines>
        <c:title>
          <c:tx>
            <c:rich>
              <a:bodyPr/>
              <a:lstStyle/>
              <a:p>
                <a:pPr>
                  <a:defRPr/>
                </a:pPr>
                <a:r>
                  <a:rPr lang="en-US"/>
                  <a:t>Event Time (Announcement day = 0)</a:t>
                </a:r>
              </a:p>
            </c:rich>
          </c:tx>
          <c:overlay val="0"/>
        </c:title>
        <c:numFmt formatCode="General" sourceLinked="1"/>
        <c:majorTickMark val="out"/>
        <c:minorTickMark val="none"/>
        <c:tickLblPos val="low"/>
        <c:spPr>
          <a:ln>
            <a:solidFill>
              <a:schemeClr val="tx1"/>
            </a:solidFill>
          </a:ln>
        </c:spPr>
        <c:crossAx val="310035864"/>
        <c:crosses val="autoZero"/>
        <c:auto val="1"/>
        <c:lblAlgn val="ctr"/>
        <c:lblOffset val="100"/>
        <c:tickLblSkip val="2"/>
        <c:tickMarkSkip val="3"/>
        <c:noMultiLvlLbl val="0"/>
      </c:catAx>
      <c:valAx>
        <c:axId val="310035864"/>
        <c:scaling>
          <c:orientation val="minMax"/>
        </c:scaling>
        <c:delete val="0"/>
        <c:axPos val="l"/>
        <c:majorGridlines/>
        <c:title>
          <c:tx>
            <c:rich>
              <a:bodyPr rot="-5400000" vert="horz"/>
              <a:lstStyle/>
              <a:p>
                <a:pPr>
                  <a:defRPr/>
                </a:pPr>
                <a:r>
                  <a:rPr lang="en-US"/>
                  <a:t>CAR</a:t>
                </a:r>
              </a:p>
            </c:rich>
          </c:tx>
          <c:overlay val="0"/>
        </c:title>
        <c:numFmt formatCode="0.000" sourceLinked="1"/>
        <c:majorTickMark val="out"/>
        <c:minorTickMark val="none"/>
        <c:tickLblPos val="nextTo"/>
        <c:crossAx val="310037824"/>
        <c:crosses val="autoZero"/>
        <c:crossBetween val="between"/>
      </c:valAx>
    </c:plotArea>
    <c:legend>
      <c:legendPos val="r"/>
      <c:overlay val="0"/>
    </c:legend>
    <c:plotVisOnly val="1"/>
    <c:dispBlanksAs val="gap"/>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Sixth Edition">
  <b:Source>
    <b:Tag>Sch96</b:Tag>
    <b:SourceType>ArticleInAPeriodical</b:SourceType>
    <b:Guid>{AA771CEA-4D11-40EE-A234-B0C8F2CA49E2}</b:Guid>
    <b:Author>
      <b:Author>
        <b:NameList>
          <b:Person>
            <b:Last>Schwert</b:Last>
            <b:First>G.</b:First>
            <b:Middle>William</b:Middle>
          </b:Person>
        </b:NameList>
      </b:Author>
    </b:Author>
    <b:Title>Markup pricing in mergers and acquisitions</b:Title>
    <b:Year>1996</b:Year>
    <b:PeriodicalTitle>Journal of Financial Economics</b:PeriodicalTitle>
    <b:Pages>153-192</b:Pages>
    <b:RefOrder>24</b:RefOrder>
  </b:Source>
  <b:Source>
    <b:Tag>Mac97</b:Tag>
    <b:SourceType>JournalArticle</b:SourceType>
    <b:Guid>{C48B70BC-D917-4178-B0A5-3FBA52CB5DE7}</b:Guid>
    <b:Author>
      <b:Author>
        <b:NameList>
          <b:Person>
            <b:Last>Mackinlay</b:Last>
            <b:First>A</b:First>
          </b:Person>
        </b:NameList>
      </b:Author>
    </b:Author>
    <b:Title>Event Studies in Economics and Finance</b:Title>
    <b:Year>1997</b:Year>
    <b:JournalName>Journal of Economic Literature</b:JournalName>
    <b:Pages>13-39</b:Pages>
    <b:RefOrder>25</b:RefOrder>
  </b:Source>
  <b:Source>
    <b:Tag>Mye84</b:Tag>
    <b:SourceType>JournalArticle</b:SourceType>
    <b:Guid>{4C07D0B6-D18F-41D8-AC34-945A10197468}</b:Guid>
    <b:Author>
      <b:Author>
        <b:NameList>
          <b:Person>
            <b:Last>Myers</b:Last>
            <b:First>S.</b:First>
          </b:Person>
          <b:Person>
            <b:Last>Majluf</b:Last>
            <b:First>N.</b:First>
          </b:Person>
        </b:NameList>
      </b:Author>
    </b:Author>
    <b:Title>Corporate financing and investment decisions when firms have information that investors do not have</b:Title>
    <b:JournalName>Journal of Financial Economics</b:JournalName>
    <b:Year>1984</b:Year>
    <b:Pages>187-221</b:Pages>
    <b:RefOrder>28</b:RefOrder>
  </b:Source>
  <b:Source>
    <b:Tag>Tra87</b:Tag>
    <b:SourceType>JournalArticle</b:SourceType>
    <b:Guid>{976E373B-5454-4E4A-997C-D8BD3A9ED830}</b:Guid>
    <b:Author>
      <b:Author>
        <b:NameList>
          <b:Person>
            <b:Last>Travlos</b:Last>
            <b:First>N.</b:First>
          </b:Person>
        </b:NameList>
      </b:Author>
    </b:Author>
    <b:Title>Corporate Takeover Bids, Methods of Payment, and Bidding Firms' Stock Returns</b:Title>
    <b:JournalName>The journal of Finance</b:JournalName>
    <b:Year>1987</b:Year>
    <b:Pages>943-963</b:Pages>
    <b:RefOrder>26</b:RefOrder>
  </b:Source>
  <b:Source>
    <b:Tag>Cha98</b:Tag>
    <b:SourceType>JournalArticle</b:SourceType>
    <b:Guid>{6DED2BFA-DB71-477C-ADE4-B18F03CE5787}</b:Guid>
    <b:Author>
      <b:Author>
        <b:NameList>
          <b:Person>
            <b:Last>Chang</b:Last>
            <b:First>S</b:First>
          </b:Person>
        </b:NameList>
      </b:Author>
    </b:Author>
    <b:Title>Takeovers of Privately Held Targets, Methods of Payment, and Bidder Returns</b:Title>
    <b:JournalName>The Journal of Finance</b:JournalName>
    <b:Year>1998</b:Year>
    <b:Pages>773-784</b:Pages>
    <b:RefOrder>18</b:RefOrder>
  </b:Source>
  <b:Source>
    <b:Tag>Yen87</b:Tag>
    <b:SourceType>JournalArticle</b:SourceType>
    <b:Guid>{2A3BCFCB-7329-47C0-A476-A556D0CB8E1C}</b:Guid>
    <b:Author>
      <b:Author>
        <b:NameList>
          <b:Person>
            <b:Last>Huang</b:Last>
            <b:First>Y.</b:First>
          </b:Person>
          <b:Person>
            <b:Last>Walkling</b:Last>
            <b:First>Ralph.</b:First>
            <b:Middle>A.</b:Middle>
          </b:Person>
        </b:NameList>
      </b:Author>
    </b:Author>
    <b:Title>Target abnormal returns associated with acquisition announcements: Payment, acquisition form, and managerial resistance</b:Title>
    <b:JournalName>Journal of Financial Economics</b:JournalName>
    <b:Year>1987</b:Year>
    <b:Pages>329-349</b:Pages>
    <b:RefOrder>29</b:RefOrder>
  </b:Source>
  <b:Source>
    <b:Tag>Dod</b:Tag>
    <b:SourceType>JournalArticle</b:SourceType>
    <b:Guid>{EF1B4BF2-614A-4FF8-8230-31839C02B11C}</b:Guid>
    <b:Author>
      <b:Author>
        <b:NameList>
          <b:Person>
            <b:Last>Dodd</b:Last>
            <b:First>Peter</b:First>
          </b:Person>
          <b:Person>
            <b:Last>Ruback</b:Last>
            <b:First>Richard</b:First>
          </b:Person>
        </b:NameList>
      </b:Author>
    </b:Author>
    <b:Title>Tender offers and stockholder returns: An empirical analysis</b:Title>
    <b:JournalName>Journal of Financial Economics</b:JournalName>
    <b:Year>1977</b:Year>
    <b:Pages>351-373</b:Pages>
    <b:RefOrder>3</b:RefOrder>
  </b:Source>
  <b:Source>
    <b:Tag>Bru</b:Tag>
    <b:SourceType>ArticleInAPeriodical</b:SourceType>
    <b:Guid>{A542ECF8-28AE-487B-8E15-918FB23BAD74}</b:Guid>
    <b:Author>
      <b:Author>
        <b:NameList>
          <b:Person>
            <b:Last>Bruner</b:Last>
            <b:First>R.</b:First>
            <b:Middle>F.</b:Middle>
          </b:Person>
        </b:NameList>
      </b:Author>
    </b:Author>
    <b:Title>Does M&amp;A pay? A survey of evidence for the decision-maker</b:Title>
    <b:PeriodicalTitle>Journal of Applied Finance</b:PeriodicalTitle>
    <b:Pages>7 - 26</b:Pages>
    <b:Year>2002</b:Year>
    <b:RefOrder>13</b:RefOrder>
  </b:Source>
  <b:Source>
    <b:Tag>Dut14</b:Tag>
    <b:SourceType>ArticleInAPeriodical</b:SourceType>
    <b:Guid>{6D65C8CF-013C-49CE-8E52-6A55F9957407}</b:Guid>
    <b:Author>
      <b:Author>
        <b:NameList>
          <b:Person>
            <b:Last>Dutordoir</b:Last>
            <b:First>Marie</b:First>
          </b:Person>
        </b:NameList>
      </b:Author>
    </b:Author>
    <b:Title>Synergy disclosures in mergers and acquisitions</b:Title>
    <b:PeriodicalTitle>International Review of Financial Analysis</b:PeriodicalTitle>
    <b:Year>2014</b:Year>
    <b:Pages>88-100</b:Pages>
    <b:RefOrder>27</b:RefOrder>
  </b:Source>
  <b:Source>
    <b:Tag>Kre18</b:Tag>
    <b:SourceType>InternetSite</b:SourceType>
    <b:Guid>{50DAF8A2-10F8-4C7E-95B2-9EE325AD7D4E}</b:Guid>
    <b:Author>
      <b:Author>
        <b:NameList>
          <b:Person>
            <b:Last>Benny</b:Last>
            <b:First>John</b:First>
          </b:Person>
        </b:NameList>
      </b:Author>
    </b:Author>
    <b:Title>www.reuters.com</b:Title>
    <b:Year>2018</b:Year>
    <b:URL>https://www.reuters.com/article/us-andeavor-us-m-a-marathon-petroleum/marathon-to-become-top-u-s-refiner-with-23-billion-andeavor-buy-idUSKBN1I1043</b:URL>
    <b:RefOrder>4</b:RefOrder>
  </b:Source>
  <b:Source>
    <b:Tag>Hac08</b:Tag>
    <b:SourceType>JournalArticle</b:SourceType>
    <b:Guid>{8762B821-C99C-4A12-B918-6BCB27D24F8E}</b:Guid>
    <b:Author>
      <b:Author>
        <b:NameList>
          <b:Person>
            <b:Last>Hackbarth</b:Last>
            <b:First>Dick</b:First>
          </b:Person>
          <b:Person>
            <b:Last>Morellec</b:Last>
            <b:First>Erwan</b:First>
          </b:Person>
        </b:NameList>
      </b:Author>
    </b:Author>
    <b:Title>Stock Returns in Mergers and Acquisitions</b:Title>
    <b:JournalName>The Journal of Finance</b:JournalName>
    <b:Year>2008</b:Year>
    <b:Pages>1213-1252</b:Pages>
    <b:RefOrder>1</b:RefOrder>
  </b:Source>
  <b:Source>
    <b:Tag>Moe04</b:Tag>
    <b:SourceType>JournalArticle</b:SourceType>
    <b:Guid>{E69527E2-43EF-4B55-A97E-6D7ABB71DC8C}</b:Guid>
    <b:Author>
      <b:Author>
        <b:NameList>
          <b:Person>
            <b:Last>Moeller</b:Last>
            <b:First>S</b:First>
          </b:Person>
          <b:Person>
            <b:Last>Schlingemann</b:Last>
            <b:First>F</b:First>
          </b:Person>
          <b:Person>
            <b:Last>Stulz</b:Last>
            <b:First>R</b:First>
          </b:Person>
        </b:NameList>
      </b:Author>
    </b:Author>
    <b:Title>Firm Size and the Gains from Acquisitions</b:Title>
    <b:JournalName>Journal of Financial Economics</b:JournalName>
    <b:Year>2004</b:Year>
    <b:Pages>201-228</b:Pages>
    <b:RefOrder>19</b:RefOrder>
  </b:Source>
  <b:Source>
    <b:Tag>Gro18</b:Tag>
    <b:SourceType>DocumentFromInternetSite</b:SourceType>
    <b:Guid>{015E82F3-3CF3-44C9-9685-95B7CE51AC25}</b:Guid>
    <b:Author>
      <b:Author>
        <b:NameList>
          <b:Person>
            <b:Last>Grocer</b:Last>
            <b:First>Stephen</b:First>
          </b:Person>
        </b:NameList>
      </b:Author>
    </b:Author>
    <b:Title>https://www.nytimes.com/2018/07/03/business/dealbook/mergers-record-levels.html</b:Title>
    <b:Year>2018</b:Year>
    <b:Month>7</b:Month>
    <b:Day>4</b:Day>
    <b:InternetSiteTitle>www.nytimes.com</b:InternetSiteTitle>
    <b:RefOrder>2</b:RefOrder>
  </b:Source>
  <b:Source>
    <b:Tag>Jen83</b:Tag>
    <b:SourceType>JournalArticle</b:SourceType>
    <b:Guid>{E4B4A774-66E0-4450-9F69-4FDA64EBA1E6}</b:Guid>
    <b:Author>
      <b:Author>
        <b:NameList>
          <b:Person>
            <b:Last>Jensen</b:Last>
            <b:First>M.</b:First>
          </b:Person>
          <b:Person>
            <b:Last>Ruback</b:Last>
            <b:First>R.</b:First>
          </b:Person>
        </b:NameList>
      </b:Author>
    </b:Author>
    <b:Title>The Market For Corporate Control: The Scientific Evidence</b:Title>
    <b:Year>1983</b:Year>
    <b:JournalName>Journal of Financial Economics</b:JournalName>
    <b:Pages>5-50</b:Pages>
    <b:RefOrder>11</b:RefOrder>
  </b:Source>
  <b:Source>
    <b:Tag>Hal83</b:Tag>
    <b:SourceType>JournalArticle</b:SourceType>
    <b:Guid>{5FB0D5BE-0FDE-4784-8DA1-D07E112A9934}</b:Guid>
    <b:Author>
      <b:Author>
        <b:NameList>
          <b:Person>
            <b:Last>Halpern</b:Last>
            <b:First>P.</b:First>
          </b:Person>
        </b:NameList>
      </b:Author>
    </b:Author>
    <b:Title>Corporate Acquistions: A theory of special cases? A review of event studies applied to acquisitions</b:Title>
    <b:JournalName>The Journal of Finance</b:JournalName>
    <b:Year>1983</b:Year>
    <b:Pages>297-317</b:Pages>
    <b:RefOrder>5</b:RefOrder>
  </b:Source>
  <b:Source>
    <b:Tag>Jar89</b:Tag>
    <b:SourceType>JournalArticle</b:SourceType>
    <b:Guid>{8B75DAAF-139A-4F81-92F3-378FE6ABD22A}</b:Guid>
    <b:Author>
      <b:Author>
        <b:NameList>
          <b:Person>
            <b:Last>Jarrel</b:Last>
            <b:First>G.</b:First>
          </b:Person>
          <b:Person>
            <b:Last>Poulsen</b:Last>
            <b:First>A.</b:First>
          </b:Person>
        </b:NameList>
      </b:Author>
    </b:Author>
    <b:Title>The Returns to Acquiring Firms in Tender Offers: Evidence from Three Decades</b:Title>
    <b:JournalName>Financial Management</b:JournalName>
    <b:Year>1989</b:Year>
    <b:Pages>12-19</b:Pages>
    <b:RefOrder>12</b:RefOrder>
  </b:Source>
  <b:Source>
    <b:Tag>Mar11</b:Tag>
    <b:SourceType>JournalArticle</b:SourceType>
    <b:Guid>{E4EDAA45-FF6E-42DF-9E6F-6E7A7044D0F5}</b:Guid>
    <b:Author>
      <b:Author>
        <b:NameList>
          <b:Person>
            <b:Last>Martynova</b:Last>
            <b:First>M.</b:First>
          </b:Person>
          <b:Person>
            <b:Last>Renneboog</b:Last>
            <b:First>L.</b:First>
          </b:Person>
        </b:NameList>
      </b:Author>
    </b:Author>
    <b:Title>The performance of the eurpoean market for corporate control: evidence from the fifth takeover wave</b:Title>
    <b:JournalName>European Financial Management</b:JournalName>
    <b:Year>2011</b:Year>
    <b:Pages>208-259</b:Pages>
    <b:RefOrder>14</b:RefOrder>
  </b:Source>
  <b:Source>
    <b:Tag>Coy00</b:Tag>
    <b:SourceType>Book</b:SourceType>
    <b:Guid>{6E88AF09-FA0C-4154-A8D8-BB3BC5099476}</b:Guid>
    <b:Title>Corporate Finance: Mergers and Acquisitions</b:Title>
    <b:Year>2000</b:Year>
    <b:Publisher>Kent: Financial World Publishing</b:Publisher>
    <b:Author>
      <b:Author>
        <b:NameList>
          <b:Person>
            <b:Last>Coyle</b:Last>
            <b:First>B.</b:First>
          </b:Person>
        </b:NameList>
      </b:Author>
    </b:Author>
    <b:RefOrder>6</b:RefOrder>
  </b:Source>
  <b:Source>
    <b:Tag>Smi08</b:Tag>
    <b:SourceType>Book</b:SourceType>
    <b:Guid>{920859C5-0376-4C18-870E-D0A96FCE5C47}</b:Guid>
    <b:Author>
      <b:Author>
        <b:NameList>
          <b:Person>
            <b:Last>Smith</b:Last>
            <b:First>Clifford</b:First>
          </b:Person>
        </b:NameList>
      </b:Author>
    </b:Author>
    <b:Title>Handbook of Empirical Corporate Finance: Managing Corporate Risk</b:Title>
    <b:Year>2008</b:Year>
    <b:City>Amsterdam</b:City>
    <b:Publisher>Elsevier</b:Publisher>
    <b:RefOrder>7</b:RefOrder>
  </b:Source>
  <b:Source>
    <b:Tag>Jen86</b:Tag>
    <b:SourceType>JournalArticle</b:SourceType>
    <b:Guid>{017FD737-0CAF-43EA-A74E-F1E01DFA7AA1}</b:Guid>
    <b:Author>
      <b:Author>
        <b:NameList>
          <b:Person>
            <b:Last>Jensen</b:Last>
            <b:First>M.</b:First>
          </b:Person>
        </b:NameList>
      </b:Author>
    </b:Author>
    <b:Title>Agency Costs of Free Cash Flow, Corporate Finance, and Takeovers</b:Title>
    <b:JournalName>The American Economic Review</b:JournalName>
    <b:Year>1986</b:Year>
    <b:Pages>323-329</b:Pages>
    <b:RefOrder>8</b:RefOrder>
  </b:Source>
  <b:Source>
    <b:Tag>Rol86</b:Tag>
    <b:SourceType>JournalArticle</b:SourceType>
    <b:Guid>{EF9BBC00-E735-44B8-94AD-98B9A1C9CBA0}</b:Guid>
    <b:Author>
      <b:Author>
        <b:NameList>
          <b:Person>
            <b:Last>Roll</b:Last>
            <b:First>R</b:First>
          </b:Person>
        </b:NameList>
      </b:Author>
    </b:Author>
    <b:Title>The Hubris Hypothesis of Corporate Takeover</b:Title>
    <b:JournalName>The Journal of Business</b:JournalName>
    <b:Year>1986</b:Year>
    <b:Pages>197-216</b:Pages>
    <b:RefOrder>9</b:RefOrder>
  </b:Source>
  <b:Source>
    <b:Tag>Mor90</b:Tag>
    <b:SourceType>JournalArticle</b:SourceType>
    <b:Guid>{ADB1F57C-C629-4422-8DEB-85510072857C}</b:Guid>
    <b:Author>
      <b:Author>
        <b:NameList>
          <b:Person>
            <b:Last>Morck</b:Last>
            <b:First>R.</b:First>
          </b:Person>
          <b:Person>
            <b:Last>Shleifer</b:Last>
            <b:First>A.</b:First>
          </b:Person>
          <b:Person>
            <b:Last>Vishny</b:Last>
            <b:First>R.</b:First>
          </b:Person>
        </b:NameList>
      </b:Author>
    </b:Author>
    <b:Title>Do managerial objective drive bad acquisitions?</b:Title>
    <b:JournalName>The Journal of Finance</b:JournalName>
    <b:Year>1990</b:Year>
    <b:Pages>31-48</b:Pages>
    <b:RefOrder>10</b:RefOrder>
  </b:Source>
  <b:Source>
    <b:Tag>Ver08</b:Tag>
    <b:SourceType>JournalArticle</b:SourceType>
    <b:Guid>{911ACDDF-1C63-4C04-AF21-FF5834507FF0}</b:Guid>
    <b:Author>
      <b:Author>
        <b:NameList>
          <b:Person>
            <b:Last>Verde</b:Last>
            <b:First>S.</b:First>
          </b:Person>
        </b:NameList>
      </b:Author>
    </b:Author>
    <b:Title>Everybody merges with somebody - The wave of M&amp;As in the energy industry and the EU merger policy</b:Title>
    <b:JournalName>Energy Policy</b:JournalName>
    <b:Year>2008</b:Year>
    <b:Pages>1125-1133</b:Pages>
    <b:RefOrder>20</b:RefOrder>
  </b:Source>
  <b:Source>
    <b:Tag>Kwo10</b:Tag>
    <b:SourceType>JournalArticle</b:SourceType>
    <b:Guid>{E95D44BE-A0F7-47DF-B417-C5E97EE0633B}</b:Guid>
    <b:Author>
      <b:Author>
        <b:NameList>
          <b:Person>
            <b:Last>Kwoka</b:Last>
            <b:First>J.</b:First>
          </b:Person>
          <b:Person>
            <b:Last>Pollit</b:Last>
            <b:First>M.</b:First>
          </b:Person>
        </b:NameList>
      </b:Author>
    </b:Author>
    <b:Title>Do mergers improve efficiency? Evidence from restructuring the US electric power sector</b:Title>
    <b:JournalName>International Journal of Industrial Organization</b:JournalName>
    <b:Year>2010</b:Year>
    <b:Pages>645-656</b:Pages>
    <b:RefOrder>23</b:RefOrder>
  </b:Source>
  <b:Source>
    <b:Tag>Fra05</b:Tag>
    <b:SourceType>JournalArticle</b:SourceType>
    <b:Guid>{D0111AEE-4725-45AF-A86C-D2052FFC7FEB}</b:Guid>
    <b:Author>
      <b:Author>
        <b:NameList>
          <b:Person>
            <b:Last>Fraquelli</b:Last>
            <b:First>G.</b:First>
          </b:Person>
          <b:Person>
            <b:Last>Piacenza</b:Last>
            <b:First>D.</b:First>
          </b:Person>
          <b:Person>
            <b:Last>Vannoni</b:Last>
            <b:First>D.</b:First>
          </b:Person>
        </b:NameList>
      </b:Author>
    </b:Author>
    <b:Title>Cost savings from generation and distribution with an application to Italian electric utilities</b:Title>
    <b:JournalName>Journal of Regulatory Economics</b:JournalName>
    <b:Year>2005</b:Year>
    <b:Pages>289-308</b:Pages>
    <b:RefOrder>22</b:RefOrder>
  </b:Source>
  <b:Source>
    <b:Tag>Wes99</b:Tag>
    <b:SourceType>JournalArticle</b:SourceType>
    <b:Guid>{D4B5F1DC-C09A-4833-B526-FD67990DB7CF}</b:Guid>
    <b:Author>
      <b:Author>
        <b:NameList>
          <b:Person>
            <b:Last>Weston</b:Last>
            <b:First>J.</b:First>
          </b:Person>
          <b:Person>
            <b:Last>Johnson</b:Last>
            <b:First>B.</b:First>
          </b:Person>
          <b:Person>
            <b:Last>Siu</b:Last>
            <b:First>J.</b:First>
          </b:Person>
        </b:NameList>
      </b:Author>
    </b:Author>
    <b:Title>Mergers and restructering in the world oil industry</b:Title>
    <b:JournalName>Journal of Energy Finance &amp; Development</b:JournalName>
    <b:Year>1999</b:Year>
    <b:Pages>149-183</b:Pages>
    <b:RefOrder>21</b:RefOrder>
  </b:Source>
  <b:Source>
    <b:Tag>Hua87</b:Tag>
    <b:SourceType>JournalArticle</b:SourceType>
    <b:Guid>{E066CD85-0601-4F58-BEA4-F7A0C9DD7B74}</b:Guid>
    <b:Author>
      <b:Author>
        <b:NameList>
          <b:Person>
            <b:Last>Huang</b:Last>
            <b:First>Y.</b:First>
          </b:Person>
          <b:Person>
            <b:Last>Walkling</b:Last>
            <b:First>R.</b:First>
          </b:Person>
        </b:NameList>
      </b:Author>
    </b:Author>
    <b:Title>Target abnormal returns associated with acquisition announcements: Payment, acquisition form, and managerial resistance</b:Title>
    <b:JournalName>Journal of Financial Economics</b:JournalName>
    <b:Year>1987</b:Year>
    <b:Pages>329-359</b:Pages>
    <b:RefOrder>16</b:RefOrder>
  </b:Source>
  <b:Source>
    <b:Tag>Mye841</b:Tag>
    <b:SourceType>JournalArticle</b:SourceType>
    <b:Guid>{D51CA445-4643-4116-9E68-DBF9217595A6}</b:Guid>
    <b:Author>
      <b:Author>
        <b:NameList>
          <b:Person>
            <b:Last>Myers</b:Last>
            <b:First>S.</b:First>
          </b:Person>
          <b:Person>
            <b:Last>Majluf</b:Last>
            <b:First>N.</b:First>
          </b:Person>
        </b:NameList>
      </b:Author>
    </b:Author>
    <b:Title>Corporate financing and investment decisions when firms have information that investors do not have</b:Title>
    <b:JournalName>Journal of Financial Economics</b:JournalName>
    <b:Year>1984</b:Year>
    <b:Pages>187-221</b:Pages>
    <b:RefOrder>17</b:RefOrder>
  </b:Source>
  <b:Source>
    <b:Tag>Eck83</b:Tag>
    <b:SourceType>JournalArticle</b:SourceType>
    <b:Guid>{1375A2F2-090E-4181-A41B-B4C19A9BE1AA}</b:Guid>
    <b:Author>
      <b:Author>
        <b:NameList>
          <b:Person>
            <b:Last>Eckbo</b:Last>
            <b:First>E</b:First>
          </b:Person>
        </b:NameList>
      </b:Author>
    </b:Author>
    <b:Title>Horizontal mergers, collusion and stockholders wealth</b:Title>
    <b:JournalName>Journal of Financial Economics</b:JournalName>
    <b:Year>1983</b:Year>
    <b:Pages>241-273</b:Pages>
    <b:RefOrder>15</b:RefOrder>
  </b:Source>
</b:Sources>
</file>

<file path=customXml/itemProps1.xml><?xml version="1.0" encoding="utf-8"?>
<ds:datastoreItem xmlns:ds="http://schemas.openxmlformats.org/officeDocument/2006/customXml" ds:itemID="{2FC84CA5-721D-4374-B851-AC8DCB3B3C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37</Pages>
  <Words>9255</Words>
  <Characters>52756</Characters>
  <Application>Microsoft Office Word</Application>
  <DocSecurity>0</DocSecurity>
  <Lines>439</Lines>
  <Paragraphs>123</Paragraphs>
  <ScaleCrop>false</ScaleCrop>
  <HeadingPairs>
    <vt:vector size="2" baseType="variant">
      <vt:variant>
        <vt:lpstr>Title</vt:lpstr>
      </vt:variant>
      <vt:variant>
        <vt:i4>1</vt:i4>
      </vt:variant>
    </vt:vector>
  </HeadingPairs>
  <TitlesOfParts>
    <vt:vector size="1" baseType="lpstr">
      <vt:lpstr/>
    </vt:vector>
  </TitlesOfParts>
  <Company>RSG</Company>
  <LinksUpToDate>false</LinksUpToDate>
  <CharactersWithSpaces>61888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Wubben, Bart</dc:creator>
  <cp:lastModifiedBy>Sara Kuiper</cp:lastModifiedBy>
  <cp:revision>2</cp:revision>
  <cp:lastPrinted>2019-07-08T20:04:00Z</cp:lastPrinted>
  <dcterms:created xsi:type="dcterms:W3CDTF">2019-08-23T09:43:00Z</dcterms:created>
  <dcterms:modified xsi:type="dcterms:W3CDTF">2019-08-23T09:43:00Z</dcterms:modified>
</cp:coreProperties>
</file>