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A24" w:rsidRPr="00DA1BEF" w:rsidRDefault="00100A24" w:rsidP="00DA1BEF">
      <w:r>
        <w:rPr>
          <w:noProof/>
        </w:rPr>
        <w:pict>
          <v:shapetype id="_x0000_t202" coordsize="21600,21600" o:spt="202" path="m,l,21600r21600,l21600,xe">
            <v:stroke joinstyle="miter"/>
            <v:path gradientshapeok="t" o:connecttype="rect"/>
          </v:shapetype>
          <v:shape id="_x0000_s1026" type="#_x0000_t202" style="position:absolute;left:0;text-align:left;margin-left:54pt;margin-top:90pt;width:7in;height:666pt;z-index:251657216;mso-wrap-edited:f;mso-position-horizontal-relative:page;mso-position-vertical-relative:page" filled="f" stroked="f">
            <v:fill o:detectmouseclick="t"/>
            <v:textbox style="mso-next-textbox:#_x0000_s1026" inset=",7.2pt,,7.2pt">
              <w:txbxContent>
                <w:p w:rsidR="00100A24" w:rsidRPr="003337EE" w:rsidRDefault="00100A24">
                  <w:pPr>
                    <w:spacing w:after="40"/>
                    <w:rPr>
                      <w:rFonts w:ascii="Calibri" w:hAnsi="Calibri"/>
                      <w:b/>
                      <w:color w:val="FFFFFF"/>
                      <w:sz w:val="72"/>
                      <w:szCs w:val="72"/>
                    </w:rPr>
                  </w:pPr>
                  <w:r w:rsidRPr="003337EE">
                    <w:rPr>
                      <w:rFonts w:ascii="Calibri" w:hAnsi="Calibri"/>
                      <w:b/>
                      <w:color w:val="FFFFFF"/>
                      <w:sz w:val="64"/>
                      <w:szCs w:val="72"/>
                    </w:rPr>
                    <w:t>Legitimacy in the European Union: can National Parliaments help?</w:t>
                  </w:r>
                </w:p>
                <w:p w:rsidR="00100A24" w:rsidRPr="003337EE" w:rsidRDefault="00100A24">
                  <w:pPr>
                    <w:spacing w:after="240"/>
                    <w:rPr>
                      <w:rFonts w:ascii="Calibri" w:hAnsi="Calibri"/>
                      <w:b/>
                      <w:i/>
                      <w:noProof/>
                      <w:color w:val="FFFFFF"/>
                      <w:sz w:val="36"/>
                      <w:szCs w:val="36"/>
                    </w:rPr>
                  </w:pPr>
                  <w:r w:rsidRPr="003337EE">
                    <w:rPr>
                      <w:rFonts w:ascii="Calibri" w:hAnsi="Calibri"/>
                      <w:b/>
                      <w:i/>
                      <w:noProof/>
                      <w:color w:val="FFFFFF"/>
                      <w:sz w:val="36"/>
                      <w:szCs w:val="36"/>
                    </w:rPr>
                    <w:t>A master thesis written by Natalya Alexandra Maria Rijk</w:t>
                  </w:r>
                </w:p>
                <w:p w:rsidR="00100A24" w:rsidRPr="003337EE" w:rsidRDefault="00100A24">
                  <w:pPr>
                    <w:spacing w:after="240"/>
                    <w:rPr>
                      <w:rFonts w:ascii="Calibri" w:hAnsi="Calibri"/>
                      <w:b/>
                      <w:i/>
                      <w:noProof/>
                      <w:color w:val="FFFFFF"/>
                      <w:sz w:val="36"/>
                      <w:szCs w:val="36"/>
                    </w:rPr>
                  </w:pPr>
                </w:p>
                <w:p w:rsidR="00100A24" w:rsidRPr="003337EE" w:rsidRDefault="00100A24">
                  <w:pPr>
                    <w:spacing w:after="240"/>
                    <w:rPr>
                      <w:rFonts w:ascii="Calibri" w:hAnsi="Calibri"/>
                      <w:b/>
                      <w:noProof/>
                      <w:color w:val="FFFFFF"/>
                      <w:sz w:val="36"/>
                      <w:szCs w:val="36"/>
                    </w:rPr>
                  </w:pPr>
                  <w:r w:rsidRPr="003337EE">
                    <w:rPr>
                      <w:rFonts w:ascii="Calibri" w:hAnsi="Calibri"/>
                      <w:b/>
                      <w:noProof/>
                      <w:color w:val="FFFFFF"/>
                      <w:sz w:val="36"/>
                      <w:szCs w:val="36"/>
                    </w:rPr>
                    <w:t>Erasmus University Rotterdam, July 2010</w:t>
                  </w:r>
                </w:p>
                <w:p w:rsidR="00100A24" w:rsidRPr="003337EE" w:rsidRDefault="00100A24">
                  <w:pPr>
                    <w:spacing w:after="240"/>
                    <w:rPr>
                      <w:rFonts w:ascii="Calibri" w:hAnsi="Calibri"/>
                      <w:b/>
                      <w:noProof/>
                      <w:color w:val="FFFFFF"/>
                      <w:sz w:val="36"/>
                      <w:szCs w:val="36"/>
                    </w:rPr>
                  </w:pPr>
                </w:p>
                <w:p w:rsidR="00100A24" w:rsidRPr="003337EE" w:rsidRDefault="00100A24">
                  <w:pPr>
                    <w:spacing w:after="240"/>
                    <w:rPr>
                      <w:rFonts w:ascii="Calibri" w:hAnsi="Calibri"/>
                      <w:b/>
                      <w:noProof/>
                      <w:color w:val="FFFFFF"/>
                      <w:sz w:val="36"/>
                      <w:szCs w:val="36"/>
                    </w:rPr>
                  </w:pPr>
                </w:p>
                <w:p w:rsidR="00100A24" w:rsidRPr="003337EE" w:rsidRDefault="00100A24">
                  <w:pPr>
                    <w:spacing w:after="240"/>
                    <w:rPr>
                      <w:rFonts w:ascii="Calibri" w:hAnsi="Calibri"/>
                      <w:b/>
                      <w:noProof/>
                      <w:color w:val="FFFFFF"/>
                      <w:sz w:val="36"/>
                      <w:szCs w:val="36"/>
                    </w:rPr>
                  </w:pPr>
                </w:p>
                <w:p w:rsidR="00100A24" w:rsidRPr="003337EE" w:rsidRDefault="00100A24">
                  <w:pPr>
                    <w:spacing w:after="240"/>
                    <w:rPr>
                      <w:rFonts w:ascii="Calibri" w:hAnsi="Calibri"/>
                      <w:b/>
                      <w:noProof/>
                      <w:color w:val="FFFFFF"/>
                      <w:sz w:val="36"/>
                      <w:szCs w:val="36"/>
                    </w:rPr>
                  </w:pPr>
                </w:p>
                <w:p w:rsidR="00100A24" w:rsidRPr="003337EE" w:rsidRDefault="00100A24">
                  <w:pPr>
                    <w:spacing w:after="240"/>
                    <w:rPr>
                      <w:rFonts w:ascii="Calibri" w:hAnsi="Calibri"/>
                      <w:b/>
                      <w:noProof/>
                      <w:color w:val="FFFFFF"/>
                      <w:sz w:val="36"/>
                      <w:szCs w:val="36"/>
                    </w:rPr>
                  </w:pPr>
                </w:p>
                <w:p w:rsidR="00100A24" w:rsidRPr="003337EE" w:rsidRDefault="00100A24">
                  <w:pPr>
                    <w:spacing w:after="240"/>
                    <w:rPr>
                      <w:rFonts w:ascii="Calibri" w:hAnsi="Calibri"/>
                      <w:b/>
                      <w:noProof/>
                      <w:color w:val="FFFFFF"/>
                      <w:sz w:val="36"/>
                      <w:szCs w:val="36"/>
                    </w:rPr>
                  </w:pPr>
                </w:p>
                <w:p w:rsidR="00100A24" w:rsidRPr="003337EE" w:rsidRDefault="00100A24">
                  <w:pPr>
                    <w:spacing w:after="240"/>
                    <w:rPr>
                      <w:rFonts w:ascii="Calibri" w:hAnsi="Calibri"/>
                      <w:b/>
                      <w:noProof/>
                      <w:color w:val="FFFFFF"/>
                      <w:sz w:val="28"/>
                      <w:szCs w:val="36"/>
                    </w:rPr>
                  </w:pPr>
                  <w:r w:rsidRPr="003337EE">
                    <w:rPr>
                      <w:rFonts w:ascii="Calibri" w:hAnsi="Calibri"/>
                      <w:b/>
                      <w:noProof/>
                      <w:color w:val="FFFFFF"/>
                      <w:sz w:val="28"/>
                      <w:szCs w:val="36"/>
                    </w:rPr>
                    <w:t>Supervisor: dr. F.K.M. van Nispen</w:t>
                  </w:r>
                </w:p>
                <w:p w:rsidR="00100A24" w:rsidRPr="003337EE" w:rsidRDefault="00100A24">
                  <w:pPr>
                    <w:spacing w:after="240"/>
                    <w:rPr>
                      <w:rFonts w:ascii="Calibri" w:hAnsi="Calibri"/>
                      <w:b/>
                      <w:noProof/>
                      <w:color w:val="FFFFFF"/>
                      <w:sz w:val="28"/>
                      <w:szCs w:val="36"/>
                    </w:rPr>
                  </w:pPr>
                  <w:r w:rsidRPr="003337EE">
                    <w:rPr>
                      <w:rFonts w:ascii="Calibri" w:hAnsi="Calibri"/>
                      <w:b/>
                      <w:noProof/>
                      <w:color w:val="FFFFFF"/>
                      <w:sz w:val="28"/>
                      <w:szCs w:val="36"/>
                    </w:rPr>
                    <w:t>Second reader: dr. H.J.M. Fenger</w:t>
                  </w:r>
                </w:p>
                <w:p w:rsidR="00100A24" w:rsidRPr="003337EE" w:rsidRDefault="00100A24">
                  <w:pPr>
                    <w:spacing w:after="240"/>
                    <w:rPr>
                      <w:rFonts w:ascii="Calibri" w:hAnsi="Calibri"/>
                      <w:b/>
                      <w:noProof/>
                      <w:color w:val="FFFFFF"/>
                      <w:sz w:val="28"/>
                      <w:szCs w:val="36"/>
                    </w:rPr>
                  </w:pPr>
                  <w:r w:rsidRPr="003337EE">
                    <w:rPr>
                      <w:rFonts w:ascii="Calibri" w:hAnsi="Calibri"/>
                      <w:b/>
                      <w:noProof/>
                      <w:color w:val="FFFFFF"/>
                      <w:sz w:val="28"/>
                      <w:szCs w:val="36"/>
                    </w:rPr>
                    <w:t>Msc International Public Management and Policy</w:t>
                  </w:r>
                </w:p>
              </w:txbxContent>
            </v:textbox>
            <w10:wrap anchorx="page" anchory="page"/>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image1.png" style="position:absolute;left:0;text-align:left;margin-left:28.8pt;margin-top:28.8pt;width:554.8pt;height:693.6pt;z-index:-251660288;visibility:visible;mso-position-horizontal-relative:page;mso-position-vertical-relative:page">
            <v:imagedata r:id="rId7" o:title="" cropbottom="3398f"/>
            <w10:wrap anchorx="page" anchory="page"/>
          </v:shape>
        </w:pict>
      </w:r>
      <w:r>
        <w:rPr>
          <w:noProof/>
        </w:rPr>
        <w:pict>
          <v:rect id="_x0000_s1028" style="position:absolute;left:0;text-align:left;margin-left:28.8pt;margin-top:28.8pt;width:554.4pt;height:734.4pt;z-index:-251661312;mso-position-horizontal-relative:page;mso-position-vertical-relative:page" fillcolor="#8db3e2" stroked="f" strokecolor="#4a7ebb" strokeweight="1.5pt">
            <v:fill color2="#c2d69b" rotate="t" o:detectmouseclick="t" focus="100%" type="gradient"/>
            <v:shadow opacity="22938f" offset="0"/>
            <v:textbox inset=",7.2pt,,7.2pt"/>
            <w10:wrap anchorx="page" anchory="page"/>
          </v:rect>
        </w:pict>
      </w:r>
    </w:p>
    <w:p w:rsidR="00100A24" w:rsidRDefault="00100A24" w:rsidP="00DA1BEF">
      <w:pPr>
        <w:pStyle w:val="Heading1"/>
      </w:pPr>
      <w:r>
        <w:br w:type="column"/>
      </w:r>
      <w:bookmarkStart w:id="0" w:name="_Toc141864035"/>
      <w:r>
        <w:t>Prologue</w:t>
      </w:r>
      <w:bookmarkEnd w:id="0"/>
    </w:p>
    <w:p w:rsidR="00100A24" w:rsidRDefault="00100A24" w:rsidP="00DA1BEF"/>
    <w:p w:rsidR="00100A24" w:rsidRDefault="00100A24" w:rsidP="002D655D">
      <w:r>
        <w:t>One could imagine that a subject such as regulating CO</w:t>
      </w:r>
      <w:r w:rsidRPr="002D655D">
        <w:rPr>
          <w:vertAlign w:val="subscript"/>
        </w:rPr>
        <w:t>2</w:t>
      </w:r>
      <w:r>
        <w:t xml:space="preserve">-emmissions is one of the competences of the European Union (EU), since the climate does not constrain itself to one single state. One can also imagine that, due to the single currency of the Euro, monetary policy of the member states would fall under the competency of the Union. On the other hand, some people might think regulating package sizes of DVDs would constitute excessive regulation by the Union, as well as regulating which subjects teachers should teach their students in high school. All the above deals with that the EU can do, and what it cannot. Or, in better words, what the EU </w:t>
      </w:r>
      <w:r>
        <w:rPr>
          <w:i/>
        </w:rPr>
        <w:t>may</w:t>
      </w:r>
      <w:r>
        <w:t xml:space="preserve"> do, and what it </w:t>
      </w:r>
      <w:r>
        <w:rPr>
          <w:i/>
        </w:rPr>
        <w:t xml:space="preserve">may </w:t>
      </w:r>
      <w:r>
        <w:t xml:space="preserve">or </w:t>
      </w:r>
      <w:r>
        <w:rPr>
          <w:i/>
        </w:rPr>
        <w:t>should</w:t>
      </w:r>
      <w:r>
        <w:t xml:space="preserve"> not do. There are no strict rules concerning the competences of the European Union, but there is a principle which guards the autonomy of states and is linked to the legitimacy of European decision-making: subsidiarity. But is this principle effective? And does it really contribute to the legitimacy of the Union’s policies? That is exactly what this thesis is about. </w:t>
      </w:r>
    </w:p>
    <w:p w:rsidR="00100A24" w:rsidRDefault="00100A24" w:rsidP="002D655D"/>
    <w:p w:rsidR="00100A24" w:rsidRDefault="00100A24" w:rsidP="002D655D">
      <w:r>
        <w:t>I hope you will enjoy reading this thesis and I thank you for taking interest in it.</w:t>
      </w:r>
    </w:p>
    <w:p w:rsidR="00100A24" w:rsidRDefault="00100A24" w:rsidP="002D655D"/>
    <w:p w:rsidR="00100A24" w:rsidRDefault="00100A24" w:rsidP="008E5A81">
      <w:pPr>
        <w:pStyle w:val="Heading1"/>
      </w:pPr>
      <w:r>
        <w:br w:type="column"/>
      </w:r>
      <w:bookmarkStart w:id="1" w:name="_Toc141864036"/>
      <w:r>
        <w:t>List of abbreviations</w:t>
      </w:r>
      <w:bookmarkEnd w:id="1"/>
    </w:p>
    <w:p w:rsidR="00100A24" w:rsidRDefault="00100A24" w:rsidP="008E5A81"/>
    <w:p w:rsidR="00100A24" w:rsidRDefault="00100A24" w:rsidP="008E5A81">
      <w:r>
        <w:t>CoR</w:t>
      </w:r>
      <w:r>
        <w:tab/>
      </w:r>
      <w:r>
        <w:tab/>
      </w:r>
      <w:r>
        <w:tab/>
      </w:r>
      <w:r>
        <w:tab/>
      </w:r>
      <w:r>
        <w:tab/>
        <w:t>Committee of the Regions</w:t>
      </w:r>
    </w:p>
    <w:p w:rsidR="00100A24" w:rsidRDefault="00100A24" w:rsidP="009E5D87">
      <w:r>
        <w:t>COSAC</w:t>
      </w:r>
      <w:r>
        <w:tab/>
      </w:r>
      <w:r>
        <w:tab/>
      </w:r>
      <w:r>
        <w:tab/>
      </w:r>
      <w:r>
        <w:tab/>
      </w:r>
      <w:r>
        <w:tab/>
        <w:t>Conference of European Community Affairs</w:t>
      </w:r>
    </w:p>
    <w:p w:rsidR="00100A24" w:rsidRDefault="00100A24" w:rsidP="009E5D87">
      <w:r>
        <w:tab/>
      </w:r>
      <w:r>
        <w:tab/>
      </w:r>
      <w:r>
        <w:tab/>
      </w:r>
      <w:r>
        <w:tab/>
      </w:r>
      <w:r>
        <w:tab/>
        <w:t>Committees</w:t>
      </w:r>
    </w:p>
    <w:p w:rsidR="00100A24" w:rsidRDefault="00100A24" w:rsidP="009E5D87">
      <w:r>
        <w:t>DG</w:t>
      </w:r>
      <w:r>
        <w:tab/>
      </w:r>
      <w:r>
        <w:tab/>
      </w:r>
      <w:r>
        <w:tab/>
      </w:r>
      <w:r>
        <w:tab/>
      </w:r>
      <w:r>
        <w:tab/>
        <w:t>Directorate-General</w:t>
      </w:r>
    </w:p>
    <w:p w:rsidR="00100A24" w:rsidRDefault="00100A24" w:rsidP="008E5A81">
      <w:r>
        <w:t>EC</w:t>
      </w:r>
      <w:r>
        <w:tab/>
      </w:r>
      <w:r>
        <w:tab/>
      </w:r>
      <w:r>
        <w:tab/>
      </w:r>
      <w:r>
        <w:tab/>
      </w:r>
      <w:r>
        <w:tab/>
        <w:t>European Commission</w:t>
      </w:r>
    </w:p>
    <w:p w:rsidR="00100A24" w:rsidRDefault="00100A24" w:rsidP="008E5A81">
      <w:r>
        <w:t>ECHR</w:t>
      </w:r>
      <w:r>
        <w:tab/>
      </w:r>
      <w:r>
        <w:tab/>
      </w:r>
      <w:r>
        <w:tab/>
      </w:r>
      <w:r>
        <w:tab/>
      </w:r>
      <w:r>
        <w:tab/>
        <w:t>European Convention for the Protection of</w:t>
      </w:r>
    </w:p>
    <w:p w:rsidR="00100A24" w:rsidRDefault="00100A24" w:rsidP="008E5A81">
      <w:r>
        <w:tab/>
      </w:r>
      <w:r>
        <w:tab/>
      </w:r>
      <w:r>
        <w:tab/>
      </w:r>
      <w:r>
        <w:tab/>
      </w:r>
      <w:r>
        <w:tab/>
        <w:t>Human Rights and Fundamental Freedoms</w:t>
      </w:r>
    </w:p>
    <w:p w:rsidR="00100A24" w:rsidRDefault="00100A24" w:rsidP="008E5A81">
      <w:r>
        <w:t>ECJ</w:t>
      </w:r>
      <w:r>
        <w:tab/>
      </w:r>
      <w:r>
        <w:tab/>
      </w:r>
      <w:r>
        <w:tab/>
      </w:r>
      <w:r>
        <w:tab/>
      </w:r>
      <w:r>
        <w:tab/>
        <w:t>European Court of Justice</w:t>
      </w:r>
    </w:p>
    <w:p w:rsidR="00100A24" w:rsidRDefault="00100A24" w:rsidP="008E5A81">
      <w:r>
        <w:t>ECSC</w:t>
      </w:r>
      <w:r>
        <w:tab/>
      </w:r>
      <w:r>
        <w:tab/>
      </w:r>
      <w:r>
        <w:tab/>
      </w:r>
      <w:r>
        <w:tab/>
      </w:r>
      <w:r>
        <w:tab/>
        <w:t>European Coal and Steel Community</w:t>
      </w:r>
    </w:p>
    <w:p w:rsidR="00100A24" w:rsidRDefault="00100A24" w:rsidP="008E5A81">
      <w:r>
        <w:t>EEC</w:t>
      </w:r>
      <w:r>
        <w:tab/>
      </w:r>
      <w:r>
        <w:tab/>
      </w:r>
      <w:r>
        <w:tab/>
      </w:r>
      <w:r>
        <w:tab/>
      </w:r>
      <w:r>
        <w:tab/>
        <w:t>European Economic Community</w:t>
      </w:r>
    </w:p>
    <w:p w:rsidR="00100A24" w:rsidRDefault="00100A24" w:rsidP="008E5A81">
      <w:r>
        <w:t>EMU</w:t>
      </w:r>
      <w:r>
        <w:tab/>
      </w:r>
      <w:r>
        <w:tab/>
      </w:r>
      <w:r>
        <w:tab/>
      </w:r>
      <w:r>
        <w:tab/>
      </w:r>
      <w:r>
        <w:tab/>
        <w:t>European Monetary Union</w:t>
      </w:r>
    </w:p>
    <w:p w:rsidR="00100A24" w:rsidRDefault="00100A24" w:rsidP="008E5A81">
      <w:r>
        <w:t>EP</w:t>
      </w:r>
      <w:r>
        <w:tab/>
      </w:r>
      <w:r>
        <w:tab/>
      </w:r>
      <w:r>
        <w:tab/>
      </w:r>
      <w:r>
        <w:tab/>
      </w:r>
      <w:r>
        <w:tab/>
        <w:t>European Parliament</w:t>
      </w:r>
    </w:p>
    <w:p w:rsidR="00100A24" w:rsidRDefault="00100A24" w:rsidP="008E5A81">
      <w:r>
        <w:t>EU</w:t>
      </w:r>
      <w:r>
        <w:tab/>
      </w:r>
      <w:r>
        <w:tab/>
      </w:r>
      <w:r>
        <w:tab/>
      </w:r>
      <w:r>
        <w:tab/>
      </w:r>
      <w:r>
        <w:tab/>
        <w:t>European Union</w:t>
      </w:r>
    </w:p>
    <w:p w:rsidR="00100A24" w:rsidRDefault="00100A24" w:rsidP="008E5A81">
      <w:r>
        <w:t>JCMs</w:t>
      </w:r>
      <w:r>
        <w:tab/>
      </w:r>
      <w:r>
        <w:tab/>
      </w:r>
      <w:r>
        <w:tab/>
      </w:r>
      <w:r>
        <w:tab/>
      </w:r>
      <w:r>
        <w:tab/>
        <w:t>Joint Committee Meetings</w:t>
      </w:r>
    </w:p>
    <w:p w:rsidR="00100A24" w:rsidRDefault="00100A24" w:rsidP="008E5A81">
      <w:r>
        <w:t>JPMs</w:t>
      </w:r>
      <w:r>
        <w:tab/>
      </w:r>
      <w:r>
        <w:tab/>
      </w:r>
      <w:r>
        <w:tab/>
      </w:r>
      <w:r>
        <w:tab/>
      </w:r>
      <w:r>
        <w:tab/>
        <w:t>Joint Parliamentary Meetings</w:t>
      </w:r>
    </w:p>
    <w:p w:rsidR="00100A24" w:rsidRDefault="00100A24" w:rsidP="008E5A81">
      <w:r>
        <w:t>MP</w:t>
      </w:r>
      <w:r>
        <w:tab/>
      </w:r>
      <w:r>
        <w:tab/>
      </w:r>
      <w:r>
        <w:tab/>
      </w:r>
      <w:r>
        <w:tab/>
      </w:r>
      <w:r>
        <w:tab/>
        <w:t>Member of Parliament (of the EP)</w:t>
      </w:r>
    </w:p>
    <w:p w:rsidR="00100A24" w:rsidRDefault="00100A24" w:rsidP="008E5A81">
      <w:r>
        <w:t>QMV</w:t>
      </w:r>
      <w:r>
        <w:tab/>
      </w:r>
      <w:r>
        <w:tab/>
      </w:r>
      <w:r>
        <w:tab/>
      </w:r>
      <w:r>
        <w:tab/>
      </w:r>
      <w:r>
        <w:tab/>
        <w:t>Qualified Majority Voting</w:t>
      </w:r>
    </w:p>
    <w:p w:rsidR="00100A24" w:rsidRDefault="00100A24" w:rsidP="008E5A81">
      <w:r>
        <w:t xml:space="preserve">SEA </w:t>
      </w:r>
      <w:r>
        <w:tab/>
      </w:r>
      <w:r>
        <w:tab/>
      </w:r>
      <w:r>
        <w:tab/>
      </w:r>
      <w:r>
        <w:tab/>
      </w:r>
      <w:r>
        <w:tab/>
        <w:t>Single European Act</w:t>
      </w:r>
    </w:p>
    <w:p w:rsidR="00100A24" w:rsidRDefault="00100A24" w:rsidP="008E5A81">
      <w:r>
        <w:t>TEC</w:t>
      </w:r>
      <w:r>
        <w:tab/>
      </w:r>
      <w:r>
        <w:tab/>
      </w:r>
      <w:r>
        <w:tab/>
      </w:r>
      <w:r>
        <w:tab/>
      </w:r>
      <w:r>
        <w:tab/>
        <w:t>Treaty Establishing the European Community</w:t>
      </w:r>
    </w:p>
    <w:p w:rsidR="00100A24" w:rsidRDefault="00100A24" w:rsidP="008E5A81">
      <w:r>
        <w:t>TEU</w:t>
      </w:r>
      <w:r>
        <w:tab/>
      </w:r>
      <w:r>
        <w:tab/>
      </w:r>
      <w:r>
        <w:tab/>
      </w:r>
      <w:r>
        <w:tab/>
      </w:r>
      <w:r>
        <w:tab/>
        <w:t>Treaty on the European Union</w:t>
      </w:r>
    </w:p>
    <w:p w:rsidR="00100A24" w:rsidRPr="008E5A81" w:rsidRDefault="00100A24" w:rsidP="00ED208D">
      <w:r>
        <w:t>TFEU</w:t>
      </w:r>
      <w:r>
        <w:tab/>
      </w:r>
      <w:r>
        <w:tab/>
      </w:r>
      <w:r>
        <w:tab/>
      </w:r>
      <w:r>
        <w:tab/>
      </w:r>
      <w:r>
        <w:tab/>
        <w:t>Treaty on the Functioning of the Union</w:t>
      </w:r>
    </w:p>
    <w:p w:rsidR="00100A24" w:rsidRPr="00DA1BEF" w:rsidRDefault="00100A24" w:rsidP="00DA1BEF">
      <w:r>
        <w:br w:type="column"/>
      </w:r>
    </w:p>
    <w:p w:rsidR="00100A24" w:rsidRDefault="00100A24">
      <w:pPr>
        <w:pStyle w:val="TOCHeading"/>
      </w:pPr>
      <w:r>
        <w:t>Table of Contents</w:t>
      </w:r>
    </w:p>
    <w:p w:rsidR="00100A24" w:rsidRDefault="00100A24">
      <w:pPr>
        <w:pStyle w:val="TOC1"/>
        <w:tabs>
          <w:tab w:val="right" w:leader="dot" w:pos="8290"/>
        </w:tabs>
        <w:rPr>
          <w:b w:val="0"/>
          <w:noProof/>
          <w:sz w:val="24"/>
        </w:rPr>
      </w:pPr>
      <w:r>
        <w:fldChar w:fldCharType="begin"/>
      </w:r>
      <w:r>
        <w:instrText xml:space="preserve"> TOC \o "1-3" \h \z \u </w:instrText>
      </w:r>
      <w:r>
        <w:fldChar w:fldCharType="separate"/>
      </w:r>
      <w:r>
        <w:rPr>
          <w:noProof/>
        </w:rPr>
        <w:t>Prologue</w:t>
      </w:r>
      <w:r>
        <w:rPr>
          <w:noProof/>
        </w:rPr>
        <w:tab/>
      </w:r>
      <w:r>
        <w:rPr>
          <w:noProof/>
        </w:rPr>
        <w:fldChar w:fldCharType="begin"/>
      </w:r>
      <w:r>
        <w:rPr>
          <w:noProof/>
        </w:rPr>
        <w:instrText xml:space="preserve"> PAGEREF _Toc141864035 \h </w:instrText>
      </w:r>
      <w:r>
        <w:rPr>
          <w:noProof/>
        </w:rPr>
      </w:r>
      <w:r>
        <w:rPr>
          <w:noProof/>
        </w:rPr>
        <w:fldChar w:fldCharType="separate"/>
      </w:r>
      <w:r>
        <w:rPr>
          <w:noProof/>
        </w:rPr>
        <w:t>2</w:t>
      </w:r>
      <w:r>
        <w:rPr>
          <w:noProof/>
        </w:rPr>
        <w:fldChar w:fldCharType="end"/>
      </w:r>
    </w:p>
    <w:p w:rsidR="00100A24" w:rsidRDefault="00100A24">
      <w:pPr>
        <w:pStyle w:val="TOC1"/>
        <w:tabs>
          <w:tab w:val="right" w:leader="dot" w:pos="8290"/>
        </w:tabs>
        <w:rPr>
          <w:b w:val="0"/>
          <w:noProof/>
          <w:sz w:val="24"/>
        </w:rPr>
      </w:pPr>
      <w:r>
        <w:rPr>
          <w:noProof/>
        </w:rPr>
        <w:t>List of abbreviations</w:t>
      </w:r>
      <w:r>
        <w:rPr>
          <w:noProof/>
        </w:rPr>
        <w:tab/>
      </w:r>
      <w:r>
        <w:rPr>
          <w:noProof/>
        </w:rPr>
        <w:fldChar w:fldCharType="begin"/>
      </w:r>
      <w:r>
        <w:rPr>
          <w:noProof/>
        </w:rPr>
        <w:instrText xml:space="preserve"> PAGEREF _Toc141864036 \h </w:instrText>
      </w:r>
      <w:r>
        <w:rPr>
          <w:noProof/>
        </w:rPr>
      </w:r>
      <w:r>
        <w:rPr>
          <w:noProof/>
        </w:rPr>
        <w:fldChar w:fldCharType="separate"/>
      </w:r>
      <w:r>
        <w:rPr>
          <w:noProof/>
        </w:rPr>
        <w:t>3</w:t>
      </w:r>
      <w:r>
        <w:rPr>
          <w:noProof/>
        </w:rPr>
        <w:fldChar w:fldCharType="end"/>
      </w:r>
    </w:p>
    <w:p w:rsidR="00100A24" w:rsidRDefault="00100A24">
      <w:pPr>
        <w:pStyle w:val="TOC1"/>
        <w:tabs>
          <w:tab w:val="right" w:leader="dot" w:pos="8290"/>
        </w:tabs>
        <w:rPr>
          <w:b w:val="0"/>
          <w:noProof/>
          <w:sz w:val="24"/>
        </w:rPr>
      </w:pPr>
      <w:r>
        <w:rPr>
          <w:noProof/>
        </w:rPr>
        <w:t>Introduction</w:t>
      </w:r>
      <w:r>
        <w:rPr>
          <w:noProof/>
        </w:rPr>
        <w:tab/>
      </w:r>
      <w:r>
        <w:rPr>
          <w:noProof/>
        </w:rPr>
        <w:fldChar w:fldCharType="begin"/>
      </w:r>
      <w:r>
        <w:rPr>
          <w:noProof/>
        </w:rPr>
        <w:instrText xml:space="preserve"> PAGEREF _Toc141864037 \h </w:instrText>
      </w:r>
      <w:r>
        <w:rPr>
          <w:noProof/>
        </w:rPr>
      </w:r>
      <w:r>
        <w:rPr>
          <w:noProof/>
        </w:rPr>
        <w:fldChar w:fldCharType="separate"/>
      </w:r>
      <w:r>
        <w:rPr>
          <w:noProof/>
        </w:rPr>
        <w:t>6</w:t>
      </w:r>
      <w:r>
        <w:rPr>
          <w:noProof/>
        </w:rPr>
        <w:fldChar w:fldCharType="end"/>
      </w:r>
    </w:p>
    <w:p w:rsidR="00100A24" w:rsidRDefault="00100A24">
      <w:pPr>
        <w:pStyle w:val="TOC1"/>
        <w:tabs>
          <w:tab w:val="right" w:leader="dot" w:pos="8290"/>
        </w:tabs>
        <w:rPr>
          <w:b w:val="0"/>
          <w:noProof/>
          <w:sz w:val="24"/>
        </w:rPr>
      </w:pPr>
      <w:r>
        <w:rPr>
          <w:noProof/>
        </w:rPr>
        <w:t>1. Connecting governance, subsidiarity and legitimacy</w:t>
      </w:r>
      <w:r>
        <w:rPr>
          <w:noProof/>
        </w:rPr>
        <w:tab/>
      </w:r>
      <w:r>
        <w:rPr>
          <w:noProof/>
        </w:rPr>
        <w:fldChar w:fldCharType="begin"/>
      </w:r>
      <w:r>
        <w:rPr>
          <w:noProof/>
        </w:rPr>
        <w:instrText xml:space="preserve"> PAGEREF _Toc141864038 \h </w:instrText>
      </w:r>
      <w:r>
        <w:rPr>
          <w:noProof/>
        </w:rPr>
      </w:r>
      <w:r>
        <w:rPr>
          <w:noProof/>
        </w:rPr>
        <w:fldChar w:fldCharType="separate"/>
      </w:r>
      <w:r>
        <w:rPr>
          <w:noProof/>
        </w:rPr>
        <w:t>10</w:t>
      </w:r>
      <w:r>
        <w:rPr>
          <w:noProof/>
        </w:rPr>
        <w:fldChar w:fldCharType="end"/>
      </w:r>
    </w:p>
    <w:p w:rsidR="00100A24" w:rsidRDefault="00100A24">
      <w:pPr>
        <w:pStyle w:val="TOC2"/>
        <w:tabs>
          <w:tab w:val="left" w:pos="843"/>
          <w:tab w:val="right" w:leader="dot" w:pos="8290"/>
        </w:tabs>
        <w:rPr>
          <w:b w:val="0"/>
          <w:noProof/>
          <w:sz w:val="24"/>
          <w:szCs w:val="24"/>
        </w:rPr>
      </w:pPr>
      <w:r>
        <w:rPr>
          <w:noProof/>
        </w:rPr>
        <w:t>1.1.</w:t>
      </w:r>
      <w:r>
        <w:rPr>
          <w:b w:val="0"/>
          <w:noProof/>
          <w:sz w:val="24"/>
          <w:szCs w:val="24"/>
        </w:rPr>
        <w:tab/>
      </w:r>
      <w:r>
        <w:rPr>
          <w:noProof/>
        </w:rPr>
        <w:t>The workings of the European Union</w:t>
      </w:r>
      <w:r>
        <w:rPr>
          <w:noProof/>
        </w:rPr>
        <w:tab/>
      </w:r>
      <w:r>
        <w:rPr>
          <w:noProof/>
        </w:rPr>
        <w:fldChar w:fldCharType="begin"/>
      </w:r>
      <w:r>
        <w:rPr>
          <w:noProof/>
        </w:rPr>
        <w:instrText xml:space="preserve"> PAGEREF _Toc141864039 \h </w:instrText>
      </w:r>
      <w:r>
        <w:rPr>
          <w:noProof/>
        </w:rPr>
      </w:r>
      <w:r>
        <w:rPr>
          <w:noProof/>
        </w:rPr>
        <w:fldChar w:fldCharType="separate"/>
      </w:r>
      <w:r>
        <w:rPr>
          <w:noProof/>
        </w:rPr>
        <w:t>10</w:t>
      </w:r>
      <w:r>
        <w:rPr>
          <w:noProof/>
        </w:rPr>
        <w:fldChar w:fldCharType="end"/>
      </w:r>
    </w:p>
    <w:p w:rsidR="00100A24" w:rsidRDefault="00100A24">
      <w:pPr>
        <w:pStyle w:val="TOC3"/>
        <w:tabs>
          <w:tab w:val="left" w:pos="1221"/>
          <w:tab w:val="right" w:leader="dot" w:pos="8290"/>
        </w:tabs>
        <w:rPr>
          <w:noProof/>
          <w:sz w:val="24"/>
          <w:szCs w:val="24"/>
        </w:rPr>
      </w:pPr>
      <w:r>
        <w:rPr>
          <w:noProof/>
        </w:rPr>
        <w:t>1.1.1.</w:t>
      </w:r>
      <w:r>
        <w:rPr>
          <w:noProof/>
          <w:sz w:val="24"/>
          <w:szCs w:val="24"/>
        </w:rPr>
        <w:tab/>
      </w:r>
      <w:r>
        <w:rPr>
          <w:noProof/>
        </w:rPr>
        <w:t>History of the European Union</w:t>
      </w:r>
      <w:r>
        <w:rPr>
          <w:noProof/>
        </w:rPr>
        <w:tab/>
      </w:r>
      <w:r>
        <w:rPr>
          <w:noProof/>
        </w:rPr>
        <w:fldChar w:fldCharType="begin"/>
      </w:r>
      <w:r>
        <w:rPr>
          <w:noProof/>
        </w:rPr>
        <w:instrText xml:space="preserve"> PAGEREF _Toc141864040 \h </w:instrText>
      </w:r>
      <w:r>
        <w:rPr>
          <w:noProof/>
        </w:rPr>
      </w:r>
      <w:r>
        <w:rPr>
          <w:noProof/>
        </w:rPr>
        <w:fldChar w:fldCharType="separate"/>
      </w:r>
      <w:r>
        <w:rPr>
          <w:noProof/>
        </w:rPr>
        <w:t>10</w:t>
      </w:r>
      <w:r>
        <w:rPr>
          <w:noProof/>
        </w:rPr>
        <w:fldChar w:fldCharType="end"/>
      </w:r>
    </w:p>
    <w:p w:rsidR="00100A24" w:rsidRDefault="00100A24">
      <w:pPr>
        <w:pStyle w:val="TOC3"/>
        <w:tabs>
          <w:tab w:val="left" w:pos="1221"/>
          <w:tab w:val="right" w:leader="dot" w:pos="8290"/>
        </w:tabs>
        <w:rPr>
          <w:noProof/>
          <w:sz w:val="24"/>
          <w:szCs w:val="24"/>
        </w:rPr>
      </w:pPr>
      <w:r>
        <w:rPr>
          <w:noProof/>
        </w:rPr>
        <w:t>1.1.2.</w:t>
      </w:r>
      <w:r>
        <w:rPr>
          <w:noProof/>
          <w:sz w:val="24"/>
          <w:szCs w:val="24"/>
        </w:rPr>
        <w:tab/>
      </w:r>
      <w:r>
        <w:rPr>
          <w:noProof/>
        </w:rPr>
        <w:t>European Union institutions</w:t>
      </w:r>
      <w:r>
        <w:rPr>
          <w:noProof/>
        </w:rPr>
        <w:tab/>
      </w:r>
      <w:r>
        <w:rPr>
          <w:noProof/>
        </w:rPr>
        <w:fldChar w:fldCharType="begin"/>
      </w:r>
      <w:r>
        <w:rPr>
          <w:noProof/>
        </w:rPr>
        <w:instrText xml:space="preserve"> PAGEREF _Toc141864041 \h </w:instrText>
      </w:r>
      <w:r>
        <w:rPr>
          <w:noProof/>
        </w:rPr>
      </w:r>
      <w:r>
        <w:rPr>
          <w:noProof/>
        </w:rPr>
        <w:fldChar w:fldCharType="separate"/>
      </w:r>
      <w:r>
        <w:rPr>
          <w:noProof/>
        </w:rPr>
        <w:t>12</w:t>
      </w:r>
      <w:r>
        <w:rPr>
          <w:noProof/>
        </w:rPr>
        <w:fldChar w:fldCharType="end"/>
      </w:r>
    </w:p>
    <w:p w:rsidR="00100A24" w:rsidRDefault="00100A24">
      <w:pPr>
        <w:pStyle w:val="TOC3"/>
        <w:tabs>
          <w:tab w:val="left" w:pos="1221"/>
          <w:tab w:val="right" w:leader="dot" w:pos="8290"/>
        </w:tabs>
        <w:rPr>
          <w:noProof/>
          <w:sz w:val="24"/>
          <w:szCs w:val="24"/>
        </w:rPr>
      </w:pPr>
      <w:r>
        <w:rPr>
          <w:noProof/>
        </w:rPr>
        <w:t>1.1.3.</w:t>
      </w:r>
      <w:r>
        <w:rPr>
          <w:noProof/>
          <w:sz w:val="24"/>
          <w:szCs w:val="24"/>
        </w:rPr>
        <w:tab/>
      </w:r>
      <w:r>
        <w:rPr>
          <w:noProof/>
        </w:rPr>
        <w:t>Policy-making in the European Union</w:t>
      </w:r>
      <w:r>
        <w:rPr>
          <w:noProof/>
        </w:rPr>
        <w:tab/>
      </w:r>
      <w:r>
        <w:rPr>
          <w:noProof/>
        </w:rPr>
        <w:fldChar w:fldCharType="begin"/>
      </w:r>
      <w:r>
        <w:rPr>
          <w:noProof/>
        </w:rPr>
        <w:instrText xml:space="preserve"> PAGEREF _Toc141864042 \h </w:instrText>
      </w:r>
      <w:r>
        <w:rPr>
          <w:noProof/>
        </w:rPr>
      </w:r>
      <w:r>
        <w:rPr>
          <w:noProof/>
        </w:rPr>
        <w:fldChar w:fldCharType="separate"/>
      </w:r>
      <w:r>
        <w:rPr>
          <w:noProof/>
        </w:rPr>
        <w:t>13</w:t>
      </w:r>
      <w:r>
        <w:rPr>
          <w:noProof/>
        </w:rPr>
        <w:fldChar w:fldCharType="end"/>
      </w:r>
    </w:p>
    <w:p w:rsidR="00100A24" w:rsidRDefault="00100A24">
      <w:pPr>
        <w:pStyle w:val="TOC2"/>
        <w:tabs>
          <w:tab w:val="left" w:pos="843"/>
          <w:tab w:val="right" w:leader="dot" w:pos="8290"/>
        </w:tabs>
        <w:rPr>
          <w:b w:val="0"/>
          <w:noProof/>
          <w:sz w:val="24"/>
          <w:szCs w:val="24"/>
        </w:rPr>
      </w:pPr>
      <w:r>
        <w:rPr>
          <w:noProof/>
        </w:rPr>
        <w:t>1.2.</w:t>
      </w:r>
      <w:r>
        <w:rPr>
          <w:b w:val="0"/>
          <w:noProof/>
          <w:sz w:val="24"/>
          <w:szCs w:val="24"/>
        </w:rPr>
        <w:tab/>
      </w:r>
      <w:r>
        <w:rPr>
          <w:noProof/>
        </w:rPr>
        <w:t>European governance</w:t>
      </w:r>
      <w:r>
        <w:rPr>
          <w:noProof/>
        </w:rPr>
        <w:tab/>
      </w:r>
      <w:r>
        <w:rPr>
          <w:noProof/>
        </w:rPr>
        <w:fldChar w:fldCharType="begin"/>
      </w:r>
      <w:r>
        <w:rPr>
          <w:noProof/>
        </w:rPr>
        <w:instrText xml:space="preserve"> PAGEREF _Toc141864043 \h </w:instrText>
      </w:r>
      <w:r>
        <w:rPr>
          <w:noProof/>
        </w:rPr>
      </w:r>
      <w:r>
        <w:rPr>
          <w:noProof/>
        </w:rPr>
        <w:fldChar w:fldCharType="separate"/>
      </w:r>
      <w:r>
        <w:rPr>
          <w:noProof/>
        </w:rPr>
        <w:t>14</w:t>
      </w:r>
      <w:r>
        <w:rPr>
          <w:noProof/>
        </w:rPr>
        <w:fldChar w:fldCharType="end"/>
      </w:r>
    </w:p>
    <w:p w:rsidR="00100A24" w:rsidRDefault="00100A24">
      <w:pPr>
        <w:pStyle w:val="TOC3"/>
        <w:tabs>
          <w:tab w:val="left" w:pos="1221"/>
          <w:tab w:val="right" w:leader="dot" w:pos="8290"/>
        </w:tabs>
        <w:rPr>
          <w:noProof/>
          <w:sz w:val="24"/>
          <w:szCs w:val="24"/>
        </w:rPr>
      </w:pPr>
      <w:r>
        <w:rPr>
          <w:noProof/>
        </w:rPr>
        <w:t>1.2.1.</w:t>
      </w:r>
      <w:r>
        <w:rPr>
          <w:noProof/>
          <w:sz w:val="24"/>
          <w:szCs w:val="24"/>
        </w:rPr>
        <w:tab/>
      </w:r>
      <w:r>
        <w:rPr>
          <w:noProof/>
        </w:rPr>
        <w:t>Governance in the EU</w:t>
      </w:r>
      <w:r>
        <w:rPr>
          <w:noProof/>
        </w:rPr>
        <w:tab/>
      </w:r>
      <w:r>
        <w:rPr>
          <w:noProof/>
        </w:rPr>
        <w:fldChar w:fldCharType="begin"/>
      </w:r>
      <w:r>
        <w:rPr>
          <w:noProof/>
        </w:rPr>
        <w:instrText xml:space="preserve"> PAGEREF _Toc141864044 \h </w:instrText>
      </w:r>
      <w:r>
        <w:rPr>
          <w:noProof/>
        </w:rPr>
      </w:r>
      <w:r>
        <w:rPr>
          <w:noProof/>
        </w:rPr>
        <w:fldChar w:fldCharType="separate"/>
      </w:r>
      <w:r>
        <w:rPr>
          <w:noProof/>
        </w:rPr>
        <w:t>15</w:t>
      </w:r>
      <w:r>
        <w:rPr>
          <w:noProof/>
        </w:rPr>
        <w:fldChar w:fldCharType="end"/>
      </w:r>
    </w:p>
    <w:p w:rsidR="00100A24" w:rsidRDefault="00100A24">
      <w:pPr>
        <w:pStyle w:val="TOC3"/>
        <w:tabs>
          <w:tab w:val="left" w:pos="1221"/>
          <w:tab w:val="right" w:leader="dot" w:pos="8290"/>
        </w:tabs>
        <w:rPr>
          <w:noProof/>
          <w:sz w:val="24"/>
          <w:szCs w:val="24"/>
        </w:rPr>
      </w:pPr>
      <w:r>
        <w:rPr>
          <w:noProof/>
        </w:rPr>
        <w:t>1.2.2.</w:t>
      </w:r>
      <w:r>
        <w:rPr>
          <w:noProof/>
          <w:sz w:val="24"/>
          <w:szCs w:val="24"/>
        </w:rPr>
        <w:tab/>
      </w:r>
      <w:r>
        <w:rPr>
          <w:noProof/>
        </w:rPr>
        <w:t>The role of subsidiarity in the European framework of governance</w:t>
      </w:r>
      <w:r>
        <w:rPr>
          <w:noProof/>
        </w:rPr>
        <w:tab/>
      </w:r>
      <w:r>
        <w:rPr>
          <w:noProof/>
        </w:rPr>
        <w:fldChar w:fldCharType="begin"/>
      </w:r>
      <w:r>
        <w:rPr>
          <w:noProof/>
        </w:rPr>
        <w:instrText xml:space="preserve"> PAGEREF _Toc141864045 \h </w:instrText>
      </w:r>
      <w:r>
        <w:rPr>
          <w:noProof/>
        </w:rPr>
      </w:r>
      <w:r>
        <w:rPr>
          <w:noProof/>
        </w:rPr>
        <w:fldChar w:fldCharType="separate"/>
      </w:r>
      <w:r>
        <w:rPr>
          <w:noProof/>
        </w:rPr>
        <w:t>18</w:t>
      </w:r>
      <w:r>
        <w:rPr>
          <w:noProof/>
        </w:rPr>
        <w:fldChar w:fldCharType="end"/>
      </w:r>
    </w:p>
    <w:p w:rsidR="00100A24" w:rsidRDefault="00100A24">
      <w:pPr>
        <w:pStyle w:val="TOC2"/>
        <w:tabs>
          <w:tab w:val="left" w:pos="843"/>
          <w:tab w:val="right" w:leader="dot" w:pos="8290"/>
        </w:tabs>
        <w:rPr>
          <w:b w:val="0"/>
          <w:noProof/>
          <w:sz w:val="24"/>
          <w:szCs w:val="24"/>
        </w:rPr>
      </w:pPr>
      <w:r>
        <w:rPr>
          <w:noProof/>
        </w:rPr>
        <w:t>1.3.</w:t>
      </w:r>
      <w:r>
        <w:rPr>
          <w:b w:val="0"/>
          <w:noProof/>
          <w:sz w:val="24"/>
          <w:szCs w:val="24"/>
        </w:rPr>
        <w:tab/>
      </w:r>
      <w:r>
        <w:rPr>
          <w:noProof/>
        </w:rPr>
        <w:t>Subsidiarity</w:t>
      </w:r>
      <w:r>
        <w:rPr>
          <w:noProof/>
        </w:rPr>
        <w:tab/>
      </w:r>
      <w:r>
        <w:rPr>
          <w:noProof/>
        </w:rPr>
        <w:fldChar w:fldCharType="begin"/>
      </w:r>
      <w:r>
        <w:rPr>
          <w:noProof/>
        </w:rPr>
        <w:instrText xml:space="preserve"> PAGEREF _Toc141864046 \h </w:instrText>
      </w:r>
      <w:r>
        <w:rPr>
          <w:noProof/>
        </w:rPr>
      </w:r>
      <w:r>
        <w:rPr>
          <w:noProof/>
        </w:rPr>
        <w:fldChar w:fldCharType="separate"/>
      </w:r>
      <w:r>
        <w:rPr>
          <w:noProof/>
        </w:rPr>
        <w:t>19</w:t>
      </w:r>
      <w:r>
        <w:rPr>
          <w:noProof/>
        </w:rPr>
        <w:fldChar w:fldCharType="end"/>
      </w:r>
    </w:p>
    <w:p w:rsidR="00100A24" w:rsidRDefault="00100A24">
      <w:pPr>
        <w:pStyle w:val="TOC3"/>
        <w:tabs>
          <w:tab w:val="left" w:pos="1221"/>
          <w:tab w:val="right" w:leader="dot" w:pos="8290"/>
        </w:tabs>
        <w:rPr>
          <w:noProof/>
          <w:sz w:val="24"/>
          <w:szCs w:val="24"/>
        </w:rPr>
      </w:pPr>
      <w:r>
        <w:rPr>
          <w:noProof/>
        </w:rPr>
        <w:t>1.3.1.</w:t>
      </w:r>
      <w:r>
        <w:rPr>
          <w:noProof/>
          <w:sz w:val="24"/>
          <w:szCs w:val="24"/>
        </w:rPr>
        <w:tab/>
      </w:r>
      <w:r>
        <w:rPr>
          <w:noProof/>
        </w:rPr>
        <w:t>Definitions of subsidiarity</w:t>
      </w:r>
      <w:r>
        <w:rPr>
          <w:noProof/>
        </w:rPr>
        <w:tab/>
      </w:r>
      <w:r>
        <w:rPr>
          <w:noProof/>
        </w:rPr>
        <w:fldChar w:fldCharType="begin"/>
      </w:r>
      <w:r>
        <w:rPr>
          <w:noProof/>
        </w:rPr>
        <w:instrText xml:space="preserve"> PAGEREF _Toc141864047 \h </w:instrText>
      </w:r>
      <w:r>
        <w:rPr>
          <w:noProof/>
        </w:rPr>
      </w:r>
      <w:r>
        <w:rPr>
          <w:noProof/>
        </w:rPr>
        <w:fldChar w:fldCharType="separate"/>
      </w:r>
      <w:r>
        <w:rPr>
          <w:noProof/>
        </w:rPr>
        <w:t>20</w:t>
      </w:r>
      <w:r>
        <w:rPr>
          <w:noProof/>
        </w:rPr>
        <w:fldChar w:fldCharType="end"/>
      </w:r>
    </w:p>
    <w:p w:rsidR="00100A24" w:rsidRDefault="00100A24">
      <w:pPr>
        <w:pStyle w:val="TOC3"/>
        <w:tabs>
          <w:tab w:val="left" w:pos="1221"/>
          <w:tab w:val="right" w:leader="dot" w:pos="8290"/>
        </w:tabs>
        <w:rPr>
          <w:noProof/>
          <w:sz w:val="24"/>
          <w:szCs w:val="24"/>
        </w:rPr>
      </w:pPr>
      <w:r>
        <w:rPr>
          <w:noProof/>
        </w:rPr>
        <w:t>1.3.2.</w:t>
      </w:r>
      <w:r>
        <w:rPr>
          <w:noProof/>
          <w:sz w:val="24"/>
          <w:szCs w:val="24"/>
        </w:rPr>
        <w:tab/>
      </w:r>
      <w:r>
        <w:rPr>
          <w:noProof/>
        </w:rPr>
        <w:t>The history of subsidiarity</w:t>
      </w:r>
      <w:r>
        <w:rPr>
          <w:noProof/>
        </w:rPr>
        <w:tab/>
      </w:r>
      <w:r>
        <w:rPr>
          <w:noProof/>
        </w:rPr>
        <w:fldChar w:fldCharType="begin"/>
      </w:r>
      <w:r>
        <w:rPr>
          <w:noProof/>
        </w:rPr>
        <w:instrText xml:space="preserve"> PAGEREF _Toc141864048 \h </w:instrText>
      </w:r>
      <w:r>
        <w:rPr>
          <w:noProof/>
        </w:rPr>
      </w:r>
      <w:r>
        <w:rPr>
          <w:noProof/>
        </w:rPr>
        <w:fldChar w:fldCharType="separate"/>
      </w:r>
      <w:r>
        <w:rPr>
          <w:noProof/>
        </w:rPr>
        <w:t>21</w:t>
      </w:r>
      <w:r>
        <w:rPr>
          <w:noProof/>
        </w:rPr>
        <w:fldChar w:fldCharType="end"/>
      </w:r>
    </w:p>
    <w:p w:rsidR="00100A24" w:rsidRDefault="00100A24">
      <w:pPr>
        <w:pStyle w:val="TOC3"/>
        <w:tabs>
          <w:tab w:val="left" w:pos="1221"/>
          <w:tab w:val="right" w:leader="dot" w:pos="8290"/>
        </w:tabs>
        <w:rPr>
          <w:noProof/>
          <w:sz w:val="24"/>
          <w:szCs w:val="24"/>
        </w:rPr>
      </w:pPr>
      <w:r>
        <w:rPr>
          <w:noProof/>
        </w:rPr>
        <w:t>1.3.3.</w:t>
      </w:r>
      <w:r>
        <w:rPr>
          <w:noProof/>
          <w:sz w:val="24"/>
          <w:szCs w:val="24"/>
        </w:rPr>
        <w:tab/>
      </w:r>
      <w:r>
        <w:rPr>
          <w:noProof/>
        </w:rPr>
        <w:t>The legal status of subsidiarity</w:t>
      </w:r>
      <w:r>
        <w:rPr>
          <w:noProof/>
        </w:rPr>
        <w:tab/>
      </w:r>
      <w:r>
        <w:rPr>
          <w:noProof/>
        </w:rPr>
        <w:fldChar w:fldCharType="begin"/>
      </w:r>
      <w:r>
        <w:rPr>
          <w:noProof/>
        </w:rPr>
        <w:instrText xml:space="preserve"> PAGEREF _Toc141864049 \h </w:instrText>
      </w:r>
      <w:r>
        <w:rPr>
          <w:noProof/>
        </w:rPr>
      </w:r>
      <w:r>
        <w:rPr>
          <w:noProof/>
        </w:rPr>
        <w:fldChar w:fldCharType="separate"/>
      </w:r>
      <w:r>
        <w:rPr>
          <w:noProof/>
        </w:rPr>
        <w:t>22</w:t>
      </w:r>
      <w:r>
        <w:rPr>
          <w:noProof/>
        </w:rPr>
        <w:fldChar w:fldCharType="end"/>
      </w:r>
    </w:p>
    <w:p w:rsidR="00100A24" w:rsidRDefault="00100A24">
      <w:pPr>
        <w:pStyle w:val="TOC3"/>
        <w:tabs>
          <w:tab w:val="left" w:pos="1221"/>
          <w:tab w:val="right" w:leader="dot" w:pos="8290"/>
        </w:tabs>
        <w:rPr>
          <w:noProof/>
          <w:sz w:val="24"/>
          <w:szCs w:val="24"/>
        </w:rPr>
      </w:pPr>
      <w:r>
        <w:rPr>
          <w:noProof/>
        </w:rPr>
        <w:t>1.3.4.</w:t>
      </w:r>
      <w:r>
        <w:rPr>
          <w:noProof/>
          <w:sz w:val="24"/>
          <w:szCs w:val="24"/>
        </w:rPr>
        <w:tab/>
      </w:r>
      <w:r>
        <w:rPr>
          <w:noProof/>
        </w:rPr>
        <w:t>Subsidiarity and its most important actors</w:t>
      </w:r>
      <w:r>
        <w:rPr>
          <w:noProof/>
        </w:rPr>
        <w:tab/>
      </w:r>
      <w:r>
        <w:rPr>
          <w:noProof/>
        </w:rPr>
        <w:fldChar w:fldCharType="begin"/>
      </w:r>
      <w:r>
        <w:rPr>
          <w:noProof/>
        </w:rPr>
        <w:instrText xml:space="preserve"> PAGEREF _Toc141864050 \h </w:instrText>
      </w:r>
      <w:r>
        <w:rPr>
          <w:noProof/>
        </w:rPr>
      </w:r>
      <w:r>
        <w:rPr>
          <w:noProof/>
        </w:rPr>
        <w:fldChar w:fldCharType="separate"/>
      </w:r>
      <w:r>
        <w:rPr>
          <w:noProof/>
        </w:rPr>
        <w:t>24</w:t>
      </w:r>
      <w:r>
        <w:rPr>
          <w:noProof/>
        </w:rPr>
        <w:fldChar w:fldCharType="end"/>
      </w:r>
    </w:p>
    <w:p w:rsidR="00100A24" w:rsidRDefault="00100A24">
      <w:pPr>
        <w:pStyle w:val="TOC2"/>
        <w:tabs>
          <w:tab w:val="left" w:pos="843"/>
          <w:tab w:val="right" w:leader="dot" w:pos="8290"/>
        </w:tabs>
        <w:rPr>
          <w:b w:val="0"/>
          <w:noProof/>
          <w:sz w:val="24"/>
          <w:szCs w:val="24"/>
        </w:rPr>
      </w:pPr>
      <w:r>
        <w:rPr>
          <w:noProof/>
        </w:rPr>
        <w:t>1.4.</w:t>
      </w:r>
      <w:r>
        <w:rPr>
          <w:b w:val="0"/>
          <w:noProof/>
          <w:sz w:val="24"/>
          <w:szCs w:val="24"/>
        </w:rPr>
        <w:tab/>
      </w:r>
      <w:r>
        <w:rPr>
          <w:noProof/>
        </w:rPr>
        <w:t>Legitimacy</w:t>
      </w:r>
      <w:r>
        <w:rPr>
          <w:noProof/>
        </w:rPr>
        <w:tab/>
      </w:r>
      <w:r>
        <w:rPr>
          <w:noProof/>
        </w:rPr>
        <w:fldChar w:fldCharType="begin"/>
      </w:r>
      <w:r>
        <w:rPr>
          <w:noProof/>
        </w:rPr>
        <w:instrText xml:space="preserve"> PAGEREF _Toc141864051 \h </w:instrText>
      </w:r>
      <w:r>
        <w:rPr>
          <w:noProof/>
        </w:rPr>
      </w:r>
      <w:r>
        <w:rPr>
          <w:noProof/>
        </w:rPr>
        <w:fldChar w:fldCharType="separate"/>
      </w:r>
      <w:r>
        <w:rPr>
          <w:noProof/>
        </w:rPr>
        <w:t>27</w:t>
      </w:r>
      <w:r>
        <w:rPr>
          <w:noProof/>
        </w:rPr>
        <w:fldChar w:fldCharType="end"/>
      </w:r>
    </w:p>
    <w:p w:rsidR="00100A24" w:rsidRDefault="00100A24">
      <w:pPr>
        <w:pStyle w:val="TOC3"/>
        <w:tabs>
          <w:tab w:val="left" w:pos="1221"/>
          <w:tab w:val="right" w:leader="dot" w:pos="8290"/>
        </w:tabs>
        <w:rPr>
          <w:noProof/>
          <w:sz w:val="24"/>
          <w:szCs w:val="24"/>
        </w:rPr>
      </w:pPr>
      <w:r>
        <w:rPr>
          <w:noProof/>
        </w:rPr>
        <w:t>1.4.1.</w:t>
      </w:r>
      <w:r>
        <w:rPr>
          <w:noProof/>
          <w:sz w:val="24"/>
          <w:szCs w:val="24"/>
        </w:rPr>
        <w:tab/>
      </w:r>
      <w:r>
        <w:rPr>
          <w:noProof/>
        </w:rPr>
        <w:t>How legitimacy is connected to subsidiarity</w:t>
      </w:r>
      <w:r>
        <w:rPr>
          <w:noProof/>
        </w:rPr>
        <w:tab/>
      </w:r>
      <w:r>
        <w:rPr>
          <w:noProof/>
        </w:rPr>
        <w:fldChar w:fldCharType="begin"/>
      </w:r>
      <w:r>
        <w:rPr>
          <w:noProof/>
        </w:rPr>
        <w:instrText xml:space="preserve"> PAGEREF _Toc141864052 \h </w:instrText>
      </w:r>
      <w:r>
        <w:rPr>
          <w:noProof/>
        </w:rPr>
      </w:r>
      <w:r>
        <w:rPr>
          <w:noProof/>
        </w:rPr>
        <w:fldChar w:fldCharType="separate"/>
      </w:r>
      <w:r>
        <w:rPr>
          <w:noProof/>
        </w:rPr>
        <w:t>29</w:t>
      </w:r>
      <w:r>
        <w:rPr>
          <w:noProof/>
        </w:rPr>
        <w:fldChar w:fldCharType="end"/>
      </w:r>
    </w:p>
    <w:p w:rsidR="00100A24" w:rsidRDefault="00100A24">
      <w:pPr>
        <w:pStyle w:val="TOC2"/>
        <w:tabs>
          <w:tab w:val="left" w:pos="843"/>
          <w:tab w:val="right" w:leader="dot" w:pos="8290"/>
        </w:tabs>
        <w:rPr>
          <w:b w:val="0"/>
          <w:noProof/>
          <w:sz w:val="24"/>
          <w:szCs w:val="24"/>
        </w:rPr>
      </w:pPr>
      <w:r>
        <w:rPr>
          <w:noProof/>
        </w:rPr>
        <w:t>1.5.</w:t>
      </w:r>
      <w:r>
        <w:rPr>
          <w:b w:val="0"/>
          <w:noProof/>
          <w:sz w:val="24"/>
          <w:szCs w:val="24"/>
        </w:rPr>
        <w:tab/>
      </w:r>
      <w:r>
        <w:rPr>
          <w:noProof/>
        </w:rPr>
        <w:t>Flowchart</w:t>
      </w:r>
      <w:r>
        <w:rPr>
          <w:noProof/>
        </w:rPr>
        <w:tab/>
      </w:r>
      <w:r>
        <w:rPr>
          <w:noProof/>
        </w:rPr>
        <w:fldChar w:fldCharType="begin"/>
      </w:r>
      <w:r>
        <w:rPr>
          <w:noProof/>
        </w:rPr>
        <w:instrText xml:space="preserve"> PAGEREF _Toc141864053 \h </w:instrText>
      </w:r>
      <w:r>
        <w:rPr>
          <w:noProof/>
        </w:rPr>
      </w:r>
      <w:r>
        <w:rPr>
          <w:noProof/>
        </w:rPr>
        <w:fldChar w:fldCharType="separate"/>
      </w:r>
      <w:r>
        <w:rPr>
          <w:noProof/>
        </w:rPr>
        <w:t>29</w:t>
      </w:r>
      <w:r>
        <w:rPr>
          <w:noProof/>
        </w:rPr>
        <w:fldChar w:fldCharType="end"/>
      </w:r>
    </w:p>
    <w:p w:rsidR="00100A24" w:rsidRDefault="00100A24">
      <w:pPr>
        <w:pStyle w:val="TOC2"/>
        <w:tabs>
          <w:tab w:val="left" w:pos="843"/>
          <w:tab w:val="right" w:leader="dot" w:pos="8290"/>
        </w:tabs>
        <w:rPr>
          <w:b w:val="0"/>
          <w:noProof/>
          <w:sz w:val="24"/>
          <w:szCs w:val="24"/>
        </w:rPr>
      </w:pPr>
      <w:r>
        <w:rPr>
          <w:noProof/>
        </w:rPr>
        <w:t>1.6.</w:t>
      </w:r>
      <w:r>
        <w:rPr>
          <w:b w:val="0"/>
          <w:noProof/>
          <w:sz w:val="24"/>
          <w:szCs w:val="24"/>
        </w:rPr>
        <w:tab/>
      </w:r>
      <w:r>
        <w:rPr>
          <w:noProof/>
        </w:rPr>
        <w:t>Conclusion</w:t>
      </w:r>
      <w:r>
        <w:rPr>
          <w:noProof/>
        </w:rPr>
        <w:tab/>
      </w:r>
      <w:r>
        <w:rPr>
          <w:noProof/>
        </w:rPr>
        <w:fldChar w:fldCharType="begin"/>
      </w:r>
      <w:r>
        <w:rPr>
          <w:noProof/>
        </w:rPr>
        <w:instrText xml:space="preserve"> PAGEREF _Toc141864054 \h </w:instrText>
      </w:r>
      <w:r>
        <w:rPr>
          <w:noProof/>
        </w:rPr>
      </w:r>
      <w:r>
        <w:rPr>
          <w:noProof/>
        </w:rPr>
        <w:fldChar w:fldCharType="separate"/>
      </w:r>
      <w:r>
        <w:rPr>
          <w:noProof/>
        </w:rPr>
        <w:t>30</w:t>
      </w:r>
      <w:r>
        <w:rPr>
          <w:noProof/>
        </w:rPr>
        <w:fldChar w:fldCharType="end"/>
      </w:r>
    </w:p>
    <w:p w:rsidR="00100A24" w:rsidRDefault="00100A24">
      <w:pPr>
        <w:pStyle w:val="TOC1"/>
        <w:tabs>
          <w:tab w:val="right" w:leader="dot" w:pos="8290"/>
        </w:tabs>
        <w:rPr>
          <w:b w:val="0"/>
          <w:noProof/>
          <w:sz w:val="24"/>
        </w:rPr>
      </w:pPr>
      <w:r>
        <w:rPr>
          <w:noProof/>
        </w:rPr>
        <w:t>2. Methodology</w:t>
      </w:r>
      <w:r>
        <w:rPr>
          <w:noProof/>
        </w:rPr>
        <w:tab/>
      </w:r>
      <w:r>
        <w:rPr>
          <w:noProof/>
        </w:rPr>
        <w:fldChar w:fldCharType="begin"/>
      </w:r>
      <w:r>
        <w:rPr>
          <w:noProof/>
        </w:rPr>
        <w:instrText xml:space="preserve"> PAGEREF _Toc141864055 \h </w:instrText>
      </w:r>
      <w:r>
        <w:rPr>
          <w:noProof/>
        </w:rPr>
      </w:r>
      <w:r>
        <w:rPr>
          <w:noProof/>
        </w:rPr>
        <w:fldChar w:fldCharType="separate"/>
      </w:r>
      <w:r>
        <w:rPr>
          <w:noProof/>
        </w:rPr>
        <w:t>32</w:t>
      </w:r>
      <w:r>
        <w:rPr>
          <w:noProof/>
        </w:rPr>
        <w:fldChar w:fldCharType="end"/>
      </w:r>
    </w:p>
    <w:p w:rsidR="00100A24" w:rsidRDefault="00100A24">
      <w:pPr>
        <w:pStyle w:val="TOC2"/>
        <w:tabs>
          <w:tab w:val="right" w:leader="dot" w:pos="8290"/>
        </w:tabs>
        <w:rPr>
          <w:b w:val="0"/>
          <w:noProof/>
          <w:sz w:val="24"/>
          <w:szCs w:val="24"/>
        </w:rPr>
      </w:pPr>
      <w:r>
        <w:rPr>
          <w:noProof/>
        </w:rPr>
        <w:t>2.1. Important variables and their indicators</w:t>
      </w:r>
      <w:r>
        <w:rPr>
          <w:noProof/>
        </w:rPr>
        <w:tab/>
      </w:r>
      <w:r>
        <w:rPr>
          <w:noProof/>
        </w:rPr>
        <w:fldChar w:fldCharType="begin"/>
      </w:r>
      <w:r>
        <w:rPr>
          <w:noProof/>
        </w:rPr>
        <w:instrText xml:space="preserve"> PAGEREF _Toc141864056 \h </w:instrText>
      </w:r>
      <w:r>
        <w:rPr>
          <w:noProof/>
        </w:rPr>
      </w:r>
      <w:r>
        <w:rPr>
          <w:noProof/>
        </w:rPr>
        <w:fldChar w:fldCharType="separate"/>
      </w:r>
      <w:r>
        <w:rPr>
          <w:noProof/>
        </w:rPr>
        <w:t>32</w:t>
      </w:r>
      <w:r>
        <w:rPr>
          <w:noProof/>
        </w:rPr>
        <w:fldChar w:fldCharType="end"/>
      </w:r>
    </w:p>
    <w:p w:rsidR="00100A24" w:rsidRDefault="00100A24">
      <w:pPr>
        <w:pStyle w:val="TOC2"/>
        <w:tabs>
          <w:tab w:val="right" w:leader="dot" w:pos="8290"/>
        </w:tabs>
        <w:rPr>
          <w:b w:val="0"/>
          <w:noProof/>
          <w:sz w:val="24"/>
          <w:szCs w:val="24"/>
        </w:rPr>
      </w:pPr>
      <w:r>
        <w:rPr>
          <w:noProof/>
        </w:rPr>
        <w:t>2.2. Data sources</w:t>
      </w:r>
      <w:r>
        <w:rPr>
          <w:noProof/>
        </w:rPr>
        <w:tab/>
      </w:r>
      <w:r>
        <w:rPr>
          <w:noProof/>
        </w:rPr>
        <w:fldChar w:fldCharType="begin"/>
      </w:r>
      <w:r>
        <w:rPr>
          <w:noProof/>
        </w:rPr>
        <w:instrText xml:space="preserve"> PAGEREF _Toc141864057 \h </w:instrText>
      </w:r>
      <w:r>
        <w:rPr>
          <w:noProof/>
        </w:rPr>
      </w:r>
      <w:r>
        <w:rPr>
          <w:noProof/>
        </w:rPr>
        <w:fldChar w:fldCharType="separate"/>
      </w:r>
      <w:r>
        <w:rPr>
          <w:noProof/>
        </w:rPr>
        <w:t>36</w:t>
      </w:r>
      <w:r>
        <w:rPr>
          <w:noProof/>
        </w:rPr>
        <w:fldChar w:fldCharType="end"/>
      </w:r>
    </w:p>
    <w:p w:rsidR="00100A24" w:rsidRDefault="00100A24">
      <w:pPr>
        <w:pStyle w:val="TOC1"/>
        <w:tabs>
          <w:tab w:val="right" w:leader="dot" w:pos="8290"/>
        </w:tabs>
        <w:rPr>
          <w:b w:val="0"/>
          <w:noProof/>
          <w:sz w:val="24"/>
        </w:rPr>
      </w:pPr>
      <w:r>
        <w:rPr>
          <w:noProof/>
        </w:rPr>
        <w:t>3. Parliamentary scrutiny in practice</w:t>
      </w:r>
      <w:r>
        <w:rPr>
          <w:noProof/>
        </w:rPr>
        <w:tab/>
      </w:r>
      <w:r>
        <w:rPr>
          <w:noProof/>
        </w:rPr>
        <w:fldChar w:fldCharType="begin"/>
      </w:r>
      <w:r>
        <w:rPr>
          <w:noProof/>
        </w:rPr>
        <w:instrText xml:space="preserve"> PAGEREF _Toc141864058 \h </w:instrText>
      </w:r>
      <w:r>
        <w:rPr>
          <w:noProof/>
        </w:rPr>
      </w:r>
      <w:r>
        <w:rPr>
          <w:noProof/>
        </w:rPr>
        <w:fldChar w:fldCharType="separate"/>
      </w:r>
      <w:r>
        <w:rPr>
          <w:noProof/>
        </w:rPr>
        <w:t>38</w:t>
      </w:r>
      <w:r>
        <w:rPr>
          <w:noProof/>
        </w:rPr>
        <w:fldChar w:fldCharType="end"/>
      </w:r>
    </w:p>
    <w:p w:rsidR="00100A24" w:rsidRDefault="00100A24">
      <w:pPr>
        <w:pStyle w:val="TOC2"/>
        <w:tabs>
          <w:tab w:val="right" w:leader="dot" w:pos="8290"/>
        </w:tabs>
        <w:rPr>
          <w:b w:val="0"/>
          <w:noProof/>
          <w:sz w:val="24"/>
          <w:szCs w:val="24"/>
        </w:rPr>
      </w:pPr>
      <w:r>
        <w:rPr>
          <w:noProof/>
        </w:rPr>
        <w:t>3.1. The parliamentary scrutiny system</w:t>
      </w:r>
      <w:r>
        <w:rPr>
          <w:noProof/>
        </w:rPr>
        <w:tab/>
      </w:r>
      <w:r>
        <w:rPr>
          <w:noProof/>
        </w:rPr>
        <w:fldChar w:fldCharType="begin"/>
      </w:r>
      <w:r>
        <w:rPr>
          <w:noProof/>
        </w:rPr>
        <w:instrText xml:space="preserve"> PAGEREF _Toc141864059 \h </w:instrText>
      </w:r>
      <w:r>
        <w:rPr>
          <w:noProof/>
        </w:rPr>
      </w:r>
      <w:r>
        <w:rPr>
          <w:noProof/>
        </w:rPr>
        <w:fldChar w:fldCharType="separate"/>
      </w:r>
      <w:r>
        <w:rPr>
          <w:noProof/>
        </w:rPr>
        <w:t>38</w:t>
      </w:r>
      <w:r>
        <w:rPr>
          <w:noProof/>
        </w:rPr>
        <w:fldChar w:fldCharType="end"/>
      </w:r>
    </w:p>
    <w:p w:rsidR="00100A24" w:rsidRDefault="00100A24">
      <w:pPr>
        <w:pStyle w:val="TOC2"/>
        <w:tabs>
          <w:tab w:val="right" w:leader="dot" w:pos="8290"/>
        </w:tabs>
        <w:rPr>
          <w:b w:val="0"/>
          <w:noProof/>
          <w:sz w:val="24"/>
          <w:szCs w:val="24"/>
        </w:rPr>
      </w:pPr>
      <w:r>
        <w:rPr>
          <w:noProof/>
        </w:rPr>
        <w:t>3.2. Case study</w:t>
      </w:r>
      <w:r>
        <w:rPr>
          <w:noProof/>
        </w:rPr>
        <w:tab/>
      </w:r>
      <w:r>
        <w:rPr>
          <w:noProof/>
        </w:rPr>
        <w:fldChar w:fldCharType="begin"/>
      </w:r>
      <w:r>
        <w:rPr>
          <w:noProof/>
        </w:rPr>
        <w:instrText xml:space="preserve"> PAGEREF _Toc141864060 \h </w:instrText>
      </w:r>
      <w:r>
        <w:rPr>
          <w:noProof/>
        </w:rPr>
      </w:r>
      <w:r>
        <w:rPr>
          <w:noProof/>
        </w:rPr>
        <w:fldChar w:fldCharType="separate"/>
      </w:r>
      <w:r>
        <w:rPr>
          <w:noProof/>
        </w:rPr>
        <w:t>39</w:t>
      </w:r>
      <w:r>
        <w:rPr>
          <w:noProof/>
        </w:rPr>
        <w:fldChar w:fldCharType="end"/>
      </w:r>
    </w:p>
    <w:p w:rsidR="00100A24" w:rsidRDefault="00100A24">
      <w:pPr>
        <w:pStyle w:val="TOC3"/>
        <w:tabs>
          <w:tab w:val="right" w:leader="dot" w:pos="8290"/>
        </w:tabs>
        <w:rPr>
          <w:noProof/>
          <w:sz w:val="24"/>
          <w:szCs w:val="24"/>
        </w:rPr>
      </w:pPr>
      <w:r>
        <w:rPr>
          <w:noProof/>
        </w:rPr>
        <w:t>3.2.1. Case 1: Quality and safety standards for human organs intended for transplantation</w:t>
      </w:r>
      <w:r>
        <w:rPr>
          <w:noProof/>
        </w:rPr>
        <w:tab/>
      </w:r>
      <w:r>
        <w:rPr>
          <w:noProof/>
        </w:rPr>
        <w:fldChar w:fldCharType="begin"/>
      </w:r>
      <w:r>
        <w:rPr>
          <w:noProof/>
        </w:rPr>
        <w:instrText xml:space="preserve"> PAGEREF _Toc141864061 \h </w:instrText>
      </w:r>
      <w:r>
        <w:rPr>
          <w:noProof/>
        </w:rPr>
      </w:r>
      <w:r>
        <w:rPr>
          <w:noProof/>
        </w:rPr>
        <w:fldChar w:fldCharType="separate"/>
      </w:r>
      <w:r>
        <w:rPr>
          <w:noProof/>
        </w:rPr>
        <w:t>40</w:t>
      </w:r>
      <w:r>
        <w:rPr>
          <w:noProof/>
        </w:rPr>
        <w:fldChar w:fldCharType="end"/>
      </w:r>
    </w:p>
    <w:p w:rsidR="00100A24" w:rsidRDefault="00100A24">
      <w:pPr>
        <w:pStyle w:val="TOC3"/>
        <w:tabs>
          <w:tab w:val="right" w:leader="dot" w:pos="8290"/>
        </w:tabs>
        <w:rPr>
          <w:noProof/>
          <w:sz w:val="24"/>
          <w:szCs w:val="24"/>
        </w:rPr>
      </w:pPr>
      <w:r>
        <w:rPr>
          <w:noProof/>
        </w:rPr>
        <w:t>3.2.2. Case 2: The right to translation and interpretation in criminal proceedings</w:t>
      </w:r>
      <w:r>
        <w:rPr>
          <w:noProof/>
        </w:rPr>
        <w:tab/>
      </w:r>
      <w:r>
        <w:rPr>
          <w:noProof/>
        </w:rPr>
        <w:fldChar w:fldCharType="begin"/>
      </w:r>
      <w:r>
        <w:rPr>
          <w:noProof/>
        </w:rPr>
        <w:instrText xml:space="preserve"> PAGEREF _Toc141864062 \h </w:instrText>
      </w:r>
      <w:r>
        <w:rPr>
          <w:noProof/>
        </w:rPr>
      </w:r>
      <w:r>
        <w:rPr>
          <w:noProof/>
        </w:rPr>
        <w:fldChar w:fldCharType="separate"/>
      </w:r>
      <w:r>
        <w:rPr>
          <w:noProof/>
        </w:rPr>
        <w:t>50</w:t>
      </w:r>
      <w:r>
        <w:rPr>
          <w:noProof/>
        </w:rPr>
        <w:fldChar w:fldCharType="end"/>
      </w:r>
    </w:p>
    <w:p w:rsidR="00100A24" w:rsidRDefault="00100A24">
      <w:pPr>
        <w:pStyle w:val="TOC3"/>
        <w:tabs>
          <w:tab w:val="right" w:leader="dot" w:pos="8290"/>
        </w:tabs>
        <w:rPr>
          <w:noProof/>
          <w:sz w:val="24"/>
          <w:szCs w:val="24"/>
        </w:rPr>
      </w:pPr>
      <w:r>
        <w:rPr>
          <w:noProof/>
        </w:rPr>
        <w:t>3.2.3. Secondary uses of the subsidiarity check</w:t>
      </w:r>
      <w:r>
        <w:rPr>
          <w:noProof/>
        </w:rPr>
        <w:tab/>
      </w:r>
      <w:r>
        <w:rPr>
          <w:noProof/>
        </w:rPr>
        <w:fldChar w:fldCharType="begin"/>
      </w:r>
      <w:r>
        <w:rPr>
          <w:noProof/>
        </w:rPr>
        <w:instrText xml:space="preserve"> PAGEREF _Toc141864063 \h </w:instrText>
      </w:r>
      <w:r>
        <w:rPr>
          <w:noProof/>
        </w:rPr>
      </w:r>
      <w:r>
        <w:rPr>
          <w:noProof/>
        </w:rPr>
        <w:fldChar w:fldCharType="separate"/>
      </w:r>
      <w:r>
        <w:rPr>
          <w:noProof/>
        </w:rPr>
        <w:t>57</w:t>
      </w:r>
      <w:r>
        <w:rPr>
          <w:noProof/>
        </w:rPr>
        <w:fldChar w:fldCharType="end"/>
      </w:r>
    </w:p>
    <w:p w:rsidR="00100A24" w:rsidRDefault="00100A24">
      <w:pPr>
        <w:pStyle w:val="TOC2"/>
        <w:tabs>
          <w:tab w:val="right" w:leader="dot" w:pos="8290"/>
        </w:tabs>
        <w:rPr>
          <w:b w:val="0"/>
          <w:noProof/>
          <w:sz w:val="24"/>
          <w:szCs w:val="24"/>
        </w:rPr>
      </w:pPr>
      <w:r>
        <w:rPr>
          <w:noProof/>
        </w:rPr>
        <w:t>3.3. Involvement of the European Parliament</w:t>
      </w:r>
      <w:r>
        <w:rPr>
          <w:noProof/>
        </w:rPr>
        <w:tab/>
      </w:r>
      <w:r>
        <w:rPr>
          <w:noProof/>
        </w:rPr>
        <w:fldChar w:fldCharType="begin"/>
      </w:r>
      <w:r>
        <w:rPr>
          <w:noProof/>
        </w:rPr>
        <w:instrText xml:space="preserve"> PAGEREF _Toc141864064 \h </w:instrText>
      </w:r>
      <w:r>
        <w:rPr>
          <w:noProof/>
        </w:rPr>
      </w:r>
      <w:r>
        <w:rPr>
          <w:noProof/>
        </w:rPr>
        <w:fldChar w:fldCharType="separate"/>
      </w:r>
      <w:r>
        <w:rPr>
          <w:noProof/>
        </w:rPr>
        <w:t>58</w:t>
      </w:r>
      <w:r>
        <w:rPr>
          <w:noProof/>
        </w:rPr>
        <w:fldChar w:fldCharType="end"/>
      </w:r>
    </w:p>
    <w:p w:rsidR="00100A24" w:rsidRDefault="00100A24">
      <w:pPr>
        <w:pStyle w:val="TOC2"/>
        <w:tabs>
          <w:tab w:val="right" w:leader="dot" w:pos="8290"/>
        </w:tabs>
        <w:rPr>
          <w:b w:val="0"/>
          <w:noProof/>
          <w:sz w:val="24"/>
          <w:szCs w:val="24"/>
        </w:rPr>
      </w:pPr>
      <w:r>
        <w:rPr>
          <w:noProof/>
        </w:rPr>
        <w:t>3.4. The impact of parliamentary objections</w:t>
      </w:r>
      <w:r>
        <w:rPr>
          <w:noProof/>
        </w:rPr>
        <w:tab/>
      </w:r>
      <w:r>
        <w:rPr>
          <w:noProof/>
        </w:rPr>
        <w:fldChar w:fldCharType="begin"/>
      </w:r>
      <w:r>
        <w:rPr>
          <w:noProof/>
        </w:rPr>
        <w:instrText xml:space="preserve"> PAGEREF _Toc141864065 \h </w:instrText>
      </w:r>
      <w:r>
        <w:rPr>
          <w:noProof/>
        </w:rPr>
      </w:r>
      <w:r>
        <w:rPr>
          <w:noProof/>
        </w:rPr>
        <w:fldChar w:fldCharType="separate"/>
      </w:r>
      <w:r>
        <w:rPr>
          <w:noProof/>
        </w:rPr>
        <w:t>59</w:t>
      </w:r>
      <w:r>
        <w:rPr>
          <w:noProof/>
        </w:rPr>
        <w:fldChar w:fldCharType="end"/>
      </w:r>
    </w:p>
    <w:p w:rsidR="00100A24" w:rsidRDefault="00100A24">
      <w:pPr>
        <w:pStyle w:val="TOC1"/>
        <w:tabs>
          <w:tab w:val="right" w:leader="dot" w:pos="8290"/>
        </w:tabs>
        <w:rPr>
          <w:b w:val="0"/>
          <w:noProof/>
          <w:sz w:val="24"/>
        </w:rPr>
      </w:pPr>
      <w:r>
        <w:rPr>
          <w:noProof/>
        </w:rPr>
        <w:t>4. Effects of parliamentary scrutiny</w:t>
      </w:r>
      <w:r>
        <w:rPr>
          <w:noProof/>
        </w:rPr>
        <w:tab/>
      </w:r>
      <w:r>
        <w:rPr>
          <w:noProof/>
        </w:rPr>
        <w:fldChar w:fldCharType="begin"/>
      </w:r>
      <w:r>
        <w:rPr>
          <w:noProof/>
        </w:rPr>
        <w:instrText xml:space="preserve"> PAGEREF _Toc141864066 \h </w:instrText>
      </w:r>
      <w:r>
        <w:rPr>
          <w:noProof/>
        </w:rPr>
      </w:r>
      <w:r>
        <w:rPr>
          <w:noProof/>
        </w:rPr>
        <w:fldChar w:fldCharType="separate"/>
      </w:r>
      <w:r>
        <w:rPr>
          <w:noProof/>
        </w:rPr>
        <w:t>61</w:t>
      </w:r>
      <w:r>
        <w:rPr>
          <w:noProof/>
        </w:rPr>
        <w:fldChar w:fldCharType="end"/>
      </w:r>
    </w:p>
    <w:p w:rsidR="00100A24" w:rsidRDefault="00100A24">
      <w:pPr>
        <w:pStyle w:val="TOC2"/>
        <w:tabs>
          <w:tab w:val="right" w:leader="dot" w:pos="8290"/>
        </w:tabs>
        <w:rPr>
          <w:b w:val="0"/>
          <w:noProof/>
          <w:sz w:val="24"/>
          <w:szCs w:val="24"/>
        </w:rPr>
      </w:pPr>
      <w:r>
        <w:rPr>
          <w:noProof/>
        </w:rPr>
        <w:t>4.1. Similarities and differences in the case study</w:t>
      </w:r>
      <w:r>
        <w:rPr>
          <w:noProof/>
        </w:rPr>
        <w:tab/>
      </w:r>
      <w:r>
        <w:rPr>
          <w:noProof/>
        </w:rPr>
        <w:fldChar w:fldCharType="begin"/>
      </w:r>
      <w:r>
        <w:rPr>
          <w:noProof/>
        </w:rPr>
        <w:instrText xml:space="preserve"> PAGEREF _Toc141864067 \h </w:instrText>
      </w:r>
      <w:r>
        <w:rPr>
          <w:noProof/>
        </w:rPr>
      </w:r>
      <w:r>
        <w:rPr>
          <w:noProof/>
        </w:rPr>
        <w:fldChar w:fldCharType="separate"/>
      </w:r>
      <w:r>
        <w:rPr>
          <w:noProof/>
        </w:rPr>
        <w:t>61</w:t>
      </w:r>
      <w:r>
        <w:rPr>
          <w:noProof/>
        </w:rPr>
        <w:fldChar w:fldCharType="end"/>
      </w:r>
    </w:p>
    <w:p w:rsidR="00100A24" w:rsidRDefault="00100A24">
      <w:pPr>
        <w:pStyle w:val="TOC3"/>
        <w:tabs>
          <w:tab w:val="right" w:leader="dot" w:pos="8290"/>
        </w:tabs>
        <w:rPr>
          <w:noProof/>
          <w:sz w:val="24"/>
          <w:szCs w:val="24"/>
        </w:rPr>
      </w:pPr>
      <w:r>
        <w:rPr>
          <w:noProof/>
        </w:rPr>
        <w:t>4.1.1. Similarities</w:t>
      </w:r>
      <w:r>
        <w:rPr>
          <w:noProof/>
        </w:rPr>
        <w:tab/>
      </w:r>
      <w:r>
        <w:rPr>
          <w:noProof/>
        </w:rPr>
        <w:fldChar w:fldCharType="begin"/>
      </w:r>
      <w:r>
        <w:rPr>
          <w:noProof/>
        </w:rPr>
        <w:instrText xml:space="preserve"> PAGEREF _Toc141864068 \h </w:instrText>
      </w:r>
      <w:r>
        <w:rPr>
          <w:noProof/>
        </w:rPr>
      </w:r>
      <w:r>
        <w:rPr>
          <w:noProof/>
        </w:rPr>
        <w:fldChar w:fldCharType="separate"/>
      </w:r>
      <w:r>
        <w:rPr>
          <w:noProof/>
        </w:rPr>
        <w:t>63</w:t>
      </w:r>
      <w:r>
        <w:rPr>
          <w:noProof/>
        </w:rPr>
        <w:fldChar w:fldCharType="end"/>
      </w:r>
    </w:p>
    <w:p w:rsidR="00100A24" w:rsidRDefault="00100A24">
      <w:pPr>
        <w:pStyle w:val="TOC3"/>
        <w:tabs>
          <w:tab w:val="right" w:leader="dot" w:pos="8290"/>
        </w:tabs>
        <w:rPr>
          <w:noProof/>
          <w:sz w:val="24"/>
          <w:szCs w:val="24"/>
        </w:rPr>
      </w:pPr>
      <w:r>
        <w:rPr>
          <w:noProof/>
        </w:rPr>
        <w:t>4.1.2. Differences</w:t>
      </w:r>
      <w:r>
        <w:rPr>
          <w:noProof/>
        </w:rPr>
        <w:tab/>
      </w:r>
      <w:r>
        <w:rPr>
          <w:noProof/>
        </w:rPr>
        <w:fldChar w:fldCharType="begin"/>
      </w:r>
      <w:r>
        <w:rPr>
          <w:noProof/>
        </w:rPr>
        <w:instrText xml:space="preserve"> PAGEREF _Toc141864069 \h </w:instrText>
      </w:r>
      <w:r>
        <w:rPr>
          <w:noProof/>
        </w:rPr>
      </w:r>
      <w:r>
        <w:rPr>
          <w:noProof/>
        </w:rPr>
        <w:fldChar w:fldCharType="separate"/>
      </w:r>
      <w:r>
        <w:rPr>
          <w:noProof/>
        </w:rPr>
        <w:t>64</w:t>
      </w:r>
      <w:r>
        <w:rPr>
          <w:noProof/>
        </w:rPr>
        <w:fldChar w:fldCharType="end"/>
      </w:r>
    </w:p>
    <w:p w:rsidR="00100A24" w:rsidRDefault="00100A24">
      <w:pPr>
        <w:pStyle w:val="TOC3"/>
        <w:tabs>
          <w:tab w:val="right" w:leader="dot" w:pos="8290"/>
        </w:tabs>
        <w:rPr>
          <w:noProof/>
          <w:sz w:val="24"/>
          <w:szCs w:val="24"/>
        </w:rPr>
      </w:pPr>
      <w:r>
        <w:rPr>
          <w:noProof/>
        </w:rPr>
        <w:t>4.1.3. Implications for the principle of subsidiarity</w:t>
      </w:r>
      <w:r>
        <w:rPr>
          <w:noProof/>
        </w:rPr>
        <w:tab/>
      </w:r>
      <w:r>
        <w:rPr>
          <w:noProof/>
        </w:rPr>
        <w:fldChar w:fldCharType="begin"/>
      </w:r>
      <w:r>
        <w:rPr>
          <w:noProof/>
        </w:rPr>
        <w:instrText xml:space="preserve"> PAGEREF _Toc141864070 \h </w:instrText>
      </w:r>
      <w:r>
        <w:rPr>
          <w:noProof/>
        </w:rPr>
      </w:r>
      <w:r>
        <w:rPr>
          <w:noProof/>
        </w:rPr>
        <w:fldChar w:fldCharType="separate"/>
      </w:r>
      <w:r>
        <w:rPr>
          <w:noProof/>
        </w:rPr>
        <w:t>65</w:t>
      </w:r>
      <w:r>
        <w:rPr>
          <w:noProof/>
        </w:rPr>
        <w:fldChar w:fldCharType="end"/>
      </w:r>
    </w:p>
    <w:p w:rsidR="00100A24" w:rsidRDefault="00100A24">
      <w:pPr>
        <w:pStyle w:val="TOC2"/>
        <w:tabs>
          <w:tab w:val="right" w:leader="dot" w:pos="8290"/>
        </w:tabs>
        <w:rPr>
          <w:b w:val="0"/>
          <w:noProof/>
          <w:sz w:val="24"/>
          <w:szCs w:val="24"/>
        </w:rPr>
      </w:pPr>
      <w:r>
        <w:rPr>
          <w:noProof/>
        </w:rPr>
        <w:t>4.2. Implications of the case study for the legitimacy of EU policy-making</w:t>
      </w:r>
      <w:r>
        <w:rPr>
          <w:noProof/>
        </w:rPr>
        <w:tab/>
      </w:r>
      <w:r>
        <w:rPr>
          <w:noProof/>
        </w:rPr>
        <w:fldChar w:fldCharType="begin"/>
      </w:r>
      <w:r>
        <w:rPr>
          <w:noProof/>
        </w:rPr>
        <w:instrText xml:space="preserve"> PAGEREF _Toc141864071 \h </w:instrText>
      </w:r>
      <w:r>
        <w:rPr>
          <w:noProof/>
        </w:rPr>
      </w:r>
      <w:r>
        <w:rPr>
          <w:noProof/>
        </w:rPr>
        <w:fldChar w:fldCharType="separate"/>
      </w:r>
      <w:r>
        <w:rPr>
          <w:noProof/>
        </w:rPr>
        <w:t>66</w:t>
      </w:r>
      <w:r>
        <w:rPr>
          <w:noProof/>
        </w:rPr>
        <w:fldChar w:fldCharType="end"/>
      </w:r>
    </w:p>
    <w:p w:rsidR="00100A24" w:rsidRDefault="00100A24">
      <w:pPr>
        <w:pStyle w:val="TOC2"/>
        <w:tabs>
          <w:tab w:val="right" w:leader="dot" w:pos="8290"/>
        </w:tabs>
        <w:rPr>
          <w:b w:val="0"/>
          <w:noProof/>
          <w:sz w:val="24"/>
          <w:szCs w:val="24"/>
        </w:rPr>
      </w:pPr>
      <w:r>
        <w:rPr>
          <w:noProof/>
        </w:rPr>
        <w:t>4.3. Conclusion</w:t>
      </w:r>
      <w:r>
        <w:rPr>
          <w:noProof/>
        </w:rPr>
        <w:tab/>
      </w:r>
      <w:r>
        <w:rPr>
          <w:noProof/>
        </w:rPr>
        <w:fldChar w:fldCharType="begin"/>
      </w:r>
      <w:r>
        <w:rPr>
          <w:noProof/>
        </w:rPr>
        <w:instrText xml:space="preserve"> PAGEREF _Toc141864072 \h </w:instrText>
      </w:r>
      <w:r>
        <w:rPr>
          <w:noProof/>
        </w:rPr>
      </w:r>
      <w:r>
        <w:rPr>
          <w:noProof/>
        </w:rPr>
        <w:fldChar w:fldCharType="separate"/>
      </w:r>
      <w:r>
        <w:rPr>
          <w:noProof/>
        </w:rPr>
        <w:t>67</w:t>
      </w:r>
      <w:r>
        <w:rPr>
          <w:noProof/>
        </w:rPr>
        <w:fldChar w:fldCharType="end"/>
      </w:r>
    </w:p>
    <w:p w:rsidR="00100A24" w:rsidRDefault="00100A24">
      <w:pPr>
        <w:pStyle w:val="TOC1"/>
        <w:tabs>
          <w:tab w:val="right" w:leader="dot" w:pos="8290"/>
        </w:tabs>
        <w:rPr>
          <w:b w:val="0"/>
          <w:noProof/>
          <w:sz w:val="24"/>
        </w:rPr>
      </w:pPr>
      <w:r>
        <w:rPr>
          <w:noProof/>
        </w:rPr>
        <w:t>5. Subsidiarity under the Treaty of Lisbon</w:t>
      </w:r>
      <w:r>
        <w:rPr>
          <w:noProof/>
        </w:rPr>
        <w:tab/>
      </w:r>
      <w:r>
        <w:rPr>
          <w:noProof/>
        </w:rPr>
        <w:fldChar w:fldCharType="begin"/>
      </w:r>
      <w:r>
        <w:rPr>
          <w:noProof/>
        </w:rPr>
        <w:instrText xml:space="preserve"> PAGEREF _Toc141864073 \h </w:instrText>
      </w:r>
      <w:r>
        <w:rPr>
          <w:noProof/>
        </w:rPr>
      </w:r>
      <w:r>
        <w:rPr>
          <w:noProof/>
        </w:rPr>
        <w:fldChar w:fldCharType="separate"/>
      </w:r>
      <w:r>
        <w:rPr>
          <w:noProof/>
        </w:rPr>
        <w:t>68</w:t>
      </w:r>
      <w:r>
        <w:rPr>
          <w:noProof/>
        </w:rPr>
        <w:fldChar w:fldCharType="end"/>
      </w:r>
    </w:p>
    <w:p w:rsidR="00100A24" w:rsidRDefault="00100A24">
      <w:pPr>
        <w:pStyle w:val="TOC2"/>
        <w:tabs>
          <w:tab w:val="right" w:leader="dot" w:pos="8290"/>
        </w:tabs>
        <w:rPr>
          <w:b w:val="0"/>
          <w:noProof/>
          <w:sz w:val="24"/>
          <w:szCs w:val="24"/>
        </w:rPr>
      </w:pPr>
      <w:r>
        <w:rPr>
          <w:noProof/>
        </w:rPr>
        <w:t>5.1. Most important changes under the Treaty of Lisbon</w:t>
      </w:r>
      <w:r>
        <w:rPr>
          <w:noProof/>
        </w:rPr>
        <w:tab/>
      </w:r>
      <w:r>
        <w:rPr>
          <w:noProof/>
        </w:rPr>
        <w:fldChar w:fldCharType="begin"/>
      </w:r>
      <w:r>
        <w:rPr>
          <w:noProof/>
        </w:rPr>
        <w:instrText xml:space="preserve"> PAGEREF _Toc141864074 \h </w:instrText>
      </w:r>
      <w:r>
        <w:rPr>
          <w:noProof/>
        </w:rPr>
      </w:r>
      <w:r>
        <w:rPr>
          <w:noProof/>
        </w:rPr>
        <w:fldChar w:fldCharType="separate"/>
      </w:r>
      <w:r>
        <w:rPr>
          <w:noProof/>
        </w:rPr>
        <w:t>68</w:t>
      </w:r>
      <w:r>
        <w:rPr>
          <w:noProof/>
        </w:rPr>
        <w:fldChar w:fldCharType="end"/>
      </w:r>
    </w:p>
    <w:p w:rsidR="00100A24" w:rsidRDefault="00100A24">
      <w:pPr>
        <w:pStyle w:val="TOC2"/>
        <w:tabs>
          <w:tab w:val="right" w:leader="dot" w:pos="8290"/>
        </w:tabs>
        <w:rPr>
          <w:b w:val="0"/>
          <w:noProof/>
          <w:sz w:val="24"/>
          <w:szCs w:val="24"/>
        </w:rPr>
      </w:pPr>
      <w:r>
        <w:rPr>
          <w:noProof/>
        </w:rPr>
        <w:t>5.2. The future of subsidiarity</w:t>
      </w:r>
      <w:r>
        <w:rPr>
          <w:noProof/>
        </w:rPr>
        <w:tab/>
      </w:r>
      <w:r>
        <w:rPr>
          <w:noProof/>
        </w:rPr>
        <w:fldChar w:fldCharType="begin"/>
      </w:r>
      <w:r>
        <w:rPr>
          <w:noProof/>
        </w:rPr>
        <w:instrText xml:space="preserve"> PAGEREF _Toc141864075 \h </w:instrText>
      </w:r>
      <w:r>
        <w:rPr>
          <w:noProof/>
        </w:rPr>
      </w:r>
      <w:r>
        <w:rPr>
          <w:noProof/>
        </w:rPr>
        <w:fldChar w:fldCharType="separate"/>
      </w:r>
      <w:r>
        <w:rPr>
          <w:noProof/>
        </w:rPr>
        <w:t>69</w:t>
      </w:r>
      <w:r>
        <w:rPr>
          <w:noProof/>
        </w:rPr>
        <w:fldChar w:fldCharType="end"/>
      </w:r>
    </w:p>
    <w:p w:rsidR="00100A24" w:rsidRDefault="00100A24">
      <w:pPr>
        <w:pStyle w:val="TOC3"/>
        <w:tabs>
          <w:tab w:val="right" w:leader="dot" w:pos="8290"/>
        </w:tabs>
        <w:rPr>
          <w:noProof/>
          <w:sz w:val="24"/>
          <w:szCs w:val="24"/>
        </w:rPr>
      </w:pPr>
      <w:r>
        <w:rPr>
          <w:noProof/>
        </w:rPr>
        <w:t>5.2.1. Subsidiarity checks</w:t>
      </w:r>
      <w:r>
        <w:rPr>
          <w:noProof/>
        </w:rPr>
        <w:tab/>
      </w:r>
      <w:r>
        <w:rPr>
          <w:noProof/>
        </w:rPr>
        <w:fldChar w:fldCharType="begin"/>
      </w:r>
      <w:r>
        <w:rPr>
          <w:noProof/>
        </w:rPr>
        <w:instrText xml:space="preserve"> PAGEREF _Toc141864076 \h </w:instrText>
      </w:r>
      <w:r>
        <w:rPr>
          <w:noProof/>
        </w:rPr>
      </w:r>
      <w:r>
        <w:rPr>
          <w:noProof/>
        </w:rPr>
        <w:fldChar w:fldCharType="separate"/>
      </w:r>
      <w:r>
        <w:rPr>
          <w:noProof/>
        </w:rPr>
        <w:t>69</w:t>
      </w:r>
      <w:r>
        <w:rPr>
          <w:noProof/>
        </w:rPr>
        <w:fldChar w:fldCharType="end"/>
      </w:r>
    </w:p>
    <w:p w:rsidR="00100A24" w:rsidRDefault="00100A24">
      <w:pPr>
        <w:pStyle w:val="TOC3"/>
        <w:tabs>
          <w:tab w:val="right" w:leader="dot" w:pos="8290"/>
        </w:tabs>
        <w:rPr>
          <w:noProof/>
          <w:sz w:val="24"/>
          <w:szCs w:val="24"/>
        </w:rPr>
      </w:pPr>
      <w:r>
        <w:rPr>
          <w:noProof/>
        </w:rPr>
        <w:t>5.2.2. Yellow and orange card procedures</w:t>
      </w:r>
      <w:r>
        <w:rPr>
          <w:noProof/>
        </w:rPr>
        <w:tab/>
      </w:r>
      <w:r>
        <w:rPr>
          <w:noProof/>
        </w:rPr>
        <w:fldChar w:fldCharType="begin"/>
      </w:r>
      <w:r>
        <w:rPr>
          <w:noProof/>
        </w:rPr>
        <w:instrText xml:space="preserve"> PAGEREF _Toc141864077 \h </w:instrText>
      </w:r>
      <w:r>
        <w:rPr>
          <w:noProof/>
        </w:rPr>
      </w:r>
      <w:r>
        <w:rPr>
          <w:noProof/>
        </w:rPr>
        <w:fldChar w:fldCharType="separate"/>
      </w:r>
      <w:r>
        <w:rPr>
          <w:noProof/>
        </w:rPr>
        <w:t>70</w:t>
      </w:r>
      <w:r>
        <w:rPr>
          <w:noProof/>
        </w:rPr>
        <w:fldChar w:fldCharType="end"/>
      </w:r>
    </w:p>
    <w:p w:rsidR="00100A24" w:rsidRDefault="00100A24">
      <w:pPr>
        <w:pStyle w:val="TOC2"/>
        <w:tabs>
          <w:tab w:val="right" w:leader="dot" w:pos="8290"/>
        </w:tabs>
        <w:rPr>
          <w:b w:val="0"/>
          <w:noProof/>
          <w:sz w:val="24"/>
          <w:szCs w:val="24"/>
        </w:rPr>
      </w:pPr>
      <w:r>
        <w:rPr>
          <w:noProof/>
        </w:rPr>
        <w:t>5.3. Conclusion</w:t>
      </w:r>
      <w:r>
        <w:rPr>
          <w:noProof/>
        </w:rPr>
        <w:tab/>
      </w:r>
      <w:r>
        <w:rPr>
          <w:noProof/>
        </w:rPr>
        <w:fldChar w:fldCharType="begin"/>
      </w:r>
      <w:r>
        <w:rPr>
          <w:noProof/>
        </w:rPr>
        <w:instrText xml:space="preserve"> PAGEREF _Toc141864078 \h </w:instrText>
      </w:r>
      <w:r>
        <w:rPr>
          <w:noProof/>
        </w:rPr>
      </w:r>
      <w:r>
        <w:rPr>
          <w:noProof/>
        </w:rPr>
        <w:fldChar w:fldCharType="separate"/>
      </w:r>
      <w:r>
        <w:rPr>
          <w:noProof/>
        </w:rPr>
        <w:t>71</w:t>
      </w:r>
      <w:r>
        <w:rPr>
          <w:noProof/>
        </w:rPr>
        <w:fldChar w:fldCharType="end"/>
      </w:r>
    </w:p>
    <w:p w:rsidR="00100A24" w:rsidRDefault="00100A24">
      <w:pPr>
        <w:pStyle w:val="TOC1"/>
        <w:tabs>
          <w:tab w:val="right" w:leader="dot" w:pos="8290"/>
        </w:tabs>
        <w:rPr>
          <w:b w:val="0"/>
          <w:noProof/>
          <w:sz w:val="24"/>
        </w:rPr>
      </w:pPr>
      <w:r>
        <w:rPr>
          <w:noProof/>
        </w:rPr>
        <w:t>Conclusions and recommendations</w:t>
      </w:r>
      <w:r>
        <w:rPr>
          <w:noProof/>
        </w:rPr>
        <w:tab/>
      </w:r>
      <w:r>
        <w:rPr>
          <w:noProof/>
        </w:rPr>
        <w:fldChar w:fldCharType="begin"/>
      </w:r>
      <w:r>
        <w:rPr>
          <w:noProof/>
        </w:rPr>
        <w:instrText xml:space="preserve"> PAGEREF _Toc141864079 \h </w:instrText>
      </w:r>
      <w:r>
        <w:rPr>
          <w:noProof/>
        </w:rPr>
      </w:r>
      <w:r>
        <w:rPr>
          <w:noProof/>
        </w:rPr>
        <w:fldChar w:fldCharType="separate"/>
      </w:r>
      <w:r>
        <w:rPr>
          <w:noProof/>
        </w:rPr>
        <w:t>72</w:t>
      </w:r>
      <w:r>
        <w:rPr>
          <w:noProof/>
        </w:rPr>
        <w:fldChar w:fldCharType="end"/>
      </w:r>
    </w:p>
    <w:p w:rsidR="00100A24" w:rsidRDefault="00100A24">
      <w:pPr>
        <w:pStyle w:val="TOC2"/>
        <w:tabs>
          <w:tab w:val="right" w:leader="dot" w:pos="8290"/>
        </w:tabs>
        <w:rPr>
          <w:b w:val="0"/>
          <w:noProof/>
          <w:sz w:val="24"/>
          <w:szCs w:val="24"/>
        </w:rPr>
      </w:pPr>
      <w:r>
        <w:rPr>
          <w:noProof/>
        </w:rPr>
        <w:t>Legitimacy: can national parliaments help?</w:t>
      </w:r>
      <w:r>
        <w:rPr>
          <w:noProof/>
        </w:rPr>
        <w:tab/>
      </w:r>
      <w:r>
        <w:rPr>
          <w:noProof/>
        </w:rPr>
        <w:fldChar w:fldCharType="begin"/>
      </w:r>
      <w:r>
        <w:rPr>
          <w:noProof/>
        </w:rPr>
        <w:instrText xml:space="preserve"> PAGEREF _Toc141864080 \h </w:instrText>
      </w:r>
      <w:r>
        <w:rPr>
          <w:noProof/>
        </w:rPr>
      </w:r>
      <w:r>
        <w:rPr>
          <w:noProof/>
        </w:rPr>
        <w:fldChar w:fldCharType="separate"/>
      </w:r>
      <w:r>
        <w:rPr>
          <w:noProof/>
        </w:rPr>
        <w:t>72</w:t>
      </w:r>
      <w:r>
        <w:rPr>
          <w:noProof/>
        </w:rPr>
        <w:fldChar w:fldCharType="end"/>
      </w:r>
    </w:p>
    <w:p w:rsidR="00100A24" w:rsidRDefault="00100A24">
      <w:pPr>
        <w:pStyle w:val="TOC2"/>
        <w:tabs>
          <w:tab w:val="right" w:leader="dot" w:pos="8290"/>
        </w:tabs>
        <w:rPr>
          <w:b w:val="0"/>
          <w:noProof/>
          <w:sz w:val="24"/>
          <w:szCs w:val="24"/>
        </w:rPr>
      </w:pPr>
      <w:r>
        <w:rPr>
          <w:noProof/>
        </w:rPr>
        <w:t>Recommendations</w:t>
      </w:r>
      <w:r>
        <w:rPr>
          <w:noProof/>
        </w:rPr>
        <w:tab/>
      </w:r>
      <w:r>
        <w:rPr>
          <w:noProof/>
        </w:rPr>
        <w:fldChar w:fldCharType="begin"/>
      </w:r>
      <w:r>
        <w:rPr>
          <w:noProof/>
        </w:rPr>
        <w:instrText xml:space="preserve"> PAGEREF _Toc141864081 \h </w:instrText>
      </w:r>
      <w:r>
        <w:rPr>
          <w:noProof/>
        </w:rPr>
      </w:r>
      <w:r>
        <w:rPr>
          <w:noProof/>
        </w:rPr>
        <w:fldChar w:fldCharType="separate"/>
      </w:r>
      <w:r>
        <w:rPr>
          <w:noProof/>
        </w:rPr>
        <w:t>76</w:t>
      </w:r>
      <w:r>
        <w:rPr>
          <w:noProof/>
        </w:rPr>
        <w:fldChar w:fldCharType="end"/>
      </w:r>
    </w:p>
    <w:p w:rsidR="00100A24" w:rsidRDefault="00100A24">
      <w:pPr>
        <w:pStyle w:val="TOC1"/>
        <w:tabs>
          <w:tab w:val="right" w:leader="dot" w:pos="8290"/>
        </w:tabs>
        <w:rPr>
          <w:b w:val="0"/>
          <w:noProof/>
          <w:sz w:val="24"/>
        </w:rPr>
      </w:pPr>
      <w:r>
        <w:rPr>
          <w:noProof/>
        </w:rPr>
        <w:t>Epilogue</w:t>
      </w:r>
      <w:r>
        <w:rPr>
          <w:noProof/>
        </w:rPr>
        <w:tab/>
      </w:r>
      <w:r>
        <w:rPr>
          <w:noProof/>
        </w:rPr>
        <w:fldChar w:fldCharType="begin"/>
      </w:r>
      <w:r>
        <w:rPr>
          <w:noProof/>
        </w:rPr>
        <w:instrText xml:space="preserve"> PAGEREF _Toc141864082 \h </w:instrText>
      </w:r>
      <w:r>
        <w:rPr>
          <w:noProof/>
        </w:rPr>
      </w:r>
      <w:r>
        <w:rPr>
          <w:noProof/>
        </w:rPr>
        <w:fldChar w:fldCharType="separate"/>
      </w:r>
      <w:r>
        <w:rPr>
          <w:noProof/>
        </w:rPr>
        <w:t>79</w:t>
      </w:r>
      <w:r>
        <w:rPr>
          <w:noProof/>
        </w:rPr>
        <w:fldChar w:fldCharType="end"/>
      </w:r>
    </w:p>
    <w:p w:rsidR="00100A24" w:rsidRDefault="00100A24">
      <w:pPr>
        <w:pStyle w:val="TOC1"/>
        <w:tabs>
          <w:tab w:val="right" w:leader="dot" w:pos="8290"/>
        </w:tabs>
        <w:rPr>
          <w:b w:val="0"/>
          <w:noProof/>
          <w:sz w:val="24"/>
        </w:rPr>
      </w:pPr>
      <w:r>
        <w:rPr>
          <w:noProof/>
        </w:rPr>
        <w:t>Bibliography</w:t>
      </w:r>
      <w:r>
        <w:rPr>
          <w:noProof/>
        </w:rPr>
        <w:tab/>
      </w:r>
      <w:r>
        <w:rPr>
          <w:noProof/>
        </w:rPr>
        <w:fldChar w:fldCharType="begin"/>
      </w:r>
      <w:r>
        <w:rPr>
          <w:noProof/>
        </w:rPr>
        <w:instrText xml:space="preserve"> PAGEREF _Toc141864083 \h </w:instrText>
      </w:r>
      <w:r>
        <w:rPr>
          <w:noProof/>
        </w:rPr>
      </w:r>
      <w:r>
        <w:rPr>
          <w:noProof/>
        </w:rPr>
        <w:fldChar w:fldCharType="separate"/>
      </w:r>
      <w:r>
        <w:rPr>
          <w:noProof/>
        </w:rPr>
        <w:t>80</w:t>
      </w:r>
      <w:r>
        <w:rPr>
          <w:noProof/>
        </w:rPr>
        <w:fldChar w:fldCharType="end"/>
      </w:r>
    </w:p>
    <w:p w:rsidR="00100A24" w:rsidRDefault="00100A24">
      <w:pPr>
        <w:pStyle w:val="TOC1"/>
        <w:tabs>
          <w:tab w:val="right" w:leader="dot" w:pos="8290"/>
        </w:tabs>
        <w:rPr>
          <w:b w:val="0"/>
          <w:noProof/>
          <w:sz w:val="24"/>
        </w:rPr>
      </w:pPr>
      <w:r>
        <w:rPr>
          <w:noProof/>
        </w:rPr>
        <w:t>Annex</w:t>
      </w:r>
      <w:r>
        <w:rPr>
          <w:noProof/>
        </w:rPr>
        <w:tab/>
      </w:r>
      <w:r>
        <w:rPr>
          <w:noProof/>
        </w:rPr>
        <w:fldChar w:fldCharType="begin"/>
      </w:r>
      <w:r>
        <w:rPr>
          <w:noProof/>
        </w:rPr>
        <w:instrText xml:space="preserve"> PAGEREF _Toc141864084 \h </w:instrText>
      </w:r>
      <w:r>
        <w:rPr>
          <w:noProof/>
        </w:rPr>
      </w:r>
      <w:r>
        <w:rPr>
          <w:noProof/>
        </w:rPr>
        <w:fldChar w:fldCharType="separate"/>
      </w:r>
      <w:r>
        <w:rPr>
          <w:noProof/>
        </w:rPr>
        <w:t>88</w:t>
      </w:r>
      <w:r>
        <w:rPr>
          <w:noProof/>
        </w:rPr>
        <w:fldChar w:fldCharType="end"/>
      </w:r>
    </w:p>
    <w:p w:rsidR="00100A24" w:rsidRDefault="00100A24">
      <w:pPr>
        <w:pStyle w:val="TOC2"/>
        <w:tabs>
          <w:tab w:val="right" w:leader="dot" w:pos="8290"/>
        </w:tabs>
        <w:rPr>
          <w:b w:val="0"/>
          <w:noProof/>
          <w:sz w:val="24"/>
          <w:szCs w:val="24"/>
        </w:rPr>
      </w:pPr>
      <w:r>
        <w:rPr>
          <w:noProof/>
        </w:rPr>
        <w:t>Annex I: Relevant provisions of the European Treaties</w:t>
      </w:r>
      <w:r>
        <w:rPr>
          <w:noProof/>
        </w:rPr>
        <w:tab/>
      </w:r>
      <w:r>
        <w:rPr>
          <w:noProof/>
        </w:rPr>
        <w:fldChar w:fldCharType="begin"/>
      </w:r>
      <w:r>
        <w:rPr>
          <w:noProof/>
        </w:rPr>
        <w:instrText xml:space="preserve"> PAGEREF _Toc141864085 \h </w:instrText>
      </w:r>
      <w:r>
        <w:rPr>
          <w:noProof/>
        </w:rPr>
      </w:r>
      <w:r>
        <w:rPr>
          <w:noProof/>
        </w:rPr>
        <w:fldChar w:fldCharType="separate"/>
      </w:r>
      <w:r>
        <w:rPr>
          <w:noProof/>
        </w:rPr>
        <w:t>89</w:t>
      </w:r>
      <w:r>
        <w:rPr>
          <w:noProof/>
        </w:rPr>
        <w:fldChar w:fldCharType="end"/>
      </w:r>
    </w:p>
    <w:p w:rsidR="00100A24" w:rsidRDefault="00100A24">
      <w:pPr>
        <w:pStyle w:val="TOC2"/>
        <w:tabs>
          <w:tab w:val="right" w:leader="dot" w:pos="8290"/>
        </w:tabs>
        <w:rPr>
          <w:b w:val="0"/>
          <w:noProof/>
          <w:sz w:val="24"/>
          <w:szCs w:val="24"/>
        </w:rPr>
      </w:pPr>
      <w:r>
        <w:rPr>
          <w:noProof/>
        </w:rPr>
        <w:t>Annex II: Protocol 1 to the Lisbon Treaty on the Role of National Parliaments in the Union</w:t>
      </w:r>
      <w:r>
        <w:rPr>
          <w:noProof/>
        </w:rPr>
        <w:tab/>
      </w:r>
      <w:r>
        <w:rPr>
          <w:noProof/>
        </w:rPr>
        <w:fldChar w:fldCharType="begin"/>
      </w:r>
      <w:r>
        <w:rPr>
          <w:noProof/>
        </w:rPr>
        <w:instrText xml:space="preserve"> PAGEREF _Toc141864086 \h </w:instrText>
      </w:r>
      <w:r>
        <w:rPr>
          <w:noProof/>
        </w:rPr>
      </w:r>
      <w:r>
        <w:rPr>
          <w:noProof/>
        </w:rPr>
        <w:fldChar w:fldCharType="separate"/>
      </w:r>
      <w:r>
        <w:rPr>
          <w:noProof/>
        </w:rPr>
        <w:t>91</w:t>
      </w:r>
      <w:r>
        <w:rPr>
          <w:noProof/>
        </w:rPr>
        <w:fldChar w:fldCharType="end"/>
      </w:r>
    </w:p>
    <w:p w:rsidR="00100A24" w:rsidRDefault="00100A24">
      <w:pPr>
        <w:pStyle w:val="TOC2"/>
        <w:tabs>
          <w:tab w:val="right" w:leader="dot" w:pos="8290"/>
        </w:tabs>
        <w:rPr>
          <w:b w:val="0"/>
          <w:noProof/>
          <w:sz w:val="24"/>
          <w:szCs w:val="24"/>
        </w:rPr>
      </w:pPr>
      <w:r>
        <w:rPr>
          <w:noProof/>
        </w:rPr>
        <w:t>Annex III: Protocol 2 to the Lisbon Treaty on the Application of the Principles of Subsidiarity and Proportionality</w:t>
      </w:r>
      <w:r>
        <w:rPr>
          <w:noProof/>
        </w:rPr>
        <w:tab/>
      </w:r>
      <w:r>
        <w:rPr>
          <w:noProof/>
        </w:rPr>
        <w:fldChar w:fldCharType="begin"/>
      </w:r>
      <w:r>
        <w:rPr>
          <w:noProof/>
        </w:rPr>
        <w:instrText xml:space="preserve"> PAGEREF _Toc141864087 \h </w:instrText>
      </w:r>
      <w:r>
        <w:rPr>
          <w:noProof/>
        </w:rPr>
      </w:r>
      <w:r>
        <w:rPr>
          <w:noProof/>
        </w:rPr>
        <w:fldChar w:fldCharType="separate"/>
      </w:r>
      <w:r>
        <w:rPr>
          <w:noProof/>
        </w:rPr>
        <w:t>94</w:t>
      </w:r>
      <w:r>
        <w:rPr>
          <w:noProof/>
        </w:rPr>
        <w:fldChar w:fldCharType="end"/>
      </w:r>
    </w:p>
    <w:p w:rsidR="00100A24" w:rsidRDefault="00100A24">
      <w:pPr>
        <w:pStyle w:val="TOC2"/>
        <w:tabs>
          <w:tab w:val="right" w:leader="dot" w:pos="8290"/>
        </w:tabs>
        <w:rPr>
          <w:b w:val="0"/>
          <w:noProof/>
          <w:sz w:val="24"/>
          <w:szCs w:val="24"/>
        </w:rPr>
      </w:pPr>
      <w:r>
        <w:rPr>
          <w:noProof/>
        </w:rPr>
        <w:t>Annex IV: List of national parliaments and chambers</w:t>
      </w:r>
      <w:r>
        <w:rPr>
          <w:noProof/>
        </w:rPr>
        <w:tab/>
      </w:r>
      <w:r>
        <w:rPr>
          <w:noProof/>
        </w:rPr>
        <w:fldChar w:fldCharType="begin"/>
      </w:r>
      <w:r>
        <w:rPr>
          <w:noProof/>
        </w:rPr>
        <w:instrText xml:space="preserve"> PAGEREF _Toc141864088 \h </w:instrText>
      </w:r>
      <w:r>
        <w:rPr>
          <w:noProof/>
        </w:rPr>
      </w:r>
      <w:r>
        <w:rPr>
          <w:noProof/>
        </w:rPr>
        <w:fldChar w:fldCharType="separate"/>
      </w:r>
      <w:r>
        <w:rPr>
          <w:noProof/>
        </w:rPr>
        <w:t>98</w:t>
      </w:r>
      <w:r>
        <w:rPr>
          <w:noProof/>
        </w:rPr>
        <w:fldChar w:fldCharType="end"/>
      </w:r>
    </w:p>
    <w:p w:rsidR="00100A24" w:rsidRDefault="00100A24">
      <w:pPr>
        <w:pStyle w:val="TOC2"/>
        <w:tabs>
          <w:tab w:val="right" w:leader="dot" w:pos="8290"/>
        </w:tabs>
        <w:rPr>
          <w:b w:val="0"/>
          <w:noProof/>
          <w:sz w:val="24"/>
          <w:szCs w:val="24"/>
        </w:rPr>
      </w:pPr>
      <w:r>
        <w:rPr>
          <w:noProof/>
        </w:rPr>
        <w:t>Annex V: Interviews</w:t>
      </w:r>
      <w:r>
        <w:rPr>
          <w:noProof/>
        </w:rPr>
        <w:tab/>
      </w:r>
      <w:r>
        <w:rPr>
          <w:noProof/>
        </w:rPr>
        <w:fldChar w:fldCharType="begin"/>
      </w:r>
      <w:r>
        <w:rPr>
          <w:noProof/>
        </w:rPr>
        <w:instrText xml:space="preserve"> PAGEREF _Toc141864089 \h </w:instrText>
      </w:r>
      <w:r>
        <w:rPr>
          <w:noProof/>
        </w:rPr>
      </w:r>
      <w:r>
        <w:rPr>
          <w:noProof/>
        </w:rPr>
        <w:fldChar w:fldCharType="separate"/>
      </w:r>
      <w:r>
        <w:rPr>
          <w:noProof/>
        </w:rPr>
        <w:t>100</w:t>
      </w:r>
      <w:r>
        <w:rPr>
          <w:noProof/>
        </w:rPr>
        <w:fldChar w:fldCharType="end"/>
      </w:r>
    </w:p>
    <w:p w:rsidR="00100A24" w:rsidRDefault="00100A24">
      <w:r>
        <w:fldChar w:fldCharType="end"/>
      </w:r>
    </w:p>
    <w:p w:rsidR="00100A24" w:rsidRDefault="00100A24" w:rsidP="00F30190">
      <w:pPr>
        <w:pStyle w:val="Heading1"/>
      </w:pPr>
      <w:r>
        <w:br w:type="column"/>
      </w:r>
      <w:bookmarkStart w:id="2" w:name="_Toc141864037"/>
      <w:r>
        <w:t>Introduction</w:t>
      </w:r>
      <w:bookmarkEnd w:id="2"/>
    </w:p>
    <w:p w:rsidR="00100A24" w:rsidRDefault="00100A24" w:rsidP="00F30190"/>
    <w:p w:rsidR="00100A24" w:rsidRDefault="00100A24" w:rsidP="00F30190">
      <w:r>
        <w:t xml:space="preserve">The European Union is of particular interest to many researchers since it establishes cooperative relationships between many European states. The process of European integration started after the Second World War and has gone further and deeper ever since. The six original founders of the EU have expanded their cooperative agreements to, at the time of writing, including 27 member states. It may not come as a surprise that with 27 member states it is hard to agree on what the EU should do and what remains among the competences of the member states’ governments. It may also come as no surprise that the formal competences of the EU have been identified subtly, but are not written in stone. In the day-to-day politics of the Union, decisions about whether the EU should or should not act are often made. These decisions are governed by the principle of subsidiarity. </w:t>
      </w:r>
    </w:p>
    <w:p w:rsidR="00100A24" w:rsidRDefault="00100A24" w:rsidP="00F30190"/>
    <w:p w:rsidR="00100A24" w:rsidRDefault="00100A24" w:rsidP="00F30190">
      <w:r>
        <w:t>The subject of this thesis is how subsidiarity works in the European Union and whether it has the potential to increase the legitimacy of European policy-making. This is an important topic, for the legitimacy of EU policies has been subject of many debates since the 1980s. Around that time, the European Community started to expand rapidly and the threat of the use of majority voting increased. Where, previously, national governments would not make any decisions in the Council of which they knew that their national parliaments would not support them, majority voting caused national governments to be able to get outvoted. In effect, this diminished the influence of national parliaments in European policy-making (Estella, 2002:37-45). As national parliaments are democratically chosen by the people and therefore generally represent what the people of a member state want, the threat of majority voting nearly eradicated this democratic element by allowing a member state to be bypassed entirely. The principle of subsidiarity tries to give national parliaments more say in the EU, and it is therefore useful to investigate what subsidiarity does for the legitimacy of European policy-making. What will be researched is how national parliaments have used the principle up until now, how the European Commission (EC) has responded to the communications sent to it by the national parliaments and how these mutual interactions have thus characterized the principle itself. Furthermore, insight in the possible implications of the changes in the treaty basis of subsidiarity with the entry into force of the Lisbon Treaty will be considered based on what happened in the past. The use of the principle will then indicate its value for increasing legitimacy.</w:t>
      </w:r>
    </w:p>
    <w:p w:rsidR="00100A24" w:rsidRDefault="00100A24" w:rsidP="00F30190"/>
    <w:p w:rsidR="00100A24" w:rsidRDefault="00100A24" w:rsidP="00F30190">
      <w:r>
        <w:t xml:space="preserve">The research question that I will try to answer is the following: </w:t>
      </w:r>
      <w:r>
        <w:rPr>
          <w:i/>
        </w:rPr>
        <w:t>can national parliaments, using the principle of subsidiarity, increase the legitimacy of the EU policy-making process?</w:t>
      </w:r>
    </w:p>
    <w:p w:rsidR="00100A24" w:rsidRDefault="00100A24" w:rsidP="00F30190"/>
    <w:p w:rsidR="00100A24" w:rsidRDefault="00100A24" w:rsidP="00F30190">
      <w:r>
        <w:t>The social value of answering this question is that it will give insight into the role of national parliaments in the EU. An increasing role of national parliaments would indicate an increasing role of its citizens in EU matters, since national parliaments are democratically chosen institutions. The EU lacks this kind of institutions, for the European Parliament is the only EU body holding elections and the turnouts at these elections usually are quite low. The EU could thus benefit from more involvement of its citizens. Subsidiarity could help the citizens to understand the division of tasks is in Europe, so that they do not expect their national legislators to do something when it is a task of the EU and vice versa. This should then increase their support of the EU and its institutions and hopefully increase the legitimacy of its policy-making. The scientific value of this research is that it will show whether national parliaments actually are adept at increasing the legitimacy of EU policy-making by using the principle of subsidiarity. It is not written in stone that their involvement in matters concerning this principle will do the EU’s legitimacy any good. Therefore, insight on the past use of the principle and its effects will provide useful information about the possibilities of involving national parliaments further in EU matters.</w:t>
      </w:r>
    </w:p>
    <w:p w:rsidR="00100A24" w:rsidRDefault="00100A24" w:rsidP="00F30190"/>
    <w:p w:rsidR="00100A24" w:rsidRDefault="00100A24" w:rsidP="00F30190">
      <w:r>
        <w:t>The research question allows me to delve into cases dealing with subsidiarity and the consequences of parliamentary action and their interaction with the Commission. Essentially, then, the nature of this thesis is a case study. In order to come to a conclusion that answers the question, the following sub questions will be employed:</w:t>
      </w:r>
    </w:p>
    <w:p w:rsidR="00100A24" w:rsidRDefault="00100A24" w:rsidP="00C44FFF">
      <w:pPr>
        <w:pStyle w:val="ListParagraph"/>
        <w:numPr>
          <w:ilvl w:val="0"/>
          <w:numId w:val="2"/>
        </w:numPr>
        <w:spacing w:after="0" w:line="360" w:lineRule="auto"/>
        <w:jc w:val="both"/>
      </w:pPr>
      <w:r>
        <w:t>How can legitimacy be defined?</w:t>
      </w:r>
    </w:p>
    <w:p w:rsidR="00100A24" w:rsidRDefault="00100A24" w:rsidP="00C44FFF">
      <w:pPr>
        <w:pStyle w:val="ListParagraph"/>
        <w:numPr>
          <w:ilvl w:val="0"/>
          <w:numId w:val="2"/>
        </w:numPr>
        <w:spacing w:after="0" w:line="360" w:lineRule="auto"/>
        <w:jc w:val="both"/>
      </w:pPr>
      <w:r>
        <w:t>What does the EU governance framework look like?</w:t>
      </w:r>
    </w:p>
    <w:p w:rsidR="00100A24" w:rsidRDefault="00100A24" w:rsidP="00C44FFF">
      <w:pPr>
        <w:pStyle w:val="ListParagraph"/>
        <w:numPr>
          <w:ilvl w:val="1"/>
          <w:numId w:val="2"/>
        </w:numPr>
        <w:spacing w:after="0" w:line="360" w:lineRule="auto"/>
        <w:jc w:val="both"/>
      </w:pPr>
      <w:r>
        <w:t>What part does subsidiarity play in this framework?</w:t>
      </w:r>
    </w:p>
    <w:p w:rsidR="00100A24" w:rsidRDefault="00100A24" w:rsidP="00C44FFF">
      <w:pPr>
        <w:pStyle w:val="ListParagraph"/>
        <w:numPr>
          <w:ilvl w:val="0"/>
          <w:numId w:val="2"/>
        </w:numPr>
        <w:spacing w:after="0" w:line="360" w:lineRule="auto"/>
        <w:jc w:val="both"/>
      </w:pPr>
      <w:r>
        <w:t>How can subsidiarity be defined?</w:t>
      </w:r>
    </w:p>
    <w:p w:rsidR="00100A24" w:rsidRDefault="00100A24" w:rsidP="00C44FFF">
      <w:pPr>
        <w:pStyle w:val="ListParagraph"/>
        <w:numPr>
          <w:ilvl w:val="1"/>
          <w:numId w:val="2"/>
        </w:numPr>
        <w:spacing w:after="0" w:line="360" w:lineRule="auto"/>
        <w:jc w:val="both"/>
      </w:pPr>
      <w:r>
        <w:t>How has subsidiarity evolved?</w:t>
      </w:r>
    </w:p>
    <w:p w:rsidR="00100A24" w:rsidRDefault="00100A24" w:rsidP="00C44FFF">
      <w:pPr>
        <w:pStyle w:val="ListParagraph"/>
        <w:numPr>
          <w:ilvl w:val="1"/>
          <w:numId w:val="2"/>
        </w:numPr>
        <w:spacing w:after="0" w:line="360" w:lineRule="auto"/>
        <w:jc w:val="both"/>
      </w:pPr>
      <w:r>
        <w:t>What is the legal status of subsidiarity?</w:t>
      </w:r>
    </w:p>
    <w:p w:rsidR="00100A24" w:rsidRDefault="00100A24" w:rsidP="00C44FFF">
      <w:pPr>
        <w:pStyle w:val="ListParagraph"/>
        <w:numPr>
          <w:ilvl w:val="2"/>
          <w:numId w:val="2"/>
        </w:numPr>
        <w:spacing w:after="0" w:line="360" w:lineRule="auto"/>
        <w:jc w:val="both"/>
      </w:pPr>
      <w:r>
        <w:t>What was its status under Maastricht and Amsterdam?</w:t>
      </w:r>
    </w:p>
    <w:p w:rsidR="00100A24" w:rsidRDefault="00100A24" w:rsidP="00C44FFF">
      <w:pPr>
        <w:pStyle w:val="ListParagraph"/>
        <w:numPr>
          <w:ilvl w:val="2"/>
          <w:numId w:val="2"/>
        </w:numPr>
        <w:spacing w:after="0" w:line="360" w:lineRule="auto"/>
        <w:jc w:val="both"/>
      </w:pPr>
      <w:r>
        <w:t>What is its status under Lisbon?</w:t>
      </w:r>
    </w:p>
    <w:p w:rsidR="00100A24" w:rsidRDefault="00100A24" w:rsidP="00C44FFF">
      <w:pPr>
        <w:pStyle w:val="ListParagraph"/>
        <w:numPr>
          <w:ilvl w:val="1"/>
          <w:numId w:val="2"/>
        </w:numPr>
        <w:spacing w:after="0" w:line="360" w:lineRule="auto"/>
        <w:jc w:val="both"/>
      </w:pPr>
      <w:r>
        <w:t>What institutions are important with regards to the principle?</w:t>
      </w:r>
    </w:p>
    <w:p w:rsidR="00100A24" w:rsidRDefault="00100A24" w:rsidP="00C44FFF">
      <w:pPr>
        <w:pStyle w:val="ListParagraph"/>
        <w:numPr>
          <w:ilvl w:val="2"/>
          <w:numId w:val="2"/>
        </w:numPr>
        <w:spacing w:after="0" w:line="360" w:lineRule="auto"/>
        <w:jc w:val="both"/>
      </w:pPr>
      <w:r>
        <w:t>What is the role of the European Commission?</w:t>
      </w:r>
    </w:p>
    <w:p w:rsidR="00100A24" w:rsidRDefault="00100A24" w:rsidP="00C44FFF">
      <w:pPr>
        <w:pStyle w:val="ListParagraph"/>
        <w:numPr>
          <w:ilvl w:val="2"/>
          <w:numId w:val="2"/>
        </w:numPr>
        <w:spacing w:after="0" w:line="360" w:lineRule="auto"/>
        <w:jc w:val="both"/>
      </w:pPr>
      <w:r>
        <w:t>Is there a role for the legislators, ie. the Council and the European Parliament?</w:t>
      </w:r>
    </w:p>
    <w:p w:rsidR="00100A24" w:rsidRDefault="00100A24" w:rsidP="00C44FFF">
      <w:pPr>
        <w:pStyle w:val="ListParagraph"/>
        <w:numPr>
          <w:ilvl w:val="2"/>
          <w:numId w:val="2"/>
        </w:numPr>
        <w:spacing w:after="0" w:line="360" w:lineRule="auto"/>
        <w:jc w:val="both"/>
      </w:pPr>
      <w:r>
        <w:t>Does the judiciary of the European Union play a role?</w:t>
      </w:r>
    </w:p>
    <w:p w:rsidR="00100A24" w:rsidRDefault="00100A24" w:rsidP="00C44FFF">
      <w:pPr>
        <w:pStyle w:val="ListParagraph"/>
        <w:numPr>
          <w:ilvl w:val="2"/>
          <w:numId w:val="2"/>
        </w:numPr>
        <w:spacing w:after="0" w:line="360" w:lineRule="auto"/>
        <w:jc w:val="both"/>
      </w:pPr>
      <w:r>
        <w:t>What role do national parliaments have in reviewing subsidiarity?</w:t>
      </w:r>
    </w:p>
    <w:p w:rsidR="00100A24" w:rsidRDefault="00100A24" w:rsidP="00B116D7">
      <w:pPr>
        <w:pStyle w:val="ListParagraph"/>
        <w:numPr>
          <w:ilvl w:val="1"/>
          <w:numId w:val="2"/>
        </w:numPr>
        <w:spacing w:after="0" w:line="360" w:lineRule="auto"/>
        <w:jc w:val="both"/>
      </w:pPr>
      <w:r>
        <w:t>How is subsidiarity connected to legitimacy?</w:t>
      </w:r>
    </w:p>
    <w:p w:rsidR="00100A24" w:rsidRDefault="00100A24" w:rsidP="00C44FFF">
      <w:pPr>
        <w:pStyle w:val="ListParagraph"/>
        <w:numPr>
          <w:ilvl w:val="0"/>
          <w:numId w:val="2"/>
        </w:numPr>
        <w:spacing w:after="0" w:line="360" w:lineRule="auto"/>
        <w:jc w:val="both"/>
      </w:pPr>
      <w:r>
        <w:t>How have national parliaments employed subsidiarity?</w:t>
      </w:r>
    </w:p>
    <w:p w:rsidR="00100A24" w:rsidRDefault="00100A24" w:rsidP="00C44FFF">
      <w:pPr>
        <w:pStyle w:val="ListParagraph"/>
        <w:numPr>
          <w:ilvl w:val="1"/>
          <w:numId w:val="2"/>
        </w:numPr>
        <w:spacing w:after="0" w:line="360" w:lineRule="auto"/>
        <w:jc w:val="both"/>
      </w:pPr>
      <w:r>
        <w:t>Has there been involvement of the European Parliament?</w:t>
      </w:r>
    </w:p>
    <w:p w:rsidR="00100A24" w:rsidRDefault="00100A24" w:rsidP="00C44FFF">
      <w:pPr>
        <w:pStyle w:val="ListParagraph"/>
        <w:numPr>
          <w:ilvl w:val="1"/>
          <w:numId w:val="2"/>
        </w:numPr>
        <w:spacing w:after="0" w:line="360" w:lineRule="auto"/>
        <w:jc w:val="both"/>
      </w:pPr>
      <w:r>
        <w:t>Can secondary uses of the principle be found?</w:t>
      </w:r>
    </w:p>
    <w:p w:rsidR="00100A24" w:rsidRDefault="00100A24" w:rsidP="00C44FFF">
      <w:pPr>
        <w:pStyle w:val="ListParagraph"/>
        <w:numPr>
          <w:ilvl w:val="0"/>
          <w:numId w:val="2"/>
        </w:numPr>
        <w:spacing w:after="0" w:line="360" w:lineRule="auto"/>
        <w:jc w:val="both"/>
      </w:pPr>
      <w:r>
        <w:t>How has the European Commission reacted to these actions by national parliaments?</w:t>
      </w:r>
    </w:p>
    <w:p w:rsidR="00100A24" w:rsidRDefault="00100A24" w:rsidP="00C44FFF">
      <w:pPr>
        <w:pStyle w:val="ListParagraph"/>
        <w:numPr>
          <w:ilvl w:val="1"/>
          <w:numId w:val="2"/>
        </w:numPr>
        <w:spacing w:after="0" w:line="360" w:lineRule="auto"/>
        <w:jc w:val="both"/>
      </w:pPr>
      <w:r>
        <w:t>Have parliamentary objections resulted in changes in or withdrawals of Commission proposals?</w:t>
      </w:r>
    </w:p>
    <w:p w:rsidR="00100A24" w:rsidRDefault="00100A24" w:rsidP="00C44FFF">
      <w:pPr>
        <w:pStyle w:val="ListParagraph"/>
        <w:numPr>
          <w:ilvl w:val="0"/>
          <w:numId w:val="2"/>
        </w:numPr>
        <w:spacing w:after="0" w:line="360" w:lineRule="auto"/>
        <w:jc w:val="both"/>
      </w:pPr>
      <w:r>
        <w:t>What is the significance of parliamentary scrutiny on grounds of subsidiarity as used until now?</w:t>
      </w:r>
    </w:p>
    <w:p w:rsidR="00100A24" w:rsidRDefault="00100A24" w:rsidP="00C44FFF">
      <w:pPr>
        <w:pStyle w:val="ListParagraph"/>
        <w:numPr>
          <w:ilvl w:val="0"/>
          <w:numId w:val="2"/>
        </w:numPr>
        <w:spacing w:after="0" w:line="360" w:lineRule="auto"/>
        <w:jc w:val="both"/>
      </w:pPr>
      <w:r>
        <w:t>What are the prospects for the role of subsidiarity under the Lisbon Treaty?</w:t>
      </w:r>
    </w:p>
    <w:p w:rsidR="00100A24" w:rsidRDefault="00100A24" w:rsidP="00C44FFF">
      <w:pPr>
        <w:pStyle w:val="ListParagraph"/>
        <w:numPr>
          <w:ilvl w:val="0"/>
          <w:numId w:val="2"/>
        </w:numPr>
        <w:spacing w:after="0" w:line="360" w:lineRule="auto"/>
        <w:jc w:val="both"/>
      </w:pPr>
      <w:r>
        <w:t>What recommendations can be made?</w:t>
      </w:r>
    </w:p>
    <w:p w:rsidR="00100A24" w:rsidRDefault="00100A24" w:rsidP="00F30190"/>
    <w:p w:rsidR="00100A24" w:rsidRDefault="00100A24" w:rsidP="00F30190">
      <w:r>
        <w:t>The answers to these sub questions can be discovered in the consequent chapters of this thesis. In the first chapter I will answer the first to third sub question by creating the theoretical framework used to analyze data for this thesis. The theoretical framework will consist of literature on policy-making in the EU and its most important actors, governance mechanisms in the EU and their connection to subsidiarity, and literature on legitimacy and how it can be influenced by national parliaments. A flowchart showing the important variables operating in this thesis will also be presented. From the first chapter follow the indicators employed in the thesis to analyze the data that is used. These indicators will be used to measure the dependent, intervening, intermediate and independent variables of this thesis. This information will be part of the chapter on methodology. The third chapter will deal with sub questions four and five, discussing the two cases used to interpret the use and status of the subsidiarity principle. The two cases I have chosen for this study are proposals made by the EC. They are COM(2008) 818 and COM(2009) 338, dealing with respectively quality and safety standards for human organs intended for transplantation and the right to translation and interpretation in criminal proceedings. What will be analyzed is the content of the proposals, any communications sent by national parliaments to the EC and responses of the EC, and any additional material concerning the cases. The fourth chapter will deal with sub question six, analyzing the significance of parliamentary scrutiny for subsidiarity. The fifth chapter will answer sub question seven and thus try to identify the possible prospects for the future of subsidiarity under the Lisbon Treaty. The sixth and final chapter will answer the research question and provide conclusions and recommendations.</w:t>
      </w:r>
    </w:p>
    <w:p w:rsidR="00100A24" w:rsidRDefault="00100A24" w:rsidP="00C52A05">
      <w:pPr>
        <w:pStyle w:val="Heading1"/>
      </w:pPr>
      <w:r>
        <w:br w:type="column"/>
      </w:r>
      <w:bookmarkStart w:id="3" w:name="_Toc141864038"/>
      <w:r>
        <w:t>1. Connecting governance, subsidiarity and legitimacy</w:t>
      </w:r>
      <w:bookmarkEnd w:id="3"/>
    </w:p>
    <w:p w:rsidR="00100A24" w:rsidRDefault="00100A24" w:rsidP="00C52A05"/>
    <w:p w:rsidR="00100A24" w:rsidRDefault="00100A24" w:rsidP="00C52A05">
      <w:r>
        <w:t>This chapter will provide the theoretical framework this thesis hinges on. As mentioned in the introduction, the sub questions answered will be the first, second and third sub question. These questions deal with legitimacy, governance and subsidiarity. First, the basics of how the EU works will be discussed, since a knowledge of at least the basic decision-making procedures is imperative for a good understanding of the dynamics of subsidiarity and parliamentary scrutiny. Then, the academic basis for subsidiarity will be discussed by providing information on governance frameworks. Important for subsidiarity in this sense is the White Paper on European Governance, published by the EC (2001). Third, literature on subsidiarity itself will be discussed as well as the legal basis as established for the principle in the treaties of the EU. Fourth, the concept of legitimacy will be presented and linked to the principle of subsidiarity. Finally, this chapter will show a flowchart that evolves from thee presented theory. This flowchart will show the important variables for this thesis.</w:t>
      </w:r>
    </w:p>
    <w:p w:rsidR="00100A24" w:rsidRDefault="00100A24" w:rsidP="00C52A05"/>
    <w:p w:rsidR="00100A24" w:rsidRDefault="00100A24" w:rsidP="00195E45">
      <w:pPr>
        <w:pStyle w:val="Heading2"/>
        <w:numPr>
          <w:ilvl w:val="1"/>
          <w:numId w:val="4"/>
        </w:numPr>
      </w:pPr>
      <w:bookmarkStart w:id="4" w:name="_Toc141864039"/>
      <w:r>
        <w:t>The workings of the European Union</w:t>
      </w:r>
      <w:bookmarkEnd w:id="4"/>
    </w:p>
    <w:p w:rsidR="00100A24" w:rsidRDefault="00100A24" w:rsidP="00195E45">
      <w:r>
        <w:t>In order to understand why subsidiarity is important in the EU and why national parliaments have a role in scrutinizing any proposals made by the EU, a basic understanding of the history of the EU, its institutions and the mechanisms governing EU decision-making is needed. This will be discussed below.</w:t>
      </w:r>
    </w:p>
    <w:p w:rsidR="00100A24" w:rsidRDefault="00100A24" w:rsidP="00FD5B5F">
      <w:pPr>
        <w:pStyle w:val="Heading3"/>
        <w:numPr>
          <w:ilvl w:val="2"/>
          <w:numId w:val="4"/>
        </w:numPr>
      </w:pPr>
      <w:bookmarkStart w:id="5" w:name="_Toc141864040"/>
      <w:r>
        <w:t>History of the European Union</w:t>
      </w:r>
      <w:bookmarkEnd w:id="5"/>
    </w:p>
    <w:p w:rsidR="00100A24" w:rsidRDefault="00100A24" w:rsidP="00195E45">
      <w:r>
        <w:t>The European Union we know today started out in 1952 as a cooperation of six states (Belgium, France, Germany, Italy, Luxembourg and The Netherlands) in the European Coal and Steel Community (ECSC). A few years later, in 1957, these states decided to increase their cooperation. They drafted the Treaty of Rome, which, amongst others, established the European Economic Community (EEC).  Since then, the Treaty of Rome and the Treaty of Paris, which established the ECSC, have undergone several rounds of revision (Cini, 2007:2). However, before the first significant change was made, there were two rounds of enlargement. In 1973 Britain, Denmark and Ireland joined the Community. Greece joined in 1981. Then, in 1986, two important things happened. One of these was the accession of Spain and Portugal (Dinan, 2005:4). The other was the first important revision of the then existing treaties: the Single European Act (SEA). This treaty came into force in 1987 (Cini, 2007:2). The SEA was the cause of some very important reforms. Examples are the extension of the use of Qualified Majority Voting (QMV) in the Council, the establishment of a deadline for the completion of the internal market, the introduction of the cooperation procedure that gave the European Parliament more power, and an expansion of formal competences of the Community (Cini, 2007:32). In 1992 there were new rounds of negotiation among the members of the Community, which led to the adoption of the Maastricht Treaty (Cini, 2007:2). This treaty is also called the Treaty on the European Union (TEU), since it established the European Union as an entity. It also paved the way for the European Monetary Union (EMU), which ultimately led to the creation of a common currency, the euro. Maastricht also introduced the principles of subsidiarity and proportionality and established a three-pillar structure within which policies were made under different decision-making procedures (Cini, 2007:33-34). In 1995 the European Union experienced another round of enlargement when Austria, Finland and Sweden joined (Dinan, 2005:4). The EU recognized that Maastricht had left some problems unanswered, so a new round of treaty negotiations began in 1996. This led to the Treaty of Amsterdam (1997), which changed a couple competences and policies of the EU, enhanced the legislative task of the EP, changed many unanimity requirements for policy change into QMV and added extra emphasis on the subsidiarity principle. Quickly after Amsterdam a debate on the capacity for the EU to cope with further enlargement flared, since the Treaty had failed in this respect. This resulted in the Treaty of Nice, which expanded the QMV procedure even further and enhanced the coherence of the EU. After Nice, the EU was readying itself for the biggest round of enlargement ever. However, the prospect of enlargement also led to another debate on the future of Europe. Its legitimacy and transparency were said to be too low and the EU was not close enough to the European citizens (Cini, 2007:36-41). Ultimately, in 2004, the member states agreed on the Constitutional Treaty. This Treaty, though, would only come into force years later and in modified form (Cini, 2007:2). Before then, the EU would enlarge itself even more. Many of the formerly communist Eastern European states were done preparing themselves to join the EU. Therefore, in 2004 the EU was enlarged by ten new states: the Czech Republic, Cyprus, Estonia, Hungary, Latvia, Lithuania, Malta, Poland, Slovakia and Slovenia (Dinan, 2005:4). In 2007 Romania and Bulgaria also joined the EU, taking the EU to the 27 member states it currently has (Europa, 2 June 2010a). After the last enlargement in 2007, the Constitutional Treaty still had not been ratified due to negative referenda outcomes in France and The Netherlands. The Treaty was modified where controversies had risen and was then presented anew under the name Lisbon Treaty. Finally, all member states were able to ratify it and the Lisbon Treaty came into force in December 2009 (Europa, 2 June 2010b).</w:t>
      </w:r>
    </w:p>
    <w:p w:rsidR="00100A24" w:rsidRDefault="00100A24" w:rsidP="00204D51">
      <w:pPr>
        <w:pStyle w:val="Heading3"/>
        <w:numPr>
          <w:ilvl w:val="2"/>
          <w:numId w:val="4"/>
        </w:numPr>
      </w:pPr>
      <w:bookmarkStart w:id="6" w:name="_Toc141864041"/>
      <w:r>
        <w:t>European Union institutions</w:t>
      </w:r>
      <w:bookmarkEnd w:id="6"/>
    </w:p>
    <w:p w:rsidR="00100A24" w:rsidRDefault="00100A24" w:rsidP="00204D51">
      <w:r>
        <w:t>The European Union has four official institutions. These are the European Commission, the European Parliament, the Council of the European Union (or ‘Council’) and the Court of Justice (ECJ). Each institution has its own tasks and responsibilities and will be discussed briefly.</w:t>
      </w:r>
    </w:p>
    <w:p w:rsidR="00100A24" w:rsidRDefault="00100A24" w:rsidP="00204D51"/>
    <w:p w:rsidR="00100A24" w:rsidRDefault="00100A24" w:rsidP="00204D51">
      <w:r>
        <w:t>The European Commission is responsible for the initiation of policy proposals, the representation of the EU in trade negotiations, the issuing of rules and regulations, managing the EU budget and the guarding of the implementation of the treaties and of secondary legislation. The EC is composed of multiple task-specific Directorate-Generals (DGs) that, together, form Europe’s main bureaucracy (Hix, 2005:40-41). The EC can be compared to the ministries at national level.</w:t>
      </w:r>
    </w:p>
    <w:p w:rsidR="00100A24" w:rsidRDefault="00100A24" w:rsidP="00204D51"/>
    <w:p w:rsidR="00100A24" w:rsidRDefault="00100A24" w:rsidP="00204D51">
      <w:r>
        <w:t>The European Parliament is one of the legislative bodies of the EU, but the only body that is directly elected by the European citizens. It consists of more than 700 parliamentarians from all 27 member states. Among its tasks are reviewing the EU budget and participating in the decision-making processes of the EU. Especially for the latter task, the EP’s powers have grown over time. It now mostly engages in a co-decision procedure with the Council and has the ability to block proposals (Cini, 2007:176-179).</w:t>
      </w:r>
    </w:p>
    <w:p w:rsidR="00100A24" w:rsidRDefault="00100A24" w:rsidP="00204D51"/>
    <w:p w:rsidR="00100A24" w:rsidRDefault="00100A24" w:rsidP="00204D51">
      <w:r>
        <w:t>The Council consists of the ministers from the governments of the member states and can vary in composition in accordance with the subject being considered. For example, when discussing agricultural policies, the Council will be composed of all the agricultural ministers in the EU. When the Council considers education, the education ministers of the European member states will take their seat in the Council. The Council’s tasks are to set the long-term policy goals of the EU, to set the medium-term policy agenda, to implement EU legislation through the governments of the member states themselves, to manage, together with the EC, the day-to-day administration of EU policies and to vote on legislative proposals made by the EC, usually in cooperation with the EP (Hix, 2005:31, 83). The Council is not to be confused with the European Council, which consists of all the Heads of State or of Government of the EU and provides the EU with overall strategic guidance. The European Council is sometimes called upon to break any deadlocks that arise in the Council of the European Union (Cini, 2007:158).</w:t>
      </w:r>
    </w:p>
    <w:p w:rsidR="00100A24" w:rsidRDefault="00100A24" w:rsidP="00204D51"/>
    <w:p w:rsidR="00100A24" w:rsidRPr="00204D51" w:rsidRDefault="00100A24" w:rsidP="00204D51">
      <w:r>
        <w:t>The European judicial system is composed of the Court of Justice and the Court of First Instance (CFI). The task of the ECJ is to ensure that member states comply with treaty law and secondary regulations of the EU (Cini, 2007:189-190).</w:t>
      </w:r>
    </w:p>
    <w:p w:rsidR="00100A24" w:rsidRDefault="00100A24" w:rsidP="00786F6E">
      <w:pPr>
        <w:pStyle w:val="Heading3"/>
        <w:numPr>
          <w:ilvl w:val="2"/>
          <w:numId w:val="4"/>
        </w:numPr>
      </w:pPr>
      <w:bookmarkStart w:id="7" w:name="_Toc141864042"/>
      <w:r>
        <w:t>Policy-making in the European Union</w:t>
      </w:r>
      <w:bookmarkEnd w:id="7"/>
    </w:p>
    <w:p w:rsidR="00100A24" w:rsidRDefault="00100A24" w:rsidP="00786F6E">
      <w:r>
        <w:t xml:space="preserve">The brief history of the EU and its institutions described above allows me to turn toward the mechanisms of EU policy-making, which is also one of the sides of the Subsidiarity Triangle linking the EU and governance. </w:t>
      </w:r>
    </w:p>
    <w:p w:rsidR="00100A24" w:rsidRDefault="00100A24" w:rsidP="00786F6E"/>
    <w:p w:rsidR="00100A24" w:rsidRDefault="00100A24" w:rsidP="00C01385">
      <w:pPr>
        <w:tabs>
          <w:tab w:val="left" w:pos="4962"/>
        </w:tabs>
      </w:pPr>
      <w:r>
        <w:t xml:space="preserve">Roughly, policy-making can be done between governments (intergovernmental) or at a higher level by institutions that have been awarded legislative powers (supranational). At the beginning of any EU law and regulation stands the European Commission. The EC was always seen as the proponent of the so-called </w:t>
      </w:r>
      <w:r>
        <w:rPr>
          <w:i/>
        </w:rPr>
        <w:t>community method</w:t>
      </w:r>
      <w:r>
        <w:t xml:space="preserve">, which puts supranational policy-making at the heart of EU decision-making. However, the EC does not do everything alone. It cooperates closely with the Council and the EP, thereby creating a legislative triangle (Dinan, 2005:328-329). While the EC is the only organ with formal power to initiate proposals, the path proposals take afterwards can vary. The EU has known several decision-making procedures, some of which have fallen into disuse. </w:t>
      </w:r>
    </w:p>
    <w:p w:rsidR="00100A24" w:rsidRDefault="00100A24" w:rsidP="00786F6E"/>
    <w:p w:rsidR="00100A24" w:rsidRDefault="00100A24" w:rsidP="00786F6E">
      <w:r>
        <w:t xml:space="preserve">The main decision-making procedure of the EU nowadays is the co-decision procedure (under the Treaty of Lisbon it is called the </w:t>
      </w:r>
      <w:r>
        <w:rPr>
          <w:i/>
        </w:rPr>
        <w:t>ordinary legislative procedure</w:t>
      </w:r>
      <w:r>
        <w:t xml:space="preserve">). This procedure requires both the EP and the Council to agree on a proposal before it can be adopted. This procedure can involve amendments made by the EC, the Council and the EP. If the EP and Council cannot agree on a proposal within two readings, a third reading is set up through a conciliation committee that tries to draft a joint text. Ultimately, either the Council or the EP can block a proposal (Cini, 2007:7-8). </w:t>
      </w:r>
    </w:p>
    <w:p w:rsidR="00100A24" w:rsidRDefault="00100A24" w:rsidP="00786F6E"/>
    <w:p w:rsidR="00100A24" w:rsidRDefault="00100A24" w:rsidP="00786F6E">
      <w:r>
        <w:t>Among the other, older decision-making procedures in the EU are the consultation procedure and the cooperation procedure. The consultation procedure was the original procedure of the Treaty of Rome and allowed for the EP to send an opinion to the EC regarding a proposal before the Council would decide on it. The EC could then decide whether or not to amend the proposal and send it to the Council to be voted upon. The cooperation procedure was introduced in the SEA and gave the EP the right to a second reading on a draft proposal. It also extended QMV usage in the Council (Dinan, 2005:331-332). During the negotiations that led to the Treaty of Amsterdam, governments agreed that the preferred method of decision-making was the co-decision procedure. Use of the cooperation and consultation procedures would then become limited (Cini, 2007:7).</w:t>
      </w:r>
    </w:p>
    <w:p w:rsidR="00100A24" w:rsidRDefault="00100A24" w:rsidP="00786F6E"/>
    <w:p w:rsidR="00100A24" w:rsidRDefault="00100A24" w:rsidP="00786F6E">
      <w:r>
        <w:t>Policy-making links the EU to governance because the decision-making procedures used in policy-making allow interest groups and sub-national governments to exert influence in the European arena by lobbying at the institutions in power. The multi-leveled nature of European decision-making is visible, for example, in the unison of regional authorities in the Committee of the Regions (CoR). The CoR functions as an advisory body to the EU, but its opinions are taken seriously (Cini, 2007:290). At the policy-initiation stage, interest groups, the Council, the EP and the European Council supplement the activities of the EC, showing off the involvement of multiple actors in policy-making (Hooghe &amp; Marks, 2001:14). The Commission does really seem to operate in a “system of multi-level governance involving competition and interdependence among it and the European Council, Council of Ministers and European Parliament” (Hooghe &amp; Marks, 2001:16).</w:t>
      </w:r>
    </w:p>
    <w:p w:rsidR="00100A24" w:rsidRPr="00A358FB" w:rsidRDefault="00100A24" w:rsidP="00786F6E"/>
    <w:p w:rsidR="00100A24" w:rsidRDefault="00100A24" w:rsidP="00195E45">
      <w:pPr>
        <w:pStyle w:val="Heading2"/>
        <w:numPr>
          <w:ilvl w:val="1"/>
          <w:numId w:val="4"/>
        </w:numPr>
      </w:pPr>
      <w:bookmarkStart w:id="8" w:name="_Toc141864043"/>
      <w:r>
        <w:t>European governance</w:t>
      </w:r>
      <w:bookmarkEnd w:id="8"/>
    </w:p>
    <w:p w:rsidR="00100A24" w:rsidRDefault="00100A24" w:rsidP="00730220">
      <w:r>
        <w:t>The following paragraph discusses what the European governance framework looks like and what part subsidiarity plays in this framework. Consequently, this is the paragraph that provides an answer to the second sub question. Paragraph 1.2.1. will provide an answer to the question what the EU governance framework looks like. In doing so, the following figure will be applied:</w:t>
      </w:r>
    </w:p>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r>
        <w:rPr>
          <w:noProof/>
        </w:rPr>
        <w:pict>
          <v:shape id="_x0000_s1029" type="#_x0000_t75" alt="Governance figure.png" style="position:absolute;left:0;text-align:left;margin-left:2pt;margin-top:0;width:5in;height:282pt;z-index:-251657216;visibility:visible">
            <v:imagedata r:id="rId8" o:title=""/>
          </v:shape>
        </w:pict>
      </w:r>
    </w:p>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 w:rsidR="00100A24" w:rsidRDefault="00100A24" w:rsidP="00730220">
      <w:pPr>
        <w:rPr>
          <w:sz w:val="20"/>
        </w:rPr>
      </w:pPr>
    </w:p>
    <w:p w:rsidR="00100A24" w:rsidRPr="002A3D2C" w:rsidRDefault="00100A24" w:rsidP="00730220">
      <w:pPr>
        <w:rPr>
          <w:sz w:val="20"/>
        </w:rPr>
      </w:pPr>
      <w:r w:rsidRPr="002A3D2C">
        <w:rPr>
          <w:sz w:val="20"/>
        </w:rPr>
        <w:t xml:space="preserve">Figure 1. </w:t>
      </w:r>
      <w:r>
        <w:rPr>
          <w:sz w:val="20"/>
        </w:rPr>
        <w:t xml:space="preserve">EU </w:t>
      </w:r>
      <w:r w:rsidRPr="002A3D2C">
        <w:rPr>
          <w:sz w:val="20"/>
        </w:rPr>
        <w:t>Governance typology.</w:t>
      </w:r>
    </w:p>
    <w:p w:rsidR="00100A24" w:rsidRDefault="00100A24" w:rsidP="00730220"/>
    <w:p w:rsidR="00100A24" w:rsidRDefault="00100A24" w:rsidP="00730220">
      <w:r>
        <w:t>As is visible in the figure above, EU governance will be divided into state-centric and multi-level governance. Of the latter, two types can be identified. It will be argued that the EU governance framework is a multi-level framework, characterized by both type I and type II multi-level governance. Paragraph 1.2.2. will answer the question what role subsidiarity plays in this framework.</w:t>
      </w:r>
    </w:p>
    <w:p w:rsidR="00100A24" w:rsidRDefault="00100A24" w:rsidP="00730220">
      <w:pPr>
        <w:pStyle w:val="Heading3"/>
        <w:numPr>
          <w:ilvl w:val="2"/>
          <w:numId w:val="4"/>
        </w:numPr>
      </w:pPr>
      <w:bookmarkStart w:id="9" w:name="_Toc141864044"/>
      <w:r>
        <w:t>Governance in the EU</w:t>
      </w:r>
      <w:bookmarkEnd w:id="9"/>
    </w:p>
    <w:p w:rsidR="00100A24" w:rsidRDefault="00100A24" w:rsidP="00730220">
      <w:r>
        <w:t xml:space="preserve">The term </w:t>
      </w:r>
      <w:r w:rsidRPr="004F72A4">
        <w:rPr>
          <w:i/>
        </w:rPr>
        <w:t>governance</w:t>
      </w:r>
      <w:r>
        <w:t xml:space="preserve"> can be approached in many ways. An accepted use by many is to define governance as a new way of governing society (Rhodes, 2007:1246) or “the process by which we collectively solve our problems and meet our society’s need” (Osborne &amp; Gaebler, 1993:24). A bit more specific, governance can be defined as “the continuous political process of setting explicit goals for society and intervening in it in order to achieve these goals” (Jachtenfuchs &amp; Kohler-Koch, 2004:99). Here it becomes apparent that some body is needed to set goals and to intervene in society. </w:t>
      </w:r>
    </w:p>
    <w:p w:rsidR="00100A24" w:rsidRDefault="00100A24" w:rsidP="00730220"/>
    <w:p w:rsidR="00100A24" w:rsidRDefault="00100A24" w:rsidP="00730220">
      <w:r>
        <w:t xml:space="preserve">Van Kersbergen &amp; Van Waarden (2004:144-150) define in their article nine approaches to governance. The first approach is termed </w:t>
      </w:r>
      <w:r>
        <w:rPr>
          <w:i/>
        </w:rPr>
        <w:t>good governance</w:t>
      </w:r>
      <w:r>
        <w:t xml:space="preserve">, which focuses on legitimacy and efficiency. The second approach assumes that the political world order is anarchistic, which makes inter-state cooperation and governance difficult. This approach is termed </w:t>
      </w:r>
      <w:r>
        <w:rPr>
          <w:i/>
        </w:rPr>
        <w:t>governing without government: international relations.</w:t>
      </w:r>
      <w:r>
        <w:t xml:space="preserve"> The third approach is also based on governing without government, but stresses the value of self-organization beyond the market and short of the state. The fourth approach is </w:t>
      </w:r>
      <w:r>
        <w:rPr>
          <w:i/>
        </w:rPr>
        <w:t>economic governance</w:t>
      </w:r>
      <w:r>
        <w:t xml:space="preserve">, which shows that governments are not the only source of institutions that govern economic transactions. The fifth approach is termed </w:t>
      </w:r>
      <w:r>
        <w:rPr>
          <w:i/>
        </w:rPr>
        <w:t>corporate governance</w:t>
      </w:r>
      <w:r>
        <w:t xml:space="preserve">, which focuses on ways for good governance to occur in businesses. The sixth approach is also based on good governance values, but focuses on the public sector. Here one can think of </w:t>
      </w:r>
      <w:r>
        <w:rPr>
          <w:i/>
        </w:rPr>
        <w:t>new public management</w:t>
      </w:r>
      <w:r>
        <w:t xml:space="preserve"> norms. The seventh to ninth approaches are all variations of </w:t>
      </w:r>
      <w:r>
        <w:rPr>
          <w:i/>
        </w:rPr>
        <w:t>network governance</w:t>
      </w:r>
      <w:r>
        <w:t xml:space="preserve">, but at different levels. One can theorize that, in general, public institutions form networks to govern their environments by exchanging information and resources in negotiation processes. One can also focus on the shift from hierarchy to smaller, cooperative networks of organizations. This mainly occurs in the private sector. The third form of network governance is </w:t>
      </w:r>
      <w:r>
        <w:rPr>
          <w:i/>
        </w:rPr>
        <w:t>multi-level governance</w:t>
      </w:r>
      <w:r>
        <w:t>. It defines ‘governance’ as the power relations that result from the rules of international regimes and as the substance of the policies that emerge. The term ‘multi-level’ shows that there are multiple government levels involved. Especially in the EU this is visible at the supranational level, the national level, the regional level and the local level. These different levels create policy networks across different policy areas. According to Eising &amp; Kohler-Koch (2000:5), these different policy networks that emerge, and at times even surpass the national level by organizing European-local networks, should be better termed</w:t>
      </w:r>
      <w:r>
        <w:rPr>
          <w:i/>
        </w:rPr>
        <w:t xml:space="preserve"> </w:t>
      </w:r>
      <w:r w:rsidRPr="00C00C1F">
        <w:rPr>
          <w:i/>
        </w:rPr>
        <w:t>network</w:t>
      </w:r>
      <w:r>
        <w:t xml:space="preserve"> </w:t>
      </w:r>
      <w:r w:rsidRPr="00C00C1F">
        <w:rPr>
          <w:i/>
        </w:rPr>
        <w:t>governance</w:t>
      </w:r>
      <w:r>
        <w:t xml:space="preserve"> than </w:t>
      </w:r>
      <w:r w:rsidRPr="00C00C1F">
        <w:rPr>
          <w:i/>
        </w:rPr>
        <w:t>multi</w:t>
      </w:r>
      <w:r>
        <w:t>-</w:t>
      </w:r>
      <w:r w:rsidRPr="00C00C1F">
        <w:rPr>
          <w:i/>
        </w:rPr>
        <w:t>level</w:t>
      </w:r>
      <w:r>
        <w:t xml:space="preserve"> </w:t>
      </w:r>
      <w:r w:rsidRPr="00C00C1F">
        <w:rPr>
          <w:i/>
        </w:rPr>
        <w:t>governance</w:t>
      </w:r>
      <w:r>
        <w:t xml:space="preserve">. </w:t>
      </w:r>
    </w:p>
    <w:p w:rsidR="00100A24" w:rsidRDefault="00100A24" w:rsidP="00730220"/>
    <w:p w:rsidR="00100A24" w:rsidRDefault="00100A24" w:rsidP="00730220">
      <w:r>
        <w:t xml:space="preserve">Turning the attention towards the EU, Hooghe &amp; Marks (2001:2-3) assert that there are two ways to look at the EU. One approach is to assume that the EU works through state-centric governance, which effectively means that governments are in control and that EU policies thus show what the interests and power of national governments are. This is an intergovernmental model. The second model they present is that of multi-level governance, which is a supranational model. They assert that, because of the different actors and levels of hierarchy involved in policy making, national governments lose some of their autonomy. This loss of autonomy has a few causes. The first cause is the increased power of the European Parliament (EP) in the legislative process of the EU. Over the years the competences of the EP have been broadened, making the EP a weighty player. The second cause is increased public scrutiny through, for example, electoral competition, public referenda and the involvement of domestic groups in European decision-making. The third and final cause is the limited control of national governments over supranational agents. This cause can also be termed a </w:t>
      </w:r>
      <w:r>
        <w:rPr>
          <w:i/>
        </w:rPr>
        <w:t>principal-agent problem</w:t>
      </w:r>
      <w:r>
        <w:t xml:space="preserve">. Because of the nature of European integration, there are multiple principals. In effect, each member state is a principal since no basic institutional change can be made without reaching unanimity on the subject. This makes it hard for national governments to rein in supranational institutions. Unanimity thus creates hurdles to change. Furthermore, a supranational institution such as the EC operates within a network of national governments, sub-governments and interest groups, which gives it a lead start on governments when it comes to information and knowledge. This information asymmetry ensures that the EC has wide influence on policy-making processes. European governance is also characterized by mutual distrust. To ensure adherence to the ambiguous treaties, member states have established a judicial system. However, they also allow the EC to create detailed regulations in order to be able to devise precise and binding policies. This, then, causes national governments to become less autonomous (Hooghe &amp; Marks, 2001:5-12). </w:t>
      </w:r>
    </w:p>
    <w:p w:rsidR="00100A24" w:rsidRDefault="00100A24" w:rsidP="00730220"/>
    <w:p w:rsidR="00100A24" w:rsidRDefault="00100A24" w:rsidP="00730220">
      <w:r>
        <w:t>To specify multi-level governance even further, Hooghe &amp; Marks (2003:5-6) identify two types of jurisdictions within which multi-level governance in Europe can take place. They argue that dispersion of governance across multiple jurisdictions, instead of concentrating it within one large jurisdiction, increases its flexibility. Making this flexibility possible is an advantage of multi-level governance. The two types of multi-level governance that Hooghe &amp; Marks propose are summarized in the table below.</w:t>
      </w:r>
    </w:p>
    <w:p w:rsidR="00100A24" w:rsidRDefault="00100A24" w:rsidP="00730220"/>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4258"/>
        <w:gridCol w:w="4258"/>
      </w:tblGrid>
      <w:tr w:rsidR="00100A24" w:rsidRPr="003337EE" w:rsidTr="003337EE">
        <w:tc>
          <w:tcPr>
            <w:tcW w:w="4258" w:type="dxa"/>
            <w:tcBorders>
              <w:top w:val="nil"/>
              <w:left w:val="nil"/>
              <w:bottom w:val="single" w:sz="4" w:space="0" w:color="auto"/>
              <w:right w:val="nil"/>
            </w:tcBorders>
            <w:vAlign w:val="center"/>
          </w:tcPr>
          <w:p w:rsidR="00100A24" w:rsidRPr="003337EE" w:rsidRDefault="00100A24" w:rsidP="003337EE">
            <w:pPr>
              <w:jc w:val="center"/>
              <w:rPr>
                <w:b/>
              </w:rPr>
            </w:pPr>
            <w:r w:rsidRPr="003337EE">
              <w:rPr>
                <w:b/>
              </w:rPr>
              <w:t>Type I</w:t>
            </w:r>
          </w:p>
        </w:tc>
        <w:tc>
          <w:tcPr>
            <w:tcW w:w="4258" w:type="dxa"/>
            <w:tcBorders>
              <w:top w:val="nil"/>
              <w:left w:val="nil"/>
              <w:bottom w:val="single" w:sz="4" w:space="0" w:color="auto"/>
              <w:right w:val="nil"/>
            </w:tcBorders>
            <w:vAlign w:val="center"/>
          </w:tcPr>
          <w:p w:rsidR="00100A24" w:rsidRPr="003337EE" w:rsidRDefault="00100A24" w:rsidP="003337EE">
            <w:pPr>
              <w:jc w:val="center"/>
              <w:rPr>
                <w:b/>
              </w:rPr>
            </w:pPr>
            <w:r w:rsidRPr="003337EE">
              <w:rPr>
                <w:b/>
              </w:rPr>
              <w:t>Type II</w:t>
            </w:r>
          </w:p>
        </w:tc>
      </w:tr>
      <w:tr w:rsidR="00100A24" w:rsidRPr="003337EE" w:rsidTr="003337EE">
        <w:tc>
          <w:tcPr>
            <w:tcW w:w="4258" w:type="dxa"/>
            <w:tcBorders>
              <w:top w:val="single" w:sz="4" w:space="0" w:color="auto"/>
              <w:left w:val="nil"/>
              <w:bottom w:val="single" w:sz="4" w:space="0" w:color="auto"/>
              <w:right w:val="single" w:sz="4" w:space="0" w:color="auto"/>
            </w:tcBorders>
          </w:tcPr>
          <w:p w:rsidR="00100A24" w:rsidRPr="003337EE" w:rsidRDefault="00100A24" w:rsidP="00730220">
            <w:r w:rsidRPr="003337EE">
              <w:t>General-purpose jurisdictions</w:t>
            </w:r>
          </w:p>
        </w:tc>
        <w:tc>
          <w:tcPr>
            <w:tcW w:w="4258" w:type="dxa"/>
            <w:tcBorders>
              <w:top w:val="single" w:sz="4" w:space="0" w:color="auto"/>
              <w:left w:val="single" w:sz="4" w:space="0" w:color="auto"/>
              <w:bottom w:val="single" w:sz="4" w:space="0" w:color="auto"/>
              <w:right w:val="nil"/>
            </w:tcBorders>
          </w:tcPr>
          <w:p w:rsidR="00100A24" w:rsidRPr="003337EE" w:rsidRDefault="00100A24" w:rsidP="00730220">
            <w:r w:rsidRPr="003337EE">
              <w:t>Task-specific jurisdictions</w:t>
            </w:r>
          </w:p>
        </w:tc>
      </w:tr>
      <w:tr w:rsidR="00100A24" w:rsidRPr="003337EE" w:rsidTr="003337EE">
        <w:tc>
          <w:tcPr>
            <w:tcW w:w="4258" w:type="dxa"/>
            <w:tcBorders>
              <w:top w:val="single" w:sz="4" w:space="0" w:color="auto"/>
              <w:left w:val="nil"/>
              <w:bottom w:val="single" w:sz="4" w:space="0" w:color="auto"/>
              <w:right w:val="single" w:sz="4" w:space="0" w:color="auto"/>
            </w:tcBorders>
          </w:tcPr>
          <w:p w:rsidR="00100A24" w:rsidRPr="003337EE" w:rsidRDefault="00100A24" w:rsidP="00730220">
            <w:r w:rsidRPr="003337EE">
              <w:t>Non-intersecting memberships</w:t>
            </w:r>
          </w:p>
        </w:tc>
        <w:tc>
          <w:tcPr>
            <w:tcW w:w="4258" w:type="dxa"/>
            <w:tcBorders>
              <w:top w:val="single" w:sz="4" w:space="0" w:color="auto"/>
              <w:left w:val="single" w:sz="4" w:space="0" w:color="auto"/>
              <w:bottom w:val="single" w:sz="4" w:space="0" w:color="auto"/>
              <w:right w:val="nil"/>
            </w:tcBorders>
          </w:tcPr>
          <w:p w:rsidR="00100A24" w:rsidRPr="003337EE" w:rsidRDefault="00100A24" w:rsidP="00730220">
            <w:r w:rsidRPr="003337EE">
              <w:t>Intersecting memberships</w:t>
            </w:r>
          </w:p>
        </w:tc>
      </w:tr>
      <w:tr w:rsidR="00100A24" w:rsidRPr="003337EE" w:rsidTr="003337EE">
        <w:tc>
          <w:tcPr>
            <w:tcW w:w="4258" w:type="dxa"/>
            <w:tcBorders>
              <w:top w:val="single" w:sz="4" w:space="0" w:color="auto"/>
              <w:left w:val="nil"/>
              <w:bottom w:val="single" w:sz="4" w:space="0" w:color="auto"/>
              <w:right w:val="single" w:sz="4" w:space="0" w:color="auto"/>
            </w:tcBorders>
          </w:tcPr>
          <w:p w:rsidR="00100A24" w:rsidRPr="003337EE" w:rsidRDefault="00100A24" w:rsidP="00730220">
            <w:r w:rsidRPr="003337EE">
              <w:t>Jurisdictions organized in a limited number of levels</w:t>
            </w:r>
          </w:p>
        </w:tc>
        <w:tc>
          <w:tcPr>
            <w:tcW w:w="4258" w:type="dxa"/>
            <w:tcBorders>
              <w:top w:val="single" w:sz="4" w:space="0" w:color="auto"/>
              <w:left w:val="single" w:sz="4" w:space="0" w:color="auto"/>
              <w:bottom w:val="single" w:sz="4" w:space="0" w:color="auto"/>
              <w:right w:val="nil"/>
            </w:tcBorders>
          </w:tcPr>
          <w:p w:rsidR="00100A24" w:rsidRPr="003337EE" w:rsidRDefault="00100A24" w:rsidP="00730220">
            <w:r w:rsidRPr="003337EE">
              <w:t>No limit to the number of jurisdictional levels</w:t>
            </w:r>
          </w:p>
        </w:tc>
      </w:tr>
      <w:tr w:rsidR="00100A24" w:rsidRPr="003337EE" w:rsidTr="003337EE">
        <w:tc>
          <w:tcPr>
            <w:tcW w:w="4258" w:type="dxa"/>
            <w:tcBorders>
              <w:top w:val="single" w:sz="4" w:space="0" w:color="auto"/>
              <w:left w:val="nil"/>
              <w:bottom w:val="nil"/>
              <w:right w:val="single" w:sz="4" w:space="0" w:color="auto"/>
            </w:tcBorders>
          </w:tcPr>
          <w:p w:rsidR="00100A24" w:rsidRPr="003337EE" w:rsidRDefault="00100A24" w:rsidP="00730220">
            <w:r w:rsidRPr="003337EE">
              <w:t>System-wide architecture</w:t>
            </w:r>
          </w:p>
        </w:tc>
        <w:tc>
          <w:tcPr>
            <w:tcW w:w="4258" w:type="dxa"/>
            <w:tcBorders>
              <w:top w:val="single" w:sz="4" w:space="0" w:color="auto"/>
              <w:left w:val="single" w:sz="4" w:space="0" w:color="auto"/>
              <w:bottom w:val="nil"/>
              <w:right w:val="nil"/>
            </w:tcBorders>
          </w:tcPr>
          <w:p w:rsidR="00100A24" w:rsidRPr="003337EE" w:rsidRDefault="00100A24" w:rsidP="00730220">
            <w:r w:rsidRPr="003337EE">
              <w:t>Flexible design</w:t>
            </w:r>
          </w:p>
        </w:tc>
      </w:tr>
    </w:tbl>
    <w:p w:rsidR="00100A24" w:rsidRPr="00D40115" w:rsidRDefault="00100A24" w:rsidP="00730220">
      <w:pPr>
        <w:rPr>
          <w:sz w:val="20"/>
        </w:rPr>
      </w:pPr>
      <w:r w:rsidRPr="00D40115">
        <w:rPr>
          <w:sz w:val="20"/>
        </w:rPr>
        <w:t>Table 1. Types of Multi-Level Governance (source: Hooghe &amp; Marks:2003:7).</w:t>
      </w:r>
    </w:p>
    <w:p w:rsidR="00100A24" w:rsidRDefault="00100A24" w:rsidP="00730220"/>
    <w:p w:rsidR="00100A24" w:rsidRDefault="00100A24" w:rsidP="00730220">
      <w:r>
        <w:t xml:space="preserve">Type I is founded in federalism, which focuses on a limited number of governments covering only a few levels. Power is shared throughout these levels, which do not intersect. An example is the relationship between a national government and a sub-national government. These type I jurisdictions mostly adhere to the </w:t>
      </w:r>
      <w:r>
        <w:rPr>
          <w:i/>
        </w:rPr>
        <w:t>trias politicas</w:t>
      </w:r>
      <w:r>
        <w:t xml:space="preserve"> thought of organizing government through an elected legislature, an executive and a court system (Hooghe &amp; Marks, 2003:8-9). This is more or less visible in the EU’s community method.</w:t>
      </w:r>
    </w:p>
    <w:p w:rsidR="00100A24" w:rsidRDefault="00100A24" w:rsidP="00730220"/>
    <w:p w:rsidR="00100A24" w:rsidRDefault="00100A24" w:rsidP="00730220">
      <w:r>
        <w:t>Type II is embedded in type I and widespread at the local level. It encompasses a vast amount of members that can intersect and operate at many different jurisdictional levels. An example is Switzerland, where there are as many as six (intersecting) jurisdictional levels that form an addition to local governments and sometimes compete with them (Hooghe &amp; Marks, 2003:9-10).</w:t>
      </w:r>
    </w:p>
    <w:p w:rsidR="00100A24" w:rsidRDefault="00100A24" w:rsidP="00730220"/>
    <w:p w:rsidR="00100A24" w:rsidRDefault="00100A24" w:rsidP="00730220">
      <w:r>
        <w:t>Needless to say, both types can be found in the EU. Type I could be the overarching type for the European Union as an entity, but within this entity there are examples of type II multi-level governance everywhere. However, inherent in multi-level governance are coordination problems. When the number of actors increases, it becomes harder to punish those who defect. What then emerges is a cult of free riding. To diminish the chances for free riding to occur, both types have different ways to cope with the coordination dilemma. Type I limits the number of autonomous actors by decreasing the number of jurisdictional levels. Free riding is then likely to occur less. Type II does not limit the amount of actors, but creates specialized jurisdictions to limit externalities across the jurisdictions. This also limits free riding (Hooghe &amp; Marks, 2003:13-15). From this follows that type I and type II governance complement each other, which is why they are both present in the EU.</w:t>
      </w:r>
    </w:p>
    <w:p w:rsidR="00100A24" w:rsidRDefault="00100A24" w:rsidP="00730220"/>
    <w:p w:rsidR="00100A24" w:rsidRDefault="00100A24" w:rsidP="00730220">
      <w:r>
        <w:t xml:space="preserve">The above is but a short discussion of a selection of all the governance literature that is available, but it provides the basis for understanding the complex dynamics involved in European governance. For the purposes of this thesis, and to answer the second sub question, the multi-level governance (or network governance) approach is the one that shows best how governance works in the EU. The importance of multi-level governance for the European Union was also acknowledged by the Heads of State or of Government during the Berlin summit in 2007. In the Berlin Declaration (Council of the European Union, 2007:1) the Heads of State or of Government state the following: </w:t>
      </w:r>
    </w:p>
    <w:p w:rsidR="00100A24" w:rsidRDefault="00100A24" w:rsidP="003C5CBF">
      <w:pPr>
        <w:spacing w:after="120" w:line="240" w:lineRule="auto"/>
        <w:ind w:left="567"/>
        <w:jc w:val="left"/>
      </w:pPr>
      <w:r>
        <w:t>“There are many goals which we cannot achieve on our own, but only in concert. Tasks are shared between the European Union, the Member States and their regions and local authorities.”</w:t>
      </w:r>
    </w:p>
    <w:p w:rsidR="00100A24" w:rsidRPr="000441F5" w:rsidRDefault="00100A24" w:rsidP="00730220">
      <w:r>
        <w:t>This statement clearly illustrates that the EU is aware of its multi-level nature and that the governments of its member states attribute weight to including regional and local authorities into European decision-making processes.</w:t>
      </w:r>
    </w:p>
    <w:p w:rsidR="00100A24" w:rsidRDefault="00100A24" w:rsidP="00730220">
      <w:pPr>
        <w:pStyle w:val="Heading3"/>
        <w:numPr>
          <w:ilvl w:val="2"/>
          <w:numId w:val="4"/>
        </w:numPr>
      </w:pPr>
      <w:bookmarkStart w:id="10" w:name="_Toc141864045"/>
      <w:r>
        <w:t>The role of subsidiarity in the European framework of governance</w:t>
      </w:r>
      <w:bookmarkEnd w:id="10"/>
    </w:p>
    <w:p w:rsidR="00100A24" w:rsidRDefault="00100A24" w:rsidP="00730220">
      <w:r>
        <w:t xml:space="preserve">Now that it has been established that the EU functions through a model of multi-level governance, the role of subsidiarity within this governance framework will be discussed. As mentioned above, the White Paper on European Governance (European Commission, 2001) is important for this purpose. The White Paper seeks to establish criteria for good governance in the EU. Ultimately, the EC formulates five criteria for good governance: openness, participation, accountability, effectiveness and coherence. These principles are mutually intertwined and their application is said to reinforce the principles of subsidiarity and proportionality. For, as the White Paper concludes, these principles should lead the EU to make better decisions about what to regulate and what not to regulate. In addition to this, the EC has specifically committed itself to withdraw any proposals that undermine the subsidiarity principle. Reforming EU governance, using these five principles for good governance, aims to strengthen multi-level governance in the EU (European Commission, 2001:10, 22, 32-34). </w:t>
      </w:r>
    </w:p>
    <w:p w:rsidR="00100A24" w:rsidRDefault="00100A24" w:rsidP="00730220"/>
    <w:p w:rsidR="00100A24" w:rsidRDefault="00100A24" w:rsidP="00730220">
      <w:r>
        <w:t>In its White Paper on multi-level governance, the Committee of the Regions (2009:13) recalls the five principles outlined in the Commission’s White Paper and adds to these the seven common values that underpin the EU. These values are subsidiarity, proportionality, proximity, partnership, participation, solidarity and mutual loyalty. These values help establish a pan-European consensus on multi-level governance. Subsidiarity is thus important for multi-level governance.</w:t>
      </w:r>
    </w:p>
    <w:p w:rsidR="00100A24" w:rsidRDefault="00100A24" w:rsidP="00730220"/>
    <w:p w:rsidR="00100A24" w:rsidRDefault="00100A24" w:rsidP="00730220">
      <w:r>
        <w:t>The White Paper of the EC also connects subsidiarity to multi-level governance, however somewhat implicitly. It states:</w:t>
      </w:r>
    </w:p>
    <w:p w:rsidR="00100A24" w:rsidRDefault="00100A24" w:rsidP="001237F0">
      <w:pPr>
        <w:spacing w:after="120" w:line="240" w:lineRule="auto"/>
        <w:ind w:left="567"/>
      </w:pPr>
      <w:r>
        <w:t>“[A] Union based on multi-level governance in which each actor contributes in line with his or her capabilities or knowledge to the success of the overall exercise. In a multi-level system the real challenge is establishing clear rules of how competence is shared – not separated; only that non-exclusive vision can secure the best interests of all the Member States and all the Union’s citizens” (European Commission, 2001:34-35).</w:t>
      </w:r>
    </w:p>
    <w:p w:rsidR="00100A24" w:rsidRPr="00685A65" w:rsidRDefault="00100A24" w:rsidP="00730220">
      <w:r>
        <w:t>And this is exactly where subsidiarity plays an important role in the EU governance framework.</w:t>
      </w:r>
    </w:p>
    <w:p w:rsidR="00100A24" w:rsidRPr="00730220" w:rsidRDefault="00100A24" w:rsidP="00730220"/>
    <w:p w:rsidR="00100A24" w:rsidRDefault="00100A24" w:rsidP="00195E45">
      <w:pPr>
        <w:pStyle w:val="Heading2"/>
        <w:numPr>
          <w:ilvl w:val="1"/>
          <w:numId w:val="4"/>
        </w:numPr>
      </w:pPr>
      <w:bookmarkStart w:id="11" w:name="_Toc141864046"/>
      <w:r>
        <w:t>Subsidiarity</w:t>
      </w:r>
      <w:bookmarkEnd w:id="11"/>
    </w:p>
    <w:p w:rsidR="00100A24" w:rsidRDefault="00100A24" w:rsidP="00195E45">
      <w:r>
        <w:t>This paragraph focuses on subsidiarity itself. As subsidiarity is an important result of the implementation of the five principles of good governance, studying subsidiarity can give a good idea of how the European governance framework operates and how legitimate EU policies are. This paragraph will therefore discuss the history of subsidiarity, its definitions, its legal status and the institutions that play a role when subsidiarity comes to the fore. It will seek to provide an answer to the third sub question.</w:t>
      </w:r>
    </w:p>
    <w:p w:rsidR="00100A24" w:rsidRDefault="00100A24" w:rsidP="001C0ED5">
      <w:pPr>
        <w:pStyle w:val="Heading3"/>
        <w:numPr>
          <w:ilvl w:val="2"/>
          <w:numId w:val="4"/>
        </w:numPr>
      </w:pPr>
      <w:bookmarkStart w:id="12" w:name="_Toc141864047"/>
      <w:r>
        <w:t>Definitions of subsidiarity</w:t>
      </w:r>
      <w:bookmarkEnd w:id="12"/>
    </w:p>
    <w:p w:rsidR="00100A24" w:rsidRDefault="00100A24" w:rsidP="001C0ED5">
      <w:r>
        <w:t>A commonly accepted academic definition of subsidiarity is, formulated by Dinan, that subsidiarity is “the principle that some decisions should be taken at the European level only if the objectives of the proposed action cannot be sufficiently achieved at the national level” (Dinan, 2005:330). Basically, the principle of subsidiarity calls for decentralization (Van Nispen &amp; Ringeling, 2006:7).</w:t>
      </w:r>
    </w:p>
    <w:p w:rsidR="00100A24" w:rsidRDefault="00100A24" w:rsidP="001C0ED5"/>
    <w:p w:rsidR="00100A24" w:rsidRDefault="00100A24" w:rsidP="001C0ED5">
      <w:r>
        <w:t>The definition of subsidiarity given by Dinan is quite close to the definition of subsidiarity that can be found in Article 3b of the Lisbon Treaty:</w:t>
      </w:r>
    </w:p>
    <w:p w:rsidR="00100A24" w:rsidRDefault="00100A24" w:rsidP="005D72FD">
      <w:pPr>
        <w:spacing w:after="120" w:line="240" w:lineRule="auto"/>
        <w:ind w:left="567"/>
      </w:pPr>
      <w:r>
        <w:t>“3. Under the principle of subsidiarity, in areas which do not fall within its exclusive competence, the Union shall act only if and insofar as the objectives of the proposed action cannot be sufficiently achieved by the Member States, either at central level or at regional and local level, but can rather, by reason of the scale or effects of the proposed action, be better achieved at Union level” (Art. 3b(3) Treaty of Lisbon).</w:t>
      </w:r>
    </w:p>
    <w:p w:rsidR="00100A24" w:rsidRDefault="00100A24" w:rsidP="001C0ED5">
      <w:r>
        <w:t>The definition given by the Lisbon Treaty is a bit more elaborate than Dinan’s and puts emphasis on the ‘areas which do not fall within its exclusive competence’. This means that subsidiarity is important in areas with concurrent European and member state competence. Until the entry into force of the Treaty of Lisbon, nowhere in any European treaty it was defined what competence is exclusively European or what competence the EU shares with its member states (Estella, 2002:90; Van Nispen &amp; Ringeling, 2006:4). The Treaty of Lisbon does include a categorization of competences, employing the following categories: exclusive competence, shared competence, and supporting, coordinating or complementary competences (Europa, 17 July 2010). Article 3 TEU specifies that among the exclusive competences of the EU are the customs union, the establishing of the competition rules necessary for the functioning of the internal market, the monetary policy for the member states whose currency is the Euro, the conservation of marine biological resources under the common fisheries policy, and common commercial policy. The exclusive competences of the EU are thus quite restricted. So when should subsidiarity be considered? In their article in a Dutch newspaper, Herzog, Bolkestein and Gerken (23 January 2010) state that subsidiarity comes to the fore when a problem cannot be solved nationally and has a cross-border character. They try to identify policy areas that certainly should remain under the competence of national governments as well as areas that are distinctly international. Among the national policies are social welfare policy, education policy and anti-discrimination policy. Among the clearly European policies are climate policy, monetary policy and consumer protection. However, the authors do admit that these distinctions are not as clear-cut as they seem and that there is a grey area where policies can either be defined as national or as European. This effectively means that a subsidiarity check could be performed for nearly each new Commission (or Council/EP) proposal in order to find out whether the EU is not overstepping its boundaries.</w:t>
      </w:r>
    </w:p>
    <w:p w:rsidR="00100A24" w:rsidRDefault="00100A24" w:rsidP="001C0ED5"/>
    <w:p w:rsidR="00100A24" w:rsidRDefault="00100A24" w:rsidP="001C0ED5">
      <w:r>
        <w:t>When European action is warranted, there is another principle that regulates the content of the action. European treaties link subsidiarity directly to proportionality. The Lisbon Treaty defines proportionality in the following manner:</w:t>
      </w:r>
    </w:p>
    <w:p w:rsidR="00100A24" w:rsidRDefault="00100A24" w:rsidP="00B600ED">
      <w:pPr>
        <w:spacing w:after="120" w:line="240" w:lineRule="auto"/>
        <w:ind w:left="567"/>
      </w:pPr>
      <w:r>
        <w:t>“4. Under the principle of proportionality, the content and form of Union action shall not exceed what is necessary to achieve the objects of the Treaties” (Art. 3b(4) Treaty of Lisbon).</w:t>
      </w:r>
    </w:p>
    <w:p w:rsidR="00100A24" w:rsidRDefault="00100A24" w:rsidP="001C0ED5">
      <w:r>
        <w:t xml:space="preserve">As such, the proportionality principle ensures that the EU does not regulate excessively. </w:t>
      </w:r>
    </w:p>
    <w:p w:rsidR="00100A24" w:rsidRDefault="00100A24" w:rsidP="001C0ED5">
      <w:pPr>
        <w:pStyle w:val="Heading3"/>
        <w:numPr>
          <w:ilvl w:val="2"/>
          <w:numId w:val="4"/>
        </w:numPr>
      </w:pPr>
      <w:bookmarkStart w:id="13" w:name="_Toc141864048"/>
      <w:r>
        <w:t>The history of subsidiarity</w:t>
      </w:r>
      <w:bookmarkEnd w:id="13"/>
    </w:p>
    <w:p w:rsidR="00100A24" w:rsidRDefault="00100A24" w:rsidP="001C0ED5">
      <w:r>
        <w:t xml:space="preserve">Subsidiarity is often said to be rooted in Christianity (Van Nispen &amp; Ringeling, 2006:4). However, earlier accounts of something similar to this concept exist. In Aristotle’s </w:t>
      </w:r>
      <w:r>
        <w:rPr>
          <w:i/>
        </w:rPr>
        <w:t xml:space="preserve">Politics </w:t>
      </w:r>
      <w:r>
        <w:t>there was a hint towards subsidiarity through the society that was depicted by him. This society is composed of groups of individuals with specific tasks. The autonomy of each group should be respected. Only in cases of absolute need are other groups allowed to intervene in a group. Sir Thomas Aquinas connected this society to the notion of human dignity, which should be respected by others. However, intervention is allowed when it serves the common good. Then, in the 19</w:t>
      </w:r>
      <w:r w:rsidRPr="0030692A">
        <w:rPr>
          <w:vertAlign w:val="superscript"/>
        </w:rPr>
        <w:t>th</w:t>
      </w:r>
      <w:r>
        <w:t xml:space="preserve"> century, Ketteler introduced a movement called </w:t>
      </w:r>
      <w:r>
        <w:rPr>
          <w:i/>
        </w:rPr>
        <w:t>Social Catholicism</w:t>
      </w:r>
      <w:r>
        <w:t xml:space="preserve">, which combined the principle of subsidiarity and a notion of intermediate groups. These intermediate groups should be able to limit excessive intervention by the state. The ideas presented above were adopted by the Catholic Church. In the Encyclical letter </w:t>
      </w:r>
      <w:r>
        <w:rPr>
          <w:i/>
        </w:rPr>
        <w:t>Rerum Novarum</w:t>
      </w:r>
      <w:r>
        <w:t xml:space="preserve">, Pope Leon XIII began to draw official lines that guided the relationship between men and public power. In the next Encyclical letter, </w:t>
      </w:r>
      <w:r>
        <w:rPr>
          <w:i/>
        </w:rPr>
        <w:t>Quadragesimo Anno</w:t>
      </w:r>
      <w:r>
        <w:t>, Pius XI made an explicit hint toward subsidiarity (Estella, 2002:77-80) when he wrote:</w:t>
      </w:r>
    </w:p>
    <w:p w:rsidR="00100A24" w:rsidRPr="00F2097B" w:rsidRDefault="00100A24" w:rsidP="00F2097B">
      <w:pPr>
        <w:spacing w:after="120" w:line="240" w:lineRule="auto"/>
        <w:ind w:left="567"/>
      </w:pPr>
      <w:r>
        <w:t>“</w:t>
      </w:r>
      <w:r w:rsidRPr="00F2097B">
        <w:rPr>
          <w:rFonts w:cs="Times"/>
          <w:szCs w:val="32"/>
        </w:rPr>
        <w:t>As history abundantly proves, it is true that on account of changed conditions many things which were done by small associations in former times cannot be done now save by large associations. Still, that most weighty principle, which cannot be set aside or changed, remains fixed and unshaken in social philosophy: Just as it is gravely wrong to take from individuals what they can accomplish by their own initiative and industry and give it to the community, so also it is an injustice and at the same time a grave evil and disturbance of right order to assign to a greater and higher association what lesser and subordinate organizations can do. For every social activity ought of its very nature to furnish help to the members of the body social, and never destroy and absorb them</w:t>
      </w:r>
      <w:r>
        <w:t>” (Pius XI, 1936, pt. 79).</w:t>
      </w:r>
    </w:p>
    <w:p w:rsidR="00100A24" w:rsidRDefault="00100A24" w:rsidP="001C0ED5">
      <w:r>
        <w:t xml:space="preserve">Thus subsidiarity was adopted by the Roman-Catholic religion. Building on the </w:t>
      </w:r>
      <w:r>
        <w:rPr>
          <w:i/>
        </w:rPr>
        <w:t>Quadragesimo Anno</w:t>
      </w:r>
      <w:r>
        <w:t xml:space="preserve">, the general opinion was that the state, as the higher entity with the power and the right to intervene in lower entities, should only intervene if the smaller communities were unable to realize their responsibilities or failed to do so (Van Nispen &amp; Ringeling, 2006:5). The Protestants reworded the principle and called for ‘sovereignty in its own sphere’. They argued that smaller communities should be able to be sovereign within their own sphere, but that the state should intervene when that action would serve the interests of the community (Van Nispen &amp; Ringeling, 2006:7). </w:t>
      </w:r>
    </w:p>
    <w:p w:rsidR="00100A24" w:rsidRDefault="00100A24" w:rsidP="001C0ED5"/>
    <w:p w:rsidR="00100A24" w:rsidRPr="003F789C" w:rsidRDefault="00100A24" w:rsidP="001C0ED5">
      <w:r>
        <w:t>As the concept of subsidiarity moved from the religious into the political realm, the principle was officially introduced into the EU in the Maastricht Treaty. Its status was enhanced in Amsterdam and further elaborated on in the Lisbon Treaty, which introduces a subsidiarity review mechanism (Davies, 2006:67). That is where subsidiarity stands today.</w:t>
      </w:r>
    </w:p>
    <w:p w:rsidR="00100A24" w:rsidRDefault="00100A24" w:rsidP="001C0ED5">
      <w:pPr>
        <w:pStyle w:val="Heading3"/>
        <w:numPr>
          <w:ilvl w:val="2"/>
          <w:numId w:val="4"/>
        </w:numPr>
      </w:pPr>
      <w:bookmarkStart w:id="14" w:name="_Toc141864049"/>
      <w:r>
        <w:t>The legal status of subsidiarity</w:t>
      </w:r>
      <w:bookmarkEnd w:id="14"/>
    </w:p>
    <w:p w:rsidR="00100A24" w:rsidRDefault="00100A24" w:rsidP="001C0ED5">
      <w:r>
        <w:t>The legal status of subsidiarity follows from its definition in European treaties. The treaties also link subsidiarity and the EU in the Subsidiarity Triangle. As mentioned before, subsidiarity was introduced into EU treaties with the signing of the Maastricht Treaty in 1991. Article 3b of this Treaty states the following:</w:t>
      </w:r>
    </w:p>
    <w:p w:rsidR="00100A24" w:rsidRDefault="00100A24" w:rsidP="0035032A">
      <w:pPr>
        <w:spacing w:after="120" w:line="240" w:lineRule="auto"/>
        <w:ind w:left="567"/>
      </w:pPr>
      <w:r>
        <w:t>“The Community shall act within the limits of the powers conferred upon it by this Treaty and of the objectives assigned to it herein. In areas which do not fall within its exclusive competence, the Community shall take the action, in accordance with the principle of subsidiarity, only if and in so far as the objectives of the proposed action cannot be sufficiently achieved by the Member States and can therefore, by reason of the scale or effects of the proposed action, be better achieved by the Community. Any action by the Community shall not go beyond what is necessary to achieve the objectives of this Treaty” (Art. 3b Maastricht Treaty).</w:t>
      </w:r>
    </w:p>
    <w:p w:rsidR="00100A24" w:rsidRDefault="00100A24" w:rsidP="001C0ED5">
      <w:r>
        <w:t xml:space="preserve">Comparing this Article to the one in the Lisbon Treaty, one can conclude that not much has changed, however the word </w:t>
      </w:r>
      <w:r>
        <w:rPr>
          <w:i/>
        </w:rPr>
        <w:t>subsidiarity</w:t>
      </w:r>
      <w:r>
        <w:t xml:space="preserve"> has been placed at the beginning of the Article in the Treaty of Lisbon (therefore putting more emphasis on it) and the Maastricht Treaty makes no explicit mention of the principle of proportionality. Implicitly it is there in the last sentence of Art. 3b. The Treaty of Maastricht does not have any relevant protocols concerning subsidiarity.</w:t>
      </w:r>
    </w:p>
    <w:p w:rsidR="00100A24" w:rsidRDefault="00100A24" w:rsidP="001C0ED5"/>
    <w:p w:rsidR="00100A24" w:rsidRDefault="00100A24" w:rsidP="001C0ED5">
      <w:r>
        <w:t xml:space="preserve">The Treaty of Amsterdam does not change the definition of subsidiarity in its substantive text. It refers to the original definition as established in the previous treaty. However, the Treaty of Amsterdam does add a protocol that deals with subsidiarity. This protocol is called the </w:t>
      </w:r>
      <w:r>
        <w:rPr>
          <w:i/>
        </w:rPr>
        <w:t>Protocol on the application of the principles of subsidiarity and proportionality</w:t>
      </w:r>
      <w:r>
        <w:t>. The purpose of this protocol is to specify how subsidiarity should be applied within the EU. It thus seeks to ensure that institutions observe and implement the principle. The protocol states that the principle of subsidiarity applies to the Treaty itself, but not to the principles that the ECJ has developed regarding the relationship between national and Community law. It also points out that subsidiarity is a dynamic concept, which means that some tasks that were previously carried out by the Community can change into tasks that should be dealt with nationally and vice versa. The criteria for the application of subsidiarity are threefold:</w:t>
      </w:r>
    </w:p>
    <w:p w:rsidR="00100A24" w:rsidRDefault="00100A24" w:rsidP="00CC1691">
      <w:pPr>
        <w:pStyle w:val="ListParagraph"/>
        <w:numPr>
          <w:ilvl w:val="0"/>
          <w:numId w:val="5"/>
        </w:numPr>
      </w:pPr>
      <w:r>
        <w:t>It is a transnational issue which cannot be sufficiently regulated by national governments;</w:t>
      </w:r>
    </w:p>
    <w:p w:rsidR="00100A24" w:rsidRDefault="00100A24" w:rsidP="00CC1691">
      <w:pPr>
        <w:pStyle w:val="ListParagraph"/>
        <w:numPr>
          <w:ilvl w:val="0"/>
          <w:numId w:val="5"/>
        </w:numPr>
      </w:pPr>
      <w:r>
        <w:t>Lack of Community action would damage the interests of member states or would conflict with the requirements of the treaty;</w:t>
      </w:r>
    </w:p>
    <w:p w:rsidR="00100A24" w:rsidRDefault="00100A24" w:rsidP="00CC1691">
      <w:pPr>
        <w:pStyle w:val="ListParagraph"/>
        <w:numPr>
          <w:ilvl w:val="0"/>
          <w:numId w:val="5"/>
        </w:numPr>
      </w:pPr>
      <w:r>
        <w:t>Action by the Community would produce clear benefits (Art. 2, 3, 5 Treaty of Amsterdam: Protocol on the application of the principles of subsidiarity and proportionality).</w:t>
      </w:r>
    </w:p>
    <w:p w:rsidR="00100A24" w:rsidRDefault="00100A24" w:rsidP="00CC1691">
      <w:r>
        <w:t>What is interesting to note is that the Treaty of Amsterdam does not mention any role for national parliaments in guarding the principle of subsidiarity. So, until the Treaty of Lisbon, subsidiarity had only been defined and rules for its application had been set up, but no external actor had been appointed as the guardian of its implementation and application.</w:t>
      </w:r>
    </w:p>
    <w:p w:rsidR="00100A24" w:rsidRDefault="00100A24" w:rsidP="00CC1691"/>
    <w:p w:rsidR="00100A24" w:rsidRPr="006A171F" w:rsidRDefault="00100A24" w:rsidP="00CC1691">
      <w:r>
        <w:t xml:space="preserve">With the advent of the Treaty of Lisbon, the wording of Art. 3 changed and put more emphasis on the principle of subsidiarity. The principle of proportionality is also explicitly mentioned in this Article. Changes were also made in the protocols. The </w:t>
      </w:r>
      <w:r w:rsidRPr="003A6F77">
        <w:rPr>
          <w:i/>
        </w:rPr>
        <w:t>Protocol on the role of national parliaments</w:t>
      </w:r>
      <w:r>
        <w:t xml:space="preserve">, introduced with the Treaty of Amsterdam, mentions the possibility for national parliaments to send opinions to the EP, the Council and the EC. These opinions would be a response to draft legislations and could be sent to the relevant institutions within six weeks. The revised protocol specifies that the opinions issued by national parliaments should address whether a certain proposal complies with the principles of subsidiarity and proportionality and that they should be guided by the renewed Protocol on the application of the principles of subsidiarity and proportionality. Furthermore, the Protocol on the role of national parliaments establishes a period of eight weeks between the sending of a draft legislative act to national parliaments and putting it on the agenda of the Council. This should give national parliaments the time to perform a subsidiarity check and send it to the relevant institution(s). In the revised Protocol on the application of the principles of subsidiarity and proportionality, a reference to national parliaments is also made. Art. 4 of that protocol establishes that any draft legislative acts should be sent to national parliaments at the same time as they are sent to the Union legislator. Art. 5 also obliges the institutions to address subsidiarity and proportionality in their proposals so that these statements can be appraised. The contents of these statements should contain assessments of the financial impact of the proposal and should provide qualitative and quantitative indicators to show that an objective can be better attained through Community action. However, the three criteria for the application of subsidiarity that were introduced in Amsterdam are not featured in the protocol. Finally, the protocol introduces what is now called the </w:t>
      </w:r>
      <w:r w:rsidRPr="00D95F9A">
        <w:rPr>
          <w:i/>
        </w:rPr>
        <w:t>yellow and orange card procedures</w:t>
      </w:r>
      <w:r>
        <w:t>. These procedures allow for national parliaments to work cooperatively to oblige the EC to reconsider a proposal. If one third of the national parliaments expresses a negative opinion on a draft legislative act’s non-compliance with subsidiarity, that proposal should be reviewed. The EC can then adjust, maintain or withdraw the proposal. If a proposal is maintained, a reasoned opinion should be given. When a majority of national parliaments expresses a negative opinion regarding a draft legislative act, the EC is obliged to review the proposal. If it still decides to maintain it, a reasoned opinion should be sent to the national parliaments, the EP and the Council. The Council and the EP then have the authority to strike the draft legislative act. Individual member states can also put their case before the ECJ and argue why there has been a breach of subsidiarity. Note, however, that national parliaments do not have the authority to do so (Assembly of European Regions, 3 June 2010).</w:t>
      </w:r>
    </w:p>
    <w:p w:rsidR="00100A24" w:rsidRDefault="00100A24" w:rsidP="001C0ED5">
      <w:pPr>
        <w:pStyle w:val="Heading3"/>
        <w:numPr>
          <w:ilvl w:val="2"/>
          <w:numId w:val="4"/>
        </w:numPr>
      </w:pPr>
      <w:bookmarkStart w:id="15" w:name="_Toc141864050"/>
      <w:r>
        <w:t>Subsidiarity and its most important actors</w:t>
      </w:r>
      <w:bookmarkEnd w:id="15"/>
    </w:p>
    <w:p w:rsidR="00100A24" w:rsidRDefault="00100A24" w:rsidP="001C0ED5">
      <w:r>
        <w:t>Important actors for subsidiarity among the European institutions are the Commission, the Council, the European Parliament and the ECJ. The downside of involving only European institutions in maintaining the subsidiarity principle was that they belong to the ‘inner circle’ of the EU. This was also mentioned before when discussing the Protocol of the Treaty of Amsterdam. To avoid that subsidiarity becomes a dead letter, Bolkestein (2004:27) argued in 2004 that an outsider should also carry out a subsidiarity check. As explained above, the outsider that was chosen in the Lisbon Treaty was the national parliament. As such, national parliaments have joined the ‘institutional triangle’ in the legislative process of the EU. Though, formally, national parliaments do not have the power to modify drafts, they do exert influence. The following figure shows how national parliaments can be positioned in the institutional triangle of the EU that takes part in policy-making.</w:t>
      </w:r>
    </w:p>
    <w:p w:rsidR="00100A24" w:rsidRDefault="00100A24" w:rsidP="001C0ED5">
      <w:r>
        <w:rPr>
          <w:noProof/>
        </w:rPr>
        <w:pict>
          <v:shape id="_x0000_s1030" type="#_x0000_t75" alt="New triangle.png" style="position:absolute;left:0;text-align:left;margin-left:2pt;margin-top:0;width:415pt;height:282pt;z-index:-251656192;visibility:visible">
            <v:imagedata r:id="rId9" o:title=""/>
          </v:shape>
        </w:pict>
      </w:r>
    </w:p>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 w:rsidR="00100A24" w:rsidRDefault="00100A24" w:rsidP="001C0ED5">
      <w:pPr>
        <w:rPr>
          <w:sz w:val="20"/>
        </w:rPr>
      </w:pPr>
    </w:p>
    <w:p w:rsidR="00100A24" w:rsidRPr="00EE7DF1" w:rsidRDefault="00100A24" w:rsidP="001C0ED5">
      <w:pPr>
        <w:rPr>
          <w:sz w:val="20"/>
        </w:rPr>
      </w:pPr>
      <w:r w:rsidRPr="00EE7DF1">
        <w:rPr>
          <w:sz w:val="20"/>
        </w:rPr>
        <w:t xml:space="preserve">Figure 2. Institutional triangle and </w:t>
      </w:r>
      <w:r>
        <w:rPr>
          <w:sz w:val="20"/>
        </w:rPr>
        <w:t xml:space="preserve">the position of </w:t>
      </w:r>
      <w:r w:rsidRPr="00EE7DF1">
        <w:rPr>
          <w:sz w:val="20"/>
        </w:rPr>
        <w:t>national parliaments in the process of EU policy-making.</w:t>
      </w:r>
    </w:p>
    <w:p w:rsidR="00100A24" w:rsidRDefault="00100A24" w:rsidP="001C0ED5"/>
    <w:p w:rsidR="00100A24" w:rsidRDefault="00100A24" w:rsidP="001C0ED5">
      <w:r>
        <w:t>The process of EU policy-making takes place through the Commission, the EP and the Council. However, national parliaments have a new role to play in this process, which is why they are put at one corner of the triangle. The EP and Council are shown together, since for the purpose of this thesis, which is studying subsidiarity (checks) and legitimacy, both institutions have a very similar role to play. National parliaments have been put at one corner of the triangle since they interact both with the EC and (through their governments) with the Council/EP. The role of each institution will now be explained in more detail, as well as the side-role of the ECJ and of another body that is increasingly involved in this area: the Committee of the Regions.</w:t>
      </w:r>
    </w:p>
    <w:p w:rsidR="00100A24" w:rsidRDefault="00100A24" w:rsidP="001C0ED5"/>
    <w:p w:rsidR="00100A24" w:rsidRDefault="00100A24" w:rsidP="001C0ED5">
      <w:r>
        <w:t>National parliaments have the authority to perform subsidiarity checks and send opinions to the EU institutions that made the draft legislative acts. They can also have proposals reconsidered, which can lead to the withdrawal of a proposal. National parliaments are free to use their own procedures when performing subsidiarity checks, though under the second Protocol to the Treaty of Lisbon certain rules have to be followed if national parliaments want their subsidiarity check to count toward the yellow and orange card procedures. As yet there is still no legal basis for national parliaments to annul draft legislative acts. Their opinions still have the status of opinions, but if national parliaments coordinate their work and send critical, well-reasoned opinions, they could cause a proposal to be withdrawn. In addition, national parliaments, acting in their mandate to scrutinize their government, can influence the position of their government in the Council. They also have direct contacts with the European Parliament and can seek to exert their influence through that political channel. The Conference of European Community Affairs Committees (COSAC) was set up in order to increase cooperation between national parliaments. It allows for parliaments to exchange information, to communicate and to coordinate their work. COSAC now organizes two large subsidiarity checks a year. The purpose of these checks is to have all national parliaments conduct a subsidiarity check on the same proposals and, in doing so, bundle their resources to hold the EC accountable for its draft legislative acts. COSAC uses a database, IPEX, where all information on subsidiarity checks is stored and which is open to the public (COSAC, 2008a:3-5).</w:t>
      </w:r>
    </w:p>
    <w:p w:rsidR="00100A24" w:rsidRDefault="00100A24" w:rsidP="001C0ED5"/>
    <w:p w:rsidR="00100A24" w:rsidRDefault="00100A24" w:rsidP="001C0ED5">
      <w:r>
        <w:t xml:space="preserve">The Protocol on the application of the principles of subsidiarity and proportionality (Second Protocol to the Treaty of Lisbon) imposes four obligations on the EC: consultation, motivation, information and publication. The EC has to consult widely before drafting a proposal and motivating why the draft legislative act is not in breach with the principle of subsidiarity (Estella, 2002:115). As the EC has the obligation to explain this in its proposals, a major role of the principle is at the pre-legislative stage (Davies, 2006:75-76). The EC applies subsidiarity in its proposals according to its Impact Assessment Guidelines (COM(2002) 276). These guidelines ensure that subsidiarity is considered thoroughly at the pre-legislative stage. With the emergence of the subsidiarity check performed by the national parliaments, the EC will also have to explain in a reasoned opinion why it decides to maintain a proposal after a certain amount of national parliaments expresses a negative opinion. </w:t>
      </w:r>
    </w:p>
    <w:p w:rsidR="00100A24" w:rsidRDefault="00100A24" w:rsidP="001C0ED5"/>
    <w:p w:rsidR="00100A24" w:rsidRDefault="00100A24" w:rsidP="001C0ED5">
      <w:r>
        <w:t>The Council and the EP consider subsidiarity issues when a draft legislative act is put on their agenda. This obligation is imposed on them by the Protocol on the application of the principles of subsidiarity and proportionality (Estella, 2002:121). A proposal can also be referred to them if the orange card procedure is enacted by the national parliaments, but the EC still decides to maintain the proposal. The Council and EP then review the opinions sent to them by the EC and the national parliaments and decide whether a draft legislative act is in breach of the principle of subsidiarity (Assembly of European Regions, 3 June 2010).</w:t>
      </w:r>
    </w:p>
    <w:p w:rsidR="00100A24" w:rsidRDefault="00100A24" w:rsidP="001C0ED5"/>
    <w:p w:rsidR="00100A24" w:rsidRDefault="00100A24" w:rsidP="001C0ED5">
      <w:r>
        <w:t>The ECJ has the jurisdiction to conduct reviews with regards to the legality of acts of the institutions (De Búrca, 1998:223). As such, it can review cases brought before it where there is an alleged breach of subsidiarity (Assembly of European Regions, 3 June 2010). This has happened a few times. An example is a case brought forward by the UK seeking the annulment of the Working Time Directive. The ECJ was hesitant to base its argument around the principles of subsidiarity and proportionality, focusing rather on substantive arguments. The ECJ’s reluctance to conduct reviews based on subsidiarity is visible in other cases as well and stems from the Court’s opinion that subsidiarity is a principle with a deeply political nature (De Búrca, 1998:223-225).</w:t>
      </w:r>
    </w:p>
    <w:p w:rsidR="00100A24" w:rsidRDefault="00100A24" w:rsidP="001C0ED5"/>
    <w:p w:rsidR="00100A24" w:rsidRDefault="00100A24" w:rsidP="001C0ED5">
      <w:r>
        <w:t xml:space="preserve">An emerging actor in the field of subsidiarity is the Committee of the Regions. The CoR set up a Subsidiarity Monitoring Network, which facilitates the exchange of information on subsidiarity between different levels of government throughout Europe (Committee of the Regions, 2008:1). </w:t>
      </w:r>
    </w:p>
    <w:p w:rsidR="00100A24" w:rsidRDefault="00100A24" w:rsidP="001C0ED5"/>
    <w:p w:rsidR="00100A24" w:rsidRDefault="00100A24" w:rsidP="00D20C76">
      <w:pPr>
        <w:pStyle w:val="Heading2"/>
        <w:numPr>
          <w:ilvl w:val="1"/>
          <w:numId w:val="4"/>
        </w:numPr>
      </w:pPr>
      <w:bookmarkStart w:id="16" w:name="_Toc141864051"/>
      <w:r>
        <w:t>Legitimacy</w:t>
      </w:r>
      <w:bookmarkEnd w:id="16"/>
    </w:p>
    <w:p w:rsidR="00100A24" w:rsidRDefault="00100A24" w:rsidP="00D20C76">
      <w:r>
        <w:t>The growth of the European Community and the accompanying increased use of majority voting in the Council raised concerns about the legitimacy of European policy-making (Estella, 2002:37). Since then, an increasing focus has been placed on legitimacy. Legitimacy is a concept with many scopes and definitions. The basic definition of legitimacy that is used in this thesis defines it as “the idea that a regime’s procedures for making and enforcing laws are acceptable to all its subjects” (Cini, 2007:461). From this follows that legitimacy is interconnected with authority, such as a regime. When an authority is legitimate, those to whom it applies recognize it as valid. Furthermore, the word ‘acceptable’ invites to a reflection of the different ways for a regime to be acceptable. One way is to connect legitimacy to legality by stating that legitimacy is derived from the law, rendering political decisions that are in accordance with the law legitimate. These decisions can then be proper in their content and in the procedures that were used to reach them. Another way to define whether a regime is acceptable is to look at its recognition in a community. Here, shared norms and beliefs are important guidelines for judging a regime acceptable, and thus legitimate. These shared beliefs produce procedures, which is where justification enters the fray. In a sense a regime is legitimate if it is justified. This justification can take place, for example, through recurring elections. Of course, shared norms and beliefs do not necessarily mean that all interests are the same. A regime is legitimate when it solves the tension between general interests and particular interests in a fair and just manner (Bekkers &amp; Edwards, 2007:37-38). Turning towards the subject of this thesis, legitimacy is important for national parliaments because, as a regime’s subjects elect the members of their national parliament, a national parliament should ensure that the laws a regime makes should be acceptable. In the European context, Scharpf was the first scholar to build on the notion of legitimacy, thereby also implicitly touching upon subsidiarity. In a 1997 article, Scharpf stated that:</w:t>
      </w:r>
    </w:p>
    <w:p w:rsidR="00100A24" w:rsidRDefault="00100A24" w:rsidP="007E79B6">
      <w:pPr>
        <w:spacing w:after="120" w:line="240" w:lineRule="auto"/>
        <w:ind w:left="567"/>
      </w:pPr>
      <w:r>
        <w:t xml:space="preserve">“the competitive pressure on European welfare states that cannot be avoided originates from the ‘regulatory competition’ within the Union, and the frustrations of democratic governance in Europe result primarily from the fact that the range of feasible policy choices has been reduced at the national level while policy-making at the European level still lacks democratic legitimacy” (Scharpf, 1997:19). </w:t>
      </w:r>
    </w:p>
    <w:p w:rsidR="00100A24" w:rsidRDefault="00100A24" w:rsidP="00D20C76">
      <w:r>
        <w:t>In effect, what Scharpf means is that European policy-making lacks the democratic institutions that would make it more legitimate. Here is where national parliaments can play a role by scrutinizing the legislative procedure of the EU using the principle of subsidiarity. Scharpf also identified two types of legitimacy: input and output legitimacy, or the translation of citizen’s authentic preferences into policy and the effectiveness of that policy (Scharpf, 1997:19). Input legitimacy thus focuses on the process, while output legitimacy puts the focus on results (Estella, 2002:43). As such, input legitimacy needs fair procedures to link citizen’s preferences to political decisions. These ‘procedures’ take place through national parliaments. If citizens judge the policy that is made as ‘good’, then this constitutes input legitimacy (Boedeltje &amp; Cornips, 2004:2-4). Or, in other words, “citizens need to be convinced that political authority is properly constituted and exercised” (Dobson &amp; Weale, 2003:160). It is therefore also important that citizens are enabled to participate and that there is some measure of openness of the agenda setting process. Where citizen participation can be enhanced through elections and political debates, openness of the agenda setting process allows citizens to put certain topics on the agenda (Bekkers &amp; Edwards, 2007:43-44). Openness is also one of the key principles of good governance, showing precisely how good governance can enhance the legitimacy of a political system. Output legitimacy seeks to produce effective results that are in line with what citizens care about. Important for output legitimacy is a high level of competence, which is shown by achieving results that solve social problems with policies that satisfy citizens in terms of content (Boedeltje &amp; Cornips, 2004:4-6). Citizens acknowledge this competence when they think the system and its institutions perform well (Dobson &amp; Weale, 2003:160). The intended and unintended effects that result from policy-making identify the government performance citizens perceive (Bekkers &amp; Edwards, 2007:45). Both intended and unintended effects can contribute to a policy’s effectiveness, but they can also hamper it. As effectiveness is one of the five principles of good governance outlined in the Commission’s White Paper, again this shows that good governance is a factor that can contribute to the legitimacy of EU policy-making. The principles of good governance have as their goal to strengthen the efficiency and overall quality of EU governance (Dobson &amp; Weale, 2003:169). Consequently, if these principles are implemented well, the EU’s legitimacy should also increase.</w:t>
      </w:r>
    </w:p>
    <w:p w:rsidR="00100A24" w:rsidRDefault="00100A24" w:rsidP="00E74ADF">
      <w:pPr>
        <w:pStyle w:val="Heading3"/>
        <w:numPr>
          <w:ilvl w:val="2"/>
          <w:numId w:val="4"/>
        </w:numPr>
      </w:pPr>
      <w:bookmarkStart w:id="17" w:name="_Toc141864052"/>
      <w:r>
        <w:t>How legitimacy is connected to subsidiarity</w:t>
      </w:r>
      <w:bookmarkEnd w:id="17"/>
    </w:p>
    <w:p w:rsidR="00100A24" w:rsidRDefault="00100A24" w:rsidP="00E74ADF">
      <w:r>
        <w:t xml:space="preserve">The principle of subsidiarity can be reinforced by implementation of the five principles of good governance. The implementation of the same principles also strengthens legitimacy. The role of national parliaments in guarding the subsidiarity principle brings back the controlling role of national parliaments in European policy-making. Where they have formally lost this role due to majority voting and the co-decision procedure, the subsidiarity check allows national parliaments to speak in the EU on behalf of their citizens. In doing this, they are theoretically able to contribute to the legitimacy of EU policy-making, since they represent what their citizens want. National parliaments and the institutional triangle of the EU are the bodies that act in supranational law making. Thus, they are the sources of the EU’s input legitimacy (Dobson &amp; Weale, 2003:161). </w:t>
      </w:r>
    </w:p>
    <w:p w:rsidR="00100A24" w:rsidRDefault="00100A24" w:rsidP="00E74ADF"/>
    <w:p w:rsidR="00100A24" w:rsidRPr="00E74ADF" w:rsidRDefault="00100A24" w:rsidP="00E74ADF">
      <w:r>
        <w:t>The subsidiarity check itself is also part of input legitimacy, because it is part of the process of policy-making and also focuses on that process. By scrutinizing Commission proposals, national parliaments indicate what they would like to see happening during the process of policy-making. What then happens with the opinions national parliaments send to the Commission, contributes to both input and output legitimacy. The opinions influence the process of policy-making, as they could change the Commission’s views or they could have their impact through the political channels of the Council and the EP. If this results in changes of draft proposals, this affects the effects of policy-making. By being able to influence changes made in drafts, national parliaments could contribute to both output legitimacy and to good governance.</w:t>
      </w:r>
    </w:p>
    <w:p w:rsidR="00100A24" w:rsidRDefault="00100A24" w:rsidP="00D20C76"/>
    <w:p w:rsidR="00100A24" w:rsidRDefault="00100A24" w:rsidP="00D20C76">
      <w:pPr>
        <w:pStyle w:val="Heading2"/>
        <w:numPr>
          <w:ilvl w:val="1"/>
          <w:numId w:val="4"/>
        </w:numPr>
      </w:pPr>
      <w:bookmarkStart w:id="18" w:name="_Toc141864053"/>
      <w:r>
        <w:t>Flowchart</w:t>
      </w:r>
      <w:bookmarkEnd w:id="18"/>
    </w:p>
    <w:p w:rsidR="00100A24" w:rsidRDefault="00100A24" w:rsidP="00D20C76">
      <w:r>
        <w:t>Following from the theory presented above, a flowchart can be constructed that shows the important independent, intermediate, intervening and dependent variables operating in this thesis. It will be based on the important concepts that are at work, which are parliamentary scrutiny, subsidiarity and legitimacy.</w:t>
      </w:r>
    </w:p>
    <w:p w:rsidR="00100A24" w:rsidRDefault="00100A24" w:rsidP="00D20C76"/>
    <w:p w:rsidR="00100A24" w:rsidRDefault="00100A24" w:rsidP="00D20C76">
      <w:r>
        <w:rPr>
          <w:noProof/>
        </w:rPr>
        <w:pict>
          <v:shape id="_x0000_s1031" type="#_x0000_t75" alt="New flowchart.png" style="position:absolute;left:0;text-align:left;margin-left:-36pt;margin-top:7.55pt;width:500pt;height:252pt;z-index:-251658240;visibility:visible">
            <v:imagedata r:id="rId10" o:title=""/>
          </v:shape>
        </w:pict>
      </w:r>
    </w:p>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 w:rsidR="00100A24" w:rsidRDefault="00100A24" w:rsidP="00D20C76">
      <w:pPr>
        <w:rPr>
          <w:sz w:val="20"/>
        </w:rPr>
      </w:pPr>
    </w:p>
    <w:p w:rsidR="00100A24" w:rsidRDefault="00100A24" w:rsidP="00D20C76">
      <w:pPr>
        <w:rPr>
          <w:sz w:val="20"/>
        </w:rPr>
      </w:pPr>
      <w:r>
        <w:rPr>
          <w:sz w:val="20"/>
        </w:rPr>
        <w:t>Figure 3</w:t>
      </w:r>
      <w:r w:rsidRPr="009D2CD8">
        <w:rPr>
          <w:sz w:val="20"/>
        </w:rPr>
        <w:t>. Flowchart.</w:t>
      </w:r>
    </w:p>
    <w:p w:rsidR="00100A24" w:rsidRDefault="00100A24" w:rsidP="00D20C76">
      <w:pPr>
        <w:rPr>
          <w:sz w:val="20"/>
        </w:rPr>
      </w:pPr>
    </w:p>
    <w:p w:rsidR="00100A24" w:rsidRDefault="00100A24" w:rsidP="00D20C76">
      <w:r>
        <w:t>As the EU proposal starts the whole mechanisms of policy-making and scrutiny, this is the independent variable that is at the beginning of the flowchart. National parliaments, upon receiving the proposal, may then decide whether or not to carry out a subsidiarity check. This results in an action done by them. This action then influences the process of policy-making, or, the legitimacy of the policies that result. However, this process can be influenced by actions from the EC, the EP and the Council. The variables and their indicators will be discussed further in the next chapter on methodology.</w:t>
      </w:r>
    </w:p>
    <w:p w:rsidR="00100A24" w:rsidRPr="009D2CD8" w:rsidRDefault="00100A24" w:rsidP="00D20C76"/>
    <w:p w:rsidR="00100A24" w:rsidRDefault="00100A24" w:rsidP="009F1288">
      <w:pPr>
        <w:pStyle w:val="Heading2"/>
        <w:numPr>
          <w:ilvl w:val="1"/>
          <w:numId w:val="4"/>
        </w:numPr>
      </w:pPr>
      <w:bookmarkStart w:id="19" w:name="_Toc141864054"/>
      <w:r>
        <w:t>Conclusion</w:t>
      </w:r>
      <w:bookmarkEnd w:id="19"/>
    </w:p>
    <w:p w:rsidR="00100A24" w:rsidRDefault="00100A24" w:rsidP="009F1288">
      <w:r>
        <w:t>The theory presented in this chapter shows the interplay between the mechanisms governing the EU, European governance, legitimacy and the principle of subsidiarity. As the co-decision procedure is used most in the EU, the Union operates mainly through a supranational, multi-level governance framework. In this framework, the White Paper on European Governance outlines five principles of good governance, which, if implemented correctly, reinforce subsidiarity and proportionality. Subsidiarity, then, plays a key role in the European governance framework, for it divides competences along hierarchic levels of government. The application of the principle of subsidiarity is set out in the treaties of the EU, with most recent changes having been made in the Treaty of Lisbon. The EC and national parliaments have major roles in considering subsidiarity. While the EC has to provide every proposal with a statement applying the subsidiarity principle, national parliaments have the authority to appraise this statement and send an opinion to the EC. When one third or a majority of national parliaments express a negative opinion, the EC can be forced to review its proposal. The application of one of the principles of good governance, effectiveness, increases the legitimacy of EU policy-making. Consequently, with reinforced subsidiarity through good governance, national parliaments should be able to contribute to the legitimacy of the policies of the EU.</w:t>
      </w:r>
    </w:p>
    <w:p w:rsidR="00100A24" w:rsidRDefault="00100A24" w:rsidP="009F1288"/>
    <w:p w:rsidR="00100A24" w:rsidRDefault="00100A24" w:rsidP="00166344"/>
    <w:p w:rsidR="00100A24" w:rsidRDefault="00100A24" w:rsidP="00166344"/>
    <w:p w:rsidR="00100A24" w:rsidRDefault="00100A24" w:rsidP="0057576A"/>
    <w:p w:rsidR="00100A24" w:rsidRDefault="00100A24" w:rsidP="0057576A">
      <w:pPr>
        <w:pStyle w:val="Heading1"/>
      </w:pPr>
      <w:r>
        <w:br w:type="column"/>
      </w:r>
      <w:bookmarkStart w:id="20" w:name="_Toc141864055"/>
      <w:r>
        <w:t>2. Methodology</w:t>
      </w:r>
      <w:bookmarkEnd w:id="20"/>
    </w:p>
    <w:p w:rsidR="00100A24" w:rsidRDefault="00100A24" w:rsidP="00166344"/>
    <w:p w:rsidR="00100A24" w:rsidRDefault="00100A24" w:rsidP="00166344">
      <w:r>
        <w:t>The purpose of this chapter on methodology is to identify dependent, independent, intermediate and intervening variables that will be used to analyze the data presented in the empirical part of the thesis. This will be done through identification of indicators that flow from the theoretical framework and the flowchart of the previous chapter. Finally, this chapter will also deal with the data sources used for this study.</w:t>
      </w:r>
    </w:p>
    <w:p w:rsidR="00100A24" w:rsidRDefault="00100A24" w:rsidP="00166344"/>
    <w:p w:rsidR="00100A24" w:rsidRDefault="00100A24" w:rsidP="00AA76F1">
      <w:pPr>
        <w:pStyle w:val="Heading2"/>
      </w:pPr>
      <w:bookmarkStart w:id="21" w:name="_Toc141864056"/>
      <w:r>
        <w:t>2.1. Important variables and their indicators</w:t>
      </w:r>
      <w:bookmarkEnd w:id="21"/>
    </w:p>
    <w:p w:rsidR="00100A24" w:rsidRDefault="00100A24" w:rsidP="00AA76F1">
      <w:r>
        <w:t>In order to identify which indicators will be used in this study, a flowchart was presented in the previous chapter. The purpose of this thesis is to research whether national parliaments can increase the legitimacy of European policy-making by using the principle of subsidiarity. The variables that the flowchart shows are EU policies, action by national parliaments using subsidiarity, EC action, EP/Council action and EU policy-making. To be able to analyze the data presented in the empirical part, the variables will have to be measured, using indicators. These indicators are presented in the table below.</w:t>
      </w:r>
    </w:p>
    <w:p w:rsidR="00100A24" w:rsidRDefault="00100A24" w:rsidP="00AA76F1"/>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4258"/>
        <w:gridCol w:w="4258"/>
      </w:tblGrid>
      <w:tr w:rsidR="00100A24" w:rsidRPr="003337EE" w:rsidTr="003337EE">
        <w:tc>
          <w:tcPr>
            <w:tcW w:w="4258" w:type="dxa"/>
          </w:tcPr>
          <w:p w:rsidR="00100A24" w:rsidRPr="003337EE" w:rsidRDefault="00100A24">
            <w:pPr>
              <w:rPr>
                <w:b/>
                <w:i/>
                <w:sz w:val="28"/>
              </w:rPr>
            </w:pPr>
            <w:r w:rsidRPr="003337EE">
              <w:rPr>
                <w:b/>
                <w:i/>
                <w:sz w:val="28"/>
              </w:rPr>
              <w:t>Variable</w:t>
            </w:r>
          </w:p>
        </w:tc>
        <w:tc>
          <w:tcPr>
            <w:tcW w:w="4258" w:type="dxa"/>
          </w:tcPr>
          <w:p w:rsidR="00100A24" w:rsidRPr="003337EE" w:rsidRDefault="00100A24">
            <w:pPr>
              <w:rPr>
                <w:b/>
                <w:i/>
                <w:sz w:val="28"/>
              </w:rPr>
            </w:pPr>
            <w:r w:rsidRPr="003337EE">
              <w:rPr>
                <w:b/>
                <w:i/>
                <w:sz w:val="28"/>
              </w:rPr>
              <w:t>Indicator</w:t>
            </w:r>
          </w:p>
        </w:tc>
      </w:tr>
      <w:tr w:rsidR="00100A24" w:rsidRPr="003337EE" w:rsidTr="003337EE">
        <w:tc>
          <w:tcPr>
            <w:tcW w:w="4258" w:type="dxa"/>
          </w:tcPr>
          <w:p w:rsidR="00100A24" w:rsidRPr="003337EE" w:rsidRDefault="00100A24">
            <w:pPr>
              <w:rPr>
                <w:u w:val="single"/>
              </w:rPr>
            </w:pPr>
            <w:r w:rsidRPr="003337EE">
              <w:rPr>
                <w:b/>
              </w:rPr>
              <w:t>Independent</w:t>
            </w:r>
          </w:p>
        </w:tc>
        <w:tc>
          <w:tcPr>
            <w:tcW w:w="4258" w:type="dxa"/>
          </w:tcPr>
          <w:p w:rsidR="00100A24" w:rsidRPr="003337EE" w:rsidRDefault="00100A24">
            <w:pPr>
              <w:rPr>
                <w:u w:val="single"/>
              </w:rPr>
            </w:pPr>
          </w:p>
        </w:tc>
      </w:tr>
      <w:tr w:rsidR="00100A24" w:rsidRPr="003337EE" w:rsidTr="003337EE">
        <w:tc>
          <w:tcPr>
            <w:tcW w:w="4258" w:type="dxa"/>
          </w:tcPr>
          <w:p w:rsidR="00100A24" w:rsidRPr="003337EE" w:rsidRDefault="00100A24">
            <w:r w:rsidRPr="003337EE">
              <w:t>EU proposal</w:t>
            </w:r>
          </w:p>
        </w:tc>
        <w:tc>
          <w:tcPr>
            <w:tcW w:w="4258" w:type="dxa"/>
          </w:tcPr>
          <w:p w:rsidR="00100A24" w:rsidRPr="003337EE" w:rsidRDefault="00100A24">
            <w:r w:rsidRPr="003337EE">
              <w:t>Subsidiarity statement, content</w:t>
            </w:r>
          </w:p>
        </w:tc>
      </w:tr>
      <w:tr w:rsidR="00100A24" w:rsidRPr="003337EE" w:rsidTr="003337EE">
        <w:tc>
          <w:tcPr>
            <w:tcW w:w="4258" w:type="dxa"/>
          </w:tcPr>
          <w:p w:rsidR="00100A24" w:rsidRPr="003337EE" w:rsidRDefault="00100A24"/>
        </w:tc>
        <w:tc>
          <w:tcPr>
            <w:tcW w:w="4258" w:type="dxa"/>
          </w:tcPr>
          <w:p w:rsidR="00100A24" w:rsidRPr="003337EE" w:rsidRDefault="00100A24"/>
        </w:tc>
      </w:tr>
      <w:tr w:rsidR="00100A24" w:rsidRPr="003337EE" w:rsidTr="003337EE">
        <w:tc>
          <w:tcPr>
            <w:tcW w:w="4258" w:type="dxa"/>
          </w:tcPr>
          <w:p w:rsidR="00100A24" w:rsidRPr="003337EE" w:rsidRDefault="00100A24">
            <w:pPr>
              <w:rPr>
                <w:u w:val="single"/>
              </w:rPr>
            </w:pPr>
            <w:r w:rsidRPr="003337EE">
              <w:rPr>
                <w:b/>
              </w:rPr>
              <w:t>Intermediate</w:t>
            </w:r>
          </w:p>
        </w:tc>
        <w:tc>
          <w:tcPr>
            <w:tcW w:w="4258" w:type="dxa"/>
          </w:tcPr>
          <w:p w:rsidR="00100A24" w:rsidRPr="003337EE" w:rsidRDefault="00100A24">
            <w:pPr>
              <w:rPr>
                <w:u w:val="single"/>
              </w:rPr>
            </w:pPr>
          </w:p>
        </w:tc>
      </w:tr>
      <w:tr w:rsidR="00100A24" w:rsidRPr="003337EE" w:rsidTr="003337EE">
        <w:tc>
          <w:tcPr>
            <w:tcW w:w="4258" w:type="dxa"/>
          </w:tcPr>
          <w:p w:rsidR="00100A24" w:rsidRPr="003337EE" w:rsidRDefault="00100A24">
            <w:r w:rsidRPr="003337EE">
              <w:t>Action by national parliaments using subsidiarity</w:t>
            </w:r>
          </w:p>
        </w:tc>
        <w:tc>
          <w:tcPr>
            <w:tcW w:w="4258" w:type="dxa"/>
          </w:tcPr>
          <w:p w:rsidR="00100A24" w:rsidRPr="003337EE" w:rsidRDefault="00100A24">
            <w:r w:rsidRPr="003337EE">
              <w:t>Communications, number of subsidiarity checks, coordination with other national parliaments</w:t>
            </w:r>
          </w:p>
        </w:tc>
      </w:tr>
      <w:tr w:rsidR="00100A24" w:rsidRPr="003337EE" w:rsidTr="003337EE">
        <w:tc>
          <w:tcPr>
            <w:tcW w:w="4258" w:type="dxa"/>
          </w:tcPr>
          <w:p w:rsidR="00100A24" w:rsidRPr="003337EE" w:rsidRDefault="00100A24"/>
        </w:tc>
        <w:tc>
          <w:tcPr>
            <w:tcW w:w="4258" w:type="dxa"/>
          </w:tcPr>
          <w:p w:rsidR="00100A24" w:rsidRPr="003337EE" w:rsidRDefault="00100A24"/>
        </w:tc>
      </w:tr>
      <w:tr w:rsidR="00100A24" w:rsidRPr="003337EE" w:rsidTr="003337EE">
        <w:tc>
          <w:tcPr>
            <w:tcW w:w="4258" w:type="dxa"/>
          </w:tcPr>
          <w:p w:rsidR="00100A24" w:rsidRPr="003337EE" w:rsidRDefault="00100A24">
            <w:pPr>
              <w:rPr>
                <w:u w:val="single"/>
              </w:rPr>
            </w:pPr>
            <w:r w:rsidRPr="003337EE">
              <w:rPr>
                <w:b/>
              </w:rPr>
              <w:t>Intervening</w:t>
            </w:r>
          </w:p>
        </w:tc>
        <w:tc>
          <w:tcPr>
            <w:tcW w:w="4258" w:type="dxa"/>
          </w:tcPr>
          <w:p w:rsidR="00100A24" w:rsidRPr="003337EE" w:rsidRDefault="00100A24">
            <w:pPr>
              <w:rPr>
                <w:u w:val="single"/>
              </w:rPr>
            </w:pPr>
          </w:p>
        </w:tc>
      </w:tr>
      <w:tr w:rsidR="00100A24" w:rsidRPr="003337EE" w:rsidTr="003337EE">
        <w:tc>
          <w:tcPr>
            <w:tcW w:w="4258" w:type="dxa"/>
          </w:tcPr>
          <w:p w:rsidR="00100A24" w:rsidRPr="003337EE" w:rsidRDefault="00100A24">
            <w:r w:rsidRPr="003337EE">
              <w:t>EC action</w:t>
            </w:r>
          </w:p>
        </w:tc>
        <w:tc>
          <w:tcPr>
            <w:tcW w:w="4258" w:type="dxa"/>
          </w:tcPr>
          <w:p w:rsidR="00100A24" w:rsidRPr="003337EE" w:rsidRDefault="00100A24">
            <w:r w:rsidRPr="003337EE">
              <w:t>Communications, changes made in proposals after receiving opinions from national parliaments</w:t>
            </w:r>
          </w:p>
        </w:tc>
      </w:tr>
      <w:tr w:rsidR="00100A24" w:rsidRPr="003337EE" w:rsidTr="003337EE">
        <w:tc>
          <w:tcPr>
            <w:tcW w:w="4258" w:type="dxa"/>
          </w:tcPr>
          <w:p w:rsidR="00100A24" w:rsidRPr="003337EE" w:rsidRDefault="00100A24">
            <w:r w:rsidRPr="003337EE">
              <w:t>EP/Council action</w:t>
            </w:r>
          </w:p>
        </w:tc>
        <w:tc>
          <w:tcPr>
            <w:tcW w:w="4258" w:type="dxa"/>
          </w:tcPr>
          <w:p w:rsidR="00100A24" w:rsidRPr="003337EE" w:rsidRDefault="00100A24">
            <w:r w:rsidRPr="003337EE">
              <w:t>Number of proposals annulled</w:t>
            </w:r>
          </w:p>
        </w:tc>
      </w:tr>
      <w:tr w:rsidR="00100A24" w:rsidRPr="003337EE" w:rsidTr="003337EE">
        <w:tc>
          <w:tcPr>
            <w:tcW w:w="4258" w:type="dxa"/>
          </w:tcPr>
          <w:p w:rsidR="00100A24" w:rsidRPr="003337EE" w:rsidRDefault="00100A24">
            <w:pPr>
              <w:rPr>
                <w:b/>
              </w:rPr>
            </w:pPr>
          </w:p>
        </w:tc>
        <w:tc>
          <w:tcPr>
            <w:tcW w:w="4258" w:type="dxa"/>
          </w:tcPr>
          <w:p w:rsidR="00100A24" w:rsidRPr="003337EE" w:rsidRDefault="00100A24"/>
        </w:tc>
      </w:tr>
      <w:tr w:rsidR="00100A24" w:rsidRPr="003337EE" w:rsidTr="003337EE">
        <w:tc>
          <w:tcPr>
            <w:tcW w:w="4258" w:type="dxa"/>
          </w:tcPr>
          <w:p w:rsidR="00100A24" w:rsidRPr="003337EE" w:rsidRDefault="00100A24">
            <w:pPr>
              <w:rPr>
                <w:b/>
              </w:rPr>
            </w:pPr>
            <w:r w:rsidRPr="003337EE">
              <w:rPr>
                <w:b/>
              </w:rPr>
              <w:t>Dependent</w:t>
            </w:r>
          </w:p>
        </w:tc>
        <w:tc>
          <w:tcPr>
            <w:tcW w:w="4258" w:type="dxa"/>
          </w:tcPr>
          <w:p w:rsidR="00100A24" w:rsidRPr="003337EE" w:rsidRDefault="00100A24"/>
        </w:tc>
      </w:tr>
      <w:tr w:rsidR="00100A24" w:rsidRPr="003337EE" w:rsidTr="003337EE">
        <w:tc>
          <w:tcPr>
            <w:tcW w:w="4258" w:type="dxa"/>
          </w:tcPr>
          <w:p w:rsidR="00100A24" w:rsidRPr="003337EE" w:rsidRDefault="00100A24">
            <w:r w:rsidRPr="003337EE">
              <w:t>EU policy-making</w:t>
            </w:r>
          </w:p>
        </w:tc>
        <w:tc>
          <w:tcPr>
            <w:tcW w:w="4258" w:type="dxa"/>
          </w:tcPr>
          <w:p w:rsidR="00100A24" w:rsidRPr="003337EE" w:rsidRDefault="00100A24">
            <w:r w:rsidRPr="003337EE">
              <w:t>Input and output legitimacy</w:t>
            </w:r>
          </w:p>
        </w:tc>
      </w:tr>
    </w:tbl>
    <w:p w:rsidR="00100A24" w:rsidRPr="00380DB4" w:rsidRDefault="00100A24" w:rsidP="00AA76F1">
      <w:pPr>
        <w:rPr>
          <w:sz w:val="20"/>
        </w:rPr>
      </w:pPr>
      <w:r w:rsidRPr="00380DB4">
        <w:rPr>
          <w:sz w:val="20"/>
        </w:rPr>
        <w:t>Table 2. Variables and their indicators.</w:t>
      </w:r>
    </w:p>
    <w:p w:rsidR="00100A24" w:rsidRDefault="00100A24" w:rsidP="00AA76F1"/>
    <w:p w:rsidR="00100A24" w:rsidRDefault="00100A24" w:rsidP="00476CD7">
      <w:pPr>
        <w:pStyle w:val="Header"/>
      </w:pPr>
      <w:r>
        <w:t>The indicators identified above will be employed throughout the thesis. They will guide the manner in which the thesis is set up and how information answering the sub questions will be provided. The indicators, however, need to be measured. The following table shows what will be used to measure the indicators.</w:t>
      </w:r>
    </w:p>
    <w:p w:rsidR="00100A24" w:rsidRDefault="00100A24" w:rsidP="00476CD7">
      <w:pPr>
        <w:pStyle w:val="Head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4258"/>
        <w:gridCol w:w="4258"/>
      </w:tblGrid>
      <w:tr w:rsidR="00100A24" w:rsidRPr="003337EE" w:rsidTr="003337EE">
        <w:tc>
          <w:tcPr>
            <w:tcW w:w="4258" w:type="dxa"/>
          </w:tcPr>
          <w:p w:rsidR="00100A24" w:rsidRPr="003337EE" w:rsidRDefault="00100A24">
            <w:pPr>
              <w:rPr>
                <w:b/>
              </w:rPr>
            </w:pPr>
            <w:r w:rsidRPr="003337EE">
              <w:rPr>
                <w:b/>
              </w:rPr>
              <w:t>Indicator</w:t>
            </w:r>
          </w:p>
        </w:tc>
        <w:tc>
          <w:tcPr>
            <w:tcW w:w="4258" w:type="dxa"/>
          </w:tcPr>
          <w:p w:rsidR="00100A24" w:rsidRPr="003337EE" w:rsidRDefault="00100A24">
            <w:pPr>
              <w:rPr>
                <w:b/>
              </w:rPr>
            </w:pPr>
            <w:r w:rsidRPr="003337EE">
              <w:rPr>
                <w:b/>
              </w:rPr>
              <w:t>Way of measurement</w:t>
            </w:r>
          </w:p>
        </w:tc>
      </w:tr>
      <w:tr w:rsidR="00100A24" w:rsidRPr="003337EE" w:rsidTr="003337EE">
        <w:tc>
          <w:tcPr>
            <w:tcW w:w="4258" w:type="dxa"/>
          </w:tcPr>
          <w:p w:rsidR="00100A24" w:rsidRPr="003337EE" w:rsidRDefault="00100A24">
            <w:r w:rsidRPr="003337EE">
              <w:t>Subsidiarity statement</w:t>
            </w:r>
          </w:p>
        </w:tc>
        <w:tc>
          <w:tcPr>
            <w:tcW w:w="4258" w:type="dxa"/>
          </w:tcPr>
          <w:p w:rsidR="00100A24" w:rsidRPr="003337EE" w:rsidRDefault="00100A24">
            <w:r w:rsidRPr="003337EE">
              <w:t>Analysis of the content: what does it say? What is the legal basis the EC employs?</w:t>
            </w:r>
          </w:p>
        </w:tc>
      </w:tr>
      <w:tr w:rsidR="00100A24" w:rsidRPr="003337EE" w:rsidTr="003337EE">
        <w:tc>
          <w:tcPr>
            <w:tcW w:w="4258" w:type="dxa"/>
          </w:tcPr>
          <w:p w:rsidR="00100A24" w:rsidRPr="003337EE" w:rsidRDefault="00100A24">
            <w:r w:rsidRPr="003337EE">
              <w:t>Content of EU proposals</w:t>
            </w:r>
          </w:p>
        </w:tc>
        <w:tc>
          <w:tcPr>
            <w:tcW w:w="4258" w:type="dxa"/>
          </w:tcPr>
          <w:p w:rsidR="00100A24" w:rsidRPr="003337EE" w:rsidRDefault="00100A24">
            <w:r w:rsidRPr="003337EE">
              <w:t>Analysis of provisions that could be identified as a breach of subsidiarity</w:t>
            </w:r>
          </w:p>
        </w:tc>
      </w:tr>
      <w:tr w:rsidR="00100A24" w:rsidRPr="003337EE" w:rsidTr="003337EE">
        <w:tc>
          <w:tcPr>
            <w:tcW w:w="4258" w:type="dxa"/>
          </w:tcPr>
          <w:p w:rsidR="00100A24" w:rsidRPr="003337EE" w:rsidRDefault="00100A24">
            <w:r w:rsidRPr="003337EE">
              <w:t>Communications sent by national parliaments</w:t>
            </w:r>
          </w:p>
        </w:tc>
        <w:tc>
          <w:tcPr>
            <w:tcW w:w="4258" w:type="dxa"/>
          </w:tcPr>
          <w:p w:rsidR="00100A24" w:rsidRPr="003337EE" w:rsidRDefault="00100A24">
            <w:r w:rsidRPr="003337EE">
              <w:t>Analysis of the content of the opinions: which arguments do they use? Do they request additional information? If so, what are their questions?</w:t>
            </w:r>
          </w:p>
        </w:tc>
      </w:tr>
      <w:tr w:rsidR="00100A24" w:rsidRPr="003337EE" w:rsidTr="003337EE">
        <w:tc>
          <w:tcPr>
            <w:tcW w:w="4258" w:type="dxa"/>
          </w:tcPr>
          <w:p w:rsidR="00100A24" w:rsidRPr="003337EE" w:rsidRDefault="00100A24">
            <w:r w:rsidRPr="003337EE">
              <w:t>Number of subsidiarity checks performed</w:t>
            </w:r>
          </w:p>
        </w:tc>
        <w:tc>
          <w:tcPr>
            <w:tcW w:w="4258" w:type="dxa"/>
          </w:tcPr>
          <w:p w:rsidR="00100A24" w:rsidRPr="003337EE" w:rsidRDefault="00100A24">
            <w:r w:rsidRPr="003337EE">
              <w:t>Statistical</w:t>
            </w:r>
          </w:p>
        </w:tc>
      </w:tr>
      <w:tr w:rsidR="00100A24" w:rsidRPr="003337EE" w:rsidTr="003337EE">
        <w:tc>
          <w:tcPr>
            <w:tcW w:w="4258" w:type="dxa"/>
          </w:tcPr>
          <w:p w:rsidR="00100A24" w:rsidRPr="003337EE" w:rsidRDefault="00100A24">
            <w:r w:rsidRPr="003337EE">
              <w:t>Coordination with other national parliaments</w:t>
            </w:r>
          </w:p>
        </w:tc>
        <w:tc>
          <w:tcPr>
            <w:tcW w:w="4258" w:type="dxa"/>
          </w:tcPr>
          <w:p w:rsidR="00100A24" w:rsidRPr="003337EE" w:rsidRDefault="00100A24">
            <w:r w:rsidRPr="003337EE">
              <w:t>Can be found in the answers national parliaments give to the COSAC questionnaire accompanying the subsidiarity check</w:t>
            </w:r>
          </w:p>
        </w:tc>
      </w:tr>
      <w:tr w:rsidR="00100A24" w:rsidRPr="003337EE" w:rsidTr="003337EE">
        <w:tc>
          <w:tcPr>
            <w:tcW w:w="4258" w:type="dxa"/>
          </w:tcPr>
          <w:p w:rsidR="00100A24" w:rsidRPr="003337EE" w:rsidRDefault="00100A24">
            <w:r w:rsidRPr="003337EE">
              <w:t>Communications sent by the EC</w:t>
            </w:r>
          </w:p>
        </w:tc>
        <w:tc>
          <w:tcPr>
            <w:tcW w:w="4258" w:type="dxa"/>
          </w:tcPr>
          <w:p w:rsidR="00100A24" w:rsidRPr="003337EE" w:rsidRDefault="00100A24">
            <w:r w:rsidRPr="003337EE">
              <w:t>Analysis of the content: what arguments does the EC use to convince a national parliament? Does it answer any questions posed by a national parliament?</w:t>
            </w:r>
          </w:p>
        </w:tc>
      </w:tr>
      <w:tr w:rsidR="00100A24" w:rsidRPr="003337EE" w:rsidTr="003337EE">
        <w:tc>
          <w:tcPr>
            <w:tcW w:w="4258" w:type="dxa"/>
          </w:tcPr>
          <w:p w:rsidR="00100A24" w:rsidRPr="003337EE" w:rsidRDefault="00100A24">
            <w:r w:rsidRPr="003337EE">
              <w:t>Changes made in proposals after receiving opinions from national parliaments</w:t>
            </w:r>
          </w:p>
        </w:tc>
        <w:tc>
          <w:tcPr>
            <w:tcW w:w="4258" w:type="dxa"/>
          </w:tcPr>
          <w:p w:rsidR="00100A24" w:rsidRPr="003337EE" w:rsidRDefault="00100A24">
            <w:r w:rsidRPr="003337EE">
              <w:t xml:space="preserve">Interviews with permanent representatives of national parliaments to the EP </w:t>
            </w:r>
          </w:p>
        </w:tc>
      </w:tr>
      <w:tr w:rsidR="00100A24" w:rsidRPr="003337EE" w:rsidTr="003337EE">
        <w:tc>
          <w:tcPr>
            <w:tcW w:w="4258" w:type="dxa"/>
          </w:tcPr>
          <w:p w:rsidR="00100A24" w:rsidRPr="003337EE" w:rsidRDefault="00100A24">
            <w:r w:rsidRPr="003337EE">
              <w:t>Number of proposals annulled</w:t>
            </w:r>
          </w:p>
        </w:tc>
        <w:tc>
          <w:tcPr>
            <w:tcW w:w="4258" w:type="dxa"/>
          </w:tcPr>
          <w:p w:rsidR="00100A24" w:rsidRPr="003337EE" w:rsidRDefault="00100A24">
            <w:r w:rsidRPr="003337EE">
              <w:t>Statistical, but has not yet happened in practice</w:t>
            </w:r>
          </w:p>
        </w:tc>
      </w:tr>
      <w:tr w:rsidR="00100A24" w:rsidRPr="003337EE" w:rsidTr="003337EE">
        <w:tc>
          <w:tcPr>
            <w:tcW w:w="4258" w:type="dxa"/>
          </w:tcPr>
          <w:p w:rsidR="00100A24" w:rsidRPr="003337EE" w:rsidRDefault="00100A24">
            <w:r w:rsidRPr="003337EE">
              <w:t>Input legitimacy</w:t>
            </w:r>
          </w:p>
        </w:tc>
        <w:tc>
          <w:tcPr>
            <w:tcW w:w="4258" w:type="dxa"/>
          </w:tcPr>
          <w:p w:rsidR="00100A24" w:rsidRPr="003337EE" w:rsidRDefault="00100A24">
            <w:r w:rsidRPr="003337EE">
              <w:t>Process of the subsidiarity check: what happened? Which procedures were used? What was the involvement of national parliaments?</w:t>
            </w:r>
          </w:p>
        </w:tc>
      </w:tr>
      <w:tr w:rsidR="00100A24" w:rsidRPr="003337EE" w:rsidTr="003337EE">
        <w:tc>
          <w:tcPr>
            <w:tcW w:w="4258" w:type="dxa"/>
          </w:tcPr>
          <w:p w:rsidR="00100A24" w:rsidRPr="003337EE" w:rsidRDefault="00100A24">
            <w:r w:rsidRPr="003337EE">
              <w:t>Output legitimacy</w:t>
            </w:r>
          </w:p>
        </w:tc>
        <w:tc>
          <w:tcPr>
            <w:tcW w:w="4258" w:type="dxa"/>
          </w:tcPr>
          <w:p w:rsidR="00100A24" w:rsidRPr="003337EE" w:rsidRDefault="00100A24" w:rsidP="00AF7021">
            <w:r w:rsidRPr="003337EE">
              <w:t xml:space="preserve">Principle of good governance: effectiveness. Or: did national parliaments have an influence on the result of the policy-making process? </w:t>
            </w:r>
          </w:p>
        </w:tc>
      </w:tr>
    </w:tbl>
    <w:p w:rsidR="00100A24" w:rsidRPr="00380DB4" w:rsidRDefault="00100A24" w:rsidP="00476CD7">
      <w:pPr>
        <w:pStyle w:val="Header"/>
        <w:rPr>
          <w:sz w:val="20"/>
        </w:rPr>
      </w:pPr>
      <w:r w:rsidRPr="00380DB4">
        <w:rPr>
          <w:sz w:val="20"/>
        </w:rPr>
        <w:t>Table 3. How to measure the indicators.</w:t>
      </w:r>
    </w:p>
    <w:p w:rsidR="00100A24" w:rsidRDefault="00100A24" w:rsidP="00476CD7">
      <w:pPr>
        <w:pStyle w:val="Header"/>
      </w:pPr>
    </w:p>
    <w:p w:rsidR="00100A24" w:rsidRPr="00380DB4" w:rsidRDefault="00100A24" w:rsidP="00476CD7">
      <w:pPr>
        <w:pStyle w:val="Header"/>
      </w:pPr>
      <w:r>
        <w:t>The variables, indicators and ways of measuring will be explained below.</w:t>
      </w:r>
    </w:p>
    <w:p w:rsidR="00100A24" w:rsidRDefault="00100A24" w:rsidP="00476CD7">
      <w:pPr>
        <w:pStyle w:val="Header"/>
        <w:rPr>
          <w:b/>
        </w:rPr>
      </w:pPr>
    </w:p>
    <w:p w:rsidR="00100A24" w:rsidRPr="00476CD7" w:rsidRDefault="00100A24" w:rsidP="00476CD7">
      <w:pPr>
        <w:pStyle w:val="Header"/>
        <w:rPr>
          <w:b/>
        </w:rPr>
      </w:pPr>
      <w:r>
        <w:rPr>
          <w:b/>
        </w:rPr>
        <w:t>Independent variable</w:t>
      </w:r>
    </w:p>
    <w:p w:rsidR="00100A24" w:rsidRDefault="00100A24" w:rsidP="00380DB4">
      <w:r>
        <w:t xml:space="preserve">The EU proposals are draft legislative acts which can be classified through the subsidiarity statement they provide. This statement, according to the Protocol on the application of the principles of subsidiarity and proportionality, should consist of the possible financial impact of the legislation and qualitative and quantitative indicators specifying the need for EU action and the added value of this action. </w:t>
      </w:r>
    </w:p>
    <w:p w:rsidR="00100A24" w:rsidRDefault="00100A24" w:rsidP="00AA76F1"/>
    <w:p w:rsidR="00100A24" w:rsidRPr="00476CD7" w:rsidRDefault="00100A24" w:rsidP="00AA76F1">
      <w:pPr>
        <w:rPr>
          <w:b/>
        </w:rPr>
      </w:pPr>
      <w:r>
        <w:rPr>
          <w:b/>
        </w:rPr>
        <w:t>Intermediate variable</w:t>
      </w:r>
    </w:p>
    <w:p w:rsidR="00100A24" w:rsidRDefault="00100A24" w:rsidP="00AA76F1">
      <w:r>
        <w:t>Parliamentary action can be measured through the content of the communications (opinions) they send to the European institutions regarding draft legislative acts. It is then helpful to look at the arguments parliaments employ, the questions they ask the Commission and whether they use the opinions for other purposes than to check for breaches of the subsidiarity principle. Another indicator for parliamentary action is the number of subsidiarity checks that have been performed by parliaments. This indicator shows how important national parliaments think subsidiarity is. The third indicator is the extent to which national parliaments cooperate together and coordinate their work. In essence, this involves checking the activity of COSAC, for example through interviews with employees of national parliaments.</w:t>
      </w:r>
    </w:p>
    <w:p w:rsidR="00100A24" w:rsidRDefault="00100A24" w:rsidP="00AA76F1"/>
    <w:p w:rsidR="00100A24" w:rsidRDefault="00100A24" w:rsidP="00AA76F1">
      <w:pPr>
        <w:rPr>
          <w:b/>
        </w:rPr>
      </w:pPr>
      <w:r>
        <w:rPr>
          <w:b/>
        </w:rPr>
        <w:t>Intervening variables</w:t>
      </w:r>
    </w:p>
    <w:p w:rsidR="00100A24" w:rsidRDefault="00100A24" w:rsidP="00AA76F1">
      <w:r>
        <w:t>An intervening variable is Commission action. The EC will respond to national parliaments and this can be measured through the communications the EC sends to national parliaments in response to received opinions. It is then important to look at the arguments the EC uses to convince national parliaments and whether it answers the questions national parliaments ask it. Another indicator is the changes the EC makes in proposals after having received opinions from national parliaments. These changes could be stated explicitly in policy documents, but they could also be incorporated into a proposal without any explicit mention of this by the EC.</w:t>
      </w:r>
    </w:p>
    <w:p w:rsidR="00100A24" w:rsidRDefault="00100A24" w:rsidP="00AA76F1"/>
    <w:p w:rsidR="00100A24" w:rsidRDefault="00100A24" w:rsidP="00AA76F1">
      <w:r>
        <w:t>Another intervening variable is Council/EP action. This action is brought into the EU policy-making process with the entry into force of the Treaty of Lisbon. As the yellow and orange card procedures can be enacted by respectively one third or a majority of national parliaments, the EC will have to respond to these procedures. As discussed in the previous chapter, the EC can decide to adjust, maintain or withdraw a draft legislative act. If the EC chooses to maintain the draft, it has to give a well-reasoned opinion for doing so. This opinion will then be placed, under the co-decision procedure, before the scrutiny of the Council and the EP. These institutions then have an influence on the ultimate action the EC performs, since they can annul the proposal. The indicators for Council/EP action are therefore the yellow and orange card procedures and their outcomes. However, as the Treaty of Lisbon only entered into force in December 2009, the yellow and orange cards have not been used yet. The use of subsidiarity until 2010 will provide insight in whether the yellow and orange card procedures will prove fruitful. An important indicator for this purpose is whether the threshold for the procedures to enter into force has ever been met by national parliaments.</w:t>
      </w:r>
    </w:p>
    <w:p w:rsidR="00100A24" w:rsidRDefault="00100A24" w:rsidP="00AA76F1"/>
    <w:p w:rsidR="00100A24" w:rsidRDefault="00100A24" w:rsidP="00AA76F1">
      <w:pPr>
        <w:rPr>
          <w:b/>
        </w:rPr>
      </w:pPr>
      <w:r>
        <w:rPr>
          <w:b/>
        </w:rPr>
        <w:t>Dependent variable</w:t>
      </w:r>
    </w:p>
    <w:p w:rsidR="00100A24" w:rsidRDefault="00100A24" w:rsidP="00AA76F1">
      <w:r>
        <w:t>The EU policy-making process has legitimacy as its indicator. Both input and output legitimacy will be measured through looking at the process of subsidiarity checks and their outcomes. The outcomes are characterized by the effectiveness of national parliaments in influencing the EU policy-making procedure through the use of the principle of subsidiarity. This information is available on the COSAC website, but will also be drawn from interviews with permanent representatives of national parliaments to the EP and Commission documents. It is assumed that, if national parliaments use the principle of subsidiarity effectively and if they are heard, they can contribute to the legitimacy of EU policy-making.</w:t>
      </w:r>
    </w:p>
    <w:p w:rsidR="00100A24" w:rsidRDefault="00100A24" w:rsidP="00AA76F1"/>
    <w:p w:rsidR="00100A24" w:rsidRDefault="00100A24" w:rsidP="00AA76F1">
      <w:pPr>
        <w:rPr>
          <w:b/>
        </w:rPr>
      </w:pPr>
      <w:r>
        <w:rPr>
          <w:b/>
        </w:rPr>
        <w:t>Context variables</w:t>
      </w:r>
    </w:p>
    <w:p w:rsidR="00100A24" w:rsidRDefault="00100A24" w:rsidP="00AA76F1">
      <w:r>
        <w:t>There are also three context variables operating in this framework. These are not shown in the flowchart because they only provide the context and do not directly exert influence. The context variables are the legal basis, the multi-level governance framework and the loss of sovereignty.</w:t>
      </w:r>
    </w:p>
    <w:p w:rsidR="00100A24" w:rsidRPr="009E3809" w:rsidRDefault="00100A24" w:rsidP="00AA76F1"/>
    <w:p w:rsidR="00100A24" w:rsidRDefault="00100A24" w:rsidP="009E3809">
      <w:r>
        <w:t>The multi-level governance framework influences the number of national, regional and local actors that are involved in subsidiarity cases. Interest groups can also be part of this group of actors. These are all actors that national parliaments have to deal with. If, for example, regional and local authorities show no interest in matters of subsidiarity, then that limits the influence of national parliaments and therefore the value of the principle.</w:t>
      </w:r>
    </w:p>
    <w:p w:rsidR="00100A24" w:rsidRDefault="00100A24" w:rsidP="009E3809"/>
    <w:p w:rsidR="00100A24" w:rsidRDefault="00100A24" w:rsidP="009E3809">
      <w:r>
        <w:t>The legal basis for subsidiarity and for the EU competences can be found in treaties and their protocols and has been discussed in the theoretical framework. This legal basis provides formal rules for the application of subsidiarity and the allocation of competences to the EU. As stated in the previous chapter, subsidiarity can limit EU action when that action does not fall under the exclusive competences of the EU. Since these competences are very few, subsidiarity can be checked for nearly each draft legislative act. The rules laid down in treaties and protocols then guide the legislative process along the path of subsidiarity checks.</w:t>
      </w:r>
    </w:p>
    <w:p w:rsidR="00100A24" w:rsidRDefault="00100A24" w:rsidP="009E3809"/>
    <w:p w:rsidR="00100A24" w:rsidRDefault="00100A24" w:rsidP="00735ADF">
      <w:r>
        <w:t>The loss of sovereignty of member states through delegating certain powers to the EU and the increased use of the co-decision procedure has effectively diminished the role of national parliaments in the legislative process of the EU. The newly established role of national parliaments in scrutinizing Commission proposals is now bringing back a part of their influence.</w:t>
      </w:r>
    </w:p>
    <w:p w:rsidR="00100A24" w:rsidRPr="00476CD7" w:rsidRDefault="00100A24" w:rsidP="00AA76F1"/>
    <w:p w:rsidR="00100A24" w:rsidRDefault="00100A24" w:rsidP="00AA76F1">
      <w:pPr>
        <w:pStyle w:val="Heading2"/>
      </w:pPr>
      <w:bookmarkStart w:id="22" w:name="_Toc141864057"/>
      <w:r>
        <w:t>2.2. Data sources</w:t>
      </w:r>
      <w:bookmarkEnd w:id="22"/>
    </w:p>
    <w:p w:rsidR="00100A24" w:rsidRDefault="00100A24" w:rsidP="00166344">
      <w:r>
        <w:t>This thesis is founded upon the data that is presented. In order to be able to answer all the sub questions and the research question, many different documents have been consulted. The sources that were mainly used are (peer-reviewed) articles, books, websites of and documents published by EU institutions, national parliaments and other bodies, newspapers, treaties and their protocols.</w:t>
      </w:r>
    </w:p>
    <w:p w:rsidR="00100A24" w:rsidRDefault="00100A24" w:rsidP="00166344"/>
    <w:p w:rsidR="00100A24" w:rsidRDefault="00100A24" w:rsidP="00166344">
      <w:r>
        <w:t>Among the important documents for this thesis is the White Paper on European Governance (2001), which was published by the EC. The theoretical framework is mainly set up using literature by Dinan (2005), Estella (2002), Van Nispen &amp; Ringeling (2006), Hooghe &amp; Marks (2001, 2003), Van Kersbergen &amp; Van Waarden (2004) and Hix (2005). The European treaties have also been an important source of legal building blocks for theoretical framework. Among the ‘other bodies’ that can provide useful documents, a notable mention should be made of the Commission, COSAC and CoR. The Commission reports annually on its relationships with national parliaments and also includes the principle of subsidiarity in these reports. COSAC and CoR have published a lot on subsidiarity and are very active in maintaining the principle. The two cases that will be the focus of the empirical part of this thesis are COM(2008) 818 and COM(2009) 838. They have been taken off the COSAC and IPEX websites and are supplemented by interviews with people who have worked on these cases, such as officials of national parliaments and permanent representatives of national parliaments to the EP. The cases used in the case study consist of a Commission proposal, communications of national parliaments and the EC and a COSAC report.</w:t>
      </w:r>
    </w:p>
    <w:p w:rsidR="00100A24" w:rsidRDefault="00100A24" w:rsidP="00166344"/>
    <w:p w:rsidR="00100A24" w:rsidRDefault="00100A24" w:rsidP="00166344">
      <w:r>
        <w:t>Academic literature from different sources and of different authors as well as EU(-related) websites will be used to supplement the information and argumentation where needed.</w:t>
      </w:r>
    </w:p>
    <w:p w:rsidR="00100A24" w:rsidRDefault="00100A24" w:rsidP="00CB0987">
      <w:pPr>
        <w:pStyle w:val="Heading1"/>
      </w:pPr>
      <w:r>
        <w:br w:type="column"/>
      </w:r>
      <w:bookmarkStart w:id="23" w:name="_Toc141864058"/>
      <w:r>
        <w:t>3. Parliamentary scrutiny in practice</w:t>
      </w:r>
      <w:bookmarkEnd w:id="23"/>
    </w:p>
    <w:p w:rsidR="00100A24" w:rsidRDefault="00100A24" w:rsidP="00CB0987"/>
    <w:p w:rsidR="00100A24" w:rsidRDefault="00100A24" w:rsidP="00321343">
      <w:r>
        <w:t>The following chapter will try to find an answer to sub questions five and six, and will thus deal with how national parliaments have employed the principle of subsidiarity and how the EC and other European institutions have responded to the subsidiarity checks performed by the national legislators. This chapter thus tries to measure the indicators identified earlier. First, the chapter will discuss the parliamentary scrutiny system in general and its relation to the subsidiarity checks carried out by national parliaments. Second, both cases of checks will be discussed in more detail. The cases that are considered are EC proposals COM(2008) 818 and COM(2009) 338. The subjects of these cases are respectively, the adoption of common quality and safety standards for human organs intended for transplantation and the right to translation and interpretation in criminal proceedings. A brief history of both cases will be discussed and the proposals will be summarized. Then, the subsidiarity checks performed by national parliaments will be dealt with, as well as the responses of the EC to these checks. A brief account of what happened with the proposals after the subsidiarity checks will also be given. Third, the chapter will try to identify whether any secondary uses of the subsidiarity checks can be identified. Fourth, the involvement of the European Parliament will be discussed. This will be done in general, based on for example Treaty provisions, and more specific for the cases presented earlier. Finally, the impact of parliamentary objections will be examined. It has to be noted in advance, however, that no yellow or orange cards have been drawn until now, since the Treaty of Lisbon has only recently entered into force. As such, there have not been any annulments of proposals made by the Council and the EP.</w:t>
      </w:r>
    </w:p>
    <w:p w:rsidR="00100A24" w:rsidRDefault="00100A24" w:rsidP="00321343"/>
    <w:p w:rsidR="00100A24" w:rsidRDefault="00100A24" w:rsidP="00E04337">
      <w:pPr>
        <w:pStyle w:val="Heading2"/>
      </w:pPr>
      <w:bookmarkStart w:id="24" w:name="_Toc141864059"/>
      <w:r>
        <w:t>3.1. The parliamentary scrutiny system</w:t>
      </w:r>
      <w:bookmarkEnd w:id="24"/>
    </w:p>
    <w:p w:rsidR="00100A24" w:rsidRDefault="00100A24" w:rsidP="00E04337">
      <w:r>
        <w:t>Article 1 of the first Protocol to the Treaty of Lisbon on the Role of National Parliaments in the European Union specifies that:</w:t>
      </w:r>
    </w:p>
    <w:p w:rsidR="00100A24" w:rsidRDefault="00100A24" w:rsidP="004D6F39">
      <w:pPr>
        <w:spacing w:after="120" w:line="240" w:lineRule="auto"/>
        <w:ind w:left="567"/>
      </w:pPr>
      <w:r>
        <w:t>“Commission consultation documents (green and white papers and communications) shall be forwarded directly by the Commission to national Parliaments upon publication. The Commission shall also forward the annual legislative programme as well as any other instrument of legislative planning or policy to national Parliaments, at the same time as to the European Parliament and the Council.”</w:t>
      </w:r>
    </w:p>
    <w:p w:rsidR="00100A24" w:rsidRDefault="00100A24" w:rsidP="00E04337">
      <w:r>
        <w:t>From this follows that many EU documents are in effect subject to parliamentary scrutiny, although the protocol specifies that all these documents are sent to national parliaments for the purpose of informing them. The protocol also specifies that only draft legislative acts apply for the early warning mechanism, ie. the Reasoned Opinions and the yellow and orange cards. However, sending other documents than draft legislative acts to national parliaments as well indicates that their importance has risen and it is inevitable that they also scrutinize those documents. Even before this protocol entered into force the EC had decided, under the ‘</w:t>
      </w:r>
      <w:r w:rsidRPr="006C5D04">
        <w:rPr>
          <w:i/>
        </w:rPr>
        <w:t>Barroso initiative</w:t>
      </w:r>
      <w:r>
        <w:rPr>
          <w:i/>
        </w:rPr>
        <w:t>’</w:t>
      </w:r>
      <w:r>
        <w:t>, that it would send legislative drafts to national parliaments. It thereby obliged itself to enter into a dialogue with them (EurActiv, 30 June 2010).</w:t>
      </w:r>
    </w:p>
    <w:p w:rsidR="00100A24" w:rsidRDefault="00100A24" w:rsidP="00E04337"/>
    <w:p w:rsidR="00100A24" w:rsidRPr="00E04337" w:rsidRDefault="00100A24" w:rsidP="00E04337">
      <w:r>
        <w:t>Now, a closer look will be taken at subsidiarity checks in practice. The guiding concepts throughout the discussion will be parliamentary scrutiny, subsidiarity and legitimacy. Parliamentary scrutiny is what the case studies are all about, subsidiarity is the tool national parliaments (and the Commission) use and legitimacy is what should result from parliamentary scrutiny. Legitimacy will be discussed in the next chapter.</w:t>
      </w:r>
    </w:p>
    <w:p w:rsidR="00100A24" w:rsidRDefault="00100A24" w:rsidP="00321343"/>
    <w:p w:rsidR="00100A24" w:rsidRDefault="00100A24" w:rsidP="00321343">
      <w:pPr>
        <w:pStyle w:val="Heading2"/>
      </w:pPr>
      <w:bookmarkStart w:id="25" w:name="_Toc141864060"/>
      <w:r>
        <w:t>3.2. Case study</w:t>
      </w:r>
      <w:bookmarkEnd w:id="25"/>
    </w:p>
    <w:p w:rsidR="00100A24" w:rsidRDefault="00100A24" w:rsidP="00321343">
      <w:r>
        <w:t>As explained in the introduction of this chapter, the case study presented below tries to identify how national parliaments employ subsidiarity and how the EC deals with this. The cases chosen for this study are part of a large subsidiarity check organized by COSAC. The reason for choosing these cases is that, thanks to COSAC, the scope of the subsidiarity checks of these cases is enormous. Many national parliaments have participated in these checks, which results in a lot of information on how subsidiarity is used by them. Of course, subsidiarity checks are performed outside the through COSAC organized scrutiny, but this happens a lot less. In fact, until 2006 there was no policy dialogue between the Commission and national parliaments (European Commission, COM(2009) 343:2-3). Nowadays, national parliaments are encouraged to use an online database, IPEX, so that they can exchange information and check one another’s views on certain cases. However, until 2006, hardly any cases have been uploaded into the IPEX database. This is not to say that no subsidiarity checks were performed at all, but it does indicate that performing these checks certainly was not one of the priorities of national parliaments, probably because the Commission had not initiated a dialogue yet. There is a growth in checks added by national parliaments in 2004-2005, but this growth really exploded after 2006. Since then, many national parliaments have uploaded information to the IPEX website, especially when participating in the large checks organized by COSAC. Also since 2006, the EC has sent every legislative proposal to national parliaments for a subsidiarity check (EUABC, 16 June 2010). The EC publishes around 350 legislative proposals a year (National Assembly for Wales, 2009:19). In 2006, the EC received 152 replies (EUABC, 16 June 2010). Considering the fact that there were 25 member states then, this amounts to roughly six reactions per member state, which is 1.7% of the amount of proposals sent out. By April 2008 the EC had received 450 replies (EUABC, 16 June 2010), of which 200 were in 2008 alone (European Commission, COM(2009) 343:4). This is considerably more but still not much. It is also important to keep in mind that these responses are opinions in general and do not always have to refer to subsidiarity. There is no documentation of the amount of subsidiarity checks carried out, but it is quite likely that national parliaments do not check for subsidiarity a lot because of time restraints and a lack of resources. The Commission (COM(2009) 343:5) has reported that a majority of the national parliaments mainly focus on the political issues accompanying a proposal rather than on the principle of subsidiarity. Member states that do focus a lot on subsidiarity are The Netherlands, Portugal and France.</w:t>
      </w:r>
    </w:p>
    <w:p w:rsidR="00100A24" w:rsidRDefault="00100A24" w:rsidP="00321343"/>
    <w:p w:rsidR="00100A24" w:rsidRPr="00F316FE" w:rsidRDefault="00100A24" w:rsidP="00321343">
      <w:r>
        <w:t>Before delving into the details of the cases, it is helpful to explain the procedure of COSAC’s subsidiarity checks. COSAC asks national parliaments to perform a subsidiarity check under the provisions of the Treaty of Lisbon. It did so even before the Treaty entered into force. National parliaments then have eight weeks, after the publishing of the proposal by the EC in all official languages of the EU, to send their response to the Commission and other relevant institutions. Parliaments are free to carry out the subsidiarity check under their own rules and procedures, but if they are to send a reasoned opinion to the EC, which is necessary in order to enact the yellow and orange card procedures, they have to follow the provisions set out in the Protocol on the application of the principles of subsidiarity and proportionality. COSAC also encourages national parliaments to make extensive use of the IPEX website (COSAC, 2008b:2-3; COSAC, 2009a:2-3).</w:t>
      </w:r>
    </w:p>
    <w:p w:rsidR="00100A24" w:rsidRDefault="00100A24" w:rsidP="00321343">
      <w:pPr>
        <w:pStyle w:val="Heading3"/>
      </w:pPr>
      <w:bookmarkStart w:id="26" w:name="_Toc141864061"/>
      <w:r>
        <w:t>3.2.1. Case 1: Quality and safety standards for human organs intended for transplantation</w:t>
      </w:r>
      <w:bookmarkEnd w:id="26"/>
    </w:p>
    <w:p w:rsidR="00100A24" w:rsidRDefault="00100A24" w:rsidP="00321343">
      <w:r>
        <w:t xml:space="preserve">The first case considered is COM(2008) 818. The full name of this proposal is </w:t>
      </w:r>
      <w:r>
        <w:rPr>
          <w:i/>
        </w:rPr>
        <w:t>Proposal for a Directive of the European Parliament and of the Council on standards of quality and safety of human organs intended for transplantation</w:t>
      </w:r>
      <w:r>
        <w:t>. The first thing that should be noticed is that the proposal calls for a directive of both the EP and the Council, which effectively means that it falls under the co-decision procedure and that, were the Treaty of Lisbon in force at that time, both the yellow and orange card procedures could have been enacted. COM(2008) 818 is accompanied by SEC(2008) 2956, which contains the impact assessment preceding the proposal, and SEC(2008) 2957, which summarizes the impact assessment and the proposal.</w:t>
      </w:r>
    </w:p>
    <w:p w:rsidR="00100A24" w:rsidRPr="009A3CDA" w:rsidRDefault="00100A24" w:rsidP="00321343"/>
    <w:p w:rsidR="00100A24" w:rsidRDefault="00100A24" w:rsidP="00321343">
      <w:pPr>
        <w:rPr>
          <w:b/>
        </w:rPr>
      </w:pPr>
      <w:r>
        <w:rPr>
          <w:b/>
        </w:rPr>
        <w:t>3.2.1.1. History of the case</w:t>
      </w:r>
    </w:p>
    <w:p w:rsidR="00100A24" w:rsidRDefault="00100A24" w:rsidP="00321343">
      <w:r>
        <w:t>The exchange of human organs intended for transplantation is very common in Europe. There are some organizations that lay down international rules for these transactions, but they have a limited membership. On top of that, organs for donation are scarce and there is a discrepancy between member states in the quality and safety standards they employ. Article 152 of the Amsterdam Treaty established a right for the Council and the EP to adopt health measures setting high standards of quality and safety of organs and substances of human origin, blood and blood derivatives. In 2007 the EC adopted a Communication concerning this topic, which concluded that a flexible European legal framework would be the right Community response to the lack of common safety and quality standards. The Council then adopted conclusions on this matter and called on the EC to examine this further. The EP adopted a resolution in 2008, which recognized that it is important to improve the quality and safety of human organs intended for transplantation and looks forward to a directive that addresses this. On December 8</w:t>
      </w:r>
      <w:r w:rsidRPr="00F31F9A">
        <w:rPr>
          <w:vertAlign w:val="superscript"/>
        </w:rPr>
        <w:t>th</w:t>
      </w:r>
      <w:r>
        <w:t>, 2008 the EC published this proposal under the reference of COM(2008) 818 (European Commission, COM(2008) 818:2-3).</w:t>
      </w:r>
    </w:p>
    <w:p w:rsidR="00100A24" w:rsidRPr="00062FA2" w:rsidRDefault="00100A24" w:rsidP="00321343"/>
    <w:p w:rsidR="00100A24" w:rsidRDefault="00100A24" w:rsidP="00321343">
      <w:pPr>
        <w:rPr>
          <w:b/>
        </w:rPr>
      </w:pPr>
      <w:r>
        <w:rPr>
          <w:b/>
        </w:rPr>
        <w:t>3.2.1.2. The proposal</w:t>
      </w:r>
    </w:p>
    <w:p w:rsidR="00100A24" w:rsidRDefault="00100A24" w:rsidP="00321343">
      <w:r>
        <w:t xml:space="preserve">The impact assessment considers four options that represent four different paths the EC can take. One of them is maintaining the status quo, which is said to be unsatisfactory, and one of the other options is the establishment of an action plan and a flexible directive on the matter. Based on economic, health and social impacts, the impact assessment states that that option is the best one (European Commission, SEC(2008) 2957:4-7). </w:t>
      </w:r>
    </w:p>
    <w:p w:rsidR="00100A24" w:rsidRDefault="00100A24" w:rsidP="00321343"/>
    <w:p w:rsidR="00100A24" w:rsidRDefault="00100A24" w:rsidP="00321343">
      <w:r>
        <w:t xml:space="preserve">This option is then transformed into a Commission proposal. As the title of the proposal suggests, it tries to establish standards of quality and safety of human organs intended for transplantation. The ultimate strategic goal that the EC tries to achieve is the achievement of a high standard of human health protection. The proposal aims to ensure that the quality and safety standards for human organs intended for transplantation are implemented and, in doing so, tries to protect the whole process of transplantation: donation, procurement, testing, preservation, transport and use. The proposal excludes blood and blood components since there are existing directives in that area. The EC hopes that compliance of member states with the proposal will facilitate the exchange of organs between them (European Commission, COM(2008) 818:3-4). </w:t>
      </w:r>
    </w:p>
    <w:p w:rsidR="00100A24" w:rsidRDefault="00100A24" w:rsidP="00321343"/>
    <w:p w:rsidR="00100A24" w:rsidRDefault="00100A24" w:rsidP="00321343">
      <w:r>
        <w:t>The impact assessment states Art. 152 of the Amsterdam Treaty as the basis for EU action. With respect to subsidiarity, it adds that the EC has the obligation to lay down standards in this field and that such action will have added value because it creates a platform for implementation and mutual learning (European Commission, SEC(2008) 2957:4). The proposal itself has the following subsidiarity statement:</w:t>
      </w:r>
    </w:p>
    <w:p w:rsidR="00100A24" w:rsidRDefault="00100A24" w:rsidP="00321343">
      <w:pPr>
        <w:spacing w:after="120" w:line="240" w:lineRule="auto"/>
        <w:ind w:left="567"/>
      </w:pPr>
      <w:r>
        <w:t>“Since the objectives of this Directive, namely laying down quality and safety standards for human organs intended for transplantation, cannot be sufficiently achieved by Member States and can therefore, by reason of the scale of the action, be better achieved at Community level, the Community may adopt measures, in accordance with the principle of subsidiarity as set out in Article 5 of the Treaty. In accordance with the principle of proportionality, as set out in that Article, the Directive does not go beyond what is necessary in order to achieve those objectives” (European Commission, COM(2008) 818:11).</w:t>
      </w:r>
    </w:p>
    <w:p w:rsidR="00100A24" w:rsidRDefault="00100A24" w:rsidP="002D029F">
      <w:r>
        <w:t>So the proposal assumes that member states alone cannot achieve the objectives it seeks to achieve, which is why the proposal is in accordance with the principle of subsidiarity. The EC also states that the proposal complies with the principle of proportionality since it does not go beyond what is necessary to achieve the set objectives. This statement, along with the provisions of the proposal, was studied by the national parliaments participating in the subsidiarity check.</w:t>
      </w:r>
    </w:p>
    <w:p w:rsidR="00100A24" w:rsidRPr="00062FA2" w:rsidRDefault="00100A24" w:rsidP="00321343"/>
    <w:p w:rsidR="00100A24" w:rsidRDefault="00100A24" w:rsidP="00321343">
      <w:pPr>
        <w:rPr>
          <w:b/>
        </w:rPr>
      </w:pPr>
      <w:r>
        <w:rPr>
          <w:b/>
        </w:rPr>
        <w:t>3.2.1.3. Subsidiarity check by national parliaments</w:t>
      </w:r>
    </w:p>
    <w:p w:rsidR="00100A24" w:rsidRDefault="00100A24" w:rsidP="00321343">
      <w:r>
        <w:t>Upon receiving the proposal, many national parliaments started the subsidiarity checks</w:t>
      </w:r>
      <w:r>
        <w:rPr>
          <w:rStyle w:val="FootnoteReference"/>
        </w:rPr>
        <w:footnoteReference w:id="1"/>
      </w:r>
      <w:r>
        <w:t>. It is worthy to note that member states with bi-cameral parliaments may choose to separate both chambers and let them speak independently. In effect, this means that the Commission can receive more than 27 replies. The member states that have their bi-cameral parliaments send separated opinions are Belgium, Czech Republic, Germany, Spain, France, Italy, The Netherlands, Austria, Poland, Romania, Slovenia and the United Kingdom. This means that a total of 39 parliaments and chambers can send their opinions to the EC</w:t>
      </w:r>
      <w:r>
        <w:rPr>
          <w:rStyle w:val="FootnoteReference"/>
        </w:rPr>
        <w:footnoteReference w:id="2"/>
      </w:r>
      <w:r>
        <w:t>. In this case, the deadline for the subsidiarity check was set at February 6</w:t>
      </w:r>
      <w:r w:rsidRPr="00101064">
        <w:rPr>
          <w:vertAlign w:val="superscript"/>
        </w:rPr>
        <w:t>th</w:t>
      </w:r>
      <w:r>
        <w:t>, 2009. By that date, 27 parliaments or chambers from 20 member states had sent their replies to COSAC</w:t>
      </w:r>
      <w:r>
        <w:rPr>
          <w:rStyle w:val="FootnoteReference"/>
        </w:rPr>
        <w:footnoteReference w:id="3"/>
      </w:r>
      <w:r>
        <w:t>. An additional 4 parliaments or chambers from 4 member states</w:t>
      </w:r>
      <w:r>
        <w:rPr>
          <w:rStyle w:val="FootnoteReference"/>
        </w:rPr>
        <w:footnoteReference w:id="4"/>
      </w:r>
      <w:r>
        <w:t xml:space="preserve"> had begun the check, but had not been able to finish it in time due to parliamentary recess (COSAC, 2009b:4).</w:t>
      </w:r>
    </w:p>
    <w:p w:rsidR="00100A24" w:rsidRDefault="00100A24" w:rsidP="00321343"/>
    <w:p w:rsidR="00100A24" w:rsidRDefault="00100A24" w:rsidP="00321343">
      <w:r>
        <w:t>In most cases, the Committees on European Affairs led the subsidiarity checks and in the case of bi-cameral parliaments, only several exchanged information between the chambers. A number of parliaments or chambers also consulted non-governmental organizations, interest groups, experts and other stakeholders (COSAC, 2009b:5-6). 17 parliaments or chambers indicated that they had cooperated with other parliaments, mainly through the IPEX website or through consultation with one another’s permanent representatives in Brussels (COSAC, 2009b:17-27).</w:t>
      </w:r>
    </w:p>
    <w:p w:rsidR="00100A24" w:rsidRDefault="00100A24" w:rsidP="00321343"/>
    <w:p w:rsidR="00100A24" w:rsidRDefault="00100A24" w:rsidP="00321343">
      <w:r>
        <w:t xml:space="preserve">With regards to the results of the subsidiarity check, 23 out of 27 participating parliaments or chambers did not find any breach of the principle of subsidiarity. The Austrian </w:t>
      </w:r>
      <w:r w:rsidRPr="00936B9E">
        <w:rPr>
          <w:i/>
        </w:rPr>
        <w:t>Bundesrat</w:t>
      </w:r>
      <w:r>
        <w:t xml:space="preserve"> did find a breach, and three other chambers requested additional information (COSAC, 2009b:7-8). The Austrian </w:t>
      </w:r>
      <w:r w:rsidRPr="00936B9E">
        <w:rPr>
          <w:i/>
        </w:rPr>
        <w:t>Bundesrat</w:t>
      </w:r>
      <w:r>
        <w:t xml:space="preserve">, in its Statement to the European Commission of 3 February 2009, states that any regulations proposed by the EC in this subject should not impede well working mechanisms within member states, since this would undermine the ultimate goal of improving human health protection. The </w:t>
      </w:r>
      <w:r w:rsidRPr="00936B9E">
        <w:rPr>
          <w:i/>
        </w:rPr>
        <w:t>Bundesrat</w:t>
      </w:r>
      <w:r>
        <w:t xml:space="preserve"> also raises some concerns with regards to certain provisions being badly defined or too detailed (EU Committee of the Austrian </w:t>
      </w:r>
      <w:r w:rsidRPr="00936B9E">
        <w:t>Bundesrat</w:t>
      </w:r>
      <w:r>
        <w:t xml:space="preserve">, 2009:1-2). Finally, the </w:t>
      </w:r>
      <w:r w:rsidRPr="00936B9E">
        <w:rPr>
          <w:i/>
        </w:rPr>
        <w:t>Bundesrat</w:t>
      </w:r>
      <w:r>
        <w:t xml:space="preserve"> states that Article 25 of the proposal, authorizing the Commission to determine various procedures, is counter to the subsidiarity principle. The reasoning given is as follows: “These procedures can be better determined and agreed in the normal way by the collaborating national organizations themselves in accordance with the state of the art” (EU Committee of the Austrian Bundesrat, 2009:2). As such, the Austrian </w:t>
      </w:r>
      <w:r w:rsidRPr="00936B9E">
        <w:rPr>
          <w:i/>
        </w:rPr>
        <w:t>Bundesrat</w:t>
      </w:r>
      <w:r>
        <w:t xml:space="preserve"> decided that the proposal posed a breach of the principle of subsidiarity.</w:t>
      </w:r>
    </w:p>
    <w:p w:rsidR="00100A24" w:rsidRDefault="00100A24" w:rsidP="00321343"/>
    <w:p w:rsidR="00100A24" w:rsidRDefault="00100A24" w:rsidP="00321343">
      <w:r>
        <w:t xml:space="preserve">The German </w:t>
      </w:r>
      <w:r w:rsidRPr="00936B9E">
        <w:rPr>
          <w:i/>
        </w:rPr>
        <w:t>Bundestag</w:t>
      </w:r>
      <w:r>
        <w:t xml:space="preserve"> requested clarification on certain aspects, such as the regulations on national health care administration. It noted that </w:t>
      </w:r>
    </w:p>
    <w:p w:rsidR="00100A24" w:rsidRDefault="00100A24" w:rsidP="00321343">
      <w:pPr>
        <w:spacing w:after="120" w:line="240" w:lineRule="auto"/>
        <w:ind w:left="567"/>
      </w:pPr>
      <w:r>
        <w:t>“</w:t>
      </w:r>
      <w:r w:rsidRPr="0059297D">
        <w:rPr>
          <w:lang w:val="de-DE"/>
        </w:rPr>
        <w:t xml:space="preserve">Der Deutsche Bundestag stellt fest, das im Hinblick auf die Einhaltung des Grundsatzes der Subsidiarität Anlass zu Bedenken bestehen. Es kann nicht abschließend festgestellt werden, das die Richtlinienentwurf dem Grundsatz der Verhältnismäßigkeit entspricht </w:t>
      </w:r>
      <w:r>
        <w:rPr>
          <w:lang w:val="de-DE"/>
        </w:rPr>
        <w:t>(</w:t>
      </w:r>
      <w:r w:rsidRPr="0059297D">
        <w:rPr>
          <w:lang w:val="de-DE"/>
        </w:rPr>
        <w:t>…</w:t>
      </w:r>
      <w:r>
        <w:rPr>
          <w:lang w:val="de-DE"/>
        </w:rPr>
        <w:t>)</w:t>
      </w:r>
      <w:r w:rsidRPr="0059297D">
        <w:rPr>
          <w:lang w:val="de-DE"/>
        </w:rPr>
        <w:t xml:space="preserve"> sowie die finanziellen und organisatorischen Belastungen für die Mitgliedsstaaten nicht unangemessen sind</w:t>
      </w:r>
      <w:r>
        <w:t xml:space="preserve">” (Deutscher Bundestag, 2009:7-8). </w:t>
      </w:r>
    </w:p>
    <w:p w:rsidR="00100A24" w:rsidRDefault="00100A24" w:rsidP="00321343">
      <w:r>
        <w:t xml:space="preserve">The German </w:t>
      </w:r>
      <w:r w:rsidRPr="00936B9E">
        <w:rPr>
          <w:i/>
        </w:rPr>
        <w:t>Bundestag</w:t>
      </w:r>
      <w:r>
        <w:t xml:space="preserve"> thus states that it is impossible to reach a final conclusion on the compliance of the proposal with the principles of subsidiarity and proportionality, since more clarification on certain aspects is needed and information on economic and administrative burden on the member states is missing. However, the German </w:t>
      </w:r>
      <w:r w:rsidRPr="00936B9E">
        <w:rPr>
          <w:i/>
        </w:rPr>
        <w:t>Bundestag</w:t>
      </w:r>
      <w:r>
        <w:t xml:space="preserve"> does not have any concerns as to the legal basis the EC employs for the proposal (COSAC, 2009b:8).</w:t>
      </w:r>
    </w:p>
    <w:p w:rsidR="00100A24" w:rsidRDefault="00100A24" w:rsidP="00321343"/>
    <w:p w:rsidR="00100A24" w:rsidRDefault="00100A24" w:rsidP="00321343">
      <w:r>
        <w:t xml:space="preserve">Another parliamentary chamber that did not reach a final decision is the UK </w:t>
      </w:r>
      <w:r w:rsidRPr="00936B9E">
        <w:rPr>
          <w:i/>
        </w:rPr>
        <w:t>House of Commons</w:t>
      </w:r>
      <w:r>
        <w:t xml:space="preserve">. It requested further information from the British government, mainly because of the fact that it found Article 152 of the Treaty Establishing the European Community (TEC, or EC Treaty) “internally inconsistent” (House of Commons, 2009:6). The British government had made clear that it would not support a directive that is overly burdensome, but it was not made clear to the </w:t>
      </w:r>
      <w:r w:rsidRPr="00936B9E">
        <w:rPr>
          <w:i/>
        </w:rPr>
        <w:t>House of Commons</w:t>
      </w:r>
      <w:r>
        <w:t xml:space="preserve"> whether the government recognized the provisions of the proposal as overly burdensome or not. The </w:t>
      </w:r>
      <w:r w:rsidRPr="00936B9E">
        <w:rPr>
          <w:i/>
        </w:rPr>
        <w:t>House of Commons</w:t>
      </w:r>
      <w:r>
        <w:t xml:space="preserve"> also stated that any judgment on whether a proposal is in compliance with the principle of subsidiarity is a political judgment, for there are no objective criteria defined to measure compliance with subsidiarity. The </w:t>
      </w:r>
      <w:r w:rsidRPr="00936B9E">
        <w:rPr>
          <w:i/>
        </w:rPr>
        <w:t>House of Commons</w:t>
      </w:r>
      <w:r>
        <w:t xml:space="preserve"> thus asked the British government to provide it with an opinion regarding subsidiarity. However, it also stated that there are no apparent reasons to argue that the proposal denotes a breach of the subsidiarity principle (House of Commons, 2009:6-7).</w:t>
      </w:r>
    </w:p>
    <w:p w:rsidR="00100A24" w:rsidRDefault="00100A24" w:rsidP="00321343"/>
    <w:p w:rsidR="00100A24" w:rsidRDefault="00100A24" w:rsidP="00321343">
      <w:r>
        <w:t xml:space="preserve">The Italian </w:t>
      </w:r>
      <w:r w:rsidRPr="004C53B4">
        <w:rPr>
          <w:i/>
        </w:rPr>
        <w:t>Senato della Repubblica</w:t>
      </w:r>
      <w:r>
        <w:t xml:space="preserve"> sent an opinion to the EC stating that “the draft directive suffers from shortcomings in terms of determination and motivation of subsidiarity and therefore it should be reworded” (Senato della Repubblica, 2009:2). The </w:t>
      </w:r>
      <w:r>
        <w:rPr>
          <w:i/>
        </w:rPr>
        <w:t>Senato della Repubblica</w:t>
      </w:r>
      <w:r>
        <w:t xml:space="preserve"> further stresses that the proposal should have a clause enabling member states to adopt stricter standards and that the provisions of the proposal should not affect national provisions on the donation or medical use of organs and blood. It then goes on to propose a couple amendments to some provisions and suggests that the EC consider some options the </w:t>
      </w:r>
      <w:r>
        <w:rPr>
          <w:i/>
        </w:rPr>
        <w:t xml:space="preserve">Senato della Repubblica </w:t>
      </w:r>
      <w:r>
        <w:t xml:space="preserve">poses (Senato della Repubblica, 2009:2-5). </w:t>
      </w:r>
    </w:p>
    <w:p w:rsidR="00100A24" w:rsidRDefault="00100A24" w:rsidP="00321343"/>
    <w:p w:rsidR="00100A24" w:rsidRDefault="00100A24" w:rsidP="00321343">
      <w:r>
        <w:t xml:space="preserve">Two parliaments or chambers that submitted their opinions after the deadline also raised some concerns. The parliaments or chambers in question were the German </w:t>
      </w:r>
      <w:r>
        <w:rPr>
          <w:i/>
        </w:rPr>
        <w:t>Bundesrat</w:t>
      </w:r>
      <w:r>
        <w:t xml:space="preserve"> and the Dutch </w:t>
      </w:r>
      <w:r>
        <w:rPr>
          <w:i/>
        </w:rPr>
        <w:t>States-General</w:t>
      </w:r>
      <w:r>
        <w:t xml:space="preserve">. The German </w:t>
      </w:r>
      <w:r>
        <w:rPr>
          <w:i/>
        </w:rPr>
        <w:t>Bundesrat</w:t>
      </w:r>
      <w:r>
        <w:t xml:space="preserve"> signaled that it is important to examine also if the EU is actually competent to adopt the measure in question. With respect to the proposal itself, the </w:t>
      </w:r>
      <w:r>
        <w:rPr>
          <w:i/>
        </w:rPr>
        <w:t>Bundesrat</w:t>
      </w:r>
      <w:r>
        <w:t xml:space="preserve"> noted that the proposal encroaches on the competences of member states on several points, since it oversteps its clear framework delineating competences. The </w:t>
      </w:r>
      <w:r>
        <w:rPr>
          <w:i/>
        </w:rPr>
        <w:t>Bundesrat</w:t>
      </w:r>
      <w:r>
        <w:t xml:space="preserve"> was also of the opinion that the proposal was unnecessary at that time, since it would only lead to more bureaucracy, higher costs and more shortages in organ donation. The Dutch </w:t>
      </w:r>
      <w:r>
        <w:rPr>
          <w:i/>
        </w:rPr>
        <w:t xml:space="preserve">States-General </w:t>
      </w:r>
      <w:r>
        <w:t xml:space="preserve">was also not convinced that the proposal does not breach subsidiarity and proportionality. It deferred any further assessment until it had received an answer of the EC to the questions it sent by letter (COSAC, 2009b:9). In that letter, the </w:t>
      </w:r>
      <w:r>
        <w:rPr>
          <w:i/>
        </w:rPr>
        <w:t>States-General</w:t>
      </w:r>
      <w:r>
        <w:t xml:space="preserve"> affirms that the subject in question has transnational aspects. In 15 questions it asks, however, for further clarifications on certain aspects and on data sources (Dutch States-General, 2009:1-5).</w:t>
      </w:r>
    </w:p>
    <w:p w:rsidR="00100A24" w:rsidRDefault="00100A24" w:rsidP="00321343"/>
    <w:p w:rsidR="00100A24" w:rsidRDefault="00100A24" w:rsidP="00321343">
      <w:r>
        <w:t>A third of all parliaments is needed to trigger the yellow card mechanism. With only one chamber objecting to the proposal on grounds of subsidiarity, the yellow card procedure would not have been triggered (COSAC, 2009b:9).</w:t>
      </w:r>
    </w:p>
    <w:p w:rsidR="00100A24" w:rsidRDefault="00100A24" w:rsidP="00321343"/>
    <w:p w:rsidR="00100A24" w:rsidRDefault="00100A24" w:rsidP="00321343">
      <w:r>
        <w:t xml:space="preserve">What is also interesting to study is whether the national parliaments or chambers found the Commission’s justification in the subsidiarity statement sufficient. For, if national parliaments judge the justification insufficient, this could indicate that the EC is not fulfilling its obligations in this matter. However, a discrepancy exists between the guidelines for the subsidiarity check and the obligations of the EC laid down by treaty law. COSAC requests national parliaments or chambers to use the Protocol of the Treaty of Lisbon when performing subsidiarity checks, while the EC still composes its proposals under the Treaty of Nice. So, if national parliaments conclude that the EC is not complying to the rules set out in the Protocol to the Treaty of Lisbon, this is nothing striking because it did not have to comply to that Protocol until the entry into force of the Lisbon Treaty. Since that Treaty entered into force, major subsidiarity checks have not yet taken place. Still, it is useful to investigate what national parliaments or chambers point out when considering the Commission’s subsidiarity statement, since it does indicate what national parliaments expect from the EC with regards to subsidiarity. In this case, nine national parliaments or chambers indicated that they did not find the Commission’s justification satisfactory. These were the Irish </w:t>
      </w:r>
      <w:r>
        <w:rPr>
          <w:i/>
        </w:rPr>
        <w:t>Houses of the Oireachtas</w:t>
      </w:r>
      <w:r>
        <w:t xml:space="preserve">, the Italian </w:t>
      </w:r>
      <w:r>
        <w:rPr>
          <w:i/>
        </w:rPr>
        <w:t xml:space="preserve">Camera dei Deputati </w:t>
      </w:r>
      <w:r>
        <w:t xml:space="preserve">and the </w:t>
      </w:r>
      <w:r>
        <w:rPr>
          <w:i/>
        </w:rPr>
        <w:t>Senato della Repubblica</w:t>
      </w:r>
      <w:r>
        <w:t xml:space="preserve">, the UK </w:t>
      </w:r>
      <w:r>
        <w:rPr>
          <w:i/>
        </w:rPr>
        <w:t xml:space="preserve">House of Commons </w:t>
      </w:r>
      <w:r>
        <w:t xml:space="preserve">and </w:t>
      </w:r>
      <w:r>
        <w:rPr>
          <w:i/>
        </w:rPr>
        <w:t>House of Lords</w:t>
      </w:r>
      <w:r>
        <w:t xml:space="preserve">, the German </w:t>
      </w:r>
      <w:r>
        <w:rPr>
          <w:i/>
        </w:rPr>
        <w:t>Bundestag</w:t>
      </w:r>
      <w:r>
        <w:t xml:space="preserve">, the Slovenian </w:t>
      </w:r>
      <w:r>
        <w:rPr>
          <w:i/>
        </w:rPr>
        <w:t>Državni svet</w:t>
      </w:r>
      <w:r>
        <w:t xml:space="preserve">, the Hungarian </w:t>
      </w:r>
      <w:r w:rsidRPr="00E96CBE">
        <w:rPr>
          <w:i/>
        </w:rPr>
        <w:t>Orsz</w:t>
      </w:r>
      <w:r>
        <w:rPr>
          <w:i/>
        </w:rPr>
        <w:t>ággyűlés</w:t>
      </w:r>
      <w:r>
        <w:t xml:space="preserve"> and the Dutch </w:t>
      </w:r>
      <w:r>
        <w:rPr>
          <w:i/>
        </w:rPr>
        <w:t>States-General</w:t>
      </w:r>
      <w:r>
        <w:t xml:space="preserve">. Their concerns were mainly that the EC did not complete all elements as specified in the Protocol to the Lisbon Treaty, that the wording of the statement was too vague and that the EC was only reiterating conventional protocols, which made it too brief (COSAC, 2009b:10-12). </w:t>
      </w:r>
    </w:p>
    <w:p w:rsidR="00100A24" w:rsidRDefault="00100A24" w:rsidP="00321343"/>
    <w:p w:rsidR="00100A24" w:rsidRPr="00E93C39" w:rsidRDefault="00100A24" w:rsidP="00321343">
      <w:r>
        <w:t xml:space="preserve">A couple of national parliaments or chambers did not find a breach of the subsidiarity principle, but still sent an opinion to the EC that is worth discussing. In the Danish </w:t>
      </w:r>
      <w:r>
        <w:rPr>
          <w:i/>
        </w:rPr>
        <w:t>Folketing</w:t>
      </w:r>
      <w:r>
        <w:t xml:space="preserve">, there was a minority that disagreed with the conclusion that subsidiarity was not impeded. Their opinion was that the proposal does not provide guarantees that high standards in this field will be upheld, so member states should be able to introduce stricter measures when they want to. Furthermore, this minority states that if the Danish government does not affirm this breach of the subsidiarity principle, in effect the principle is empty (Folketinget, 2009:1-2). The parliament of Luxembourg noted that the Council of Europe had taken up the subject earlier and that it had established a framework for cooperation between members of the Council of Europe. The parliament wonders whether the EC, by taking up this subject and drafting a directive for it, is not doubling work already done (Chambre des Députés, 2009:2). Finally, the Belgian </w:t>
      </w:r>
      <w:r>
        <w:rPr>
          <w:i/>
        </w:rPr>
        <w:t>S</w:t>
      </w:r>
      <w:r w:rsidRPr="00FF3D07">
        <w:rPr>
          <w:i/>
        </w:rPr>
        <w:t>é</w:t>
      </w:r>
      <w:r>
        <w:rPr>
          <w:i/>
        </w:rPr>
        <w:t xml:space="preserve">nat </w:t>
      </w:r>
      <w:r>
        <w:t>requests the EC not to lay down too stringent criteria, since flexibility is needed. It also asks the EC to provide regulation for registration and allocation systems and to ensure solidarity among member states with different legislative systems (S</w:t>
      </w:r>
      <w:r w:rsidRPr="00E93C39">
        <w:t>é</w:t>
      </w:r>
      <w:r>
        <w:t>nat de Belgique, 2009:4).</w:t>
      </w:r>
    </w:p>
    <w:p w:rsidR="00100A24" w:rsidRDefault="00100A24" w:rsidP="00321343"/>
    <w:p w:rsidR="00100A24" w:rsidRPr="00AD3997" w:rsidRDefault="00100A24" w:rsidP="00321343">
      <w:r>
        <w:t>It is clear that quite a few more parliaments had concerns regarding certain provisions of the proposal or were dissatisfied with the EC’s subsidiarity statement than what one would expect when only looking at the negative opinions concerning the compliance with the principle of subsidiarity. If this dissatisfaction is too large, it can cause a parliament or chamber to issue a negative opinion. Therefore, not only should the EC consider subsidiarity when composing a proposal, it should also justify it well. Where doubts exist, national parliaments will request the EC to clarify certain matters. The following paragraph will deal with the responses the EC gave to these parliaments.</w:t>
      </w:r>
    </w:p>
    <w:p w:rsidR="00100A24" w:rsidRPr="00062FA2" w:rsidRDefault="00100A24" w:rsidP="00321343"/>
    <w:p w:rsidR="00100A24" w:rsidRDefault="00100A24" w:rsidP="00321343">
      <w:pPr>
        <w:rPr>
          <w:b/>
        </w:rPr>
      </w:pPr>
      <w:r>
        <w:rPr>
          <w:b/>
        </w:rPr>
        <w:t>3.2.1.4. Responses of the European Commission</w:t>
      </w:r>
    </w:p>
    <w:p w:rsidR="00100A24" w:rsidRDefault="00100A24" w:rsidP="00321343">
      <w:r>
        <w:t xml:space="preserve">Opinions sent to the Commission by national parliaments are usually honored with a reply. The way the Commission responds on matters of subsidiarity says a lot about the importance the EC gives to subsidiarity checks. The first thing that becomes apparent when studying the EC’s responses is that some of them are very lengthy, where others are brief. A general factor in the responses is the degree of formality in the Commission’s language. Where the Slovenian parliament sent the EC a very lengthy opinion with a thorough analysis of Articles 13 and 14 of the proposal (Republic of Slovenia National Assembly, 2009:2-5), the EC responded with that it ‘welcomes’ the analysis (European Commission, 2009a). The Slovenian Parliament also suggested a couple modifications in the preamble. The EC responded with that it ‘takes note’ of Slovenia’s suggestions (European Commission, 2009a). Another example of the EC’s formality can be identified in the response it sent to the Hungarian </w:t>
      </w:r>
      <w:r>
        <w:rPr>
          <w:i/>
        </w:rPr>
        <w:t>Országgyűlés</w:t>
      </w:r>
      <w:r>
        <w:t xml:space="preserve">. In its reasoned opinion to the Commission, the Hungarian parliament indicated that it had found the Commission’s justification in the subsidiarity statement too formal and only reflecting relevant wording of the EC Treaty without further explanation (Hungarian National Assembly Committee on European Affairs, 2009). The EC responded with that it ‘takes note’ of the Hungarian concerns and that it is pleased that the </w:t>
      </w:r>
      <w:r>
        <w:rPr>
          <w:i/>
        </w:rPr>
        <w:t>Országgyűlés</w:t>
      </w:r>
      <w:r>
        <w:t xml:space="preserve"> concluded that the proposal was not in breach of the principle of subsidiarity (European Commission, 2009b). These two examples show the formality and brevity EC responses can assume.</w:t>
      </w:r>
    </w:p>
    <w:p w:rsidR="00100A24" w:rsidRDefault="00100A24" w:rsidP="00321343"/>
    <w:p w:rsidR="00100A24" w:rsidRPr="00FF0EF1" w:rsidRDefault="00100A24" w:rsidP="00321343">
      <w:r>
        <w:t xml:space="preserve">An example of a lengthy response of the Commission is its reply to the Italian Senate. First, it addresses Italy’s concerns regarding Art. 152 of the EC treaty. The EC states that the Article only authorizes minimum legislation by the EU and that individual states can have more stringent legislation, providing they comply with the treaty. Second, the EC then defends its statement that it has put enough emphasis on living donation and protection of living donors, since the Italian Senate put some question marks there. Third, the EC ‘takes note’ of a suggestion made by the Senate and states that this could be explored further in the future (European Commission, 2009c:2). The Danish parliament received a similar response regarding the possibility of the introduction of more stringent standards. Recall that a Danish minority within the </w:t>
      </w:r>
      <w:r>
        <w:rPr>
          <w:i/>
        </w:rPr>
        <w:t>Folketing</w:t>
      </w:r>
      <w:r>
        <w:t xml:space="preserve"> had concerns about the possibility the EC left the member states to introduce stricter measures. The EC also responded here with a statement that Article 152 of the EC permits member states to introduce more stringent measures if they want to, providing that they comply with the Treaty (European Commission, 2009d). This is also reiterated in its reply to the German </w:t>
      </w:r>
      <w:r>
        <w:rPr>
          <w:i/>
        </w:rPr>
        <w:t>Bundesrat</w:t>
      </w:r>
      <w:r>
        <w:t xml:space="preserve"> (European Commission, 2009e:1).</w:t>
      </w:r>
    </w:p>
    <w:p w:rsidR="00100A24" w:rsidRDefault="00100A24" w:rsidP="00321343"/>
    <w:p w:rsidR="00100A24" w:rsidRDefault="00100A24" w:rsidP="00321343">
      <w:r>
        <w:t xml:space="preserve">The way the EC deals with concerns and questions raised by member states is visible in its replies to the German </w:t>
      </w:r>
      <w:r>
        <w:rPr>
          <w:i/>
        </w:rPr>
        <w:t xml:space="preserve">Bundestag </w:t>
      </w:r>
      <w:r>
        <w:t xml:space="preserve">and </w:t>
      </w:r>
      <w:r>
        <w:rPr>
          <w:i/>
        </w:rPr>
        <w:t>Bundesrat</w:t>
      </w:r>
      <w:r>
        <w:t xml:space="preserve"> and the Dutch </w:t>
      </w:r>
      <w:r>
        <w:rPr>
          <w:i/>
        </w:rPr>
        <w:t>States-General</w:t>
      </w:r>
      <w:r>
        <w:t xml:space="preserve">. To the </w:t>
      </w:r>
      <w:r>
        <w:rPr>
          <w:i/>
        </w:rPr>
        <w:t>Bundesrat</w:t>
      </w:r>
      <w:r>
        <w:t xml:space="preserve"> the EC sent an opinion stating that the data on financial and administrative burden that, according to the </w:t>
      </w:r>
      <w:r>
        <w:rPr>
          <w:i/>
        </w:rPr>
        <w:t>Bundesrat</w:t>
      </w:r>
      <w:r>
        <w:t xml:space="preserve">, is missing in the proposal is present in the impact assessment accompanying the proposal and its annexes. Also, the EC states that adoption of the proposal does not necessarily mean that Germany will have to change its organizational structure by creating a new authority to meet the terms of the proposal, as long as the existing one(s) comply with the new directive (European Commission, 2009e:1-2). The same statement is also sent to the </w:t>
      </w:r>
      <w:r>
        <w:rPr>
          <w:i/>
        </w:rPr>
        <w:t>Bundestag</w:t>
      </w:r>
      <w:r>
        <w:t xml:space="preserve">, which raised the same concern. Furthermore, the EC affirms the </w:t>
      </w:r>
      <w:r>
        <w:rPr>
          <w:i/>
        </w:rPr>
        <w:t>Bundestag</w:t>
      </w:r>
      <w:r>
        <w:t xml:space="preserve">’s opinion that the regulation of the actual donation and medical use of human organs does not fall under the competences of the EU (European Commission, 2009f). What is striking, is that the Commission does not address the question posed by the </w:t>
      </w:r>
      <w:r>
        <w:rPr>
          <w:i/>
        </w:rPr>
        <w:t>Bundesrat</w:t>
      </w:r>
      <w:r>
        <w:t xml:space="preserve"> whether the EC actually has the competence to regulate what it tries to regulate with the proposal. It does, however, answer all the questions the Dutch </w:t>
      </w:r>
      <w:r>
        <w:rPr>
          <w:i/>
        </w:rPr>
        <w:t>States-General</w:t>
      </w:r>
      <w:r>
        <w:t xml:space="preserve"> asked in its opinion. The answers are lengthy, cover details of the proposal and provide the statistics the Dutch </w:t>
      </w:r>
      <w:r>
        <w:rPr>
          <w:i/>
        </w:rPr>
        <w:t>States-General</w:t>
      </w:r>
      <w:r>
        <w:t xml:space="preserve"> asked for (European Commission, 2009g:3-8).</w:t>
      </w:r>
    </w:p>
    <w:p w:rsidR="00100A24" w:rsidRDefault="00100A24" w:rsidP="00321343"/>
    <w:p w:rsidR="00100A24" w:rsidRDefault="00100A24" w:rsidP="00321343">
      <w:r>
        <w:t>Where a national parliament asks for more than the proposal actually regulates, as the Belgian Senate did, the Commission replies that the Belgian request to regulate registration and allocation systems cannot be fulfilled, since the EC does not have the competences to do so (European Commission, 2009h:2).</w:t>
      </w:r>
    </w:p>
    <w:p w:rsidR="00100A24" w:rsidRDefault="00100A24" w:rsidP="00321343"/>
    <w:p w:rsidR="00100A24" w:rsidRDefault="00100A24" w:rsidP="00321343">
      <w:r>
        <w:t>Finally, it is interesting to investigate the Commission’s response to the single member state that actually identified a breach of the principle of subsidiarity: Austria. First, the EC states again that member states can adopt more stringent measures under Article 152 of the EC Treaty. Second, where the Austrian parliament pointed out that some provisions are badly defined, the EC responds that for reasons of consistency these definitions are the same as the ones used in earlier directives on Tissues and Cells. As a final point, the EC addresses the Austrian allegation that Article 25 of the proposal is in breach of the subsidiarity principle. The Commission is brief and states that good (national) traceability systems are imperative to ensure safety and to prevent trade and organ trafficking (European Commission, 2009i:1-2).</w:t>
      </w:r>
    </w:p>
    <w:p w:rsidR="00100A24" w:rsidRDefault="00100A24" w:rsidP="00321343"/>
    <w:p w:rsidR="00100A24" w:rsidRPr="008B009D" w:rsidRDefault="00100A24" w:rsidP="00321343">
      <w:r>
        <w:t>Overall, it can be concluded that the Commission uses very formal language in its responses to national parliaments. Nowhere does it indicate that it will introduce changes in its proposal where parliaments suggest them. The Commission usually only ‘takes note’ of suggestions national parliaments make or states that it will investigate something further. It does address concerns raised by national parliaments, but it is very reiterative in its argumentation. This is visible in the similar texts it sends to different national parliaments. Finally, where many parliaments indicate that they find the Commission’s justification in the subsidiarity statement insufficient, this is not addressed by the EC in its responses.</w:t>
      </w:r>
    </w:p>
    <w:p w:rsidR="00100A24" w:rsidRPr="00062FA2" w:rsidRDefault="00100A24" w:rsidP="00321343"/>
    <w:p w:rsidR="00100A24" w:rsidRDefault="00100A24" w:rsidP="00321343">
      <w:pPr>
        <w:rPr>
          <w:b/>
        </w:rPr>
      </w:pPr>
      <w:r>
        <w:rPr>
          <w:b/>
        </w:rPr>
        <w:t>3.2.1.5. Proceedings after the subsidiarity check</w:t>
      </w:r>
    </w:p>
    <w:p w:rsidR="00100A24" w:rsidRDefault="00100A24" w:rsidP="00321343">
      <w:r>
        <w:t xml:space="preserve">The Commission does not indicate in its responses to national parliaments that it will change its draft, nor does it publish documents stating that it changed its draft due to suggestions of national parliaments. As such it is difficult to find out whether national parliaments have an influence on the wording of draft legislation. However, the British </w:t>
      </w:r>
      <w:r>
        <w:rPr>
          <w:i/>
        </w:rPr>
        <w:t>House of Commons</w:t>
      </w:r>
      <w:r>
        <w:t xml:space="preserve">, in its interplay with the British government, appears to have had an influence on the draft directive in its first reading of the EP. The British parliament involves its government actively in its subsidiarity checks by asking for further information, clarification and the government’s position on certain provisions. While doing this, the parliament sends its scrutiny documents containing its suggestions to the government. In its final report in March 2010, the </w:t>
      </w:r>
      <w:r>
        <w:rPr>
          <w:i/>
        </w:rPr>
        <w:t>House of Commons</w:t>
      </w:r>
      <w:r>
        <w:t xml:space="preserve"> states that it is pleased with the changes made in the draft directive and that it now thinks that the proposal complies with the EC Treaty (House of Commons, 2010:4). This is an indication that the </w:t>
      </w:r>
      <w:r>
        <w:rPr>
          <w:i/>
        </w:rPr>
        <w:t>House of Commons</w:t>
      </w:r>
      <w:r>
        <w:t xml:space="preserve">, by exercising its mandated control over the government, influences the amendments introduced in drafts when they enter the political channel. </w:t>
      </w:r>
    </w:p>
    <w:p w:rsidR="00100A24" w:rsidRDefault="00100A24" w:rsidP="00321343"/>
    <w:p w:rsidR="00100A24" w:rsidRPr="00536BC5" w:rsidRDefault="00100A24" w:rsidP="00321343">
      <w:r>
        <w:t>When the Treaty of Lisbon entered into force, the legal basis for the proposal changed. The new Article the proposal bases its legal basis on is Article 168(4) of the TFEU, or the Treaty on the Functioning of the Union (European Commission, COM(2009) 665 final/2:41). After the subsidiarity check, it was the EP’s turn to consider the proposal. On May 19</w:t>
      </w:r>
      <w:r w:rsidRPr="005E7B0E">
        <w:rPr>
          <w:vertAlign w:val="superscript"/>
        </w:rPr>
        <w:t>th</w:t>
      </w:r>
      <w:r>
        <w:t xml:space="preserve"> 2009, the EP approved the proposal with some amendments. The proposal is now awaiting the decision of the Council (The Legislative Observatory, 24 June 2010).</w:t>
      </w:r>
    </w:p>
    <w:p w:rsidR="00100A24" w:rsidRDefault="00100A24" w:rsidP="00321343">
      <w:pPr>
        <w:pStyle w:val="Heading3"/>
      </w:pPr>
      <w:bookmarkStart w:id="27" w:name="_Toc141864062"/>
      <w:r>
        <w:t>3.2.2. Case 2: The right to translation and interpretation in criminal proceedings</w:t>
      </w:r>
      <w:bookmarkEnd w:id="27"/>
    </w:p>
    <w:p w:rsidR="00100A24" w:rsidRDefault="00100A24" w:rsidP="00321343">
      <w:r>
        <w:t xml:space="preserve">The second case that is considered is COM(2009) 338. The full name of this proposal is </w:t>
      </w:r>
      <w:r>
        <w:rPr>
          <w:i/>
        </w:rPr>
        <w:t>Proposal for Council Framework Decision on the right to interpretation and to translation in criminal proceedings</w:t>
      </w:r>
      <w:r>
        <w:t>. The first thing that should be noticed is that the proposal calls for a Council decision, which effectively means that it does not fall under the co-decision procedure and that, were the Treaty of Lisbon in force at that time, only the yellow card procedure could have been enacted. COM(2009) 338 is accompanied by SEC(2009) 915, which contains the impact assessment preceding the proposal, and SEC(2009) 916, which summarizes the impact assessment and the proposal.</w:t>
      </w:r>
    </w:p>
    <w:p w:rsidR="00100A24" w:rsidRPr="00062FA2" w:rsidRDefault="00100A24" w:rsidP="00321343">
      <w:pPr>
        <w:tabs>
          <w:tab w:val="left" w:pos="3686"/>
        </w:tabs>
      </w:pPr>
    </w:p>
    <w:p w:rsidR="00100A24" w:rsidRDefault="00100A24" w:rsidP="00321343">
      <w:pPr>
        <w:rPr>
          <w:b/>
        </w:rPr>
      </w:pPr>
      <w:r>
        <w:rPr>
          <w:b/>
        </w:rPr>
        <w:t>3.2.2.1. History of the case</w:t>
      </w:r>
    </w:p>
    <w:p w:rsidR="00100A24" w:rsidRDefault="00100A24" w:rsidP="00321343">
      <w:r>
        <w:t xml:space="preserve">Article 6 of the Treaty on European Union (TEU) obliges the EU to respect fundamental rights as guaranteed by the European Convention for the Protection of Human Rights and Fundamental Freedoms (ECHR). Articles 5 and 6 of the ECHR provide for the right to liberty and security and the right to a fair trial. Furthermore, in 1999 the Tampere European Council came to the conclusion that mutual recognition should become the cornerstone of judicial cooperation, and that the necessary legislation for mutual recognition would enhance the judicial protection of individual rights. As the EU found it important to protect the rights of suspects, it started looking for ways to ensure the protection of these rights. Thus, in 2004, the Commission introduced a proposal on certain procedural rights in criminal proceedings throughout the European Union. However, for three years an agreement on the proposal could not be reached, so it was withdrawn. COM(2009) 388 is envisaged to be a first step in a series of measures designed to replace the withdrawn proposal of 2004. The proposal focuses on the right to interpretation and translation, since that right was the least controversial one in the 2004 proposal (European Commission, COM(2009) 338:2-4).  </w:t>
      </w:r>
    </w:p>
    <w:p w:rsidR="00100A24" w:rsidRPr="00062FA2" w:rsidRDefault="00100A24" w:rsidP="00321343"/>
    <w:p w:rsidR="00100A24" w:rsidRDefault="00100A24" w:rsidP="00321343">
      <w:pPr>
        <w:rPr>
          <w:b/>
        </w:rPr>
      </w:pPr>
      <w:r>
        <w:rPr>
          <w:b/>
        </w:rPr>
        <w:t>3.2.2.2. The proposal</w:t>
      </w:r>
    </w:p>
    <w:p w:rsidR="00100A24" w:rsidRDefault="00100A24" w:rsidP="00321343">
      <w:r>
        <w:t>The aim of the proposal is to “improve the rights of suspects who do not understand and speak the language of the proceedings” (European Commission, COM(2009) 338:2). The legal basis of the proposal is Article 31(1) TEU. This Article provides for the EU to develop common action in order to ensure compatibility in rules where necessary to improve cooperation. The proposal will facilitate the building of mutual trust, which then should enhance cooperation throughout the EU (European Commission, COM(2009) 338:2).</w:t>
      </w:r>
    </w:p>
    <w:p w:rsidR="00100A24" w:rsidRDefault="00100A24" w:rsidP="00321343"/>
    <w:p w:rsidR="00100A24" w:rsidRDefault="00100A24" w:rsidP="00321343">
      <w:r>
        <w:t>The impact assessment considers five options. The first is maintaining an unsatisfactory status quo, since it is believed that member states comply to different degrees with their fair trial obligations. The second option is the use of best practices, which essentially constitutes the promotion of non-legislative measures. The third option is a new instrument covering all rights, which would indicate the drafting of a new treaty with an explicit legal base. The fourth option is the adoption of a measure restricted to cross-border cases, and the fifth option is a step-by-step approach beginning with measures on access to interpretation and translation. This approach could then either cover all cases or only cross-border cases. Since the status quo is unsatisfactory, the second option too mild, the third option too difficult and the fourth option too vague in terms of definition of purely cross-border cases, the best option is the fifth one. The impact assessment notes, however, that the fifth option does place financial and administrative burdens on member states that do not yet provide training to legal interpreters and translators, and that it will require monitoring and evaluation (European Commission, SEC(2009) 916:3-5).</w:t>
      </w:r>
    </w:p>
    <w:p w:rsidR="00100A24" w:rsidRDefault="00100A24" w:rsidP="00321343"/>
    <w:p w:rsidR="00100A24" w:rsidRDefault="00100A24" w:rsidP="00321343">
      <w:r>
        <w:t>The proposal calls for a framework decision of the Council. This decision would set out basic obligations for member states, building on the ECHR and case law of the European Court of Human Rights. As the impact assessment points out that member states have complied differently with their fair trial obligations, this would necessitate EU action. The subsidiarity statement provided in the proposal itself is as follows:</w:t>
      </w:r>
    </w:p>
    <w:p w:rsidR="00100A24" w:rsidRDefault="00100A24" w:rsidP="00321343">
      <w:pPr>
        <w:spacing w:after="120" w:line="240" w:lineRule="auto"/>
        <w:ind w:left="567"/>
      </w:pPr>
      <w:r>
        <w:t>“The objective of the proposal cannot sufficiently be achieved by Member States alone, since the aim of the proposal is to promote trust between them and it is therefore important to agree on a common minimum standard that applies throughout the whole of the European Union. The proposal will approximate Member States’ substantive procedural rules in respect of interpretation and translation in criminal proceedings in order to build mutual trust. The proposal therefore complies with the subsidiarity principle” (European Commission, COM(2009) 338:7-8).</w:t>
      </w:r>
    </w:p>
    <w:p w:rsidR="00100A24" w:rsidRDefault="00100A24" w:rsidP="00321343">
      <w:r>
        <w:t>This statement, along with the provisions of the proposal, was studied by the national parliaments participating in the subsidiarity check.</w:t>
      </w:r>
    </w:p>
    <w:p w:rsidR="00100A24" w:rsidRPr="00062FA2" w:rsidRDefault="00100A24" w:rsidP="00321343"/>
    <w:p w:rsidR="00100A24" w:rsidRDefault="00100A24" w:rsidP="00321343">
      <w:pPr>
        <w:rPr>
          <w:b/>
        </w:rPr>
      </w:pPr>
      <w:r>
        <w:rPr>
          <w:b/>
        </w:rPr>
        <w:t>3.2.2.3. Subsidiarity check by national parliaments</w:t>
      </w:r>
    </w:p>
    <w:p w:rsidR="00100A24" w:rsidRDefault="00100A24" w:rsidP="00321343">
      <w:r>
        <w:t>Upon receiving the proposal, many national parliaments started the subsidiarity checks</w:t>
      </w:r>
      <w:r>
        <w:rPr>
          <w:rStyle w:val="FootnoteReference"/>
        </w:rPr>
        <w:footnoteReference w:id="5"/>
      </w:r>
      <w:r>
        <w:t>. The deadline for the subsidiarity check was set at September 14</w:t>
      </w:r>
      <w:r w:rsidRPr="002A0C48">
        <w:rPr>
          <w:vertAlign w:val="superscript"/>
        </w:rPr>
        <w:t>th</w:t>
      </w:r>
      <w:r>
        <w:t xml:space="preserve"> 2009, eight weeks after the publishing of the proposal in all official languages of the EU. Unfortunately, the subsidiarity check fell right into the summer recess of many national parliaments, so quite a few parliaments or chambers could not complete the check before the set deadline. By that deadline, 21 parliaments or chambers from 17 member states had concluded their check and sent their replies to COSAC and/or the EC. These are called the “participating parliaments”</w:t>
      </w:r>
      <w:r>
        <w:rPr>
          <w:rStyle w:val="FootnoteReference"/>
        </w:rPr>
        <w:footnoteReference w:id="6"/>
      </w:r>
      <w:r>
        <w:t xml:space="preserve"> (COSAC, 2009c:7). Because ten additional parliaments or chambers from nine member states had also started the check but could not finish it in time, COSAC gave them another four weeks to send their reports in order to draw up a more comprehensive report. Ultimately, eleven additional parliaments or chambers from eleven member states</w:t>
      </w:r>
      <w:r>
        <w:rPr>
          <w:rStyle w:val="FootnoteReference"/>
        </w:rPr>
        <w:footnoteReference w:id="7"/>
      </w:r>
      <w:r>
        <w:t xml:space="preserve"> sent their replies to COSAC within the extra period of four weeks. Thus, at the end of twelve weeks, COSAC had received replies from 32 parliaments or chambers from 25 member states (COSAC, 2009d:2-3). However, the yellow card procedure could only be enacted by the parliaments or chambers that sent their replies to the EC within the eight week deadline. In the further analysis of the replies sent by national parliaments, both the participating parliaments and the additional parliaments will be taken into account.</w:t>
      </w:r>
    </w:p>
    <w:p w:rsidR="00100A24" w:rsidRDefault="00100A24" w:rsidP="00321343"/>
    <w:p w:rsidR="00100A24" w:rsidRDefault="00100A24" w:rsidP="00321343">
      <w:r>
        <w:t xml:space="preserve">In most cases, the Committees on European Affairs led the subsidiarity checks and in the case of bi-cameral parliaments, only The Dutch </w:t>
      </w:r>
      <w:r>
        <w:rPr>
          <w:i/>
        </w:rPr>
        <w:t xml:space="preserve">Tweede </w:t>
      </w:r>
      <w:r>
        <w:t xml:space="preserve">and </w:t>
      </w:r>
      <w:r>
        <w:rPr>
          <w:i/>
        </w:rPr>
        <w:t>Eerste Kamer</w:t>
      </w:r>
      <w:r>
        <w:t xml:space="preserve"> and the Irish </w:t>
      </w:r>
      <w:r>
        <w:rPr>
          <w:i/>
        </w:rPr>
        <w:t>Houses of the Oireachtas</w:t>
      </w:r>
      <w:r>
        <w:t xml:space="preserve"> exchanged information between the chambers. Most parliaments or chambers used the Protocol to the Treaty of Lisbon as their guiding document, however The Netherlands chose to use Article 5 of the EC Treaty and Protocol 30 of the Treaty of Amsterdam (COSAC, 2009c:8-9). 16 parliaments or chambers indicated that they had cooperated with other parliaments, mainly through the IPEX website or through consultation with one another’s permanent representatives in Brussels (COSAC, 2009d:6-14).</w:t>
      </w:r>
    </w:p>
    <w:p w:rsidR="00100A24" w:rsidRDefault="00100A24" w:rsidP="00321343"/>
    <w:p w:rsidR="00100A24" w:rsidRDefault="00100A24" w:rsidP="00321343">
      <w:r>
        <w:t>With regards to the results of the subsidiarity check, 28 out of 32 parliaments or chambers did not find any breach of the principle of subsidiarity</w:t>
      </w:r>
      <w:r>
        <w:rPr>
          <w:rStyle w:val="FootnoteReference"/>
        </w:rPr>
        <w:footnoteReference w:id="8"/>
      </w:r>
      <w:r>
        <w:t>. An additional three parliaments or chambers</w:t>
      </w:r>
      <w:r>
        <w:rPr>
          <w:rStyle w:val="FootnoteReference"/>
        </w:rPr>
        <w:footnoteReference w:id="9"/>
      </w:r>
      <w:r>
        <w:t xml:space="preserve"> had concerns regarding the proposal’s compliance with either the principle of subsidiarity or the principle of proportionality (COSAC, 2009c:9, COSAC, 2009d:4). The Austrian </w:t>
      </w:r>
      <w:r>
        <w:rPr>
          <w:i/>
        </w:rPr>
        <w:t>Bundesrat</w:t>
      </w:r>
      <w:r>
        <w:t xml:space="preserve"> and </w:t>
      </w:r>
      <w:r>
        <w:rPr>
          <w:i/>
        </w:rPr>
        <w:t>Nationalrat</w:t>
      </w:r>
      <w:r>
        <w:t>, in their joint statement to the EC, are of the opinion that the proposal is not necessary since member states are obliged to comply with the ECHR and the decisions of the ECtHR, and that there have only been a few violations of Article 6 of the ECHR. Furthermore, they argue that the subsidiarity statement is too limited, that member states will incur considerable costs and that some provisions are too vague or going much too far. Consequently, as there is no real need for the framework decision and as its provisions are not all good, the proposal poses a breach of the principle of subsidiarity (Permanent Subcommittee on EU Affairs of the National Council, 2009:1-2).</w:t>
      </w:r>
    </w:p>
    <w:p w:rsidR="00100A24" w:rsidRDefault="00100A24" w:rsidP="00321343"/>
    <w:p w:rsidR="00100A24" w:rsidRDefault="00100A24" w:rsidP="00321343">
      <w:r>
        <w:t xml:space="preserve">The Irish </w:t>
      </w:r>
      <w:r>
        <w:rPr>
          <w:i/>
        </w:rPr>
        <w:t>Houses of the Oireachtas</w:t>
      </w:r>
      <w:r>
        <w:t xml:space="preserve"> sent a Reasoned Opinion to the EC stating that “[t]here may be certain aspects of the scope of the proposal that may be best left to Member States” and that “due regard has to be had to national competence if the proposal is to apply to all criminal offence cases”. Consequently, “the Committee has concluded that some parts of the proposal may not comply fully with the principle of subsidiarity” (Oireachtas Joint Committee on European Scrutiny, 2009) Furthermore, the </w:t>
      </w:r>
      <w:r>
        <w:rPr>
          <w:i/>
        </w:rPr>
        <w:t>Houses of the Oireachtas</w:t>
      </w:r>
      <w:r>
        <w:t xml:space="preserve"> question the legal basis of the proposal, as it represents a part of the 2004 proposal which was opposed by some member states on grounds of questionable legal basis (Oireachtas Joint Committee on European Affairs, 2009).</w:t>
      </w:r>
    </w:p>
    <w:p w:rsidR="00100A24" w:rsidRDefault="00100A24" w:rsidP="00321343"/>
    <w:p w:rsidR="00100A24" w:rsidRDefault="00100A24" w:rsidP="00321343">
      <w:r>
        <w:t xml:space="preserve">The Maltese </w:t>
      </w:r>
      <w:r>
        <w:rPr>
          <w:i/>
        </w:rPr>
        <w:t xml:space="preserve">Kamra tad-Deputati </w:t>
      </w:r>
      <w:r>
        <w:t>also sent a Reasoned Opinion to the Commission, stating that the proposal is a breach of the principle of subsidiarity, because the matter is already sufficiently uniformly regulated under the ECHR. Therefore, the proposal over regulates and duplicates what has already been done (Kamra tad-Deputati, 2009:4).</w:t>
      </w:r>
    </w:p>
    <w:p w:rsidR="00100A24" w:rsidRDefault="00100A24" w:rsidP="00321343"/>
    <w:p w:rsidR="00100A24" w:rsidRDefault="00100A24" w:rsidP="00321343">
      <w:r>
        <w:t xml:space="preserve">Parliaments or chambers with concerns about the proposals were the German </w:t>
      </w:r>
      <w:r>
        <w:rPr>
          <w:i/>
        </w:rPr>
        <w:t>Bundesrat</w:t>
      </w:r>
      <w:r>
        <w:t xml:space="preserve">, the Czech </w:t>
      </w:r>
      <w:r>
        <w:rPr>
          <w:i/>
        </w:rPr>
        <w:t>Senát</w:t>
      </w:r>
      <w:r>
        <w:t xml:space="preserve"> and the French </w:t>
      </w:r>
      <w:r>
        <w:rPr>
          <w:i/>
        </w:rPr>
        <w:t>Assemblée nationale</w:t>
      </w:r>
      <w:r>
        <w:t xml:space="preserve">. The German </w:t>
      </w:r>
      <w:r>
        <w:rPr>
          <w:i/>
        </w:rPr>
        <w:t>Bundesrat</w:t>
      </w:r>
      <w:r>
        <w:t xml:space="preserve"> was of the opinion that the extent of the provisions which extended beyond the obligations arising from the ECHR was not necessary. The Czech </w:t>
      </w:r>
      <w:r>
        <w:rPr>
          <w:i/>
        </w:rPr>
        <w:t xml:space="preserve">Senát </w:t>
      </w:r>
      <w:r>
        <w:t xml:space="preserve">stated that the proposal constituted a possible duplication of regulation and that it had to be studied thoroughly whether the adoption of a legal act in this area was necessary. It also states that ambiguous wording should be avoided as much as possible, referring to a couple of provision which it deems to be quite ambiguous (COSAC, 2009d:4, The Parliament of the Czech Republic: Senate, 2009:1). The French </w:t>
      </w:r>
      <w:r>
        <w:rPr>
          <w:i/>
        </w:rPr>
        <w:t>Assemblée nationale</w:t>
      </w:r>
      <w:r>
        <w:t xml:space="preserve"> is not convinced that the legal basis stated by the EC is the right one (</w:t>
      </w:r>
      <w:r w:rsidRPr="005952C2">
        <w:t>Assemblée nationale</w:t>
      </w:r>
      <w:r>
        <w:t>, 2009:3).</w:t>
      </w:r>
    </w:p>
    <w:p w:rsidR="00100A24" w:rsidRDefault="00100A24" w:rsidP="00321343"/>
    <w:p w:rsidR="00100A24" w:rsidRPr="00F87D1E" w:rsidRDefault="00100A24" w:rsidP="00321343">
      <w:r>
        <w:t xml:space="preserve">There were also a few parliaments or chambers that did not raise immediate concerns, but nevertheless asked the EC for some clarifications or presented it with suggestions. In its letter to the Commission, the Dutch </w:t>
      </w:r>
      <w:r>
        <w:rPr>
          <w:i/>
        </w:rPr>
        <w:t>Eerste Kamer</w:t>
      </w:r>
      <w:r>
        <w:t xml:space="preserve"> asked the EC what the added value of the proposal was in respect to the ECHR and relevant case law based on it. Furthermore, the </w:t>
      </w:r>
      <w:r>
        <w:rPr>
          <w:i/>
        </w:rPr>
        <w:t>Eerste Kamer</w:t>
      </w:r>
      <w:r>
        <w:t xml:space="preserve"> would like to receive more information about the Commission’s assertion that compliance with the ECHR is inconsistent across member states (Eerste Kamer der Staten-Generaal, 2009:1). The Bulgarian </w:t>
      </w:r>
      <w:r>
        <w:rPr>
          <w:i/>
        </w:rPr>
        <w:t xml:space="preserve">Narodno Sabranie </w:t>
      </w:r>
      <w:r>
        <w:t xml:space="preserve">noted that some provisions of the proposal are too formal, which will only delay the criminal proceedings. It therefore suggests to change some provisions in order to make them clearer (National Assembly of the Republic of Bulgaria, 2009:2). The Italian </w:t>
      </w:r>
      <w:r>
        <w:rPr>
          <w:i/>
        </w:rPr>
        <w:t xml:space="preserve">Senato della Repubblica </w:t>
      </w:r>
      <w:r>
        <w:t>also makes some suggestions concerning references to the ECHR and level of details of certain provisions (Italian Senate, 2009:1-2).</w:t>
      </w:r>
    </w:p>
    <w:p w:rsidR="00100A24" w:rsidRDefault="00100A24" w:rsidP="00321343"/>
    <w:p w:rsidR="00100A24" w:rsidRDefault="00100A24" w:rsidP="00321343">
      <w:r>
        <w:t>A third of all parliaments is needed to trigger the yellow card mechanism. With only three chambers objecting to the proposal on grounds of subsidiarity on time, the yellow card procedure would not have been triggered (COSAC, 2009c:10).</w:t>
      </w:r>
    </w:p>
    <w:p w:rsidR="00100A24" w:rsidRDefault="00100A24" w:rsidP="00321343"/>
    <w:p w:rsidR="00100A24" w:rsidRPr="00FB2B6F" w:rsidRDefault="00100A24" w:rsidP="00321343">
      <w:r>
        <w:t xml:space="preserve">With regards to whether national parliaments or chambers found the Commission’s subsidiarity statement satisfactory, 15 parliaments or chambers responded negatively. These were the Austrian </w:t>
      </w:r>
      <w:r>
        <w:rPr>
          <w:i/>
        </w:rPr>
        <w:t xml:space="preserve">Nationalrat </w:t>
      </w:r>
      <w:r>
        <w:t xml:space="preserve">and </w:t>
      </w:r>
      <w:r>
        <w:rPr>
          <w:i/>
        </w:rPr>
        <w:t>Bundesrat</w:t>
      </w:r>
      <w:r>
        <w:t xml:space="preserve">, the Bulgarian </w:t>
      </w:r>
      <w:r>
        <w:rPr>
          <w:i/>
        </w:rPr>
        <w:t>Narodno Sabranie</w:t>
      </w:r>
      <w:r>
        <w:t xml:space="preserve">, the Cypriotic </w:t>
      </w:r>
      <w:r>
        <w:rPr>
          <w:i/>
        </w:rPr>
        <w:t>Vouli Ton Antiprosopon</w:t>
      </w:r>
      <w:r>
        <w:t xml:space="preserve">, the Czech </w:t>
      </w:r>
      <w:r>
        <w:rPr>
          <w:i/>
        </w:rPr>
        <w:t>Senát</w:t>
      </w:r>
      <w:r>
        <w:t xml:space="preserve">, the Irish </w:t>
      </w:r>
      <w:r>
        <w:rPr>
          <w:i/>
        </w:rPr>
        <w:t>Houses of the Oireachtas</w:t>
      </w:r>
      <w:r>
        <w:t xml:space="preserve">, the French </w:t>
      </w:r>
      <w:r>
        <w:rPr>
          <w:i/>
        </w:rPr>
        <w:t>Assemblée nationale</w:t>
      </w:r>
      <w:r>
        <w:t xml:space="preserve">, the German </w:t>
      </w:r>
      <w:r>
        <w:rPr>
          <w:i/>
        </w:rPr>
        <w:t>Bundesrat</w:t>
      </w:r>
      <w:r>
        <w:t xml:space="preserve">, the Maltese </w:t>
      </w:r>
      <w:r>
        <w:rPr>
          <w:i/>
        </w:rPr>
        <w:t>Kamra tad-Deputati</w:t>
      </w:r>
      <w:r>
        <w:t xml:space="preserve">, the Dutch </w:t>
      </w:r>
      <w:r>
        <w:rPr>
          <w:i/>
        </w:rPr>
        <w:t>Eerste Kamer</w:t>
      </w:r>
      <w:r>
        <w:t xml:space="preserve">, the Polish </w:t>
      </w:r>
      <w:r>
        <w:rPr>
          <w:i/>
        </w:rPr>
        <w:t>Senat</w:t>
      </w:r>
      <w:r>
        <w:t xml:space="preserve">, the Slovenian </w:t>
      </w:r>
      <w:r>
        <w:rPr>
          <w:i/>
        </w:rPr>
        <w:t xml:space="preserve">Državni zbor, </w:t>
      </w:r>
      <w:r>
        <w:t xml:space="preserve">the Spanish </w:t>
      </w:r>
      <w:r>
        <w:rPr>
          <w:i/>
        </w:rPr>
        <w:t xml:space="preserve">Cortes Generales, </w:t>
      </w:r>
      <w:r>
        <w:t xml:space="preserve">and the UK </w:t>
      </w:r>
      <w:r>
        <w:rPr>
          <w:i/>
        </w:rPr>
        <w:t xml:space="preserve">House of Commons </w:t>
      </w:r>
      <w:r>
        <w:t xml:space="preserve">and </w:t>
      </w:r>
      <w:r>
        <w:rPr>
          <w:i/>
        </w:rPr>
        <w:t xml:space="preserve">House of Lords. </w:t>
      </w:r>
      <w:r>
        <w:t>Their main concerns were the generality of the language used and the lack of quantitative and qualitative indicators to substantiate the need for the proposal. Also, some concerns were the lack of justification that the compliance with the ECHR was inconsistent in member states and a lack of justification that the option chosen was the best one of all the options considered (COSAC, 2009c:11-12). Though for some parliaments or chambers these concerns did not lead to a negative advice concerning subsidiarity, it is something to watch out for under the Treaty of Lisbon.</w:t>
      </w:r>
    </w:p>
    <w:p w:rsidR="00100A24" w:rsidRDefault="00100A24" w:rsidP="00321343"/>
    <w:p w:rsidR="00100A24" w:rsidRPr="00A2566F" w:rsidRDefault="00100A24" w:rsidP="00321343">
      <w:r>
        <w:t>The following paragraph will deal with the responses the EC gave to the national parliaments.</w:t>
      </w:r>
    </w:p>
    <w:p w:rsidR="00100A24" w:rsidRPr="00062FA2" w:rsidRDefault="00100A24" w:rsidP="00321343"/>
    <w:p w:rsidR="00100A24" w:rsidRDefault="00100A24" w:rsidP="00321343">
      <w:pPr>
        <w:rPr>
          <w:b/>
        </w:rPr>
      </w:pPr>
      <w:r>
        <w:rPr>
          <w:b/>
        </w:rPr>
        <w:t>3.2.2.4. Responses of the European Commission</w:t>
      </w:r>
    </w:p>
    <w:p w:rsidR="00100A24" w:rsidRDefault="00100A24" w:rsidP="00321343">
      <w:r>
        <w:t xml:space="preserve">As discussed in the previous case, Commission responses can be quite formal and repetitive. The same is visible for this proposal. For example, in reply to the Irish </w:t>
      </w:r>
      <w:r>
        <w:rPr>
          <w:i/>
        </w:rPr>
        <w:t>Houses of the Oireachtas</w:t>
      </w:r>
      <w:r>
        <w:t xml:space="preserve">, where the Irish pointed out serious doubts concerning the legal basis and noted that some aspects of the framework decision would be better left to member states themselves, the Commission’s reaction is that mutual trust needs common standards. It briefly defends the legal basis and then turns to the scope of the proposal, stating that many different options were investigated and that focusing only on cross-border cases would not be enough. It does not give an explicit response to the identified breach of subsidiarity (European Commission, 2009j:1-2). The Dutch suffered the same fate. The </w:t>
      </w:r>
      <w:r>
        <w:rPr>
          <w:i/>
        </w:rPr>
        <w:t>Eerste Kamer</w:t>
      </w:r>
      <w:r>
        <w:t xml:space="preserve"> requests more information from the EC regarding its statement that compliance with the ECHR is inconsistent across member states. The EC in its response, however, reiterates that there is no uniform compliance, but does not explain how it came to that opinion (European Commission, 2009k:2).</w:t>
      </w:r>
    </w:p>
    <w:p w:rsidR="00100A24" w:rsidRDefault="00100A24" w:rsidP="00321343"/>
    <w:p w:rsidR="00100A24" w:rsidRDefault="00100A24" w:rsidP="00321343">
      <w:r>
        <w:t xml:space="preserve">Besides the Irish </w:t>
      </w:r>
      <w:r>
        <w:rPr>
          <w:i/>
        </w:rPr>
        <w:t xml:space="preserve">Houses of the Oireachtas </w:t>
      </w:r>
      <w:r>
        <w:t xml:space="preserve">there were two other parliaments that identified a breach of the principle of subsidiarity: the Austrian parliament (both the </w:t>
      </w:r>
      <w:r>
        <w:rPr>
          <w:i/>
        </w:rPr>
        <w:t xml:space="preserve">Nationalrat </w:t>
      </w:r>
      <w:r>
        <w:t xml:space="preserve">and the </w:t>
      </w:r>
      <w:r>
        <w:rPr>
          <w:i/>
        </w:rPr>
        <w:t>Bundesrat</w:t>
      </w:r>
      <w:r>
        <w:t xml:space="preserve">) and the Maltese parliament. The EC’s response to both chambers of the Austrian parliament is the same. It states that the framework decision is necessary, since it will complement and reinforce the ECHR. Furthermore, the EC notes that mutual cooperation needs mutual trust, and a common standard needs to be agreed upon for mutual trust to build. Also, the Austrian parliament expressed concerns regarding the provision on training of judges and interpreters. The EC responds to this with the statement that this provision has been discussed in the Council and thereupon it has been modified, so it should meet the Austrian needs now (European Commission, 2009l:1-2). The Maltese parliament received a response from the Commission stating that many alternatives were considered, but they did not meet the needs of justice professionals and other stakeholders. In order to enable the judicature to apply norms uniformly, the framework decision seeks to establish common standards. In response to the Maltese concern regarding the legal basis, the Commission states that Article 31 of the EC Treaty authorizes the EU to enforce judicial cooperation. In order to do that, the EC has to promote mutual recognition, which in its turn needs mutual trust. And mutual trust needs a common standard (European Commission, 2010). The same reasoning concerning Article 31 was also sent to the Dutch </w:t>
      </w:r>
      <w:r>
        <w:rPr>
          <w:i/>
        </w:rPr>
        <w:t xml:space="preserve">Eerste Kamer </w:t>
      </w:r>
      <w:r>
        <w:t>(European Commission, 2009k:1).</w:t>
      </w:r>
    </w:p>
    <w:p w:rsidR="00100A24" w:rsidRDefault="00100A24" w:rsidP="00321343"/>
    <w:p w:rsidR="00100A24" w:rsidRDefault="00100A24" w:rsidP="00321343">
      <w:r>
        <w:t xml:space="preserve">In response to the worries expressed by the Czech </w:t>
      </w:r>
      <w:r>
        <w:rPr>
          <w:i/>
        </w:rPr>
        <w:t>Senát</w:t>
      </w:r>
      <w:r>
        <w:t xml:space="preserve">, the Commission assures the </w:t>
      </w:r>
      <w:r>
        <w:rPr>
          <w:i/>
        </w:rPr>
        <w:t xml:space="preserve">Senát </w:t>
      </w:r>
      <w:r>
        <w:t>that the framework decision will be fully in accordance with the ECHR. It also asserts, and thereby restates the Czech’ words, that ambiguous wording should be avoided where possible. Finally, the EC explains that the introduction of cumbersome new legislation is not always necessary and that the introduction of a general right can be sufficient to comply with the framework decision (European Commission, 2009m).</w:t>
      </w:r>
    </w:p>
    <w:p w:rsidR="00100A24" w:rsidRDefault="00100A24" w:rsidP="00321343"/>
    <w:p w:rsidR="00100A24" w:rsidRDefault="00100A24" w:rsidP="00321343">
      <w:r>
        <w:t xml:space="preserve">The Italian and Bulgarian parliaments made similar comments regarding the formality of the EC’s subsidiarity statement and they both suggested changes for certain provisions. The Bulgarian </w:t>
      </w:r>
      <w:r>
        <w:rPr>
          <w:i/>
        </w:rPr>
        <w:t>Narodno Sabranie</w:t>
      </w:r>
      <w:r>
        <w:t xml:space="preserve"> underlined that the formality of the wording will only delay the criminal proceedings, and the Italian </w:t>
      </w:r>
      <w:r>
        <w:rPr>
          <w:i/>
        </w:rPr>
        <w:t>Senato della Repubblica</w:t>
      </w:r>
      <w:r>
        <w:t xml:space="preserve"> has some suggestions concerning the references to the ECHR. In response to the Bulgarian parliament, the EC is again formal and merely states that in the new negotiating rounds, concerns expressed by member states will be taken into account upon which some provisions might be reconsidered and modified (European Commission, 2009n). In its reply to the Italian </w:t>
      </w:r>
      <w:r>
        <w:rPr>
          <w:i/>
        </w:rPr>
        <w:t>Senato della Repubblica</w:t>
      </w:r>
      <w:r>
        <w:t>, the EC states that the framework decision aims to go beyond the ECHR, which is why it deems the reference in the recital sufficient. Furthermore, the EC admits that two of the suggestions made by the Italian Senate deserve ‘thorough consideration’ and promises to investigate these further (European Commission, 2009o:1-2). All in all, the EC’s response to Italy seems to be very clear and engaging.</w:t>
      </w:r>
    </w:p>
    <w:p w:rsidR="00100A24" w:rsidRDefault="00100A24" w:rsidP="00321343"/>
    <w:p w:rsidR="00100A24" w:rsidRPr="00B945E7" w:rsidRDefault="00100A24" w:rsidP="00321343">
      <w:r>
        <w:t xml:space="preserve">With the entry into force of the Lisbon Treaty nearing quickly, the replies of the EC do not change very much with respect to its replies to national parliaments and chambers during the first months of 2009 (visible in the previous case). Many replies are still very formal and the Commission sends the same pieces of text to multiple parliaments. Furthermore, it does not always engage fully with a parliament’s request, as was showed in the Dutch case. However, the reply to the Italian Senate is promising. In this reply, the EC really engages with the </w:t>
      </w:r>
      <w:r>
        <w:rPr>
          <w:i/>
        </w:rPr>
        <w:t xml:space="preserve">Senato della Repubblica </w:t>
      </w:r>
      <w:r>
        <w:t>and it is visible that it has tried to provide the Senate with a comprehensive answer. In addition, in some replies the Commission indicates that changes have been made, although resulting from Council negotiations, or that they are likely during new negotiations. This shows some willingness of the EC to see its drafts changed according to the preferences of the member states.</w:t>
      </w:r>
    </w:p>
    <w:p w:rsidR="00100A24" w:rsidRPr="00062FA2" w:rsidRDefault="00100A24" w:rsidP="00321343"/>
    <w:p w:rsidR="00100A24" w:rsidRDefault="00100A24" w:rsidP="00321343">
      <w:pPr>
        <w:rPr>
          <w:b/>
        </w:rPr>
      </w:pPr>
      <w:r>
        <w:rPr>
          <w:b/>
        </w:rPr>
        <w:t>3.2.2.5. Proceedings after the subsidiarity check</w:t>
      </w:r>
    </w:p>
    <w:p w:rsidR="00100A24" w:rsidRPr="00062FA2" w:rsidRDefault="00100A24" w:rsidP="00321343">
      <w:r>
        <w:t>The proposal was introduced not long before the entry into force of the Treaty of Lisbon. As mentioned before, the proposal was part of the consultation procedure, so the Council was the only body authorized to decide on the proposal. However, when the Treaty of Lisbon entered into force, the Council had not yet made a decision. Therefore the decision-making procedure applying to the proposal changed with the introduction of the Lisbon Treaty, and the EP was now authorized to scrutinize the proposal and vote on it. The Commission had to change it draft, which is now classified as COM(2010) 082. It was published on March 3</w:t>
      </w:r>
      <w:r w:rsidRPr="00B63759">
        <w:rPr>
          <w:vertAlign w:val="superscript"/>
        </w:rPr>
        <w:t>rd</w:t>
      </w:r>
      <w:r>
        <w:t>, 2010 (The Legislative Observatory, 29 June 2010), so the scrutiny period of national parliaments ended around the end of April. This proposal did not enjoy the large amount of replies by national parliaments or chambers as COM(2009) 338 did. Only 13 parliaments or chambers uploaded their scrutiny documents to the IPEX website (IPEX, 29 June 2010). The proposal is now awaiting a decision by the EP (The Legislative Observatory, 29 June 2010).</w:t>
      </w:r>
    </w:p>
    <w:p w:rsidR="00100A24" w:rsidRDefault="00100A24" w:rsidP="00321343">
      <w:pPr>
        <w:pStyle w:val="Heading3"/>
      </w:pPr>
      <w:bookmarkStart w:id="28" w:name="_Toc141864063"/>
      <w:r>
        <w:t>3.2.3. Secondary uses of the subsidiarity check</w:t>
      </w:r>
      <w:bookmarkEnd w:id="28"/>
    </w:p>
    <w:p w:rsidR="00100A24" w:rsidRDefault="00100A24" w:rsidP="00321343">
      <w:r>
        <w:t xml:space="preserve">As the proposals and their scrutiny procedures have just been discussed, it is interesting to investigate whether national parliaments use the subsidiarity check for other things than assessing whether a proposal is in compliance with the principle of subsidiarity. The discussion of the comments parliaments or chambers made to the EC does not show any clear, consistent secondary uses. Many responses sent by national parliaments are critical and thoroughly engage in the provisions and the scope of the proposals, but do not seem to go beyond the proposals. It becomes clear from the opinions national parliaments send that they take the subsidiarity check seriously and some parliaments, notably the Italian </w:t>
      </w:r>
      <w:r>
        <w:rPr>
          <w:i/>
        </w:rPr>
        <w:t>Senato della Repubblica</w:t>
      </w:r>
      <w:r>
        <w:t xml:space="preserve">, try to make suggestions to improve the proposals even more. The Commission also seems to welcome such suggestions, though it usually does not say so in many words. Still, some questions that are asked seem to go beyond the scope of the proposals. For example, the Dutch </w:t>
      </w:r>
      <w:r>
        <w:rPr>
          <w:i/>
        </w:rPr>
        <w:t>Staten-Generaal</w:t>
      </w:r>
      <w:r>
        <w:t xml:space="preserve"> tends to ask questions that further explore the terrain of the proposal, trying to get the Commission to clarify why it has chosen the scope and the wording it has chosen. One of the questions it has asked concerning the Proposal on the quality and safety of human organs for transplantation was:</w:t>
      </w:r>
    </w:p>
    <w:p w:rsidR="00100A24" w:rsidRDefault="00100A24" w:rsidP="00321343">
      <w:pPr>
        <w:spacing w:after="120" w:line="240" w:lineRule="auto"/>
        <w:ind w:left="567"/>
      </w:pPr>
      <w:r>
        <w:t>“</w:t>
      </w:r>
      <w:r w:rsidRPr="007902F2">
        <w:rPr>
          <w:rFonts w:cs="Verdana"/>
          <w:color w:val="000000"/>
          <w:szCs w:val="18"/>
        </w:rPr>
        <w:t>It is insufficiently clear from the directive and the related documents what effect the directive will have on the practice relating to non-heart-beating donors. This is of importance to the Netherlands as it has a relatively large number of non-heart- beating donations. Can the Commission provide more information about this?</w:t>
      </w:r>
      <w:r w:rsidRPr="007902F2">
        <w:t>“</w:t>
      </w:r>
      <w:r>
        <w:t xml:space="preserve"> (Dutch States-General, 2009:4)</w:t>
      </w:r>
    </w:p>
    <w:p w:rsidR="00100A24" w:rsidRDefault="00100A24" w:rsidP="00321343">
      <w:r>
        <w:t>Clearly, the Dutch parliament does not only scrutinize the proposal itself, it also extends its view in order to be able to weigh in national priorities. A reason for this can be that national parliaments are staffed by politicians, and politicians do not let the scope of any proposal limit them in asking questions they deem necessary. Furthermore, as the Commission is obliged to answer the questions asked by national parliaments, they do not feel restricted in any way</w:t>
      </w:r>
      <w:r>
        <w:rPr>
          <w:rStyle w:val="FootnoteReference"/>
        </w:rPr>
        <w:footnoteReference w:id="10"/>
      </w:r>
      <w:r>
        <w:t>. The critical questions that national parliaments tend to ask, in a way hold the Commission accountable for what it proposes since it has to give solid answers to remain legitimate.</w:t>
      </w:r>
    </w:p>
    <w:p w:rsidR="00100A24" w:rsidRDefault="00100A24" w:rsidP="00321343"/>
    <w:p w:rsidR="00100A24" w:rsidRDefault="00100A24" w:rsidP="00321343">
      <w:r>
        <w:t xml:space="preserve">It is also clear that national parliaments, overall, are aware of the newly introduced yellow and orange card procedures. Some mention these cards in their reports or opinions, showing that they know that cooperation between national parliaments could lead to these cards being drawn. This does not count toward a secondary use of the subsidiarity check, but shows that national parliaments are aware of what they are allowed to use the check for. Actual cooperation between national parliaments, though, is still not very high. Recalling that 16 out of 32 parliaments or chambers indicated in the subsidiarity check for the Proposal for the right to interpretation and translation in criminal proceedings that they had cooperated in some kind of way, this shows that national parliaments could even make fuller use of the subsidiarity checks. </w:t>
      </w:r>
    </w:p>
    <w:p w:rsidR="00100A24" w:rsidRPr="00BA174B" w:rsidRDefault="00100A24" w:rsidP="00321343"/>
    <w:p w:rsidR="00100A24" w:rsidRDefault="00100A24" w:rsidP="00321343">
      <w:pPr>
        <w:pStyle w:val="Heading2"/>
      </w:pPr>
      <w:bookmarkStart w:id="29" w:name="_Toc141864064"/>
      <w:r>
        <w:t>3.3. Involvement of the European Parliament</w:t>
      </w:r>
      <w:bookmarkEnd w:id="29"/>
    </w:p>
    <w:p w:rsidR="00100A24" w:rsidRDefault="00100A24" w:rsidP="00321343">
      <w:r>
        <w:t xml:space="preserve">It is also interesting to explore how the European Parliament is involved in subsidiarity checks. Article 9 of Protocol 1 to the Lisbon Treaty provides: </w:t>
      </w:r>
    </w:p>
    <w:p w:rsidR="00100A24" w:rsidRDefault="00100A24" w:rsidP="00321343">
      <w:pPr>
        <w:spacing w:after="120" w:line="240" w:lineRule="auto"/>
        <w:ind w:left="567"/>
      </w:pPr>
      <w:r>
        <w:t xml:space="preserve">“The European Parliament and national Parliaments shall together determine the organisation and promotion of effective and regular interparliamentary cooperation within the Union.” (Art. 9 Protocol 1 on the Role of National Parliaments in the European Union, Treaty of Lisbon) </w:t>
      </w:r>
    </w:p>
    <w:p w:rsidR="00100A24" w:rsidRDefault="00100A24" w:rsidP="00321343">
      <w:r>
        <w:t>As such, the EP has a role in promoting cooperation between itself and national parliaments, and between national parliaments themselves. This happens mainly through the permanent representatives and joint meetings.</w:t>
      </w:r>
    </w:p>
    <w:p w:rsidR="00100A24" w:rsidRDefault="00100A24" w:rsidP="00321343"/>
    <w:p w:rsidR="00100A24" w:rsidRDefault="00100A24" w:rsidP="00321343">
      <w:r>
        <w:t>National parliaments each have a permanent representative at the EP. They connect their parliament to the EP, and can also act as links between different national parliaments. National parliaments appear to use these links, since during the subsidiarity check for the cases discussed above, respectively 9 out of 17 and 5 out of 16 parliaments or chambers that indicated cooperation with other parliaments also indicated that they cooperated together through their permanent representatives (COSAC, 2009b:17-27; COSAC, 2009d:6-14). The European Parliament itself seeks to inform national parliaments of its activities and sends national Members of Parliament (MPs) to parliamentary committees to provide information when they ask for it. Members of national parliaments also frequently visit different committee meetings of the EP. Furthermore, two types of joint meetings are organized regularly. Joint Parliamentary Meetings (JPMs) cover broad political subjects and are organized by the national parliament of the country holding the EU presidency and the EP. Joint Committee Meetings (JCMs) are organized in the same way as JPMs, but cover specific political and sectoral issues (EurActiv, 30 June 2010).</w:t>
      </w:r>
    </w:p>
    <w:p w:rsidR="00100A24" w:rsidRDefault="00100A24" w:rsidP="00321343"/>
    <w:p w:rsidR="00100A24" w:rsidRDefault="00100A24" w:rsidP="00321343">
      <w:r>
        <w:t>In effect, the ties between national parliaments and the EP seem strong. The permanent representatives act as a powerful link between national parliaments through the mechanisms of the EP and the visitations and meetings between national parliaments and the EP further connect these democratic institutions. What should also be kept in mind is that MEPs still are citizens of their own countries, hence they sympathize with their country and its institutions. This probably facilitates the interplay between the EP and national parliaments.</w:t>
      </w:r>
    </w:p>
    <w:p w:rsidR="00100A24" w:rsidRPr="00062FA2" w:rsidRDefault="00100A24" w:rsidP="00321343"/>
    <w:p w:rsidR="00100A24" w:rsidRDefault="00100A24" w:rsidP="00321343">
      <w:pPr>
        <w:pStyle w:val="Heading2"/>
      </w:pPr>
      <w:bookmarkStart w:id="30" w:name="_Toc141864065"/>
      <w:r>
        <w:t>3.4. The impact of parliamentary objections</w:t>
      </w:r>
      <w:bookmarkEnd w:id="30"/>
    </w:p>
    <w:p w:rsidR="00100A24" w:rsidRDefault="00100A24" w:rsidP="00B94FD0">
      <w:r>
        <w:t>There is no official documentation of the Commission changing its initial views after receiving opinions from national parliaments (Jans &amp; Piedrafita, 2009:22). The Commission does not state explicitly that objections made by national parliaments lead, or have led, to changes in draft proposals. The most that national parliaments get out of the EC is a serious consideration of the suggestions they have made. This is not necessarily a bad thing, because one national parliament does not represent the will of the EU as a whole, so it would be strange if one objection would lead to a major change. Changes do happen, however. The Commission has stated in some of its responses that, following discussions in the Council, changes have been made to a draft. Since national parliaments have the duty to control their government, and since their government sits in the Council, they can influence a draft indirectly by persuading the government to plea for the changes they want to incorporate into a proposal</w:t>
      </w:r>
      <w:r>
        <w:rPr>
          <w:rStyle w:val="FootnoteReference"/>
        </w:rPr>
        <w:footnoteReference w:id="11"/>
      </w:r>
      <w:r>
        <w:t>. This is what actually happens in the EU. In a report (COM(2009) 343:6) the Commission has stated that in the majority of cases, the opinion presented by national parliaments mirrors the opinion presented by their governments in the Council. This shows that national parliaments do have influence on their governments’ opinion. Furthermore, opinions issued by national parliaments are often reiterated in the European Parliament (Jans &amp; Piedrafita, 2009:22).</w:t>
      </w:r>
      <w:r>
        <w:br/>
      </w:r>
    </w:p>
    <w:p w:rsidR="00100A24" w:rsidRDefault="00100A24" w:rsidP="009502C8">
      <w:pPr>
        <w:pStyle w:val="Heading1"/>
      </w:pPr>
      <w:r>
        <w:br w:type="column"/>
      </w:r>
      <w:bookmarkStart w:id="31" w:name="_Toc141864066"/>
      <w:r>
        <w:t>4. Effects of parliamentary scrutiny</w:t>
      </w:r>
      <w:bookmarkEnd w:id="31"/>
    </w:p>
    <w:p w:rsidR="00100A24" w:rsidRDefault="00100A24" w:rsidP="009502C8"/>
    <w:p w:rsidR="00100A24" w:rsidRDefault="00100A24" w:rsidP="009502C8">
      <w:r>
        <w:t>This chapter deals with sub question six: ‘what is the significance of parliamentary scrutiny on grounds of subsidiarity as used until now?’ To provide an answer to this question, the cases outlined in the previous chapter will be compared. Taking the indicators identified in the chapter on methodology, similarities and differences between the two cases will be discussed in order to be able to analyze what parliamentary scrutiny means for subsidiarity. Furthermore, this chapter will also explore whether these cases that have employed the principle of subsidiarity have had, or could have had, an impact on the legitimacy of EU policy-making.</w:t>
      </w:r>
    </w:p>
    <w:p w:rsidR="00100A24" w:rsidRDefault="00100A24" w:rsidP="009502C8"/>
    <w:p w:rsidR="00100A24" w:rsidRDefault="00100A24" w:rsidP="00A76D2E">
      <w:pPr>
        <w:pStyle w:val="Heading2"/>
      </w:pPr>
      <w:bookmarkStart w:id="32" w:name="_Toc141864067"/>
      <w:r>
        <w:t>4.1. Similarities and differences in the case study</w:t>
      </w:r>
      <w:bookmarkEnd w:id="32"/>
    </w:p>
    <w:p w:rsidR="00100A24" w:rsidRDefault="00100A24" w:rsidP="00A76D2E">
      <w:r>
        <w:t>This paragraph will discuss the similarities and differences found in both cases discussed in the previous chapter. It is important to identify what was the same and what was different, because it can indicate a change in the use of the principle of subsidiarity. First, a table will be presented, which provides an overview of the indicators identified in the chapter on methodology and their outcomes in both cases.</w:t>
      </w:r>
    </w:p>
    <w:p w:rsidR="00100A24" w:rsidRDefault="00100A24" w:rsidP="00A76D2E"/>
    <w:p w:rsidR="00100A24" w:rsidRDefault="00100A24" w:rsidP="00A76D2E">
      <w:pPr>
        <w:rPr>
          <w:sz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2838"/>
        <w:gridCol w:w="2839"/>
        <w:gridCol w:w="2839"/>
      </w:tblGrid>
      <w:tr w:rsidR="00100A24" w:rsidRPr="003337EE" w:rsidTr="003337EE">
        <w:tc>
          <w:tcPr>
            <w:tcW w:w="2838" w:type="dxa"/>
          </w:tcPr>
          <w:p w:rsidR="00100A24" w:rsidRPr="003337EE" w:rsidRDefault="00100A24" w:rsidP="00E15FE0"/>
        </w:tc>
        <w:tc>
          <w:tcPr>
            <w:tcW w:w="5678" w:type="dxa"/>
            <w:gridSpan w:val="2"/>
          </w:tcPr>
          <w:p w:rsidR="00100A24" w:rsidRPr="003337EE" w:rsidRDefault="00100A24" w:rsidP="003337EE">
            <w:pPr>
              <w:jc w:val="center"/>
              <w:rPr>
                <w:b/>
              </w:rPr>
            </w:pPr>
            <w:r w:rsidRPr="003337EE">
              <w:rPr>
                <w:b/>
              </w:rPr>
              <w:t>Case</w:t>
            </w:r>
          </w:p>
        </w:tc>
      </w:tr>
      <w:tr w:rsidR="00100A24" w:rsidRPr="003337EE" w:rsidTr="003337EE">
        <w:tc>
          <w:tcPr>
            <w:tcW w:w="2838" w:type="dxa"/>
          </w:tcPr>
          <w:p w:rsidR="00100A24" w:rsidRPr="003337EE" w:rsidRDefault="00100A24" w:rsidP="003337EE">
            <w:pPr>
              <w:jc w:val="center"/>
              <w:rPr>
                <w:b/>
              </w:rPr>
            </w:pPr>
            <w:r w:rsidRPr="003337EE">
              <w:rPr>
                <w:b/>
              </w:rPr>
              <w:t>Indicator</w:t>
            </w:r>
          </w:p>
        </w:tc>
        <w:tc>
          <w:tcPr>
            <w:tcW w:w="2839" w:type="dxa"/>
          </w:tcPr>
          <w:p w:rsidR="00100A24" w:rsidRPr="003337EE" w:rsidRDefault="00100A24" w:rsidP="003337EE">
            <w:pPr>
              <w:jc w:val="center"/>
              <w:rPr>
                <w:i/>
              </w:rPr>
            </w:pPr>
            <w:r w:rsidRPr="003337EE">
              <w:rPr>
                <w:i/>
              </w:rPr>
              <w:t>COM(2008) 818</w:t>
            </w:r>
          </w:p>
        </w:tc>
        <w:tc>
          <w:tcPr>
            <w:tcW w:w="2839" w:type="dxa"/>
          </w:tcPr>
          <w:p w:rsidR="00100A24" w:rsidRPr="003337EE" w:rsidRDefault="00100A24" w:rsidP="003337EE">
            <w:pPr>
              <w:jc w:val="center"/>
              <w:rPr>
                <w:i/>
              </w:rPr>
            </w:pPr>
            <w:r w:rsidRPr="003337EE">
              <w:rPr>
                <w:i/>
              </w:rPr>
              <w:t>COM(2009) 338</w:t>
            </w:r>
          </w:p>
        </w:tc>
      </w:tr>
      <w:tr w:rsidR="00100A24" w:rsidRPr="003337EE" w:rsidTr="003337EE">
        <w:tc>
          <w:tcPr>
            <w:tcW w:w="2838" w:type="dxa"/>
          </w:tcPr>
          <w:p w:rsidR="00100A24" w:rsidRPr="003337EE" w:rsidRDefault="00100A24" w:rsidP="00E15FE0">
            <w:r w:rsidRPr="003337EE">
              <w:t>Subsidiarity statement</w:t>
            </w:r>
          </w:p>
        </w:tc>
        <w:tc>
          <w:tcPr>
            <w:tcW w:w="2839" w:type="dxa"/>
          </w:tcPr>
          <w:p w:rsidR="00100A24" w:rsidRPr="003337EE" w:rsidRDefault="00100A24" w:rsidP="00E15FE0">
            <w:r w:rsidRPr="003337EE">
              <w:t>Brief, formal, legal basis is Art. 152 of the Amsterdam Treaty. Statement mostly deemed unsatisfactory</w:t>
            </w:r>
          </w:p>
        </w:tc>
        <w:tc>
          <w:tcPr>
            <w:tcW w:w="2839" w:type="dxa"/>
          </w:tcPr>
          <w:p w:rsidR="00100A24" w:rsidRPr="003337EE" w:rsidRDefault="00100A24" w:rsidP="00E15FE0">
            <w:r w:rsidRPr="003337EE">
              <w:t>Brief, formal, legal basis is Art. 31(1) TEU. Statement mostly deemed unsatisfactory</w:t>
            </w:r>
          </w:p>
        </w:tc>
      </w:tr>
      <w:tr w:rsidR="00100A24" w:rsidRPr="003337EE" w:rsidTr="003337EE">
        <w:tc>
          <w:tcPr>
            <w:tcW w:w="2838" w:type="dxa"/>
          </w:tcPr>
          <w:p w:rsidR="00100A24" w:rsidRPr="003337EE" w:rsidRDefault="00100A24" w:rsidP="00E15FE0">
            <w:r w:rsidRPr="003337EE">
              <w:t>Content of EU proposals</w:t>
            </w:r>
          </w:p>
        </w:tc>
        <w:tc>
          <w:tcPr>
            <w:tcW w:w="2839" w:type="dxa"/>
          </w:tcPr>
          <w:p w:rsidR="00100A24" w:rsidRPr="003337EE" w:rsidRDefault="00100A24" w:rsidP="00E15FE0">
            <w:r w:rsidRPr="003337EE">
              <w:t>Directive, possible problematic clause is Art. 25</w:t>
            </w:r>
          </w:p>
        </w:tc>
        <w:tc>
          <w:tcPr>
            <w:tcW w:w="2839" w:type="dxa"/>
          </w:tcPr>
          <w:p w:rsidR="00100A24" w:rsidRPr="003337EE" w:rsidRDefault="00100A24" w:rsidP="00E15FE0">
            <w:r w:rsidRPr="003337EE">
              <w:t>Framework Decision, possible problem could be the similarity of certain clauses to a previous failed draft</w:t>
            </w:r>
          </w:p>
        </w:tc>
      </w:tr>
      <w:tr w:rsidR="00100A24" w:rsidRPr="003337EE" w:rsidTr="003337EE">
        <w:tc>
          <w:tcPr>
            <w:tcW w:w="2838" w:type="dxa"/>
          </w:tcPr>
          <w:p w:rsidR="00100A24" w:rsidRPr="003337EE" w:rsidRDefault="00100A24" w:rsidP="00E15FE0">
            <w:r w:rsidRPr="003337EE">
              <w:t>Communications sent by national parliaments</w:t>
            </w:r>
          </w:p>
        </w:tc>
        <w:tc>
          <w:tcPr>
            <w:tcW w:w="2839" w:type="dxa"/>
          </w:tcPr>
          <w:p w:rsidR="00100A24" w:rsidRPr="003337EE" w:rsidRDefault="00100A24" w:rsidP="00E15FE0">
            <w:r w:rsidRPr="003337EE">
              <w:t>1 chamber found a breach, three other chambers requested additional information, 1 chamber asked many specific questions. Line of argumentation mostly follows the questioning of the legal basis and critique on the wording and scope of certain provisions</w:t>
            </w:r>
          </w:p>
        </w:tc>
        <w:tc>
          <w:tcPr>
            <w:tcW w:w="2839" w:type="dxa"/>
          </w:tcPr>
          <w:p w:rsidR="00100A24" w:rsidRPr="003337EE" w:rsidRDefault="00100A24" w:rsidP="00E15FE0">
            <w:r w:rsidRPr="003337EE">
              <w:t>4 chambers found a breach, three other chambers had serious concerns, one chamber asked for clarifications and another chamber made a few important suggestions. Line of argumentation mostly follows the questioning of the legal basis and critique on the wording and scope of certain provisions, as well as deeming the whole proposal unnecessary duplication of ECHR regulation</w:t>
            </w:r>
          </w:p>
        </w:tc>
      </w:tr>
      <w:tr w:rsidR="00100A24" w:rsidRPr="003337EE" w:rsidTr="003337EE">
        <w:tc>
          <w:tcPr>
            <w:tcW w:w="2838" w:type="dxa"/>
          </w:tcPr>
          <w:p w:rsidR="00100A24" w:rsidRPr="003337EE" w:rsidRDefault="00100A24" w:rsidP="00E15FE0">
            <w:r w:rsidRPr="003337EE">
              <w:t>Number of subsidiarity checks performed</w:t>
            </w:r>
          </w:p>
        </w:tc>
        <w:tc>
          <w:tcPr>
            <w:tcW w:w="2839" w:type="dxa"/>
          </w:tcPr>
          <w:p w:rsidR="00100A24" w:rsidRPr="003337EE" w:rsidRDefault="00100A24" w:rsidP="00E15FE0">
            <w:r w:rsidRPr="003337EE">
              <w:t>27 out of a possible 39 chambers performed a subsidiarity check</w:t>
            </w:r>
          </w:p>
        </w:tc>
        <w:tc>
          <w:tcPr>
            <w:tcW w:w="2839" w:type="dxa"/>
          </w:tcPr>
          <w:p w:rsidR="00100A24" w:rsidRPr="003337EE" w:rsidRDefault="00100A24" w:rsidP="00E15FE0">
            <w:r w:rsidRPr="003337EE">
              <w:t>32 out of a possible 39 chambers performed a subsidiarity check, though not all on time</w:t>
            </w:r>
          </w:p>
        </w:tc>
      </w:tr>
      <w:tr w:rsidR="00100A24" w:rsidRPr="003337EE" w:rsidTr="003337EE">
        <w:tc>
          <w:tcPr>
            <w:tcW w:w="2838" w:type="dxa"/>
          </w:tcPr>
          <w:p w:rsidR="00100A24" w:rsidRPr="003337EE" w:rsidRDefault="00100A24" w:rsidP="00E15FE0">
            <w:r w:rsidRPr="003337EE">
              <w:t>Coordination with other national parliaments</w:t>
            </w:r>
          </w:p>
        </w:tc>
        <w:tc>
          <w:tcPr>
            <w:tcW w:w="2839" w:type="dxa"/>
          </w:tcPr>
          <w:p w:rsidR="00100A24" w:rsidRPr="003337EE" w:rsidRDefault="00100A24" w:rsidP="00E15FE0">
            <w:r w:rsidRPr="003337EE">
              <w:t>17 out of 27 chambers reported cooperation, mainly through the IPEX website and permanent representatives at the EP</w:t>
            </w:r>
          </w:p>
        </w:tc>
        <w:tc>
          <w:tcPr>
            <w:tcW w:w="2839" w:type="dxa"/>
          </w:tcPr>
          <w:p w:rsidR="00100A24" w:rsidRPr="003337EE" w:rsidRDefault="00100A24" w:rsidP="00E15FE0">
            <w:r w:rsidRPr="003337EE">
              <w:t>16 out of 32 chambers reported cooperation, mainly through the IPEX website and permanent representatives at the EP</w:t>
            </w:r>
          </w:p>
        </w:tc>
      </w:tr>
      <w:tr w:rsidR="00100A24" w:rsidRPr="003337EE" w:rsidTr="003337EE">
        <w:tc>
          <w:tcPr>
            <w:tcW w:w="2838" w:type="dxa"/>
          </w:tcPr>
          <w:p w:rsidR="00100A24" w:rsidRPr="003337EE" w:rsidRDefault="00100A24" w:rsidP="00E15FE0">
            <w:r w:rsidRPr="003337EE">
              <w:t>Communications sent by the EC</w:t>
            </w:r>
          </w:p>
        </w:tc>
        <w:tc>
          <w:tcPr>
            <w:tcW w:w="2839" w:type="dxa"/>
          </w:tcPr>
          <w:p w:rsidR="00100A24" w:rsidRPr="003337EE" w:rsidRDefault="00100A24" w:rsidP="00E15FE0">
            <w:r w:rsidRPr="003337EE">
              <w:t>Mostly brief and formal without a statement of assurance that further action will be taken. Does address concerns and answers questions</w:t>
            </w:r>
          </w:p>
        </w:tc>
        <w:tc>
          <w:tcPr>
            <w:tcW w:w="2839" w:type="dxa"/>
          </w:tcPr>
          <w:p w:rsidR="00100A24" w:rsidRPr="003337EE" w:rsidRDefault="00100A24" w:rsidP="00E15FE0">
            <w:r w:rsidRPr="003337EE">
              <w:t>Mostly brief and formal, though more seriously addresses suggestions and states that these will be explored further</w:t>
            </w:r>
          </w:p>
        </w:tc>
      </w:tr>
      <w:tr w:rsidR="00100A24" w:rsidRPr="003337EE" w:rsidTr="003337EE">
        <w:tc>
          <w:tcPr>
            <w:tcW w:w="2838" w:type="dxa"/>
          </w:tcPr>
          <w:p w:rsidR="00100A24" w:rsidRPr="003337EE" w:rsidRDefault="00100A24" w:rsidP="00E15FE0">
            <w:r w:rsidRPr="003337EE">
              <w:t>Changes made in proposals after receiving opinions from national parliaments</w:t>
            </w:r>
          </w:p>
        </w:tc>
        <w:tc>
          <w:tcPr>
            <w:tcW w:w="2839" w:type="dxa"/>
          </w:tcPr>
          <w:p w:rsidR="00100A24" w:rsidRPr="003337EE" w:rsidRDefault="00100A24" w:rsidP="00E15FE0">
            <w:r w:rsidRPr="003337EE">
              <w:t>None formally admitted, according to the permanent representatives these are hard to trace</w:t>
            </w:r>
          </w:p>
        </w:tc>
        <w:tc>
          <w:tcPr>
            <w:tcW w:w="2839" w:type="dxa"/>
          </w:tcPr>
          <w:p w:rsidR="00100A24" w:rsidRPr="003337EE" w:rsidRDefault="00100A24" w:rsidP="00E15FE0">
            <w:r w:rsidRPr="003337EE">
              <w:t>None formally admitted, but EC communications do indicate that changes can be made through Council debates</w:t>
            </w:r>
          </w:p>
        </w:tc>
      </w:tr>
      <w:tr w:rsidR="00100A24" w:rsidRPr="003337EE" w:rsidTr="003337EE">
        <w:tc>
          <w:tcPr>
            <w:tcW w:w="2838" w:type="dxa"/>
          </w:tcPr>
          <w:p w:rsidR="00100A24" w:rsidRPr="003337EE" w:rsidRDefault="00100A24" w:rsidP="00E15FE0">
            <w:r w:rsidRPr="003337EE">
              <w:t>Number of proposals annulled</w:t>
            </w:r>
          </w:p>
        </w:tc>
        <w:tc>
          <w:tcPr>
            <w:tcW w:w="2839" w:type="dxa"/>
          </w:tcPr>
          <w:p w:rsidR="00100A24" w:rsidRPr="003337EE" w:rsidRDefault="00100A24" w:rsidP="00E15FE0">
            <w:r w:rsidRPr="003337EE">
              <w:t>None, not yet happened in practice because of entry into force of relevant protocol in December 2009</w:t>
            </w:r>
          </w:p>
        </w:tc>
        <w:tc>
          <w:tcPr>
            <w:tcW w:w="2839" w:type="dxa"/>
          </w:tcPr>
          <w:p w:rsidR="00100A24" w:rsidRPr="003337EE" w:rsidRDefault="00100A24" w:rsidP="00E15FE0">
            <w:r w:rsidRPr="003337EE">
              <w:t>None, not yet happened in practice because of entry into force of relevant protocol in December 2009</w:t>
            </w:r>
          </w:p>
        </w:tc>
      </w:tr>
    </w:tbl>
    <w:p w:rsidR="00100A24" w:rsidRPr="00E15FE0" w:rsidRDefault="00100A24" w:rsidP="00A76D2E">
      <w:pPr>
        <w:rPr>
          <w:sz w:val="20"/>
        </w:rPr>
      </w:pPr>
      <w:r w:rsidRPr="00E15FE0">
        <w:rPr>
          <w:sz w:val="20"/>
        </w:rPr>
        <w:t>Table 4.1. Indicators: outcomes.</w:t>
      </w:r>
    </w:p>
    <w:p w:rsidR="00100A24" w:rsidRDefault="00100A24" w:rsidP="00D70E2E">
      <w:pPr>
        <w:pStyle w:val="Heading3"/>
      </w:pPr>
      <w:bookmarkStart w:id="33" w:name="_Toc141864068"/>
      <w:r>
        <w:t>4.1.1. Similarities</w:t>
      </w:r>
      <w:bookmarkEnd w:id="33"/>
    </w:p>
    <w:p w:rsidR="00100A24" w:rsidRDefault="00100A24" w:rsidP="00A76D2E">
      <w:r>
        <w:t>The proposals have similar impact assessments. They both consider a range of different options, including the status quo, they both explain these options and offer a reasoning why the option chosen is the best one. The subsidiarity statements flowing from these impact assessments are not too different, for they follow the same reasoning. They both argue that the scope is too big for member states to take sole action, which necessitates EU or Community action. The national parliaments or chambers scrutinizing these statements and the proposals as a whole, report in both cases an interparliamentary cooperation rate that is about the same. In the subsidiarity check for COM(2008) 818 17 out of 27 parliaments indicated that they have cooperated and for COM(2009) 338 16 out of 32 parliaments indicated cooperation. Furthermore, this shows that in both cases there were a lot of national parliaments or chambers performing a subsidiarity check. The argumentation that they provide in the opinions to the EC is mostly similar and covering issues such as the extent of some provisions being unnecessary, a questioning of the legal basis of the proposals and the formality of the language used by the EC, notably in the subsidiarity statements. Austria is the only member state that finds a breach of the principle of subsidiarity in both proposals and it also offers the same line of reasoning for both proposals. It mainly focuses on certain provisions, saying that these should be better left to member states themselves. National parliaments also make suggestions in both cases. Both subsidiarity checks would not trigger even the yellow card; they were even quite far away from it. Recalling that 1/3</w:t>
      </w:r>
      <w:r w:rsidRPr="00CF771C">
        <w:rPr>
          <w:vertAlign w:val="superscript"/>
        </w:rPr>
        <w:t>rd</w:t>
      </w:r>
      <w:r>
        <w:t xml:space="preserve"> of national parliaments is needed to draw a yellow card; one respectively five votes is not even nearly enough to do so. Still, many national parliaments indicate that they think the subsidiarity statements provided by the Commission are unsatisfactory. Again, a similar line of reasoning is offered, as many parliaments indicate that the Commission is too formal and that it merely reiterates relevant wording of the EC Treaty. Turning toward the responses sent by the EC, these are quite similar in that they use formal language, usually are brief and do not address concerns about the insufficiency of the subsidiarity statement. EC responses also tend to be repetitive in that the EC sends large chunks of the same text to different national parliaments.</w:t>
      </w:r>
    </w:p>
    <w:p w:rsidR="00100A24" w:rsidRDefault="00100A24" w:rsidP="00D70E2E">
      <w:pPr>
        <w:pStyle w:val="Heading3"/>
      </w:pPr>
      <w:bookmarkStart w:id="34" w:name="_Toc141864069"/>
      <w:r>
        <w:t>4.1.2. Differences</w:t>
      </w:r>
      <w:bookmarkEnd w:id="34"/>
    </w:p>
    <w:p w:rsidR="00100A24" w:rsidRDefault="00100A24" w:rsidP="00A76D2E">
      <w:r>
        <w:t xml:space="preserve">An important difference between the proposals is that COM(2008) 818 is a proposal for a Directive, while COM(2009) 338 is a proposal for a Council Framework Decision. This has implications for the decision-making procedure and the application of either the yellow and orange card or only the yellow card. However, since the card mechanism is only introduced in the Treaty of Lisbon, and as the Treaty of Lisbon caused COM(2009) 338 to be redrafted under the co-decision procedure, the new proposal does apply for both the yellow and the orange card. Another difference between the proposals is that one derives its legal basis solely from a EU Treaty, while the other also derives its legal basis from the ECHR. Where the first proposal has a precedent in the willingness of EU institutions and member states to compose a directive in this field, the other proposal has a precedent in a failed proposal. The content of the proposals also shows some differences. They have the same subsidiarity statement, but one of them also includes a statement on the principle of proportionality, while the other does not. Many parliaments that started the subsidiarity check were unable to finish it in time for COM(2009) 388, whereas for COM(2008) 818 a lot more parliaments were done in time. This has implications for the application of the yellow and orange card procedures, for national parliaments can only participate in these procedures if they finish their subsidiarity check in time and send a Reasoned Opinion to the Commission within the set eight weeks. For one proposal, the EC received a lot of clear questions, notably by the Dutch. The other proposal did not enjoy so many questions. Also, in the subsidiarity check of COM(2008) 818 a minority opinion was discussed, and one chamber had some requests. COM(2009) 338 has neither. The EC responses show that between the beginning and the end of 2009, the Commissions’ willingness to admit that changes could be made to the draft increases, though it does always mention that such changes shall have to result from political discussions. </w:t>
      </w:r>
    </w:p>
    <w:p w:rsidR="00100A24" w:rsidRDefault="00100A24" w:rsidP="00A76D2E"/>
    <w:p w:rsidR="00100A24" w:rsidRPr="00523CAA" w:rsidRDefault="00100A24" w:rsidP="00A76D2E">
      <w:r>
        <w:t xml:space="preserve">There is another difference, albeit not between the cases but between member states. The system the UK works with is much different from, for example, the Danish system. The parliament of the UK does not engage directly into a dialogue with the Commission, but involves its government in the matter. As such, the </w:t>
      </w:r>
      <w:r>
        <w:rPr>
          <w:i/>
        </w:rPr>
        <w:t>House of Commons</w:t>
      </w:r>
      <w:r>
        <w:t xml:space="preserve"> does not send any opinions to the Commission and therefore it also does not receive anything from the EC. The </w:t>
      </w:r>
      <w:r>
        <w:rPr>
          <w:i/>
        </w:rPr>
        <w:t>House of Commons</w:t>
      </w:r>
      <w:r>
        <w:t xml:space="preserve"> has a standard scrutiny procedure in place, which prescribes that </w:t>
      </w:r>
      <w:r>
        <w:rPr>
          <w:i/>
        </w:rPr>
        <w:t>every</w:t>
      </w:r>
      <w:r>
        <w:t xml:space="preserve"> European proposal has to be scrutinized by parliament. This system of scrutiny is also called a </w:t>
      </w:r>
      <w:r>
        <w:rPr>
          <w:i/>
        </w:rPr>
        <w:t xml:space="preserve">document-based </w:t>
      </w:r>
      <w:r w:rsidRPr="00A277F6">
        <w:rPr>
          <w:i/>
        </w:rPr>
        <w:t>system</w:t>
      </w:r>
      <w:r>
        <w:t xml:space="preserve"> (Jans &amp; Piedrafita, 2009:21). A subsidiarity check is only a part of that scrutiny procedure. The </w:t>
      </w:r>
      <w:r>
        <w:rPr>
          <w:i/>
        </w:rPr>
        <w:t xml:space="preserve">House of Commons </w:t>
      </w:r>
      <w:r>
        <w:t xml:space="preserve">therefore engages in a discussion with the British government, for the scrutiny procedure covers more than just subsidiarity. Any concerns raised by the parliament on matters of subsidiarity are then channeled to the government, which can then address these concerns in the Council or the EP. The Danish parliament uses a system called the </w:t>
      </w:r>
      <w:r>
        <w:rPr>
          <w:i/>
        </w:rPr>
        <w:t>procedural</w:t>
      </w:r>
      <w:r>
        <w:t xml:space="preserve"> </w:t>
      </w:r>
      <w:r w:rsidRPr="00A277F6">
        <w:rPr>
          <w:i/>
        </w:rPr>
        <w:t>system</w:t>
      </w:r>
      <w:r>
        <w:t xml:space="preserve"> (Jans &amp; Piedrafita, 2009:22). It has a separate procedure for subsidiarity checks and does engage in a dialogue with the Commission. It sends opinions to the EC regularly and also receives responses from it. The Danish government is involved in the procedure, for it provides the parliament with its opinion on a proposal. The Danish parliament then decides whether it will give the involved minister the mandate to act in the EU</w:t>
      </w:r>
      <w:r>
        <w:rPr>
          <w:rStyle w:val="FootnoteReference"/>
        </w:rPr>
        <w:footnoteReference w:id="12"/>
      </w:r>
      <w:r>
        <w:t>.</w:t>
      </w:r>
    </w:p>
    <w:p w:rsidR="00100A24" w:rsidRDefault="00100A24" w:rsidP="00A76D2E">
      <w:pPr>
        <w:pStyle w:val="Heading3"/>
      </w:pPr>
      <w:bookmarkStart w:id="35" w:name="_Toc141864070"/>
      <w:r>
        <w:t>4.1.3. Implications for the principle of subsidiarity</w:t>
      </w:r>
      <w:bookmarkEnd w:id="35"/>
    </w:p>
    <w:p w:rsidR="00100A24" w:rsidRDefault="00100A24" w:rsidP="00A76D2E">
      <w:r>
        <w:t>A lot of emphasis has been placed on the parliaments and chambers expressing concerns regarding the compliance of proposals with the principle of subsidiarity. It is important, however, not to forget that in both checks discussed above, there were a lot of parliaments responding positively. Many parliaments or chambers did not find any breach of the principle of subsidiarity, nor did they have substantive concerns. This could indicate that they are satisfied with the drafts of the Commission. Furthermore, the lack of opinions sent to the EC on other proposals and the relative scarcity of EC responses</w:t>
      </w:r>
      <w:r>
        <w:rPr>
          <w:rStyle w:val="FootnoteReference"/>
        </w:rPr>
        <w:footnoteReference w:id="13"/>
      </w:r>
      <w:r>
        <w:t xml:space="preserve"> indicates even more that national parliaments overall could be satisfied with the way the Commission does things. One should keep in mind, though, that the role of national parliaments in this respect is quite new, and that it is possible that they have not yet discovered the possibilities given to them. Recall that, until 2008, less than 200 opinions were sent to the Commission. It is also possible that parliaments simply do not have the structures yet in place and the resources available to carry out extensive subsidiarity checks on every proposal published by the EC. So the positive opinions do not say everything. The comments national parliaments or chambers made on COM(2008) 818 and COM(2009) 338 show that, for example, there is widespread dissatisfaction with the way the Commission justifies a proposal’s compliance with the principle of subsidiarity. If the Commission does not provide much information on subsidiarity, it is up to parliaments themselves to figure out how the proposals stand in exact relationship to subsidiarity. Even though they may then conclude that a proposal does indeed not breach subsidiarity, this still shows that national parliaments think that the EC does not put enough effort into justifying compliance with subsidiarity. If the Commission sees this as a waste of effort, then national parliaments have to work very hard to make the principle work. As for national parliaments, in the subsidiarity checks carried out, it becomes clear that they do take the principle seriously. This is logical because subsidiarity is their (formal) entrance into the policy-making process of the EU. Their critiques, when expressed in statements sent to the EC, have to be heard by the Commission and it has to respond to any questions. This essentially obliges the Commission to consider subsidiarity and provide national parliaments with argumentation regarding subsidiarity. However, this still does not force the EC to improve the subsidiarity statements it makes in proposals. It also does not oblige the Commission to change its drafts. In addition, many lines of reasoning that national parliaments take in their opinions, for example by questioning the legal basis of a proposal, officially do not fall under the subsidiarity check (Jans &amp; Piedrafita, 2009:25). In short, national parliaments hold on to the principle of subsidiarity to try to influence EU policy-making. Their participation in the scrutiny process is increasing rapidly. The Commission has to hear them, but does not have to change anything. Their main channel of influence flows through the political side of EU policy-making. This does not render the principle of subsidiarity null and void, but does impede the possible influence national parliaments could have. Some changes in this respect were made in the Treaty of Lisbon, which will be discussed in the next chapter. </w:t>
      </w:r>
    </w:p>
    <w:p w:rsidR="00100A24" w:rsidRDefault="00100A24" w:rsidP="00A76D2E"/>
    <w:p w:rsidR="00100A24" w:rsidRDefault="00100A24" w:rsidP="00A76D2E">
      <w:pPr>
        <w:pStyle w:val="Heading2"/>
      </w:pPr>
      <w:bookmarkStart w:id="36" w:name="_Toc141864071"/>
      <w:r>
        <w:t>4.2. Implications of the case study for the legitimacy of EU policy-making</w:t>
      </w:r>
      <w:bookmarkEnd w:id="36"/>
    </w:p>
    <w:p w:rsidR="00100A24" w:rsidRDefault="00100A24" w:rsidP="00A76D2E">
      <w:r>
        <w:t>With regards to the input legitimacy, the subsidiarity checks of the case study as a procedure were well received, since the involvement of national parliaments was great. There was much interplay between national parliaments and the Commission, and there was quite a lot of cooperation between the parliaments. National parliaments were allowed to use their own procedures for the subsidiarity checks, but in many cases they consulted their European Affairs Committee, interest groups, experts and other stakeholders (COSAC, 2009b:5-6; COSAC, 2009c:8-9). Before national parliaments had a formal right to scrutinize any draft proposals of the EU, these groups could not formally be involved in the process of policy-making. They would probably lobby in Brussels, but being able to be heard nationally by their own parliament surely increases their involvement. Therefore, it can be concluded that the member states’ societies were at least more involved in the policy-making process than they were without the subsidiarity checks. So the input legitimacy appears to be increasing with the advent of the subsidiarity check. It has to be noted, however, that subsidiarity checks do not bring the policy-making process closer to the citizens themselves. For example, subsidiarity checks do not contribute to the openness of the agenda setting process. This side of input legitimacy therefore remains untouched by the checks.</w:t>
      </w:r>
    </w:p>
    <w:p w:rsidR="00100A24" w:rsidRDefault="00100A24" w:rsidP="00A76D2E"/>
    <w:p w:rsidR="00100A24" w:rsidRDefault="00100A24" w:rsidP="00A76D2E">
      <w:r>
        <w:t>Turning toward the output legitimacy, it is important to look at whether national parliaments had any influence at all by performing the subsidiarity checks. Recall that formally, national parliaments still cannot force EU institutions to change or withdraw proposals. However, they can, and do, exert influence in the EU through their domestic political channel. By fulfilling their role of scrutinizing the government, they are able to influence its position. Especially the UK parliament is very active in its dialogue with the British government and tries to convince its government to advocate certain modifications of proposals in the Council</w:t>
      </w:r>
      <w:r>
        <w:rPr>
          <w:rStyle w:val="FootnoteReference"/>
        </w:rPr>
        <w:footnoteReference w:id="14"/>
      </w:r>
      <w:r>
        <w:t>. This is an indirect effectiveness of the subsidiarity check. Sending opinions to the Commission has not resulted in it officially changing its views, but the increasing dialogue between the EC and national parliaments can be promising. However, this still does not increase the output legitimacy of EU policy-making much. National parliaments can still influence their governments without performing a subsidiarity check first. In this respect, the subsidiarity check seems to be a tool; it increases the awareness of national parliaments of EU proposals and thus enables them to exert influence through the EU’s political channels.</w:t>
      </w:r>
    </w:p>
    <w:p w:rsidR="00100A24" w:rsidRDefault="00100A24" w:rsidP="00A76D2E"/>
    <w:p w:rsidR="00100A24" w:rsidRDefault="00100A24" w:rsidP="00A822DB">
      <w:pPr>
        <w:pStyle w:val="Heading2"/>
      </w:pPr>
      <w:bookmarkStart w:id="37" w:name="_Toc141864072"/>
      <w:r>
        <w:t>4.3. Conclusion</w:t>
      </w:r>
      <w:bookmarkEnd w:id="37"/>
    </w:p>
    <w:p w:rsidR="00100A24" w:rsidRDefault="00100A24" w:rsidP="00A76D2E">
      <w:r>
        <w:t>Based on the case studies presented in the chapter above and analyzed in this chapter, subsidiarity checks seem to increase part of the input legitimacy of the policy-making process of the EU. Subsidiarity checks do not involve its citizens more in the political process than they are now. The EU’s output legitimacy does not increase much, since the checks and opinions cannot force binding changes. Indirectly, subsidiarity checks can enforce output legitimacy through increased awareness and involvement of national parliaments. This will lead to changes done through the political channels. If these changes result from the influence of national parliaments, the legitimacy of EU policy-making will increase.</w:t>
      </w:r>
    </w:p>
    <w:p w:rsidR="00100A24" w:rsidRPr="00A76D2E" w:rsidRDefault="00100A24" w:rsidP="00A76D2E"/>
    <w:p w:rsidR="00100A24" w:rsidRDefault="00100A24" w:rsidP="009502C8"/>
    <w:p w:rsidR="00100A24" w:rsidRDefault="00100A24" w:rsidP="009502C8">
      <w:pPr>
        <w:pStyle w:val="Heading1"/>
      </w:pPr>
      <w:r>
        <w:br w:type="column"/>
      </w:r>
      <w:bookmarkStart w:id="38" w:name="_Toc141864073"/>
      <w:r>
        <w:t>5. Subsidiarity under the Treaty of Lisbon</w:t>
      </w:r>
      <w:bookmarkEnd w:id="38"/>
    </w:p>
    <w:p w:rsidR="00100A24" w:rsidRDefault="00100A24" w:rsidP="009502C8"/>
    <w:p w:rsidR="00100A24" w:rsidRDefault="00100A24" w:rsidP="009502C8">
      <w:r>
        <w:t>The previous chapter has dealt with cases that have happened in the past and the subsidiarity checks that took place then. With the new Treaty of Lisbon now in place, it is interesting to investigate what these past experiences indicate for the future. Consequently, this chapter provides an answer to sub question seven: ‘what are the prospects for the role of subsidiarity under the Lisbon Treaty?’ The most important changes for subsidiarity under the new Treaty will be discussed first. Then, this chapter will shed light on subsidiarity’s possible future role.</w:t>
      </w:r>
    </w:p>
    <w:p w:rsidR="00100A24" w:rsidRDefault="00100A24" w:rsidP="009502C8"/>
    <w:p w:rsidR="00100A24" w:rsidRDefault="00100A24" w:rsidP="004E09DD">
      <w:pPr>
        <w:pStyle w:val="Heading2"/>
      </w:pPr>
      <w:bookmarkStart w:id="39" w:name="_Toc141864074"/>
      <w:r>
        <w:t>5.1. Most important changes under the Treaty of Lisbon</w:t>
      </w:r>
      <w:bookmarkEnd w:id="39"/>
    </w:p>
    <w:p w:rsidR="00100A24" w:rsidRDefault="00100A24" w:rsidP="004E09DD">
      <w:r>
        <w:t>The most important changes that national parliaments encounter in the Treaty of Lisbon are of course the yellow and orange card procedures, also called the ‘early warning mechanism’. These are wholly new procedures, enabling national parliaments to force the Commission to reconsider a proposal if they deem it being in breach of the principle of subsidiarity. They need to meet a certain threshold to achieve the enactment of these procedures. In a unicameral system, the parliament has two votes. In a bicameral system, each chamber has one vote. In effect, this accounts to 54 votes divided among the parliaments of the EU. For the yellow card to be drawn, at least a third (ie. 18 out of 54) of all votes need to be cast against a proposal. In the areas of freedom, security and justice the threshold is ¼. To draw an orange card, a simple majority (ie. 28 out of 54) of votes is needed (Jans &amp; Piedrafita, 2009:24). This procedure strengthens the formal role of national parliaments. There are also a few other changes made that affect the role of national parliaments. The Treaty of Lisbon gives national parliaments an enhanced right of information, since they do now receive all proposals, irrespective of the body that issued them, immediately. Moreover, they receive all instruments of legislative planning, agendas and minutes of the Council and the annual report of the Court of Auditors. The Treaty of Lisbon also gives national parliaments the right to be informed of applications made by states for membership of the EU (Jans &amp; Piedrafita, 2009:23). The Treaty broadens their scrutiny mandate by adding the policy areas of freedom, justice and security. This mandate includes powers for one or more national parliaments to veto proposals. Furthermore, the Treaty of Lisbon increases the time national parliaments have to perform a subsidiarity check. Formerly the parliaments had six weeks time to scrutinize draft proposals, this has now been increased to eight weeks, which was already widely used in the COSAC-coordinated subsidiarity checks. If within that time a national parliament concludes that a proposal is in breach of the subsidiarity principle, it can send a reasoned opinion, which then applies for the yellow and orange card procedures (EurActiv, 30 June 2010). However, the strengthened role of national parliaments should not be overstated. Lisbon’s most important change, the early warning mechanism, does not apply in cases of implementation of legislation resulting from comitology or in cases where the EU acts primarily in a coordinating capacity, such as with the open method of coordination (Jans &amp; Piedrafita, 2009:24).</w:t>
      </w:r>
    </w:p>
    <w:p w:rsidR="00100A24" w:rsidRDefault="00100A24" w:rsidP="004E09DD"/>
    <w:p w:rsidR="00100A24" w:rsidRDefault="00100A24" w:rsidP="004E09DD">
      <w:pPr>
        <w:pStyle w:val="Heading2"/>
      </w:pPr>
      <w:bookmarkStart w:id="40" w:name="_Toc141864075"/>
      <w:r>
        <w:t>5.2. The future of subsidiarity</w:t>
      </w:r>
      <w:bookmarkEnd w:id="40"/>
    </w:p>
    <w:p w:rsidR="00100A24" w:rsidRDefault="00100A24" w:rsidP="004E09DD">
      <w:r>
        <w:t xml:space="preserve"> It is clear that the formal role of national parliaments increases with the entry into force of the Treaty of Lisbon. However, this does not necessarily mean that their actual influence will increase, or that the practice already in place will change. It seems that, even before the Lisbon Treaty entered into force, national parliaments were already sending their opinions to the Commission. Furthermore, nothing has changed with respect to their ability to change draft proposals or have them withdrawn. The final decision on proposals still lies with EU institutions. This can make it seem that nothing much has changed with respect to the use of the subsidiarity principle. Moreover, national parliaments themselves have indicated that they do not feel the subsidiarity check will solve the EU’s overregulation problems. Nevertheless, their main advantage is that national parliaments become involved in the legislative process very early on and the combined advantage of the newly introduced rights could give them a very strong impetus to participate (Jans &amp; Piedrafita, 2009:24-25). Their increased awareness of EU legislative proposals and their legal rights alone could cause them to become more and more involved in the policy-making process of the EU (Rothenberger &amp; Vogt, 2007:15). With subsidiarity so clearly entrenched in the EU’s treaties, it is unlikely that it will disappear. But there are still some comments to be made about the possible effectiveness of subsidiarity checks and of the yellow and orange card procedures.</w:t>
      </w:r>
    </w:p>
    <w:p w:rsidR="00100A24" w:rsidRDefault="00100A24" w:rsidP="004E09DD">
      <w:pPr>
        <w:pStyle w:val="Heading3"/>
      </w:pPr>
      <w:bookmarkStart w:id="41" w:name="_Toc141864076"/>
      <w:r>
        <w:t>5.2.1. Subsidiarity checks</w:t>
      </w:r>
      <w:bookmarkEnd w:id="41"/>
    </w:p>
    <w:p w:rsidR="00100A24" w:rsidRDefault="00100A24" w:rsidP="004E09DD">
      <w:r>
        <w:t>Before the Treaty of Lisbon, subsidiarity checks were not really formalized. Each year, COSAC organizes one large subsidiarity check consisting of two proposals, which functions as a pilot for the Treaty of Lisbon. Outside the COSAC-coordinated subsidiarity checks, the participation of national parliaments has been spread out and considerably lower</w:t>
      </w:r>
      <w:r>
        <w:rPr>
          <w:rStyle w:val="FootnoteReference"/>
        </w:rPr>
        <w:footnoteReference w:id="15"/>
      </w:r>
      <w:r>
        <w:t xml:space="preserve">. If this involvement remains low even after the entry into force of the Treaty of Lisbon, this would render the subsidiarity check an empty tool. However, it is quite likely that national parliaments will become more involved now their powers have been formalized (Rothenberger &amp; Vogt, 2007:15). </w:t>
      </w:r>
    </w:p>
    <w:p w:rsidR="00100A24" w:rsidRDefault="00100A24" w:rsidP="004E09DD"/>
    <w:p w:rsidR="00100A24" w:rsidRDefault="00100A24" w:rsidP="004E09DD">
      <w:r>
        <w:t>The pilots organized by COSAC have helped a lot in terms of getting national parliaments to participate in the scrutiny of EU proposals. COSAC’s work is therefore imperative for subsidiarity. Unfortunately, COSAC has decided not to conduct a large subsidiarity check in 2010, because the Lisbon Treaty now legally provides the incentive for national parliaments to participate. But if, up until now, non-COSAC scrutiny per proposal was very low, this could mean that the end of large subsidiarity checks coordinated by COSAC will lead to uncoordinated checks by national parliaments with a low cooperation rate</w:t>
      </w:r>
      <w:r>
        <w:rPr>
          <w:rStyle w:val="FootnoteReference"/>
        </w:rPr>
        <w:footnoteReference w:id="16"/>
      </w:r>
      <w:r>
        <w:t>. And this has its consequences for the viability of the yellow and orange cards.</w:t>
      </w:r>
    </w:p>
    <w:p w:rsidR="00100A24" w:rsidRDefault="00100A24" w:rsidP="004E09DD">
      <w:pPr>
        <w:pStyle w:val="Heading3"/>
      </w:pPr>
      <w:bookmarkStart w:id="42" w:name="_Toc141864077"/>
      <w:r>
        <w:t>5.2.2. Yellow and orange card procedures</w:t>
      </w:r>
      <w:bookmarkEnd w:id="42"/>
    </w:p>
    <w:p w:rsidR="00100A24" w:rsidRDefault="00100A24" w:rsidP="004E09DD">
      <w:r>
        <w:t>In the COSAC-coordinated subsidiarity checks, the thresholds for the yellow and orange cards were not met by a long shot. If these thresholds cannot even be met in a subsidiarity check with a very large participation, it is unlikely that they will be met where participation is lower. Cooperation between national parliaments, and their subcommittees dealing with EU Affairs</w:t>
      </w:r>
      <w:r>
        <w:rPr>
          <w:rStyle w:val="FootnoteReference"/>
        </w:rPr>
        <w:footnoteReference w:id="17"/>
      </w:r>
      <w:r>
        <w:t>, then becomes especially important. Thus, to meet these thresholds, national parliaments will have to increase their cooperation. This will be a challenge, for the mechanism of casting votes for or against a proposal invites the political spectrum into the arena. It is likely that political parties will become involved in discussions between parliaments and that they will seek to form coalitions. This could also prove to be the only way to reach the thresholds of the yellow and orange cards (Rothenberger &amp; Vogt, 2007:13). In effect, the drawing of a yellow, and even more the orange, card could become a situation rarely encountered (Jans &amp; Piedrafita, 2009:24).</w:t>
      </w:r>
    </w:p>
    <w:p w:rsidR="00100A24" w:rsidRDefault="00100A24" w:rsidP="004E09DD"/>
    <w:p w:rsidR="00100A24" w:rsidRDefault="00100A24" w:rsidP="004E09DD">
      <w:r>
        <w:t>It is quite likely that the yellow and orange card procedures will draw the national parliaments closer to the political institutions of the EU than to the EC. Since the EC has never admitted to amend draft proposals due to comments of national parliaments, their hopes of influencing proposals are higher with the Council and the EP. The early warning mechanism could thus strengthen the ties between national parliaments and the EP even more. National parliaments will now have an even greater interest in a good relationship with the EP, since the drawing of an orange card allows for the EP to cancel a proposal. Nevertheless, if the actual chance of drawing an orange card remains very low, the effects of an improved relationship will remain marginal on this point. Their indirect ties with the Council are also likely to be maintained. National parliaments will probably make more use of their mandate to control their government in order to influence its position in the Council. This can also help them in the event an orange card is drawn and it is up to the Council and the EP to decide whether to maintain or to withdraw a proposal.</w:t>
      </w:r>
    </w:p>
    <w:p w:rsidR="00100A24" w:rsidRDefault="00100A24" w:rsidP="004E09DD"/>
    <w:p w:rsidR="00100A24" w:rsidRDefault="00100A24" w:rsidP="00A822DB">
      <w:pPr>
        <w:pStyle w:val="Heading2"/>
      </w:pPr>
      <w:bookmarkStart w:id="43" w:name="_Toc141864078"/>
      <w:r>
        <w:t>5.3. Conclusion</w:t>
      </w:r>
      <w:bookmarkEnd w:id="43"/>
    </w:p>
    <w:p w:rsidR="00100A24" w:rsidRPr="004E09DD" w:rsidRDefault="00100A24" w:rsidP="004E09DD">
      <w:r>
        <w:t>Subsidiarity as a principle is entrenched in the EU and will remain so. The subsidiarity checks however are unlikely to lead to much change. The participation of national parliaments has not been high, their cooperation is under par and the ultimate right of decision-making still lies with EU institutions. It is probably best to seek any changes not in the subsidiarity checks and the early warning mechanism, but in the potentially more active role of national parliaments (Rothenberger &amp; Vogt, 2007:16).</w:t>
      </w:r>
    </w:p>
    <w:p w:rsidR="00100A24" w:rsidRDefault="00100A24" w:rsidP="009502C8"/>
    <w:p w:rsidR="00100A24" w:rsidRDefault="00100A24" w:rsidP="009502C8">
      <w:pPr>
        <w:pStyle w:val="Heading1"/>
      </w:pPr>
      <w:r>
        <w:br w:type="column"/>
      </w:r>
      <w:bookmarkStart w:id="44" w:name="_Toc141864079"/>
      <w:r>
        <w:t>Conclusions and recommendations</w:t>
      </w:r>
      <w:bookmarkEnd w:id="44"/>
    </w:p>
    <w:p w:rsidR="00100A24" w:rsidRDefault="00100A24" w:rsidP="009502C8"/>
    <w:p w:rsidR="00100A24" w:rsidRDefault="00100A24" w:rsidP="009502C8">
      <w:r>
        <w:t xml:space="preserve">The journey this thesis has taken is coming to an end. This final chapter will answer the research question. This answer will be based on the answers given to each sub question, which will be summarized briefly below. Furthermore, the chapter will make recommendations based upon the information provided in the previous chapters and the conclusion. </w:t>
      </w:r>
    </w:p>
    <w:p w:rsidR="00100A24" w:rsidRDefault="00100A24" w:rsidP="009502C8"/>
    <w:p w:rsidR="00100A24" w:rsidRDefault="00100A24" w:rsidP="00FE3939">
      <w:pPr>
        <w:pStyle w:val="Heading2"/>
      </w:pPr>
      <w:bookmarkStart w:id="45" w:name="_Toc141864080"/>
      <w:r>
        <w:t>Legitimacy: can national parliaments help?</w:t>
      </w:r>
      <w:bookmarkEnd w:id="45"/>
    </w:p>
    <w:p w:rsidR="00100A24" w:rsidRDefault="00100A24" w:rsidP="009502C8">
      <w:r>
        <w:t xml:space="preserve">The research question this thesis is trying to answer is: </w:t>
      </w:r>
      <w:r>
        <w:rPr>
          <w:i/>
        </w:rPr>
        <w:t xml:space="preserve">can national parliaments, using the principle of subsidiarity, increase the legitimacy of the EU policy-making process? </w:t>
      </w:r>
      <w:r>
        <w:t>Before giving a definite answer to this question, a short overview of the answers to the sub questions will be provided.</w:t>
      </w:r>
    </w:p>
    <w:p w:rsidR="00100A24" w:rsidRDefault="00100A24" w:rsidP="009502C8"/>
    <w:p w:rsidR="00100A24" w:rsidRPr="0075422B" w:rsidRDefault="00100A24" w:rsidP="0075422B">
      <w:pPr>
        <w:rPr>
          <w:u w:val="single"/>
        </w:rPr>
      </w:pPr>
      <w:r w:rsidRPr="0075422B">
        <w:rPr>
          <w:u w:val="single"/>
        </w:rPr>
        <w:t>What is legitimacy?</w:t>
      </w:r>
    </w:p>
    <w:p w:rsidR="00100A24" w:rsidRDefault="00100A24" w:rsidP="0075422B">
      <w:r>
        <w:t>Legitimacy is a concept with many definitions, but in this thesis it is seen as occurring when a regime’s subjects accept its procedures for law making. This consent can be expressed in a national parliament. Two types of legitimacy were identified: input legitimacy, which focuses on the process itself, and output legitimacy, which considers the effectiveness of the results.</w:t>
      </w:r>
    </w:p>
    <w:p w:rsidR="00100A24" w:rsidRDefault="00100A24" w:rsidP="0075422B"/>
    <w:p w:rsidR="00100A24" w:rsidRDefault="00100A24" w:rsidP="0075422B">
      <w:pPr>
        <w:rPr>
          <w:u w:val="single"/>
        </w:rPr>
      </w:pPr>
      <w:r w:rsidRPr="0075422B">
        <w:rPr>
          <w:u w:val="single"/>
        </w:rPr>
        <w:t>What does the EU governance framework look like?</w:t>
      </w:r>
    </w:p>
    <w:p w:rsidR="00100A24" w:rsidRDefault="00100A24" w:rsidP="0075422B">
      <w:r>
        <w:t>The EU governance framework can be classified as a multi-level governance framework. Authority is shared among different levels of government, such as local government, national government and the supranational (EU) level. Furthermore, different bodies at the EU level have different responsibilities. The EU itself has acknowledged the fact that it alone cannot achieve its goals, national and lower governments are also very important. The EU’s policy-making process operates in an institutional triangle of the Commission, the Council and the European Parliament. The principle of subsidiarity adds national parliaments to this triangle, albeit in a role that does not allow for them to make definitive decisions regarding draft legislation. The five principles of good governance outlined in the Commission’s White Paper mention subsidiarity as a factor that will be reinforced by good governance in the EU.</w:t>
      </w:r>
    </w:p>
    <w:p w:rsidR="00100A24" w:rsidRDefault="00100A24" w:rsidP="0075422B"/>
    <w:p w:rsidR="00100A24" w:rsidRDefault="00100A24" w:rsidP="0075422B">
      <w:pPr>
        <w:rPr>
          <w:u w:val="single"/>
        </w:rPr>
      </w:pPr>
      <w:r w:rsidRPr="0075422B">
        <w:rPr>
          <w:u w:val="single"/>
        </w:rPr>
        <w:t>What is subsidiarity?</w:t>
      </w:r>
    </w:p>
    <w:p w:rsidR="00100A24" w:rsidRPr="0075422B" w:rsidRDefault="00100A24" w:rsidP="0075422B">
      <w:r>
        <w:t>The definition of subsidiarity as provided in the treaties of the EU has been used as guiding definition in this thesis. In effect, it comes down to the idea that tasks should be performed as close to the citizens as possible, without losing the added value of the action at the particular level performing the tasks. Subsidiarity was first introduced into the EU in the Maastricht Treaty, but stems from older, similar, notions in Christianity and philosophical literature. Its legal status under the Treaty of Maastricht and the Treaty of Amsterdam was as a principle that guided the EU’s division of tasks. Under the Treaty of Lisbon, the principle has been given a procedural role in national parliaments. These are now legally allowed to scrutinize all draft proposals of the EU in relation to possible breaches of the principle. The EC also has to consider the principle in its proposals and is obliged to provide subsidiarity statements supplemented by qualitative and quantitative indicators. In the new early warning mechanism, national parliaments can draw a yellow or orange card if a third respectively a fourth or a majority of them deems a proposal to be in breach of the principle of subsidiarity. These cards oblige the Commission to reconsider its proposal, and the orange card goes even further in that it places the final decision with the Council and the EP should the EC decide to maintain it. The ECJ has not been very involved in matters of subsidiarity, as it is of the opinion that the principle has too much of a political nature. Subsidiarity is connected to legitimacy through the role of national parliaments in the scrutiny of EU proposals. The involvement of national parliaments in the policy-making process of the EU is thought to increase its legitimacy. Furthermore, the principles of good governance, which strengthen subsidiarity, also contribute to the EU’s legitimacy.</w:t>
      </w:r>
    </w:p>
    <w:p w:rsidR="00100A24" w:rsidRDefault="00100A24" w:rsidP="00BE4693"/>
    <w:p w:rsidR="00100A24" w:rsidRDefault="00100A24" w:rsidP="00BE4693">
      <w:pPr>
        <w:rPr>
          <w:u w:val="single"/>
        </w:rPr>
      </w:pPr>
      <w:r w:rsidRPr="00BE4693">
        <w:rPr>
          <w:u w:val="single"/>
        </w:rPr>
        <w:t>How have national parliaments employed subsidiarity?</w:t>
      </w:r>
    </w:p>
    <w:p w:rsidR="00100A24" w:rsidRPr="002831C2" w:rsidRDefault="00100A24" w:rsidP="00BE4693">
      <w:r>
        <w:t>The way national parliaments have employed subsidiarity was investigated through a case study of two Commission proposals, COM(2008) 818 and COM(2009) 338. These proposals dealt with respectively the quality and safety of human organs for transplantation and the right to interpretation and translation in criminal proceedings. COSAC organized large subsidiarity checks under the provisions of the Treaty of Lisbon on these proposals. Many national parliaments or chambers participated in these checks and sent their opinions to the EC. In both cases, the overwhelming majority of parliaments or chambers found no breach of the principle of subsidiarity. Those that did find a breach, mainly concentrated on certain provisions that they thought went too far. However, many concerns were voiced as to the legal basis the Commission employed, the wording of certain provisions and the subsidiarity statement. Some national parliaments asked questions to the Commission or provided it with suggestions. Overall, it can be said that these checks were taken seriously by national parliaments. Not all of them cooperated with each other, and those that did, mostly used their permanent representatives at the EP or consulted the IPEX website. No real secondary uses of the subsidiarity checks were found, though sometimes the scope of the check is overstepped. Nevertheless, national parliaments could actually make even fuller use of the checks by cooperating more. The EP has been involved through meetings that were organized and through the permanent representatives that work there.</w:t>
      </w:r>
    </w:p>
    <w:p w:rsidR="00100A24" w:rsidRDefault="00100A24" w:rsidP="00BE4693"/>
    <w:p w:rsidR="00100A24" w:rsidRDefault="00100A24" w:rsidP="00BE4693">
      <w:pPr>
        <w:rPr>
          <w:u w:val="single"/>
        </w:rPr>
      </w:pPr>
      <w:r w:rsidRPr="00BE4693">
        <w:rPr>
          <w:u w:val="single"/>
        </w:rPr>
        <w:t>How has the European Commission reacted to these actions by national parliaments?</w:t>
      </w:r>
    </w:p>
    <w:p w:rsidR="00100A24" w:rsidRPr="00951E04" w:rsidRDefault="00100A24" w:rsidP="00BE4693">
      <w:r>
        <w:t>The Commission’s responses to the statements it received from national parliaments were usually very formal, brief and repetitive. However, the Commission usually does address the concerns voiced by a parliament or chamber. Even so, it does not address the allegations of national parliaments that its subsidiarity statement is unsatisfactory. It also never states that it will change a proposal following a suggestion made by a parliament or chamber. Though in the last subsidiarity check the EC did state that changes might occur through the Council. It also responded very positively to an Italian opinion, stating that it will thoroughly investigate two suggestions it received. Officially, then, parliamentary objections have not resulted in changes or withdrawals of the proposals. But through influencing the political channel of the Council and the EP national parliaments can cause changes.</w:t>
      </w:r>
    </w:p>
    <w:p w:rsidR="00100A24" w:rsidRPr="00BE4693" w:rsidRDefault="00100A24" w:rsidP="00BE4693">
      <w:pPr>
        <w:rPr>
          <w:u w:val="single"/>
        </w:rPr>
      </w:pPr>
    </w:p>
    <w:p w:rsidR="00100A24" w:rsidRPr="00BE4693" w:rsidRDefault="00100A24" w:rsidP="00BE4693">
      <w:pPr>
        <w:rPr>
          <w:u w:val="single"/>
        </w:rPr>
      </w:pPr>
      <w:r w:rsidRPr="00BE4693">
        <w:rPr>
          <w:u w:val="single"/>
        </w:rPr>
        <w:t>What is the significance of parliamentary scrutiny on grounds of subsidiarity as used until now?</w:t>
      </w:r>
    </w:p>
    <w:p w:rsidR="00100A24" w:rsidRDefault="00100A24" w:rsidP="002C1B63">
      <w:r>
        <w:t>The case study has shown that national parliaments do not change much by performing subsidiarity checks. These checks mainly raise their awareness of EU proposals, which is a large advantage because this can make them participate more. Therefore, the subsidiarity check increases a part of the input legitimacy of EU policy-making, since it improves the process by involving democratically chosen institutions, though still keeping European citizens outside the process. Unfortunately this does not necessarily improve the output legitimacy. National parliaments do not attain many results with their checks because they cannot do so formally. They have to exert influence on their governments to see any changes made to proposals. Furthermore, the final decision on proposals still lies with EU institutions and the thresholds for the yellow and orange cards are very hard to meet. It is then very likely that subsidiarity checks alone will not do much to increase the legitimacy of EU policy-making. The awareness that they raise, though, could give national parliaments a good impetus to participate more and have their voice heard.</w:t>
      </w:r>
    </w:p>
    <w:p w:rsidR="00100A24" w:rsidRDefault="00100A24" w:rsidP="00BE4693"/>
    <w:p w:rsidR="00100A24" w:rsidRPr="00BE4693" w:rsidRDefault="00100A24" w:rsidP="00BE4693">
      <w:pPr>
        <w:rPr>
          <w:u w:val="single"/>
        </w:rPr>
      </w:pPr>
      <w:r w:rsidRPr="00BE4693">
        <w:rPr>
          <w:u w:val="single"/>
        </w:rPr>
        <w:t>What are the prospects for the role of subsidiarity under the Lisbon Treaty?</w:t>
      </w:r>
    </w:p>
    <w:p w:rsidR="00100A24" w:rsidRDefault="00100A24" w:rsidP="009502C8">
      <w:r>
        <w:t>The Lisbon Treaty mostly formalizes subsidiarity checks as they were already being carried out. It also formalizes the sending of Reasoned Opinions to the Commission, which it must consider and answer. It does not, however, give any final powers to national parliaments. It is therefore unlikely that the Treaty of Lisbon will change much with respect to subsidiarity. The principle will certainly not disappear, but is more so a tool to raise the participation of national parliaments in EU policy-making. It is also unlikely that national parliaments will be able to draw many yellow or orange cards, since the thresholds are hard to meet and interparliamentary cooperation is still too low. It is however quite possible that the existence of the yellow and orange cards in the Lisbon Treaty will lead to increased ties between national parliaments and the Council and/or the EP. These will be the institutions that national parliaments will try to target in order to exert early influence to change proposals and to maintain a friendly relationship in the event an orange card does get drawn.</w:t>
      </w:r>
    </w:p>
    <w:p w:rsidR="00100A24" w:rsidRDefault="00100A24" w:rsidP="009502C8"/>
    <w:p w:rsidR="00100A24" w:rsidRDefault="00100A24" w:rsidP="009502C8">
      <w:pPr>
        <w:rPr>
          <w:u w:val="single"/>
        </w:rPr>
      </w:pPr>
      <w:r>
        <w:rPr>
          <w:u w:val="single"/>
        </w:rPr>
        <w:t>Conclusion</w:t>
      </w:r>
    </w:p>
    <w:p w:rsidR="00100A24" w:rsidRDefault="00100A24" w:rsidP="009502C8">
      <w:r>
        <w:t>The answer to the research question is definitely not a ‘yes’, but also not an obvious ‘no’. It became clear that the subsidiarity check could contribute to more input legitimacy since national parliaments are formally becoming involved in EU policy-making. As they are the democratically chosen institutions that represent the will of their citizens, it was assumed that by involving them more, this would increase input legitimacy. But input legitimacy is not all there is to the legitimacy debate. Results, or output legitimacy (and effectiveness, a principle of good governance), are just as important or even more so. Subsidiarity checks are unlikely to improve the results because of the procedural rights of national parliaments, which do not give them decision rights. All national parliaments can do is send opinions to the EC and influence their governments to try and get changes implemented. Even if they influence their governments, it is still unsure if their ministers will be able to convince the Council to change drafts. It is also unsure whether their MEPs will find a majority in the EP in order to make changes. Therefore, the subsidiarity check by national parliaments is unlikely to contribute to the output legitimacy of EU policy-making. Their increased involvement in the procedure is no guarantee for a visible result in the end as long as the EC has a final say about proposals. This final voice of the EC can be bypassed by enacting an orange card, but it is unlikely that national parliaments will meet the threshold to draw the card. In this sense, the EU policy-making process still remains centralized at the EU-level with the advent of the Treaty of Lisbon. National parliaments have been, and still are, critical bystanders.</w:t>
      </w:r>
    </w:p>
    <w:p w:rsidR="00100A24" w:rsidRDefault="00100A24" w:rsidP="009502C8"/>
    <w:p w:rsidR="00100A24" w:rsidRDefault="00100A24" w:rsidP="009502C8">
      <w:r>
        <w:t>Before turning toward the recommendations, a few shortcomings of this thesis should be identified. A lot of documents have been consulted that deal with subsidiarity in some way, but no documents were found evaluating the actual effect of subsidiarity checks. It might be possible that these documents do not yet exist because the Treaty of Lisbon has only recently entered into force. However, it would have been very helpful if those documents were available. The cases that were chosen do not represent all cases that the EU has had, but they are the largest subsidiarity checks ever performed and therefore they do give a good indication of the use of the principle. Unfortunately, they do not prescribe the future, nor are there cases that show the actual practice under the Treaty of Lisbon. Therefore, speculation on the future of subsidiarity is only speculation, though it is based on what happened in the past. Also, the interviews conducted are quite few and represent three member states of the EU. Nevertheless, in discussing the case studies, written opinions from many more member states were consulted, which was deemed enough to make conclusions on subsidiarity and legitimacy. Finally, concepts such as subsidiarity and legitimacy remain subjective concepts. For the purposes of this thesis, one definition of many available was chosen to be able to use these concepts. It should be kept in mind though that different definitions could lead to different results.</w:t>
      </w:r>
    </w:p>
    <w:p w:rsidR="00100A24" w:rsidRDefault="00100A24" w:rsidP="009502C8"/>
    <w:p w:rsidR="00100A24" w:rsidRDefault="00100A24" w:rsidP="00FE3939">
      <w:pPr>
        <w:pStyle w:val="Heading2"/>
      </w:pPr>
      <w:bookmarkStart w:id="46" w:name="_Toc141864081"/>
      <w:r>
        <w:t>Recommendations</w:t>
      </w:r>
      <w:bookmarkEnd w:id="46"/>
    </w:p>
    <w:p w:rsidR="00100A24" w:rsidRDefault="00100A24" w:rsidP="009502C8"/>
    <w:p w:rsidR="00100A24" w:rsidRDefault="00100A24" w:rsidP="009502C8">
      <w:r>
        <w:t xml:space="preserve">Based on the conclusion above, a couple of recommendations can be made to get national parliaments past the sidelines of EU policy-making, strengthen their role and potentially increase the legitimacy of EU policy-making. </w:t>
      </w:r>
    </w:p>
    <w:p w:rsidR="00100A24" w:rsidRDefault="00100A24" w:rsidP="009502C8"/>
    <w:p w:rsidR="00100A24" w:rsidRDefault="00100A24" w:rsidP="009502C8">
      <w:r>
        <w:t>First, national parliaments could do well to cooperate more. This would increase the likelihood of being able to draw a yellow or orange card. These cards to not guarantee changes, but are a good way to let the EU bodies know that there are major concerns with a proposal. It is then likely that changes will be made, for it is no use to the EU to try and adopt a proposal that will not be implemented by national parliaments.</w:t>
      </w:r>
    </w:p>
    <w:p w:rsidR="00100A24" w:rsidRDefault="00100A24" w:rsidP="009502C8"/>
    <w:p w:rsidR="00100A24" w:rsidRDefault="00100A24" w:rsidP="009502C8">
      <w:r>
        <w:t>Second, in relation to the subsidiarity checks, national parliaments should be actively involved in the scrutiny of EU proposals. They should perform more and more critical subsidiarity checks. However, they would do well to not only concentrate on subsidiarity. They should be critical to the political, economic and social side of a proposal. They should engage in dialogues with their governments and remember that they represent their citizens and that their citizens should be represented in the Council. They should be a constant reminder to their government that they will not accept EU policies that they deem badly drafted or unnecessary. Only then will they be able to do their part in increasing the legitimacy of EU policy-making.</w:t>
      </w:r>
    </w:p>
    <w:p w:rsidR="00100A24" w:rsidRDefault="00100A24" w:rsidP="009502C8"/>
    <w:p w:rsidR="00100A24" w:rsidRDefault="00100A24" w:rsidP="009502C8">
      <w:r>
        <w:t>Third, even though at this moment it is unlikely that an orange card will be drawn in the close future, national parliaments would do well to maintain and even strengthen their relationship with the EP. As more and more proposals are dealt with through the co-decision procedure, national parliaments can try to exert influence in the EU policy-making process through convincing the EP to amend proposals. This will increase legitimacy, for more democratic institutions will have had their say in the process. A downside could be that a particular national parliament has a lot more influence than other national parliaments through, for example, more active lobbying, but this should be avoided through the voting procedure in the EP. For the MEPs from the member state of the active national parliaments will still have to build coalitions with MEPs from other member states in order to pass amendments. In this way, national parliaments will be able to express their opinions in the EP and the normal democratic procedures in the EP will then decide what happens with those opinions. By strengthening the relationship with the EP, national parliaments will also have a more solid avenue to lobby at in the event an orange card actually gets drawn.</w:t>
      </w:r>
    </w:p>
    <w:p w:rsidR="00100A24" w:rsidRDefault="00100A24" w:rsidP="009502C8"/>
    <w:p w:rsidR="00100A24" w:rsidRDefault="00100A24" w:rsidP="009502C8">
      <w:r>
        <w:t>Finally, it is very tempting to recommend that national parliaments should get more powers. However, it is not without reason that the EU works as it does. National parliaments have a mandate to scrutinize their government. In doing so, they are able and allowed to influence the position of their government. This, then, is reflected in EU decision-making. Nonetheless, giving national parliaments more power in the Treaty of Lisbon does indicate that there is a general feeling that national parliaments are not involved enough in the EU. The subsidiarity check is a stepping-stone to more involvement of national parliaments. It might be better not to overestimate the rights national parliaments were given in the new Treaty. Perhaps it is not meant to increase the legitimacy of EU policy-making. Maybe it is only meant to enhance their participation first. Maybe national parliaments should then have another venue to increase their influence in the EU, such as a collective body that participates in EU policy-making. This participation does not only have to be related to issues of subsidiarity, since national parliaments are more than watchdogs of subsidiarity. But on issues of subsidiarity, it might be better for them to remain watchdogs and to seek effective influence elsewhere. They should take full advantage of their additional rights in the Lisbon Treaty, such as becoming more involved in the application procedure of the EU. Having a say in which state becomes a member of the EU, also increases its legitimacy in the long term.  They should make full use of their connections with the EP, since that is the only democratically chosen institution of the EU. The subsidiarity checks are not the end of the influence of national parliaments, they are only the beginning. They involve national parliaments in EU policy-making and make it possible for them to increase their influence and, maybe ultimately, increase the legitimacy of the policies of the European Union.</w:t>
      </w:r>
    </w:p>
    <w:p w:rsidR="00100A24" w:rsidRDefault="00100A24" w:rsidP="001B1FB8">
      <w:pPr>
        <w:pStyle w:val="Heading1"/>
      </w:pPr>
      <w:r>
        <w:br w:type="column"/>
      </w:r>
      <w:bookmarkStart w:id="47" w:name="_Toc141864082"/>
      <w:r>
        <w:t>Epilogue</w:t>
      </w:r>
      <w:bookmarkEnd w:id="47"/>
    </w:p>
    <w:p w:rsidR="00100A24" w:rsidRDefault="00100A24" w:rsidP="001B1FB8"/>
    <w:p w:rsidR="00100A24" w:rsidRDefault="00100A24" w:rsidP="001B1FB8">
      <w:r>
        <w:t xml:space="preserve">I hope you have enjoyed reading this thesis and that it has proven insightful. This thesis could not have become what it is without the help of my supervisor, dr. Frans van Nispen, the deputy director of the International Policy department of the Dutch Ministry of Education, Culture and Science, mr. Gérard Maas, and the adjunct clerk of the Dutch </w:t>
      </w:r>
      <w:r>
        <w:rPr>
          <w:i/>
        </w:rPr>
        <w:t>Tweede Kamer</w:t>
      </w:r>
      <w:r>
        <w:t>, ms. Jolanda Terpstra. They have helped me through my thesis by providing me with information and contacts I could pursue for my interviews. I would also like to thank the permanent representatives of national parliaments at the EP, who allowed me to question them thoroughly. Finally, I would like to thank my second reader, dr. Menno Fenger.</w:t>
      </w:r>
    </w:p>
    <w:p w:rsidR="00100A24" w:rsidRDefault="00100A24" w:rsidP="001B1FB8"/>
    <w:p w:rsidR="00100A24" w:rsidRPr="005C7787" w:rsidRDefault="00100A24" w:rsidP="001B1FB8">
      <w:r>
        <w:t>I have enjoyed writing this thesis and I am sure this will not be the last word written on subsidiarity. However, I hope it will contribute to its future.</w:t>
      </w:r>
    </w:p>
    <w:p w:rsidR="00100A24" w:rsidRDefault="00100A24" w:rsidP="009502C8">
      <w:pPr>
        <w:pStyle w:val="Heading1"/>
      </w:pPr>
      <w:r>
        <w:br w:type="column"/>
      </w:r>
      <w:bookmarkStart w:id="48" w:name="_Toc141864083"/>
      <w:r>
        <w:t>Bibliography</w:t>
      </w:r>
      <w:bookmarkEnd w:id="48"/>
    </w:p>
    <w:p w:rsidR="00100A24" w:rsidRDefault="00100A24" w:rsidP="00203E2A"/>
    <w:p w:rsidR="00100A24" w:rsidRDefault="00100A24" w:rsidP="00195E45">
      <w:pPr>
        <w:spacing w:line="288" w:lineRule="auto"/>
        <w:ind w:left="426" w:hanging="426"/>
      </w:pPr>
      <w:r w:rsidRPr="005952C2">
        <w:t>Assemblée nationale</w:t>
      </w:r>
      <w:r>
        <w:t xml:space="preserve">. </w:t>
      </w:r>
      <w:r>
        <w:rPr>
          <w:i/>
        </w:rPr>
        <w:t>Document E 4597</w:t>
      </w:r>
      <w:r>
        <w:t>. 8 July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Assembly of European Regions. </w:t>
      </w:r>
      <w:r>
        <w:rPr>
          <w:i/>
        </w:rPr>
        <w:t>Subsidiarity Principle.</w:t>
      </w:r>
      <w:r>
        <w:t xml:space="preserve"> [</w:t>
      </w:r>
      <w:r w:rsidRPr="00246496">
        <w:t>http://www.aer.eu/main-issues/subsidiarity.html</w:t>
      </w:r>
      <w:r>
        <w:t>]. 3 June 2010.</w:t>
      </w:r>
    </w:p>
    <w:p w:rsidR="00100A24" w:rsidRDefault="00100A24" w:rsidP="00195E45">
      <w:pPr>
        <w:spacing w:line="288" w:lineRule="auto"/>
        <w:ind w:left="426" w:hanging="426"/>
      </w:pPr>
    </w:p>
    <w:p w:rsidR="00100A24" w:rsidRPr="001272C8" w:rsidRDefault="00100A24" w:rsidP="00195E45">
      <w:pPr>
        <w:spacing w:line="288" w:lineRule="auto"/>
        <w:ind w:left="426" w:hanging="426"/>
      </w:pPr>
      <w:r>
        <w:t xml:space="preserve">Bekkers, V.J.J.M. &amp; A.R. Edwards. (2007). “Legitimacy and Democracy: A Conceptual Framework for Assessing Governance Practices”. In: Bekkers, V.J.J.M., Dijkstra, A.G., Edwards, A.R. &amp; H.J.M. Fenger (eds.), </w:t>
      </w:r>
      <w:r>
        <w:rPr>
          <w:i/>
        </w:rPr>
        <w:t>Governance and the democratic deficit: Assessing the democratic legitimacy of governance practices.</w:t>
      </w:r>
      <w:r>
        <w:t xml:space="preserve"> Aldershot: Ashgate.</w:t>
      </w:r>
    </w:p>
    <w:p w:rsidR="00100A24" w:rsidRDefault="00100A24" w:rsidP="00195E45">
      <w:pPr>
        <w:spacing w:line="288" w:lineRule="auto"/>
        <w:ind w:left="426" w:hanging="426"/>
      </w:pPr>
    </w:p>
    <w:p w:rsidR="00100A24" w:rsidRPr="006D1345" w:rsidRDefault="00100A24" w:rsidP="00195E45">
      <w:pPr>
        <w:spacing w:line="288" w:lineRule="auto"/>
        <w:ind w:left="426" w:hanging="426"/>
      </w:pPr>
      <w:r>
        <w:t xml:space="preserve">Boedeltje, M. &amp; J. Cornips. </w:t>
      </w:r>
      <w:r>
        <w:rPr>
          <w:i/>
        </w:rPr>
        <w:t>Input and output legitimacy in interactive governance</w:t>
      </w:r>
      <w:r>
        <w:t>. Netherlands Institute for Government. 19 October 2004. To be accessed from: [</w:t>
      </w:r>
      <w:r w:rsidRPr="006D1345">
        <w:t>http://repub.eur.nl/resource/pub_1750/index.html</w:t>
      </w:r>
      <w:r>
        <w:t>].</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Bolkestein, F. (2004). </w:t>
      </w:r>
      <w:r>
        <w:rPr>
          <w:i/>
        </w:rPr>
        <w:t>The Limits of Europe</w:t>
      </w:r>
      <w:r>
        <w:t>. Tielt: Lannoo.</w:t>
      </w:r>
    </w:p>
    <w:p w:rsidR="00100A24" w:rsidRDefault="00100A24" w:rsidP="00195E45">
      <w:pPr>
        <w:spacing w:line="288" w:lineRule="auto"/>
        <w:ind w:left="426" w:hanging="426"/>
      </w:pPr>
    </w:p>
    <w:p w:rsidR="00100A24" w:rsidRPr="000D1EA9" w:rsidRDefault="00100A24" w:rsidP="00195E45">
      <w:pPr>
        <w:spacing w:line="288" w:lineRule="auto"/>
        <w:ind w:left="426" w:hanging="426"/>
      </w:pPr>
      <w:r>
        <w:t xml:space="preserve">Chambre des Députés. </w:t>
      </w:r>
      <w:r>
        <w:rPr>
          <w:i/>
        </w:rPr>
        <w:t>Avis de la Commission de la Sant</w:t>
      </w:r>
      <w:r w:rsidRPr="00FF3D07">
        <w:rPr>
          <w:i/>
        </w:rPr>
        <w:t>é</w:t>
      </w:r>
      <w:r>
        <w:rPr>
          <w:i/>
        </w:rPr>
        <w:t xml:space="preserve"> et de la Securit</w:t>
      </w:r>
      <w:r w:rsidRPr="00FF3D07">
        <w:rPr>
          <w:i/>
        </w:rPr>
        <w:t>é</w:t>
      </w:r>
      <w:r>
        <w:rPr>
          <w:i/>
        </w:rPr>
        <w:t xml:space="preserve"> sociale en vue du test de subsidiarit</w:t>
      </w:r>
      <w:r w:rsidRPr="00FF3D07">
        <w:rPr>
          <w:i/>
        </w:rPr>
        <w:t>é</w:t>
      </w:r>
      <w:r>
        <w:rPr>
          <w:i/>
        </w:rPr>
        <w:t xml:space="preserve"> conduit dans le cadre de la COSAC.</w:t>
      </w:r>
      <w:r>
        <w:t xml:space="preserve"> 29 January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Cini, M. (ed.). (2007). </w:t>
      </w:r>
      <w:r>
        <w:rPr>
          <w:i/>
        </w:rPr>
        <w:t>European Union Politics.</w:t>
      </w:r>
      <w:r>
        <w:t xml:space="preserve"> Oxford: Oxford University Press.</w:t>
      </w:r>
    </w:p>
    <w:p w:rsidR="00100A24" w:rsidRDefault="00100A24" w:rsidP="00195E45">
      <w:pPr>
        <w:spacing w:line="288" w:lineRule="auto"/>
        <w:ind w:left="426" w:hanging="426"/>
      </w:pPr>
    </w:p>
    <w:p w:rsidR="00100A24" w:rsidRPr="00FA73AF" w:rsidRDefault="00100A24" w:rsidP="00195E45">
      <w:pPr>
        <w:spacing w:line="288" w:lineRule="auto"/>
        <w:ind w:left="426" w:hanging="426"/>
      </w:pPr>
      <w:r>
        <w:t xml:space="preserve">Committee of the Regions. (2008). </w:t>
      </w:r>
      <w:r>
        <w:rPr>
          <w:i/>
        </w:rPr>
        <w:t>Committee of the Regions Subsidiarity Monitoring Network: an important new tool for greater democratic accountability and participation in the EU legislative process.</w:t>
      </w:r>
      <w:r>
        <w:t xml:space="preserve"> Brussels.</w:t>
      </w:r>
    </w:p>
    <w:p w:rsidR="00100A24" w:rsidRDefault="00100A24" w:rsidP="00F70AC9">
      <w:pPr>
        <w:spacing w:line="288" w:lineRule="auto"/>
      </w:pPr>
    </w:p>
    <w:p w:rsidR="00100A24" w:rsidRDefault="00100A24" w:rsidP="00195E45">
      <w:pPr>
        <w:spacing w:line="288" w:lineRule="auto"/>
        <w:ind w:left="426" w:hanging="426"/>
      </w:pPr>
      <w:r>
        <w:t xml:space="preserve">Committee of the Regions (2009). </w:t>
      </w:r>
      <w:r>
        <w:rPr>
          <w:i/>
        </w:rPr>
        <w:t>The White Paper on multi-level governance</w:t>
      </w:r>
      <w:r>
        <w:t>. Brussels.</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COSAC. (2008a). </w:t>
      </w:r>
      <w:r>
        <w:rPr>
          <w:i/>
        </w:rPr>
        <w:t>Guidelines for Inter-Parliamentary Cooperation in the European Union</w:t>
      </w:r>
      <w:r>
        <w:t>. Lisbon.</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COSAC. (2008b). </w:t>
      </w:r>
      <w:r>
        <w:rPr>
          <w:i/>
        </w:rPr>
        <w:t xml:space="preserve">Aide-mémoire for the subsidiarity check under the provisions of the Treaty of Lisbon on the Commission proposal for the Directive of the European Parliament and the Council on standards of quality and safety of human organs intended for transplantation. </w:t>
      </w:r>
      <w:r>
        <w:t>To be downloaded from: [</w:t>
      </w:r>
      <w:r w:rsidRPr="009A3CDA">
        <w:t>http://www.cosac.eu/en/info/earlywarning/organ_donation.pdf/</w:t>
      </w:r>
      <w:r>
        <w:t>]. 16 June 2010.</w:t>
      </w:r>
    </w:p>
    <w:p w:rsidR="00100A24" w:rsidRDefault="00100A24" w:rsidP="00195E45">
      <w:pPr>
        <w:spacing w:line="288" w:lineRule="auto"/>
        <w:ind w:left="426" w:hanging="426"/>
      </w:pPr>
    </w:p>
    <w:p w:rsidR="00100A24" w:rsidRDefault="00100A24" w:rsidP="001E0875">
      <w:pPr>
        <w:ind w:left="426" w:hanging="426"/>
      </w:pPr>
      <w:r>
        <w:t xml:space="preserve">COSAC. (2009a). </w:t>
      </w:r>
      <w:r>
        <w:rPr>
          <w:i/>
        </w:rPr>
        <w:t>Aide-mémoire for the subsidiarity check under the provisions of the Treaty of Lisbon on the Commission proposal for a Council Framework Decision on the right to interpretation and to translation in criminal proceedings</w:t>
      </w:r>
      <w:r>
        <w:t>. To be downloaded from: [</w:t>
      </w:r>
      <w:r w:rsidRPr="009A3CDA">
        <w:t>http://www.cosac.eu/en/info/earlywarning/criminalpr.pdf/</w:t>
      </w:r>
      <w:r>
        <w:t>]. 16 June 2010.</w:t>
      </w:r>
    </w:p>
    <w:p w:rsidR="00100A24" w:rsidRDefault="00100A24" w:rsidP="001E0875"/>
    <w:p w:rsidR="00100A24" w:rsidRDefault="00100A24" w:rsidP="001E0875">
      <w:pPr>
        <w:ind w:left="426" w:hanging="426"/>
      </w:pPr>
      <w:r>
        <w:t xml:space="preserve">COSAC. (2009b). </w:t>
      </w:r>
      <w:r>
        <w:rPr>
          <w:i/>
        </w:rPr>
        <w:t>Report on the Results of the Subsidiarity Check on the Proposal for a Directive of the European Parliament and of the Council on Standards of Quality and Safety of Human Organs Intended for Transplantation</w:t>
      </w:r>
      <w:r>
        <w:t>. To be downloaded from: [</w:t>
      </w:r>
      <w:r w:rsidRPr="00101064">
        <w:t>http://www.cosac.eu/en/info/earlywarning/organ_donation.pdf/</w:t>
      </w:r>
      <w:r>
        <w:t>]. 17 June 2010.</w:t>
      </w:r>
    </w:p>
    <w:p w:rsidR="00100A24" w:rsidRDefault="00100A24" w:rsidP="001E0875"/>
    <w:p w:rsidR="00100A24" w:rsidRDefault="00100A24" w:rsidP="001E0875">
      <w:pPr>
        <w:ind w:left="426" w:hanging="426"/>
      </w:pPr>
      <w:r>
        <w:t xml:space="preserve">COSAC. (2009c). </w:t>
      </w:r>
      <w:r>
        <w:rPr>
          <w:i/>
        </w:rPr>
        <w:t>Report on the Results of the Subsidiarity Check on the Proposal for a Council Framework Decision on the Right to Interpretation and to Translation in Criminal Proceedings</w:t>
      </w:r>
      <w:r>
        <w:t>. To be downloaded from: [</w:t>
      </w:r>
      <w:r w:rsidRPr="00753B8F">
        <w:t>http://www.cosac.eu/en/info/earlywarning/criminalpr.pdf/</w:t>
      </w:r>
      <w:r>
        <w:t>]. 24 June 2010.</w:t>
      </w:r>
    </w:p>
    <w:p w:rsidR="00100A24" w:rsidRDefault="00100A24" w:rsidP="001E0875"/>
    <w:p w:rsidR="00100A24" w:rsidRPr="009F1288" w:rsidRDefault="00100A24" w:rsidP="001E0875">
      <w:pPr>
        <w:ind w:left="426" w:hanging="426"/>
      </w:pPr>
      <w:r>
        <w:t xml:space="preserve">COSAC. (2009d). </w:t>
      </w:r>
      <w:r>
        <w:rPr>
          <w:i/>
        </w:rPr>
        <w:t>Addendum to the Report on the Results of the Subsidiarity Check on the Proposal for a Council Framework Decision on the Right to Interpretation and to Translation in Criminal Proceedings</w:t>
      </w:r>
      <w:r>
        <w:t>. To be downloaded from: [</w:t>
      </w:r>
      <w:r w:rsidRPr="00753B8F">
        <w:t>http://www.cosac.eu/en/info/earlywarning/criminalpr.pdf/</w:t>
      </w:r>
      <w:r>
        <w:t>]. 24 June 2010.</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Council of the European Union (2007). </w:t>
      </w:r>
      <w:r>
        <w:rPr>
          <w:i/>
        </w:rPr>
        <w:t>Declaration on the occasion of the fiftieth anniversary of the signing of the Treaties of Rome</w:t>
      </w:r>
      <w:r>
        <w:t>. Berlin. To be downloaded from: [</w:t>
      </w:r>
      <w:r w:rsidRPr="003C5CBF">
        <w:t>http://www.consilium.europa.eu/App/NewsRoom/related.aspx?id=339&amp;lang=1&amp;bid=75&amp;grp=11617&amp;version=&amp;from=</w:t>
      </w:r>
      <w:r>
        <w:t>]. 1 June 2010.</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Davies, G. (2006). “Subsidiarity: the wrong idea, in the wrong place, at the wrong time”. </w:t>
      </w:r>
      <w:r>
        <w:rPr>
          <w:i/>
        </w:rPr>
        <w:t xml:space="preserve">Common Market Law Review, </w:t>
      </w:r>
      <w:r>
        <w:t>43:63-84.</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De Búrca, G. (1998). “The Principle of Subsidiarity and the Court of Justice as an Institutional Actor”. </w:t>
      </w:r>
      <w:r>
        <w:rPr>
          <w:i/>
        </w:rPr>
        <w:t>Journal of Common Market Studies</w:t>
      </w:r>
      <w:r>
        <w:t>, 36(2):217-234.</w:t>
      </w:r>
    </w:p>
    <w:p w:rsidR="00100A24" w:rsidRDefault="00100A24" w:rsidP="00195E45">
      <w:pPr>
        <w:spacing w:line="288" w:lineRule="auto"/>
        <w:ind w:left="426" w:hanging="426"/>
      </w:pPr>
    </w:p>
    <w:p w:rsidR="00100A24" w:rsidRPr="00D8198A" w:rsidRDefault="00100A24" w:rsidP="00195E45">
      <w:pPr>
        <w:spacing w:line="288" w:lineRule="auto"/>
        <w:ind w:left="426" w:hanging="426"/>
      </w:pPr>
      <w:r>
        <w:t xml:space="preserve">Deutscher Bundestag. </w:t>
      </w:r>
      <w:r>
        <w:rPr>
          <w:i/>
        </w:rPr>
        <w:t xml:space="preserve">Beschlussempfehlung und Bericht des Ausschusses für Gesundheit (14. Ausschuss) zu der Unterrichtung durch die Bundesregierung: Vorschlag für eine Richtlinie des </w:t>
      </w:r>
      <w:r w:rsidRPr="0059297D">
        <w:rPr>
          <w:i/>
        </w:rPr>
        <w:t>Europäischen Parlaments</w:t>
      </w:r>
      <w:r>
        <w:rPr>
          <w:i/>
        </w:rPr>
        <w:t xml:space="preserve"> und des Rates über Qualit</w:t>
      </w:r>
      <w:r w:rsidRPr="0059297D">
        <w:rPr>
          <w:i/>
        </w:rPr>
        <w:t>ä</w:t>
      </w:r>
      <w:r>
        <w:rPr>
          <w:i/>
        </w:rPr>
        <w:t>ts- und Sicherheitsstandards für zur Transplantation bestimmte menschliche Organe</w:t>
      </w:r>
      <w:r>
        <w:t>. 28 January 2009.</w:t>
      </w:r>
    </w:p>
    <w:p w:rsidR="00100A24" w:rsidRDefault="00100A24" w:rsidP="00195E45">
      <w:pPr>
        <w:spacing w:line="288" w:lineRule="auto"/>
        <w:ind w:left="426" w:hanging="426"/>
      </w:pPr>
    </w:p>
    <w:p w:rsidR="00100A24" w:rsidRDefault="00100A24" w:rsidP="003353F5">
      <w:pPr>
        <w:spacing w:line="288" w:lineRule="auto"/>
        <w:ind w:left="426" w:hanging="426"/>
      </w:pPr>
      <w:r>
        <w:t xml:space="preserve">Dinan, D. (2005). </w:t>
      </w:r>
      <w:r>
        <w:rPr>
          <w:i/>
        </w:rPr>
        <w:t>Ever Closer Union: An Introduction to European Integration.</w:t>
      </w:r>
      <w:r>
        <w:t xml:space="preserve"> Houndmills/New York: Palgrave Macmillan.</w:t>
      </w:r>
    </w:p>
    <w:p w:rsidR="00100A24" w:rsidRDefault="00100A24" w:rsidP="003353F5">
      <w:pPr>
        <w:spacing w:line="288" w:lineRule="auto"/>
        <w:ind w:left="426" w:hanging="426"/>
      </w:pPr>
    </w:p>
    <w:p w:rsidR="00100A24" w:rsidRPr="00033E0F" w:rsidRDefault="00100A24" w:rsidP="003353F5">
      <w:pPr>
        <w:spacing w:line="288" w:lineRule="auto"/>
        <w:ind w:left="426" w:hanging="426"/>
      </w:pPr>
      <w:r>
        <w:t xml:space="preserve">Dobson, L. &amp; A. Weale. (2003). “Governance and Legitimacy”. In: E. Bomberg &amp; A. Stubb (eds.), </w:t>
      </w:r>
      <w:r>
        <w:rPr>
          <w:i/>
        </w:rPr>
        <w:t>The European Union: How Does It Work?</w:t>
      </w:r>
      <w:r>
        <w:t xml:space="preserve"> New York: Oxford University Press Inc.</w:t>
      </w:r>
    </w:p>
    <w:p w:rsidR="00100A24" w:rsidRDefault="00100A24" w:rsidP="003353F5">
      <w:pPr>
        <w:spacing w:line="288" w:lineRule="auto"/>
        <w:ind w:left="426" w:hanging="426"/>
      </w:pPr>
    </w:p>
    <w:p w:rsidR="00100A24" w:rsidRDefault="00100A24" w:rsidP="003353F5">
      <w:pPr>
        <w:spacing w:line="288" w:lineRule="auto"/>
        <w:ind w:left="426" w:hanging="426"/>
      </w:pPr>
      <w:r>
        <w:t xml:space="preserve">Dutch States-General. </w:t>
      </w:r>
      <w:r>
        <w:rPr>
          <w:i/>
        </w:rPr>
        <w:t>Questions to the European Commission from both Houses of the States General of the Kingdom of the Netherlands concerning the subsidiarity and proportionality of the Proposal for a Directive of the European Parliament and of the Council on standards of quality and safety of human organs intended for transplantation (COM(2008)818).</w:t>
      </w:r>
      <w:r>
        <w:t xml:space="preserve"> 12 February 2009.</w:t>
      </w:r>
    </w:p>
    <w:p w:rsidR="00100A24" w:rsidRDefault="00100A24" w:rsidP="003353F5">
      <w:pPr>
        <w:spacing w:line="288" w:lineRule="auto"/>
        <w:ind w:left="426" w:hanging="426"/>
      </w:pPr>
    </w:p>
    <w:p w:rsidR="00100A24" w:rsidRDefault="00100A24" w:rsidP="003353F5">
      <w:pPr>
        <w:spacing w:line="288" w:lineRule="auto"/>
        <w:ind w:left="426" w:hanging="426"/>
      </w:pPr>
      <w:r>
        <w:t xml:space="preserve">Eerste Kamer der Staten-Generaal. </w:t>
      </w:r>
      <w:r>
        <w:rPr>
          <w:i/>
        </w:rPr>
        <w:t>Subsidiarity check on the Proposal for a Council Framework Decision on the right to interpretation and to translation in criminal proceedings, COM (2009)338.</w:t>
      </w:r>
      <w:r>
        <w:t xml:space="preserve"> 10 September 2009.</w:t>
      </w:r>
    </w:p>
    <w:p w:rsidR="00100A24" w:rsidRDefault="00100A24" w:rsidP="003353F5">
      <w:pPr>
        <w:spacing w:line="288" w:lineRule="auto"/>
      </w:pPr>
    </w:p>
    <w:p w:rsidR="00100A24" w:rsidRDefault="00100A24" w:rsidP="00195E45">
      <w:pPr>
        <w:spacing w:line="288" w:lineRule="auto"/>
        <w:ind w:left="426" w:hanging="426"/>
      </w:pPr>
      <w:r>
        <w:t xml:space="preserve">Eising, R. &amp; B. Kohler-Koch. (2000). “Introduction: Network governance in the European Union. In: B. Kohler-Koch &amp; R. Eising (eds.), </w:t>
      </w:r>
      <w:r>
        <w:rPr>
          <w:i/>
        </w:rPr>
        <w:t>The transformation of governance in the European Union</w:t>
      </w:r>
      <w:r>
        <w:t>. London/New York: Routledge.</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Estella, A. (2002). </w:t>
      </w:r>
      <w:r>
        <w:rPr>
          <w:i/>
        </w:rPr>
        <w:t>The EU Principle of Subsidiarity and Its Critique</w:t>
      </w:r>
      <w:r>
        <w:t>. New York: Oxford University Press.</w:t>
      </w:r>
    </w:p>
    <w:p w:rsidR="00100A24" w:rsidRDefault="00100A24" w:rsidP="00195E45">
      <w:pPr>
        <w:spacing w:line="288" w:lineRule="auto"/>
        <w:ind w:left="426" w:hanging="426"/>
      </w:pPr>
    </w:p>
    <w:p w:rsidR="00100A24" w:rsidRDefault="00100A24" w:rsidP="001E0875">
      <w:r>
        <w:t xml:space="preserve">EUABC. </w:t>
      </w:r>
      <w:r>
        <w:rPr>
          <w:i/>
        </w:rPr>
        <w:t>Subsidiarity.</w:t>
      </w:r>
      <w:r>
        <w:t xml:space="preserve"> [</w:t>
      </w:r>
      <w:r w:rsidRPr="006136EF">
        <w:t>http://en.euabc.com/word/879</w:t>
      </w:r>
      <w:r>
        <w:t>]. 16 June 2010.</w:t>
      </w:r>
    </w:p>
    <w:p w:rsidR="00100A24" w:rsidRDefault="00100A24" w:rsidP="001E0875"/>
    <w:p w:rsidR="00100A24" w:rsidRDefault="00100A24" w:rsidP="00A40E1D">
      <w:pPr>
        <w:ind w:left="426" w:hanging="426"/>
      </w:pPr>
      <w:r>
        <w:t xml:space="preserve">EurActiv. </w:t>
      </w:r>
      <w:r>
        <w:rPr>
          <w:i/>
        </w:rPr>
        <w:t>National Parliaments and the EU</w:t>
      </w:r>
      <w:r>
        <w:t>. [</w:t>
      </w:r>
      <w:r w:rsidRPr="009156B8">
        <w:t>http://www.euractiv.com/en/eu-elections/national-parliaments-eu/article-174732</w:t>
      </w:r>
      <w:r>
        <w:t>]. 30 June 2010.</w:t>
      </w:r>
    </w:p>
    <w:p w:rsidR="00100A24" w:rsidRDefault="00100A24" w:rsidP="001E0875"/>
    <w:p w:rsidR="00100A24" w:rsidRPr="005D72FD" w:rsidRDefault="00100A24" w:rsidP="003145D5">
      <w:pPr>
        <w:ind w:left="426" w:hanging="426"/>
      </w:pPr>
      <w:r>
        <w:t xml:space="preserve">EU Committee of the Austrian Bundesrat. </w:t>
      </w:r>
      <w:r>
        <w:rPr>
          <w:i/>
        </w:rPr>
        <w:t>Motion regarding COM (08) 0818 final</w:t>
      </w:r>
      <w:r>
        <w:t>. 3 February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Europa. </w:t>
      </w:r>
      <w:r>
        <w:rPr>
          <w:i/>
        </w:rPr>
        <w:t>Enlargement</w:t>
      </w:r>
      <w:r>
        <w:t>. [</w:t>
      </w:r>
      <w:r w:rsidRPr="00160ADC">
        <w:t>http://europa.eu/pol/enlarg/index_en.htm</w:t>
      </w:r>
      <w:r>
        <w:t>]. 2 June 2010a.</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Europa. </w:t>
      </w:r>
      <w:r>
        <w:rPr>
          <w:i/>
        </w:rPr>
        <w:t>Taking Europe into the 21</w:t>
      </w:r>
      <w:r w:rsidRPr="00160ADC">
        <w:rPr>
          <w:i/>
          <w:vertAlign w:val="superscript"/>
        </w:rPr>
        <w:t>st</w:t>
      </w:r>
      <w:r>
        <w:rPr>
          <w:i/>
        </w:rPr>
        <w:t xml:space="preserve"> century</w:t>
      </w:r>
      <w:r>
        <w:t>. [</w:t>
      </w:r>
      <w:r w:rsidRPr="00160ADC">
        <w:t>http://europa.eu/lisbon_treaty/take/index_en.htm</w:t>
      </w:r>
      <w:r>
        <w:t>]. 2 June 2010b.</w:t>
      </w:r>
    </w:p>
    <w:p w:rsidR="00100A24" w:rsidRDefault="00100A24" w:rsidP="00195E45">
      <w:pPr>
        <w:spacing w:line="288" w:lineRule="auto"/>
        <w:ind w:left="426" w:hanging="426"/>
      </w:pPr>
    </w:p>
    <w:p w:rsidR="00100A24" w:rsidRPr="00833A15" w:rsidRDefault="00100A24" w:rsidP="00195E45">
      <w:pPr>
        <w:spacing w:line="288" w:lineRule="auto"/>
        <w:ind w:left="426" w:hanging="426"/>
      </w:pPr>
      <w:r>
        <w:t xml:space="preserve">Europa. </w:t>
      </w:r>
      <w:r>
        <w:rPr>
          <w:i/>
        </w:rPr>
        <w:t>The Union’s founding principles.</w:t>
      </w:r>
      <w:r>
        <w:t xml:space="preserve"> [</w:t>
      </w:r>
      <w:r w:rsidRPr="00833A15">
        <w:t>http://europa.eu/scadplus/constitution/competences_en.htm</w:t>
      </w:r>
      <w:r>
        <w:t>]. 17 July 2010.</w:t>
      </w:r>
    </w:p>
    <w:p w:rsidR="00100A24" w:rsidRDefault="00100A24" w:rsidP="00195E45">
      <w:pPr>
        <w:spacing w:line="288" w:lineRule="auto"/>
        <w:ind w:left="426" w:hanging="426"/>
      </w:pPr>
    </w:p>
    <w:p w:rsidR="00100A24" w:rsidRDefault="00100A24" w:rsidP="001E3FF0">
      <w:pPr>
        <w:spacing w:line="288" w:lineRule="auto"/>
        <w:ind w:left="426" w:hanging="426"/>
      </w:pPr>
      <w:r>
        <w:t xml:space="preserve">European Commission. (2001). </w:t>
      </w:r>
      <w:r>
        <w:rPr>
          <w:i/>
        </w:rPr>
        <w:t xml:space="preserve">European </w:t>
      </w:r>
      <w:r w:rsidRPr="00765B12">
        <w:rPr>
          <w:i/>
        </w:rPr>
        <w:t>Governance, A White Paper</w:t>
      </w:r>
      <w:r>
        <w:t>. Brussels, COM(2001) 428 final.</w:t>
      </w:r>
    </w:p>
    <w:p w:rsidR="00100A24" w:rsidRDefault="00100A24" w:rsidP="003145D5"/>
    <w:p w:rsidR="00100A24" w:rsidRPr="00770475" w:rsidRDefault="00100A24" w:rsidP="00461F34">
      <w:pPr>
        <w:ind w:left="426" w:hanging="426"/>
      </w:pPr>
      <w:r>
        <w:t xml:space="preserve">European Commission. </w:t>
      </w:r>
      <w:r>
        <w:rPr>
          <w:i/>
        </w:rPr>
        <w:t xml:space="preserve">Commission Staff working document accompanying the Proposal for a Council Framework Decision on the right to interpretation and to translation in criminal proceedings: Summary of the Impact Assessment. </w:t>
      </w:r>
      <w:r>
        <w:t>SEC(2009) 916, 8 July 2009.</w:t>
      </w:r>
    </w:p>
    <w:p w:rsidR="00100A24" w:rsidRDefault="00100A24" w:rsidP="00461F34"/>
    <w:p w:rsidR="00100A24" w:rsidRDefault="00100A24" w:rsidP="00461F34">
      <w:pPr>
        <w:spacing w:line="288" w:lineRule="auto"/>
        <w:ind w:left="426" w:hanging="426"/>
      </w:pPr>
      <w:r>
        <w:t xml:space="preserve">European Commission. </w:t>
      </w:r>
      <w:r>
        <w:rPr>
          <w:i/>
        </w:rPr>
        <w:t>Commission Staff working document accompanying the Proposal for the Directive of the European Parliament and the Council on standards of quality and safety of human organs intended for transplantation and the Communication from the Commission Action Plan on Organ Donation and Transplantation (2009-2015): Strengthened Cooperation between Member States: Summary of the Impact Assessment</w:t>
      </w:r>
      <w:r>
        <w:t>. SEC(2008) 2957, 8 December 2008.</w:t>
      </w:r>
    </w:p>
    <w:p w:rsidR="00100A24" w:rsidRDefault="00100A24" w:rsidP="00461F34">
      <w:pPr>
        <w:spacing w:line="288" w:lineRule="auto"/>
        <w:ind w:left="426" w:hanging="426"/>
      </w:pPr>
    </w:p>
    <w:p w:rsidR="00100A24" w:rsidRDefault="00100A24" w:rsidP="003145D5">
      <w:pPr>
        <w:ind w:left="426" w:hanging="426"/>
      </w:pPr>
      <w:r>
        <w:t xml:space="preserve">European Commission. </w:t>
      </w:r>
      <w:r>
        <w:rPr>
          <w:i/>
        </w:rPr>
        <w:t>Communication from the Commission to the European Parliament and the Council: Consequences for the entry into force of the Treaty of Lisbon for ongoing interinstitutional decision-making procedures</w:t>
      </w:r>
      <w:r>
        <w:t>. COM(2009) 665 final/2, 11 December 2009.</w:t>
      </w:r>
    </w:p>
    <w:p w:rsidR="00100A24" w:rsidRDefault="00100A24" w:rsidP="003145D5"/>
    <w:p w:rsidR="00100A24" w:rsidRDefault="00100A24" w:rsidP="003145D5">
      <w:pPr>
        <w:ind w:left="426" w:hanging="426"/>
      </w:pPr>
      <w:r>
        <w:t xml:space="preserve">European Commission. </w:t>
      </w:r>
      <w:r>
        <w:rPr>
          <w:i/>
        </w:rPr>
        <w:t>Proposal for a Council Framework Decision on the right to interpretation and to translation in criminal proceedings.</w:t>
      </w:r>
      <w:r>
        <w:t xml:space="preserve"> COM(2009) 388 final, 2009/0101 (CNS), 8 July 2009.</w:t>
      </w:r>
    </w:p>
    <w:p w:rsidR="00100A24" w:rsidRDefault="00100A24" w:rsidP="003145D5">
      <w:pPr>
        <w:ind w:left="426" w:hanging="426"/>
      </w:pPr>
    </w:p>
    <w:p w:rsidR="00100A24" w:rsidRDefault="00100A24" w:rsidP="00461F34">
      <w:pPr>
        <w:ind w:left="426" w:hanging="426"/>
      </w:pPr>
      <w:r>
        <w:t xml:space="preserve">European Commission. </w:t>
      </w:r>
      <w:r>
        <w:rPr>
          <w:i/>
        </w:rPr>
        <w:t xml:space="preserve">Proposal for the Directive of the European Parliament and the Council on standards of quality and safety of human organs intended for transplantation. </w:t>
      </w:r>
      <w:r>
        <w:t xml:space="preserve">COM(2008) 818 final, 2008/0238 (COD), 8 December 2008. </w:t>
      </w:r>
    </w:p>
    <w:p w:rsidR="00100A24" w:rsidRDefault="00100A24" w:rsidP="00461F34">
      <w:pPr>
        <w:ind w:left="426" w:hanging="426"/>
      </w:pPr>
    </w:p>
    <w:p w:rsidR="00100A24" w:rsidRPr="00461F34" w:rsidRDefault="00100A24" w:rsidP="00461F34">
      <w:pPr>
        <w:ind w:left="426" w:hanging="426"/>
      </w:pPr>
      <w:r>
        <w:t xml:space="preserve">European Commission. </w:t>
      </w:r>
      <w:r>
        <w:rPr>
          <w:i/>
        </w:rPr>
        <w:t>Report from the Commission: Annual Report 2008 on Relations between the European Commission and National Parliaments</w:t>
      </w:r>
      <w:r>
        <w:t>. COM(2009) 343 final, 7 July 2009.</w:t>
      </w:r>
    </w:p>
    <w:p w:rsidR="00100A24" w:rsidRDefault="00100A24" w:rsidP="003145D5">
      <w:pPr>
        <w:spacing w:line="288" w:lineRule="auto"/>
        <w:ind w:left="426" w:hanging="426"/>
      </w:pPr>
    </w:p>
    <w:p w:rsidR="00100A24" w:rsidRDefault="00100A24" w:rsidP="003145D5">
      <w:pPr>
        <w:spacing w:line="288" w:lineRule="auto"/>
        <w:ind w:left="426" w:hanging="426"/>
      </w:pPr>
      <w:r>
        <w:t>European Commission. (2009a). Reply to Slovenian Parliament: C/2009/663. 7 April 2009.</w:t>
      </w:r>
    </w:p>
    <w:p w:rsidR="00100A24" w:rsidRDefault="00100A24" w:rsidP="003145D5">
      <w:pPr>
        <w:spacing w:line="288" w:lineRule="auto"/>
        <w:ind w:left="426" w:hanging="426"/>
      </w:pPr>
    </w:p>
    <w:p w:rsidR="00100A24" w:rsidRDefault="00100A24" w:rsidP="00AD10EE">
      <w:pPr>
        <w:ind w:left="426" w:hanging="426"/>
      </w:pPr>
      <w:r>
        <w:t>European Commission. (2009b). Reply to Hungarian Parliament: SR/is D(2009)773. 24 April 2009.</w:t>
      </w:r>
    </w:p>
    <w:p w:rsidR="00100A24" w:rsidRDefault="00100A24" w:rsidP="00AD10EE"/>
    <w:p w:rsidR="00100A24" w:rsidRDefault="00100A24" w:rsidP="00AD10EE">
      <w:pPr>
        <w:ind w:left="426" w:hanging="426"/>
      </w:pPr>
      <w:r>
        <w:t xml:space="preserve">European Commission. (2009c). </w:t>
      </w:r>
      <w:r>
        <w:rPr>
          <w:i/>
        </w:rPr>
        <w:t xml:space="preserve">Comments of the European Commission on an opinion from the Senate of the Italian Republic. </w:t>
      </w:r>
      <w:r>
        <w:t>April 2009.</w:t>
      </w:r>
    </w:p>
    <w:p w:rsidR="00100A24" w:rsidRDefault="00100A24" w:rsidP="00AD10EE"/>
    <w:p w:rsidR="00100A24" w:rsidRDefault="00100A24" w:rsidP="00AD10EE">
      <w:pPr>
        <w:ind w:left="426" w:hanging="426"/>
      </w:pPr>
      <w:r>
        <w:t>European Commission. (2009d). Reply to Danish Parliament: C/2009/2895. 27 April 2009.</w:t>
      </w:r>
    </w:p>
    <w:p w:rsidR="00100A24" w:rsidRDefault="00100A24" w:rsidP="00AD10EE"/>
    <w:p w:rsidR="00100A24" w:rsidRDefault="00100A24" w:rsidP="00AD10EE">
      <w:pPr>
        <w:ind w:left="426" w:hanging="426"/>
      </w:pPr>
      <w:r>
        <w:t xml:space="preserve">European Commission. (2009e). </w:t>
      </w:r>
      <w:r>
        <w:rPr>
          <w:i/>
        </w:rPr>
        <w:t>Comments of the European Commission on an opinion from the German Bundesrat</w:t>
      </w:r>
      <w:r>
        <w:t>. May 2009.</w:t>
      </w:r>
    </w:p>
    <w:p w:rsidR="00100A24" w:rsidRDefault="00100A24" w:rsidP="00AD10EE"/>
    <w:p w:rsidR="00100A24" w:rsidRDefault="00100A24" w:rsidP="00AD10EE">
      <w:pPr>
        <w:ind w:left="426" w:hanging="426"/>
      </w:pPr>
      <w:r>
        <w:t xml:space="preserve">European Commission. (2009f). Reply to the German </w:t>
      </w:r>
      <w:r w:rsidRPr="00343514">
        <w:t>Bundestag</w:t>
      </w:r>
      <w:r>
        <w:t>: C/2009/3375. 29 April 2009.</w:t>
      </w:r>
    </w:p>
    <w:p w:rsidR="00100A24" w:rsidRDefault="00100A24" w:rsidP="00AD10EE"/>
    <w:p w:rsidR="00100A24" w:rsidRDefault="00100A24" w:rsidP="00AD10EE">
      <w:pPr>
        <w:ind w:left="426" w:hanging="426"/>
      </w:pPr>
      <w:r>
        <w:t xml:space="preserve">European Commission. (2009g). Reply to the Dutch </w:t>
      </w:r>
      <w:r w:rsidRPr="00343514">
        <w:t>States-General</w:t>
      </w:r>
      <w:r>
        <w:t>: C/2009/3834. 14 May 2009.</w:t>
      </w:r>
    </w:p>
    <w:p w:rsidR="00100A24" w:rsidRDefault="00100A24" w:rsidP="00AD10EE"/>
    <w:p w:rsidR="00100A24" w:rsidRDefault="00100A24" w:rsidP="00AD10EE">
      <w:pPr>
        <w:ind w:left="426" w:hanging="426"/>
      </w:pPr>
      <w:r>
        <w:t>European Commission. (2009h). Reply to the Belgian Sénat: C/2009/5104. 3 July 2009.</w:t>
      </w:r>
    </w:p>
    <w:p w:rsidR="00100A24" w:rsidRDefault="00100A24" w:rsidP="00AD10EE"/>
    <w:p w:rsidR="00100A24" w:rsidRDefault="00100A24" w:rsidP="00AD10EE">
      <w:pPr>
        <w:ind w:left="426" w:hanging="426"/>
      </w:pPr>
      <w:r>
        <w:t xml:space="preserve">European Commission. (2009i). </w:t>
      </w:r>
      <w:r>
        <w:rPr>
          <w:i/>
        </w:rPr>
        <w:t>Comments of the European Commission on an opinion sent by the Austrian Bundesrat</w:t>
      </w:r>
      <w:r>
        <w:t>. 29 April 2009.</w:t>
      </w:r>
    </w:p>
    <w:p w:rsidR="00100A24" w:rsidRDefault="00100A24" w:rsidP="00AD10EE"/>
    <w:p w:rsidR="00100A24" w:rsidRDefault="00100A24" w:rsidP="00AD10EE">
      <w:pPr>
        <w:ind w:left="426" w:hanging="426"/>
      </w:pPr>
      <w:r>
        <w:t>European Commission. (2009j). Reply to the Irish Parliament: C/2009/8434. 3 November 2009.</w:t>
      </w:r>
    </w:p>
    <w:p w:rsidR="00100A24" w:rsidRDefault="00100A24" w:rsidP="00AD10EE"/>
    <w:p w:rsidR="00100A24" w:rsidRDefault="00100A24" w:rsidP="00AD10EE">
      <w:pPr>
        <w:ind w:left="426" w:hanging="426"/>
      </w:pPr>
      <w:r>
        <w:t>European Commission. (2009k). Reply to the Dutch Senate: C/2009/9048. 14 December 2009.</w:t>
      </w:r>
    </w:p>
    <w:p w:rsidR="00100A24" w:rsidRDefault="00100A24" w:rsidP="00AD10EE"/>
    <w:p w:rsidR="00100A24" w:rsidRDefault="00100A24" w:rsidP="00AD10EE">
      <w:pPr>
        <w:ind w:left="426" w:hanging="426"/>
      </w:pPr>
      <w:r>
        <w:t>European Commission. (2009l). Reply to the Austrian Bundesrat: C/2009/10064. 11 December 2009.</w:t>
      </w:r>
    </w:p>
    <w:p w:rsidR="00100A24" w:rsidRDefault="00100A24" w:rsidP="00AD10EE"/>
    <w:p w:rsidR="00100A24" w:rsidRDefault="00100A24" w:rsidP="00AD10EE">
      <w:pPr>
        <w:ind w:left="426" w:hanging="426"/>
      </w:pPr>
      <w:r>
        <w:t>European Commission. (2009m). Reply to the Czech Sen</w:t>
      </w:r>
      <w:r w:rsidRPr="006014A5">
        <w:t>á</w:t>
      </w:r>
      <w:r>
        <w:t>t: C/2009/9047. 19 November 2009.</w:t>
      </w:r>
    </w:p>
    <w:p w:rsidR="00100A24" w:rsidRDefault="00100A24" w:rsidP="00AD10EE"/>
    <w:p w:rsidR="00100A24" w:rsidRDefault="00100A24" w:rsidP="00AD10EE">
      <w:pPr>
        <w:ind w:left="426" w:hanging="426"/>
      </w:pPr>
      <w:r>
        <w:t>European Commission. (2009n). Reply to the Bulgarian Parliament: C/2009/10036. 11 December 2009.</w:t>
      </w:r>
    </w:p>
    <w:p w:rsidR="00100A24" w:rsidRDefault="00100A24" w:rsidP="00AD10EE"/>
    <w:p w:rsidR="00100A24" w:rsidRDefault="00100A24" w:rsidP="00AD10EE">
      <w:pPr>
        <w:ind w:left="426" w:hanging="426"/>
      </w:pPr>
      <w:r>
        <w:t>European Commission. (2009o). Reply to the Italian Senato della Repubblica: C/2009/8975. 16 November 2009.</w:t>
      </w:r>
    </w:p>
    <w:p w:rsidR="00100A24" w:rsidRDefault="00100A24" w:rsidP="00AD10EE"/>
    <w:p w:rsidR="00100A24" w:rsidRDefault="00100A24" w:rsidP="00AD10EE">
      <w:pPr>
        <w:spacing w:line="288" w:lineRule="auto"/>
        <w:ind w:left="426" w:hanging="426"/>
      </w:pPr>
      <w:r>
        <w:t>European Commission. (2010). Reply to Maltese Parliament: C/2010/46. 27 January 2010.</w:t>
      </w:r>
    </w:p>
    <w:p w:rsidR="00100A24" w:rsidRDefault="00100A24" w:rsidP="003145D5">
      <w:pPr>
        <w:spacing w:line="288" w:lineRule="auto"/>
        <w:ind w:left="426" w:hanging="426"/>
      </w:pPr>
    </w:p>
    <w:p w:rsidR="00100A24" w:rsidRDefault="00100A24" w:rsidP="003145D5">
      <w:pPr>
        <w:spacing w:line="288" w:lineRule="auto"/>
        <w:ind w:left="426" w:hanging="426"/>
      </w:pPr>
      <w:r>
        <w:t xml:space="preserve">Folketinget. </w:t>
      </w:r>
      <w:r>
        <w:rPr>
          <w:i/>
        </w:rPr>
        <w:t>Opinion adopted by the European Affairs Committee of the Danish Parliament on the Commission’s Proposal for a Directive of the European Parliament and of the Council on standards of quality and safety of human organs intended for transplantation  - COM(2008) 818 final</w:t>
      </w:r>
      <w:r>
        <w:t>. 12 February 2009.</w:t>
      </w:r>
    </w:p>
    <w:p w:rsidR="00100A24" w:rsidRDefault="00100A24" w:rsidP="00761C8A">
      <w:pPr>
        <w:spacing w:line="288" w:lineRule="auto"/>
      </w:pPr>
    </w:p>
    <w:p w:rsidR="00100A24" w:rsidRDefault="00100A24" w:rsidP="00195E45">
      <w:pPr>
        <w:spacing w:line="288" w:lineRule="auto"/>
        <w:ind w:left="426" w:hanging="426"/>
      </w:pPr>
      <w:r>
        <w:t>Herzog, R., Bolkestein, F. &amp; L. Gerken. “</w:t>
      </w:r>
      <w:r w:rsidRPr="001839F6">
        <w:t>De Europese Unie moet meer tegenspel krijgen van lidstaten</w:t>
      </w:r>
      <w:r>
        <w:rPr>
          <w:i/>
        </w:rPr>
        <w:t>”</w:t>
      </w:r>
      <w:r>
        <w:t xml:space="preserve">. </w:t>
      </w:r>
      <w:r w:rsidRPr="001839F6">
        <w:rPr>
          <w:i/>
        </w:rPr>
        <w:t>NRC Handelsblad</w:t>
      </w:r>
      <w:r>
        <w:t>, 23 January 2010.</w:t>
      </w:r>
    </w:p>
    <w:p w:rsidR="00100A24" w:rsidRDefault="00100A24" w:rsidP="00195E45">
      <w:pPr>
        <w:spacing w:line="288" w:lineRule="auto"/>
        <w:ind w:left="426" w:hanging="426"/>
      </w:pPr>
    </w:p>
    <w:p w:rsidR="00100A24" w:rsidRPr="00F1374A" w:rsidRDefault="00100A24" w:rsidP="00195E45">
      <w:pPr>
        <w:spacing w:line="288" w:lineRule="auto"/>
        <w:ind w:left="426" w:hanging="426"/>
      </w:pPr>
      <w:r>
        <w:t xml:space="preserve">Hix, S. (2005). </w:t>
      </w:r>
      <w:r>
        <w:rPr>
          <w:i/>
        </w:rPr>
        <w:t>The Political System of the European Union</w:t>
      </w:r>
      <w:r>
        <w:t>. Houndmills/New York: Palgrave Macmillan.</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Hooghe, L. &amp; G. Marks. (2001). “Multi-Level Governance in the European Union”. In: L. Hooghe &amp; G. Marks, </w:t>
      </w:r>
      <w:r>
        <w:rPr>
          <w:i/>
        </w:rPr>
        <w:t>Multi-Level Governance and European Integration</w:t>
      </w:r>
      <w:r>
        <w:t>. Lanham: Rowman &amp; Littlefield Publishers, Inc.</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Hooghe, L. &amp; G. Marks. (2003). “Unraveling the Central State, But How? Types of Multi-Level Governance”. </w:t>
      </w:r>
      <w:r>
        <w:rPr>
          <w:i/>
        </w:rPr>
        <w:t>Political Science Series</w:t>
      </w:r>
      <w:r>
        <w:t>, 87:1-38.</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House of Commons. </w:t>
      </w:r>
      <w:r>
        <w:rPr>
          <w:i/>
        </w:rPr>
        <w:t>Quality and safety of human organs for transplantation</w:t>
      </w:r>
      <w:r>
        <w:t>. 14 January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House of Commons. </w:t>
      </w:r>
      <w:r>
        <w:rPr>
          <w:i/>
        </w:rPr>
        <w:t>Quality and safety of human organs for transplantation</w:t>
      </w:r>
      <w:r>
        <w:t>. 23 March 2010.</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Hungarian National Assembly Committee on European Affairs. </w:t>
      </w:r>
      <w:r>
        <w:rPr>
          <w:i/>
        </w:rPr>
        <w:t>Reasoned opinion concerning the subsidiarity check of the Proposal for a Directive of the  European Parliament and of the Council on standards of quality and safety of human organs intended for transplantation</w:t>
      </w:r>
      <w:r>
        <w:t>. 24 February 2009.</w:t>
      </w:r>
    </w:p>
    <w:p w:rsidR="00100A24" w:rsidRDefault="00100A24" w:rsidP="00195E45">
      <w:pPr>
        <w:spacing w:line="288" w:lineRule="auto"/>
        <w:ind w:left="426" w:hanging="426"/>
      </w:pPr>
    </w:p>
    <w:p w:rsidR="00100A24" w:rsidRDefault="00100A24" w:rsidP="00A40E1D">
      <w:pPr>
        <w:spacing w:line="288" w:lineRule="auto"/>
        <w:ind w:left="426" w:hanging="426"/>
        <w:jc w:val="left"/>
      </w:pPr>
      <w:r>
        <w:t xml:space="preserve">IPEX. </w:t>
      </w:r>
      <w:r>
        <w:rPr>
          <w:i/>
        </w:rPr>
        <w:t>COD/2010/0050.</w:t>
      </w:r>
      <w:r>
        <w:t xml:space="preserve"> [</w:t>
      </w:r>
      <w:r w:rsidRPr="00812198">
        <w:t>http://www.ipex.eu/ipex/cms/home/Documents/dossier_COD20100050</w:t>
      </w:r>
      <w:r>
        <w:t>]. 29 June 2010.</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Italian Senate. </w:t>
      </w:r>
      <w:r>
        <w:rPr>
          <w:i/>
        </w:rPr>
        <w:t xml:space="preserve">Opinion passed by the EU Policies Committee on Proposal for a Council Framework Decision on the right to interpretation and to translation in criminal proceedings (COM 2009 338 DEF). </w:t>
      </w:r>
      <w:r>
        <w:t>30 July 2009.</w:t>
      </w:r>
    </w:p>
    <w:p w:rsidR="00100A24" w:rsidRDefault="00100A24" w:rsidP="00195E45">
      <w:pPr>
        <w:spacing w:line="288" w:lineRule="auto"/>
        <w:ind w:left="426" w:hanging="426"/>
      </w:pPr>
    </w:p>
    <w:p w:rsidR="00100A24" w:rsidRPr="000370C0" w:rsidRDefault="00100A24" w:rsidP="00195E45">
      <w:pPr>
        <w:spacing w:line="288" w:lineRule="auto"/>
        <w:ind w:left="426" w:hanging="426"/>
      </w:pPr>
      <w:r>
        <w:t xml:space="preserve">Jachtenfuchs, M. &amp; B. Kohler-Koch. (2004). “Governance and Institutional Development”. In: A. Wiener &amp; T. Diez, </w:t>
      </w:r>
      <w:r>
        <w:rPr>
          <w:i/>
        </w:rPr>
        <w:t>European Integration Theory.</w:t>
      </w:r>
      <w:r>
        <w:t xml:space="preserve"> New York: Oxford University Press Inc.</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Jans, T. &amp; S. Piedrafita. (2009). “The Role of National Parliaments in European Decision-Making”. </w:t>
      </w:r>
      <w:r>
        <w:rPr>
          <w:i/>
        </w:rPr>
        <w:t xml:space="preserve">Epipascope, </w:t>
      </w:r>
      <w:r w:rsidRPr="00497760">
        <w:t>2009(1):19-26</w:t>
      </w:r>
      <w:r>
        <w:rPr>
          <w:i/>
        </w:rPr>
        <w:t>.</w:t>
      </w:r>
      <w:r>
        <w:t xml:space="preserve"> </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Kamra tad-Deputati. </w:t>
      </w:r>
      <w:r>
        <w:rPr>
          <w:i/>
        </w:rPr>
        <w:t>COM (2009) 338 – Proposal for a COUNCIL FRAMEWORK DECISION on the right to interpretation and to translation in criminal proceedings</w:t>
      </w:r>
      <w:r>
        <w:t>. 14 September 2009.</w:t>
      </w:r>
    </w:p>
    <w:p w:rsidR="00100A24" w:rsidRDefault="00100A24" w:rsidP="00195E45">
      <w:pPr>
        <w:spacing w:line="288" w:lineRule="auto"/>
        <w:ind w:left="426" w:hanging="426"/>
      </w:pPr>
    </w:p>
    <w:p w:rsidR="00100A24" w:rsidRDefault="00100A24" w:rsidP="00195E45">
      <w:pPr>
        <w:spacing w:line="288" w:lineRule="auto"/>
        <w:ind w:left="426" w:hanging="426"/>
      </w:pPr>
      <w:r>
        <w:t>Maastricht Treaty: Treaty on European Union (EU), 7 February 1992, 1992 O.J. (C 191) 1, 31 I.L.M. 253.</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National Assembly for Wales. (2009). </w:t>
      </w:r>
      <w:r>
        <w:rPr>
          <w:i/>
        </w:rPr>
        <w:t>Report of Inquiry into Subsidiarity.</w:t>
      </w:r>
      <w:r>
        <w:t xml:space="preserve"> Performed by the European and External Affairs Committee and can be accessed at: [</w:t>
      </w:r>
      <w:r w:rsidRPr="00BE437F">
        <w:t>http://www.assemblywales.org/cr-ld7434-e.pdf</w:t>
      </w:r>
      <w:r>
        <w:t>]. 16 June 2010.</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National Assembly of the Republic of Bulgaria. </w:t>
      </w:r>
      <w:r>
        <w:rPr>
          <w:i/>
        </w:rPr>
        <w:t>Report</w:t>
      </w:r>
      <w:r>
        <w:t>. 27 August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Oireachtas Joint Committee on European Scrutiny. </w:t>
      </w:r>
      <w:r>
        <w:rPr>
          <w:i/>
        </w:rPr>
        <w:t xml:space="preserve">Final Reasoned Opinion for COM (2009) 338. </w:t>
      </w:r>
      <w:r>
        <w:t>3 September 2009.</w:t>
      </w:r>
    </w:p>
    <w:p w:rsidR="00100A24" w:rsidRDefault="00100A24" w:rsidP="00195E45">
      <w:pPr>
        <w:spacing w:line="288" w:lineRule="auto"/>
        <w:ind w:left="426" w:hanging="426"/>
      </w:pPr>
    </w:p>
    <w:p w:rsidR="00100A24" w:rsidRDefault="00100A24" w:rsidP="00195E45">
      <w:pPr>
        <w:spacing w:line="288" w:lineRule="auto"/>
        <w:ind w:left="426" w:hanging="426"/>
      </w:pPr>
      <w:r w:rsidRPr="004B1273">
        <w:t>Osborne, D. &amp; T.</w:t>
      </w:r>
      <w:r>
        <w:t xml:space="preserve"> Gaebler. (1993).</w:t>
      </w:r>
      <w:r w:rsidRPr="004B1273">
        <w:t xml:space="preserve"> </w:t>
      </w:r>
      <w:r w:rsidRPr="004B1273">
        <w:rPr>
          <w:i/>
        </w:rPr>
        <w:t>Reinventing Government. How Entrepreneurial Spirit is Transforming the Public Sector</w:t>
      </w:r>
      <w:r>
        <w:t>.</w:t>
      </w:r>
      <w:r w:rsidRPr="004B1273">
        <w:t xml:space="preserve"> </w:t>
      </w:r>
      <w:r>
        <w:t>Hammondsworth: Plume.</w:t>
      </w:r>
    </w:p>
    <w:p w:rsidR="00100A24" w:rsidRDefault="00100A24" w:rsidP="00195E45">
      <w:pPr>
        <w:spacing w:line="288" w:lineRule="auto"/>
        <w:ind w:left="426" w:hanging="426"/>
      </w:pPr>
    </w:p>
    <w:p w:rsidR="00100A24" w:rsidRDefault="00100A24" w:rsidP="00195E45">
      <w:pPr>
        <w:spacing w:line="288" w:lineRule="auto"/>
        <w:ind w:left="426" w:hanging="426"/>
      </w:pPr>
      <w:r>
        <w:rPr>
          <w:rFonts w:cs="Times"/>
          <w:color w:val="000000"/>
          <w:szCs w:val="21"/>
        </w:rPr>
        <w:t xml:space="preserve">Permanent Subcommittee on EU Affairs of the National Council. </w:t>
      </w:r>
      <w:r>
        <w:rPr>
          <w:rFonts w:cs="Times"/>
          <w:i/>
          <w:color w:val="000000"/>
          <w:szCs w:val="21"/>
        </w:rPr>
        <w:t>Statement by the Committee on COM(2009) 338 final: Proposal for a Council Framework Decision on the right to interpretation and translation in criminal proceedings</w:t>
      </w:r>
      <w:r>
        <w:rPr>
          <w:rFonts w:cs="Times"/>
          <w:color w:val="000000"/>
          <w:szCs w:val="21"/>
        </w:rPr>
        <w:t>. 17 September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Pius XI. (1936). </w:t>
      </w:r>
      <w:r>
        <w:rPr>
          <w:i/>
        </w:rPr>
        <w:t>Quadragessimo Anno</w:t>
      </w:r>
      <w:r>
        <w:t>. Encyclical letter. To be accessed at: [</w:t>
      </w:r>
      <w:r w:rsidRPr="00F2097B">
        <w:t>http://www.vatican.va/holy_father/pius_xi/encyclicals/documents/hf_p-xi_enc_19310515_quadragesimo-anno_en.html</w:t>
      </w:r>
      <w:r>
        <w:t>]. 4 June 2010.</w:t>
      </w:r>
    </w:p>
    <w:p w:rsidR="00100A24" w:rsidRDefault="00100A24" w:rsidP="00195E45">
      <w:pPr>
        <w:spacing w:line="288" w:lineRule="auto"/>
        <w:ind w:left="426" w:hanging="426"/>
      </w:pPr>
    </w:p>
    <w:p w:rsidR="00100A24" w:rsidRPr="00F2097B" w:rsidRDefault="00100A24" w:rsidP="00195E45">
      <w:pPr>
        <w:spacing w:line="288" w:lineRule="auto"/>
        <w:ind w:left="426" w:hanging="426"/>
      </w:pPr>
      <w:r>
        <w:t xml:space="preserve">Republic of Slovenia National Assembly. </w:t>
      </w:r>
      <w:r>
        <w:rPr>
          <w:i/>
        </w:rPr>
        <w:t>Opinion regarding compliance with the principle of subsidiarity in the proposal for a Directive of the European Parliament and of the Council on standards of quality and safety of human organs intended for transplantation.</w:t>
      </w:r>
      <w:r>
        <w:t xml:space="preserve"> 15 January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Rhodes, R.A.W. (2007). “Understanding governance: ten years on”. </w:t>
      </w:r>
      <w:r>
        <w:rPr>
          <w:i/>
        </w:rPr>
        <w:t>Organization Studies</w:t>
      </w:r>
      <w:r>
        <w:t>, 28(8):1243-1264.</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Rothenberger, S. &amp; O. Vogt. (2007). </w:t>
      </w:r>
      <w:r w:rsidRPr="000B6C10">
        <w:rPr>
          <w:i/>
        </w:rPr>
        <w:t>The “Orange Card”: A Fitting Response to National Parliaments’ Marginalisation in EU Decision-Making?</w:t>
      </w:r>
      <w:r>
        <w:t xml:space="preserve"> Paper prepared for the the Conference: “Fifty Years of Interparliamentary Cooperation”, 13 June 2007, Berlin.</w:t>
      </w:r>
    </w:p>
    <w:p w:rsidR="00100A24" w:rsidRDefault="00100A24" w:rsidP="00195E45">
      <w:pPr>
        <w:spacing w:line="288" w:lineRule="auto"/>
        <w:ind w:left="426" w:hanging="426"/>
      </w:pPr>
    </w:p>
    <w:p w:rsidR="00100A24" w:rsidRPr="00F40A61" w:rsidRDefault="00100A24" w:rsidP="00195E45">
      <w:pPr>
        <w:spacing w:line="288" w:lineRule="auto"/>
        <w:ind w:left="426" w:hanging="426"/>
      </w:pPr>
      <w:r>
        <w:t xml:space="preserve">Scharpf, F.W. (1997). “Economic integration, democracy and the welfare state”. </w:t>
      </w:r>
      <w:r>
        <w:rPr>
          <w:i/>
        </w:rPr>
        <w:t>Journal of European Public Policy</w:t>
      </w:r>
      <w:r>
        <w:t>, 4(1):18-36.</w:t>
      </w:r>
    </w:p>
    <w:p w:rsidR="00100A24" w:rsidRDefault="00100A24" w:rsidP="00195E45">
      <w:pPr>
        <w:spacing w:line="288" w:lineRule="auto"/>
        <w:ind w:left="426" w:hanging="426"/>
      </w:pPr>
    </w:p>
    <w:p w:rsidR="00100A24" w:rsidRDefault="00100A24" w:rsidP="00195E45">
      <w:pPr>
        <w:spacing w:line="288" w:lineRule="auto"/>
        <w:ind w:left="426" w:hanging="426"/>
      </w:pPr>
      <w:r>
        <w:t>S</w:t>
      </w:r>
      <w:r w:rsidRPr="00E93C39">
        <w:t>é</w:t>
      </w:r>
      <w:r>
        <w:t xml:space="preserve">nat de Belgique. </w:t>
      </w:r>
      <w:r w:rsidRPr="00E93C39">
        <w:rPr>
          <w:rFonts w:cs="Times"/>
          <w:i/>
          <w:color w:val="000000"/>
          <w:szCs w:val="23"/>
        </w:rPr>
        <w:t>Proposition d'une Directive du Parlement européen et du Conseil relative aux normes de qualité et de sécurité des organes humains destinés à la trans- plantation</w:t>
      </w:r>
      <w:r>
        <w:rPr>
          <w:rFonts w:cs="Times"/>
          <w:i/>
          <w:color w:val="000000"/>
          <w:szCs w:val="23"/>
        </w:rPr>
        <w:t xml:space="preserve">: avis </w:t>
      </w:r>
      <w:r w:rsidRPr="00E93C39">
        <w:rPr>
          <w:rFonts w:cs="Times"/>
          <w:i/>
          <w:color w:val="000000"/>
          <w:szCs w:val="23"/>
        </w:rPr>
        <w:t>à</w:t>
      </w:r>
      <w:r>
        <w:rPr>
          <w:rFonts w:cs="Times"/>
          <w:i/>
          <w:color w:val="000000"/>
          <w:szCs w:val="23"/>
        </w:rPr>
        <w:t xml:space="preserve"> la Commission Europ</w:t>
      </w:r>
      <w:r w:rsidRPr="00E93C39">
        <w:rPr>
          <w:rFonts w:cs="Times"/>
          <w:i/>
          <w:color w:val="000000"/>
          <w:szCs w:val="23"/>
        </w:rPr>
        <w:t>é</w:t>
      </w:r>
      <w:r>
        <w:rPr>
          <w:rFonts w:cs="Times"/>
          <w:i/>
          <w:color w:val="000000"/>
          <w:szCs w:val="23"/>
        </w:rPr>
        <w:t>enne: avis de la Commission des Affaires Sociales.</w:t>
      </w:r>
      <w:r>
        <w:rPr>
          <w:rFonts w:cs="Times"/>
          <w:color w:val="000000"/>
          <w:szCs w:val="23"/>
        </w:rPr>
        <w:t xml:space="preserve"> </w:t>
      </w:r>
      <w:r>
        <w:rPr>
          <w:rFonts w:cs="Times"/>
          <w:color w:val="000000"/>
          <w:szCs w:val="21"/>
        </w:rPr>
        <w:t>11 February 2009.</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Senato della Repubblica. </w:t>
      </w:r>
      <w:r>
        <w:rPr>
          <w:i/>
        </w:rPr>
        <w:t>Opinion of the 14</w:t>
      </w:r>
      <w:r w:rsidRPr="004C53B4">
        <w:rPr>
          <w:i/>
          <w:vertAlign w:val="superscript"/>
        </w:rPr>
        <w:t>th</w:t>
      </w:r>
      <w:r>
        <w:rPr>
          <w:i/>
        </w:rPr>
        <w:t xml:space="preserve"> Committee on Community Act NO. 26.</w:t>
      </w:r>
      <w:r>
        <w:t xml:space="preserve"> 3 February 2009.</w:t>
      </w:r>
    </w:p>
    <w:p w:rsidR="00100A24" w:rsidRDefault="00100A24" w:rsidP="00195E45">
      <w:pPr>
        <w:spacing w:line="288" w:lineRule="auto"/>
        <w:ind w:left="426" w:hanging="426"/>
      </w:pPr>
    </w:p>
    <w:p w:rsidR="00100A24" w:rsidRDefault="00100A24" w:rsidP="00651D05">
      <w:pPr>
        <w:ind w:left="426" w:hanging="426"/>
        <w:jc w:val="left"/>
      </w:pPr>
      <w:r>
        <w:t xml:space="preserve">The Legislative Observatory. </w:t>
      </w:r>
      <w:r>
        <w:rPr>
          <w:i/>
        </w:rPr>
        <w:t>COD/2008/0238</w:t>
      </w:r>
      <w:r>
        <w:t>. [</w:t>
      </w:r>
      <w:r w:rsidRPr="00DC070C">
        <w:t>http://www.europarl.europa.eu/oeil/file.jsp?id=5725432</w:t>
      </w:r>
      <w:r>
        <w:t>]. 24 June 2010.</w:t>
      </w:r>
    </w:p>
    <w:p w:rsidR="00100A24" w:rsidRDefault="00100A24" w:rsidP="00651D05"/>
    <w:p w:rsidR="00100A24" w:rsidRDefault="00100A24" w:rsidP="00651D05">
      <w:pPr>
        <w:spacing w:line="288" w:lineRule="auto"/>
        <w:ind w:left="426" w:hanging="426"/>
        <w:jc w:val="left"/>
      </w:pPr>
      <w:r>
        <w:t xml:space="preserve">The Legislative Observatory. </w:t>
      </w:r>
      <w:r>
        <w:rPr>
          <w:i/>
        </w:rPr>
        <w:t>COD/2010/0082</w:t>
      </w:r>
      <w:r>
        <w:t>. [</w:t>
      </w:r>
      <w:r w:rsidRPr="00B63759">
        <w:t>http://www.europarl.europa.eu/oeil/file.jsp?id=5846882</w:t>
      </w:r>
      <w:r>
        <w:t>]. 29 June 2010.</w:t>
      </w:r>
    </w:p>
    <w:p w:rsidR="00100A24" w:rsidRDefault="00100A24" w:rsidP="00195E45">
      <w:pPr>
        <w:spacing w:line="288" w:lineRule="auto"/>
        <w:ind w:left="426" w:hanging="426"/>
      </w:pPr>
    </w:p>
    <w:p w:rsidR="00100A24" w:rsidRDefault="00100A24" w:rsidP="00195E45">
      <w:pPr>
        <w:spacing w:line="288" w:lineRule="auto"/>
        <w:ind w:left="426" w:hanging="426"/>
      </w:pPr>
      <w:r>
        <w:t xml:space="preserve">The Parliament of the Czech Republic: Senate. </w:t>
      </w:r>
      <w:r>
        <w:rPr>
          <w:i/>
        </w:rPr>
        <w:t>300</w:t>
      </w:r>
      <w:r w:rsidRPr="006014A5">
        <w:rPr>
          <w:i/>
          <w:vertAlign w:val="superscript"/>
        </w:rPr>
        <w:t>th</w:t>
      </w:r>
      <w:r>
        <w:rPr>
          <w:i/>
        </w:rPr>
        <w:t xml:space="preserve"> resolution of the Senate</w:t>
      </w:r>
      <w:r>
        <w:t>. 7 October 2009.</w:t>
      </w:r>
    </w:p>
    <w:p w:rsidR="00100A24" w:rsidRDefault="00100A24" w:rsidP="00195E45">
      <w:pPr>
        <w:spacing w:line="288" w:lineRule="auto"/>
        <w:ind w:left="426" w:hanging="426"/>
      </w:pPr>
    </w:p>
    <w:p w:rsidR="00100A24" w:rsidRDefault="00100A24" w:rsidP="00195E45">
      <w:pPr>
        <w:spacing w:line="288" w:lineRule="auto"/>
        <w:ind w:left="426" w:hanging="426"/>
      </w:pPr>
      <w:r>
        <w:t>Treaty of Amsterdam, 2 October 1997, 1997 O.J. (C 340) 1, 37 I.L.M. 56.</w:t>
      </w:r>
    </w:p>
    <w:p w:rsidR="00100A24" w:rsidRDefault="00100A24" w:rsidP="00195E45">
      <w:pPr>
        <w:spacing w:line="288" w:lineRule="auto"/>
        <w:ind w:left="426" w:hanging="426"/>
      </w:pPr>
    </w:p>
    <w:p w:rsidR="00100A24" w:rsidRPr="004F72A4" w:rsidRDefault="00100A24" w:rsidP="00195E45">
      <w:pPr>
        <w:spacing w:line="288" w:lineRule="auto"/>
        <w:ind w:left="426" w:hanging="426"/>
      </w:pPr>
      <w:r>
        <w:t>Treaty of Lisbon, 13 December 2007, 2007 O.J. (C 306) 1.</w:t>
      </w:r>
    </w:p>
    <w:p w:rsidR="00100A24" w:rsidRDefault="00100A24" w:rsidP="00195E45">
      <w:pPr>
        <w:spacing w:line="288" w:lineRule="auto"/>
        <w:ind w:left="426" w:hanging="426"/>
      </w:pPr>
    </w:p>
    <w:p w:rsidR="00100A24" w:rsidRDefault="00100A24" w:rsidP="003353F5">
      <w:pPr>
        <w:spacing w:line="288" w:lineRule="auto"/>
        <w:ind w:left="426" w:hanging="426"/>
      </w:pPr>
      <w:r>
        <w:t xml:space="preserve">Van Kersbergen, K. &amp; F. Van Waarden. (2004). “‘Governance’ as a bridge between disciplines: cross-disciplinary inspiration regarding shifts in governance and problems of governability, accountability and legitimacy”. </w:t>
      </w:r>
      <w:r>
        <w:rPr>
          <w:i/>
        </w:rPr>
        <w:t>European Journal of Political Research</w:t>
      </w:r>
      <w:r>
        <w:t>, 43:143-171.</w:t>
      </w:r>
    </w:p>
    <w:p w:rsidR="00100A24" w:rsidRDefault="00100A24" w:rsidP="003353F5">
      <w:pPr>
        <w:spacing w:line="288" w:lineRule="auto"/>
        <w:ind w:left="426" w:hanging="426"/>
      </w:pPr>
    </w:p>
    <w:p w:rsidR="00100A24" w:rsidRDefault="00100A24" w:rsidP="003353F5">
      <w:pPr>
        <w:spacing w:line="288" w:lineRule="auto"/>
        <w:ind w:left="426" w:hanging="426"/>
      </w:pPr>
      <w:r>
        <w:t xml:space="preserve">Van Nispen, F.K.M. &amp; A.B. Ringeling. (2006). “The Concept of Subsidiarity in a European Context: The End of National Sovereignty?” In: D. Eaton (ed.), </w:t>
      </w:r>
      <w:r>
        <w:rPr>
          <w:i/>
        </w:rPr>
        <w:t>The End of Sovereignty? A Transatlantic Perspective</w:t>
      </w:r>
      <w:r>
        <w:t>. (Transatlantic Public Policy Series, 2). Münster: Lit Verlag.</w:t>
      </w:r>
    </w:p>
    <w:p w:rsidR="00100A24" w:rsidRDefault="00100A24" w:rsidP="003353F5">
      <w:pPr>
        <w:spacing w:line="288" w:lineRule="auto"/>
        <w:ind w:left="426" w:hanging="426"/>
      </w:pPr>
    </w:p>
    <w:p w:rsidR="00100A24" w:rsidRDefault="00100A24" w:rsidP="003B296D">
      <w:pPr>
        <w:pStyle w:val="Heading1"/>
      </w:pPr>
      <w:r>
        <w:br w:type="column"/>
      </w:r>
      <w:bookmarkStart w:id="49" w:name="_Toc141864084"/>
      <w:r>
        <w:t>Annex</w:t>
      </w:r>
      <w:bookmarkEnd w:id="49"/>
    </w:p>
    <w:p w:rsidR="00100A24" w:rsidRDefault="00100A24" w:rsidP="003B296D"/>
    <w:p w:rsidR="00100A24" w:rsidRDefault="00100A24" w:rsidP="00377969">
      <w:r>
        <w:t>Annex I: Relevant provisions of the European Treaties</w:t>
      </w:r>
    </w:p>
    <w:p w:rsidR="00100A24" w:rsidRDefault="00100A24" w:rsidP="00377969">
      <w:r>
        <w:t>Annex II: Protocol 1 to the Lisbon Treaty on the Role of National Parliaments in the Union</w:t>
      </w:r>
    </w:p>
    <w:p w:rsidR="00100A24" w:rsidRDefault="00100A24" w:rsidP="00377969">
      <w:r>
        <w:t>Annex III: Protocol 2 to the Lisbon Treaty on the Application of the Principles of Subsidiarity and Proportionality</w:t>
      </w:r>
    </w:p>
    <w:p w:rsidR="00100A24" w:rsidRDefault="00100A24" w:rsidP="00377969">
      <w:r>
        <w:t>Annex IV: List of national parliaments and chambers</w:t>
      </w:r>
    </w:p>
    <w:p w:rsidR="00100A24" w:rsidRDefault="00100A24" w:rsidP="00377969">
      <w:r>
        <w:t>Annex V: Interviews</w:t>
      </w:r>
    </w:p>
    <w:p w:rsidR="00100A24" w:rsidRDefault="00100A24" w:rsidP="00377969"/>
    <w:p w:rsidR="00100A24" w:rsidRDefault="00100A24" w:rsidP="00775F9F">
      <w:pPr>
        <w:pStyle w:val="Heading2"/>
      </w:pPr>
      <w:r>
        <w:br w:type="column"/>
      </w:r>
      <w:bookmarkStart w:id="50" w:name="_Toc141864085"/>
      <w:r>
        <w:t>Annex I: Relevant provisions of the European Treaties</w:t>
      </w:r>
      <w:bookmarkEnd w:id="50"/>
    </w:p>
    <w:p w:rsidR="00100A24" w:rsidRDefault="00100A24" w:rsidP="00775F9F"/>
    <w:p w:rsidR="00100A24" w:rsidRPr="00C325D0" w:rsidRDefault="00100A24" w:rsidP="00C325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left"/>
        <w:rPr>
          <w:u w:val="single"/>
        </w:rPr>
      </w:pPr>
      <w:r w:rsidRPr="00C325D0">
        <w:rPr>
          <w:u w:val="single"/>
        </w:rPr>
        <w:t>Treaty of Maastricht</w:t>
      </w:r>
    </w:p>
    <w:p w:rsidR="00100A24" w:rsidRPr="00C325D0" w:rsidRDefault="00100A24" w:rsidP="00C325D0">
      <w:pPr>
        <w:rPr>
          <w:i/>
        </w:rPr>
      </w:pPr>
      <w:r>
        <w:br/>
      </w:r>
      <w:r w:rsidRPr="00C325D0">
        <w:rPr>
          <w:i/>
        </w:rPr>
        <w:t>“ARTICLE 3 b The Community shall act within the limits of the powers conferred upon it by this Treaty and of the objectives assigned to it therein. In areas which do not fall within its exclusive competence, the Community shall take action, in accordance with the principle of subsidiarity, only if and in so far as the objectives of the proposed action cannot be sufficiently achieved by the Member States</w:t>
      </w:r>
    </w:p>
    <w:p w:rsidR="00100A24" w:rsidRPr="00C325D0" w:rsidRDefault="00100A24" w:rsidP="00C325D0">
      <w:pPr>
        <w:rPr>
          <w:i/>
        </w:rPr>
      </w:pPr>
      <w:r w:rsidRPr="00C325D0">
        <w:rPr>
          <w:i/>
          <w:sz w:val="19"/>
          <w:szCs w:val="19"/>
        </w:rPr>
        <w:t>3</w:t>
      </w:r>
      <w:r w:rsidRPr="00C325D0">
        <w:rPr>
          <w:i/>
        </w:rPr>
        <w:t>and can therefore, by reason of the scale or effects of the proposed action, be better achieved by the Community. Any action by the Community shall not go beyond what is necessary to achieve the objectives of this Treaty.”</w:t>
      </w:r>
    </w:p>
    <w:p w:rsidR="00100A24" w:rsidRDefault="00100A24" w:rsidP="00775F9F">
      <w:pPr>
        <w:pStyle w:val="Heading2"/>
      </w:pPr>
    </w:p>
    <w:p w:rsidR="00100A24" w:rsidRDefault="00100A24" w:rsidP="007443B3">
      <w:pPr>
        <w:rPr>
          <w:u w:val="single"/>
        </w:rPr>
      </w:pPr>
      <w:r>
        <w:rPr>
          <w:u w:val="single"/>
        </w:rPr>
        <w:t>Treaty of Lisbon</w:t>
      </w:r>
    </w:p>
    <w:p w:rsidR="00100A24" w:rsidRPr="007443B3" w:rsidRDefault="00100A24" w:rsidP="007443B3">
      <w:pPr>
        <w:rPr>
          <w:i/>
          <w:szCs w:val="25"/>
        </w:rPr>
      </w:pPr>
      <w:r w:rsidRPr="007443B3">
        <w:rPr>
          <w:i/>
          <w:szCs w:val="25"/>
        </w:rPr>
        <w:t>“A</w:t>
      </w:r>
      <w:r w:rsidRPr="007443B3">
        <w:rPr>
          <w:i/>
        </w:rPr>
        <w:t xml:space="preserve">RTICLE </w:t>
      </w:r>
      <w:r w:rsidRPr="007443B3">
        <w:rPr>
          <w:i/>
          <w:szCs w:val="25"/>
        </w:rPr>
        <w:t>3a</w:t>
      </w:r>
    </w:p>
    <w:p w:rsidR="00100A24" w:rsidRPr="007443B3" w:rsidRDefault="00100A24" w:rsidP="007443B3">
      <w:pPr>
        <w:rPr>
          <w:i/>
          <w:szCs w:val="25"/>
        </w:rPr>
      </w:pPr>
      <w:r w:rsidRPr="007443B3">
        <w:rPr>
          <w:i/>
          <w:szCs w:val="25"/>
        </w:rPr>
        <w:t>1.</w:t>
      </w:r>
      <w:r w:rsidRPr="007443B3">
        <w:rPr>
          <w:i/>
          <w:szCs w:val="25"/>
        </w:rPr>
        <w:tab/>
        <w:t>In accordance with Article 3b, competences not conferred upon the Union in the Treaties remain with the Member States.</w:t>
      </w:r>
    </w:p>
    <w:p w:rsidR="00100A24" w:rsidRPr="007443B3" w:rsidRDefault="00100A24" w:rsidP="007443B3">
      <w:pPr>
        <w:rPr>
          <w:i/>
          <w:szCs w:val="25"/>
        </w:rPr>
      </w:pPr>
      <w:r w:rsidRPr="007443B3">
        <w:rPr>
          <w:i/>
          <w:szCs w:val="25"/>
        </w:rPr>
        <w:t>2.</w:t>
      </w:r>
      <w:r w:rsidRPr="007443B3">
        <w:rPr>
          <w:i/>
          <w:szCs w:val="25"/>
        </w:rPr>
        <w:tab/>
        <w:t>The Union shall respect the equality of Member States before the Treaties as well as their national identities, inherent in their fundamental structures, political and constitutional,inclusive of regional and local self-government. It shall respect their essential State functions, including ensuring the territorial integrity of the State, maintaining law and order and safeguarding national security. In particular, national security remains the sole responsibility of each Member State.</w:t>
      </w:r>
    </w:p>
    <w:p w:rsidR="00100A24" w:rsidRPr="007443B3" w:rsidRDefault="00100A24" w:rsidP="007443B3">
      <w:pPr>
        <w:rPr>
          <w:i/>
          <w:szCs w:val="25"/>
        </w:rPr>
      </w:pPr>
      <w:r w:rsidRPr="007443B3">
        <w:rPr>
          <w:i/>
          <w:szCs w:val="25"/>
        </w:rPr>
        <w:t>3.</w:t>
      </w:r>
      <w:r w:rsidRPr="007443B3">
        <w:rPr>
          <w:i/>
          <w:szCs w:val="25"/>
        </w:rPr>
        <w:tab/>
        <w:t>Pursuant to the principle of sincere cooperation, the Union and the Member States shall,in full mutual respect, assist each other in carrying out tasks which flow from the Treaties.</w:t>
      </w:r>
    </w:p>
    <w:p w:rsidR="00100A24" w:rsidRPr="007443B3" w:rsidRDefault="00100A24" w:rsidP="007443B3">
      <w:pPr>
        <w:rPr>
          <w:i/>
          <w:szCs w:val="25"/>
        </w:rPr>
      </w:pPr>
      <w:r w:rsidRPr="007443B3">
        <w:rPr>
          <w:i/>
          <w:szCs w:val="25"/>
        </w:rPr>
        <w:t>The Member States shall take any appropriate measure, general or particular, to ensure fulfilment of the obligations arising out of the Treaties or resulting from the acts of the institutions of the Union.</w:t>
      </w:r>
    </w:p>
    <w:p w:rsidR="00100A24" w:rsidRPr="007443B3" w:rsidRDefault="00100A24" w:rsidP="007443B3">
      <w:pPr>
        <w:rPr>
          <w:i/>
          <w:szCs w:val="25"/>
        </w:rPr>
      </w:pPr>
      <w:r w:rsidRPr="007443B3">
        <w:rPr>
          <w:i/>
          <w:szCs w:val="25"/>
        </w:rPr>
        <w:t>The Member States shall facilitate the achievement of the Union's tasks and refrain from any measure which could jeopardise the attai</w:t>
      </w:r>
      <w:r>
        <w:rPr>
          <w:i/>
          <w:szCs w:val="25"/>
        </w:rPr>
        <w:t>nment of the Union's objectives</w:t>
      </w:r>
      <w:r w:rsidRPr="007443B3">
        <w:rPr>
          <w:i/>
          <w:szCs w:val="25"/>
        </w:rPr>
        <w:t>.</w:t>
      </w:r>
    </w:p>
    <w:p w:rsidR="00100A24" w:rsidRDefault="00100A24" w:rsidP="007443B3">
      <w:pPr>
        <w:rPr>
          <w:i/>
          <w:szCs w:val="25"/>
        </w:rPr>
      </w:pPr>
    </w:p>
    <w:p w:rsidR="00100A24" w:rsidRDefault="00100A24" w:rsidP="007443B3">
      <w:pPr>
        <w:rPr>
          <w:i/>
          <w:szCs w:val="25"/>
        </w:rPr>
      </w:pPr>
    </w:p>
    <w:p w:rsidR="00100A24" w:rsidRPr="007443B3" w:rsidRDefault="00100A24" w:rsidP="007443B3">
      <w:pPr>
        <w:rPr>
          <w:i/>
          <w:szCs w:val="25"/>
        </w:rPr>
      </w:pPr>
    </w:p>
    <w:p w:rsidR="00100A24" w:rsidRPr="007443B3" w:rsidRDefault="00100A24" w:rsidP="007443B3">
      <w:pPr>
        <w:rPr>
          <w:i/>
          <w:szCs w:val="25"/>
        </w:rPr>
      </w:pPr>
      <w:r w:rsidRPr="007443B3">
        <w:rPr>
          <w:i/>
          <w:szCs w:val="25"/>
        </w:rPr>
        <w:t>A</w:t>
      </w:r>
      <w:r w:rsidRPr="007443B3">
        <w:rPr>
          <w:i/>
        </w:rPr>
        <w:t xml:space="preserve">RTICLE </w:t>
      </w:r>
      <w:r w:rsidRPr="007443B3">
        <w:rPr>
          <w:i/>
          <w:szCs w:val="25"/>
        </w:rPr>
        <w:t>3b</w:t>
      </w:r>
    </w:p>
    <w:p w:rsidR="00100A24" w:rsidRPr="007443B3" w:rsidRDefault="00100A24" w:rsidP="007443B3">
      <w:pPr>
        <w:rPr>
          <w:i/>
          <w:szCs w:val="25"/>
        </w:rPr>
      </w:pPr>
      <w:r w:rsidRPr="007443B3">
        <w:rPr>
          <w:i/>
          <w:szCs w:val="25"/>
        </w:rPr>
        <w:t>1.</w:t>
      </w:r>
      <w:r w:rsidRPr="007443B3">
        <w:rPr>
          <w:i/>
          <w:szCs w:val="25"/>
        </w:rPr>
        <w:tab/>
        <w:t>The limits of Union competences are governed by the principle of conferral. The use of Union competences is governed by the principles of subsidiarity and proportionality.</w:t>
      </w:r>
    </w:p>
    <w:p w:rsidR="00100A24" w:rsidRPr="007443B3" w:rsidRDefault="00100A24" w:rsidP="007443B3">
      <w:pPr>
        <w:rPr>
          <w:i/>
          <w:szCs w:val="25"/>
        </w:rPr>
      </w:pPr>
      <w:r w:rsidRPr="007443B3">
        <w:rPr>
          <w:i/>
          <w:szCs w:val="25"/>
        </w:rPr>
        <w:t>2.</w:t>
      </w:r>
      <w:r w:rsidRPr="007443B3">
        <w:rPr>
          <w:i/>
          <w:szCs w:val="25"/>
        </w:rPr>
        <w:tab/>
        <w:t>Under the principle of conferral, the Union shall act only within the limits of the competences conferred upon it by the Member States in the Treaties to attain the objectives set out therein. Competences not conferred upon the Union in the Treaties remain with the Member States.</w:t>
      </w:r>
    </w:p>
    <w:p w:rsidR="00100A24" w:rsidRPr="007443B3" w:rsidRDefault="00100A24" w:rsidP="007443B3">
      <w:pPr>
        <w:rPr>
          <w:i/>
          <w:szCs w:val="25"/>
        </w:rPr>
      </w:pPr>
      <w:r w:rsidRPr="007443B3">
        <w:rPr>
          <w:i/>
          <w:szCs w:val="25"/>
        </w:rPr>
        <w:t>3.</w:t>
      </w:r>
      <w:r w:rsidRPr="007443B3">
        <w:rPr>
          <w:i/>
          <w:szCs w:val="25"/>
        </w:rPr>
        <w:tab/>
        <w:t>Under the principle of subsidiarity, in areas which do not fall within its exclusive competence, the Union shall act only if and insofar as the objectives of the proposed action cannot be sufficiently achieved by the Member States, either at central level or at regional and local level, but can rather, by reason of the scale or effects of the proposed action, be better achieved at Union level.</w:t>
      </w:r>
    </w:p>
    <w:p w:rsidR="00100A24" w:rsidRPr="007443B3" w:rsidRDefault="00100A24" w:rsidP="007443B3">
      <w:pPr>
        <w:rPr>
          <w:i/>
          <w:szCs w:val="25"/>
        </w:rPr>
      </w:pPr>
      <w:r w:rsidRPr="007443B3">
        <w:rPr>
          <w:i/>
          <w:szCs w:val="25"/>
        </w:rPr>
        <w:t>13The institutions of the Union shall apply the principle of subsidiarity as laid down in the Protocol on the application of the principles of subsidiarity and proportionality. National Parliaments ensure compliance with the principle of subsidiarity in accordance with the procedure set out in that Protocol.</w:t>
      </w:r>
    </w:p>
    <w:p w:rsidR="00100A24" w:rsidRPr="007443B3" w:rsidRDefault="00100A24" w:rsidP="007443B3">
      <w:pPr>
        <w:rPr>
          <w:i/>
          <w:szCs w:val="25"/>
        </w:rPr>
      </w:pPr>
      <w:r w:rsidRPr="007443B3">
        <w:rPr>
          <w:i/>
          <w:szCs w:val="25"/>
        </w:rPr>
        <w:t>4.</w:t>
      </w:r>
      <w:r w:rsidRPr="007443B3">
        <w:rPr>
          <w:i/>
          <w:szCs w:val="25"/>
        </w:rPr>
        <w:tab/>
        <w:t>Under the principle of proportionality, the content and form of Union action shall not exceed what is necessary to achieve the objectives of the Treaties.</w:t>
      </w:r>
    </w:p>
    <w:p w:rsidR="00100A24" w:rsidRPr="007443B3" w:rsidRDefault="00100A24" w:rsidP="007443B3">
      <w:pPr>
        <w:rPr>
          <w:i/>
        </w:rPr>
      </w:pPr>
      <w:r w:rsidRPr="007443B3">
        <w:rPr>
          <w:i/>
          <w:szCs w:val="25"/>
        </w:rPr>
        <w:t>The institutions of the Union shall apply the principle of proportionality as laid down in the Protocol on the application of the principles of subsidiarity and proportionality.”</w:t>
      </w:r>
    </w:p>
    <w:p w:rsidR="00100A24" w:rsidRDefault="00100A24" w:rsidP="00775F9F">
      <w:pPr>
        <w:pStyle w:val="Heading2"/>
      </w:pPr>
      <w:r>
        <w:br w:type="column"/>
      </w:r>
      <w:bookmarkStart w:id="51" w:name="_Toc141864086"/>
      <w:r>
        <w:t>Annex II: Protocol 1 to the Lisbon Treaty on the Role of National Parliaments in the Union</w:t>
      </w:r>
      <w:bookmarkEnd w:id="51"/>
    </w:p>
    <w:p w:rsidR="00100A24" w:rsidRDefault="00100A24" w:rsidP="00775F9F"/>
    <w:p w:rsidR="00100A24" w:rsidRDefault="00100A24" w:rsidP="00EA63A9">
      <w:r>
        <w:t>THE HIGH CONTRACTING PARTIES,</w:t>
      </w:r>
    </w:p>
    <w:p w:rsidR="00100A24" w:rsidRDefault="00100A24" w:rsidP="00EA63A9">
      <w:r>
        <w:t>RECALLING that the way in which national Parliaments scrutinise their governments in relation to the activities of the European Union is a matter for the particular constitutional organisation and practice of each Member State;</w:t>
      </w:r>
    </w:p>
    <w:p w:rsidR="00100A24" w:rsidRDefault="00100A24" w:rsidP="00EA63A9">
      <w:r>
        <w:t>DESIRING to encourage greater involvement of national Parliaments in the activities of the European Union and to enhance their ability to express their views on draft legislative acts of the European Union as well as on other matters which may be of particular interest to them,</w:t>
      </w:r>
    </w:p>
    <w:p w:rsidR="00100A24" w:rsidRDefault="00100A24" w:rsidP="00EA63A9">
      <w:r>
        <w:t>HAVE AGREED UPON the following provisions, which shall be annexed to the Treaty on European Union, to the Treaty on the Functioning of the European Union and to the Treaty establishing the European Atomic Energy Community:</w:t>
      </w:r>
    </w:p>
    <w:p w:rsidR="00100A24" w:rsidRDefault="00100A24" w:rsidP="00EA63A9"/>
    <w:p w:rsidR="00100A24" w:rsidRDefault="00100A24" w:rsidP="00EA63A9">
      <w:r>
        <w:t>TITLE I INFORMATION FOR NATIONAL PARLIAMENTS</w:t>
      </w:r>
    </w:p>
    <w:p w:rsidR="00100A24" w:rsidRDefault="00100A24" w:rsidP="00EA63A9">
      <w:r>
        <w:t>A</w:t>
      </w:r>
      <w:r>
        <w:rPr>
          <w:sz w:val="21"/>
          <w:szCs w:val="21"/>
        </w:rPr>
        <w:t xml:space="preserve">RTICLE </w:t>
      </w:r>
      <w:r>
        <w:t>1</w:t>
      </w:r>
    </w:p>
    <w:p w:rsidR="00100A24" w:rsidRDefault="00100A24" w:rsidP="00EA63A9">
      <w:r>
        <w:t>Commission consultation documents (green and white papers and communications) shall be forwarded directly by the Commission to national Parliaments upon publication. The Commission shall also forward the annual legislative programme as well as any other instrument of legislative planning or policy to national Parliaments, at the same time as to the European Parliament and the Council.</w:t>
      </w:r>
    </w:p>
    <w:p w:rsidR="00100A24" w:rsidRDefault="00100A24" w:rsidP="00EA63A9"/>
    <w:p w:rsidR="00100A24" w:rsidRDefault="00100A24" w:rsidP="00EA63A9">
      <w:r>
        <w:t>A</w:t>
      </w:r>
      <w:r>
        <w:rPr>
          <w:sz w:val="21"/>
          <w:szCs w:val="21"/>
        </w:rPr>
        <w:t xml:space="preserve">RTICLE </w:t>
      </w:r>
      <w:r>
        <w:t>2</w:t>
      </w:r>
    </w:p>
    <w:p w:rsidR="00100A24" w:rsidRDefault="00100A24" w:rsidP="00EA63A9">
      <w:r>
        <w:t>Draft legislative acts sent to the European Parliament and to the Council shall be forwarded to national Parliaments.</w:t>
      </w:r>
    </w:p>
    <w:p w:rsidR="00100A24" w:rsidRDefault="00100A24" w:rsidP="00EA63A9">
      <w:r>
        <w:t>For the purposes of this Protocol, "draft legislative acts" shall mean proposals from the Commission, initiatives from a group of Member States, initiatives from the European Parliament, requests from the Court of Justice, recommendations from the European Central Bank and requests from the European Investment Bank for the adoption of a legislative act.</w:t>
      </w:r>
    </w:p>
    <w:p w:rsidR="00100A24" w:rsidRDefault="00100A24" w:rsidP="00EA63A9">
      <w:r>
        <w:t>Draft legislative acts originating from the Commission shall be forwarded to national Parliaments directly by the Commission, at the same time as to the European Parliament and the Council.</w:t>
      </w:r>
    </w:p>
    <w:p w:rsidR="00100A24" w:rsidRDefault="00100A24" w:rsidP="00EA63A9">
      <w:r>
        <w:t>Draft legislative acts originating from the European Parliament shall be forwarded to national Parliaments directly by the European Parliament.</w:t>
      </w:r>
    </w:p>
    <w:p w:rsidR="00100A24" w:rsidRDefault="00100A24" w:rsidP="00EA63A9">
      <w:r>
        <w:t>Draft legislative acts originating from a group of Member States, the Court of Justice, the European Central Bank or the European Investment Bank shall be forwarded to national Parliaments by the Council.</w:t>
      </w:r>
    </w:p>
    <w:p w:rsidR="00100A24" w:rsidRDefault="00100A24" w:rsidP="00EA63A9"/>
    <w:p w:rsidR="00100A24" w:rsidRDefault="00100A24" w:rsidP="00EA63A9">
      <w:r>
        <w:t>A</w:t>
      </w:r>
      <w:r>
        <w:rPr>
          <w:sz w:val="21"/>
          <w:szCs w:val="21"/>
        </w:rPr>
        <w:t xml:space="preserve">RTICLE </w:t>
      </w:r>
      <w:r>
        <w:t>3</w:t>
      </w:r>
    </w:p>
    <w:p w:rsidR="00100A24" w:rsidRDefault="00100A24" w:rsidP="00EA63A9">
      <w:r>
        <w:t>National Parliaments may send to the Presidents of the European Parliament, the Council and the Commission a reasoned opinion on whether a draft legislative act complies with the principle of subsidiarity, in accordance with the procedure laid down in the Protocol on the application of the principles of subsidiarity and proportionality.</w:t>
      </w:r>
    </w:p>
    <w:p w:rsidR="00100A24" w:rsidRDefault="00100A24" w:rsidP="00EA63A9">
      <w:r>
        <w:t>If the draft legislative act originates from a group of Member States, the President of the Council shall forward the reasoned opinion or opinions to the governments of those Member States.</w:t>
      </w:r>
    </w:p>
    <w:p w:rsidR="00100A24" w:rsidRDefault="00100A24" w:rsidP="00EA63A9">
      <w:r>
        <w:t>If the draft legislative act originates from the Court of Justice, the European Central Bank or the European Investment Bank, the President of the Council shall forward the reasoned opinion or opinions to the institution or body concerned.</w:t>
      </w:r>
    </w:p>
    <w:p w:rsidR="00100A24" w:rsidRDefault="00100A24" w:rsidP="00EA63A9"/>
    <w:p w:rsidR="00100A24" w:rsidRDefault="00100A24" w:rsidP="00EA63A9">
      <w:r>
        <w:t>A</w:t>
      </w:r>
      <w:r>
        <w:rPr>
          <w:sz w:val="21"/>
          <w:szCs w:val="21"/>
        </w:rPr>
        <w:t xml:space="preserve">RTICLE </w:t>
      </w:r>
      <w:r>
        <w:t>4</w:t>
      </w:r>
    </w:p>
    <w:p w:rsidR="00100A24" w:rsidRDefault="00100A24" w:rsidP="00EA63A9">
      <w:r>
        <w:t>An eight-week period shall elapse between a draft legislative act being made available to national Parliaments in the official languages of the Union and the date when it is placed on a provisional agenda for the Council for its adoption or for adoption of a position under a legislative procedure. Exceptions shall be possible in cases of urgency, the reasons for which shall be stated in the act or position of the Council. Save in urgent cases for which due reasons have been given, no agreement may be reached on a draft legislative act during those eight weeks. Save in urgent cases for which due reasons have been given, a ten-day period shall elapse between the placing of a draft legislative act on the provisional agenda for the Council and the adoption of a position.</w:t>
      </w:r>
    </w:p>
    <w:p w:rsidR="00100A24" w:rsidRDefault="00100A24" w:rsidP="00EA63A9"/>
    <w:p w:rsidR="00100A24" w:rsidRDefault="00100A24" w:rsidP="00EA63A9">
      <w:r>
        <w:t>A</w:t>
      </w:r>
      <w:r>
        <w:rPr>
          <w:sz w:val="21"/>
          <w:szCs w:val="21"/>
        </w:rPr>
        <w:t xml:space="preserve">RTICLE </w:t>
      </w:r>
      <w:r>
        <w:t>5</w:t>
      </w:r>
    </w:p>
    <w:p w:rsidR="00100A24" w:rsidRDefault="00100A24" w:rsidP="00EA63A9">
      <w:r>
        <w:t>The agendas for and the outcome of meetings of the Council, including the minutes of meetings where the Council is deliberating on draft legislative acts, shall be forwarded directly to national Parliaments, at the same time as to Member States' governments.</w:t>
      </w:r>
    </w:p>
    <w:p w:rsidR="00100A24" w:rsidRDefault="00100A24" w:rsidP="00EA63A9"/>
    <w:p w:rsidR="00100A24" w:rsidRDefault="00100A24" w:rsidP="00EA63A9"/>
    <w:p w:rsidR="00100A24" w:rsidRDefault="00100A24" w:rsidP="00EA63A9"/>
    <w:p w:rsidR="00100A24" w:rsidRDefault="00100A24" w:rsidP="00EA63A9">
      <w:r>
        <w:t>A</w:t>
      </w:r>
      <w:r>
        <w:rPr>
          <w:sz w:val="21"/>
          <w:szCs w:val="21"/>
        </w:rPr>
        <w:t xml:space="preserve">RTICLE </w:t>
      </w:r>
      <w:r>
        <w:t>6</w:t>
      </w:r>
    </w:p>
    <w:p w:rsidR="00100A24" w:rsidRDefault="00100A24" w:rsidP="00EA63A9">
      <w:r>
        <w:t>When the European Council intends to make use of the first or second subparagraphs of Article 48(7) of the Treaty on European Union, national Parliaments shall be informed of the initiative of the European Council at least six months before any decision is adopted.</w:t>
      </w:r>
    </w:p>
    <w:p w:rsidR="00100A24" w:rsidRDefault="00100A24" w:rsidP="00EA63A9"/>
    <w:p w:rsidR="00100A24" w:rsidRDefault="00100A24" w:rsidP="00EA63A9">
      <w:r>
        <w:t>A</w:t>
      </w:r>
      <w:r>
        <w:rPr>
          <w:sz w:val="21"/>
          <w:szCs w:val="21"/>
        </w:rPr>
        <w:t xml:space="preserve">RTICLE </w:t>
      </w:r>
      <w:r>
        <w:t>7</w:t>
      </w:r>
    </w:p>
    <w:p w:rsidR="00100A24" w:rsidRDefault="00100A24" w:rsidP="00EA63A9">
      <w:r>
        <w:t>The Court of Auditors shall forward its annual report to national Parliaments, for information, at the same time as to the European Parliament and to the Council.</w:t>
      </w:r>
    </w:p>
    <w:p w:rsidR="00100A24" w:rsidRDefault="00100A24" w:rsidP="00EA63A9"/>
    <w:p w:rsidR="00100A24" w:rsidRDefault="00100A24" w:rsidP="00EA63A9">
      <w:r>
        <w:t>A</w:t>
      </w:r>
      <w:r>
        <w:rPr>
          <w:sz w:val="21"/>
          <w:szCs w:val="21"/>
        </w:rPr>
        <w:t xml:space="preserve">RTICLE </w:t>
      </w:r>
      <w:r>
        <w:t>8</w:t>
      </w:r>
    </w:p>
    <w:p w:rsidR="00100A24" w:rsidRDefault="00100A24" w:rsidP="00EA63A9">
      <w:r>
        <w:t>Where the national Parliamentary system is not unicameral, Articles 1 to 7 shall apply to the component chambers.</w:t>
      </w:r>
    </w:p>
    <w:p w:rsidR="00100A24" w:rsidRDefault="00100A24" w:rsidP="00EA63A9"/>
    <w:p w:rsidR="00100A24" w:rsidRDefault="00100A24" w:rsidP="00EA63A9">
      <w:r>
        <w:t>TITLE II INTERPARLIAMENTARY COOPERATION</w:t>
      </w:r>
    </w:p>
    <w:p w:rsidR="00100A24" w:rsidRDefault="00100A24" w:rsidP="00EA63A9">
      <w:r>
        <w:t>A</w:t>
      </w:r>
      <w:r>
        <w:rPr>
          <w:sz w:val="21"/>
          <w:szCs w:val="21"/>
        </w:rPr>
        <w:t xml:space="preserve">RTICLE </w:t>
      </w:r>
      <w:r>
        <w:t>9</w:t>
      </w:r>
    </w:p>
    <w:p w:rsidR="00100A24" w:rsidRDefault="00100A24" w:rsidP="00EA63A9">
      <w:r>
        <w:t>The European Parliament and national Parliaments shall together determine the organisation and promotion of effective and regular interparliamentary cooperation within the Union.</w:t>
      </w:r>
    </w:p>
    <w:p w:rsidR="00100A24" w:rsidRDefault="00100A24" w:rsidP="00EA63A9"/>
    <w:p w:rsidR="00100A24" w:rsidRDefault="00100A24" w:rsidP="00EA63A9">
      <w:r>
        <w:t>A</w:t>
      </w:r>
      <w:r>
        <w:rPr>
          <w:sz w:val="21"/>
          <w:szCs w:val="21"/>
        </w:rPr>
        <w:t xml:space="preserve">RTICLE </w:t>
      </w:r>
      <w:r>
        <w:t>10</w:t>
      </w:r>
    </w:p>
    <w:p w:rsidR="00100A24" w:rsidRDefault="00100A24" w:rsidP="00EA63A9">
      <w:r>
        <w:t>A conference of Parliamentary Committees for Union Affairs may submit any contribution it deems appropriate for the attention of the European Parliament, the Council and the Commission. That conference shall in addition promote the exchange of information and best practice between national Parliaments and the European Parliament, including their special committees. It may also organise interparliamentary conferences on specific topics, in particular to debate matters of common foreign and security policy, including common security and defence policy. Contributions from the conference shall not bind national Parliaments and shall not prejudge their positions.</w:t>
      </w:r>
    </w:p>
    <w:p w:rsidR="00100A24" w:rsidRDefault="00100A24" w:rsidP="00775F9F">
      <w:pPr>
        <w:pStyle w:val="Heading2"/>
      </w:pPr>
      <w:r>
        <w:br w:type="column"/>
      </w:r>
      <w:bookmarkStart w:id="52" w:name="_Toc141864087"/>
      <w:r>
        <w:t>Annex III: Protocol 2 to the Lisbon Treaty on the Application of the Principles of Subsidiarity and Proportionality</w:t>
      </w:r>
      <w:bookmarkEnd w:id="52"/>
    </w:p>
    <w:p w:rsidR="00100A24" w:rsidRDefault="00100A24" w:rsidP="00775F9F">
      <w:pPr>
        <w:rPr>
          <w:rFonts w:ascii="Calibri" w:hAnsi="Calibri"/>
          <w:b/>
          <w:bCs/>
          <w:color w:val="4F81BD"/>
          <w:sz w:val="26"/>
          <w:szCs w:val="26"/>
        </w:rPr>
      </w:pPr>
    </w:p>
    <w:p w:rsidR="00100A24" w:rsidRDefault="00100A24" w:rsidP="00EA63A9">
      <w:r>
        <w:t>THE HIGH CONTRACTING PARTIES,</w:t>
      </w:r>
    </w:p>
    <w:p w:rsidR="00100A24" w:rsidRDefault="00100A24" w:rsidP="00EA63A9">
      <w:r>
        <w:t>WISHING to ensure that decisions are taken as closely as possible to the citizens of the Union,</w:t>
      </w:r>
    </w:p>
    <w:p w:rsidR="00100A24" w:rsidRDefault="00100A24" w:rsidP="00EA63A9">
      <w:r>
        <w:t>RESOLVED to establish the conditions for the application of the principles of subsidiarity and proportionality, as laid down in Article 3b of the Treaty on European Union, and to establish a system for monitoring the application of those principles,</w:t>
      </w:r>
    </w:p>
    <w:p w:rsidR="00100A24" w:rsidRDefault="00100A24" w:rsidP="00EA63A9">
      <w:r>
        <w:t>HAVE AGREED UPON the following provisions, which shall be annexed to the Treaty on European Union and to the Treaty on the Functioning of the European Union:</w:t>
      </w:r>
    </w:p>
    <w:p w:rsidR="00100A24" w:rsidRDefault="00100A24" w:rsidP="00EA63A9"/>
    <w:p w:rsidR="00100A24" w:rsidRDefault="00100A24" w:rsidP="00EA63A9">
      <w:r>
        <w:t>A</w:t>
      </w:r>
      <w:r>
        <w:rPr>
          <w:sz w:val="21"/>
          <w:szCs w:val="21"/>
        </w:rPr>
        <w:t xml:space="preserve">RTICLE </w:t>
      </w:r>
      <w:r>
        <w:t>1</w:t>
      </w:r>
    </w:p>
    <w:p w:rsidR="00100A24" w:rsidRDefault="00100A24" w:rsidP="00EA63A9">
      <w:r>
        <w:t>Each institution shall ensure constant respect for the principles of subsidiarity and proportionality, as laid down in Article 3b of the Treaty on European Union.</w:t>
      </w:r>
    </w:p>
    <w:p w:rsidR="00100A24" w:rsidRDefault="00100A24" w:rsidP="00EA63A9"/>
    <w:p w:rsidR="00100A24" w:rsidRDefault="00100A24" w:rsidP="00EA63A9">
      <w:r>
        <w:t>A</w:t>
      </w:r>
      <w:r>
        <w:rPr>
          <w:sz w:val="21"/>
          <w:szCs w:val="21"/>
        </w:rPr>
        <w:t xml:space="preserve">RTICLE </w:t>
      </w:r>
      <w:r>
        <w:t>2</w:t>
      </w:r>
    </w:p>
    <w:p w:rsidR="00100A24" w:rsidRDefault="00100A24" w:rsidP="00EA63A9">
      <w:r>
        <w:t>Before proposing legislative acts, the Commission shall consult widely. Such consultations shall, where appropriate, take into account the regional and local dimension of the action envisaged. In cases of exceptional urgency, the Commission shall not conduct such consultations. It shall give reasons for its decision in its proposal.</w:t>
      </w:r>
    </w:p>
    <w:p w:rsidR="00100A24" w:rsidRDefault="00100A24" w:rsidP="00EA63A9"/>
    <w:p w:rsidR="00100A24" w:rsidRDefault="00100A24" w:rsidP="00EA63A9">
      <w:r>
        <w:t>A</w:t>
      </w:r>
      <w:r>
        <w:rPr>
          <w:sz w:val="21"/>
          <w:szCs w:val="21"/>
        </w:rPr>
        <w:t xml:space="preserve">RTICLE </w:t>
      </w:r>
      <w:r>
        <w:t>3</w:t>
      </w:r>
    </w:p>
    <w:p w:rsidR="00100A24" w:rsidRDefault="00100A24" w:rsidP="00EA63A9">
      <w:r>
        <w:t>For the purposes of this Protocol, "draft legislative acts" shall mean proposals from the Commission, initiatives from a group of Member States, initiatives from the European Parliament, requests from the Court of Justice, recommendations from the European Central Bank and requests from the European Investment Bank for the adoption of a legislative act.</w:t>
      </w:r>
    </w:p>
    <w:p w:rsidR="00100A24" w:rsidRDefault="00100A24" w:rsidP="00EA63A9"/>
    <w:p w:rsidR="00100A24" w:rsidRDefault="00100A24" w:rsidP="00EA63A9">
      <w:r>
        <w:t>A</w:t>
      </w:r>
      <w:r>
        <w:rPr>
          <w:sz w:val="21"/>
          <w:szCs w:val="21"/>
        </w:rPr>
        <w:t xml:space="preserve">RTICLE </w:t>
      </w:r>
      <w:r>
        <w:t>4</w:t>
      </w:r>
    </w:p>
    <w:p w:rsidR="00100A24" w:rsidRDefault="00100A24" w:rsidP="00EA63A9">
      <w:r>
        <w:t>The Commission shall forward its draft legislative acts and its amended drafts to national Parliaments at the same time as to the Union legislator.</w:t>
      </w:r>
    </w:p>
    <w:p w:rsidR="00100A24" w:rsidRDefault="00100A24" w:rsidP="00EA63A9">
      <w:r>
        <w:t>The European Parliament shall forward its draft legislative acts and its amended drafts to national Parliaments.</w:t>
      </w:r>
    </w:p>
    <w:p w:rsidR="00100A24" w:rsidRDefault="00100A24" w:rsidP="00EA63A9">
      <w:r>
        <w:t>The Council shall forward draft legislative acts originating from a group of Member States, the Court of Justice, the European Central Bank or the European Investment Bank and amended drafts to national Parliaments.</w:t>
      </w:r>
    </w:p>
    <w:p w:rsidR="00100A24" w:rsidRDefault="00100A24" w:rsidP="00EA63A9">
      <w:r>
        <w:t>Upon adoption, legislative resolutions of the European Parliament and positions of the Council shall be forwarded by them to national Parliaments.</w:t>
      </w:r>
    </w:p>
    <w:p w:rsidR="00100A24" w:rsidRDefault="00100A24" w:rsidP="00EA63A9"/>
    <w:p w:rsidR="00100A24" w:rsidRDefault="00100A24" w:rsidP="00EA63A9">
      <w:r>
        <w:t>A</w:t>
      </w:r>
      <w:r>
        <w:rPr>
          <w:sz w:val="21"/>
          <w:szCs w:val="21"/>
        </w:rPr>
        <w:t xml:space="preserve">RTICLE </w:t>
      </w:r>
      <w:r>
        <w:t>5</w:t>
      </w:r>
    </w:p>
    <w:p w:rsidR="00100A24" w:rsidRDefault="00100A24" w:rsidP="00EA63A9">
      <w:r>
        <w:t>Draft legislative acts shall be justified with regard to the principles of subsidiarity and proportionality. Any draft legislative act should contain a detailed statement making it possible to appraise compliance with the principles of subsidiarity and proportionality. This statement should contain some assessment of the proposal's financial impact and, in the case of a directive, of its implications for the rules to be put in place by Member States, including, where necessary, the regional legislation. The reasons for concluding that a Union objective can be better achieved at Union level shall be substantiated by qualitative and, wherever possible, quantitative indicators. Draft legislative acts shall take account of the need for any burden, whether financial or administrative, falling upon the Union, national governments, regional or local authorities, economic operators and citizens, to be minimised and commensurate with the objective to be achieved.</w:t>
      </w:r>
    </w:p>
    <w:p w:rsidR="00100A24" w:rsidRDefault="00100A24" w:rsidP="00EA63A9"/>
    <w:p w:rsidR="00100A24" w:rsidRDefault="00100A24" w:rsidP="00EA63A9">
      <w:r>
        <w:t>A</w:t>
      </w:r>
      <w:r>
        <w:rPr>
          <w:sz w:val="21"/>
          <w:szCs w:val="21"/>
        </w:rPr>
        <w:t xml:space="preserve">RTICLE </w:t>
      </w:r>
      <w:r>
        <w:t>6</w:t>
      </w:r>
    </w:p>
    <w:p w:rsidR="00100A24" w:rsidRDefault="00100A24" w:rsidP="00EA63A9">
      <w:r>
        <w:t>Any national Parliament or any chamber of a national Parliament may, within eight weeks from the date of transmission of a draft legislative act, in the official languages of the Union, send to the Presidents of the European Parliament, the Council and the Commission a reasoned opinion stating why it considers that the draft in question does not comply with the principle of subsidiarity. It will be for each national Parliament or each chamber of a national Parliament to consult, where appropriate, regional parliaments with legislative powers.</w:t>
      </w:r>
    </w:p>
    <w:p w:rsidR="00100A24" w:rsidRDefault="00100A24" w:rsidP="00EA63A9">
      <w:r>
        <w:t>If the draft legislative act originates from a group of Member States, the President of the Council shall forward the opinion to the governments of those Member States. If the draft legislative act originates from the Court of Justice, the European Central Bank or the European Investment Bank, the President of the Council shall forward the opinion to the institution or body concerned.</w:t>
      </w:r>
    </w:p>
    <w:p w:rsidR="00100A24" w:rsidRDefault="00100A24" w:rsidP="00EA63A9"/>
    <w:p w:rsidR="00100A24" w:rsidRDefault="00100A24" w:rsidP="00EA63A9">
      <w:r>
        <w:t>A</w:t>
      </w:r>
      <w:r>
        <w:rPr>
          <w:sz w:val="21"/>
          <w:szCs w:val="21"/>
        </w:rPr>
        <w:t xml:space="preserve">RTICLE </w:t>
      </w:r>
      <w:r>
        <w:t>7</w:t>
      </w:r>
    </w:p>
    <w:p w:rsidR="00100A24" w:rsidRDefault="00100A24" w:rsidP="00EA63A9">
      <w:r>
        <w:t>1.</w:t>
      </w:r>
      <w:r>
        <w:tab/>
        <w:t>The European Parliament, the Council and the Commission, and, where appropriate, the group of Member States, the Court of Justice, the European Central Bank or the European Investment Bank, if the draft legislative act originates from them, shall take account of the reasoned opinions issued by national Parliaments or by a chamber of a national Parliament.</w:t>
      </w:r>
    </w:p>
    <w:p w:rsidR="00100A24" w:rsidRDefault="00100A24" w:rsidP="00EA63A9">
      <w:r>
        <w:t>Each national Parliament shall have two votes, shared out on the basis of the national Parliamentary system. In the case of a bicameral Parliamentary system, each of the two chambers shall have one vote.</w:t>
      </w:r>
    </w:p>
    <w:p w:rsidR="00100A24" w:rsidRDefault="00100A24" w:rsidP="00EA63A9">
      <w:r>
        <w:t>2.</w:t>
      </w:r>
      <w:r>
        <w:tab/>
        <w:t>Where reasoned opinions on a draft legislative act's non-compliance with the principle of subsidiarity represent at least one third of all the votes allocated to the national Parliaments in accordance with the second subparagraph of paragraph 1, the draft must be reviewed. This threshold shall be a quarter in the case of a draft legislative act submitted on the basis of Article 61 I of the Treaty on the Functioning of the European Union on the area of freedom, security and justice.</w:t>
      </w:r>
    </w:p>
    <w:p w:rsidR="00100A24" w:rsidRDefault="00100A24" w:rsidP="00EA63A9">
      <w:r>
        <w:t>After such review, the Commission or, where appropriate, the group of Member States, the European Parliament, the Court of Justice, the European Central Bank or the European Investment Bank, if the draft legislative act originates from them, may decide to maintain, amend or withdraw the draft. Reasons must be given for this decision.</w:t>
      </w:r>
    </w:p>
    <w:p w:rsidR="00100A24" w:rsidRDefault="00100A24" w:rsidP="00EA63A9">
      <w:r>
        <w:t>3.</w:t>
      </w:r>
      <w:r>
        <w:tab/>
        <w:t>Furthermore, under the ordinary legislative procedure, where reasoned opinions on the non-compliance of a proposal for a legislative act with the principle of subsidiarity represent at least a simple majority of the votes allocated to the national Parliaments in accordance with the second subparagraph of paragraph 1, the proposal must be reviewed. After such review, the Commission may decide to maintain, amend or withdraw the proposal.</w:t>
      </w:r>
    </w:p>
    <w:p w:rsidR="00100A24" w:rsidRDefault="00100A24" w:rsidP="00EA63A9">
      <w:r>
        <w:t>If it chooses to maintain the proposal, the Commission will have, in a reasoned opinion, to justify why it considers that the proposal complies with the principle of subsidiarity. This reasoned opinion, as well as the reasoned opinions of the national Parliaments, will have to be submitted to the Union legislator, for consideration in the procedure:</w:t>
      </w:r>
    </w:p>
    <w:p w:rsidR="00100A24" w:rsidRDefault="00100A24" w:rsidP="00EA63A9">
      <w:r>
        <w:t>(a)</w:t>
      </w:r>
      <w:r>
        <w:tab/>
        <w:t>before concluding the first reading, the legislator (the European Parliament and the Council) shall consider whether the legislative proposal is compatible with the principle of subsidiarity, taking particular account of the reasons expressed and shared by the majority of national Parliaments as well as the reasoned opinion of the Commission;</w:t>
      </w:r>
    </w:p>
    <w:p w:rsidR="00100A24" w:rsidRDefault="00100A24" w:rsidP="00EA63A9">
      <w:r>
        <w:t>(b)</w:t>
      </w:r>
      <w:r>
        <w:tab/>
        <w:t>if, by a majority of 55 % of the members of the Council or a majority of the votes cast in the European Parliament, the legislator is of the opinion that the proposal is not compatible with the principle of subsidiarity, the legislative proposal shall not be given further consideration.</w:t>
      </w:r>
    </w:p>
    <w:p w:rsidR="00100A24" w:rsidRDefault="00100A24" w:rsidP="00EA63A9"/>
    <w:p w:rsidR="00100A24" w:rsidRDefault="00100A24" w:rsidP="00EA63A9">
      <w:r>
        <w:t>A</w:t>
      </w:r>
      <w:r>
        <w:rPr>
          <w:sz w:val="21"/>
          <w:szCs w:val="21"/>
        </w:rPr>
        <w:t xml:space="preserve">RTICLE </w:t>
      </w:r>
      <w:r>
        <w:t>8</w:t>
      </w:r>
    </w:p>
    <w:p w:rsidR="00100A24" w:rsidRDefault="00100A24" w:rsidP="00EA63A9">
      <w:r>
        <w:t>The Court of Justice of the European Union shall have jurisdiction in actions on grounds of infringement of the principle of subsidiarity by a legislative act, brought in accordance with the rules laid down in Article 230 of the Treaty on the Functioning of the European Union by Member States, or notified by them in accordance with their legal order on behalf of their national Parliament or a chamber thereof.</w:t>
      </w:r>
    </w:p>
    <w:p w:rsidR="00100A24" w:rsidRDefault="00100A24" w:rsidP="00EA63A9">
      <w:r>
        <w:t>In accordance with the rules laid down in the said Article, the Committee of the Regions may also bring such actions against legislative acts for the adoption of which the Treaty on the Functioning of the European Union provides that it be consulted.</w:t>
      </w:r>
    </w:p>
    <w:p w:rsidR="00100A24" w:rsidRDefault="00100A24" w:rsidP="00EA63A9"/>
    <w:p w:rsidR="00100A24" w:rsidRDefault="00100A24" w:rsidP="00EA63A9">
      <w:r>
        <w:t>A</w:t>
      </w:r>
      <w:r>
        <w:rPr>
          <w:sz w:val="21"/>
          <w:szCs w:val="21"/>
        </w:rPr>
        <w:t xml:space="preserve">RTICLE </w:t>
      </w:r>
      <w:r>
        <w:t>9</w:t>
      </w:r>
    </w:p>
    <w:p w:rsidR="00100A24" w:rsidRDefault="00100A24" w:rsidP="00EA63A9">
      <w:r>
        <w:t>The Commission shall submit each year to the European Council, the European Parliament, the Council and national Parliaments a report on the application of Article 3b of the Treaty on European Union. This annual report shall also be forwarded to the Economic and Social Committee and the Committee of the Regions.</w:t>
      </w:r>
    </w:p>
    <w:p w:rsidR="00100A24" w:rsidRDefault="00100A24" w:rsidP="00775F9F"/>
    <w:p w:rsidR="00100A24" w:rsidRDefault="00100A24" w:rsidP="00775F9F">
      <w:pPr>
        <w:pStyle w:val="Heading2"/>
      </w:pPr>
      <w:r>
        <w:br w:type="column"/>
      </w:r>
      <w:bookmarkStart w:id="53" w:name="_Toc141864088"/>
      <w:r>
        <w:t>Annex IV: List of national parliaments and chambers</w:t>
      </w:r>
      <w:bookmarkEnd w:id="53"/>
    </w:p>
    <w:p w:rsidR="00100A24" w:rsidRDefault="00100A24" w:rsidP="00377969"/>
    <w:tbl>
      <w:tblPr>
        <w:tblW w:w="6966" w:type="dxa"/>
        <w:tblInd w:w="88" w:type="dxa"/>
        <w:tblLook w:val="0000"/>
      </w:tblPr>
      <w:tblGrid>
        <w:gridCol w:w="2710"/>
        <w:gridCol w:w="4256"/>
      </w:tblGrid>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pPr>
              <w:rPr>
                <w:b/>
              </w:rPr>
            </w:pPr>
            <w:r w:rsidRPr="003337EE">
              <w:rPr>
                <w:b/>
              </w:rPr>
              <w:t>Member State</w:t>
            </w:r>
          </w:p>
        </w:tc>
        <w:tc>
          <w:tcPr>
            <w:tcW w:w="4256" w:type="dxa"/>
            <w:tcBorders>
              <w:top w:val="nil"/>
              <w:left w:val="nil"/>
              <w:bottom w:val="nil"/>
              <w:right w:val="nil"/>
            </w:tcBorders>
            <w:noWrap/>
            <w:vAlign w:val="bottom"/>
          </w:tcPr>
          <w:p w:rsidR="00100A24" w:rsidRPr="003337EE" w:rsidRDefault="00100A24" w:rsidP="00377969">
            <w:pPr>
              <w:rPr>
                <w:b/>
              </w:rPr>
            </w:pPr>
            <w:r w:rsidRPr="003337EE">
              <w:rPr>
                <w:b/>
              </w:rPr>
              <w:t>Parliament/chambers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Austria</w:t>
            </w:r>
          </w:p>
        </w:tc>
        <w:tc>
          <w:tcPr>
            <w:tcW w:w="4256" w:type="dxa"/>
            <w:tcBorders>
              <w:top w:val="nil"/>
              <w:left w:val="nil"/>
              <w:bottom w:val="nil"/>
              <w:right w:val="nil"/>
            </w:tcBorders>
            <w:noWrap/>
            <w:vAlign w:val="bottom"/>
          </w:tcPr>
          <w:p w:rsidR="00100A24" w:rsidRPr="003337EE" w:rsidRDefault="00100A24" w:rsidP="00377969">
            <w:r w:rsidRPr="003337EE">
              <w:t>Nationalrat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Bundesrat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Belgium</w:t>
            </w:r>
          </w:p>
        </w:tc>
        <w:tc>
          <w:tcPr>
            <w:tcW w:w="4256" w:type="dxa"/>
            <w:tcBorders>
              <w:top w:val="nil"/>
              <w:left w:val="nil"/>
              <w:bottom w:val="nil"/>
              <w:right w:val="nil"/>
            </w:tcBorders>
            <w:noWrap/>
            <w:vAlign w:val="bottom"/>
          </w:tcPr>
          <w:p w:rsidR="00100A24" w:rsidRPr="003337EE" w:rsidRDefault="00100A24" w:rsidP="00377969">
            <w:r w:rsidRPr="003337EE">
              <w:t>Chambre des Représentants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Sénat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Bulgaria</w:t>
            </w:r>
          </w:p>
        </w:tc>
        <w:tc>
          <w:tcPr>
            <w:tcW w:w="4256" w:type="dxa"/>
            <w:tcBorders>
              <w:top w:val="nil"/>
              <w:left w:val="nil"/>
              <w:bottom w:val="nil"/>
              <w:right w:val="nil"/>
            </w:tcBorders>
            <w:noWrap/>
            <w:vAlign w:val="bottom"/>
          </w:tcPr>
          <w:p w:rsidR="00100A24" w:rsidRPr="003337EE" w:rsidRDefault="00100A24" w:rsidP="00377969">
            <w:r w:rsidRPr="003337EE">
              <w:t>Narodno Sobranie</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Cyprus</w:t>
            </w:r>
          </w:p>
        </w:tc>
        <w:tc>
          <w:tcPr>
            <w:tcW w:w="4256" w:type="dxa"/>
            <w:tcBorders>
              <w:top w:val="nil"/>
              <w:left w:val="nil"/>
              <w:bottom w:val="nil"/>
              <w:right w:val="nil"/>
            </w:tcBorders>
            <w:noWrap/>
            <w:vAlign w:val="bottom"/>
          </w:tcPr>
          <w:p w:rsidR="00100A24" w:rsidRPr="003337EE" w:rsidRDefault="00100A24" w:rsidP="00377969">
            <w:r w:rsidRPr="003337EE">
              <w:t>Vouli Antiprosopon</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Czech Republic</w:t>
            </w:r>
          </w:p>
        </w:tc>
        <w:tc>
          <w:tcPr>
            <w:tcW w:w="4256" w:type="dxa"/>
            <w:tcBorders>
              <w:top w:val="nil"/>
              <w:left w:val="nil"/>
              <w:bottom w:val="nil"/>
              <w:right w:val="nil"/>
            </w:tcBorders>
            <w:noWrap/>
            <w:vAlign w:val="bottom"/>
          </w:tcPr>
          <w:p w:rsidR="00100A24" w:rsidRPr="003337EE" w:rsidRDefault="00100A24" w:rsidP="00377969">
            <w:r w:rsidRPr="003337EE">
              <w:t>Poslanecká Sněmovna</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Senát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Denmark</w:t>
            </w:r>
          </w:p>
        </w:tc>
        <w:tc>
          <w:tcPr>
            <w:tcW w:w="4256" w:type="dxa"/>
            <w:tcBorders>
              <w:top w:val="nil"/>
              <w:left w:val="nil"/>
              <w:bottom w:val="nil"/>
              <w:right w:val="nil"/>
            </w:tcBorders>
            <w:noWrap/>
            <w:vAlign w:val="bottom"/>
          </w:tcPr>
          <w:p w:rsidR="00100A24" w:rsidRPr="003337EE" w:rsidRDefault="00100A24" w:rsidP="00377969">
            <w:r w:rsidRPr="003337EE">
              <w:t>Folketinget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Estonia</w:t>
            </w:r>
          </w:p>
        </w:tc>
        <w:tc>
          <w:tcPr>
            <w:tcW w:w="4256" w:type="dxa"/>
            <w:tcBorders>
              <w:top w:val="nil"/>
              <w:left w:val="nil"/>
              <w:bottom w:val="nil"/>
              <w:right w:val="nil"/>
            </w:tcBorders>
            <w:noWrap/>
            <w:vAlign w:val="bottom"/>
          </w:tcPr>
          <w:p w:rsidR="00100A24" w:rsidRPr="003337EE" w:rsidRDefault="00100A24" w:rsidP="00377969">
            <w:r w:rsidRPr="003337EE">
              <w:t>Riigikogu</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Finland</w:t>
            </w:r>
          </w:p>
        </w:tc>
        <w:tc>
          <w:tcPr>
            <w:tcW w:w="4256" w:type="dxa"/>
            <w:tcBorders>
              <w:top w:val="nil"/>
              <w:left w:val="nil"/>
              <w:bottom w:val="nil"/>
              <w:right w:val="nil"/>
            </w:tcBorders>
            <w:noWrap/>
            <w:vAlign w:val="bottom"/>
          </w:tcPr>
          <w:p w:rsidR="00100A24" w:rsidRPr="003337EE" w:rsidRDefault="00100A24" w:rsidP="00377969">
            <w:r w:rsidRPr="003337EE">
              <w:t>Eduskunta</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France</w:t>
            </w:r>
          </w:p>
        </w:tc>
        <w:tc>
          <w:tcPr>
            <w:tcW w:w="4256" w:type="dxa"/>
            <w:tcBorders>
              <w:top w:val="nil"/>
              <w:left w:val="nil"/>
              <w:bottom w:val="nil"/>
              <w:right w:val="nil"/>
            </w:tcBorders>
            <w:noWrap/>
            <w:vAlign w:val="bottom"/>
          </w:tcPr>
          <w:p w:rsidR="00100A24" w:rsidRPr="003337EE" w:rsidRDefault="00100A24" w:rsidP="00377969">
            <w:r w:rsidRPr="003337EE">
              <w:t>Assemblée nationale</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Sénat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Germany</w:t>
            </w:r>
          </w:p>
        </w:tc>
        <w:tc>
          <w:tcPr>
            <w:tcW w:w="4256" w:type="dxa"/>
            <w:tcBorders>
              <w:top w:val="nil"/>
              <w:left w:val="nil"/>
              <w:bottom w:val="nil"/>
              <w:right w:val="nil"/>
            </w:tcBorders>
            <w:noWrap/>
            <w:vAlign w:val="bottom"/>
          </w:tcPr>
          <w:p w:rsidR="00100A24" w:rsidRPr="003337EE" w:rsidRDefault="00100A24" w:rsidP="00377969">
            <w:r w:rsidRPr="003337EE">
              <w:t>Bundestag</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Bundesrat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Greece</w:t>
            </w:r>
          </w:p>
        </w:tc>
        <w:tc>
          <w:tcPr>
            <w:tcW w:w="4256" w:type="dxa"/>
            <w:tcBorders>
              <w:top w:val="nil"/>
              <w:left w:val="nil"/>
              <w:bottom w:val="nil"/>
              <w:right w:val="nil"/>
            </w:tcBorders>
            <w:noWrap/>
            <w:vAlign w:val="bottom"/>
          </w:tcPr>
          <w:p w:rsidR="00100A24" w:rsidRPr="003337EE" w:rsidRDefault="00100A24" w:rsidP="00377969">
            <w:r w:rsidRPr="003337EE">
              <w:t>Vouli Ton Ellinon</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Hungary</w:t>
            </w:r>
          </w:p>
        </w:tc>
        <w:tc>
          <w:tcPr>
            <w:tcW w:w="4256" w:type="dxa"/>
            <w:tcBorders>
              <w:top w:val="nil"/>
              <w:left w:val="nil"/>
              <w:bottom w:val="nil"/>
              <w:right w:val="nil"/>
            </w:tcBorders>
            <w:noWrap/>
            <w:vAlign w:val="bottom"/>
          </w:tcPr>
          <w:p w:rsidR="00100A24" w:rsidRPr="003337EE" w:rsidRDefault="00100A24" w:rsidP="00377969">
            <w:r w:rsidRPr="003337EE">
              <w:t>Országgyűlés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Ireland</w:t>
            </w:r>
          </w:p>
        </w:tc>
        <w:tc>
          <w:tcPr>
            <w:tcW w:w="4256" w:type="dxa"/>
            <w:tcBorders>
              <w:top w:val="nil"/>
              <w:left w:val="nil"/>
              <w:bottom w:val="nil"/>
              <w:right w:val="nil"/>
            </w:tcBorders>
            <w:noWrap/>
            <w:vAlign w:val="bottom"/>
          </w:tcPr>
          <w:p w:rsidR="00100A24" w:rsidRPr="003337EE" w:rsidRDefault="00100A24" w:rsidP="00377969">
            <w:r w:rsidRPr="003337EE">
              <w:t>Houses of the Oireachtas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Italy</w:t>
            </w:r>
          </w:p>
        </w:tc>
        <w:tc>
          <w:tcPr>
            <w:tcW w:w="4256" w:type="dxa"/>
            <w:tcBorders>
              <w:top w:val="nil"/>
              <w:left w:val="nil"/>
              <w:bottom w:val="nil"/>
              <w:right w:val="nil"/>
            </w:tcBorders>
            <w:noWrap/>
            <w:vAlign w:val="bottom"/>
          </w:tcPr>
          <w:p w:rsidR="00100A24" w:rsidRPr="003337EE" w:rsidRDefault="00100A24" w:rsidP="00377969">
            <w:r w:rsidRPr="003337EE">
              <w:t>Camera dei Deputati</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Senato della Repubblica</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Latvia</w:t>
            </w:r>
          </w:p>
        </w:tc>
        <w:tc>
          <w:tcPr>
            <w:tcW w:w="4256" w:type="dxa"/>
            <w:tcBorders>
              <w:top w:val="nil"/>
              <w:left w:val="nil"/>
              <w:bottom w:val="nil"/>
              <w:right w:val="nil"/>
            </w:tcBorders>
            <w:noWrap/>
            <w:vAlign w:val="bottom"/>
          </w:tcPr>
          <w:p w:rsidR="00100A24" w:rsidRPr="003337EE" w:rsidRDefault="00100A24" w:rsidP="00377969">
            <w:r w:rsidRPr="003337EE">
              <w:t>Saeima</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Lithuania</w:t>
            </w:r>
          </w:p>
        </w:tc>
        <w:tc>
          <w:tcPr>
            <w:tcW w:w="4256" w:type="dxa"/>
            <w:tcBorders>
              <w:top w:val="nil"/>
              <w:left w:val="nil"/>
              <w:bottom w:val="nil"/>
              <w:right w:val="nil"/>
            </w:tcBorders>
            <w:noWrap/>
            <w:vAlign w:val="bottom"/>
          </w:tcPr>
          <w:p w:rsidR="00100A24" w:rsidRPr="003337EE" w:rsidRDefault="00100A24" w:rsidP="00377969">
            <w:r w:rsidRPr="003337EE">
              <w:t>Seimas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Luxemburg</w:t>
            </w:r>
          </w:p>
        </w:tc>
        <w:tc>
          <w:tcPr>
            <w:tcW w:w="4256" w:type="dxa"/>
            <w:tcBorders>
              <w:top w:val="nil"/>
              <w:left w:val="nil"/>
              <w:bottom w:val="nil"/>
              <w:right w:val="nil"/>
            </w:tcBorders>
            <w:noWrap/>
            <w:vAlign w:val="bottom"/>
          </w:tcPr>
          <w:p w:rsidR="00100A24" w:rsidRPr="003337EE" w:rsidRDefault="00100A24" w:rsidP="00377969">
            <w:r w:rsidRPr="003337EE">
              <w:t>Chambre des Députés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Malta</w:t>
            </w:r>
          </w:p>
        </w:tc>
        <w:tc>
          <w:tcPr>
            <w:tcW w:w="4256" w:type="dxa"/>
            <w:tcBorders>
              <w:top w:val="nil"/>
              <w:left w:val="nil"/>
              <w:bottom w:val="nil"/>
              <w:right w:val="nil"/>
            </w:tcBorders>
            <w:noWrap/>
            <w:vAlign w:val="bottom"/>
          </w:tcPr>
          <w:p w:rsidR="00100A24" w:rsidRPr="003337EE" w:rsidRDefault="00100A24" w:rsidP="00377969">
            <w:r w:rsidRPr="003337EE">
              <w:t>Il-Kamra Tad-Deputati</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The Netherlands</w:t>
            </w:r>
          </w:p>
        </w:tc>
        <w:tc>
          <w:tcPr>
            <w:tcW w:w="4256" w:type="dxa"/>
            <w:tcBorders>
              <w:top w:val="nil"/>
              <w:left w:val="nil"/>
              <w:bottom w:val="nil"/>
              <w:right w:val="nil"/>
            </w:tcBorders>
            <w:noWrap/>
            <w:vAlign w:val="bottom"/>
          </w:tcPr>
          <w:p w:rsidR="00100A24" w:rsidRPr="003337EE" w:rsidRDefault="00100A24" w:rsidP="00377969">
            <w:r w:rsidRPr="003337EE">
              <w:t>Tweede Kamer</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Eerste Kamer</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Poland</w:t>
            </w:r>
          </w:p>
        </w:tc>
        <w:tc>
          <w:tcPr>
            <w:tcW w:w="4256" w:type="dxa"/>
            <w:tcBorders>
              <w:top w:val="nil"/>
              <w:left w:val="nil"/>
              <w:bottom w:val="nil"/>
              <w:right w:val="nil"/>
            </w:tcBorders>
            <w:noWrap/>
            <w:vAlign w:val="bottom"/>
          </w:tcPr>
          <w:p w:rsidR="00100A24" w:rsidRPr="003337EE" w:rsidRDefault="00100A24" w:rsidP="00377969">
            <w:r w:rsidRPr="003337EE">
              <w:t>Sejm</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Senat</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Portugal</w:t>
            </w:r>
          </w:p>
        </w:tc>
        <w:tc>
          <w:tcPr>
            <w:tcW w:w="4256" w:type="dxa"/>
            <w:tcBorders>
              <w:top w:val="nil"/>
              <w:left w:val="nil"/>
              <w:bottom w:val="nil"/>
              <w:right w:val="nil"/>
            </w:tcBorders>
            <w:noWrap/>
            <w:vAlign w:val="bottom"/>
          </w:tcPr>
          <w:p w:rsidR="00100A24" w:rsidRPr="003337EE" w:rsidRDefault="00100A24" w:rsidP="00377969">
            <w:r w:rsidRPr="003337EE">
              <w:t>Assembleia da República</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Romania</w:t>
            </w:r>
          </w:p>
        </w:tc>
        <w:tc>
          <w:tcPr>
            <w:tcW w:w="4256" w:type="dxa"/>
            <w:tcBorders>
              <w:top w:val="nil"/>
              <w:left w:val="nil"/>
              <w:bottom w:val="nil"/>
              <w:right w:val="nil"/>
            </w:tcBorders>
            <w:noWrap/>
            <w:vAlign w:val="bottom"/>
          </w:tcPr>
          <w:p w:rsidR="00100A24" w:rsidRPr="003337EE" w:rsidRDefault="00100A24" w:rsidP="00377969">
            <w:r w:rsidRPr="003337EE">
              <w:t>Camera Deputatilor</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Senatul</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Slovakia</w:t>
            </w:r>
          </w:p>
        </w:tc>
        <w:tc>
          <w:tcPr>
            <w:tcW w:w="4256" w:type="dxa"/>
            <w:tcBorders>
              <w:top w:val="nil"/>
              <w:left w:val="nil"/>
              <w:bottom w:val="nil"/>
              <w:right w:val="nil"/>
            </w:tcBorders>
            <w:noWrap/>
            <w:vAlign w:val="bottom"/>
          </w:tcPr>
          <w:p w:rsidR="00100A24" w:rsidRPr="003337EE" w:rsidRDefault="00100A24" w:rsidP="00377969">
            <w:r w:rsidRPr="003337EE">
              <w:t>Národná Rada Slovenskej Republiky</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Slovenia</w:t>
            </w:r>
          </w:p>
        </w:tc>
        <w:tc>
          <w:tcPr>
            <w:tcW w:w="4256" w:type="dxa"/>
            <w:tcBorders>
              <w:top w:val="nil"/>
              <w:left w:val="nil"/>
              <w:bottom w:val="nil"/>
              <w:right w:val="nil"/>
            </w:tcBorders>
            <w:noWrap/>
            <w:vAlign w:val="bottom"/>
          </w:tcPr>
          <w:p w:rsidR="00100A24" w:rsidRPr="003337EE" w:rsidRDefault="00100A24" w:rsidP="00377969">
            <w:r w:rsidRPr="003337EE">
              <w:t>Državni Svet Republike Slovenije</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Državni Zbor Republike Slovenije</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Spain</w:t>
            </w:r>
          </w:p>
        </w:tc>
        <w:tc>
          <w:tcPr>
            <w:tcW w:w="4256" w:type="dxa"/>
            <w:tcBorders>
              <w:top w:val="nil"/>
              <w:left w:val="nil"/>
              <w:bottom w:val="nil"/>
              <w:right w:val="nil"/>
            </w:tcBorders>
            <w:noWrap/>
            <w:vAlign w:val="bottom"/>
          </w:tcPr>
          <w:p w:rsidR="00100A24" w:rsidRPr="003337EE" w:rsidRDefault="00100A24" w:rsidP="00377969">
            <w:r w:rsidRPr="003337EE">
              <w:t>Congreso de los Diputados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Senado</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Sweden</w:t>
            </w:r>
          </w:p>
        </w:tc>
        <w:tc>
          <w:tcPr>
            <w:tcW w:w="4256" w:type="dxa"/>
            <w:tcBorders>
              <w:top w:val="nil"/>
              <w:left w:val="nil"/>
              <w:bottom w:val="nil"/>
              <w:right w:val="nil"/>
            </w:tcBorders>
            <w:noWrap/>
            <w:vAlign w:val="bottom"/>
          </w:tcPr>
          <w:p w:rsidR="00100A24" w:rsidRPr="003337EE" w:rsidRDefault="00100A24" w:rsidP="00377969">
            <w:r w:rsidRPr="003337EE">
              <w:t>Riksdagen</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r w:rsidRPr="003337EE">
              <w:t>United Kingdom</w:t>
            </w:r>
          </w:p>
        </w:tc>
        <w:tc>
          <w:tcPr>
            <w:tcW w:w="4256" w:type="dxa"/>
            <w:tcBorders>
              <w:top w:val="nil"/>
              <w:left w:val="nil"/>
              <w:bottom w:val="nil"/>
              <w:right w:val="nil"/>
            </w:tcBorders>
            <w:noWrap/>
            <w:vAlign w:val="bottom"/>
          </w:tcPr>
          <w:p w:rsidR="00100A24" w:rsidRPr="003337EE" w:rsidRDefault="00100A24" w:rsidP="00377969">
            <w:r w:rsidRPr="003337EE">
              <w:t>House of Commons</w:t>
            </w:r>
          </w:p>
        </w:tc>
      </w:tr>
      <w:tr w:rsidR="00100A24" w:rsidRPr="003337EE">
        <w:trPr>
          <w:trHeight w:val="260"/>
        </w:trPr>
        <w:tc>
          <w:tcPr>
            <w:tcW w:w="2710" w:type="dxa"/>
            <w:tcBorders>
              <w:top w:val="nil"/>
              <w:left w:val="nil"/>
              <w:bottom w:val="nil"/>
              <w:right w:val="nil"/>
            </w:tcBorders>
            <w:noWrap/>
            <w:vAlign w:val="bottom"/>
          </w:tcPr>
          <w:p w:rsidR="00100A24" w:rsidRPr="003337EE" w:rsidRDefault="00100A24" w:rsidP="00377969"/>
        </w:tc>
        <w:tc>
          <w:tcPr>
            <w:tcW w:w="4256" w:type="dxa"/>
            <w:tcBorders>
              <w:top w:val="nil"/>
              <w:left w:val="nil"/>
              <w:bottom w:val="nil"/>
              <w:right w:val="nil"/>
            </w:tcBorders>
            <w:noWrap/>
            <w:vAlign w:val="bottom"/>
          </w:tcPr>
          <w:p w:rsidR="00100A24" w:rsidRPr="003337EE" w:rsidRDefault="00100A24" w:rsidP="00377969">
            <w:r w:rsidRPr="003337EE">
              <w:t>House of Lords</w:t>
            </w:r>
          </w:p>
        </w:tc>
      </w:tr>
    </w:tbl>
    <w:p w:rsidR="00100A24" w:rsidRDefault="00100A24" w:rsidP="00377969"/>
    <w:p w:rsidR="00100A24" w:rsidRDefault="00100A24" w:rsidP="00775F9F">
      <w:pPr>
        <w:pStyle w:val="Heading2"/>
      </w:pPr>
      <w:r>
        <w:br w:type="column"/>
      </w:r>
      <w:bookmarkStart w:id="54" w:name="_Toc141864089"/>
      <w:r>
        <w:t>Annex V: Interviews</w:t>
      </w:r>
      <w:bookmarkEnd w:id="54"/>
    </w:p>
    <w:p w:rsidR="00100A24" w:rsidRDefault="00100A24" w:rsidP="00775F9F"/>
    <w:p w:rsidR="00100A24" w:rsidRDefault="00100A24" w:rsidP="00775F9F">
      <w:r>
        <w:t>As the interviewed people wish to remain anonymous, they were given an alphabetical letter for the purpose of referencing. The questionnaire will not be provided since it was country-specific, which would impede anonymity. Therefore the interviews are presented in a storyline fashion. Interviews B and D do state the representative’s country since they do not contain highly sensitive information.</w:t>
      </w:r>
    </w:p>
    <w:p w:rsidR="00100A24" w:rsidRDefault="00100A24" w:rsidP="00775F9F"/>
    <w:p w:rsidR="00100A24" w:rsidRDefault="00100A24" w:rsidP="00775F9F">
      <w:pPr>
        <w:rPr>
          <w:u w:val="single"/>
        </w:rPr>
      </w:pPr>
      <w:r>
        <w:rPr>
          <w:u w:val="single"/>
        </w:rPr>
        <w:t>Interview A – permanent representative of a national parliament to the EP</w:t>
      </w:r>
    </w:p>
    <w:p w:rsidR="00100A24" w:rsidRDefault="00100A24" w:rsidP="00775F9F">
      <w:r>
        <w:t xml:space="preserve">Subsidiarity is not a well-defined concept, it has no clear boundaries and so it can be stretched. This also goes for the principle of proportionality. Politicians in national parliaments do not limit themselves to a certain amount and scope of questions they ask. It is a natural process and can therefore go beyond the scope of the subsidiarity check. In addition, the </w:t>
      </w:r>
      <w:r w:rsidRPr="00577124">
        <w:rPr>
          <w:i/>
        </w:rPr>
        <w:t>Barroso initiative</w:t>
      </w:r>
      <w:r>
        <w:t xml:space="preserve"> obliges the Commission to respond, so politicians do not feel any inhibitions when asking questions during the parliamentary scrutiny procedure. Responses of the Commission were very formal in the beginning, because it did not know how to deal with the critique of national parliaments. The representative however does feel that the Commission seriously considers the opinions. </w:t>
      </w:r>
    </w:p>
    <w:p w:rsidR="00100A24" w:rsidRDefault="00100A24" w:rsidP="00775F9F"/>
    <w:p w:rsidR="00100A24" w:rsidRDefault="00100A24" w:rsidP="00775F9F">
      <w:r>
        <w:t>The country the representative represents performs about ten subsidiarity checks a year. Many proposals are not up for discussion because their compliance with subsidiarity is not at stake from the beginning. The EC is also aware of the mechanism of subsidiarity checks, which works preventively since it considers every proposal’s compliance with the subsidiarity principle.</w:t>
      </w:r>
    </w:p>
    <w:p w:rsidR="00100A24" w:rsidRDefault="00100A24" w:rsidP="00775F9F"/>
    <w:p w:rsidR="00100A24" w:rsidRDefault="00100A24" w:rsidP="00775F9F">
      <w:r>
        <w:t>The representative is of the opinion that subsidiarity checks are not meant to block proposals, but to raise awareness among national parliaments as to have them check proposals early on. It is not important to look at how many negative opinions are expressed. Most important is to get national parliaments to cooperate in EU matters. Therefore the eight-week deadline should not be extended, since it would only delay the policy-making process. National parliaments are quite involved in the process and the mechanism of subsidiarity checks is a good instrument, albeit probably not very effective in practice. The yellow card alone is very hard to draw.</w:t>
      </w:r>
    </w:p>
    <w:p w:rsidR="00100A24" w:rsidRDefault="00100A24" w:rsidP="00775F9F"/>
    <w:p w:rsidR="00100A24" w:rsidRDefault="00100A24" w:rsidP="00775F9F">
      <w:r>
        <w:t>With regards to changes being made in proposals after parliamentary scrutiny, these are very hard to trace. The process is an invisible one, though there is some influence of national parliaments in the Council and the EP. National parliaments have the mandate to control their government and can have it lobby in the Council for changes.</w:t>
      </w:r>
    </w:p>
    <w:p w:rsidR="00100A24" w:rsidRDefault="00100A24" w:rsidP="00775F9F"/>
    <w:p w:rsidR="00100A24" w:rsidRDefault="00100A24" w:rsidP="00775F9F">
      <w:r>
        <w:t>As some parliaments or chambers ask the Commission quite a lot of questions, it can take more than the eight-week deadline to receive an answer. This does not contribute to the subsidiarity check procedure because the deadline for Reasoned Opinions has to be met. So this is a weird use of the subsidiarity check.</w:t>
      </w:r>
    </w:p>
    <w:p w:rsidR="00100A24" w:rsidRDefault="00100A24" w:rsidP="00775F9F"/>
    <w:p w:rsidR="00100A24" w:rsidRDefault="00100A24" w:rsidP="00775F9F">
      <w:pPr>
        <w:rPr>
          <w:u w:val="single"/>
        </w:rPr>
      </w:pPr>
      <w:r>
        <w:rPr>
          <w:u w:val="single"/>
        </w:rPr>
        <w:t>Interview B – permanent representative of a chamber of the UK to the EP</w:t>
      </w:r>
    </w:p>
    <w:p w:rsidR="00100A24" w:rsidRDefault="00100A24" w:rsidP="00775F9F">
      <w:r>
        <w:t xml:space="preserve">The system the UK works with is much different from, for example, the Danish system. The parliament of the UK does not engage directly into a dialogue with the Commission, but involves its government in the matter. The UK has a standard scrutiny procedure in place, which prescribes that </w:t>
      </w:r>
      <w:r>
        <w:rPr>
          <w:i/>
        </w:rPr>
        <w:t>every</w:t>
      </w:r>
      <w:r>
        <w:t xml:space="preserve"> European proposal has to be scrutinized by parliament. This system of scrutiny is usually referred to as a </w:t>
      </w:r>
      <w:r>
        <w:rPr>
          <w:i/>
        </w:rPr>
        <w:t>document-based system</w:t>
      </w:r>
      <w:r>
        <w:t>. A subsidiarity check is only a part of that scrutiny procedure. The parliament of the UK</w:t>
      </w:r>
      <w:r>
        <w:rPr>
          <w:i/>
        </w:rPr>
        <w:t xml:space="preserve"> </w:t>
      </w:r>
      <w:r>
        <w:t xml:space="preserve">therefore engages in a discussion with the British government, for the scrutiny procedure covers more than just subsidiarity. Any concerns raised by the parliament on matters of subsidiarity are then channeled to the government, which can then address these concerns in the Council or the EP. The parliament thus does not send its opinions directly to the EC and therefore also does not get any responses from it. The Danish parliament uses a system called the </w:t>
      </w:r>
      <w:r>
        <w:rPr>
          <w:i/>
        </w:rPr>
        <w:t>procedural</w:t>
      </w:r>
      <w:r>
        <w:t xml:space="preserve"> </w:t>
      </w:r>
      <w:r w:rsidRPr="00A277F6">
        <w:rPr>
          <w:i/>
        </w:rPr>
        <w:t>system</w:t>
      </w:r>
      <w:r>
        <w:t>. It has a separate procedure for subsidiarity checks and does engage in a dialogue with the Commission. It sends opinions to the EC regularly and also receives responses from it. The Danish government is involved in the procedure, for it provides the parliament with its opinion on a proposal. The Danish parliament then decides whether it will give the involved minister the mandate to act in the EU.</w:t>
      </w:r>
    </w:p>
    <w:p w:rsidR="00100A24" w:rsidRDefault="00100A24" w:rsidP="00775F9F"/>
    <w:p w:rsidR="00100A24" w:rsidRDefault="00100A24" w:rsidP="00775F9F">
      <w:pPr>
        <w:rPr>
          <w:u w:val="single"/>
        </w:rPr>
      </w:pPr>
      <w:r>
        <w:rPr>
          <w:u w:val="single"/>
        </w:rPr>
        <w:t>Interview C – permanent representative of a national parliament to the EP</w:t>
      </w:r>
    </w:p>
    <w:p w:rsidR="00100A24" w:rsidRDefault="00100A24" w:rsidP="00775F9F">
      <w:r>
        <w:t xml:space="preserve">The representative considers the previous six-week deadline for opinions too short and states that the eight-week deadline is only difficult to meet when there is a parliamentary recess or for other special reasons. </w:t>
      </w:r>
    </w:p>
    <w:p w:rsidR="00100A24" w:rsidRDefault="00100A24" w:rsidP="00775F9F"/>
    <w:p w:rsidR="00100A24" w:rsidRDefault="00100A24" w:rsidP="00775F9F">
      <w:r>
        <w:t xml:space="preserve">The principle of subsidiarity is implicit to the EU and its effectiveness in increasing legitimacy is therefore not easy to measure. However, considering subsidiarity is at least not harmful for the EU’s legitimacy. The inclusion of a subsidiarity statement in draft legislative acts is therefore important. The statement itself is however not always helpful since the Commission tends to be very formal. </w:t>
      </w:r>
    </w:p>
    <w:p w:rsidR="00100A24" w:rsidRDefault="00100A24" w:rsidP="00775F9F"/>
    <w:p w:rsidR="00100A24" w:rsidRDefault="00100A24" w:rsidP="00775F9F">
      <w:r>
        <w:t>The representative has doubts as to whether a yellow card will ever be raised. There are also doubts as to whether objections raised by national parliaments actually lead to changes in proposals. No studies have been carried out in this respect. But it is likely that the EC does not consider critical opinions containing questions or suggestions a burden since it probably values the scrutiny documents sent by national parliaments.</w:t>
      </w:r>
    </w:p>
    <w:p w:rsidR="00100A24" w:rsidRDefault="00100A24" w:rsidP="00775F9F"/>
    <w:p w:rsidR="00100A24" w:rsidRDefault="00100A24" w:rsidP="00775F9F">
      <w:pPr>
        <w:rPr>
          <w:u w:val="single"/>
        </w:rPr>
      </w:pPr>
      <w:r>
        <w:rPr>
          <w:u w:val="single"/>
        </w:rPr>
        <w:t>Interview D – permanent representative of a national parliament to the EP</w:t>
      </w:r>
    </w:p>
    <w:p w:rsidR="00100A24" w:rsidRDefault="00100A24" w:rsidP="00775F9F">
      <w:r>
        <w:t>National parliaments are facing a change right now, since the entry into force of the Treaty of Lisbon, with its introduction of the early warning mechanism, necessitates a change in the procedures used by some parliaments. The new eight-week deadline is still quite short, but possible to meet.</w:t>
      </w:r>
    </w:p>
    <w:p w:rsidR="00100A24" w:rsidRDefault="00100A24" w:rsidP="00775F9F"/>
    <w:p w:rsidR="00100A24" w:rsidRDefault="00100A24" w:rsidP="00775F9F">
      <w:r>
        <w:t>The representative considers the subsidiarity statements provided by the EC not very useful. They are usually very formal and thus provide no extra information as to whether a proposal complies with the principle of subsidiarity. Also, the responses sent by the EC tend to undermine the quality of the dialogue because of their brevity and formality. This should change.</w:t>
      </w:r>
    </w:p>
    <w:p w:rsidR="00100A24" w:rsidRDefault="00100A24" w:rsidP="00775F9F"/>
    <w:p w:rsidR="00100A24" w:rsidRDefault="00100A24" w:rsidP="00775F9F">
      <w:r>
        <w:t xml:space="preserve">The yellow and orange card procedure is not very likely to be effective. It would be a good thing if specialized committees in national parliaments, which currently do not take part in COSAC meetings, would find a way to communicate and to cooperate. </w:t>
      </w:r>
    </w:p>
    <w:p w:rsidR="00100A24" w:rsidRDefault="00100A24" w:rsidP="00775F9F"/>
    <w:p w:rsidR="00100A24" w:rsidRDefault="00100A24" w:rsidP="00775F9F">
      <w:r>
        <w:t xml:space="preserve">The representative does not think that national parliaments use the subsidiarity checks for secondary purposes. </w:t>
      </w:r>
    </w:p>
    <w:p w:rsidR="00100A24" w:rsidRDefault="00100A24" w:rsidP="00775F9F"/>
    <w:p w:rsidR="00100A24" w:rsidRDefault="00100A24" w:rsidP="00775F9F">
      <w:pPr>
        <w:rPr>
          <w:u w:val="single"/>
        </w:rPr>
      </w:pPr>
      <w:r>
        <w:rPr>
          <w:u w:val="single"/>
        </w:rPr>
        <w:t>Interview E – employee of the Dutch parliament</w:t>
      </w:r>
    </w:p>
    <w:p w:rsidR="00100A24" w:rsidRDefault="00100A24" w:rsidP="00775F9F">
      <w:r>
        <w:t>The Commission does seem to consider any objections made by national parliaments. Usually, if one takes a closer look at the final draft, some slight changes can be noticed. However, this mostly concerns the choice of wording or the construction of certain sentences. There is no official documentation on the impact of objections of national parliaments.</w:t>
      </w:r>
    </w:p>
    <w:p w:rsidR="00100A24" w:rsidRDefault="00100A24" w:rsidP="00775F9F"/>
    <w:p w:rsidR="00100A24" w:rsidRPr="002504B9" w:rsidRDefault="00100A24" w:rsidP="00775F9F">
      <w:r>
        <w:t xml:space="preserve">The websites of COSAC and IPEX are very useful for national parliaments to consult. Up until now, COSAC organized a large subsidiarity check of two proposals a year, which was a very good initiative. With the entry into force of the Treaty of Lisbon, however, COSAC has decided not to organize such checks anymore and to leave it up to the national parliaments to perform subsidiarity checks. The interviewee thinks that this was not a good idea since it will probably lead to less cooperation and coordination between national parliaments, rendering the yellow and orange cards impossible to draw. </w:t>
      </w:r>
    </w:p>
    <w:sectPr w:rsidR="00100A24" w:rsidRPr="002504B9" w:rsidSect="00AA1497">
      <w:headerReference w:type="even" r:id="rId11"/>
      <w:headerReference w:type="default" r:id="rId12"/>
      <w:footerReference w:type="even" r:id="rId13"/>
      <w:footerReference w:type="default" r:id="rId14"/>
      <w:pgSz w:w="11900" w:h="16840"/>
      <w:pgMar w:top="1440" w:right="1800" w:bottom="1440" w:left="1800" w:header="794"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A24" w:rsidRDefault="00100A24" w:rsidP="00E55CE2">
      <w:pPr>
        <w:spacing w:line="240" w:lineRule="auto"/>
      </w:pPr>
      <w:r>
        <w:separator/>
      </w:r>
    </w:p>
  </w:endnote>
  <w:endnote w:type="continuationSeparator" w:id="0">
    <w:p w:rsidR="00100A24" w:rsidRDefault="00100A24" w:rsidP="00E55CE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PMingLiU">
    <w:altName w:val="¡Ps2OcuAe"/>
    <w:panose1 w:val="02010601000101010101"/>
    <w:charset w:val="88"/>
    <w:family w:val="auto"/>
    <w:notTrueType/>
    <w:pitch w:val="variable"/>
    <w:sig w:usb0="00000001" w:usb1="08080000" w:usb2="00000010" w:usb3="00000000" w:csb0="00100000" w:csb1="00000000"/>
  </w:font>
  <w:font w:name="Lucida Grande">
    <w:panose1 w:val="00000000000000000000"/>
    <w:charset w:val="00"/>
    <w:family w:val="auto"/>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24" w:rsidRDefault="00100A24" w:rsidP="00DA1B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100A24" w:rsidRDefault="00100A24" w:rsidP="00DA1BE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24" w:rsidRDefault="00100A24" w:rsidP="00DA1B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100A24" w:rsidRDefault="00100A24" w:rsidP="00DA1BE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A24" w:rsidRDefault="00100A24" w:rsidP="00E55CE2">
      <w:pPr>
        <w:spacing w:line="240" w:lineRule="auto"/>
      </w:pPr>
      <w:r>
        <w:separator/>
      </w:r>
    </w:p>
  </w:footnote>
  <w:footnote w:type="continuationSeparator" w:id="0">
    <w:p w:rsidR="00100A24" w:rsidRDefault="00100A24" w:rsidP="00E55CE2">
      <w:pPr>
        <w:spacing w:line="240" w:lineRule="auto"/>
      </w:pPr>
      <w:r>
        <w:continuationSeparator/>
      </w:r>
    </w:p>
  </w:footnote>
  <w:footnote w:id="1">
    <w:p w:rsidR="00100A24" w:rsidRDefault="00100A24" w:rsidP="00321343">
      <w:pPr>
        <w:pStyle w:val="FootnoteText"/>
      </w:pPr>
      <w:r>
        <w:rPr>
          <w:rStyle w:val="FootnoteReference"/>
        </w:rPr>
        <w:footnoteRef/>
      </w:r>
      <w:r>
        <w:t xml:space="preserve"> The IPEX dossier containing the proposal, the replies sent by national parliaments and the replies sent by the EC can be accessed from: [</w:t>
      </w:r>
      <w:r w:rsidRPr="00471BD0">
        <w:t>http://www.ipex.eu/ipex/cms/home/Documents/doc_COM20080818FIN</w:t>
      </w:r>
      <w:r>
        <w:t xml:space="preserve">]. </w:t>
      </w:r>
    </w:p>
  </w:footnote>
  <w:footnote w:id="2">
    <w:p w:rsidR="00100A24" w:rsidRDefault="00100A24" w:rsidP="00321343">
      <w:pPr>
        <w:pStyle w:val="FootnoteText"/>
      </w:pPr>
      <w:r>
        <w:rPr>
          <w:rStyle w:val="FootnoteReference"/>
        </w:rPr>
        <w:footnoteRef/>
      </w:r>
      <w:r>
        <w:t xml:space="preserve"> See annex IV.</w:t>
      </w:r>
    </w:p>
  </w:footnote>
  <w:footnote w:id="3">
    <w:p w:rsidR="00100A24" w:rsidRDefault="00100A24" w:rsidP="00321343">
      <w:pPr>
        <w:pStyle w:val="FootnoteText"/>
      </w:pPr>
      <w:r>
        <w:rPr>
          <w:rStyle w:val="FootnoteReference"/>
        </w:rPr>
        <w:footnoteRef/>
      </w:r>
      <w:r>
        <w:t xml:space="preserve"> These participating parliaments were the Austrian </w:t>
      </w:r>
      <w:r>
        <w:rPr>
          <w:i/>
        </w:rPr>
        <w:t>Bundesrat</w:t>
      </w:r>
      <w:r>
        <w:t xml:space="preserve">, the Belgian </w:t>
      </w:r>
      <w:r>
        <w:rPr>
          <w:i/>
        </w:rPr>
        <w:t xml:space="preserve">Chambre des Représentants </w:t>
      </w:r>
      <w:r>
        <w:t xml:space="preserve">and </w:t>
      </w:r>
      <w:r>
        <w:rPr>
          <w:i/>
        </w:rPr>
        <w:t>Sénat</w:t>
      </w:r>
      <w:r>
        <w:t xml:space="preserve">, the Bulgarian </w:t>
      </w:r>
      <w:r>
        <w:rPr>
          <w:i/>
        </w:rPr>
        <w:t>Narodno Sabranie</w:t>
      </w:r>
      <w:r>
        <w:t xml:space="preserve">, the Cypriotic </w:t>
      </w:r>
      <w:r>
        <w:rPr>
          <w:i/>
        </w:rPr>
        <w:t>Vouli Ton Antiprosopon</w:t>
      </w:r>
      <w:r>
        <w:t xml:space="preserve">, the Czech </w:t>
      </w:r>
      <w:r>
        <w:rPr>
          <w:i/>
        </w:rPr>
        <w:t>Poslanecká Sněmovna</w:t>
      </w:r>
      <w:r>
        <w:t xml:space="preserve"> and </w:t>
      </w:r>
      <w:r>
        <w:rPr>
          <w:i/>
        </w:rPr>
        <w:t>Senát</w:t>
      </w:r>
      <w:r>
        <w:t xml:space="preserve">, the Danish </w:t>
      </w:r>
      <w:r>
        <w:rPr>
          <w:i/>
        </w:rPr>
        <w:t>Folketing</w:t>
      </w:r>
      <w:r>
        <w:t xml:space="preserve">, the Finnish </w:t>
      </w:r>
      <w:r>
        <w:rPr>
          <w:i/>
        </w:rPr>
        <w:t>Eduskunta</w:t>
      </w:r>
      <w:r>
        <w:t xml:space="preserve">, the French </w:t>
      </w:r>
      <w:r>
        <w:rPr>
          <w:i/>
        </w:rPr>
        <w:t>Assemblée nationale</w:t>
      </w:r>
      <w:r>
        <w:t xml:space="preserve"> and </w:t>
      </w:r>
      <w:r>
        <w:rPr>
          <w:i/>
        </w:rPr>
        <w:t>Sénat</w:t>
      </w:r>
      <w:r>
        <w:t xml:space="preserve">, the German </w:t>
      </w:r>
      <w:r>
        <w:rPr>
          <w:i/>
        </w:rPr>
        <w:t>Bundestag</w:t>
      </w:r>
      <w:r>
        <w:t xml:space="preserve">, the Hellenic </w:t>
      </w:r>
      <w:r>
        <w:rPr>
          <w:i/>
        </w:rPr>
        <w:t>Vouli Ton Ellinon</w:t>
      </w:r>
      <w:r>
        <w:t xml:space="preserve">, the Irish </w:t>
      </w:r>
      <w:r>
        <w:rPr>
          <w:i/>
        </w:rPr>
        <w:t>Houses of the Oireachtas</w:t>
      </w:r>
      <w:r>
        <w:t xml:space="preserve">, the Italian </w:t>
      </w:r>
      <w:r>
        <w:rPr>
          <w:i/>
        </w:rPr>
        <w:t>Camera dei Deputati</w:t>
      </w:r>
      <w:r>
        <w:t xml:space="preserve"> and </w:t>
      </w:r>
      <w:r>
        <w:rPr>
          <w:i/>
        </w:rPr>
        <w:t>Senato della Repubblica</w:t>
      </w:r>
      <w:r>
        <w:t xml:space="preserve">, the Latvian </w:t>
      </w:r>
      <w:r>
        <w:rPr>
          <w:i/>
        </w:rPr>
        <w:t>Saeima</w:t>
      </w:r>
      <w:r>
        <w:t xml:space="preserve">, the Lithuanian </w:t>
      </w:r>
      <w:r>
        <w:rPr>
          <w:i/>
        </w:rPr>
        <w:t>Seimas</w:t>
      </w:r>
      <w:r>
        <w:t xml:space="preserve">, the Luxembourg </w:t>
      </w:r>
      <w:r>
        <w:rPr>
          <w:i/>
        </w:rPr>
        <w:t>Chambre des Députés</w:t>
      </w:r>
      <w:r>
        <w:t xml:space="preserve">, the Polish </w:t>
      </w:r>
      <w:r>
        <w:rPr>
          <w:i/>
        </w:rPr>
        <w:t xml:space="preserve">Sejm </w:t>
      </w:r>
      <w:r>
        <w:t xml:space="preserve">and </w:t>
      </w:r>
      <w:r>
        <w:rPr>
          <w:i/>
        </w:rPr>
        <w:t>Senat</w:t>
      </w:r>
      <w:r>
        <w:t xml:space="preserve">, the Portuguese </w:t>
      </w:r>
      <w:r>
        <w:rPr>
          <w:i/>
        </w:rPr>
        <w:t>Assembleia da República</w:t>
      </w:r>
      <w:r>
        <w:t xml:space="preserve">, the Slovenian </w:t>
      </w:r>
      <w:r>
        <w:rPr>
          <w:i/>
        </w:rPr>
        <w:t>Državni zbor</w:t>
      </w:r>
      <w:r>
        <w:t xml:space="preserve"> and </w:t>
      </w:r>
      <w:r>
        <w:rPr>
          <w:i/>
        </w:rPr>
        <w:t>Državni svet</w:t>
      </w:r>
      <w:r>
        <w:t xml:space="preserve">, the Swedish </w:t>
      </w:r>
      <w:r>
        <w:rPr>
          <w:i/>
        </w:rPr>
        <w:t>Riksdag</w:t>
      </w:r>
      <w:r>
        <w:t xml:space="preserve">, and the UK </w:t>
      </w:r>
      <w:r>
        <w:rPr>
          <w:i/>
        </w:rPr>
        <w:t xml:space="preserve">House of Commons </w:t>
      </w:r>
      <w:r>
        <w:t xml:space="preserve">and </w:t>
      </w:r>
      <w:r>
        <w:rPr>
          <w:i/>
        </w:rPr>
        <w:t>House of Lords</w:t>
      </w:r>
      <w:r>
        <w:t>.</w:t>
      </w:r>
    </w:p>
  </w:footnote>
  <w:footnote w:id="4">
    <w:p w:rsidR="00100A24" w:rsidRDefault="00100A24" w:rsidP="00321343">
      <w:pPr>
        <w:pStyle w:val="FootnoteText"/>
      </w:pPr>
      <w:r>
        <w:rPr>
          <w:rStyle w:val="FootnoteReference"/>
        </w:rPr>
        <w:footnoteRef/>
      </w:r>
      <w:r>
        <w:t xml:space="preserve"> These were the Dutch </w:t>
      </w:r>
      <w:r>
        <w:rPr>
          <w:i/>
        </w:rPr>
        <w:t>States-General</w:t>
      </w:r>
      <w:r>
        <w:t xml:space="preserve">, the Estonian </w:t>
      </w:r>
      <w:r>
        <w:rPr>
          <w:i/>
        </w:rPr>
        <w:t>Riigikogu</w:t>
      </w:r>
      <w:r>
        <w:t xml:space="preserve">, the German </w:t>
      </w:r>
      <w:r>
        <w:rPr>
          <w:i/>
        </w:rPr>
        <w:t>Bundesrat</w:t>
      </w:r>
      <w:r>
        <w:t xml:space="preserve"> and the Hungarian </w:t>
      </w:r>
      <w:r>
        <w:rPr>
          <w:i/>
        </w:rPr>
        <w:t>Országgyűles</w:t>
      </w:r>
      <w:r>
        <w:t>.</w:t>
      </w:r>
    </w:p>
  </w:footnote>
  <w:footnote w:id="5">
    <w:p w:rsidR="00100A24" w:rsidRDefault="00100A24" w:rsidP="00321343">
      <w:pPr>
        <w:pStyle w:val="FootnoteText"/>
      </w:pPr>
      <w:r>
        <w:rPr>
          <w:rStyle w:val="FootnoteReference"/>
        </w:rPr>
        <w:footnoteRef/>
      </w:r>
      <w:r>
        <w:t xml:space="preserve"> The IPEX dossier containing the proposal, the replies sent by national parliaments and the replies sent by the EC can be accessed from: [</w:t>
      </w:r>
      <w:r w:rsidRPr="002A0C48">
        <w:t>http://www.ipex.eu/ipex/cms/home/Documents/doc_COM20090338FIN</w:t>
      </w:r>
      <w:r>
        <w:t>].</w:t>
      </w:r>
    </w:p>
  </w:footnote>
  <w:footnote w:id="6">
    <w:p w:rsidR="00100A24" w:rsidRDefault="00100A24" w:rsidP="00321343">
      <w:pPr>
        <w:pStyle w:val="FootnoteText"/>
      </w:pPr>
      <w:r>
        <w:rPr>
          <w:rStyle w:val="FootnoteReference"/>
        </w:rPr>
        <w:footnoteRef/>
      </w:r>
      <w:r>
        <w:t xml:space="preserve"> The participating parliaments are the Austrian </w:t>
      </w:r>
      <w:r>
        <w:rPr>
          <w:i/>
        </w:rPr>
        <w:t>Bundesrat</w:t>
      </w:r>
      <w:r>
        <w:t xml:space="preserve">, the Bulgarian </w:t>
      </w:r>
      <w:r>
        <w:rPr>
          <w:i/>
        </w:rPr>
        <w:t>Narodno Sabranie</w:t>
      </w:r>
      <w:r>
        <w:t xml:space="preserve">, the Cypriotic </w:t>
      </w:r>
      <w:r>
        <w:rPr>
          <w:i/>
        </w:rPr>
        <w:t>Vouli Ton Antiprosopon</w:t>
      </w:r>
      <w:r>
        <w:t xml:space="preserve">, the Danish </w:t>
      </w:r>
      <w:r>
        <w:rPr>
          <w:i/>
        </w:rPr>
        <w:t>Folketing</w:t>
      </w:r>
      <w:r>
        <w:t xml:space="preserve">, the Dutch </w:t>
      </w:r>
      <w:r>
        <w:rPr>
          <w:i/>
        </w:rPr>
        <w:t xml:space="preserve">Tweede </w:t>
      </w:r>
      <w:r>
        <w:t xml:space="preserve">and the </w:t>
      </w:r>
      <w:r>
        <w:rPr>
          <w:i/>
        </w:rPr>
        <w:t>Eerste</w:t>
      </w:r>
      <w:r>
        <w:t xml:space="preserve"> </w:t>
      </w:r>
      <w:r>
        <w:rPr>
          <w:i/>
        </w:rPr>
        <w:t>Kamer</w:t>
      </w:r>
      <w:r>
        <w:t xml:space="preserve">, the Irish </w:t>
      </w:r>
      <w:r>
        <w:rPr>
          <w:i/>
        </w:rPr>
        <w:t>Houses of the Oireachtas</w:t>
      </w:r>
      <w:r>
        <w:t xml:space="preserve">, the Italian </w:t>
      </w:r>
      <w:r>
        <w:rPr>
          <w:i/>
        </w:rPr>
        <w:t>Senato della Repubblica</w:t>
      </w:r>
      <w:r>
        <w:t xml:space="preserve">, the French </w:t>
      </w:r>
      <w:r>
        <w:rPr>
          <w:i/>
        </w:rPr>
        <w:t>Sénat</w:t>
      </w:r>
      <w:r>
        <w:t xml:space="preserve">, the German </w:t>
      </w:r>
      <w:r>
        <w:rPr>
          <w:i/>
        </w:rPr>
        <w:t>Bundestag</w:t>
      </w:r>
      <w:r>
        <w:t xml:space="preserve">, the Latvian </w:t>
      </w:r>
      <w:r>
        <w:rPr>
          <w:i/>
        </w:rPr>
        <w:t>Saeima</w:t>
      </w:r>
      <w:r>
        <w:t xml:space="preserve">, the Maltese </w:t>
      </w:r>
      <w:r>
        <w:rPr>
          <w:i/>
        </w:rPr>
        <w:t>Kamra tad-Deputati</w:t>
      </w:r>
      <w:r>
        <w:t xml:space="preserve">, the Polish </w:t>
      </w:r>
      <w:r>
        <w:rPr>
          <w:i/>
        </w:rPr>
        <w:t xml:space="preserve">Sejm </w:t>
      </w:r>
      <w:r>
        <w:t xml:space="preserve">and the </w:t>
      </w:r>
      <w:r>
        <w:rPr>
          <w:i/>
        </w:rPr>
        <w:t>Senat</w:t>
      </w:r>
      <w:r>
        <w:t xml:space="preserve">, the Portuguese </w:t>
      </w:r>
      <w:r>
        <w:rPr>
          <w:i/>
        </w:rPr>
        <w:t>Assembleia da República</w:t>
      </w:r>
      <w:r>
        <w:t xml:space="preserve">, the Slovakian </w:t>
      </w:r>
      <w:r>
        <w:rPr>
          <w:i/>
        </w:rPr>
        <w:t>Národná Rada</w:t>
      </w:r>
      <w:r>
        <w:t xml:space="preserve">, the Slovenian </w:t>
      </w:r>
      <w:r>
        <w:rPr>
          <w:i/>
        </w:rPr>
        <w:t xml:space="preserve">Državni zbor </w:t>
      </w:r>
      <w:r>
        <w:t xml:space="preserve">and the </w:t>
      </w:r>
      <w:r>
        <w:rPr>
          <w:i/>
        </w:rPr>
        <w:t>Državni svet</w:t>
      </w:r>
      <w:r>
        <w:t xml:space="preserve">, the Swedish </w:t>
      </w:r>
      <w:r>
        <w:rPr>
          <w:i/>
        </w:rPr>
        <w:t>Riksdag</w:t>
      </w:r>
      <w:r>
        <w:t xml:space="preserve">, and the UK </w:t>
      </w:r>
      <w:r>
        <w:rPr>
          <w:i/>
        </w:rPr>
        <w:t xml:space="preserve">House of Commons </w:t>
      </w:r>
      <w:r>
        <w:t xml:space="preserve">and the </w:t>
      </w:r>
      <w:r>
        <w:rPr>
          <w:i/>
        </w:rPr>
        <w:t>House of Lords</w:t>
      </w:r>
      <w:r>
        <w:t>.</w:t>
      </w:r>
    </w:p>
  </w:footnote>
  <w:footnote w:id="7">
    <w:p w:rsidR="00100A24" w:rsidRDefault="00100A24" w:rsidP="00321343">
      <w:pPr>
        <w:pStyle w:val="FootnoteText"/>
      </w:pPr>
      <w:r>
        <w:rPr>
          <w:rStyle w:val="FootnoteReference"/>
        </w:rPr>
        <w:footnoteRef/>
      </w:r>
      <w:r>
        <w:t xml:space="preserve"> These were the Austrian </w:t>
      </w:r>
      <w:r>
        <w:rPr>
          <w:i/>
        </w:rPr>
        <w:t>Nationalrat</w:t>
      </w:r>
      <w:r>
        <w:t xml:space="preserve">, the Czech </w:t>
      </w:r>
      <w:r>
        <w:rPr>
          <w:i/>
        </w:rPr>
        <w:t>Senát</w:t>
      </w:r>
      <w:r>
        <w:t xml:space="preserve">, the Estonian </w:t>
      </w:r>
      <w:r>
        <w:rPr>
          <w:i/>
        </w:rPr>
        <w:t>Riigikogu</w:t>
      </w:r>
      <w:r>
        <w:t xml:space="preserve">, the Finish </w:t>
      </w:r>
      <w:r>
        <w:rPr>
          <w:i/>
        </w:rPr>
        <w:t>Eduskunta</w:t>
      </w:r>
      <w:r>
        <w:t xml:space="preserve">, the French </w:t>
      </w:r>
      <w:r>
        <w:rPr>
          <w:i/>
        </w:rPr>
        <w:t>Assemblée nationale</w:t>
      </w:r>
      <w:r>
        <w:t xml:space="preserve">, the German </w:t>
      </w:r>
      <w:r>
        <w:rPr>
          <w:i/>
        </w:rPr>
        <w:t>Bundesrat</w:t>
      </w:r>
      <w:r>
        <w:t xml:space="preserve">, the Hungarian </w:t>
      </w:r>
      <w:r>
        <w:rPr>
          <w:i/>
        </w:rPr>
        <w:t>Országgyűlés</w:t>
      </w:r>
      <w:r>
        <w:t xml:space="preserve">, the Lithuanian </w:t>
      </w:r>
      <w:r>
        <w:rPr>
          <w:i/>
        </w:rPr>
        <w:t>Seimas</w:t>
      </w:r>
      <w:r>
        <w:t xml:space="preserve">, the Luxembourg </w:t>
      </w:r>
      <w:r>
        <w:rPr>
          <w:i/>
        </w:rPr>
        <w:t>Chambre des Députés</w:t>
      </w:r>
      <w:r>
        <w:t xml:space="preserve">, the Romanian Parliament, and the Spanish </w:t>
      </w:r>
      <w:r>
        <w:rPr>
          <w:i/>
        </w:rPr>
        <w:t>Cortes Generales</w:t>
      </w:r>
      <w:r>
        <w:t>.</w:t>
      </w:r>
    </w:p>
  </w:footnote>
  <w:footnote w:id="8">
    <w:p w:rsidR="00100A24" w:rsidRDefault="00100A24" w:rsidP="00321343">
      <w:pPr>
        <w:pStyle w:val="FootnoteText"/>
      </w:pPr>
      <w:r>
        <w:rPr>
          <w:rStyle w:val="FootnoteReference"/>
        </w:rPr>
        <w:footnoteRef/>
      </w:r>
      <w:r>
        <w:t xml:space="preserve"> The parliaments or chambers that did identify a breach were the Austrian </w:t>
      </w:r>
      <w:r>
        <w:rPr>
          <w:i/>
        </w:rPr>
        <w:t xml:space="preserve">Bundesrat </w:t>
      </w:r>
      <w:r>
        <w:t xml:space="preserve">and </w:t>
      </w:r>
      <w:r>
        <w:rPr>
          <w:i/>
        </w:rPr>
        <w:t>Nationalrat</w:t>
      </w:r>
      <w:r>
        <w:t xml:space="preserve">, the Irish </w:t>
      </w:r>
      <w:r>
        <w:rPr>
          <w:i/>
        </w:rPr>
        <w:t xml:space="preserve">Houses of the Oireachtas </w:t>
      </w:r>
      <w:r>
        <w:t xml:space="preserve">and the Maltese </w:t>
      </w:r>
      <w:r>
        <w:rPr>
          <w:i/>
        </w:rPr>
        <w:t>Kamra tad-Deputati</w:t>
      </w:r>
      <w:r>
        <w:t>.</w:t>
      </w:r>
    </w:p>
  </w:footnote>
  <w:footnote w:id="9">
    <w:p w:rsidR="00100A24" w:rsidRDefault="00100A24" w:rsidP="00321343">
      <w:pPr>
        <w:pStyle w:val="FootnoteText"/>
      </w:pPr>
      <w:r>
        <w:rPr>
          <w:rStyle w:val="FootnoteReference"/>
        </w:rPr>
        <w:footnoteRef/>
      </w:r>
      <w:r>
        <w:t xml:space="preserve"> These were the German </w:t>
      </w:r>
      <w:r>
        <w:rPr>
          <w:i/>
        </w:rPr>
        <w:t>Bundesrat</w:t>
      </w:r>
      <w:r>
        <w:t xml:space="preserve">, the French </w:t>
      </w:r>
      <w:r>
        <w:rPr>
          <w:i/>
        </w:rPr>
        <w:t xml:space="preserve">Assemblée nationale </w:t>
      </w:r>
      <w:r>
        <w:t xml:space="preserve">and the Czech </w:t>
      </w:r>
      <w:r>
        <w:rPr>
          <w:i/>
        </w:rPr>
        <w:t>Senát</w:t>
      </w:r>
      <w:r>
        <w:t>.</w:t>
      </w:r>
    </w:p>
  </w:footnote>
  <w:footnote w:id="10">
    <w:p w:rsidR="00100A24" w:rsidRDefault="00100A24" w:rsidP="00321343">
      <w:pPr>
        <w:pStyle w:val="FootnoteText"/>
      </w:pPr>
      <w:r>
        <w:rPr>
          <w:rStyle w:val="FootnoteReference"/>
        </w:rPr>
        <w:footnoteRef/>
      </w:r>
      <w:r>
        <w:t xml:space="preserve"> Interview with a permanent representative of a national parliament to the EP – wishes to remain anonymous – see annex V interview A.</w:t>
      </w:r>
    </w:p>
  </w:footnote>
  <w:footnote w:id="11">
    <w:p w:rsidR="00100A24" w:rsidRDefault="00100A24" w:rsidP="00321343">
      <w:pPr>
        <w:pStyle w:val="FootnoteText"/>
      </w:pPr>
      <w:r>
        <w:rPr>
          <w:rStyle w:val="FootnoteReference"/>
        </w:rPr>
        <w:footnoteRef/>
      </w:r>
      <w:r>
        <w:t xml:space="preserve"> Interviews with permanent representatives of a couple of national parliaments to the EP – wish to remain anonymous – see annex V interviews A and B.</w:t>
      </w:r>
    </w:p>
  </w:footnote>
  <w:footnote w:id="12">
    <w:p w:rsidR="00100A24" w:rsidRDefault="00100A24">
      <w:pPr>
        <w:pStyle w:val="FootnoteText"/>
      </w:pPr>
      <w:r>
        <w:rPr>
          <w:rStyle w:val="FootnoteReference"/>
        </w:rPr>
        <w:footnoteRef/>
      </w:r>
      <w:r>
        <w:t xml:space="preserve"> Interviews with the permanent representative of the UK – see annex V interview B.</w:t>
      </w:r>
    </w:p>
  </w:footnote>
  <w:footnote w:id="13">
    <w:p w:rsidR="00100A24" w:rsidRDefault="00100A24">
      <w:pPr>
        <w:pStyle w:val="FootnoteText"/>
      </w:pPr>
      <w:r>
        <w:rPr>
          <w:rStyle w:val="FootnoteReference"/>
        </w:rPr>
        <w:footnoteRef/>
      </w:r>
      <w:r>
        <w:t xml:space="preserve"> A scan of the IPEX website shows that the Commission does not have to respond very often, nor have there been many extensive subsidiarity checks carried out.</w:t>
      </w:r>
    </w:p>
  </w:footnote>
  <w:footnote w:id="14">
    <w:p w:rsidR="00100A24" w:rsidRDefault="00100A24">
      <w:pPr>
        <w:pStyle w:val="FootnoteText"/>
      </w:pPr>
      <w:r>
        <w:rPr>
          <w:rStyle w:val="FootnoteReference"/>
        </w:rPr>
        <w:footnoteRef/>
      </w:r>
      <w:r>
        <w:t xml:space="preserve"> Interview with a permanent representative of the UK to the EP – see annex V interview B.</w:t>
      </w:r>
    </w:p>
  </w:footnote>
  <w:footnote w:id="15">
    <w:p w:rsidR="00100A24" w:rsidRDefault="00100A24">
      <w:pPr>
        <w:pStyle w:val="FootnoteText"/>
      </w:pPr>
      <w:r>
        <w:rPr>
          <w:rStyle w:val="FootnoteReference"/>
        </w:rPr>
        <w:footnoteRef/>
      </w:r>
      <w:r>
        <w:t xml:space="preserve"> See chapter 3 on Parliamentary Scrutiny. Furthermore, a scan of the IPEX website and the uploads of national parliaments also show this.</w:t>
      </w:r>
    </w:p>
  </w:footnote>
  <w:footnote w:id="16">
    <w:p w:rsidR="00100A24" w:rsidRDefault="00100A24">
      <w:pPr>
        <w:pStyle w:val="FootnoteText"/>
      </w:pPr>
      <w:r>
        <w:rPr>
          <w:rStyle w:val="FootnoteReference"/>
        </w:rPr>
        <w:footnoteRef/>
      </w:r>
      <w:r>
        <w:t xml:space="preserve"> Interview with an employee of the Dutch Parliament – wishes to remain anonymous – see annex V interview E.</w:t>
      </w:r>
    </w:p>
  </w:footnote>
  <w:footnote w:id="17">
    <w:p w:rsidR="00100A24" w:rsidRDefault="00100A24">
      <w:pPr>
        <w:pStyle w:val="FootnoteText"/>
      </w:pPr>
      <w:r>
        <w:rPr>
          <w:rStyle w:val="FootnoteReference"/>
        </w:rPr>
        <w:footnoteRef/>
      </w:r>
      <w:r>
        <w:t xml:space="preserve"> Interview with a permanent representative of a national parliament to the EP – wishes to remain anonymous – see annex V interview 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24" w:rsidRDefault="00100A24">
    <w:pPr>
      <w:pStyle w:val="Header"/>
    </w:pPr>
    <w:r>
      <w:t>Subsidiarity in the European Union: fact, fiction or future?</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4" w:space="0" w:color="BFBFBF"/>
      </w:tblBorders>
      <w:tblCellMar>
        <w:left w:w="115" w:type="dxa"/>
        <w:right w:w="115" w:type="dxa"/>
      </w:tblCellMar>
      <w:tblLook w:val="00A0"/>
    </w:tblPr>
    <w:tblGrid>
      <w:gridCol w:w="7912"/>
      <w:gridCol w:w="618"/>
    </w:tblGrid>
    <w:tr w:rsidR="00100A24" w:rsidRPr="003337EE">
      <w:tc>
        <w:tcPr>
          <w:tcW w:w="4638" w:type="pct"/>
          <w:tcBorders>
            <w:bottom w:val="nil"/>
            <w:right w:val="single" w:sz="4" w:space="0" w:color="BFBFBF"/>
          </w:tcBorders>
        </w:tcPr>
        <w:p w:rsidR="00100A24" w:rsidRPr="003337EE" w:rsidRDefault="00100A24" w:rsidP="00AA1497">
          <w:pPr>
            <w:jc w:val="left"/>
            <w:rPr>
              <w:rFonts w:ascii="Calibri" w:hAnsi="Calibri"/>
              <w:b/>
              <w:color w:val="595959"/>
            </w:rPr>
          </w:pPr>
          <w:r w:rsidRPr="003337EE">
            <w:rPr>
              <w:rFonts w:ascii="Calibri" w:hAnsi="Calibri"/>
              <w:b/>
              <w:bCs/>
              <w:caps/>
              <w:color w:val="595959"/>
            </w:rPr>
            <w:t>Legitimacy in the European Union: can National Parliaments help?</w:t>
          </w:r>
        </w:p>
      </w:tc>
      <w:tc>
        <w:tcPr>
          <w:tcW w:w="362" w:type="pct"/>
          <w:tcBorders>
            <w:left w:val="single" w:sz="4" w:space="0" w:color="BFBFBF"/>
            <w:bottom w:val="nil"/>
          </w:tcBorders>
        </w:tcPr>
        <w:p w:rsidR="00100A24" w:rsidRPr="003337EE" w:rsidRDefault="00100A24" w:rsidP="00AA1497">
          <w:pPr>
            <w:jc w:val="left"/>
            <w:rPr>
              <w:rFonts w:ascii="Calibri" w:hAnsi="Calibri"/>
              <w:color w:val="595959"/>
            </w:rPr>
          </w:pPr>
          <w:fldSimple w:instr=" PAGE   \* MERGEFORMAT ">
            <w:r w:rsidRPr="003337EE">
              <w:rPr>
                <w:rFonts w:ascii="Calibri" w:hAnsi="Calibri"/>
                <w:b/>
                <w:noProof/>
                <w:color w:val="595959"/>
                <w:sz w:val="20"/>
              </w:rPr>
              <w:t>5</w:t>
            </w:r>
          </w:fldSimple>
        </w:p>
      </w:tc>
    </w:tr>
  </w:tbl>
  <w:p w:rsidR="00100A24" w:rsidRDefault="00100A2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1C63390C"/>
    <w:multiLevelType w:val="multilevel"/>
    <w:tmpl w:val="9C500FAC"/>
    <w:lvl w:ilvl="0">
      <w:start w:val="1"/>
      <w:numFmt w:val="decimal"/>
      <w:lvlText w:val="%1."/>
      <w:lvlJc w:val="left"/>
      <w:pPr>
        <w:ind w:left="460" w:hanging="46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nsid w:val="27511119"/>
    <w:multiLevelType w:val="hybridMultilevel"/>
    <w:tmpl w:val="F71CA8E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2763316E"/>
    <w:multiLevelType w:val="hybridMultilevel"/>
    <w:tmpl w:val="8522CEAA"/>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C2A10B2"/>
    <w:multiLevelType w:val="hybridMultilevel"/>
    <w:tmpl w:val="8522CEAA"/>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509364F0"/>
    <w:multiLevelType w:val="hybridMultilevel"/>
    <w:tmpl w:val="3E8CF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0E53AD9"/>
    <w:multiLevelType w:val="hybridMultilevel"/>
    <w:tmpl w:val="936E7A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A50E9A"/>
    <w:multiLevelType w:val="hybridMultilevel"/>
    <w:tmpl w:val="A3047A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4"/>
  </w:num>
  <w:num w:numId="3">
    <w:abstractNumId w:val="2"/>
  </w:num>
  <w:num w:numId="4">
    <w:abstractNumId w:val="1"/>
  </w:num>
  <w:num w:numId="5">
    <w:abstractNumId w:val="7"/>
  </w:num>
  <w:num w:numId="6">
    <w:abstractNumId w:val="5"/>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1BEF"/>
    <w:rsid w:val="00006D98"/>
    <w:rsid w:val="00013814"/>
    <w:rsid w:val="00014036"/>
    <w:rsid w:val="0001448F"/>
    <w:rsid w:val="0003163D"/>
    <w:rsid w:val="00033E0F"/>
    <w:rsid w:val="00036496"/>
    <w:rsid w:val="000370C0"/>
    <w:rsid w:val="000441F5"/>
    <w:rsid w:val="00047155"/>
    <w:rsid w:val="0004731E"/>
    <w:rsid w:val="00055BF0"/>
    <w:rsid w:val="0005650B"/>
    <w:rsid w:val="0006016E"/>
    <w:rsid w:val="00062FA2"/>
    <w:rsid w:val="00065567"/>
    <w:rsid w:val="00072B09"/>
    <w:rsid w:val="000B5F3A"/>
    <w:rsid w:val="000B6C10"/>
    <w:rsid w:val="000B6F96"/>
    <w:rsid w:val="000C37E3"/>
    <w:rsid w:val="000D1EA9"/>
    <w:rsid w:val="000E0484"/>
    <w:rsid w:val="000F6015"/>
    <w:rsid w:val="00100A24"/>
    <w:rsid w:val="00101064"/>
    <w:rsid w:val="001119FF"/>
    <w:rsid w:val="00117974"/>
    <w:rsid w:val="00121CCD"/>
    <w:rsid w:val="001237F0"/>
    <w:rsid w:val="001252CE"/>
    <w:rsid w:val="001272C8"/>
    <w:rsid w:val="00131A1A"/>
    <w:rsid w:val="001352B5"/>
    <w:rsid w:val="00137054"/>
    <w:rsid w:val="00154637"/>
    <w:rsid w:val="00160ADC"/>
    <w:rsid w:val="00166344"/>
    <w:rsid w:val="001767B8"/>
    <w:rsid w:val="001839F6"/>
    <w:rsid w:val="00192FEF"/>
    <w:rsid w:val="00193961"/>
    <w:rsid w:val="00195E45"/>
    <w:rsid w:val="001A3EED"/>
    <w:rsid w:val="001B1FB8"/>
    <w:rsid w:val="001B3C28"/>
    <w:rsid w:val="001C0ED5"/>
    <w:rsid w:val="001C5106"/>
    <w:rsid w:val="001D002A"/>
    <w:rsid w:val="001D6BA9"/>
    <w:rsid w:val="001E0875"/>
    <w:rsid w:val="001E3FF0"/>
    <w:rsid w:val="001E4467"/>
    <w:rsid w:val="001F26E0"/>
    <w:rsid w:val="002021B3"/>
    <w:rsid w:val="00202C0C"/>
    <w:rsid w:val="00203E2A"/>
    <w:rsid w:val="00204D51"/>
    <w:rsid w:val="00206FC4"/>
    <w:rsid w:val="002071E0"/>
    <w:rsid w:val="00220191"/>
    <w:rsid w:val="00224388"/>
    <w:rsid w:val="00235340"/>
    <w:rsid w:val="00246496"/>
    <w:rsid w:val="002504B9"/>
    <w:rsid w:val="002510FB"/>
    <w:rsid w:val="0025312A"/>
    <w:rsid w:val="002624EC"/>
    <w:rsid w:val="00262C40"/>
    <w:rsid w:val="00265AB1"/>
    <w:rsid w:val="002814BB"/>
    <w:rsid w:val="002831C2"/>
    <w:rsid w:val="00291E06"/>
    <w:rsid w:val="00294A61"/>
    <w:rsid w:val="002A0C48"/>
    <w:rsid w:val="002A3D2C"/>
    <w:rsid w:val="002B3BEB"/>
    <w:rsid w:val="002B572B"/>
    <w:rsid w:val="002C1B63"/>
    <w:rsid w:val="002D029F"/>
    <w:rsid w:val="002D655D"/>
    <w:rsid w:val="002D6AF1"/>
    <w:rsid w:val="002E1B8C"/>
    <w:rsid w:val="002E4BC7"/>
    <w:rsid w:val="003067F4"/>
    <w:rsid w:val="0030692A"/>
    <w:rsid w:val="00307589"/>
    <w:rsid w:val="003145D5"/>
    <w:rsid w:val="00321343"/>
    <w:rsid w:val="00326778"/>
    <w:rsid w:val="003318A1"/>
    <w:rsid w:val="003337EE"/>
    <w:rsid w:val="003353F5"/>
    <w:rsid w:val="003401B1"/>
    <w:rsid w:val="00343514"/>
    <w:rsid w:val="0035032A"/>
    <w:rsid w:val="0035690D"/>
    <w:rsid w:val="00357F90"/>
    <w:rsid w:val="00370D18"/>
    <w:rsid w:val="00377969"/>
    <w:rsid w:val="00380DB4"/>
    <w:rsid w:val="00383A3D"/>
    <w:rsid w:val="00395856"/>
    <w:rsid w:val="003975FB"/>
    <w:rsid w:val="003A3322"/>
    <w:rsid w:val="003A6F77"/>
    <w:rsid w:val="003B276E"/>
    <w:rsid w:val="003B296D"/>
    <w:rsid w:val="003B32B6"/>
    <w:rsid w:val="003B7451"/>
    <w:rsid w:val="003C2CD0"/>
    <w:rsid w:val="003C5CBF"/>
    <w:rsid w:val="003F789C"/>
    <w:rsid w:val="0040685D"/>
    <w:rsid w:val="0041326E"/>
    <w:rsid w:val="004160FA"/>
    <w:rsid w:val="00416DBF"/>
    <w:rsid w:val="00426F85"/>
    <w:rsid w:val="00437BF4"/>
    <w:rsid w:val="004429DF"/>
    <w:rsid w:val="00446513"/>
    <w:rsid w:val="00461F34"/>
    <w:rsid w:val="00471BD0"/>
    <w:rsid w:val="00475589"/>
    <w:rsid w:val="00476C19"/>
    <w:rsid w:val="00476CD7"/>
    <w:rsid w:val="00476EEC"/>
    <w:rsid w:val="00480474"/>
    <w:rsid w:val="00480D49"/>
    <w:rsid w:val="00483266"/>
    <w:rsid w:val="004846FF"/>
    <w:rsid w:val="00486A95"/>
    <w:rsid w:val="00494B3D"/>
    <w:rsid w:val="00495F2C"/>
    <w:rsid w:val="00497760"/>
    <w:rsid w:val="004B1273"/>
    <w:rsid w:val="004B5825"/>
    <w:rsid w:val="004C53B4"/>
    <w:rsid w:val="004C6255"/>
    <w:rsid w:val="004D5966"/>
    <w:rsid w:val="004D6F39"/>
    <w:rsid w:val="004E09DD"/>
    <w:rsid w:val="004F1558"/>
    <w:rsid w:val="004F1FAF"/>
    <w:rsid w:val="004F72A4"/>
    <w:rsid w:val="00503E8A"/>
    <w:rsid w:val="00513F6C"/>
    <w:rsid w:val="00514571"/>
    <w:rsid w:val="00523CAA"/>
    <w:rsid w:val="00536BC5"/>
    <w:rsid w:val="00537070"/>
    <w:rsid w:val="005522D7"/>
    <w:rsid w:val="00571A07"/>
    <w:rsid w:val="0057576A"/>
    <w:rsid w:val="0057689F"/>
    <w:rsid w:val="00576E10"/>
    <w:rsid w:val="00577124"/>
    <w:rsid w:val="00586C58"/>
    <w:rsid w:val="0059297D"/>
    <w:rsid w:val="0059472A"/>
    <w:rsid w:val="005952C2"/>
    <w:rsid w:val="005976B8"/>
    <w:rsid w:val="005C68BA"/>
    <w:rsid w:val="005C7787"/>
    <w:rsid w:val="005D72FD"/>
    <w:rsid w:val="005E4A53"/>
    <w:rsid w:val="005E5232"/>
    <w:rsid w:val="005E7B0E"/>
    <w:rsid w:val="005F087B"/>
    <w:rsid w:val="005F2A3B"/>
    <w:rsid w:val="005F40CA"/>
    <w:rsid w:val="005F56B1"/>
    <w:rsid w:val="006014A5"/>
    <w:rsid w:val="00605881"/>
    <w:rsid w:val="006069D7"/>
    <w:rsid w:val="00610367"/>
    <w:rsid w:val="006136EF"/>
    <w:rsid w:val="0061397F"/>
    <w:rsid w:val="00615D75"/>
    <w:rsid w:val="006245CE"/>
    <w:rsid w:val="006352A7"/>
    <w:rsid w:val="00636E34"/>
    <w:rsid w:val="00641E37"/>
    <w:rsid w:val="00646E53"/>
    <w:rsid w:val="00651D05"/>
    <w:rsid w:val="006628B2"/>
    <w:rsid w:val="00665816"/>
    <w:rsid w:val="0066622B"/>
    <w:rsid w:val="00683D62"/>
    <w:rsid w:val="00685A65"/>
    <w:rsid w:val="006A171F"/>
    <w:rsid w:val="006A1F7F"/>
    <w:rsid w:val="006A3D90"/>
    <w:rsid w:val="006B0152"/>
    <w:rsid w:val="006B5054"/>
    <w:rsid w:val="006B5919"/>
    <w:rsid w:val="006B7630"/>
    <w:rsid w:val="006C4D75"/>
    <w:rsid w:val="006C5D04"/>
    <w:rsid w:val="006C6C4C"/>
    <w:rsid w:val="006D1345"/>
    <w:rsid w:val="006E2FAD"/>
    <w:rsid w:val="007127CC"/>
    <w:rsid w:val="0071537C"/>
    <w:rsid w:val="00720CBA"/>
    <w:rsid w:val="00721231"/>
    <w:rsid w:val="00726071"/>
    <w:rsid w:val="00730220"/>
    <w:rsid w:val="00735ADF"/>
    <w:rsid w:val="007443B3"/>
    <w:rsid w:val="00747EA5"/>
    <w:rsid w:val="00752715"/>
    <w:rsid w:val="00753B8F"/>
    <w:rsid w:val="00753DE8"/>
    <w:rsid w:val="0075422B"/>
    <w:rsid w:val="00761C8A"/>
    <w:rsid w:val="00765B12"/>
    <w:rsid w:val="00770475"/>
    <w:rsid w:val="00774172"/>
    <w:rsid w:val="00775F9F"/>
    <w:rsid w:val="00786F6E"/>
    <w:rsid w:val="007902F2"/>
    <w:rsid w:val="007A125F"/>
    <w:rsid w:val="007A2D4D"/>
    <w:rsid w:val="007A3A1D"/>
    <w:rsid w:val="007A43D6"/>
    <w:rsid w:val="007B2056"/>
    <w:rsid w:val="007B2854"/>
    <w:rsid w:val="007B2FF4"/>
    <w:rsid w:val="007B5CFE"/>
    <w:rsid w:val="007B5DC9"/>
    <w:rsid w:val="007B7014"/>
    <w:rsid w:val="007C027C"/>
    <w:rsid w:val="007C3335"/>
    <w:rsid w:val="007C37B4"/>
    <w:rsid w:val="007C5BC1"/>
    <w:rsid w:val="007D10C2"/>
    <w:rsid w:val="007E08DA"/>
    <w:rsid w:val="007E7316"/>
    <w:rsid w:val="007E79B6"/>
    <w:rsid w:val="007F6F74"/>
    <w:rsid w:val="007F761F"/>
    <w:rsid w:val="00802B05"/>
    <w:rsid w:val="008039DC"/>
    <w:rsid w:val="00812198"/>
    <w:rsid w:val="0082419B"/>
    <w:rsid w:val="008256E3"/>
    <w:rsid w:val="00833A15"/>
    <w:rsid w:val="00837194"/>
    <w:rsid w:val="00845EBE"/>
    <w:rsid w:val="00856F5C"/>
    <w:rsid w:val="00861B1C"/>
    <w:rsid w:val="00871421"/>
    <w:rsid w:val="008814D3"/>
    <w:rsid w:val="00886DD7"/>
    <w:rsid w:val="0089124A"/>
    <w:rsid w:val="008A2AE8"/>
    <w:rsid w:val="008A3142"/>
    <w:rsid w:val="008A7940"/>
    <w:rsid w:val="008B009D"/>
    <w:rsid w:val="008D25B6"/>
    <w:rsid w:val="008E0DEB"/>
    <w:rsid w:val="008E5A81"/>
    <w:rsid w:val="008E63EE"/>
    <w:rsid w:val="008F0DAA"/>
    <w:rsid w:val="009010F7"/>
    <w:rsid w:val="0090226C"/>
    <w:rsid w:val="00911652"/>
    <w:rsid w:val="009120E9"/>
    <w:rsid w:val="00914604"/>
    <w:rsid w:val="009156B8"/>
    <w:rsid w:val="00923D5C"/>
    <w:rsid w:val="00931332"/>
    <w:rsid w:val="009364ED"/>
    <w:rsid w:val="00936B9E"/>
    <w:rsid w:val="009502C8"/>
    <w:rsid w:val="00951E04"/>
    <w:rsid w:val="0095252C"/>
    <w:rsid w:val="00955273"/>
    <w:rsid w:val="00956026"/>
    <w:rsid w:val="00974EDA"/>
    <w:rsid w:val="00992225"/>
    <w:rsid w:val="0099719C"/>
    <w:rsid w:val="009A2489"/>
    <w:rsid w:val="009A3CDA"/>
    <w:rsid w:val="009B385A"/>
    <w:rsid w:val="009B71E5"/>
    <w:rsid w:val="009B7A86"/>
    <w:rsid w:val="009C6820"/>
    <w:rsid w:val="009D2CD8"/>
    <w:rsid w:val="009D33EF"/>
    <w:rsid w:val="009E3809"/>
    <w:rsid w:val="009E5D87"/>
    <w:rsid w:val="009F1288"/>
    <w:rsid w:val="009F659D"/>
    <w:rsid w:val="00A10B8D"/>
    <w:rsid w:val="00A1110A"/>
    <w:rsid w:val="00A13F5A"/>
    <w:rsid w:val="00A22C70"/>
    <w:rsid w:val="00A24767"/>
    <w:rsid w:val="00A2566F"/>
    <w:rsid w:val="00A25B10"/>
    <w:rsid w:val="00A277F6"/>
    <w:rsid w:val="00A27ADB"/>
    <w:rsid w:val="00A34995"/>
    <w:rsid w:val="00A358FB"/>
    <w:rsid w:val="00A40E1D"/>
    <w:rsid w:val="00A466CE"/>
    <w:rsid w:val="00A64B21"/>
    <w:rsid w:val="00A6718A"/>
    <w:rsid w:val="00A71CBA"/>
    <w:rsid w:val="00A7561D"/>
    <w:rsid w:val="00A76D2E"/>
    <w:rsid w:val="00A81DFE"/>
    <w:rsid w:val="00A822DB"/>
    <w:rsid w:val="00A94AD8"/>
    <w:rsid w:val="00A97D47"/>
    <w:rsid w:val="00AA0E88"/>
    <w:rsid w:val="00AA1497"/>
    <w:rsid w:val="00AA1A8D"/>
    <w:rsid w:val="00AA76F1"/>
    <w:rsid w:val="00AB49E1"/>
    <w:rsid w:val="00AC1E26"/>
    <w:rsid w:val="00AD10EE"/>
    <w:rsid w:val="00AD3997"/>
    <w:rsid w:val="00AE07BD"/>
    <w:rsid w:val="00AE5722"/>
    <w:rsid w:val="00AF268F"/>
    <w:rsid w:val="00AF3003"/>
    <w:rsid w:val="00AF3DE7"/>
    <w:rsid w:val="00AF419B"/>
    <w:rsid w:val="00AF4ACD"/>
    <w:rsid w:val="00AF7021"/>
    <w:rsid w:val="00B116D7"/>
    <w:rsid w:val="00B24739"/>
    <w:rsid w:val="00B35A34"/>
    <w:rsid w:val="00B4277C"/>
    <w:rsid w:val="00B4632D"/>
    <w:rsid w:val="00B600ED"/>
    <w:rsid w:val="00B6357D"/>
    <w:rsid w:val="00B63759"/>
    <w:rsid w:val="00B66631"/>
    <w:rsid w:val="00B70405"/>
    <w:rsid w:val="00B708A7"/>
    <w:rsid w:val="00B77826"/>
    <w:rsid w:val="00B77D86"/>
    <w:rsid w:val="00B81507"/>
    <w:rsid w:val="00B82CFB"/>
    <w:rsid w:val="00B90A9D"/>
    <w:rsid w:val="00B945E7"/>
    <w:rsid w:val="00B94FD0"/>
    <w:rsid w:val="00BA174B"/>
    <w:rsid w:val="00BA46E9"/>
    <w:rsid w:val="00BB11C2"/>
    <w:rsid w:val="00BC010B"/>
    <w:rsid w:val="00BC6782"/>
    <w:rsid w:val="00BC7E34"/>
    <w:rsid w:val="00BD1DA7"/>
    <w:rsid w:val="00BE437F"/>
    <w:rsid w:val="00BE4693"/>
    <w:rsid w:val="00BE5F7C"/>
    <w:rsid w:val="00BF092A"/>
    <w:rsid w:val="00BF4DD0"/>
    <w:rsid w:val="00BF585B"/>
    <w:rsid w:val="00C00C1F"/>
    <w:rsid w:val="00C01385"/>
    <w:rsid w:val="00C11BD8"/>
    <w:rsid w:val="00C325D0"/>
    <w:rsid w:val="00C34C5D"/>
    <w:rsid w:val="00C443FE"/>
    <w:rsid w:val="00C44FFF"/>
    <w:rsid w:val="00C4680B"/>
    <w:rsid w:val="00C52A05"/>
    <w:rsid w:val="00C60188"/>
    <w:rsid w:val="00C623F5"/>
    <w:rsid w:val="00C724BE"/>
    <w:rsid w:val="00C80BD9"/>
    <w:rsid w:val="00C94ABD"/>
    <w:rsid w:val="00C97140"/>
    <w:rsid w:val="00CB0987"/>
    <w:rsid w:val="00CB3977"/>
    <w:rsid w:val="00CC1691"/>
    <w:rsid w:val="00CC4144"/>
    <w:rsid w:val="00CD3D73"/>
    <w:rsid w:val="00CD5727"/>
    <w:rsid w:val="00CD573E"/>
    <w:rsid w:val="00CF771C"/>
    <w:rsid w:val="00D11E11"/>
    <w:rsid w:val="00D141AB"/>
    <w:rsid w:val="00D16490"/>
    <w:rsid w:val="00D20C76"/>
    <w:rsid w:val="00D266E1"/>
    <w:rsid w:val="00D2683C"/>
    <w:rsid w:val="00D27BFB"/>
    <w:rsid w:val="00D40115"/>
    <w:rsid w:val="00D420D4"/>
    <w:rsid w:val="00D43120"/>
    <w:rsid w:val="00D51698"/>
    <w:rsid w:val="00D53C91"/>
    <w:rsid w:val="00D56F2E"/>
    <w:rsid w:val="00D62C17"/>
    <w:rsid w:val="00D70E2E"/>
    <w:rsid w:val="00D8198A"/>
    <w:rsid w:val="00D9375A"/>
    <w:rsid w:val="00D94312"/>
    <w:rsid w:val="00D95F9A"/>
    <w:rsid w:val="00DA1BEF"/>
    <w:rsid w:val="00DA7BB6"/>
    <w:rsid w:val="00DB2D16"/>
    <w:rsid w:val="00DC070C"/>
    <w:rsid w:val="00DC2059"/>
    <w:rsid w:val="00DC3B99"/>
    <w:rsid w:val="00DC4279"/>
    <w:rsid w:val="00DC5DBB"/>
    <w:rsid w:val="00DD7B75"/>
    <w:rsid w:val="00DE1D96"/>
    <w:rsid w:val="00DE2DDF"/>
    <w:rsid w:val="00DF16BE"/>
    <w:rsid w:val="00DF1B97"/>
    <w:rsid w:val="00E01701"/>
    <w:rsid w:val="00E02416"/>
    <w:rsid w:val="00E04337"/>
    <w:rsid w:val="00E14C2A"/>
    <w:rsid w:val="00E15FE0"/>
    <w:rsid w:val="00E2511B"/>
    <w:rsid w:val="00E305A5"/>
    <w:rsid w:val="00E3233F"/>
    <w:rsid w:val="00E33251"/>
    <w:rsid w:val="00E34C1D"/>
    <w:rsid w:val="00E4130F"/>
    <w:rsid w:val="00E41878"/>
    <w:rsid w:val="00E423F1"/>
    <w:rsid w:val="00E46091"/>
    <w:rsid w:val="00E51D71"/>
    <w:rsid w:val="00E534D7"/>
    <w:rsid w:val="00E55CE2"/>
    <w:rsid w:val="00E60A5D"/>
    <w:rsid w:val="00E645FB"/>
    <w:rsid w:val="00E64B36"/>
    <w:rsid w:val="00E704DF"/>
    <w:rsid w:val="00E74ADF"/>
    <w:rsid w:val="00E80958"/>
    <w:rsid w:val="00E84116"/>
    <w:rsid w:val="00E8773F"/>
    <w:rsid w:val="00E93C39"/>
    <w:rsid w:val="00E96CBE"/>
    <w:rsid w:val="00EA1609"/>
    <w:rsid w:val="00EA1E61"/>
    <w:rsid w:val="00EA4286"/>
    <w:rsid w:val="00EA63A9"/>
    <w:rsid w:val="00EB1D25"/>
    <w:rsid w:val="00EB2777"/>
    <w:rsid w:val="00EC2118"/>
    <w:rsid w:val="00EC2BD1"/>
    <w:rsid w:val="00ED03BA"/>
    <w:rsid w:val="00ED208D"/>
    <w:rsid w:val="00EE1143"/>
    <w:rsid w:val="00EE7020"/>
    <w:rsid w:val="00EE78FF"/>
    <w:rsid w:val="00EE7DF1"/>
    <w:rsid w:val="00EF70E7"/>
    <w:rsid w:val="00F002FA"/>
    <w:rsid w:val="00F055C7"/>
    <w:rsid w:val="00F1374A"/>
    <w:rsid w:val="00F2097B"/>
    <w:rsid w:val="00F22798"/>
    <w:rsid w:val="00F23811"/>
    <w:rsid w:val="00F25055"/>
    <w:rsid w:val="00F30190"/>
    <w:rsid w:val="00F316FE"/>
    <w:rsid w:val="00F31F9A"/>
    <w:rsid w:val="00F40A61"/>
    <w:rsid w:val="00F41730"/>
    <w:rsid w:val="00F4719D"/>
    <w:rsid w:val="00F50AB0"/>
    <w:rsid w:val="00F54BB6"/>
    <w:rsid w:val="00F557B8"/>
    <w:rsid w:val="00F55C63"/>
    <w:rsid w:val="00F6487B"/>
    <w:rsid w:val="00F70AC9"/>
    <w:rsid w:val="00F76916"/>
    <w:rsid w:val="00F87D1E"/>
    <w:rsid w:val="00F96B19"/>
    <w:rsid w:val="00FA452E"/>
    <w:rsid w:val="00FA6BA0"/>
    <w:rsid w:val="00FA72A6"/>
    <w:rsid w:val="00FA73AF"/>
    <w:rsid w:val="00FB2B6F"/>
    <w:rsid w:val="00FC430D"/>
    <w:rsid w:val="00FD3D2F"/>
    <w:rsid w:val="00FD53A8"/>
    <w:rsid w:val="00FD5B5F"/>
    <w:rsid w:val="00FD6CA4"/>
    <w:rsid w:val="00FE20BD"/>
    <w:rsid w:val="00FE3939"/>
    <w:rsid w:val="00FF0A8F"/>
    <w:rsid w:val="00FF0EF1"/>
    <w:rsid w:val="00FF3D07"/>
    <w:rsid w:val="00FF457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aliases w:val="Thesis"/>
    <w:qFormat/>
    <w:rsid w:val="00735ADF"/>
    <w:pPr>
      <w:spacing w:line="360" w:lineRule="auto"/>
      <w:jc w:val="both"/>
    </w:pPr>
    <w:rPr>
      <w:szCs w:val="24"/>
    </w:rPr>
  </w:style>
  <w:style w:type="paragraph" w:styleId="Heading1">
    <w:name w:val="heading 1"/>
    <w:basedOn w:val="Normal"/>
    <w:next w:val="Normal"/>
    <w:link w:val="Heading1Char"/>
    <w:uiPriority w:val="99"/>
    <w:qFormat/>
    <w:rsid w:val="00DA1BEF"/>
    <w:pPr>
      <w:keepNext/>
      <w:keepLines/>
      <w:spacing w:before="480"/>
      <w:outlineLvl w:val="0"/>
    </w:pPr>
    <w:rPr>
      <w:rFonts w:ascii="Calibri" w:eastAsia="Times New Roman" w:hAnsi="Calibri"/>
      <w:b/>
      <w:bCs/>
      <w:color w:val="345A8A"/>
      <w:sz w:val="32"/>
      <w:szCs w:val="32"/>
    </w:rPr>
  </w:style>
  <w:style w:type="paragraph" w:styleId="Heading2">
    <w:name w:val="heading 2"/>
    <w:basedOn w:val="Normal"/>
    <w:next w:val="Normal"/>
    <w:link w:val="Heading2Char"/>
    <w:uiPriority w:val="99"/>
    <w:qFormat/>
    <w:rsid w:val="00195E45"/>
    <w:pPr>
      <w:keepNext/>
      <w:keepLines/>
      <w:spacing w:before="200"/>
      <w:outlineLvl w:val="1"/>
    </w:pPr>
    <w:rPr>
      <w:rFonts w:ascii="Calibri" w:eastAsia="Times New Roman" w:hAnsi="Calibri"/>
      <w:b/>
      <w:bCs/>
      <w:color w:val="4F81BD"/>
      <w:sz w:val="26"/>
      <w:szCs w:val="26"/>
    </w:rPr>
  </w:style>
  <w:style w:type="paragraph" w:styleId="Heading3">
    <w:name w:val="heading 3"/>
    <w:basedOn w:val="Normal"/>
    <w:next w:val="Normal"/>
    <w:link w:val="Heading3Char"/>
    <w:uiPriority w:val="99"/>
    <w:qFormat/>
    <w:rsid w:val="00685A65"/>
    <w:pPr>
      <w:keepNext/>
      <w:keepLines/>
      <w:spacing w:before="200"/>
      <w:outlineLvl w:val="2"/>
    </w:pPr>
    <w:rPr>
      <w:rFonts w:ascii="Calibri" w:eastAsia="Times New Roman" w:hAnsi="Calibri"/>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A1BEF"/>
    <w:rPr>
      <w:rFonts w:ascii="Calibri" w:hAnsi="Calibri" w:cs="Times New Roman"/>
      <w:b/>
      <w:bCs/>
      <w:color w:val="345A8A"/>
      <w:sz w:val="32"/>
      <w:szCs w:val="32"/>
    </w:rPr>
  </w:style>
  <w:style w:type="character" w:customStyle="1" w:styleId="Heading2Char">
    <w:name w:val="Heading 2 Char"/>
    <w:basedOn w:val="DefaultParagraphFont"/>
    <w:link w:val="Heading2"/>
    <w:uiPriority w:val="99"/>
    <w:locked/>
    <w:rsid w:val="00195E45"/>
    <w:rPr>
      <w:rFonts w:ascii="Calibri" w:hAnsi="Calibri" w:cs="Times New Roman"/>
      <w:b/>
      <w:bCs/>
      <w:color w:val="4F81BD"/>
      <w:sz w:val="26"/>
      <w:szCs w:val="26"/>
    </w:rPr>
  </w:style>
  <w:style w:type="character" w:customStyle="1" w:styleId="Heading3Char">
    <w:name w:val="Heading 3 Char"/>
    <w:basedOn w:val="DefaultParagraphFont"/>
    <w:link w:val="Heading3"/>
    <w:uiPriority w:val="99"/>
    <w:locked/>
    <w:rsid w:val="00685A65"/>
    <w:rPr>
      <w:rFonts w:ascii="Calibri" w:hAnsi="Calibri" w:cs="Times New Roman"/>
      <w:b/>
      <w:bCs/>
      <w:color w:val="4F81BD"/>
    </w:rPr>
  </w:style>
  <w:style w:type="paragraph" w:styleId="Header">
    <w:name w:val="header"/>
    <w:basedOn w:val="Normal"/>
    <w:link w:val="HeaderChar"/>
    <w:uiPriority w:val="99"/>
    <w:rsid w:val="00DA1BEF"/>
    <w:pPr>
      <w:tabs>
        <w:tab w:val="center" w:pos="4320"/>
        <w:tab w:val="right" w:pos="8640"/>
      </w:tabs>
    </w:pPr>
  </w:style>
  <w:style w:type="character" w:customStyle="1" w:styleId="HeaderChar">
    <w:name w:val="Header Char"/>
    <w:basedOn w:val="DefaultParagraphFont"/>
    <w:link w:val="Header"/>
    <w:uiPriority w:val="99"/>
    <w:locked/>
    <w:rsid w:val="00DA1BEF"/>
    <w:rPr>
      <w:rFonts w:cs="Times New Roman"/>
    </w:rPr>
  </w:style>
  <w:style w:type="paragraph" w:styleId="Footer">
    <w:name w:val="footer"/>
    <w:basedOn w:val="Normal"/>
    <w:link w:val="FooterChar"/>
    <w:uiPriority w:val="99"/>
    <w:semiHidden/>
    <w:rsid w:val="00DA1BEF"/>
    <w:pPr>
      <w:tabs>
        <w:tab w:val="center" w:pos="4320"/>
        <w:tab w:val="right" w:pos="8640"/>
      </w:tabs>
    </w:pPr>
  </w:style>
  <w:style w:type="character" w:customStyle="1" w:styleId="FooterChar">
    <w:name w:val="Footer Char"/>
    <w:basedOn w:val="DefaultParagraphFont"/>
    <w:link w:val="Footer"/>
    <w:uiPriority w:val="99"/>
    <w:semiHidden/>
    <w:locked/>
    <w:rsid w:val="00DA1BEF"/>
    <w:rPr>
      <w:rFonts w:cs="Times New Roman"/>
    </w:rPr>
  </w:style>
  <w:style w:type="paragraph" w:styleId="NoSpacing">
    <w:name w:val="No Spacing"/>
    <w:link w:val="NoSpacingChar"/>
    <w:uiPriority w:val="99"/>
    <w:qFormat/>
    <w:rsid w:val="00DA1BEF"/>
    <w:rPr>
      <w:rFonts w:ascii="PMingLiU" w:eastAsia="PMingLiU" w:hAnsi="Times New Roman"/>
    </w:rPr>
  </w:style>
  <w:style w:type="character" w:customStyle="1" w:styleId="NoSpacingChar">
    <w:name w:val="No Spacing Char"/>
    <w:basedOn w:val="DefaultParagraphFont"/>
    <w:link w:val="NoSpacing"/>
    <w:uiPriority w:val="99"/>
    <w:locked/>
    <w:rsid w:val="00DA1BEF"/>
    <w:rPr>
      <w:rFonts w:ascii="PMingLiU" w:eastAsia="PMingLiU" w:cs="Times New Roman"/>
      <w:sz w:val="22"/>
      <w:szCs w:val="22"/>
      <w:lang w:val="en-US" w:eastAsia="en-US" w:bidi="ar-SA"/>
    </w:rPr>
  </w:style>
  <w:style w:type="character" w:styleId="PageNumber">
    <w:name w:val="page number"/>
    <w:basedOn w:val="DefaultParagraphFont"/>
    <w:uiPriority w:val="99"/>
    <w:semiHidden/>
    <w:rsid w:val="00DA1BEF"/>
    <w:rPr>
      <w:rFonts w:cs="Times New Roman"/>
    </w:rPr>
  </w:style>
  <w:style w:type="paragraph" w:styleId="TOCHeading">
    <w:name w:val="TOC Heading"/>
    <w:basedOn w:val="Heading1"/>
    <w:next w:val="Normal"/>
    <w:uiPriority w:val="99"/>
    <w:qFormat/>
    <w:rsid w:val="00F30190"/>
    <w:pPr>
      <w:spacing w:line="276" w:lineRule="auto"/>
      <w:outlineLvl w:val="9"/>
    </w:pPr>
    <w:rPr>
      <w:color w:val="365F91"/>
      <w:sz w:val="28"/>
      <w:szCs w:val="28"/>
    </w:rPr>
  </w:style>
  <w:style w:type="paragraph" w:styleId="TOC1">
    <w:name w:val="toc 1"/>
    <w:basedOn w:val="Normal"/>
    <w:next w:val="Normal"/>
    <w:autoRedefine/>
    <w:uiPriority w:val="99"/>
    <w:semiHidden/>
    <w:rsid w:val="00F30190"/>
    <w:pPr>
      <w:spacing w:before="120"/>
      <w:jc w:val="left"/>
    </w:pPr>
    <w:rPr>
      <w:b/>
    </w:rPr>
  </w:style>
  <w:style w:type="paragraph" w:styleId="TOC2">
    <w:name w:val="toc 2"/>
    <w:basedOn w:val="Normal"/>
    <w:next w:val="Normal"/>
    <w:autoRedefine/>
    <w:uiPriority w:val="99"/>
    <w:semiHidden/>
    <w:rsid w:val="00F30190"/>
    <w:pPr>
      <w:ind w:left="240"/>
      <w:jc w:val="left"/>
    </w:pPr>
    <w:rPr>
      <w:b/>
      <w:szCs w:val="22"/>
    </w:rPr>
  </w:style>
  <w:style w:type="paragraph" w:styleId="TOC3">
    <w:name w:val="toc 3"/>
    <w:basedOn w:val="Normal"/>
    <w:next w:val="Normal"/>
    <w:autoRedefine/>
    <w:uiPriority w:val="99"/>
    <w:semiHidden/>
    <w:rsid w:val="00F30190"/>
    <w:pPr>
      <w:ind w:left="480"/>
      <w:jc w:val="left"/>
    </w:pPr>
    <w:rPr>
      <w:szCs w:val="22"/>
    </w:rPr>
  </w:style>
  <w:style w:type="paragraph" w:styleId="TOC4">
    <w:name w:val="toc 4"/>
    <w:basedOn w:val="Normal"/>
    <w:next w:val="Normal"/>
    <w:autoRedefine/>
    <w:uiPriority w:val="99"/>
    <w:semiHidden/>
    <w:rsid w:val="00F30190"/>
    <w:pPr>
      <w:ind w:left="720"/>
      <w:jc w:val="left"/>
    </w:pPr>
    <w:rPr>
      <w:sz w:val="20"/>
      <w:szCs w:val="20"/>
    </w:rPr>
  </w:style>
  <w:style w:type="paragraph" w:styleId="TOC5">
    <w:name w:val="toc 5"/>
    <w:basedOn w:val="Normal"/>
    <w:next w:val="Normal"/>
    <w:autoRedefine/>
    <w:uiPriority w:val="99"/>
    <w:semiHidden/>
    <w:rsid w:val="00F30190"/>
    <w:pPr>
      <w:ind w:left="960"/>
      <w:jc w:val="left"/>
    </w:pPr>
    <w:rPr>
      <w:sz w:val="20"/>
      <w:szCs w:val="20"/>
    </w:rPr>
  </w:style>
  <w:style w:type="paragraph" w:styleId="TOC6">
    <w:name w:val="toc 6"/>
    <w:basedOn w:val="Normal"/>
    <w:next w:val="Normal"/>
    <w:autoRedefine/>
    <w:uiPriority w:val="99"/>
    <w:semiHidden/>
    <w:rsid w:val="00F30190"/>
    <w:pPr>
      <w:ind w:left="1200"/>
      <w:jc w:val="left"/>
    </w:pPr>
    <w:rPr>
      <w:sz w:val="20"/>
      <w:szCs w:val="20"/>
    </w:rPr>
  </w:style>
  <w:style w:type="paragraph" w:styleId="TOC7">
    <w:name w:val="toc 7"/>
    <w:basedOn w:val="Normal"/>
    <w:next w:val="Normal"/>
    <w:autoRedefine/>
    <w:uiPriority w:val="99"/>
    <w:semiHidden/>
    <w:rsid w:val="00F30190"/>
    <w:pPr>
      <w:ind w:left="1440"/>
      <w:jc w:val="left"/>
    </w:pPr>
    <w:rPr>
      <w:sz w:val="20"/>
      <w:szCs w:val="20"/>
    </w:rPr>
  </w:style>
  <w:style w:type="paragraph" w:styleId="TOC8">
    <w:name w:val="toc 8"/>
    <w:basedOn w:val="Normal"/>
    <w:next w:val="Normal"/>
    <w:autoRedefine/>
    <w:uiPriority w:val="99"/>
    <w:semiHidden/>
    <w:rsid w:val="00F30190"/>
    <w:pPr>
      <w:ind w:left="1680"/>
      <w:jc w:val="left"/>
    </w:pPr>
    <w:rPr>
      <w:sz w:val="20"/>
      <w:szCs w:val="20"/>
    </w:rPr>
  </w:style>
  <w:style w:type="paragraph" w:styleId="TOC9">
    <w:name w:val="toc 9"/>
    <w:basedOn w:val="Normal"/>
    <w:next w:val="Normal"/>
    <w:autoRedefine/>
    <w:uiPriority w:val="99"/>
    <w:semiHidden/>
    <w:rsid w:val="00F30190"/>
    <w:pPr>
      <w:ind w:left="1920"/>
      <w:jc w:val="left"/>
    </w:pPr>
    <w:rPr>
      <w:sz w:val="20"/>
      <w:szCs w:val="20"/>
    </w:rPr>
  </w:style>
  <w:style w:type="paragraph" w:styleId="ListParagraph">
    <w:name w:val="List Paragraph"/>
    <w:basedOn w:val="Normal"/>
    <w:uiPriority w:val="99"/>
    <w:qFormat/>
    <w:rsid w:val="00E534D7"/>
    <w:pPr>
      <w:spacing w:after="200" w:line="240" w:lineRule="auto"/>
      <w:ind w:left="720"/>
      <w:contextualSpacing/>
      <w:jc w:val="left"/>
    </w:pPr>
  </w:style>
  <w:style w:type="table" w:styleId="TableGrid">
    <w:name w:val="Table Grid"/>
    <w:basedOn w:val="TableNormal"/>
    <w:uiPriority w:val="99"/>
    <w:rsid w:val="00D4011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rsid w:val="00FE3939"/>
    <w:pPr>
      <w:spacing w:line="240" w:lineRule="auto"/>
    </w:pPr>
    <w:rPr>
      <w:sz w:val="20"/>
    </w:rPr>
  </w:style>
  <w:style w:type="character" w:customStyle="1" w:styleId="FootnoteTextChar">
    <w:name w:val="Footnote Text Char"/>
    <w:basedOn w:val="DefaultParagraphFont"/>
    <w:link w:val="FootnoteText"/>
    <w:uiPriority w:val="99"/>
    <w:locked/>
    <w:rsid w:val="00FE3939"/>
    <w:rPr>
      <w:rFonts w:cs="Times New Roman"/>
      <w:sz w:val="20"/>
    </w:rPr>
  </w:style>
  <w:style w:type="character" w:styleId="FootnoteReference">
    <w:name w:val="footnote reference"/>
    <w:basedOn w:val="DefaultParagraphFont"/>
    <w:uiPriority w:val="99"/>
    <w:rsid w:val="00321343"/>
    <w:rPr>
      <w:rFonts w:cs="Times New Roman"/>
      <w:vertAlign w:val="superscript"/>
    </w:rPr>
  </w:style>
  <w:style w:type="character" w:styleId="Hyperlink">
    <w:name w:val="Hyperlink"/>
    <w:basedOn w:val="DefaultParagraphFont"/>
    <w:uiPriority w:val="99"/>
    <w:rsid w:val="00321343"/>
    <w:rPr>
      <w:rFonts w:cs="Times New Roman"/>
      <w:color w:val="0000FF"/>
      <w:u w:val="single"/>
    </w:rPr>
  </w:style>
  <w:style w:type="paragraph" w:styleId="BalloonText">
    <w:name w:val="Balloon Text"/>
    <w:basedOn w:val="Normal"/>
    <w:link w:val="BalloonTextChar"/>
    <w:uiPriority w:val="99"/>
    <w:rsid w:val="00C11BD8"/>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locked/>
    <w:rsid w:val="00C11BD8"/>
    <w:rPr>
      <w:rFonts w:ascii="Lucida Grande"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divs>
    <w:div w:id="1375736925">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370</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Legitimacy in the European Union: can National Parliaments help?</dc:title>
  <dc:subject/>
  <dc:creator>A master thesis written by Natalya Alexandra Maria Rijk</dc:creator>
  <cp:keywords/>
  <dc:description/>
  <cp:lastModifiedBy>vanaarsen</cp:lastModifiedBy>
  <cp:revision>2</cp:revision>
  <cp:lastPrinted>2010-07-01T10:29:00Z</cp:lastPrinted>
  <dcterms:created xsi:type="dcterms:W3CDTF">2010-08-09T07:44:00Z</dcterms:created>
  <dcterms:modified xsi:type="dcterms:W3CDTF">2010-08-09T07:44:00Z</dcterms:modified>
</cp:coreProperties>
</file>