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694" w:rsidRPr="00CD1E69" w:rsidRDefault="003F0694" w:rsidP="003F0694">
      <w:pPr>
        <w:rPr>
          <w:rFonts w:cs="Arial"/>
        </w:rPr>
      </w:pPr>
      <w:r w:rsidRPr="00CD1E69">
        <w:rPr>
          <w:rFonts w:cs="Arial"/>
          <w:b/>
          <w:sz w:val="28"/>
          <w:szCs w:val="28"/>
        </w:rPr>
        <w:t>ERASMUS UNIVERSITEIT ROTTERDAM</w:t>
      </w:r>
      <w:r w:rsidRPr="00CD1E69">
        <w:rPr>
          <w:rFonts w:cs="Arial"/>
        </w:rPr>
        <w:t xml:space="preserve"> </w:t>
      </w:r>
      <w:r w:rsidRPr="00CD1E69">
        <w:rPr>
          <w:rFonts w:cs="Arial"/>
        </w:rPr>
        <w:tab/>
      </w:r>
      <w:r w:rsidR="00CD1E69">
        <w:rPr>
          <w:rFonts w:cs="Arial"/>
        </w:rPr>
        <w:t xml:space="preserve">        </w:t>
      </w:r>
      <w:r w:rsidR="00CD1E69">
        <w:rPr>
          <w:rFonts w:cs="Arial"/>
        </w:rPr>
        <w:tab/>
      </w:r>
      <w:r w:rsidR="00CD1E69">
        <w:rPr>
          <w:rFonts w:cs="Arial"/>
        </w:rPr>
        <w:tab/>
      </w:r>
      <w:r w:rsidR="00CD1E69">
        <w:rPr>
          <w:rFonts w:cs="Arial"/>
        </w:rPr>
        <w:tab/>
      </w:r>
      <w:r w:rsidRPr="00CD1E69">
        <w:rPr>
          <w:rFonts w:cs="Arial"/>
        </w:rPr>
        <w:t>Nadruk verboden</w:t>
      </w:r>
    </w:p>
    <w:p w:rsidR="003F0694" w:rsidRPr="00CD1E69" w:rsidRDefault="003F0694" w:rsidP="003F0694">
      <w:pPr>
        <w:rPr>
          <w:rFonts w:cs="Arial"/>
        </w:rPr>
      </w:pPr>
    </w:p>
    <w:p w:rsidR="003F0694" w:rsidRPr="00CD1E69" w:rsidRDefault="003F0694" w:rsidP="003F0694">
      <w:pPr>
        <w:rPr>
          <w:rFonts w:cs="Arial"/>
          <w:b/>
        </w:rPr>
      </w:pPr>
      <w:r w:rsidRPr="00CD1E69">
        <w:rPr>
          <w:rFonts w:cs="Arial"/>
          <w:b/>
        </w:rPr>
        <w:t>Erasmus School of Economics</w:t>
      </w:r>
    </w:p>
    <w:p w:rsidR="003F0694" w:rsidRPr="00CD1E69" w:rsidRDefault="003F0694" w:rsidP="003F0694">
      <w:pPr>
        <w:jc w:val="center"/>
        <w:rPr>
          <w:rFonts w:cs="Arial"/>
        </w:rPr>
      </w:pPr>
    </w:p>
    <w:p w:rsidR="003F0694" w:rsidRPr="00CD1E69" w:rsidRDefault="003F0694" w:rsidP="003F0694">
      <w:pPr>
        <w:rPr>
          <w:rFonts w:cs="Arial"/>
          <w:b/>
        </w:rPr>
      </w:pPr>
      <w:r w:rsidRPr="00CD1E69">
        <w:rPr>
          <w:rFonts w:cs="Arial"/>
          <w:b/>
        </w:rPr>
        <w:t>Bachelorscriptie</w:t>
      </w:r>
    </w:p>
    <w:p w:rsidR="003F0694" w:rsidRPr="00CD1E69" w:rsidRDefault="003F0694" w:rsidP="003F0694">
      <w:pPr>
        <w:jc w:val="center"/>
        <w:rPr>
          <w:rFonts w:cs="Arial"/>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A00ECB" w:rsidP="003F0694">
      <w:pPr>
        <w:jc w:val="center"/>
        <w:rPr>
          <w:rFonts w:cs="Arial"/>
          <w:b/>
          <w:sz w:val="36"/>
          <w:szCs w:val="36"/>
        </w:rPr>
      </w:pPr>
      <w:r w:rsidRPr="00CD1E69">
        <w:rPr>
          <w:rFonts w:cs="Arial"/>
          <w:b/>
          <w:sz w:val="36"/>
          <w:szCs w:val="36"/>
        </w:rPr>
        <w:t>Wer</w:t>
      </w:r>
      <w:r w:rsidR="000B69A8" w:rsidRPr="00CD1E69">
        <w:rPr>
          <w:rFonts w:cs="Arial"/>
          <w:b/>
          <w:sz w:val="36"/>
          <w:szCs w:val="36"/>
        </w:rPr>
        <w:t>kkostenregeling: vereenvoudigen</w:t>
      </w:r>
      <w:r w:rsidRPr="00CD1E69">
        <w:rPr>
          <w:rFonts w:cs="Arial"/>
          <w:b/>
          <w:sz w:val="36"/>
          <w:szCs w:val="36"/>
        </w:rPr>
        <w:t xml:space="preserve"> of bemoeilijken van vergoedingen</w:t>
      </w:r>
      <w:r w:rsidR="000B69A8" w:rsidRPr="00CD1E69">
        <w:rPr>
          <w:rFonts w:cs="Arial"/>
          <w:b/>
          <w:sz w:val="36"/>
          <w:szCs w:val="36"/>
        </w:rPr>
        <w:t>?</w:t>
      </w: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jc w:val="center"/>
        <w:rPr>
          <w:rFonts w:cs="Arial"/>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pStyle w:val="Inhopg1"/>
        <w:tabs>
          <w:tab w:val="right" w:leader="dot" w:pos="9062"/>
        </w:tabs>
        <w:spacing w:before="0" w:after="0"/>
        <w:rPr>
          <w:rFonts w:asciiTheme="minorHAnsi" w:hAnsiTheme="minorHAnsi" w:cs="Arial"/>
          <w:sz w:val="24"/>
          <w:szCs w:val="24"/>
        </w:rPr>
      </w:pPr>
    </w:p>
    <w:p w:rsidR="003F0694" w:rsidRPr="00CD1E69" w:rsidRDefault="003F0694" w:rsidP="003F0694">
      <w:pPr>
        <w:rPr>
          <w:rFonts w:cs="Arial"/>
        </w:rPr>
      </w:pPr>
      <w:r w:rsidRPr="00CD1E69">
        <w:rPr>
          <w:rFonts w:cs="Arial"/>
        </w:rPr>
        <w:t>Naam student: Martijn Krassenburg</w:t>
      </w:r>
    </w:p>
    <w:p w:rsidR="003F0694" w:rsidRPr="00CD1E69" w:rsidRDefault="003F0694" w:rsidP="003F0694">
      <w:pPr>
        <w:rPr>
          <w:rFonts w:cs="Arial"/>
        </w:rPr>
      </w:pPr>
      <w:r w:rsidRPr="00CD1E69">
        <w:rPr>
          <w:rFonts w:cs="Arial"/>
        </w:rPr>
        <w:t>Studentnummer: 304796</w:t>
      </w:r>
    </w:p>
    <w:p w:rsidR="003F0694" w:rsidRPr="00CD1E69" w:rsidRDefault="003F0694" w:rsidP="003F0694">
      <w:pPr>
        <w:rPr>
          <w:rFonts w:cs="Arial"/>
        </w:rPr>
      </w:pPr>
      <w:r w:rsidRPr="00CD1E69">
        <w:rPr>
          <w:rFonts w:cs="Arial"/>
        </w:rPr>
        <w:t>Begeleider: P. Kavelaars</w:t>
      </w:r>
    </w:p>
    <w:p w:rsidR="003F0694" w:rsidRPr="00CD1E69" w:rsidRDefault="003F0694" w:rsidP="003F0694">
      <w:pPr>
        <w:rPr>
          <w:rFonts w:cs="Arial"/>
        </w:rPr>
      </w:pPr>
      <w:r w:rsidRPr="00CD1E69">
        <w:rPr>
          <w:rFonts w:cs="Arial"/>
        </w:rPr>
        <w:t>Rotterdam, 26-07-2010</w:t>
      </w:r>
    </w:p>
    <w:p w:rsidR="00CD1E69" w:rsidRDefault="00CD1E69" w:rsidP="00C03BA2">
      <w:pPr>
        <w:ind w:left="180" w:hanging="180"/>
        <w:rPr>
          <w:b/>
        </w:rPr>
      </w:pPr>
    </w:p>
    <w:p w:rsidR="00C03BA2" w:rsidRDefault="00C03BA2" w:rsidP="00C03BA2">
      <w:pPr>
        <w:ind w:left="180" w:hanging="180"/>
        <w:rPr>
          <w:b/>
        </w:rPr>
      </w:pPr>
      <w:r>
        <w:rPr>
          <w:b/>
        </w:rPr>
        <w:lastRenderedPageBreak/>
        <w:t>Inhoudsopgave</w:t>
      </w:r>
    </w:p>
    <w:p w:rsidR="0022405F" w:rsidRPr="0022405F" w:rsidRDefault="0022405F" w:rsidP="00C03BA2">
      <w:pPr>
        <w:ind w:left="180" w:hanging="180"/>
      </w:pPr>
      <w:r>
        <w:t>Inhoudsopgave</w:t>
      </w:r>
      <w:r>
        <w:tab/>
      </w:r>
      <w:r>
        <w:tab/>
      </w:r>
      <w:r>
        <w:tab/>
      </w:r>
      <w:r>
        <w:tab/>
      </w:r>
      <w:r>
        <w:tab/>
      </w:r>
      <w:r>
        <w:tab/>
      </w:r>
      <w:r>
        <w:tab/>
      </w:r>
      <w:r>
        <w:tab/>
      </w:r>
      <w:r>
        <w:tab/>
        <w:t>2</w:t>
      </w:r>
    </w:p>
    <w:p w:rsidR="00C03BA2" w:rsidRPr="003234CE" w:rsidRDefault="00C03BA2" w:rsidP="00C03BA2">
      <w:pPr>
        <w:pStyle w:val="Lijstalinea"/>
        <w:numPr>
          <w:ilvl w:val="0"/>
          <w:numId w:val="12"/>
        </w:numPr>
      </w:pPr>
      <w:r w:rsidRPr="003234CE">
        <w:t>Inleiding</w:t>
      </w:r>
      <w:r>
        <w:tab/>
      </w:r>
      <w:r>
        <w:tab/>
      </w:r>
      <w:r>
        <w:tab/>
      </w:r>
      <w:r>
        <w:tab/>
      </w:r>
      <w:r>
        <w:tab/>
      </w:r>
      <w:r>
        <w:tab/>
      </w:r>
      <w:r>
        <w:tab/>
      </w:r>
      <w:r>
        <w:tab/>
      </w:r>
      <w:r>
        <w:tab/>
        <w:t>3</w:t>
      </w:r>
    </w:p>
    <w:p w:rsidR="00C03BA2" w:rsidRPr="003234CE" w:rsidRDefault="00C03BA2" w:rsidP="00C03BA2">
      <w:pPr>
        <w:pStyle w:val="Lijstalinea"/>
        <w:numPr>
          <w:ilvl w:val="1"/>
          <w:numId w:val="12"/>
        </w:numPr>
      </w:pPr>
      <w:r w:rsidRPr="003234CE">
        <w:t>Inleiding</w:t>
      </w:r>
      <w:r>
        <w:tab/>
      </w:r>
      <w:r>
        <w:tab/>
      </w:r>
      <w:r>
        <w:tab/>
      </w:r>
      <w:r>
        <w:tab/>
      </w:r>
      <w:r>
        <w:tab/>
      </w:r>
      <w:r>
        <w:tab/>
      </w:r>
      <w:r>
        <w:tab/>
      </w:r>
      <w:r>
        <w:tab/>
        <w:t>3</w:t>
      </w:r>
    </w:p>
    <w:p w:rsidR="00C03BA2" w:rsidRPr="003234CE" w:rsidRDefault="00C03BA2" w:rsidP="00C03BA2">
      <w:pPr>
        <w:pStyle w:val="Lijstalinea"/>
        <w:numPr>
          <w:ilvl w:val="1"/>
          <w:numId w:val="12"/>
        </w:numPr>
      </w:pPr>
      <w:r w:rsidRPr="003234CE">
        <w:t>Aanleiding</w:t>
      </w:r>
      <w:r w:rsidR="00A15615">
        <w:tab/>
      </w:r>
      <w:r w:rsidR="00A15615">
        <w:tab/>
      </w:r>
      <w:r w:rsidR="00A15615">
        <w:tab/>
      </w:r>
      <w:r w:rsidR="00A15615">
        <w:tab/>
      </w:r>
      <w:r w:rsidR="00A15615">
        <w:tab/>
      </w:r>
      <w:r w:rsidR="00A15615">
        <w:tab/>
      </w:r>
      <w:r w:rsidR="00A15615">
        <w:tab/>
      </w:r>
      <w:r w:rsidR="00A15615">
        <w:tab/>
        <w:t>4</w:t>
      </w:r>
    </w:p>
    <w:p w:rsidR="00C03BA2" w:rsidRPr="003234CE" w:rsidRDefault="00C03BA2" w:rsidP="00C03BA2">
      <w:pPr>
        <w:pStyle w:val="Lijstalinea"/>
        <w:numPr>
          <w:ilvl w:val="1"/>
          <w:numId w:val="12"/>
        </w:numPr>
      </w:pPr>
      <w:r w:rsidRPr="003234CE">
        <w:t>Opzet</w:t>
      </w:r>
      <w:r>
        <w:tab/>
      </w:r>
      <w:r>
        <w:tab/>
      </w:r>
      <w:r>
        <w:tab/>
      </w:r>
      <w:r>
        <w:tab/>
      </w:r>
      <w:r>
        <w:tab/>
      </w:r>
      <w:r>
        <w:tab/>
      </w:r>
      <w:r>
        <w:tab/>
      </w:r>
      <w:r>
        <w:tab/>
      </w:r>
      <w:r>
        <w:tab/>
        <w:t>4</w:t>
      </w:r>
    </w:p>
    <w:p w:rsidR="00C03BA2" w:rsidRPr="003234CE" w:rsidRDefault="00C03BA2" w:rsidP="00C03BA2">
      <w:pPr>
        <w:pStyle w:val="Lijstalinea"/>
        <w:numPr>
          <w:ilvl w:val="0"/>
          <w:numId w:val="12"/>
        </w:numPr>
      </w:pPr>
      <w:r w:rsidRPr="003234CE">
        <w:t>Huidige systematiek</w:t>
      </w:r>
      <w:r>
        <w:tab/>
      </w:r>
      <w:r>
        <w:tab/>
      </w:r>
      <w:r>
        <w:tab/>
      </w:r>
      <w:r>
        <w:tab/>
      </w:r>
      <w:r>
        <w:tab/>
      </w:r>
      <w:r>
        <w:tab/>
      </w:r>
      <w:r>
        <w:tab/>
        <w:t>6</w:t>
      </w:r>
    </w:p>
    <w:p w:rsidR="00C03BA2" w:rsidRPr="003234CE" w:rsidRDefault="00C03BA2" w:rsidP="00C03BA2">
      <w:pPr>
        <w:pStyle w:val="Lijstalinea"/>
        <w:numPr>
          <w:ilvl w:val="1"/>
          <w:numId w:val="12"/>
        </w:numPr>
      </w:pPr>
      <w:r w:rsidRPr="003234CE">
        <w:t>Inle</w:t>
      </w:r>
      <w:r w:rsidR="00B6650C">
        <w:t>i</w:t>
      </w:r>
      <w:r w:rsidRPr="003234CE">
        <w:t>ding</w:t>
      </w:r>
      <w:r>
        <w:tab/>
      </w:r>
      <w:r>
        <w:tab/>
      </w:r>
      <w:r>
        <w:tab/>
      </w:r>
      <w:r>
        <w:tab/>
      </w:r>
      <w:r>
        <w:tab/>
      </w:r>
      <w:r>
        <w:tab/>
      </w:r>
      <w:r>
        <w:tab/>
      </w:r>
      <w:r>
        <w:tab/>
        <w:t>6</w:t>
      </w:r>
    </w:p>
    <w:p w:rsidR="00C03BA2" w:rsidRPr="003234CE" w:rsidRDefault="00C03BA2" w:rsidP="00C03BA2">
      <w:pPr>
        <w:pStyle w:val="Lijstalinea"/>
        <w:numPr>
          <w:ilvl w:val="1"/>
          <w:numId w:val="12"/>
        </w:numPr>
      </w:pPr>
      <w:r w:rsidRPr="003234CE">
        <w:t>Beknopte geschiedenis loonbelasting</w:t>
      </w:r>
      <w:r>
        <w:tab/>
      </w:r>
      <w:r>
        <w:tab/>
      </w:r>
      <w:r>
        <w:tab/>
      </w:r>
      <w:r>
        <w:tab/>
      </w:r>
      <w:r>
        <w:tab/>
        <w:t>6</w:t>
      </w:r>
    </w:p>
    <w:p w:rsidR="00C03BA2" w:rsidRPr="003234CE" w:rsidRDefault="00C03BA2" w:rsidP="00C03BA2">
      <w:pPr>
        <w:pStyle w:val="Lijstalinea"/>
        <w:numPr>
          <w:ilvl w:val="1"/>
          <w:numId w:val="12"/>
        </w:numPr>
      </w:pPr>
      <w:r w:rsidRPr="003234CE">
        <w:t>Karakteristieken huidige systematiek</w:t>
      </w:r>
      <w:r>
        <w:tab/>
      </w:r>
      <w:r>
        <w:tab/>
      </w:r>
      <w:r>
        <w:tab/>
      </w:r>
      <w:r>
        <w:tab/>
      </w:r>
      <w:r>
        <w:tab/>
        <w:t>7</w:t>
      </w:r>
    </w:p>
    <w:p w:rsidR="00C03BA2" w:rsidRPr="003234CE" w:rsidRDefault="00C03BA2" w:rsidP="00C03BA2">
      <w:pPr>
        <w:pStyle w:val="Lijstalinea"/>
        <w:numPr>
          <w:ilvl w:val="2"/>
          <w:numId w:val="12"/>
        </w:numPr>
      </w:pPr>
      <w:r w:rsidRPr="003234CE">
        <w:t>Ontstaan vrije vergoedingen en verstrekkingen</w:t>
      </w:r>
      <w:r>
        <w:tab/>
      </w:r>
      <w:r>
        <w:tab/>
      </w:r>
      <w:r>
        <w:tab/>
        <w:t>7</w:t>
      </w:r>
    </w:p>
    <w:p w:rsidR="00C03BA2" w:rsidRPr="003234CE" w:rsidRDefault="00C03BA2" w:rsidP="00C03BA2">
      <w:pPr>
        <w:pStyle w:val="Lijstalinea"/>
        <w:numPr>
          <w:ilvl w:val="2"/>
          <w:numId w:val="12"/>
        </w:numPr>
      </w:pPr>
      <w:r w:rsidRPr="003234CE">
        <w:t>Vergoedingen</w:t>
      </w:r>
      <w:r>
        <w:tab/>
      </w:r>
      <w:r>
        <w:tab/>
      </w:r>
      <w:r>
        <w:tab/>
      </w:r>
      <w:r>
        <w:tab/>
      </w:r>
      <w:r>
        <w:tab/>
      </w:r>
      <w:r>
        <w:tab/>
      </w:r>
      <w:r>
        <w:tab/>
        <w:t>8</w:t>
      </w:r>
    </w:p>
    <w:p w:rsidR="00C03BA2" w:rsidRPr="003234CE" w:rsidRDefault="00C03BA2" w:rsidP="00C03BA2">
      <w:pPr>
        <w:pStyle w:val="Lijstalinea"/>
        <w:numPr>
          <w:ilvl w:val="2"/>
          <w:numId w:val="12"/>
        </w:numPr>
      </w:pPr>
      <w:r w:rsidRPr="003234CE">
        <w:t>Verstrekkingen</w:t>
      </w:r>
      <w:r w:rsidR="00912C0A">
        <w:tab/>
      </w:r>
      <w:r w:rsidR="00912C0A">
        <w:tab/>
      </w:r>
      <w:r w:rsidR="00912C0A">
        <w:tab/>
      </w:r>
      <w:r w:rsidR="00912C0A">
        <w:tab/>
      </w:r>
      <w:r w:rsidR="00912C0A">
        <w:tab/>
      </w:r>
      <w:r w:rsidR="00912C0A">
        <w:tab/>
      </w:r>
      <w:r w:rsidR="00912C0A">
        <w:tab/>
        <w:t>10</w:t>
      </w:r>
    </w:p>
    <w:p w:rsidR="00C03BA2" w:rsidRPr="003234CE" w:rsidRDefault="00C03BA2" w:rsidP="00C03BA2">
      <w:pPr>
        <w:pStyle w:val="Lijstalinea"/>
        <w:numPr>
          <w:ilvl w:val="1"/>
          <w:numId w:val="12"/>
        </w:numPr>
      </w:pPr>
      <w:r w:rsidRPr="003234CE">
        <w:t>Uitwerking</w:t>
      </w:r>
      <w:r>
        <w:tab/>
      </w:r>
      <w:r>
        <w:tab/>
      </w:r>
      <w:r>
        <w:tab/>
      </w:r>
      <w:r>
        <w:tab/>
      </w:r>
      <w:r>
        <w:tab/>
      </w:r>
      <w:r>
        <w:tab/>
      </w:r>
      <w:r>
        <w:tab/>
      </w:r>
      <w:r>
        <w:tab/>
        <w:t>10</w:t>
      </w:r>
    </w:p>
    <w:p w:rsidR="00C03BA2" w:rsidRPr="003234CE" w:rsidRDefault="00C03BA2" w:rsidP="00C03BA2">
      <w:pPr>
        <w:pStyle w:val="Lijstalinea"/>
        <w:numPr>
          <w:ilvl w:val="1"/>
          <w:numId w:val="12"/>
        </w:numPr>
      </w:pPr>
      <w:r w:rsidRPr="003234CE">
        <w:t>Problemen</w:t>
      </w:r>
      <w:r>
        <w:tab/>
      </w:r>
      <w:r>
        <w:tab/>
      </w:r>
      <w:r>
        <w:tab/>
      </w:r>
      <w:r>
        <w:tab/>
      </w:r>
      <w:r>
        <w:tab/>
      </w:r>
      <w:r>
        <w:tab/>
      </w:r>
      <w:r>
        <w:tab/>
      </w:r>
      <w:r>
        <w:tab/>
        <w:t>11</w:t>
      </w:r>
    </w:p>
    <w:p w:rsidR="00C03BA2" w:rsidRPr="003234CE" w:rsidRDefault="00C03BA2" w:rsidP="00C03BA2">
      <w:pPr>
        <w:pStyle w:val="Lijstalinea"/>
        <w:numPr>
          <w:ilvl w:val="1"/>
          <w:numId w:val="12"/>
        </w:numPr>
      </w:pPr>
      <w:r w:rsidRPr="003234CE">
        <w:t>Conclusie</w:t>
      </w:r>
      <w:r>
        <w:tab/>
      </w:r>
      <w:r>
        <w:tab/>
      </w:r>
      <w:r>
        <w:tab/>
      </w:r>
      <w:r>
        <w:tab/>
      </w:r>
      <w:r>
        <w:tab/>
      </w:r>
      <w:r>
        <w:tab/>
      </w:r>
      <w:r>
        <w:tab/>
      </w:r>
      <w:r>
        <w:tab/>
        <w:t>11</w:t>
      </w:r>
    </w:p>
    <w:p w:rsidR="00C03BA2" w:rsidRPr="003234CE" w:rsidRDefault="00C03BA2" w:rsidP="00C03BA2">
      <w:pPr>
        <w:pStyle w:val="Lijstalinea"/>
        <w:numPr>
          <w:ilvl w:val="0"/>
          <w:numId w:val="12"/>
        </w:numPr>
      </w:pPr>
      <w:r w:rsidRPr="003234CE">
        <w:t>Werkkostenregeling</w:t>
      </w:r>
      <w:r>
        <w:tab/>
      </w:r>
      <w:r>
        <w:tab/>
      </w:r>
      <w:r>
        <w:tab/>
      </w:r>
      <w:r>
        <w:tab/>
      </w:r>
      <w:r>
        <w:tab/>
      </w:r>
      <w:r>
        <w:tab/>
      </w:r>
      <w:r>
        <w:tab/>
        <w:t>13</w:t>
      </w:r>
    </w:p>
    <w:p w:rsidR="00C03BA2" w:rsidRPr="003234CE" w:rsidRDefault="00C03BA2" w:rsidP="00C03BA2">
      <w:pPr>
        <w:pStyle w:val="Lijstalinea"/>
        <w:numPr>
          <w:ilvl w:val="1"/>
          <w:numId w:val="12"/>
        </w:numPr>
      </w:pPr>
      <w:r w:rsidRPr="003234CE">
        <w:t>Inleiding</w:t>
      </w:r>
      <w:r>
        <w:tab/>
      </w:r>
      <w:r>
        <w:tab/>
      </w:r>
      <w:r>
        <w:tab/>
      </w:r>
      <w:r>
        <w:tab/>
      </w:r>
      <w:r>
        <w:tab/>
      </w:r>
      <w:r>
        <w:tab/>
      </w:r>
      <w:r>
        <w:tab/>
      </w:r>
      <w:r>
        <w:tab/>
        <w:t>13</w:t>
      </w:r>
    </w:p>
    <w:p w:rsidR="00C03BA2" w:rsidRPr="003234CE" w:rsidRDefault="00C03BA2" w:rsidP="00C03BA2">
      <w:pPr>
        <w:pStyle w:val="Lijstalinea"/>
        <w:numPr>
          <w:ilvl w:val="1"/>
          <w:numId w:val="12"/>
        </w:numPr>
      </w:pPr>
      <w:r w:rsidRPr="003234CE">
        <w:t>Werkkostenregeling</w:t>
      </w:r>
      <w:r>
        <w:tab/>
      </w:r>
      <w:r>
        <w:tab/>
      </w:r>
      <w:r>
        <w:tab/>
      </w:r>
      <w:r>
        <w:tab/>
      </w:r>
      <w:r>
        <w:tab/>
      </w:r>
      <w:r>
        <w:tab/>
      </w:r>
      <w:r>
        <w:tab/>
        <w:t>13</w:t>
      </w:r>
    </w:p>
    <w:p w:rsidR="00C03BA2" w:rsidRPr="003234CE" w:rsidRDefault="00C03BA2" w:rsidP="00C03BA2">
      <w:pPr>
        <w:pStyle w:val="Lijstalinea"/>
        <w:numPr>
          <w:ilvl w:val="2"/>
          <w:numId w:val="12"/>
        </w:numPr>
      </w:pPr>
      <w:r w:rsidRPr="003234CE">
        <w:t>Onderzoek naar vergoedingen</w:t>
      </w:r>
      <w:r>
        <w:tab/>
      </w:r>
      <w:r>
        <w:tab/>
      </w:r>
      <w:r>
        <w:tab/>
      </w:r>
      <w:r>
        <w:tab/>
      </w:r>
      <w:r>
        <w:tab/>
        <w:t>13</w:t>
      </w:r>
    </w:p>
    <w:p w:rsidR="00C03BA2" w:rsidRPr="003234CE" w:rsidRDefault="00C03BA2" w:rsidP="00C03BA2">
      <w:pPr>
        <w:pStyle w:val="Lijstalinea"/>
        <w:numPr>
          <w:ilvl w:val="2"/>
          <w:numId w:val="12"/>
        </w:numPr>
      </w:pPr>
      <w:r w:rsidRPr="003234CE">
        <w:t>Werkkostenregeling</w:t>
      </w:r>
      <w:r>
        <w:tab/>
      </w:r>
      <w:r>
        <w:tab/>
      </w:r>
      <w:r>
        <w:tab/>
      </w:r>
      <w:r>
        <w:tab/>
      </w:r>
      <w:r>
        <w:tab/>
      </w:r>
      <w:r>
        <w:tab/>
        <w:t>14</w:t>
      </w:r>
    </w:p>
    <w:p w:rsidR="00C03BA2" w:rsidRDefault="00C03BA2" w:rsidP="00C03BA2">
      <w:pPr>
        <w:pStyle w:val="Lijstalinea"/>
        <w:numPr>
          <w:ilvl w:val="1"/>
          <w:numId w:val="12"/>
        </w:numPr>
      </w:pPr>
      <w:r w:rsidRPr="003234CE">
        <w:t>Conclusie</w:t>
      </w:r>
      <w:r>
        <w:tab/>
      </w:r>
      <w:r>
        <w:tab/>
      </w:r>
      <w:r>
        <w:tab/>
      </w:r>
      <w:r>
        <w:tab/>
      </w:r>
      <w:r>
        <w:tab/>
      </w:r>
      <w:r>
        <w:tab/>
      </w:r>
      <w:r>
        <w:tab/>
      </w:r>
      <w:r>
        <w:tab/>
        <w:t>17</w:t>
      </w:r>
    </w:p>
    <w:p w:rsidR="00031CDA" w:rsidRPr="003234CE" w:rsidRDefault="00031CDA" w:rsidP="00031CDA">
      <w:pPr>
        <w:pStyle w:val="Lijstalinea"/>
        <w:numPr>
          <w:ilvl w:val="1"/>
          <w:numId w:val="12"/>
        </w:numPr>
      </w:pPr>
      <w:r>
        <w:t>Bijlage</w:t>
      </w:r>
      <w:r>
        <w:tab/>
      </w:r>
      <w:r>
        <w:tab/>
      </w:r>
      <w:r>
        <w:tab/>
      </w:r>
      <w:r>
        <w:tab/>
      </w:r>
      <w:r>
        <w:tab/>
      </w:r>
      <w:r>
        <w:tab/>
      </w:r>
      <w:r>
        <w:tab/>
      </w:r>
      <w:r>
        <w:tab/>
      </w:r>
      <w:r>
        <w:tab/>
        <w:t>18</w:t>
      </w:r>
    </w:p>
    <w:p w:rsidR="00C03BA2" w:rsidRPr="003234CE" w:rsidRDefault="00C03BA2" w:rsidP="00C03BA2">
      <w:pPr>
        <w:pStyle w:val="Lijstalinea"/>
        <w:numPr>
          <w:ilvl w:val="0"/>
          <w:numId w:val="12"/>
        </w:numPr>
      </w:pPr>
      <w:r w:rsidRPr="003234CE">
        <w:t>Vergelijking</w:t>
      </w:r>
      <w:r w:rsidR="0084559B">
        <w:tab/>
      </w:r>
      <w:r w:rsidR="0084559B">
        <w:tab/>
      </w:r>
      <w:r w:rsidR="0084559B">
        <w:tab/>
      </w:r>
      <w:r w:rsidR="0084559B">
        <w:tab/>
      </w:r>
      <w:r w:rsidR="0084559B">
        <w:tab/>
      </w:r>
      <w:r w:rsidR="0084559B">
        <w:tab/>
      </w:r>
      <w:r w:rsidR="0084559B">
        <w:tab/>
      </w:r>
      <w:r w:rsidR="0084559B">
        <w:tab/>
      </w:r>
      <w:r w:rsidR="0084559B">
        <w:tab/>
        <w:t>22</w:t>
      </w:r>
    </w:p>
    <w:p w:rsidR="00C03BA2" w:rsidRPr="003234CE" w:rsidRDefault="00C03BA2" w:rsidP="00C03BA2">
      <w:pPr>
        <w:pStyle w:val="Lijstalinea"/>
        <w:numPr>
          <w:ilvl w:val="1"/>
          <w:numId w:val="12"/>
        </w:numPr>
      </w:pPr>
      <w:r w:rsidRPr="003234CE">
        <w:t>Inleiding</w:t>
      </w:r>
      <w:r w:rsidR="0084559B">
        <w:tab/>
      </w:r>
      <w:r w:rsidR="0084559B">
        <w:tab/>
      </w:r>
      <w:r w:rsidR="0084559B">
        <w:tab/>
      </w:r>
      <w:r w:rsidR="0084559B">
        <w:tab/>
      </w:r>
      <w:r w:rsidR="0084559B">
        <w:tab/>
      </w:r>
      <w:r w:rsidR="0084559B">
        <w:tab/>
      </w:r>
      <w:r w:rsidR="0084559B">
        <w:tab/>
      </w:r>
      <w:r w:rsidR="0084559B">
        <w:tab/>
        <w:t>22</w:t>
      </w:r>
    </w:p>
    <w:p w:rsidR="00C03BA2" w:rsidRPr="003234CE" w:rsidRDefault="00C03BA2" w:rsidP="00C03BA2">
      <w:pPr>
        <w:pStyle w:val="Lijstalinea"/>
        <w:numPr>
          <w:ilvl w:val="1"/>
          <w:numId w:val="12"/>
        </w:numPr>
      </w:pPr>
      <w:r w:rsidRPr="003234CE">
        <w:t>Vergelijking</w:t>
      </w:r>
      <w:r w:rsidR="0084559B">
        <w:tab/>
      </w:r>
      <w:r w:rsidR="0084559B">
        <w:tab/>
      </w:r>
      <w:r w:rsidR="0084559B">
        <w:tab/>
      </w:r>
      <w:r w:rsidR="0084559B">
        <w:tab/>
      </w:r>
      <w:r w:rsidR="0084559B">
        <w:tab/>
      </w:r>
      <w:r w:rsidR="0084559B">
        <w:tab/>
      </w:r>
      <w:r w:rsidR="0084559B">
        <w:tab/>
      </w:r>
      <w:r w:rsidR="0084559B">
        <w:tab/>
        <w:t>22</w:t>
      </w:r>
    </w:p>
    <w:p w:rsidR="00C03BA2" w:rsidRPr="003234CE" w:rsidRDefault="00C03BA2" w:rsidP="00C03BA2">
      <w:pPr>
        <w:pStyle w:val="Lijstalinea"/>
        <w:numPr>
          <w:ilvl w:val="2"/>
          <w:numId w:val="12"/>
        </w:numPr>
      </w:pPr>
      <w:r w:rsidRPr="003234CE">
        <w:t>Overeenkomsten</w:t>
      </w:r>
      <w:r w:rsidR="0084559B">
        <w:tab/>
      </w:r>
      <w:r w:rsidR="0084559B">
        <w:tab/>
      </w:r>
      <w:r w:rsidR="0084559B">
        <w:tab/>
      </w:r>
      <w:r w:rsidR="0084559B">
        <w:tab/>
      </w:r>
      <w:r w:rsidR="0084559B">
        <w:tab/>
      </w:r>
      <w:r w:rsidR="0084559B">
        <w:tab/>
      </w:r>
      <w:r w:rsidR="0084559B">
        <w:tab/>
        <w:t>22</w:t>
      </w:r>
    </w:p>
    <w:p w:rsidR="00C03BA2" w:rsidRPr="003234CE" w:rsidRDefault="00C03BA2" w:rsidP="00C03BA2">
      <w:pPr>
        <w:pStyle w:val="Lijstalinea"/>
        <w:numPr>
          <w:ilvl w:val="2"/>
          <w:numId w:val="12"/>
        </w:numPr>
      </w:pPr>
      <w:r w:rsidRPr="003234CE">
        <w:t>Verschillen</w:t>
      </w:r>
      <w:r w:rsidR="0084559B">
        <w:tab/>
      </w:r>
      <w:r w:rsidR="0084559B">
        <w:tab/>
      </w:r>
      <w:r w:rsidR="0084559B">
        <w:tab/>
      </w:r>
      <w:r w:rsidR="0084559B">
        <w:tab/>
      </w:r>
      <w:r w:rsidR="0084559B">
        <w:tab/>
      </w:r>
      <w:r w:rsidR="0084559B">
        <w:tab/>
      </w:r>
      <w:r w:rsidR="0084559B">
        <w:tab/>
        <w:t>22</w:t>
      </w:r>
    </w:p>
    <w:p w:rsidR="00C03BA2" w:rsidRPr="003234CE" w:rsidRDefault="00C03BA2" w:rsidP="00C03BA2">
      <w:pPr>
        <w:pStyle w:val="Lijstalinea"/>
        <w:numPr>
          <w:ilvl w:val="1"/>
          <w:numId w:val="12"/>
        </w:numPr>
        <w:jc w:val="both"/>
      </w:pPr>
      <w:r w:rsidRPr="003234CE">
        <w:t>Werkkostenregeling in de loonbelasting</w:t>
      </w:r>
      <w:r>
        <w:tab/>
      </w:r>
      <w:r>
        <w:tab/>
      </w:r>
      <w:r>
        <w:tab/>
      </w:r>
      <w:r>
        <w:tab/>
        <w:t>2</w:t>
      </w:r>
      <w:r w:rsidR="0084559B">
        <w:t>5</w:t>
      </w:r>
    </w:p>
    <w:p w:rsidR="00C03BA2" w:rsidRPr="003234CE" w:rsidRDefault="00C03BA2" w:rsidP="00C03BA2">
      <w:pPr>
        <w:pStyle w:val="Lijstalinea"/>
        <w:numPr>
          <w:ilvl w:val="1"/>
          <w:numId w:val="12"/>
        </w:numPr>
      </w:pPr>
      <w:r w:rsidRPr="003234CE">
        <w:t>Overgangsregeling</w:t>
      </w:r>
      <w:r>
        <w:tab/>
      </w:r>
      <w:r>
        <w:tab/>
      </w:r>
      <w:r>
        <w:tab/>
      </w:r>
      <w:r>
        <w:tab/>
      </w:r>
      <w:r>
        <w:tab/>
      </w:r>
      <w:r>
        <w:tab/>
      </w:r>
      <w:r>
        <w:tab/>
      </w:r>
      <w:r w:rsidR="0084559B">
        <w:t>26</w:t>
      </w:r>
    </w:p>
    <w:p w:rsidR="00C03BA2" w:rsidRPr="003234CE" w:rsidRDefault="00C03BA2" w:rsidP="00C03BA2">
      <w:pPr>
        <w:pStyle w:val="Lijstalinea"/>
        <w:numPr>
          <w:ilvl w:val="1"/>
          <w:numId w:val="12"/>
        </w:numPr>
      </w:pPr>
      <w:r w:rsidRPr="003234CE">
        <w:t>Conclusie</w:t>
      </w:r>
      <w:r w:rsidR="00453EF6">
        <w:tab/>
      </w:r>
      <w:r w:rsidR="00453EF6">
        <w:tab/>
      </w:r>
      <w:r w:rsidR="00453EF6">
        <w:tab/>
      </w:r>
      <w:r w:rsidR="00453EF6">
        <w:tab/>
      </w:r>
      <w:r w:rsidR="00453EF6">
        <w:tab/>
      </w:r>
      <w:r w:rsidR="00453EF6">
        <w:tab/>
      </w:r>
      <w:r w:rsidR="00453EF6">
        <w:tab/>
      </w:r>
      <w:r w:rsidR="00453EF6">
        <w:tab/>
        <w:t>2</w:t>
      </w:r>
      <w:r w:rsidR="0084559B">
        <w:t>7</w:t>
      </w:r>
    </w:p>
    <w:p w:rsidR="00C03BA2" w:rsidRPr="003234CE" w:rsidRDefault="00C03BA2" w:rsidP="00C03BA2">
      <w:pPr>
        <w:pStyle w:val="Lijstalinea"/>
        <w:numPr>
          <w:ilvl w:val="0"/>
          <w:numId w:val="12"/>
        </w:numPr>
      </w:pPr>
      <w:r w:rsidRPr="003234CE">
        <w:t>Oordeel</w:t>
      </w:r>
      <w:r w:rsidR="00453EF6">
        <w:tab/>
      </w:r>
      <w:r w:rsidR="00453EF6">
        <w:tab/>
      </w:r>
      <w:r w:rsidR="00453EF6">
        <w:tab/>
      </w:r>
      <w:r w:rsidR="00453EF6">
        <w:tab/>
      </w:r>
      <w:r w:rsidR="00453EF6">
        <w:tab/>
      </w:r>
      <w:r w:rsidR="00453EF6">
        <w:tab/>
      </w:r>
      <w:r w:rsidR="00453EF6">
        <w:tab/>
      </w:r>
      <w:r w:rsidR="00453EF6">
        <w:tab/>
      </w:r>
      <w:r w:rsidR="00453EF6">
        <w:tab/>
        <w:t>2</w:t>
      </w:r>
      <w:r w:rsidR="0084559B">
        <w:t>8</w:t>
      </w:r>
    </w:p>
    <w:p w:rsidR="00C03BA2" w:rsidRPr="003234CE" w:rsidRDefault="00C03BA2" w:rsidP="00C03BA2">
      <w:pPr>
        <w:pStyle w:val="Lijstalinea"/>
        <w:numPr>
          <w:ilvl w:val="1"/>
          <w:numId w:val="12"/>
        </w:numPr>
      </w:pPr>
      <w:r w:rsidRPr="003234CE">
        <w:t>Inleiding</w:t>
      </w:r>
      <w:r w:rsidR="00453EF6">
        <w:tab/>
      </w:r>
      <w:r w:rsidR="00453EF6">
        <w:tab/>
      </w:r>
      <w:r w:rsidR="00453EF6">
        <w:tab/>
      </w:r>
      <w:r w:rsidR="00453EF6">
        <w:tab/>
      </w:r>
      <w:r w:rsidR="00453EF6">
        <w:tab/>
      </w:r>
      <w:r w:rsidR="00453EF6">
        <w:tab/>
      </w:r>
      <w:r w:rsidR="00453EF6">
        <w:tab/>
      </w:r>
      <w:r w:rsidR="00453EF6">
        <w:tab/>
        <w:t>2</w:t>
      </w:r>
      <w:r w:rsidR="0084559B">
        <w:t>8</w:t>
      </w:r>
    </w:p>
    <w:p w:rsidR="00C03BA2" w:rsidRPr="003234CE" w:rsidRDefault="00C03BA2" w:rsidP="00C03BA2">
      <w:pPr>
        <w:pStyle w:val="Lijstalinea"/>
        <w:numPr>
          <w:ilvl w:val="1"/>
          <w:numId w:val="12"/>
        </w:numPr>
      </w:pPr>
      <w:r w:rsidRPr="003234CE">
        <w:t>Toetsingscriteria</w:t>
      </w:r>
      <w:r w:rsidR="00453EF6">
        <w:tab/>
      </w:r>
      <w:r w:rsidR="00453EF6">
        <w:tab/>
      </w:r>
      <w:r w:rsidR="00453EF6">
        <w:tab/>
      </w:r>
      <w:r w:rsidR="00453EF6">
        <w:tab/>
      </w:r>
      <w:r w:rsidR="00453EF6">
        <w:tab/>
      </w:r>
      <w:r w:rsidR="00453EF6">
        <w:tab/>
      </w:r>
      <w:r w:rsidR="00453EF6">
        <w:tab/>
        <w:t>2</w:t>
      </w:r>
      <w:r w:rsidR="0084559B">
        <w:t>8</w:t>
      </w:r>
    </w:p>
    <w:p w:rsidR="00C03BA2" w:rsidRPr="003234CE" w:rsidRDefault="00C03BA2" w:rsidP="00C03BA2">
      <w:pPr>
        <w:pStyle w:val="Lijstalinea"/>
        <w:numPr>
          <w:ilvl w:val="1"/>
          <w:numId w:val="12"/>
        </w:numPr>
        <w:ind w:left="788" w:hanging="431"/>
        <w:jc w:val="both"/>
      </w:pPr>
      <w:r w:rsidRPr="003234CE">
        <w:t>Criteria getoetst op de werkkostenregeling</w:t>
      </w:r>
      <w:r w:rsidR="00453EF6">
        <w:tab/>
      </w:r>
      <w:r w:rsidR="00453EF6">
        <w:tab/>
      </w:r>
      <w:r w:rsidR="00453EF6">
        <w:tab/>
      </w:r>
      <w:r w:rsidR="00453EF6">
        <w:tab/>
        <w:t>2</w:t>
      </w:r>
      <w:r w:rsidR="0084559B">
        <w:t>8</w:t>
      </w:r>
    </w:p>
    <w:p w:rsidR="00C03BA2" w:rsidRPr="003234CE" w:rsidRDefault="00C03BA2" w:rsidP="00C03BA2">
      <w:pPr>
        <w:pStyle w:val="Lijstalinea"/>
        <w:numPr>
          <w:ilvl w:val="2"/>
          <w:numId w:val="12"/>
        </w:numPr>
      </w:pPr>
      <w:r w:rsidRPr="003234CE">
        <w:t>Eenvoud</w:t>
      </w:r>
      <w:r w:rsidR="00453EF6">
        <w:tab/>
      </w:r>
      <w:r w:rsidR="00453EF6">
        <w:tab/>
      </w:r>
      <w:r w:rsidR="00453EF6">
        <w:tab/>
      </w:r>
      <w:r w:rsidR="00453EF6">
        <w:tab/>
      </w:r>
      <w:r w:rsidR="00453EF6">
        <w:tab/>
      </w:r>
      <w:r w:rsidR="00453EF6">
        <w:tab/>
      </w:r>
      <w:r w:rsidR="00453EF6">
        <w:tab/>
      </w:r>
      <w:r w:rsidR="00453EF6">
        <w:tab/>
        <w:t>2</w:t>
      </w:r>
      <w:r w:rsidR="0084559B">
        <w:t>8</w:t>
      </w:r>
    </w:p>
    <w:p w:rsidR="00C03BA2" w:rsidRPr="003234CE" w:rsidRDefault="00C03BA2" w:rsidP="00C03BA2">
      <w:pPr>
        <w:pStyle w:val="Lijstalinea"/>
        <w:numPr>
          <w:ilvl w:val="2"/>
          <w:numId w:val="12"/>
        </w:numPr>
      </w:pPr>
      <w:r w:rsidRPr="003234CE">
        <w:t>Rechtvaardigheid</w:t>
      </w:r>
      <w:r w:rsidR="00453EF6">
        <w:tab/>
      </w:r>
      <w:r w:rsidR="00453EF6">
        <w:tab/>
      </w:r>
      <w:r w:rsidR="00453EF6">
        <w:tab/>
      </w:r>
      <w:r w:rsidR="00453EF6">
        <w:tab/>
      </w:r>
      <w:r w:rsidR="00453EF6">
        <w:tab/>
      </w:r>
      <w:r w:rsidR="00453EF6">
        <w:tab/>
      </w:r>
      <w:r w:rsidR="00453EF6">
        <w:tab/>
        <w:t>3</w:t>
      </w:r>
      <w:r w:rsidR="0084559B">
        <w:t>1</w:t>
      </w:r>
    </w:p>
    <w:p w:rsidR="00C03BA2" w:rsidRPr="003234CE" w:rsidRDefault="00C03BA2" w:rsidP="00C03BA2">
      <w:pPr>
        <w:pStyle w:val="Lijstalinea"/>
        <w:numPr>
          <w:ilvl w:val="1"/>
          <w:numId w:val="12"/>
        </w:numPr>
      </w:pPr>
      <w:r w:rsidRPr="003234CE">
        <w:t>Conclusie</w:t>
      </w:r>
      <w:r w:rsidR="00453EF6">
        <w:tab/>
      </w:r>
      <w:r w:rsidR="00453EF6">
        <w:tab/>
      </w:r>
      <w:r w:rsidR="00453EF6">
        <w:tab/>
      </w:r>
      <w:r w:rsidR="00453EF6">
        <w:tab/>
      </w:r>
      <w:r w:rsidR="00453EF6">
        <w:tab/>
      </w:r>
      <w:r w:rsidR="00453EF6">
        <w:tab/>
      </w:r>
      <w:r w:rsidR="00453EF6">
        <w:tab/>
      </w:r>
      <w:r w:rsidR="00453EF6">
        <w:tab/>
        <w:t>3</w:t>
      </w:r>
      <w:r w:rsidR="0022405F">
        <w:t>2</w:t>
      </w:r>
    </w:p>
    <w:p w:rsidR="00C03BA2" w:rsidRPr="003234CE" w:rsidRDefault="00C03BA2" w:rsidP="00C03BA2">
      <w:pPr>
        <w:pStyle w:val="Lijstalinea"/>
        <w:numPr>
          <w:ilvl w:val="0"/>
          <w:numId w:val="12"/>
        </w:numPr>
      </w:pPr>
      <w:r w:rsidRPr="003234CE">
        <w:t>Conclusie</w:t>
      </w:r>
      <w:r w:rsidR="00453EF6">
        <w:tab/>
      </w:r>
      <w:r w:rsidR="00453EF6">
        <w:tab/>
      </w:r>
      <w:r w:rsidR="00453EF6">
        <w:tab/>
      </w:r>
      <w:r w:rsidR="00453EF6">
        <w:tab/>
      </w:r>
      <w:r w:rsidR="00453EF6">
        <w:tab/>
      </w:r>
      <w:r w:rsidR="00453EF6">
        <w:tab/>
      </w:r>
      <w:r w:rsidR="00453EF6">
        <w:tab/>
      </w:r>
      <w:r w:rsidR="00453EF6">
        <w:tab/>
      </w:r>
      <w:r w:rsidR="00453EF6">
        <w:tab/>
        <w:t>3</w:t>
      </w:r>
      <w:r w:rsidR="0084559B">
        <w:t>3</w:t>
      </w:r>
    </w:p>
    <w:p w:rsidR="00C03BA2" w:rsidRPr="003234CE" w:rsidRDefault="00C03BA2" w:rsidP="00C03BA2">
      <w:pPr>
        <w:pStyle w:val="Lijstalinea"/>
        <w:numPr>
          <w:ilvl w:val="1"/>
          <w:numId w:val="12"/>
        </w:numPr>
      </w:pPr>
      <w:r w:rsidRPr="003234CE">
        <w:t>Inleiding</w:t>
      </w:r>
      <w:r w:rsidR="00453EF6">
        <w:tab/>
      </w:r>
      <w:r w:rsidR="00453EF6">
        <w:tab/>
      </w:r>
      <w:r w:rsidR="00453EF6">
        <w:tab/>
      </w:r>
      <w:r w:rsidR="00453EF6">
        <w:tab/>
      </w:r>
      <w:r w:rsidR="00453EF6">
        <w:tab/>
      </w:r>
      <w:r w:rsidR="00453EF6">
        <w:tab/>
      </w:r>
      <w:r w:rsidR="00453EF6">
        <w:tab/>
      </w:r>
      <w:r w:rsidR="00453EF6">
        <w:tab/>
        <w:t>3</w:t>
      </w:r>
      <w:r w:rsidR="0084559B">
        <w:t>3</w:t>
      </w:r>
    </w:p>
    <w:p w:rsidR="00C03BA2" w:rsidRPr="003234CE" w:rsidRDefault="00C03BA2" w:rsidP="00C03BA2">
      <w:pPr>
        <w:pStyle w:val="Lijstalinea"/>
        <w:numPr>
          <w:ilvl w:val="1"/>
          <w:numId w:val="12"/>
        </w:numPr>
      </w:pPr>
      <w:r w:rsidRPr="003234CE">
        <w:t>Samenvatting</w:t>
      </w:r>
      <w:r w:rsidR="00453EF6">
        <w:tab/>
      </w:r>
      <w:r w:rsidR="00453EF6">
        <w:tab/>
      </w:r>
      <w:r w:rsidR="00453EF6">
        <w:tab/>
      </w:r>
      <w:r w:rsidR="00453EF6">
        <w:tab/>
      </w:r>
      <w:r w:rsidR="00453EF6">
        <w:tab/>
      </w:r>
      <w:r w:rsidR="00453EF6">
        <w:tab/>
      </w:r>
      <w:r w:rsidR="00453EF6">
        <w:tab/>
      </w:r>
      <w:r w:rsidR="00453EF6">
        <w:tab/>
        <w:t>3</w:t>
      </w:r>
      <w:r w:rsidR="0084559B">
        <w:t>3</w:t>
      </w:r>
    </w:p>
    <w:p w:rsidR="00C03BA2" w:rsidRDefault="00C03BA2" w:rsidP="00C03BA2">
      <w:pPr>
        <w:pStyle w:val="Lijstalinea"/>
        <w:numPr>
          <w:ilvl w:val="1"/>
          <w:numId w:val="12"/>
        </w:numPr>
      </w:pPr>
      <w:r w:rsidRPr="003234CE">
        <w:t>Conclusie</w:t>
      </w:r>
      <w:r w:rsidR="00453EF6">
        <w:tab/>
      </w:r>
      <w:r w:rsidR="00453EF6">
        <w:tab/>
      </w:r>
      <w:r w:rsidR="00453EF6">
        <w:tab/>
      </w:r>
      <w:r w:rsidR="00453EF6">
        <w:tab/>
      </w:r>
      <w:r w:rsidR="00453EF6">
        <w:tab/>
      </w:r>
      <w:r w:rsidR="00453EF6">
        <w:tab/>
      </w:r>
      <w:r w:rsidR="00453EF6">
        <w:tab/>
      </w:r>
      <w:r w:rsidR="00453EF6">
        <w:tab/>
        <w:t>3</w:t>
      </w:r>
      <w:r w:rsidR="0084559B">
        <w:t>5</w:t>
      </w:r>
    </w:p>
    <w:p w:rsidR="00541200" w:rsidRPr="003234CE" w:rsidRDefault="00541200" w:rsidP="00541200">
      <w:r>
        <w:t>Bronnenlijst</w:t>
      </w:r>
      <w:r>
        <w:tab/>
      </w:r>
      <w:r>
        <w:tab/>
      </w:r>
      <w:r>
        <w:tab/>
      </w:r>
      <w:r>
        <w:tab/>
      </w:r>
      <w:r>
        <w:tab/>
      </w:r>
      <w:r>
        <w:tab/>
      </w:r>
      <w:r>
        <w:tab/>
      </w:r>
      <w:r>
        <w:tab/>
      </w:r>
      <w:r>
        <w:tab/>
        <w:t>3</w:t>
      </w:r>
      <w:r w:rsidR="0084559B">
        <w:t>6</w:t>
      </w:r>
    </w:p>
    <w:p w:rsidR="003F0694" w:rsidRPr="003234CE" w:rsidRDefault="003F0694" w:rsidP="00C03BA2">
      <w:pPr>
        <w:pStyle w:val="Lijstalinea"/>
        <w:numPr>
          <w:ilvl w:val="0"/>
          <w:numId w:val="1"/>
        </w:numPr>
        <w:outlineLvl w:val="0"/>
        <w:rPr>
          <w:b/>
        </w:rPr>
      </w:pPr>
      <w:r w:rsidRPr="003234CE">
        <w:rPr>
          <w:b/>
        </w:rPr>
        <w:lastRenderedPageBreak/>
        <w:t>Inleiding</w:t>
      </w:r>
      <w:r w:rsidRPr="003234CE">
        <w:rPr>
          <w:b/>
        </w:rPr>
        <w:br/>
      </w:r>
    </w:p>
    <w:p w:rsidR="003F0694" w:rsidRPr="001B789F" w:rsidRDefault="003F0694" w:rsidP="003F0694">
      <w:pPr>
        <w:pStyle w:val="Lijstalinea"/>
        <w:numPr>
          <w:ilvl w:val="1"/>
          <w:numId w:val="1"/>
        </w:numPr>
        <w:rPr>
          <w:b/>
        </w:rPr>
      </w:pPr>
      <w:r w:rsidRPr="001B789F">
        <w:rPr>
          <w:b/>
        </w:rPr>
        <w:t>Inleiding</w:t>
      </w:r>
    </w:p>
    <w:p w:rsidR="003F0694" w:rsidRDefault="003F0694" w:rsidP="00CD64D7">
      <w:r>
        <w:t>De loonbelasting is een belasting waar iedereen mee te maken heeft. Het fungeert als een voorheffing van de inkomstenbelasting, en zorgt ervoor dat gedurende het jaar belasting wordt ingehouden op het loon. De loonbelasting kan dan achteraf verrekend worden met de verschuldigde inkomstenbelasting. De loonbelasting was in 2009 met een verwachtte opbrengst van € 47 miljard de meest opbrengende rijksbelasting</w:t>
      </w:r>
      <w:r>
        <w:rPr>
          <w:rStyle w:val="Voetnootmarkering"/>
        </w:rPr>
        <w:footnoteReference w:id="1"/>
      </w:r>
      <w:r>
        <w:t xml:space="preserve"> en is dus van</w:t>
      </w:r>
      <w:r w:rsidR="00B6650C">
        <w:t xml:space="preserve"> groot belang voor de overheid.</w:t>
      </w:r>
    </w:p>
    <w:p w:rsidR="003F0694" w:rsidRDefault="003F0694" w:rsidP="00CD64D7">
      <w:r>
        <w:t xml:space="preserve">De loonbelasting wordt geheven krachtens de Wet op de Loonbelasting 1964. Deze wet is op </w:t>
      </w:r>
      <w:r w:rsidR="00E84C26">
        <w:t>1 juli 1965 in werking getreden</w:t>
      </w:r>
      <w:r>
        <w:t xml:space="preserve"> en is door de jaren diverse keren gewijzigd. Over de jaren is deze wet ook steeds ingewikkelder geworden door de toenemende instrumentele functie van de wet. In 2001 werd door de belastingherziening van de inkomstenbelasting het noodzakelijk geacht een nieuwe vorm van kostenvergoedingen in te voeren in de loonbelasting.</w:t>
      </w:r>
      <w:r>
        <w:rPr>
          <w:rStyle w:val="Voetnootmarkering"/>
        </w:rPr>
        <w:footnoteReference w:id="2"/>
      </w:r>
      <w:r>
        <w:t xml:space="preserve"> Door het vervallen van het begrip aftrekbare kosten in de loon- en inkomstenbelasting en de wens om belastingvrije kostenvergoeding mogelijk te houden moest er een nieuw regime komen dat de mogelijkheid bood kosten die werknemers maken alsnog belastingvrij te vergoeden. Het doel hierbij was om geen grote wijzigingen door te voeren maar om kosten die nodig zijn bij het vervullen van de dienstbetrekking en die vergoed worden door de werkgever niet als loon te belasten bij de werknemer. Dit zou immers een uitbreiding van het loonbegrip betekenen.</w:t>
      </w:r>
      <w:r>
        <w:rPr>
          <w:rStyle w:val="Voetnootmarkering"/>
        </w:rPr>
        <w:footnoteReference w:id="3"/>
      </w:r>
      <w:r>
        <w:t xml:space="preserve"> Om hieraan te voldoen zijn de zogenoemde vrije vergoedingen en verstrekkingen opgenomen in hoofdstuk II A van de Wet LB 1964. Hierin wordt opgesomd wat wel en wat niet een vrije – derhalve onbelaste - vergoeding en verstrekking is, c.q. tot welke bedrag. Vervolgens staan in de Uitvoeringsregeling LB 2001 nog meer details en extra bepalingen omtrent de vergoedingen. De moeilijkheid om uit te maken wat wel vergoed mag worden en niet, en de onduidelijk in de wet zelf hebben ervoor gezorgd dat er een grote wens is tot vereenvoudiging van de wet en om administratieve lastenvermindering.</w:t>
      </w:r>
    </w:p>
    <w:p w:rsidR="003F0694" w:rsidRDefault="003F0694" w:rsidP="00CD64D7">
      <w:r>
        <w:t xml:space="preserve">Met ingang van 1 januari 2011 wordt een grote </w:t>
      </w:r>
      <w:r w:rsidR="00B6650C">
        <w:t xml:space="preserve">stap </w:t>
      </w:r>
      <w:r>
        <w:t>gezet ter vereenvoudiging van de Wet LB 1964. Met het Belastingplan 2010 kwamen twee fiscale vereenvoudigingen mee voor de loonbelasting: de werkkostenregeling en het wetsvoorstel uniformering loonbegrip. Het wetsvoorstel uniformering loonbegrip is echter controversieel verklaard</w:t>
      </w:r>
      <w:r>
        <w:rPr>
          <w:rStyle w:val="Voetnootmarkering"/>
        </w:rPr>
        <w:footnoteReference w:id="4"/>
      </w:r>
      <w:r w:rsidR="00D93925">
        <w:t xml:space="preserve"> en wordt</w:t>
      </w:r>
      <w:r>
        <w:t xml:space="preserve"> vooralsnog dus niet verder behandeld door het parlement; de invoering van de werkkostenregeling vindt wel doorgang. De nieuwe werkkostenregeling moet ervoor zorgen dat de regeling van de kostenvergoedingen, die nu voor veel onduidelijkheid zorgt, vereenvoudigd wordt. </w:t>
      </w:r>
      <w:r w:rsidR="00B6650C">
        <w:t xml:space="preserve">Door een forfaitaire aanpak wordt er een jaarlijkse budgetruimte vastgesteld van 1,4% van de gehele loonsom, welke belastingvrij mag worden vergoed. </w:t>
      </w:r>
      <w:r>
        <w:t>Alle vergoedingen die daarboven komen worden ten laste van de werkgever belast met een eindheffing</w:t>
      </w:r>
      <w:r w:rsidR="00017400">
        <w:t xml:space="preserve"> van 80%</w:t>
      </w:r>
      <w:r>
        <w:t>. Daarnaast blijven er specifieke regels bestaan voor enkele ‘gerichte’ vrijstellingen.</w:t>
      </w:r>
      <w:r>
        <w:rPr>
          <w:rStyle w:val="Voetnootmarkering"/>
        </w:rPr>
        <w:footnoteReference w:id="5"/>
      </w:r>
      <w:r>
        <w:t xml:space="preserve"> Deze werkkostenregeling zal ingaan met een overgangsregeling waardoor werkgevers in 2011, 2012 en 2013 nog de keuze hebben tussen het oude regime en het nieuwe systeem.</w:t>
      </w:r>
    </w:p>
    <w:p w:rsidR="00A97D97" w:rsidRDefault="00A97D97" w:rsidP="00CD64D7"/>
    <w:p w:rsidR="003F0694" w:rsidRPr="002D1862" w:rsidRDefault="003F0694" w:rsidP="00C03BA2">
      <w:pPr>
        <w:pStyle w:val="Lijstalinea"/>
        <w:numPr>
          <w:ilvl w:val="1"/>
          <w:numId w:val="1"/>
        </w:numPr>
        <w:jc w:val="both"/>
        <w:outlineLvl w:val="1"/>
        <w:rPr>
          <w:b/>
        </w:rPr>
      </w:pPr>
      <w:r w:rsidRPr="002D1862">
        <w:rPr>
          <w:b/>
        </w:rPr>
        <w:lastRenderedPageBreak/>
        <w:t>Aanleiding</w:t>
      </w:r>
    </w:p>
    <w:p w:rsidR="003F0694" w:rsidRDefault="003F0694" w:rsidP="00CD64D7">
      <w:r>
        <w:t>Op 7 april 2010 kwam de Studiecommissie belastingstelsel met een rapport over alle hervormingen in het belastingstelsel. Over de nieuwe werkkostenregeling zijn ze echter opvallend kort en trekken de volgende conclusie: “De studiecommissie juicht de vereenvoudiging door de werkkostenregeling toe en bepleit om op termijn meer vergoedingen en verstrekkingen uit de gerichte vrijstellingen onder het forfait te brengen. De commissie stelt dan ook voor om (onderdelen van) de gerichte vrijstellingen te evalueren.”</w:t>
      </w:r>
      <w:r>
        <w:rPr>
          <w:rStyle w:val="Voetnootmarkering"/>
        </w:rPr>
        <w:footnoteReference w:id="6"/>
      </w:r>
      <w:r>
        <w:t xml:space="preserve"> Opvallend omdat er in de vakliteratuur juist meerdere opmerkingen zijn gekomen of </w:t>
      </w:r>
      <w:r w:rsidR="00D93925">
        <w:t>deze doorvoering wel zo goed gaat</w:t>
      </w:r>
      <w:r>
        <w:t xml:space="preserve"> werken. Zo noemt Kavelaars dat de wijzigingen “…ongenuanceerd zijn waardoor ze overwegend in strijd zijn met rechtvaardige belastingheffing”</w:t>
      </w:r>
      <w:r>
        <w:rPr>
          <w:rStyle w:val="Voetnootmarkering"/>
        </w:rPr>
        <w:footnoteReference w:id="7"/>
      </w:r>
      <w:r>
        <w:t xml:space="preserve"> en Bik benoemt dat de wijzigingen een andere vorm geven maar geen echte vereenvoudiging biedt.</w:t>
      </w:r>
      <w:r>
        <w:rPr>
          <w:rStyle w:val="Voetnootmarkering"/>
        </w:rPr>
        <w:footnoteReference w:id="8"/>
      </w:r>
      <w:r>
        <w:t xml:space="preserve"> Er is dus een spanningsveld tussen eenvoud aan de ene kant en rechtvaardigheid aan de andere kant.</w:t>
      </w:r>
    </w:p>
    <w:p w:rsidR="003F0694" w:rsidRPr="001B789F" w:rsidRDefault="003F0694" w:rsidP="00C03BA2">
      <w:pPr>
        <w:pStyle w:val="Lijstalinea"/>
        <w:numPr>
          <w:ilvl w:val="1"/>
          <w:numId w:val="1"/>
        </w:numPr>
        <w:jc w:val="both"/>
        <w:outlineLvl w:val="1"/>
        <w:rPr>
          <w:b/>
        </w:rPr>
      </w:pPr>
      <w:r w:rsidRPr="001B789F">
        <w:rPr>
          <w:b/>
        </w:rPr>
        <w:t>Opzet</w:t>
      </w:r>
    </w:p>
    <w:p w:rsidR="003F0694" w:rsidRDefault="003F0694" w:rsidP="00CD64D7">
      <w:r>
        <w:t>De regering wil graag het belastingstelsel vereenvoudigen en stellen eenvoud en administratieve lastenverlichting voorop bij door te voren vernieuwingen in de fiscale wetgeving, zo ook met de werkkostenregeling in de loonheffingen. De vraag die nu rijst is of deze focus op eenvoud geen afbreuk doet aan rechtvaardigheid en doeltreffendheid van de wet. Dit leidt tot de volgende probleemstelling:</w:t>
      </w:r>
    </w:p>
    <w:p w:rsidR="003F0694" w:rsidRDefault="003F0694" w:rsidP="00CD64D7">
      <w:pPr>
        <w:rPr>
          <w:b/>
        </w:rPr>
      </w:pPr>
      <w:r>
        <w:rPr>
          <w:b/>
        </w:rPr>
        <w:t>Vormt de nieuwe werkkostenregeling een goed evenwicht tussen eenvoud en een gerechtvaardige heffing?</w:t>
      </w:r>
    </w:p>
    <w:p w:rsidR="003F0694" w:rsidRDefault="003F0694" w:rsidP="00CD64D7">
      <w:r>
        <w:t>Om tot een antwoord te komen op de probleemstelling maak ik gebruik van enkele deelvragen:</w:t>
      </w:r>
    </w:p>
    <w:p w:rsidR="003F0694" w:rsidRPr="0022556F" w:rsidRDefault="003F0694" w:rsidP="003F0694">
      <w:pPr>
        <w:numPr>
          <w:ilvl w:val="0"/>
          <w:numId w:val="2"/>
        </w:numPr>
        <w:spacing w:after="0"/>
        <w:rPr>
          <w:i/>
        </w:rPr>
      </w:pPr>
      <w:r w:rsidRPr="0022556F">
        <w:rPr>
          <w:i/>
        </w:rPr>
        <w:t>Hoe werkt de huidige regeling en wat is er mis mee?</w:t>
      </w:r>
    </w:p>
    <w:p w:rsidR="003F0694" w:rsidRPr="0022556F" w:rsidRDefault="003F0694" w:rsidP="003F0694">
      <w:pPr>
        <w:numPr>
          <w:ilvl w:val="0"/>
          <w:numId w:val="2"/>
        </w:numPr>
        <w:spacing w:after="0"/>
        <w:rPr>
          <w:i/>
        </w:rPr>
      </w:pPr>
      <w:r w:rsidRPr="0022556F">
        <w:rPr>
          <w:i/>
        </w:rPr>
        <w:t>Wat is de bedoeling van de werkkostenregeling en hoe werkt de regeling?</w:t>
      </w:r>
    </w:p>
    <w:p w:rsidR="003F0694" w:rsidRPr="0022556F" w:rsidRDefault="003F0694" w:rsidP="003F0694">
      <w:pPr>
        <w:numPr>
          <w:ilvl w:val="0"/>
          <w:numId w:val="2"/>
        </w:numPr>
        <w:spacing w:after="0"/>
        <w:rPr>
          <w:i/>
        </w:rPr>
      </w:pPr>
      <w:r w:rsidRPr="0022556F">
        <w:rPr>
          <w:i/>
        </w:rPr>
        <w:t>Zijn de wijzigingen inhoudelijk in orde?</w:t>
      </w:r>
    </w:p>
    <w:p w:rsidR="003F0694" w:rsidRDefault="003F0694" w:rsidP="003F0694">
      <w:pPr>
        <w:numPr>
          <w:ilvl w:val="0"/>
          <w:numId w:val="2"/>
        </w:numPr>
      </w:pPr>
      <w:r w:rsidRPr="0022556F">
        <w:rPr>
          <w:i/>
        </w:rPr>
        <w:t>Voldoet de nieuwe regeling aan de toetsingscriteria (zie nog hierna)?</w:t>
      </w:r>
    </w:p>
    <w:p w:rsidR="003F0694" w:rsidRDefault="003F0694" w:rsidP="00CD64D7">
      <w:r>
        <w:t xml:space="preserve">In hoofdstuk 2 licht ik eerst de huidige regelgeving in meer detail toe. Eerst wordt een beknopte geschiedenis gegeven van het ontstaan van de loonbelasting en ga ik in op de werking van de vrije vergoedingen en verstrekkingen en de problemen die deze systematiek met zich brengt. </w:t>
      </w:r>
      <w:r w:rsidR="00B6650C">
        <w:t xml:space="preserve">Vervolgens </w:t>
      </w:r>
      <w:r>
        <w:t>ga ik in hoofdstuk 3 in op de nieuwe regeling, hoe werkt de werkkostenrege</w:t>
      </w:r>
      <w:r w:rsidR="00D93925">
        <w:t>ling precies? In hoofdstuk 4 maak</w:t>
      </w:r>
      <w:r>
        <w:t xml:space="preserve"> ik de vergelijking tussen de huidige wettelijke systematiek en de nieuwe regeling. Wat zijn deze verschillen precies en is er echt vereenvoudiging of is het slechts een andere vorm van kostenvergoeding? Ook de overgangsregeling die tot en met 2013 van kracht is </w:t>
      </w:r>
      <w:r w:rsidR="00D93925">
        <w:t>ga</w:t>
      </w:r>
      <w:r>
        <w:t xml:space="preserve"> ik belichten. Zorgt dit juist niet voor meer onoverzichtelijkheid? Ik ga dan in hoofdstuk 5 de werkkostenregeling beoordelen op eenvoud en rechtvaardigheid. Als toetsingscriteria </w:t>
      </w:r>
      <w:r w:rsidR="00D93925">
        <w:t xml:space="preserve">kijk ik </w:t>
      </w:r>
      <w:r>
        <w:t xml:space="preserve">hoe de wetsystematiek verbeterd en duidelijker wordt. Ook </w:t>
      </w:r>
      <w:r w:rsidR="00D93925">
        <w:t>beoordeel ik</w:t>
      </w:r>
      <w:r w:rsidR="00017400">
        <w:t xml:space="preserve"> of het voor werkgevers en B</w:t>
      </w:r>
      <w:r>
        <w:t xml:space="preserve">elastingdienst eenvoudiger in de uitvoering wordt dan nu het geval is. Om te toetsen op rechtvaardigheid </w:t>
      </w:r>
      <w:r w:rsidR="00D93925">
        <w:t>ga</w:t>
      </w:r>
      <w:r>
        <w:t xml:space="preserve"> ik </w:t>
      </w:r>
      <w:r>
        <w:lastRenderedPageBreak/>
        <w:t xml:space="preserve">kijken of de nieuwe regeling eerlijk is voor alle werknemers of dat er veranderingen zijn voor werknemers die niet als rechtvaardig ervaren worden, bijvoorbeeld als werknemers ten onrechte ongelijk worden behandeld door de wijzigingen. Uiteindelijk </w:t>
      </w:r>
      <w:r w:rsidR="00017400">
        <w:t>kom</w:t>
      </w:r>
      <w:r>
        <w:t xml:space="preserve"> ik in de conclusie</w:t>
      </w:r>
      <w:r w:rsidR="00017400">
        <w:t xml:space="preserve"> met een korte samenvatting en geef ik een</w:t>
      </w:r>
      <w:r>
        <w:t xml:space="preserve"> antwoord op de probleemstelling</w:t>
      </w:r>
      <w:r w:rsidR="00017400">
        <w:t xml:space="preserve"> met eventuele aanbevelingen</w:t>
      </w:r>
      <w:r>
        <w:t>.</w:t>
      </w:r>
    </w:p>
    <w:p w:rsidR="003F0694" w:rsidRPr="001D5F3D" w:rsidRDefault="003F0694" w:rsidP="00CD64D7"/>
    <w:p w:rsidR="003F0694" w:rsidRDefault="003F0694">
      <w:r>
        <w:br w:type="page"/>
      </w:r>
    </w:p>
    <w:p w:rsidR="003F0694" w:rsidRPr="00583BC1" w:rsidRDefault="003F0694" w:rsidP="003F0694">
      <w:pPr>
        <w:pStyle w:val="Lijstalinea"/>
        <w:numPr>
          <w:ilvl w:val="0"/>
          <w:numId w:val="3"/>
        </w:numPr>
        <w:rPr>
          <w:b/>
        </w:rPr>
      </w:pPr>
      <w:r w:rsidRPr="00583BC1">
        <w:rPr>
          <w:b/>
        </w:rPr>
        <w:lastRenderedPageBreak/>
        <w:t>Huidige systematiek</w:t>
      </w:r>
      <w:r>
        <w:rPr>
          <w:b/>
        </w:rPr>
        <w:br/>
      </w:r>
    </w:p>
    <w:p w:rsidR="003F0694" w:rsidRDefault="003F0694" w:rsidP="003F0694">
      <w:pPr>
        <w:pStyle w:val="Lijstalinea"/>
        <w:numPr>
          <w:ilvl w:val="1"/>
          <w:numId w:val="3"/>
        </w:numPr>
        <w:jc w:val="both"/>
        <w:rPr>
          <w:b/>
        </w:rPr>
      </w:pPr>
      <w:r w:rsidRPr="00583BC1">
        <w:rPr>
          <w:b/>
        </w:rPr>
        <w:t>Inleiding</w:t>
      </w:r>
    </w:p>
    <w:p w:rsidR="003F0694" w:rsidRDefault="003F0694" w:rsidP="009E2CDD">
      <w:r>
        <w:t>In de loonbelasting spelen de vrije vergoedingen en verstrekkingen een grote rol. Om tot een beter begrip te komen wat het probleem is waar ik in deze scriptie onderzoek naar doe, moet eerst de achtergrond van de huidige systematiek worden besproken. In dit hoofdstuk zoek ik een antwoord op de deelvraag “</w:t>
      </w:r>
      <w:r w:rsidRPr="009F785C">
        <w:rPr>
          <w:i/>
        </w:rPr>
        <w:t>Hoe werkt de huidige regeling en wat is er mis mee?</w:t>
      </w:r>
      <w:r>
        <w:rPr>
          <w:i/>
        </w:rPr>
        <w:t>”.</w:t>
      </w:r>
      <w:r>
        <w:t xml:space="preserve"> </w:t>
      </w:r>
      <w:r w:rsidR="006E555D">
        <w:t>Om tot een antwoord te komen haal</w:t>
      </w:r>
      <w:r>
        <w:t xml:space="preserve"> ik eerst kort de geschiedenis van de loonbelasting aan. Daarna </w:t>
      </w:r>
      <w:r w:rsidR="006E555D">
        <w:t>ga</w:t>
      </w:r>
      <w:r>
        <w:t xml:space="preserve"> ik de systematiek van de vrije vergoedingen en</w:t>
      </w:r>
      <w:r w:rsidR="006E555D">
        <w:t xml:space="preserve"> vrije verstrekkingen bespreken</w:t>
      </w:r>
      <w:r>
        <w:t xml:space="preserve"> en de uitwerking hiervan. </w:t>
      </w:r>
      <w:r w:rsidR="00B6650C">
        <w:t>Als laatste licht ik de problemen van de huidige regeling toe en laat zien waarom wijzigingen wenselijk zijn.</w:t>
      </w:r>
    </w:p>
    <w:p w:rsidR="003F0694" w:rsidRDefault="003F0694" w:rsidP="003F0694">
      <w:pPr>
        <w:numPr>
          <w:ilvl w:val="1"/>
          <w:numId w:val="3"/>
        </w:numPr>
        <w:rPr>
          <w:b/>
        </w:rPr>
      </w:pPr>
      <w:r>
        <w:rPr>
          <w:b/>
        </w:rPr>
        <w:t>Beknopte geschiedenis loonbelasting</w:t>
      </w:r>
    </w:p>
    <w:p w:rsidR="003F0694" w:rsidRDefault="003F0694" w:rsidP="009E2CDD">
      <w:r>
        <w:t xml:space="preserve">De loonbelasting is een heffing bij de bron die per 1 januari 1941 door de Duitse bezetter werd ingevoerd, het Besluit op Loonbelasting 1940. Het voordeel van heffen bij de bron is tweezijdig; enerzijds om invorderingsproblemen te vermijden en anderzijds de kans dat de belasting gerealiseerd wordt te vergroten. Dit laatste speelt met name als het moeilijk te achterhalen is wat de belaste voordelen zijn. Het doel van de loonbelasting is om zoveel mogelijk een aanslag inkomensbelasting te </w:t>
      </w:r>
      <w:r w:rsidR="00B6650C">
        <w:t xml:space="preserve">voorkomen. </w:t>
      </w:r>
      <w:r>
        <w:t>Vanaf 1 januari 1965 werd het Besluit op Loonbelasting 1940 omgezet naar de Wet op de Loonbelasting 1964. De wet LB 1964 is grotendeels over de jaren gelijk gebleven. Ingrijpende wijzigingen waren er in 1973 (structurele herziening), 1984 (belastingheffing van gehuwde of ongehuwde tweeverdieners) en in 1990 (invoering van de ‘Oort-maatregelen’).</w:t>
      </w:r>
      <w:r>
        <w:rPr>
          <w:rStyle w:val="Voetnootmarkering"/>
        </w:rPr>
        <w:footnoteReference w:id="9"/>
      </w:r>
      <w:r>
        <w:t xml:space="preserve"> Met de invoering van de Wet IB 2001 is de Wet LB 1964 op belangrijke punten gewijzigd om aan te sluiten op de systematiek van de Wet IB 2001. Tevens zijn er toen aanpassingen geweest aan specifieke regelingen als de kostenvergoedingen, spaarregelingen en de wijze van belasten van artiesten. </w:t>
      </w:r>
    </w:p>
    <w:p w:rsidR="003F0694" w:rsidRDefault="003F0694" w:rsidP="009E2CDD">
      <w:r>
        <w:t xml:space="preserve">Over de jaren is het doel van de Wet LB 1964 steeds breder geworden. Naast de efficiënte manier van heffen doordat dit bij de bron gebeurt, heeft de wet </w:t>
      </w:r>
      <w:r w:rsidR="00B6650C">
        <w:t xml:space="preserve">een </w:t>
      </w:r>
      <w:r>
        <w:t xml:space="preserve">instrumenteel karakter. Hierdoor is de wet echter steeds uitgebreider en ingewikkelder geworden in de uitvoering. Met name de afgelopen jaren zijn er diverse pogingen geweest ter vermindering van de lasten en irritaties, echter met gemengde resultaten. </w:t>
      </w:r>
    </w:p>
    <w:p w:rsidR="003F0694" w:rsidRDefault="003F0694" w:rsidP="009E2CDD">
      <w:r>
        <w:t>Doordat de inhoudingsplich</w:t>
      </w:r>
      <w:r w:rsidR="00B6650C">
        <w:t>ti</w:t>
      </w:r>
      <w:r>
        <w:t>gen te maken hebben met de Belastingdienst voor de heffing van loonbelasting en de premieheffing volksverzekeringen en met het UWV voor de premieheffing werknemersverzekeringen was er een grotere administratieve last. Om te voorkomen dat inhoudingsp</w:t>
      </w:r>
      <w:r w:rsidR="00A65F74">
        <w:t>l</w:t>
      </w:r>
      <w:r>
        <w:t>ichtigen te maken hebben met twee instanties zijn er twee wetten ingevoerd.</w:t>
      </w:r>
      <w:r w:rsidRPr="009E2CDD">
        <w:t xml:space="preserve"> </w:t>
      </w:r>
      <w:r>
        <w:t>Met ingang van 1 januari 2005 de Wet administratieve lastenverlichting en vereenvoudiging in sociale verzekeringswetten (Walvis) in werking getreden, waarmee grotendeels het loonbegrip geüniformeerd werd door het premieloon aan te passen. Een jaar later werd de Wet financiering sociale verzekeringen (Wfsv) ingevoerd en ging de premie-inning over van het UWV naa</w:t>
      </w:r>
      <w:r w:rsidR="00B6650C">
        <w:t>r de Belastingdienst. Daarnaast</w:t>
      </w:r>
      <w:r>
        <w:t xml:space="preserve"> heft de Belastingdienst ook de inkomensafhankelijke bijdrage voor de Zvw vanaf 2006.</w:t>
      </w:r>
      <w:r>
        <w:rPr>
          <w:rStyle w:val="Voetnootmarkering"/>
        </w:rPr>
        <w:footnoteReference w:id="10"/>
      </w:r>
    </w:p>
    <w:p w:rsidR="003F0694" w:rsidRDefault="00B6650C" w:rsidP="009E2CDD">
      <w:r>
        <w:lastRenderedPageBreak/>
        <w:t xml:space="preserve">De loonbelasting is voor de staat een belangrijke belasting door zijn grote budgettaire functie. </w:t>
      </w:r>
      <w:r w:rsidR="003F0694">
        <w:t>Over de jaren genereerde de omzetbelasting de meeste inkomsten, met de loonbelasting hier vlak achter. De opbrengsten van de loonbelasting nemen echter steeds meer toe, waardoor in 2009 de loonbelasting de meeste opbrengst had van alle rijksbelastingen.</w:t>
      </w:r>
      <w:r w:rsidR="003F0694">
        <w:rPr>
          <w:rStyle w:val="Voetnootmarkering"/>
        </w:rPr>
        <w:footnoteReference w:id="11"/>
      </w:r>
      <w:r w:rsidR="003F0694">
        <w:t xml:space="preserve"> </w:t>
      </w:r>
    </w:p>
    <w:p w:rsidR="003F0694" w:rsidRDefault="003F0694" w:rsidP="009E2CDD">
      <w:r>
        <w:t xml:space="preserve">De belangrijkste kenmerken van de loonbelasting zijn dus de grote opbrengsten tegen relatief lage kosten en een efficiënte heffingsmethode. </w:t>
      </w:r>
      <w:r w:rsidR="00B6650C">
        <w:t xml:space="preserve">Deze efficiëntie heeft echter te lijden onder constante uitbreidingen ter verduidelijking van de wet, maar ook door toevoegingen die een meer instrumentele functie hebben. </w:t>
      </w:r>
      <w:r>
        <w:t xml:space="preserve">Hierdoor dreigt een belangrijk kenmerk van deze belasting </w:t>
      </w:r>
      <w:r w:rsidR="00B6650C">
        <w:t xml:space="preserve">verloren </w:t>
      </w:r>
      <w:r>
        <w:t>te gaan.</w:t>
      </w:r>
    </w:p>
    <w:p w:rsidR="003F0694" w:rsidRDefault="003F0694" w:rsidP="003F0694">
      <w:pPr>
        <w:numPr>
          <w:ilvl w:val="1"/>
          <w:numId w:val="3"/>
        </w:numPr>
        <w:rPr>
          <w:b/>
        </w:rPr>
      </w:pPr>
      <w:r w:rsidRPr="00437B26">
        <w:rPr>
          <w:b/>
        </w:rPr>
        <w:t>Karakteristieken</w:t>
      </w:r>
      <w:r w:rsidR="0087229F">
        <w:rPr>
          <w:b/>
        </w:rPr>
        <w:t xml:space="preserve"> huidige systematiek</w:t>
      </w:r>
    </w:p>
    <w:p w:rsidR="003F0694" w:rsidRPr="00437B26" w:rsidRDefault="003F0694" w:rsidP="00437B26">
      <w:pPr>
        <w:rPr>
          <w:b/>
        </w:rPr>
      </w:pPr>
      <w:r w:rsidRPr="00437B26">
        <w:rPr>
          <w:b/>
        </w:rPr>
        <w:t xml:space="preserve">2.3.1. </w:t>
      </w:r>
      <w:r>
        <w:rPr>
          <w:b/>
        </w:rPr>
        <w:t>Ontstaan vrije vergoedingen en verstrekkingen</w:t>
      </w:r>
    </w:p>
    <w:p w:rsidR="003F0694" w:rsidRDefault="003F0694" w:rsidP="00007F2E">
      <w:r>
        <w:t xml:space="preserve">De loonbelasting bestaat uit een reeks hoofdstukken die het belastingsubject en object definiëren. Met name de belastingplicht en het begrip loon spelen een grote rol in </w:t>
      </w:r>
      <w:r w:rsidR="00D93925">
        <w:t>de wet en in de literatuur. Ik ga hier</w:t>
      </w:r>
      <w:r>
        <w:t xml:space="preserve"> echter in </w:t>
      </w:r>
      <w:r w:rsidR="00D93925">
        <w:t>deze scriptie niet verder op in</w:t>
      </w:r>
      <w:r>
        <w:t xml:space="preserve">, daar het niet bijdraagt aan het onderzoek. Uiteraard zijn de vrije vergoedingen en verstrekkingen zoals opgenomen in artikel 15 t/m 17a Wet LB 1964 wel van groot belang. Ik </w:t>
      </w:r>
      <w:r w:rsidR="00E03DAC">
        <w:t>ga hier nu dieper op in</w:t>
      </w:r>
      <w:r>
        <w:t xml:space="preserve">. </w:t>
      </w:r>
    </w:p>
    <w:p w:rsidR="003F0694" w:rsidRDefault="003F0694" w:rsidP="00007F2E">
      <w:r>
        <w:t>Door middel van vrije vergoedingen en verstrekkingen kan de werkgever bepaalde kosten van de werknemer die gemaakt zijn ten behoeve van de dienstbetrekking belastingvrij vergoeden. Bij een vergoeding vergoedt de werkgever kosten gemaakt door de werknemer. Verstrekkingen zijn voordelen genoten in natura door de werknemer waarbij de werkgever de kosten draagt. Daar deze twee begrippen economisch bezien hetzelfde zijn worden ze fiscaal ook zoveel mogelijk hetzelfde behandeld, tenzij expliciet anders is aangegeven.</w:t>
      </w:r>
    </w:p>
    <w:p w:rsidR="003F0694" w:rsidRDefault="003F0694" w:rsidP="00007F2E">
      <w:r>
        <w:t>De regeling van vrije vergoedingen en verstrekkingen is ingevoerd per 1 januari 2001. Bij de herziening van de inkomstenbelasting werden kosten gemaakt door de werknemer in dienstverband anders bezien. Voordien waren deze kosten aftrekbaar van het arbeidsloon in de inkomstenbelasting, maar bij de invoering van de Wet IB 2001 is dit komen te vervallen. De reden hiervoor was dat de oude regeling conflictgevoelig was en uitvoeringsproblemen met zich bracht. Daarnaast nam de betekenis van de aftrek van werkelijke kosten steeds meer af, daar ongeveer slechts twee procent van de belastingplichtigen er gebruik van maakte. Zodoende heeft de wetgever besloten de aftrek van arbeidskosten in de Wet IB 2001 los te laten.</w:t>
      </w:r>
      <w:r>
        <w:rPr>
          <w:rStyle w:val="Voetnootmarkering"/>
        </w:rPr>
        <w:footnoteReference w:id="12"/>
      </w:r>
      <w:r>
        <w:t xml:space="preserve"> De wetgever wilde al hetgeen wat als beloning voor verrichte arbeid wordt gezien belasten. De vraag ontstond echter of verstrekkingen gedaan door de werkgever aan de werknemer die geacht noodzakelijk te zijn voor het vervullen van de dienstbetrekking, ook tot het loon behoort. Hierin is duidelijkheid gegeven in de loonbelasting door aan te geven welke voordelen als loon wordt ervaren en welke bestanddelen daar buiten vallen of als belastingvrije vergoeding gelden. Door het vervallen van het begrip aftrekbare kosten in de Wet IB 2001 moest er een nieuw regime komen voor kostenvergoedingen. De wetgever wilde echter wel voorkomen dat de arbeidskosten omhoog gingen, daar in veel arbeidsovereenkomsten is opgenomen dat bepaalde kosten worden vergoed door de werkgever. Als dit niet belastingvrij kan nemen de kosten voor de werkgever toe. Om hier aan te voldoen zijn in art. 15 t/m 17a Wet LB 1964 de vrije </w:t>
      </w:r>
      <w:r>
        <w:lastRenderedPageBreak/>
        <w:t>vergoedingen en verstrekkingen opgenomen die als basis dienen voor het belastingvrij vergoeden van kosten.</w:t>
      </w:r>
    </w:p>
    <w:p w:rsidR="003F0694" w:rsidRDefault="003F0694" w:rsidP="00007F2E">
      <w:r>
        <w:t>In art. 11, lid 1, onderdeel a, Wet LB 1964 staat dat niet tot het loon behoren vergoedingen die naar maatschappelijke opvatting niet als beloningsvoordeel worden ervaren. Dit wordt gedefinieerd als vrij vergoedingen. Vervolgens staat in art. 11, lid 1, onderdeel b, Wet LB 1964 hetzelfde voor verstrekkingen die worden gedefinieerd als vrije verstrekkingen. Hier is goed te zien dat beide begrippen nagenoeg hetzelfde worden behandeld in de wet. De vrije vergoedingen worden verder toegelicht in art. 15 t/m 16c, Wet LB 1964, de vrije verstrekkingen in art. 17 en 17a, Wet LB 1964. De regeling van vrije vergoedingen en verstrekkingen is een open systeem. Dit houdt in dat de genoemde artikelen bepalingen geven van wat er wel en niet onder vrij vergoedingen en verstrekkingen valt, maar dat deze open staan voor toevoegingen. Hierdoor kan de werkgever, eventueel in overleg met de Belastingdienst, zelf invulling geven in wat zij zelf als noodzakelijke kosten ervaart en wil vergoeden.</w:t>
      </w:r>
    </w:p>
    <w:p w:rsidR="003F0694" w:rsidRDefault="003F0694" w:rsidP="003F0694">
      <w:pPr>
        <w:numPr>
          <w:ilvl w:val="2"/>
          <w:numId w:val="3"/>
        </w:numPr>
        <w:rPr>
          <w:b/>
        </w:rPr>
      </w:pPr>
      <w:r>
        <w:rPr>
          <w:b/>
        </w:rPr>
        <w:t>Vergoedingen</w:t>
      </w:r>
    </w:p>
    <w:p w:rsidR="003F0694" w:rsidRDefault="003F0694" w:rsidP="00007F2E">
      <w:pPr>
        <w:rPr>
          <w:rFonts w:cs="Arial"/>
        </w:rPr>
      </w:pPr>
      <w:r>
        <w:t xml:space="preserve">De vrije vergoedingen zijn, zoals eerder vermeld, kosten die de werknemer maakt in dienstverband welke worden vergoed door de werkgever. Het gaat hier om vergoedingen in geld, welke vooraf (in geval van vaste vergoeding) of achteraf (door middel van declaraties) gebeurd. </w:t>
      </w:r>
      <w:r w:rsidRPr="007547D7">
        <w:t>In art</w:t>
      </w:r>
      <w:r>
        <w:t>.</w:t>
      </w:r>
      <w:r w:rsidRPr="007547D7">
        <w:t xml:space="preserve"> 15</w:t>
      </w:r>
      <w:r>
        <w:t>, Wet LB 1964</w:t>
      </w:r>
      <w:r w:rsidRPr="007547D7">
        <w:t xml:space="preserve"> is de wens van de wetgever</w:t>
      </w:r>
      <w:r>
        <w:t xml:space="preserve"> - dat in geen geval een bonus voor verrichte werkzaamheden belastingvrij vergoed mag worden -</w:t>
      </w:r>
      <w:r w:rsidRPr="00D42285">
        <w:t xml:space="preserve"> </w:t>
      </w:r>
      <w:r w:rsidRPr="007547D7">
        <w:t>goed te</w:t>
      </w:r>
      <w:r>
        <w:t xml:space="preserve">rug te vinden. De wettekst luidt: </w:t>
      </w:r>
      <w:r w:rsidRPr="007547D7">
        <w:t>“</w:t>
      </w:r>
      <w:r w:rsidRPr="007547D7">
        <w:rPr>
          <w:rFonts w:cs="Arial"/>
        </w:rPr>
        <w:t>Vrije vergoedingen zijn:</w:t>
      </w:r>
      <w:r>
        <w:rPr>
          <w:rFonts w:cs="Arial"/>
        </w:rPr>
        <w:t xml:space="preserve"> </w:t>
      </w:r>
      <w:r w:rsidRPr="007547D7">
        <w:rPr>
          <w:rFonts w:cs="Arial"/>
        </w:rPr>
        <w:t>a. vergoedingen voorzover zij geacht kunnen worden te strekken tot bestrijding van kosten, lasten en afschrijvingen ter behoorlijke vervulling van de dienstbetrekking;</w:t>
      </w:r>
      <w:r>
        <w:rPr>
          <w:rFonts w:cs="Arial"/>
        </w:rPr>
        <w:t xml:space="preserve"> </w:t>
      </w:r>
      <w:r w:rsidRPr="007547D7">
        <w:rPr>
          <w:rFonts w:cs="Arial"/>
        </w:rPr>
        <w:t>b. andere vergoedingen voorzover zij naar algemene maatschappelijke opvattingen niet als beloningsvoordeel worden ervaren.</w:t>
      </w:r>
      <w:r>
        <w:rPr>
          <w:rFonts w:cs="Arial"/>
        </w:rPr>
        <w:t xml:space="preserve">” Alle belastingvrije vergoedingen vallen terug op deze definities. </w:t>
      </w:r>
    </w:p>
    <w:p w:rsidR="003F0694" w:rsidRPr="00062BF1" w:rsidRDefault="003F0694" w:rsidP="00007F2E">
      <w:pPr>
        <w:rPr>
          <w:rFonts w:cs="Arial"/>
        </w:rPr>
      </w:pPr>
      <w:r>
        <w:rPr>
          <w:rFonts w:cs="Arial"/>
        </w:rPr>
        <w:t>Om te bepalen of een vergoeding belastingvrij is moet dus worden nagegaan of deze zijn verstrekt ter vervulling van de dienstbetrekking, of ze naar maatschappelijke opvattingen niet als beloningsvoordeel worden ervaren en of ze</w:t>
      </w:r>
      <w:r w:rsidR="00843F75">
        <w:rPr>
          <w:rFonts w:cs="Arial"/>
        </w:rPr>
        <w:t xml:space="preserve"> verstrekt zijn binnen de grenzen der</w:t>
      </w:r>
      <w:r>
        <w:rPr>
          <w:rFonts w:cs="Arial"/>
        </w:rPr>
        <w:t xml:space="preserve"> redelijk</w:t>
      </w:r>
      <w:r w:rsidR="00843F75">
        <w:rPr>
          <w:rFonts w:cs="Arial"/>
        </w:rPr>
        <w:t>heid</w:t>
      </w:r>
      <w:r>
        <w:rPr>
          <w:rFonts w:cs="Arial"/>
        </w:rPr>
        <w:t xml:space="preserve">. Dit begrip </w:t>
      </w:r>
      <w:r w:rsidRPr="00DB6DC5">
        <w:rPr>
          <w:rFonts w:cs="Arial"/>
          <w:i/>
        </w:rPr>
        <w:t>behoorlijke vervulling van de dienstbetrekking</w:t>
      </w:r>
      <w:r>
        <w:rPr>
          <w:rFonts w:cs="Arial"/>
        </w:rPr>
        <w:t xml:space="preserve"> is reeds in 1954</w:t>
      </w:r>
      <w:r>
        <w:rPr>
          <w:rStyle w:val="Voetnootmarkering"/>
          <w:rFonts w:cs="Arial"/>
        </w:rPr>
        <w:footnoteReference w:id="13"/>
      </w:r>
      <w:r>
        <w:rPr>
          <w:rFonts w:cs="Arial"/>
        </w:rPr>
        <w:t xml:space="preserve"> gedefinieerd en over de jaren meegenomen in de wet. De uitspraak van de Hoge Raad destijds bepaalde dat het moet gaan om kosten die belastingplichtige ter wille van een behoorlijke vervulling van de dienstbetrekking maakt. Er moet dus gekeken worden vanuit het perspectief van de werknemer en niet vanuit de dienstbetrekking zelf. Daarnaast is uit het arrest van de Hoge Raad 30 november 1977, BNB 1978/7 bepaald dat in geval gemaakte kosten deels een persoonlijk karakter hebben dit niet per definitie van aftrek is uitgesloten. Gekeken moet worden of deze kosten kunnen bijdragen aan een redelijke vervulling van de dienstbetrekking en of een vergelijkbaar persoon zonder dienstbetrekking deze kosten ook gemaakt zou hebben. Is dit niet het geval dan kan gesteld worden dat</w:t>
      </w:r>
      <w:r w:rsidR="00C56766">
        <w:rPr>
          <w:rFonts w:cs="Arial"/>
        </w:rPr>
        <w:t>,</w:t>
      </w:r>
      <w:r>
        <w:rPr>
          <w:rFonts w:cs="Arial"/>
        </w:rPr>
        <w:t xml:space="preserve"> ondanks het voordeel ook deels privé</w:t>
      </w:r>
      <w:r w:rsidR="00C56766">
        <w:rPr>
          <w:rFonts w:cs="Arial"/>
        </w:rPr>
        <w:t xml:space="preserve"> is,</w:t>
      </w:r>
      <w:r>
        <w:rPr>
          <w:rFonts w:cs="Arial"/>
        </w:rPr>
        <w:t xml:space="preserve"> de kosten gemaakt zijn ter vervulling van de dienstbetrekking. In art. 15a, Wet LB 1964, is het criterium </w:t>
      </w:r>
      <w:r>
        <w:rPr>
          <w:rFonts w:cs="Arial"/>
          <w:i/>
        </w:rPr>
        <w:t>in redelijkheid</w:t>
      </w:r>
      <w:r>
        <w:rPr>
          <w:rFonts w:cs="Arial"/>
        </w:rPr>
        <w:t xml:space="preserve"> opgenomen. Het gaat hierbij om een marginale toets ter voorkoming van kostenvergoeding in extreme gevallen.</w:t>
      </w:r>
      <w:r>
        <w:rPr>
          <w:rStyle w:val="Voetnootmarkering"/>
          <w:rFonts w:cs="Arial"/>
        </w:rPr>
        <w:footnoteReference w:id="14"/>
      </w:r>
      <w:r>
        <w:rPr>
          <w:rFonts w:cs="Arial"/>
        </w:rPr>
        <w:t xml:space="preserve"> Dit redelijkheidscriterium is in de jurisprudentie uitgebreid aan de orde geweest in het arrest van de Hoge Raad 7 mei 1980, BNB 1980/186. Hierin werd voortgeborduurd op het eerder aangehaalde arrest waar is bepaald dat </w:t>
      </w:r>
      <w:r>
        <w:rPr>
          <w:rFonts w:cs="Arial"/>
        </w:rPr>
        <w:lastRenderedPageBreak/>
        <w:t xml:space="preserve">kosten die deels privé zijn ook aftrekbaar kunnen zijn mits binnen de grenzen der redelijkheid. Om dit te toetsen moet gekeken worden naar de verhouding tussen de uitgaven en de inkomsten waarvoor ze gemaakt zijn. De kosten zijn niet aftrekbaar indien er een wanverhouding ontstaat die geen “redelijk denkend mens kan volhouden”. Daarnaast moet het gaan om vergoedingen die </w:t>
      </w:r>
      <w:r w:rsidRPr="00DB6DC5">
        <w:rPr>
          <w:rFonts w:cs="Arial"/>
          <w:i/>
        </w:rPr>
        <w:t>naar algemene maatschappelijke opvattingen</w:t>
      </w:r>
      <w:r>
        <w:rPr>
          <w:rFonts w:cs="Arial"/>
        </w:rPr>
        <w:t xml:space="preserve"> niet als beloningsvoordeel worden ervaren. Dit is een objectief criterium welke bezien moet worden vanuit de maatschappij als geheel. Het voordeel moet in het algemeen niet als loon worden ervaren en niet als beloning bedoeld</w:t>
      </w:r>
      <w:r w:rsidR="00C56766">
        <w:rPr>
          <w:rFonts w:cs="Arial"/>
        </w:rPr>
        <w:t xml:space="preserve"> zijn</w:t>
      </w:r>
      <w:r>
        <w:rPr>
          <w:rFonts w:cs="Arial"/>
        </w:rPr>
        <w:t>.</w:t>
      </w:r>
      <w:r>
        <w:rPr>
          <w:rStyle w:val="Voetnootmarkering"/>
          <w:rFonts w:cs="Arial"/>
        </w:rPr>
        <w:footnoteReference w:id="15"/>
      </w:r>
      <w:r>
        <w:rPr>
          <w:rFonts w:cs="Arial"/>
        </w:rPr>
        <w:t xml:space="preserve"> Het gaat om voordelen die verband houden met de dienstbetrekking en welke geen aanmerkelijk privé voordeel voor de werk</w:t>
      </w:r>
      <w:r w:rsidR="00AB0C87">
        <w:rPr>
          <w:rFonts w:cs="Arial"/>
        </w:rPr>
        <w:t>n</w:t>
      </w:r>
      <w:r>
        <w:rPr>
          <w:rFonts w:cs="Arial"/>
        </w:rPr>
        <w:t>e</w:t>
      </w:r>
      <w:r w:rsidR="00AB0C87">
        <w:rPr>
          <w:rFonts w:cs="Arial"/>
        </w:rPr>
        <w:t>m</w:t>
      </w:r>
      <w:r>
        <w:rPr>
          <w:rFonts w:cs="Arial"/>
        </w:rPr>
        <w:t>er opleveren. Dit is vrij lastig te bepalen, waardoor de Belastingdienst een grens heeft gelegd inhoudende dat er in ieder geval sprake is van aanmerkelijk privé voordeel als de werknemer € 454 per jaar minder uitgeeft dan een vergelijkbare werknemer. Dit is echter niet in de wet vastgelegd, en het is dus goed mogelijk dat vergoedingen</w:t>
      </w:r>
      <w:r w:rsidR="00C42696">
        <w:rPr>
          <w:rFonts w:cs="Arial"/>
        </w:rPr>
        <w:t xml:space="preserve"> aan de werknemer waardoor deze een voordeel geniet dat boven dit bedrag uitkomt naar algemene</w:t>
      </w:r>
      <w:r>
        <w:rPr>
          <w:rFonts w:cs="Arial"/>
        </w:rPr>
        <w:t xml:space="preserve"> maatschappelijk</w:t>
      </w:r>
      <w:r w:rsidR="00C42696">
        <w:rPr>
          <w:rFonts w:cs="Arial"/>
        </w:rPr>
        <w:t>e opvattingen</w:t>
      </w:r>
      <w:r>
        <w:rPr>
          <w:rFonts w:cs="Arial"/>
        </w:rPr>
        <w:t xml:space="preserve"> niet als beloning wordt ervaren.</w:t>
      </w:r>
      <w:r>
        <w:rPr>
          <w:rStyle w:val="Voetnootmarkering"/>
          <w:rFonts w:cs="Arial"/>
        </w:rPr>
        <w:footnoteReference w:id="16"/>
      </w:r>
    </w:p>
    <w:p w:rsidR="003F0694" w:rsidRDefault="003F0694" w:rsidP="00007F2E">
      <w:pPr>
        <w:rPr>
          <w:rFonts w:cs="Arial"/>
        </w:rPr>
      </w:pPr>
      <w:r>
        <w:rPr>
          <w:rFonts w:cs="Arial"/>
        </w:rPr>
        <w:t xml:space="preserve">In art. 15a en 15b Wet LB 1964, is opgenomen wat per definitie wel of niet onder vrije vergoedingen valt. Dit is een open systeem, waardoor uitbreiding op de lijst mogelijk is als ze niet reeds in art. 15a en 15b genoemd is mits voldaan wordt aan de hiervoor genoemde criteria. Om meer duidelijkheid te geven aan de vergoedingen zijn er uitgebreide bepalingen opgenomen in hoofdstuk 4 van de Uitv.reg. LB 2001. In deze bepalingen zijn veel begrippen geobjectiveerd en normbedragen toegevoegd. De hoogte van de vergoeding is aan de werkgever. In het geval dat hij meer vergoedt dan wettelijk is opgenomen als vrije vergoeding, wordt dit surplus alsnog tot het loon gerekend. Ook is opgenomen in art. 22, lid 1, Uitv.reg. LB 2001 in geval er vanaf een bepaald bedrag sprake is van een vrije vergoeding maar daaronder niet, dit laatste tot het loon behoort. In lid 2 wordt daarnaast gesteld dat ingeval een regeling zowel op een vrije vergoeding als een verstrekking geldt, het vrijgestelde bedrag tezamen genomen moet worden. Dit zorgt ervoor dat het niet mogelijk is de normbedragen twee keer toe te passen. </w:t>
      </w:r>
    </w:p>
    <w:p w:rsidR="003F0694" w:rsidRDefault="003F0694" w:rsidP="00007F2E">
      <w:pPr>
        <w:rPr>
          <w:rFonts w:cs="Arial"/>
        </w:rPr>
      </w:pPr>
      <w:r>
        <w:rPr>
          <w:rFonts w:cs="Arial"/>
        </w:rPr>
        <w:t>Er is ook de mogelijkheid om een vaste kostenvergoeding af te spreken. In art. 15d Wet LB 1964 is opgenomen dat een vaste kostenvergoeding moet voldoen aan de regels zoals gesteld in art. 47, Uitv.reg. LB 2001. In plaats van op declaratiebasis kosten te vergoeden wordt er een vaste vergoeding afgesproken. Deze moet steekproefsgewijs getoetst worden aan de werkelijke kosten om te voorkomen dat structureel een te hoge kostenvergoeding wordt gegeven die niet aansluit op de werkelijke kosten. Voor werkgevers is de afweging tussen individuele vergoedingen op declaratiebasis en de vaste kostenvergoeding belangrijk om te maken. Het voordeel van een vaste vergoeding is dat het de administratielast verlicht doordat niet elk bonnetje bewaart dient te worden. Zo kan een hele werknemersgroep voorzien worden van belastingvrije kostenvergoeding waar slechts steekproefsgewijze controle tegenover staat. Het nadeel is echter als de werknemers afwijkende werkelijke kosten hebben, waardoor er eventueel achteraf alsnog declaraties komen dan wel het teveel aan vaste vergoeding alsnog tot het loon gerekend dient te worden. Dit zorgt weer voor extra lasten.</w:t>
      </w:r>
    </w:p>
    <w:p w:rsidR="000A07EC" w:rsidRDefault="000A07EC" w:rsidP="00007F2E">
      <w:pPr>
        <w:rPr>
          <w:rFonts w:cs="Arial"/>
        </w:rPr>
      </w:pPr>
    </w:p>
    <w:p w:rsidR="003F0694" w:rsidRPr="00EA6764" w:rsidRDefault="003F0694" w:rsidP="003F0694">
      <w:pPr>
        <w:numPr>
          <w:ilvl w:val="2"/>
          <w:numId w:val="3"/>
        </w:numPr>
        <w:rPr>
          <w:rFonts w:cs="Arial"/>
        </w:rPr>
      </w:pPr>
      <w:r>
        <w:rPr>
          <w:rFonts w:cs="Arial"/>
          <w:b/>
        </w:rPr>
        <w:lastRenderedPageBreak/>
        <w:t>Verstrekkingen</w:t>
      </w:r>
    </w:p>
    <w:p w:rsidR="003F0694" w:rsidRDefault="003F0694" w:rsidP="00007F2E">
      <w:pPr>
        <w:rPr>
          <w:rFonts w:cs="Arial"/>
        </w:rPr>
      </w:pPr>
      <w:r>
        <w:rPr>
          <w:rFonts w:cs="Arial"/>
        </w:rPr>
        <w:t xml:space="preserve">Vrije verstrekkingen verschillen weinig van de vrije vergoedingen zoals reeds besproken. Bij een verstrekking gaat het om een voordeel genoten door de werknemer in natura. In plaats van achteraf de werknemer terug te betalen schaft de werkgever het product of dienst aan en geeft dit aan de werknemer, waarvoor dit voor de werknemer een voordeel in natura </w:t>
      </w:r>
      <w:r w:rsidR="00201781">
        <w:rPr>
          <w:rFonts w:cs="Arial"/>
        </w:rPr>
        <w:t xml:space="preserve">is. </w:t>
      </w:r>
      <w:r>
        <w:rPr>
          <w:rFonts w:cs="Arial"/>
        </w:rPr>
        <w:t>De uitwerking is bij beide hetzelfde; de werkgever draagt de kosten, de werknemer heeft het voordeel. Er kan echter wel verschil zijn in het economisch eigendom, daar het bij een terbeschikkingstelling bij de werkgever blijft maar bij een verstrekking ook over kan gaan op de werknemer. A-G Van Ballegooijen is van mening dat het ziet op het verstrekken van</w:t>
      </w:r>
      <w:r w:rsidR="002B6366">
        <w:rPr>
          <w:rFonts w:cs="Arial"/>
        </w:rPr>
        <w:t xml:space="preserve"> genot, wat zowel in bruikleen </w:t>
      </w:r>
      <w:r>
        <w:rPr>
          <w:rFonts w:cs="Arial"/>
        </w:rPr>
        <w:t>als in eigendom</w:t>
      </w:r>
      <w:r w:rsidR="002B6366">
        <w:rPr>
          <w:rFonts w:cs="Arial"/>
        </w:rPr>
        <w:t xml:space="preserve"> kan</w:t>
      </w:r>
      <w:r>
        <w:rPr>
          <w:rFonts w:cs="Arial"/>
        </w:rPr>
        <w:t>.</w:t>
      </w:r>
      <w:r>
        <w:rPr>
          <w:rStyle w:val="Voetnootmarkering"/>
          <w:rFonts w:cs="Arial"/>
        </w:rPr>
        <w:footnoteReference w:id="17"/>
      </w:r>
      <w:r>
        <w:rPr>
          <w:rFonts w:cs="Arial"/>
        </w:rPr>
        <w:t xml:space="preserve"> </w:t>
      </w:r>
      <w:r w:rsidR="00201781">
        <w:rPr>
          <w:rFonts w:cs="Arial"/>
        </w:rPr>
        <w:t xml:space="preserve">Ondanks dit verschil is het verband tussen vergoeding en verstrekking goed terug te vinden in de wet. </w:t>
      </w:r>
      <w:r>
        <w:rPr>
          <w:rFonts w:cs="Arial"/>
        </w:rPr>
        <w:t xml:space="preserve">In art. 17, lid 1, Wet LB 1964 is opgenomen wat onder een vrije verstrekking wordt verstaan. Hierbij is dezelfde opbouw gebruikt als in art. 15, Wet LB 1964. Vervolgens wordt in art. 17, lid 2, Wet LB 1964 verwezen naar de voorgaande artikelen - 15a t/m 16a Wet LB 1964 - die van overeenkomstige toepassing zijn op de verstrekkingen. </w:t>
      </w:r>
      <w:r w:rsidR="00201781">
        <w:rPr>
          <w:rFonts w:cs="Arial"/>
        </w:rPr>
        <w:t xml:space="preserve">Evenals bij de vrije vergoedingen zijn er bij de vrije verstrekkingen enkele posten die per definitie een vrije verstrekking zijn opgenomen in art. </w:t>
      </w:r>
      <w:r>
        <w:rPr>
          <w:rFonts w:cs="Arial"/>
        </w:rPr>
        <w:t>17a, Wet LB 1964. Ook bij de vrije verstrekkingen geldt dat in de Uitv.reg. LB 2001 meer duidelijkheid en normbedragen gesteld zijn.</w:t>
      </w:r>
    </w:p>
    <w:p w:rsidR="003F0694" w:rsidRPr="00007F2E" w:rsidRDefault="003F0694" w:rsidP="003F0694">
      <w:pPr>
        <w:numPr>
          <w:ilvl w:val="1"/>
          <w:numId w:val="3"/>
        </w:numPr>
        <w:rPr>
          <w:rFonts w:cs="Arial"/>
          <w:b/>
        </w:rPr>
      </w:pPr>
      <w:r w:rsidRPr="00007F2E">
        <w:rPr>
          <w:rFonts w:cs="Arial"/>
          <w:b/>
        </w:rPr>
        <w:t>Uitwerking</w:t>
      </w:r>
    </w:p>
    <w:p w:rsidR="003F0694" w:rsidRDefault="003F0694" w:rsidP="00007F2E">
      <w:pPr>
        <w:rPr>
          <w:rFonts w:cs="Arial"/>
        </w:rPr>
      </w:pPr>
      <w:r>
        <w:rPr>
          <w:rFonts w:cs="Arial"/>
        </w:rPr>
        <w:t>Hierboven is kort toegelicht hoe de systematiek is van de vrije vergoedingen en verstrekkingen. De uitwerking hiervan wordt in de praktijk als lastig en ingewikkeld ervaren.</w:t>
      </w:r>
      <w:r>
        <w:rPr>
          <w:rStyle w:val="Voetnootmarkering"/>
          <w:rFonts w:cs="Arial"/>
        </w:rPr>
        <w:footnoteReference w:id="18"/>
      </w:r>
      <w:r>
        <w:rPr>
          <w:rFonts w:cs="Arial"/>
        </w:rPr>
        <w:t xml:space="preserve"> Om te bepalen of een kostenvergoeding of verstrekking belastingvrij kan plaatsvinden, moet de werkgever een aantal stappen doorlopen. Allereerst moet er altijd getoetst worden aan art. 15, dan wel art. 17 Wet LB 1964. De vergoeding of verstrekking moet voldoen aan de basis definitie; het mag geen beloningsvoordeel zijn maar slechts ter bestrijding van kosten gemaakt in dienstbetrekking. Als dit het geval is kan gekeken worden of de vergoeding in een uitzondering valt van art. 15b, waardoor de vergoeding niet belastingvrij kan plaatsvinden. Als dit niet het geval is kan gekeken worden onder art. 15a, waardoor de vergoeding - als eventueel wordt voldaan aan eisen gesteld in de Uitvoeringsregeling LB 2001 - belastingvrij is. Mocht de vergoeding niet voorkomen</w:t>
      </w:r>
      <w:r w:rsidR="00CA15B5">
        <w:rPr>
          <w:rFonts w:cs="Arial"/>
        </w:rPr>
        <w:t xml:space="preserve"> in de wettekst </w:t>
      </w:r>
      <w:r>
        <w:rPr>
          <w:rFonts w:cs="Arial"/>
        </w:rPr>
        <w:t>moet</w:t>
      </w:r>
      <w:r w:rsidR="00CA15B5">
        <w:rPr>
          <w:rFonts w:cs="Arial"/>
        </w:rPr>
        <w:t xml:space="preserve"> er</w:t>
      </w:r>
      <w:r>
        <w:rPr>
          <w:rFonts w:cs="Arial"/>
        </w:rPr>
        <w:t xml:space="preserve"> gekeken worden in hoeverre de vergoeding voldoet aan de eisen zoals gesteld in art. 15, dan wel art. 17 Wet LB 1964. </w:t>
      </w:r>
      <w:r w:rsidR="00201781">
        <w:rPr>
          <w:rFonts w:cs="Arial"/>
        </w:rPr>
        <w:t>Dit kan in overleg met de Belastingdienst waardoor de werkgever niet achteraf wordt geconfronteerd met het standpunt van de fiscus dat een vergoeding niet kwalificeert als een vrije vergoeding of verstrekking.</w:t>
      </w:r>
    </w:p>
    <w:p w:rsidR="003F0694" w:rsidRDefault="003F0694" w:rsidP="00007F2E">
      <w:pPr>
        <w:rPr>
          <w:rFonts w:cs="Arial"/>
        </w:rPr>
      </w:pPr>
      <w:r>
        <w:rPr>
          <w:rFonts w:cs="Arial"/>
        </w:rPr>
        <w:t>Hiervoor beschreven is het wettelijke proces, maar in de praktijk komt er meer bij kijken. Elk geval is verschillend en moet dan ook afzonderlijk bekeken worden. Werkgevers moeten bij elke vergoeding bekijken in hoeverre deze het karakter</w:t>
      </w:r>
      <w:r w:rsidR="005804B5">
        <w:rPr>
          <w:rFonts w:cs="Arial"/>
        </w:rPr>
        <w:t xml:space="preserve"> heeft van een vrije vergoeding</w:t>
      </w:r>
      <w:r>
        <w:rPr>
          <w:rFonts w:cs="Arial"/>
        </w:rPr>
        <w:t xml:space="preserve"> en of er aan de voorwaarden is voldaan om te kwalificeren als zodanig. Om dit te bepalen moet er getoetst worden aan de begrippen zoals behandeld in hoofdstuk 2.3.1. Met name de vervulling van dienstbetrekking en redelijkheidseis zijn van groot belang om te bepalen of een vergoeding onder de regeling valt. Ook als een vergoeding een persoonlijk karakter heeft moet worden bekeken in hoeverre dit privé </w:t>
      </w:r>
      <w:r>
        <w:rPr>
          <w:rFonts w:cs="Arial"/>
        </w:rPr>
        <w:lastRenderedPageBreak/>
        <w:t>voordeel toch als kosten kan worden aangemerkt, en vanaf welk punt het voordeel als onredelijk wordt ervaren.</w:t>
      </w:r>
    </w:p>
    <w:p w:rsidR="003F0694" w:rsidRPr="007547D7" w:rsidRDefault="003F0694" w:rsidP="00007F2E">
      <w:pPr>
        <w:rPr>
          <w:rFonts w:cs="Arial"/>
        </w:rPr>
      </w:pPr>
      <w:r>
        <w:rPr>
          <w:rFonts w:cs="Arial"/>
        </w:rPr>
        <w:t>Als de vergoeding of verstrekking belastingvrij kan plaats vinden moet worden bepaald om welke waarde het gaat. Bij vergoedingen is dit duidelijk, maar in het geval van een verstrekking moet de werkgever waarderingsregels in acht nemen om te bepalen om welk bedrag het gaat. Als laatste moeten de vergoedingen in de loonadministratie opgenomen worden, waarbij rekening moet worden gehouden met welk deel tot het fiscale loon gerekend moet worden en welk deel vrijgesteld is als dat van toepassing is.</w:t>
      </w:r>
    </w:p>
    <w:p w:rsidR="003F0694" w:rsidRDefault="003F0694" w:rsidP="003F0694">
      <w:pPr>
        <w:numPr>
          <w:ilvl w:val="1"/>
          <w:numId w:val="3"/>
        </w:numPr>
        <w:rPr>
          <w:b/>
        </w:rPr>
      </w:pPr>
      <w:r>
        <w:rPr>
          <w:b/>
        </w:rPr>
        <w:t>Problemen</w:t>
      </w:r>
    </w:p>
    <w:p w:rsidR="003F0694" w:rsidRDefault="003F0694" w:rsidP="00007F2E">
      <w:r>
        <w:t xml:space="preserve">Zoals uit hierboven is op te maken zijn er een aantal problemen met de huidige systematiek. Om te bepalen wat belastingvrije vergoedingen zijn, is een reeks handelingen noodzakelijk die de administratieve lasten verhogen en die onduidelijk zijn voor de werkgever. </w:t>
      </w:r>
      <w:r w:rsidR="00201781">
        <w:t>Het uitzoeken wat wel en niet onder het stelsel van vrije vergoedingen valt wordt hierbij gezien als het grootste opstakel voor veel werkgevers.</w:t>
      </w:r>
      <w:r>
        <w:rPr>
          <w:rStyle w:val="Voetnootmarkering"/>
        </w:rPr>
        <w:footnoteReference w:id="19"/>
      </w:r>
      <w:r>
        <w:t xml:space="preserve"> In een poging meer duidelijkheid te geven betreffende specifieke vergoedingen is de wet sterk uitgebreid waardoor aan dit doel voorbij wordt gegaan en er juist meer onduidelijkheid is ontstaan. </w:t>
      </w:r>
    </w:p>
    <w:p w:rsidR="003F0694" w:rsidRDefault="003F0694" w:rsidP="00007F2E">
      <w:r>
        <w:t xml:space="preserve">Zoals onder 2.4 is opgemerkt is het toetsen aan de vereisten van een vrije vergoeding vaak lastig, waardoor het systeem als ingewikkeld wordt ervaren. Het uitzoeken of een vergoeding naar redelijkheid bijdraagt aan de vervulling van de dienstbetrekking is niet zelden arbitrair. Elke kostenpost is verschillend en per werknemer is er een verschil of het aannemelijk is dat de kosten gemaakt worden ter vervulling van de dienstbetrekking. En zelfs als dit het geval is moet er nog gekeken worden of het redelijk is naar algemene maatschappelijke opvattingen. Ook moet niet uit het oog worden verloren of door werknemer een aanmerkelijk privé voordeel wordt verkregen. Het kan zijn dat de kosten dan niet of slechts deels aftrekbaar zijn, zoals aangegeven in 2.3.1. </w:t>
      </w:r>
    </w:p>
    <w:p w:rsidR="003F0694" w:rsidRPr="006E0590" w:rsidRDefault="003F0694" w:rsidP="00007F2E">
      <w:r>
        <w:t>Ook in de uitvoering komen er administratieve kosten bij door het controleren en bijhouden van facturen en wisselende kosten van de werknemers. Ook voor de werknemers zorgt dit voor extra lasten doordat hij precies bij moet houden welke kosten hij maakt. Uit het EIM-rapport van juli 2009</w:t>
      </w:r>
      <w:r>
        <w:rPr>
          <w:rStyle w:val="Voetnootmarkering"/>
        </w:rPr>
        <w:footnoteReference w:id="20"/>
      </w:r>
      <w:r>
        <w:t xml:space="preserve"> blijkt dat in 2008 over de gehele loonsom € 10,7 miljard belastingvrij werd vergoed. De administratieve kosten van de vergoedingen en verstrekkingen voor werkgevers is rond de € 331 miljoen, wat een kwart is van de totale administratieve kosten die de loonheffing met zich brengt.</w:t>
      </w:r>
      <w:r>
        <w:rPr>
          <w:rStyle w:val="Voetnootmarkering"/>
        </w:rPr>
        <w:footnoteReference w:id="21"/>
      </w:r>
      <w:r>
        <w:t xml:space="preserve"> Al met al worden deze problemen met de regeling steeds sterker ervaren, terwijl de regeling eigenlijk moe</w:t>
      </w:r>
      <w:r w:rsidR="00E04F02">
        <w:t>s</w:t>
      </w:r>
      <w:r>
        <w:t>t bijdragen aan een betere bedrijfsvoering.</w:t>
      </w:r>
    </w:p>
    <w:p w:rsidR="003F0694" w:rsidRDefault="003F0694" w:rsidP="003F0694">
      <w:pPr>
        <w:numPr>
          <w:ilvl w:val="1"/>
          <w:numId w:val="3"/>
        </w:numPr>
        <w:rPr>
          <w:b/>
        </w:rPr>
      </w:pPr>
      <w:r>
        <w:rPr>
          <w:b/>
        </w:rPr>
        <w:t>Conclusie</w:t>
      </w:r>
    </w:p>
    <w:p w:rsidR="003F0694" w:rsidRDefault="003F0694" w:rsidP="00DF31AF">
      <w:r>
        <w:t xml:space="preserve">De wetgever heeft met de vergoedingen en verstrekkingen in de loonbelasting de mogelijkheid voor werkgevers geboden kosten van de werknemer belastingvrij te vergoeden. </w:t>
      </w:r>
      <w:r w:rsidR="00201781">
        <w:t xml:space="preserve">Dit is voor de werkgevers noodzakelijk voor een soepele bedrijfsvoering en zonder deze faciliteit worden de kosten voor veel </w:t>
      </w:r>
      <w:r w:rsidR="00201781">
        <w:lastRenderedPageBreak/>
        <w:t xml:space="preserve">werkgevers verhoogd en veel arbeidsvoorwaarden onhoudbaar. </w:t>
      </w:r>
      <w:r>
        <w:t>De wet is echter zeer uitgebreid om misbruik te voorkomen en is sterk uitgebreid met nieuwe regels en richtlijnen, waardoor de regeling voor belastingvrij vergoeden in de loonbelasting steeds meer als ingewikkeld wordt ervaren. Met name het onderzoeken of – en zo ja, in hoeverre – een vergoeding onder de regeling van vrije vergoedingen en verstrekkingen valt is een lastige opgave voor veel werkgevers. De vergoeding moet voldoen aan de eis dat de kosten ter vervulling van de dienstbetrekking is, naar algemene maatschappelijke opvattingen niet als loon wordt ervaren en de hoogte en het eventuele privé voordeel redelijk is.</w:t>
      </w:r>
    </w:p>
    <w:p w:rsidR="003F0694" w:rsidRPr="00DF31AF" w:rsidRDefault="003F0694" w:rsidP="00DF31AF">
      <w:r>
        <w:t>De opsommingen van welke vergoedingen wel en niet onder de regeling vallen, inclusief de gedetailleerde regels ter verduidelijking die zijn opgenomen in de bijhorende Uitvoeringsregeling LB 2001 dragen niet altijd bij aan meer overzicht voor de werkgevers. Enerzijds wordt er meer duidelijkheid gegeven over bepaalde vergoedingen, anderzijds worden er extra regels en richtlijnen toegevoegd waaraan voldaan moet worden. Daarnaast vergt de huidige systematiek van belastingvrij vergoeden veel administratieve lasten voor zowel werkgever als werknemer. Het bijhouden en onderzoeken van welke kosten gemaakt zijn door welke werknemer vergt veel tijd. De vraag om verbetering in deze situatie wo</w:t>
      </w:r>
      <w:r w:rsidR="009D47C2">
        <w:t>rdt met de jaren steeds sterker</w:t>
      </w:r>
      <w:r>
        <w:t xml:space="preserve"> en ondanks een aantal pogingen ter verbetering is de huidige wetgeving nog altijd verre van optimaal.</w:t>
      </w:r>
    </w:p>
    <w:p w:rsidR="003F0694" w:rsidRDefault="003F0694" w:rsidP="009E2CDD">
      <w:pPr>
        <w:pStyle w:val="Lijstalinea"/>
        <w:ind w:left="360"/>
        <w:jc w:val="both"/>
      </w:pPr>
    </w:p>
    <w:p w:rsidR="003F0694" w:rsidRDefault="003F0694">
      <w:r>
        <w:br w:type="page"/>
      </w:r>
    </w:p>
    <w:p w:rsidR="003F0694" w:rsidRPr="00A66CF0" w:rsidRDefault="003F0694" w:rsidP="003F0694">
      <w:pPr>
        <w:pStyle w:val="Lijstalinea"/>
        <w:numPr>
          <w:ilvl w:val="0"/>
          <w:numId w:val="4"/>
        </w:numPr>
        <w:ind w:left="357" w:hanging="357"/>
        <w:contextualSpacing w:val="0"/>
        <w:jc w:val="both"/>
        <w:rPr>
          <w:b/>
        </w:rPr>
      </w:pPr>
      <w:r w:rsidRPr="00A66CF0">
        <w:rPr>
          <w:b/>
        </w:rPr>
        <w:lastRenderedPageBreak/>
        <w:t>Werkkostenregeling</w:t>
      </w:r>
    </w:p>
    <w:p w:rsidR="003F0694" w:rsidRDefault="003F0694" w:rsidP="003F0694">
      <w:pPr>
        <w:pStyle w:val="Lijstalinea"/>
        <w:numPr>
          <w:ilvl w:val="1"/>
          <w:numId w:val="5"/>
        </w:numPr>
        <w:contextualSpacing w:val="0"/>
        <w:jc w:val="both"/>
        <w:rPr>
          <w:b/>
        </w:rPr>
      </w:pPr>
      <w:r w:rsidRPr="00A66CF0">
        <w:rPr>
          <w:b/>
        </w:rPr>
        <w:t>Inleiding</w:t>
      </w:r>
    </w:p>
    <w:p w:rsidR="003F0694" w:rsidRDefault="003F0694" w:rsidP="008639AB">
      <w:r>
        <w:t xml:space="preserve">Zoals blijkt uit het vorige hoofdstuk is de regeling van kostenvergoedingen in de loonbelasting niet optimaal. </w:t>
      </w:r>
      <w:r w:rsidR="00201781">
        <w:t xml:space="preserve">Ook de wetgever en de politiek zien in dat de fiscale wetgeving op dit gebied vereenvoudigd kan worden. </w:t>
      </w:r>
      <w:r>
        <w:t>Niet alleen de vrije vergoedingen en verstrekkingen zijn ingewikkeld en aan vereenvoudiging toe; er zijn diverse regelingen die in dit opzicht aangepast dienen te worden. Om dit te bereiken is een pakket maatregelen ter vereenvoudiging opgesteld. Eén daarvan is de Fiscale vereenvoudigingswet</w:t>
      </w:r>
      <w:r>
        <w:rPr>
          <w:rStyle w:val="Voetnootmarkering"/>
        </w:rPr>
        <w:footnoteReference w:id="22"/>
      </w:r>
      <w:r>
        <w:t>, welke wijzigingen bevat voor de inkomstenbelasting en loonbelasting, waaronder de nieuwe werkkostenregeling.</w:t>
      </w:r>
      <w:r w:rsidRPr="00306748">
        <w:t xml:space="preserve"> </w:t>
      </w:r>
      <w:r>
        <w:t>Deze nieuwe regeling dient de kostenvergoeding in de loonbelasting aanzienlijk te vereenvoudigen. Om dit kracht bij te zetten wordt door de wetgever in de Memorie van Toelichting de vergelijking gemaakt met Adam Smith, die in 1776 al schreef over het belang van efficiënte belastingheffing.</w:t>
      </w:r>
      <w:r>
        <w:rPr>
          <w:rStyle w:val="Voetnootmarkering"/>
        </w:rPr>
        <w:footnoteReference w:id="23"/>
      </w:r>
      <w:r>
        <w:t xml:space="preserve">  </w:t>
      </w:r>
    </w:p>
    <w:p w:rsidR="003F0694" w:rsidRDefault="003F0694" w:rsidP="00600C09">
      <w:r>
        <w:t>In dit hoofdstuk bekijk</w:t>
      </w:r>
      <w:r w:rsidR="00EC5229">
        <w:t xml:space="preserve"> ik</w:t>
      </w:r>
      <w:r>
        <w:t xml:space="preserve"> wat de werkkostenregeling inhoudt. Wat is de motivatie van de wetgever en hoe heeft hij de wijzigingen vorm gegeven. Dit hoofdstuk moet antwoord geven op de vraag “</w:t>
      </w:r>
      <w:r w:rsidRPr="008639AB">
        <w:rPr>
          <w:i/>
        </w:rPr>
        <w:t>Wat is de bedoeling van de werkkostenregeling en hoe werkt de regeling?</w:t>
      </w:r>
      <w:r>
        <w:rPr>
          <w:i/>
        </w:rPr>
        <w:t>”</w:t>
      </w:r>
      <w:r>
        <w:t xml:space="preserve"> </w:t>
      </w:r>
      <w:r w:rsidR="00EC5229">
        <w:t>Om tot een antwoord te komen licht</w:t>
      </w:r>
      <w:r>
        <w:t xml:space="preserve"> ik eerst de achtergrond van de nieuwe regeling toe. Vervolgens </w:t>
      </w:r>
      <w:r w:rsidR="00EC5229">
        <w:t>ga</w:t>
      </w:r>
      <w:r>
        <w:t xml:space="preserve"> ik de opzet van de werkkostenregeling bekijken en licht ik de werking van de nieuwe regeling </w:t>
      </w:r>
      <w:r w:rsidR="00201781">
        <w:t xml:space="preserve">toe. </w:t>
      </w:r>
    </w:p>
    <w:p w:rsidR="003F0694" w:rsidRDefault="003F0694" w:rsidP="003F0694">
      <w:pPr>
        <w:pStyle w:val="Lijstalinea"/>
        <w:numPr>
          <w:ilvl w:val="1"/>
          <w:numId w:val="5"/>
        </w:numPr>
        <w:contextualSpacing w:val="0"/>
        <w:jc w:val="both"/>
        <w:rPr>
          <w:b/>
        </w:rPr>
      </w:pPr>
      <w:r>
        <w:rPr>
          <w:b/>
        </w:rPr>
        <w:t>Werkkostenregeling</w:t>
      </w:r>
    </w:p>
    <w:p w:rsidR="003F0694" w:rsidRDefault="003F0694" w:rsidP="003F0694">
      <w:pPr>
        <w:pStyle w:val="Lijstalinea"/>
        <w:numPr>
          <w:ilvl w:val="2"/>
          <w:numId w:val="5"/>
        </w:numPr>
        <w:contextualSpacing w:val="0"/>
        <w:jc w:val="both"/>
        <w:rPr>
          <w:b/>
        </w:rPr>
      </w:pPr>
      <w:r>
        <w:rPr>
          <w:b/>
        </w:rPr>
        <w:t>Onderzoek naar vergoedingen</w:t>
      </w:r>
    </w:p>
    <w:p w:rsidR="003F0694" w:rsidRDefault="003F0694" w:rsidP="00AB05E7">
      <w:r>
        <w:t xml:space="preserve">Er zijn weinig data beschikbaar als het gaat om kostenvergoedingen. </w:t>
      </w:r>
      <w:r w:rsidR="00201781">
        <w:t xml:space="preserve">Dit komt omdat hierover niets is af te leiden uit de loonaangifte. </w:t>
      </w:r>
      <w:r>
        <w:t>Slechts in de loonadministratie van de werkgever staat vermeld wat voor vergoedingen worden gegeven. Om meer te weten te komen over wat er speelt bij het vergoeden van kosten, is er door het EIM onderzoek gedaan naar het gebruik en de omvang van de vergoedingen en verstrekkingen in het huidige systeem.</w:t>
      </w:r>
      <w:r>
        <w:rPr>
          <w:rStyle w:val="Voetnootmarkering"/>
        </w:rPr>
        <w:footnoteReference w:id="24"/>
      </w:r>
      <w:r>
        <w:t xml:space="preserve"> Dit was wenselijk om in te kunnen schatten wat de effecten zijn van het wijzigen van de regeling voor zowel de staat, werkgevers als werknemers. Bij het onderzoek is gekeken naar verschillende kostensoorten en naar verschillende sectoren. In totaal zijn er 29 verschillende kostensoorten opgenomen in het onderzoek. Deze zijn onderzocht in 13 verschillende sectoren.</w:t>
      </w:r>
      <w:r>
        <w:rPr>
          <w:rStyle w:val="Voetnootmarkering"/>
        </w:rPr>
        <w:footnoteReference w:id="25"/>
      </w:r>
      <w:r>
        <w:t xml:space="preserve"> De resultaten van het onderzoek zijn samengevat weergegeven opgenomen in de bijlage</w:t>
      </w:r>
      <w:r w:rsidR="00752A60">
        <w:t xml:space="preserve"> aan het einde van dit hoofdstuk,</w:t>
      </w:r>
      <w:r>
        <w:t xml:space="preserve"> onder tabel 1 en 2. Tabel 1 laat per sector de omvang van vergoedingen en verstrekkingen zien, alsmede welk deel dit is van de totale loonsom van desbetreffende sector. Tabel 2 laat vervolgens een opsplitsing zien per kostensoort, waar uit op te maken is hoe vaak een vergoeding verstrekt is en voor welk bedrag dit is. Ook is te zien hoeveel werknemers de vergoeding ontvangen. Uit dit onderzoek kan een aantal conclusies getrokken worden die ik hieronder toelicht.</w:t>
      </w:r>
    </w:p>
    <w:p w:rsidR="003F0694" w:rsidRDefault="003F0694" w:rsidP="00AB05E7">
      <w:r>
        <w:t xml:space="preserve"> Gebleken is dat vergoedingen voor specifieke doeleinden - zoals verlichting en verwarming in verband met onregelmatige diensten of vergoeding bij verhuizing - minder worden aangeboden dan </w:t>
      </w:r>
      <w:r>
        <w:lastRenderedPageBreak/>
        <w:t>die weerslag hebben op een grote groep werknemers - zoals consumpties voor onder werktijd en personeelsfeesten. Ook kwam naar voren dat er verschillen zijn in de type vergoeding en de sector waarin deze gedaan worden. Zo vindt vergoeding voor werkkleding en uniformen veel plaats in de industrie, bouw en overige dienstverlening. Bij kleine bedrijven komt het vaak voor dat eigen producten gratis of met korting worden verstrekt, terwijl in grote bedrijven veel vergoedingen voor woon-werk verkeer worden betaald.</w:t>
      </w:r>
      <w:r>
        <w:rPr>
          <w:rStyle w:val="Voetnootmarkering"/>
        </w:rPr>
        <w:footnoteReference w:id="26"/>
      </w:r>
    </w:p>
    <w:p w:rsidR="003F0694" w:rsidRDefault="003F0694" w:rsidP="00AB05E7">
      <w:r>
        <w:t>Bij de inventarisatie van het gebruik van de vergoedingen en verstrekkingen kwam een aantal vergoedingen naar voren die door de werkgever</w:t>
      </w:r>
      <w:r w:rsidR="00752A60">
        <w:t>s</w:t>
      </w:r>
      <w:r>
        <w:t xml:space="preserve"> meer dan 400.000 keer aan werknemers zijn verstrekt. In 2008 was dit voor consumptie tijdens werktijd, personeelsfeesten en –reizen, woon-werk verkeer, werkkleding, scholing, maaltijden voor overwerk en speciale gelegenheden.</w:t>
      </w:r>
      <w:r>
        <w:rPr>
          <w:rStyle w:val="Voetnootmarkering"/>
        </w:rPr>
        <w:footnoteReference w:id="27"/>
      </w:r>
    </w:p>
    <w:p w:rsidR="003F0694" w:rsidRDefault="003F0694" w:rsidP="00AB05E7">
      <w:r>
        <w:t>Ook de omvang van deze vergoedingen is gemeten. De totale omvang van de belastingvrije vergoedingen bedraagt naar schatting € 10,7 miljard. Dit is 3,6% van de totale loonsom (ruim € 291 miljard). Niet alleen de omvang van de vergoedingen is onderzocht, ook de administratieve lasten die de werkgevers ondervinden werd onderzocht. Allereerst werd gekeken hoe de verwerking van de loonadministratie en aangifte loonbelasting verloopt. Afhankelijk van de grootte van het bedrijf kan dit verschillen door de toegenomen complexiteit van de aangifte waardoor ondersteuning noodzaak is geworden.</w:t>
      </w:r>
      <w:r>
        <w:rPr>
          <w:rStyle w:val="Voetnootmarkering"/>
        </w:rPr>
        <w:footnoteReference w:id="28"/>
      </w:r>
      <w:r>
        <w:t xml:space="preserve"> In alle gevallen </w:t>
      </w:r>
      <w:r w:rsidR="00D93925">
        <w:t>moet</w:t>
      </w:r>
      <w:r>
        <w:t xml:space="preserve"> de werkg</w:t>
      </w:r>
      <w:r w:rsidR="00D93925">
        <w:t>ever de basisgegevens</w:t>
      </w:r>
      <w:r>
        <w:t xml:space="preserve"> verschaffen. De inhoudingsplichtige moet bij de loonadministratie per werknemer gegevens bijhouden, waaronder ook de vrijgestelde vergoedingen, uitkeringen en verstrekkingen.</w:t>
      </w:r>
      <w:r>
        <w:rPr>
          <w:rStyle w:val="Voetnootmarkering"/>
        </w:rPr>
        <w:footnoteReference w:id="29"/>
      </w:r>
      <w:r>
        <w:t xml:space="preserve"> De werkgever moet dus zowel de belaste als onbelaste vergoedingen administreren.</w:t>
      </w:r>
      <w:r w:rsidR="00752A60">
        <w:t xml:space="preserve"> </w:t>
      </w:r>
      <w:r>
        <w:t>De invoering van vergoedingen in de administratie omvat meerdere handelingen, welke in veel gevallen zijn uitbesteed aan intermediairs.</w:t>
      </w:r>
      <w:r>
        <w:rPr>
          <w:rStyle w:val="Voetnootmarkering"/>
        </w:rPr>
        <w:footnoteReference w:id="30"/>
      </w:r>
      <w:r>
        <w:t xml:space="preserve"> Desondanks blijft de administratieverplichting bij de werkge</w:t>
      </w:r>
      <w:r w:rsidR="00752A60">
        <w:t>ver,</w:t>
      </w:r>
      <w:r>
        <w:t xml:space="preserve"> </w:t>
      </w:r>
      <w:r w:rsidR="00D93925">
        <w:t>moet</w:t>
      </w:r>
      <w:r>
        <w:t xml:space="preserve"> hij gegevens aanvoeren en kosten betalen voor de diensten van intermediairs danwel software pakketten indien de loonheffingen zelf wordt gedaan. Uit het onderzoek komt naar voren dat de totale administratieve last rond de € 331 miljoen ligt. Zie tabel 3 in de bijlage voor een verdeling over de 29 kostensoorten.</w:t>
      </w:r>
    </w:p>
    <w:p w:rsidR="003F0694" w:rsidRPr="00622D4E" w:rsidRDefault="003F0694" w:rsidP="00AB05E7">
      <w:r>
        <w:t>De belastingvrije vergoedingen en verstrekkingen spelen dus een grote rol in het bedrijfsleven. Met name bij de zakelijke dienstverlening, zorg en industrie en nutsbedrijven vinden veel vergoedingen en verstrekkingen plaats. In verhouding tot de loonsom zijn er ook in de landbouw veel vergoedingen (8,3% van de loonsom).</w:t>
      </w:r>
      <w:r>
        <w:rPr>
          <w:rStyle w:val="Voetnootmarkering"/>
        </w:rPr>
        <w:footnoteReference w:id="31"/>
      </w:r>
      <w:r w:rsidRPr="00BE18B1">
        <w:t xml:space="preserve"> </w:t>
      </w:r>
      <w:r>
        <w:t>Het onderzoek heeft een goed beeld gegeven over de wijze van vergoeden in het bedrijfsleven en de kosten die het mee brengt. Voorheen was niet geheel duidelijk in welke mate dit gebeurde en wat voor soort kosten veel vergoed werden, daar is nu helderheid in gekomen.</w:t>
      </w:r>
    </w:p>
    <w:p w:rsidR="003F0694" w:rsidRDefault="003F0694" w:rsidP="003F0694">
      <w:pPr>
        <w:pStyle w:val="Lijstalinea"/>
        <w:numPr>
          <w:ilvl w:val="2"/>
          <w:numId w:val="5"/>
        </w:numPr>
        <w:contextualSpacing w:val="0"/>
        <w:jc w:val="both"/>
        <w:rPr>
          <w:b/>
        </w:rPr>
      </w:pPr>
      <w:r>
        <w:rPr>
          <w:b/>
        </w:rPr>
        <w:t>Werkkostenregeling</w:t>
      </w:r>
    </w:p>
    <w:p w:rsidR="003F0694" w:rsidRDefault="003F0694" w:rsidP="00AB05E7">
      <w:r>
        <w:t xml:space="preserve">Aan de hand van dit onderzoek is een nieuw systeem ontworpen dat de belastingvrije vergoedingen eenvoudiger moet maken. Deze nieuwe werkkostenregeling moet de problemen van het oude systeem wegnemen. Door verregaande vereenvoudiging moet onoverzichtelijkheid en irritatie afnemen. Om dit te bereiken is er gekozen voor een wijziging in het loonbegrip en toevoeging van </w:t>
      </w:r>
      <w:r>
        <w:lastRenderedPageBreak/>
        <w:t>een forfaitair systeem voor vergoedingen en verstrekkingen. Het loonbegrip in het huidige systeem is gedefinieerd in art. 10, lid 1, Wet LB 1964 als “al hetgeen uit een dienstbetrekking of een vroegere dienstbetrekking wordt genoten”. Hieraan is nu toegevoegd “daaronder mede begrepen hetgeen wordt vergoed of verstrekt in het kader van de dienstbetrekking”. Deze wijziging zorgt ervoor dat alle vergoedingen en verstrekkingen als loon worden aangemerkt.</w:t>
      </w:r>
      <w:r>
        <w:rPr>
          <w:rStyle w:val="Voetnootmarkering"/>
        </w:rPr>
        <w:footnoteReference w:id="32"/>
      </w:r>
      <w:r>
        <w:t xml:space="preserve"> Deze uitbreiding was noodzaak daar vergoedingen en verstrekkingen met een puur zakelijk karakter per definitie niet tot het loon behoort.</w:t>
      </w:r>
      <w:r>
        <w:rPr>
          <w:rStyle w:val="Voetnootmarkering"/>
        </w:rPr>
        <w:footnoteReference w:id="33"/>
      </w:r>
      <w:r>
        <w:t xml:space="preserve"> Zie hierover meer in hoofdstuk 4. Vervolgens wordt er een forfaitaire vrijstelling voor door de werkgever aangewezen vergoedingen. De werkgever mag een perce</w:t>
      </w:r>
      <w:r w:rsidR="00697325">
        <w:t>ntage - voorlopig gesteld op 1,</w:t>
      </w:r>
      <w:r w:rsidR="002E5498">
        <w:t>4</w:t>
      </w:r>
      <w:r>
        <w:t xml:space="preserve">% - van de totale loonsom belastingvrij vergoeden aan zijn werknemers. Verder zijn er nog een beperkt aantal gerichte vrijstellingen voor posten die niet onder het forfait vallen en zogeheten nihil-waarderingen voor posten die binnen het forfait vallen maar deze niet verminderen. Deze </w:t>
      </w:r>
      <w:r w:rsidR="00D93925">
        <w:t>ga</w:t>
      </w:r>
      <w:r>
        <w:t xml:space="preserve"> ik hierna toelichten.</w:t>
      </w:r>
    </w:p>
    <w:p w:rsidR="003F0694" w:rsidRDefault="003F0694" w:rsidP="00AB05E7">
      <w:r>
        <w:t>Het totaal te besteden aan onbelaste vergoedingen en verstrekkingen wordt de ‘vrije ruimte’ genoemd. Het maximum hiervan is dus 1,</w:t>
      </w:r>
      <w:r w:rsidR="002E5498">
        <w:t>4</w:t>
      </w:r>
      <w:r>
        <w:t>% van de totale loonsom. Uiteraard behoeft dit maximum niet behaald te worden. Doordat er ook nog gerichte vrijstellingen blijven bestaan, is er als het ware een tweedeling gekomen bij de vergoedingen en verstrekkingen. Aan de ene kant is het forfait, waarvoor geen vereisten meer gelden voor het onbelast vergoeden van de kosten of het toekennen van verstrekkingen, aan de andere kant zijn er de gerichte vrijstellingen waar nog wel voorwaarden en normen van kracht zijn. Aan de kostensoorten die binnen het forfait vallen zijn geen verdere beperkingen of normen aangebracht, er is slechts nog sprake van een gebruikelijkheidstoets.</w:t>
      </w:r>
      <w:r>
        <w:rPr>
          <w:rStyle w:val="Voetnootmarkering"/>
        </w:rPr>
        <w:footnoteReference w:id="34"/>
      </w:r>
      <w:r>
        <w:t xml:space="preserve"> Deze gebruikelijkheidstoets bekijkt of de toegekende vergoeding gebruikelijk is en niet meer dan 30% afwijkt van wat in vergelijkbare omstandigheden wordt vergoed. Hierdoor hoeft de werkgever echter verder niet te toetsen per werknemer aan de huidige vereisten of de specifieke vergoeding onbelast is of niet. Ook gemengde kosten die deels belast waren en deels vrijgesteld vallen nu in zijn geheel binnen dit forfait. Dit moet zorgen voor een afname aan regelingen en scheelt voor de werkgever tijd om te onderzoeken in hoeverre er belastingvrij vergoed kan worden.</w:t>
      </w:r>
      <w:r w:rsidRPr="00143388">
        <w:t xml:space="preserve"> </w:t>
      </w:r>
      <w:r>
        <w:t xml:space="preserve">Hier </w:t>
      </w:r>
      <w:r w:rsidR="00D93925">
        <w:t>ga</w:t>
      </w:r>
      <w:r>
        <w:t xml:space="preserve"> ik in ho</w:t>
      </w:r>
      <w:r w:rsidR="00D93925">
        <w:t>ofdstuk 4 en 5 verder op in</w:t>
      </w:r>
      <w:r>
        <w:t>. De hoogte van het forfait is aan de hand van eerder genoemd onderzoek vastgesteld. Het deel van de kosten die nu in het forfait vallen zijn gemiddeld genomen 1,</w:t>
      </w:r>
      <w:r w:rsidR="002E5498">
        <w:t>4</w:t>
      </w:r>
      <w:r>
        <w:t>% van de totale loonsom, een bedrag van ongeveer 5,8 miljard euro. De kosten waarvoor een gerichte vrijstelling blijft bestaan zijn ongeveer 4,2 miljard euro.</w:t>
      </w:r>
      <w:r>
        <w:rPr>
          <w:rStyle w:val="Voetnootmarkering"/>
        </w:rPr>
        <w:footnoteReference w:id="35"/>
      </w:r>
      <w:r w:rsidRPr="00412917">
        <w:t xml:space="preserve"> </w:t>
      </w:r>
      <w:r>
        <w:t>Er is dus getracht om de huidige vergoedingen niet aan banden te leggen. Het percentage van de vrije ruimte staat echter nog niet geheel vast. Het percentage was, zoals in de MvT terug te vinden is, 1,5%.</w:t>
      </w:r>
      <w:r>
        <w:rPr>
          <w:rStyle w:val="Voetnootmarkering"/>
        </w:rPr>
        <w:footnoteReference w:id="36"/>
      </w:r>
      <w:r>
        <w:t xml:space="preserve"> Dit is reeds verlaagd in oktober 2009 naar 1,4% om een budgetneutrale invoer te behouden daar verhuiskosten in het kader van de dienstbetrekking van het forfait overgebracht zijn in een gerichte vrijstelling.</w:t>
      </w:r>
      <w:r>
        <w:rPr>
          <w:rStyle w:val="Voetnootmarkering"/>
        </w:rPr>
        <w:footnoteReference w:id="37"/>
      </w:r>
      <w:r>
        <w:t xml:space="preserve"> Vervolgens is het forfait weer verhoogd naar 1,5%. Deze verhoging vond plaats daar de belaste werkgeversvergoeding Zvw komt te vervallen en zodoende de belastbare loon lager wordt. Hierdoor wordt de grondslag van de forfaitaire ruimte ook kleiner, wat niet de bedoeling is.</w:t>
      </w:r>
      <w:r>
        <w:rPr>
          <w:rStyle w:val="Voetnootmarkering"/>
        </w:rPr>
        <w:footnoteReference w:id="38"/>
      </w:r>
      <w:r>
        <w:t xml:space="preserve"> Uiteindelijk is het forfait wederom op </w:t>
      </w:r>
      <w:r>
        <w:lastRenderedPageBreak/>
        <w:t>1,4% komen te staan doordat de doorvoering van de laatste wijziging niet consistent was gebeurd.</w:t>
      </w:r>
      <w:r>
        <w:rPr>
          <w:rStyle w:val="Voetnootmarkering"/>
        </w:rPr>
        <w:footnoteReference w:id="39"/>
      </w:r>
      <w:r>
        <w:t xml:space="preserve"> Het percentage schommelt dus tussen 1,4 en 1,5%.</w:t>
      </w:r>
    </w:p>
    <w:p w:rsidR="003F0694" w:rsidRDefault="003F0694" w:rsidP="00AB05E7">
      <w:r>
        <w:t>Het bedrag dat boven de vrije ruimte uitgaat wordt als eindheffing op grond van art. 31a, lid 1, Wet LB 1964, bij de werkgever belast tegen een tarief van 80%.</w:t>
      </w:r>
      <w:r>
        <w:rPr>
          <w:rStyle w:val="Voetnootmarkering"/>
        </w:rPr>
        <w:footnoteReference w:id="40"/>
      </w:r>
      <w:r>
        <w:t xml:space="preserve"> Deze 80%-brutering is gekozen daar dit overeenkomt met 44% marginale druk, welke een gemiddelde is van de verschillende belastingschijven. Dit kan voor werkgevers met werknemers die in de lage schijven vallen als nadeel worden ervaren, daar normale brutering lager zou uitvallen dan overschrijding van de vrije ruimte. Dit is met name het geval bij werknemers die in de 30%-regeling vallen waar een gebruteerd eindtarief van 57% is. Daar tegenover staat een voordeel voor werkgevers met werknemers in de hoge schijven, waar het gebruteerde eindtarief 108,3% bedraagt. De vakliteratuur merkt op dat hier de nadruk wellicht te veel ligt bij het gemiddelde terwijl er geen sprake is van een ‘flat tax’ in de Nederlandse inkomstenbelasting.</w:t>
      </w:r>
      <w:r>
        <w:rPr>
          <w:rStyle w:val="Voetnootmarkering"/>
        </w:rPr>
        <w:footnoteReference w:id="41"/>
      </w:r>
      <w:r>
        <w:t xml:space="preserve"> De wetgever heeft toch voor 80% gekozen om te voorkomen dat werkgevers regulier belast loon pogen om te zetten naar loon wat onder de nieuwe eindheffing van 80% valt. Daarnaast </w:t>
      </w:r>
      <w:r w:rsidR="00D93925">
        <w:t>zorgt</w:t>
      </w:r>
      <w:r>
        <w:t xml:space="preserve"> de combinatie van een forfait van 1,5% en een eindheffing van 80% voor een budget neutrale invoering.</w:t>
      </w:r>
      <w:r>
        <w:rPr>
          <w:rStyle w:val="Voetnootmarkering"/>
        </w:rPr>
        <w:footnoteReference w:id="42"/>
      </w:r>
      <w:r>
        <w:t xml:space="preserve"> </w:t>
      </w:r>
    </w:p>
    <w:p w:rsidR="003F0694" w:rsidRDefault="003F0694" w:rsidP="00AB05E7">
      <w:r>
        <w:t xml:space="preserve">Naast dit algemene forfait zijn er ook de zogeheten </w:t>
      </w:r>
      <w:r w:rsidR="00B6650C">
        <w:t>nihil-waarderingen</w:t>
      </w:r>
      <w:r>
        <w:t>. Dit zijn verstrekkingen, dus loon in natura, waarvan het wenselijk is dat vanwege hun aard deze niet ten koste gaan van de vrije ruimte. Het gaat hierbij om voorzieningen op de werkplek, vakliteratuur, klein</w:t>
      </w:r>
      <w:r w:rsidR="00EF2914">
        <w:t>e</w:t>
      </w:r>
      <w:r>
        <w:t xml:space="preserve"> consumpties die geen deel uitmaken van een maaltijd, zakelijk gebruik mobiele telefoon en laptop, arbo-voorzieningen en werkkleding. Deze vergoedingen vallen wel onder het forfait, maar worden op nihil gewaardeerd. Dit zorgt ervoor dat de vergoeding voor deze zaken belastingvrij is zonder dat de vrije ruimte daarvoor gebruikt wordt.</w:t>
      </w:r>
    </w:p>
    <w:p w:rsidR="003F0694" w:rsidRPr="001F14F5" w:rsidRDefault="003F0694" w:rsidP="00AB05E7">
      <w:r>
        <w:t>Als laatste zijn er nog de gerichte vrijstellingen. Dit zijn vrijstellingen die bestaan naast het forfait. De wetgever heeft ervoor gekozen deze splitsing te maken om de nadelen van een algemeen forfait zo veel mogelijk tegen te gaan.</w:t>
      </w:r>
      <w:r>
        <w:rPr>
          <w:rStyle w:val="Voetnootmarkering"/>
        </w:rPr>
        <w:footnoteReference w:id="43"/>
      </w:r>
      <w:r>
        <w:t xml:space="preserve"> Zodoende vallen kosten met een gemengd karakter onder het forfait en kosten met een overwegend zakelijk karakter buiten het forfait. Hiervoor zijn de gerichte vrijstellingen die voortbouwen op reeds bestaande bepalingen. Deze vergoedingen zijn dus, indien voldaan aan de voorwaarden zoals besproken in hoofdstuk 2, onbelast en verminderen de vrije ruimte niet. Omdat er geen wijzigingen voor deze vergoedingen zijn, is het ook mogelijk een vaste vergoeding in te stellen zoals in hoofdstuk twee besproken. Bij sprake van een normbedrag kan het voorkomen dat er meer wordt vergoed dan de norm stelt. De werkgever heeft dan de keus om het deel dat boven de norm uitgaat tot het loon van de werknemer te rekenen, of toe te rekenen aan de vrije ruimte. In dit eerste geval is er sprake van twee vergoedingen, één onbelast ten hoogte van de norm en één belast als regulier loon. Als er wordt gekozen dit deel tot de vrije ruimte te rekenen is de gehele vergoeding onbelast, waarbij het deel boven de norm onder het forfait valt. Een voorbeeld waar dit kan voorkomen is bij de vergoeding voor reizen met eigen vervoer. De norm wat belastingvrij vergoed mag worden is 19 cent per kilometer. Een werkgever kan besluiten zijn werknemers tegemoet te komen aan hoge brandstofprijzen en bijvoorbeeld 24 cent per kilometer </w:t>
      </w:r>
      <w:r>
        <w:lastRenderedPageBreak/>
        <w:t xml:space="preserve">vergoeden. Dit is 5 cent boven de gestelde norm, waardoor de werkgever voor dit deel de keuze moet maken dit als regulier loon aan te merken of mee te nemen naar het forfait. In casu zou dit laatste logisch zijn, waardoor 19 cent belastingvrij onder de gerichte vrijstelling valt en 5 cent per kilometer belastingvrij vergoed via het forfait. Mocht het maximum van de vrije ruimte bereikt zijn </w:t>
      </w:r>
      <w:r w:rsidR="00D93925">
        <w:t>wordt</w:t>
      </w:r>
      <w:r>
        <w:t xml:space="preserve"> dit deel in de eindheffing belast tegen 80%.</w:t>
      </w:r>
    </w:p>
    <w:p w:rsidR="003F0694" w:rsidRDefault="003F0694" w:rsidP="003F0694">
      <w:pPr>
        <w:pStyle w:val="Lijstalinea"/>
        <w:numPr>
          <w:ilvl w:val="1"/>
          <w:numId w:val="5"/>
        </w:numPr>
        <w:contextualSpacing w:val="0"/>
        <w:jc w:val="both"/>
        <w:rPr>
          <w:b/>
        </w:rPr>
      </w:pPr>
      <w:r>
        <w:rPr>
          <w:b/>
        </w:rPr>
        <w:t>Conclusie</w:t>
      </w:r>
    </w:p>
    <w:p w:rsidR="003F0694" w:rsidRDefault="003F0694" w:rsidP="00AB05E7">
      <w:r>
        <w:t>De wetgever doet met de werkkostenregeling een poging om de lastendruk van de regelgeving rond vergoedingen en verstrekkingen te verminderen. Door het invoeren van een forfait vervallen veel regelingen doordat er niet meer gekeken wordt per individuele vergoeding of er wordt volda</w:t>
      </w:r>
      <w:r w:rsidR="00845785">
        <w:t>an aan de eisen. Dit moet</w:t>
      </w:r>
      <w:r>
        <w:t xml:space="preserve"> ervoor zorgen dat de administratieve lasten verminderd worden. Er blijven echter ook gerichte vrijstellingen bestaan die in ongewijzigde vorm van kracht zijn. Hiervoor zijn wel normen en eisen gesteld waardoor de administratie zoals nu reeds gewoon is nog niet </w:t>
      </w:r>
      <w:r w:rsidR="00D93925">
        <w:t>gaat</w:t>
      </w:r>
      <w:r>
        <w:t xml:space="preserve"> </w:t>
      </w:r>
      <w:r w:rsidR="00D93925">
        <w:t>verdwijnen. Alles bij elkaar gaat</w:t>
      </w:r>
      <w:r>
        <w:t xml:space="preserve"> het voor de werkgevers er na de invoering van de werkkostenregeling als volgt uitzien wat betreft de werkkostenregeling:</w:t>
      </w:r>
    </w:p>
    <w:p w:rsidR="003F0694" w:rsidRDefault="003F0694" w:rsidP="003F0694">
      <w:pPr>
        <w:pStyle w:val="Lijstalinea"/>
        <w:numPr>
          <w:ilvl w:val="0"/>
          <w:numId w:val="6"/>
        </w:numPr>
        <w:jc w:val="both"/>
      </w:pPr>
      <w:r>
        <w:t>Vergoedingen en verstrekkingen binnen de vrije ruimte. Dit zijn de vergoedingen waarvoor de werkgever kiest ze belastingvrij te vergoeden waar verder geen eisen voor gesteld worden buiten een gebruikelijkheidstoets. De maximale belastingvrije vergoedingen binnen de vrije ruimte bedraagt 1,</w:t>
      </w:r>
      <w:r w:rsidR="002E5498">
        <w:t>4</w:t>
      </w:r>
      <w:r>
        <w:t>% van de totale loonsom. Als er meer wordt vergoed dan de vrije ruimte toe laat wordt dit als eindheffing bij de werkgever belast tegen 80%.</w:t>
      </w:r>
    </w:p>
    <w:p w:rsidR="003F0694" w:rsidRDefault="00B6650C" w:rsidP="003F0694">
      <w:pPr>
        <w:pStyle w:val="Lijstalinea"/>
        <w:numPr>
          <w:ilvl w:val="0"/>
          <w:numId w:val="6"/>
        </w:numPr>
        <w:jc w:val="both"/>
      </w:pPr>
      <w:r>
        <w:t>Nihil-waarderingen</w:t>
      </w:r>
      <w:r w:rsidR="003F0694">
        <w:t>. Dit zijn een groep vergoedingen die nauw verbonden zijn met de dienstbetrekking. Ze vallen binnen het forfait maar zullen gewaardeerd worden op nihil waardoor ze de vrije ruimte niet belasten.</w:t>
      </w:r>
    </w:p>
    <w:p w:rsidR="003F0694" w:rsidRDefault="003F0694" w:rsidP="003F0694">
      <w:pPr>
        <w:pStyle w:val="Lijstalinea"/>
        <w:numPr>
          <w:ilvl w:val="0"/>
          <w:numId w:val="6"/>
        </w:numPr>
        <w:jc w:val="both"/>
      </w:pPr>
      <w:r>
        <w:t>Gerichte vrijstellingen. Dit zijn een groep vergoedingen waar de oude regelingen nog van kracht zijn en waarvoor de vereisten zoals in hoofdstuk 2 genoemd nog gelden.</w:t>
      </w:r>
    </w:p>
    <w:p w:rsidR="003F0694" w:rsidRDefault="00845785" w:rsidP="00600C09">
      <w:r>
        <w:t>In het volgende hoofdstuk ga</w:t>
      </w:r>
      <w:r w:rsidR="003F0694">
        <w:t xml:space="preserve"> ik de vergelijking maken </w:t>
      </w:r>
      <w:r>
        <w:t xml:space="preserve">met de huidige regeling. Ook </w:t>
      </w:r>
      <w:r w:rsidR="003F0694">
        <w:t>kijk</w:t>
      </w:r>
      <w:r>
        <w:t xml:space="preserve"> ik</w:t>
      </w:r>
      <w:r w:rsidR="003F0694">
        <w:t xml:space="preserve"> hoe dit geheel past in de loonbelasting en hoe de overgangsregeling uitwerk</w:t>
      </w:r>
      <w:r>
        <w:t>t</w:t>
      </w:r>
      <w:r w:rsidR="003F0694">
        <w:t xml:space="preserve">. </w:t>
      </w:r>
    </w:p>
    <w:p w:rsidR="003F0694" w:rsidRDefault="003F0694">
      <w:r>
        <w:br w:type="page"/>
      </w:r>
    </w:p>
    <w:p w:rsidR="003F0694" w:rsidRDefault="00031CDA" w:rsidP="008B66BE">
      <w:pPr>
        <w:pStyle w:val="Lijstalinea"/>
      </w:pPr>
      <w:r>
        <w:rPr>
          <w:b/>
        </w:rPr>
        <w:lastRenderedPageBreak/>
        <w:t xml:space="preserve">3.4 </w:t>
      </w:r>
      <w:r w:rsidR="003F0694">
        <w:rPr>
          <w:b/>
        </w:rPr>
        <w:t>Bijlage</w:t>
      </w:r>
    </w:p>
    <w:p w:rsidR="003F0694" w:rsidRDefault="001F5723">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0" o:spid="_x0000_s1026" type="#_x0000_t75" alt="Tabel1.jpg" style="position:absolute;left:0;text-align:left;margin-left:-32.6pt;margin-top:58.95pt;width:545.6pt;height:413.25pt;z-index:251660288;visibility:visible">
            <v:imagedata r:id="rId8" o:title="Tabel1"/>
            <w10:wrap type="square"/>
          </v:shape>
        </w:pict>
      </w:r>
      <w:r w:rsidR="003F0694">
        <w:br w:type="page"/>
      </w:r>
    </w:p>
    <w:p w:rsidR="003F0694" w:rsidRDefault="001F5723" w:rsidP="00AB05E7">
      <w:r>
        <w:rPr>
          <w:noProof/>
        </w:rPr>
        <w:lastRenderedPageBreak/>
        <w:pict>
          <v:shape id="Afbeelding 1" o:spid="_x0000_s1027" type="#_x0000_t75" alt="Tabel2 1.jpg" style="position:absolute;left:0;text-align:left;margin-left:-10.1pt;margin-top:-41.6pt;width:450.8pt;height:751.5pt;z-index:251661312;visibility:visible">
            <v:imagedata r:id="rId9" o:title="Tabel2 1"/>
          </v:shape>
        </w:pict>
      </w:r>
    </w:p>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Pr="008B66BE" w:rsidRDefault="003F0694" w:rsidP="008B66BE"/>
    <w:p w:rsidR="003F0694" w:rsidRDefault="003F0694" w:rsidP="008B66BE"/>
    <w:p w:rsidR="003F0694" w:rsidRDefault="003F0694">
      <w:r>
        <w:br w:type="page"/>
      </w:r>
    </w:p>
    <w:p w:rsidR="003F0694" w:rsidRDefault="001F5723" w:rsidP="008B66BE">
      <w:pPr>
        <w:jc w:val="right"/>
      </w:pPr>
      <w:r>
        <w:rPr>
          <w:noProof/>
        </w:rPr>
        <w:lastRenderedPageBreak/>
        <w:pict>
          <v:shape id="Afbeelding 2" o:spid="_x0000_s1028" type="#_x0000_t75" alt="Tabel2 2.jpg" style="position:absolute;left:0;text-align:left;margin-left:59.2pt;margin-top:-58.4pt;width:351.2pt;height:795.3pt;z-index:-251654144;visibility:visible">
            <v:imagedata r:id="rId10" o:title="Tabel2 2"/>
          </v:shape>
        </w:pict>
      </w:r>
    </w:p>
    <w:p w:rsidR="003F0694" w:rsidRPr="008B66BE" w:rsidRDefault="003F0694" w:rsidP="008B66BE">
      <w:pPr>
        <w:jc w:val="right"/>
      </w:pPr>
      <w:r>
        <w:br w:type="page"/>
      </w:r>
    </w:p>
    <w:p w:rsidR="00AA0E72" w:rsidRDefault="001F5723">
      <w:pPr>
        <w:rPr>
          <w:rFonts w:ascii="Calibri" w:eastAsia="Calibri" w:hAnsi="Calibri" w:cs="Times New Roman"/>
          <w:b/>
        </w:rPr>
      </w:pPr>
      <w:r w:rsidRPr="001F5723">
        <w:rPr>
          <w:noProof/>
        </w:rPr>
        <w:lastRenderedPageBreak/>
        <w:pict>
          <v:shape id="_x0000_s1029" type="#_x0000_t75" style="position:absolute;left:0;text-align:left;margin-left:-4.85pt;margin-top:-16.1pt;width:472.5pt;height:632.55pt;z-index:251663360">
            <v:imagedata r:id="rId11" o:title="Tabel3"/>
            <w10:wrap type="square"/>
          </v:shape>
        </w:pict>
      </w:r>
      <w:r w:rsidR="00AA0E72">
        <w:rPr>
          <w:b/>
        </w:rPr>
        <w:br w:type="page"/>
      </w:r>
    </w:p>
    <w:p w:rsidR="003F0694" w:rsidRPr="00A66CF0" w:rsidRDefault="003F0694" w:rsidP="003F0694">
      <w:pPr>
        <w:pStyle w:val="Lijstalinea"/>
        <w:numPr>
          <w:ilvl w:val="0"/>
          <w:numId w:val="4"/>
        </w:numPr>
        <w:ind w:left="357" w:hanging="357"/>
        <w:contextualSpacing w:val="0"/>
        <w:jc w:val="both"/>
        <w:rPr>
          <w:b/>
        </w:rPr>
      </w:pPr>
      <w:r>
        <w:rPr>
          <w:b/>
        </w:rPr>
        <w:lastRenderedPageBreak/>
        <w:t>Vergelijking</w:t>
      </w:r>
    </w:p>
    <w:p w:rsidR="003F0694" w:rsidRDefault="003F0694" w:rsidP="003F0694">
      <w:pPr>
        <w:pStyle w:val="Lijstalinea"/>
        <w:numPr>
          <w:ilvl w:val="1"/>
          <w:numId w:val="7"/>
        </w:numPr>
        <w:jc w:val="both"/>
        <w:rPr>
          <w:b/>
        </w:rPr>
      </w:pPr>
      <w:r w:rsidRPr="00A11DCF">
        <w:rPr>
          <w:b/>
        </w:rPr>
        <w:t>Inleiding</w:t>
      </w:r>
    </w:p>
    <w:p w:rsidR="003F0694" w:rsidRDefault="003F0694" w:rsidP="007349E1">
      <w:pPr>
        <w:rPr>
          <w:rFonts w:ascii="Calibri" w:eastAsia="Calibri" w:hAnsi="Calibri" w:cs="Times New Roman"/>
        </w:rPr>
      </w:pPr>
      <w:r>
        <w:rPr>
          <w:rFonts w:ascii="Calibri" w:eastAsia="Calibri" w:hAnsi="Calibri" w:cs="Times New Roman"/>
        </w:rPr>
        <w:t>In dit hoofdstuk ga ik di</w:t>
      </w:r>
      <w:r w:rsidR="00015970">
        <w:rPr>
          <w:rFonts w:ascii="Calibri" w:eastAsia="Calibri" w:hAnsi="Calibri" w:cs="Times New Roman"/>
        </w:rPr>
        <w:t>eper in op de wijzigingen en ga</w:t>
      </w:r>
      <w:r>
        <w:rPr>
          <w:rFonts w:ascii="Calibri" w:eastAsia="Calibri" w:hAnsi="Calibri" w:cs="Times New Roman"/>
        </w:rPr>
        <w:t xml:space="preserve"> ik deze beoordelen. Eerst kijk ik naar de verschillen en overeenkomsten tussen de huidige en nieuwe regeling. Brengen de wijzigingen echt verandering of is het slechts een nieuwe vorm? Vervolgens toets ik hoe de wijzigingen in de loonbelasting passen.</w:t>
      </w:r>
    </w:p>
    <w:p w:rsidR="003F0694" w:rsidRDefault="003F0694" w:rsidP="007349E1">
      <w:pPr>
        <w:rPr>
          <w:rFonts w:ascii="Calibri" w:eastAsia="Calibri" w:hAnsi="Calibri" w:cs="Times New Roman"/>
        </w:rPr>
      </w:pPr>
      <w:r>
        <w:rPr>
          <w:rFonts w:ascii="Calibri" w:eastAsia="Calibri" w:hAnsi="Calibri" w:cs="Times New Roman"/>
        </w:rPr>
        <w:t xml:space="preserve"> Tevens wordt bij de invoering van de werkkostenregeling op 1 januari 2011 gebruik gemaakt van een overgangsregeling. Deze regeling is t/m 2013 van kracht en moet ervoor zorgen dat bij de invoering alles soepel verloopt. In dit hoofdstuk ga ik daarom ook kijken naar wat deze overgangsregeling inhoudt en wat de effecten hier eventueel van zijn. In dit hoofdstuk geef ik antwoord op de vraag “</w:t>
      </w:r>
      <w:r w:rsidRPr="00977674">
        <w:rPr>
          <w:rFonts w:ascii="Calibri" w:eastAsia="Calibri" w:hAnsi="Calibri" w:cs="Times New Roman"/>
          <w:i/>
        </w:rPr>
        <w:t>Zijn de wijzigingen inhoudelijk in orde?</w:t>
      </w:r>
      <w:r>
        <w:rPr>
          <w:rFonts w:ascii="Calibri" w:eastAsia="Calibri" w:hAnsi="Calibri" w:cs="Times New Roman"/>
        </w:rPr>
        <w:t>”.</w:t>
      </w:r>
    </w:p>
    <w:p w:rsidR="003F0694" w:rsidRPr="007616C2" w:rsidRDefault="003F0694" w:rsidP="003F0694">
      <w:pPr>
        <w:pStyle w:val="Lijstalinea"/>
        <w:numPr>
          <w:ilvl w:val="1"/>
          <w:numId w:val="7"/>
        </w:numPr>
        <w:jc w:val="both"/>
        <w:rPr>
          <w:b/>
        </w:rPr>
      </w:pPr>
      <w:r>
        <w:rPr>
          <w:b/>
        </w:rPr>
        <w:t>Vergelijking</w:t>
      </w:r>
      <w:r>
        <w:rPr>
          <w:b/>
        </w:rPr>
        <w:br/>
      </w:r>
    </w:p>
    <w:p w:rsidR="003F0694" w:rsidRDefault="003F0694" w:rsidP="003F0694">
      <w:pPr>
        <w:pStyle w:val="Lijstalinea"/>
        <w:numPr>
          <w:ilvl w:val="2"/>
          <w:numId w:val="7"/>
        </w:numPr>
        <w:jc w:val="both"/>
        <w:rPr>
          <w:b/>
        </w:rPr>
      </w:pPr>
      <w:r>
        <w:rPr>
          <w:b/>
        </w:rPr>
        <w:t>Overeenkomsten</w:t>
      </w:r>
    </w:p>
    <w:p w:rsidR="003F0694" w:rsidRDefault="003F0694" w:rsidP="00773389">
      <w:pPr>
        <w:rPr>
          <w:rFonts w:ascii="Calibri" w:eastAsia="Calibri" w:hAnsi="Calibri" w:cs="Times New Roman"/>
        </w:rPr>
      </w:pPr>
      <w:r>
        <w:rPr>
          <w:rFonts w:ascii="Calibri" w:eastAsia="Calibri" w:hAnsi="Calibri" w:cs="Times New Roman"/>
        </w:rPr>
        <w:t>Om te beginnen ga ik de overeenkomsten tussen beide regeling bespreken. Uiteraard zijn er een aantal zaken behouden in de werkkostenregeling, of zijn bestaande regelingen in licht aangepaste vorm blijven bestaan.</w:t>
      </w:r>
    </w:p>
    <w:p w:rsidR="003F0694" w:rsidRDefault="003F0694" w:rsidP="00773389">
      <w:pPr>
        <w:rPr>
          <w:rFonts w:ascii="Calibri" w:eastAsia="Calibri" w:hAnsi="Calibri" w:cs="Times New Roman"/>
        </w:rPr>
      </w:pPr>
      <w:r>
        <w:rPr>
          <w:rFonts w:ascii="Calibri" w:eastAsia="Calibri" w:hAnsi="Calibri" w:cs="Times New Roman"/>
        </w:rPr>
        <w:t xml:space="preserve">De belangrijkste overeenkomst met de oude regeling zit in de gerichte vrijstellingen. Dit onderdeel van de werkkostenregeling is direct overgenomen vanuit de oude regeling. </w:t>
      </w:r>
      <w:r w:rsidR="00201781">
        <w:rPr>
          <w:rFonts w:ascii="Calibri" w:eastAsia="Calibri" w:hAnsi="Calibri" w:cs="Times New Roman"/>
        </w:rPr>
        <w:t xml:space="preserve">Dit zorgt ervoor dat er geen verschil bestaat hoe moet worden omgegaan met de kosten die vallen onder de gerichte vrijstellingen en hoe deze kosten onder huidig systeem worden behandeld. </w:t>
      </w:r>
      <w:r>
        <w:rPr>
          <w:rFonts w:ascii="Calibri" w:eastAsia="Calibri" w:hAnsi="Calibri" w:cs="Times New Roman"/>
        </w:rPr>
        <w:t>Dit is bewust zo gedaan, omdat het niet gewenst is als deze kostensoorten onder het forfait vallen (zie hoofdstuk 3). Ook de oude toetsingscriteria zijn van kracht, waardoor de werkgever elke vergoeding opnieuw moet toetsen. Hierin wordt dus ook geen administratieve lastenverlichting bereikt.</w:t>
      </w:r>
    </w:p>
    <w:p w:rsidR="003F0694" w:rsidRPr="00B20CD3" w:rsidRDefault="003F0694" w:rsidP="00773389">
      <w:pPr>
        <w:rPr>
          <w:rFonts w:ascii="Calibri" w:eastAsia="Calibri" w:hAnsi="Calibri" w:cs="Times New Roman"/>
        </w:rPr>
      </w:pPr>
      <w:r>
        <w:rPr>
          <w:rFonts w:ascii="Calibri" w:eastAsia="Calibri" w:hAnsi="Calibri" w:cs="Times New Roman"/>
        </w:rPr>
        <w:t>Daarnaast blijft de mogelijkheid om een vaste kostenvergoeding te verstrekken bestaan. In het geval van gerichte vrijstellingen moet echter wel meer onderzoek worden gedaan naar de achterliggende werkelijke kosten. Ontbreekt dit onderzoek dan valt de kostenvergoeding in het forfait, en dus niet in de gerichte vrijstellingen waardoor de vrije ruimte benut moet worden.</w:t>
      </w:r>
      <w:r>
        <w:rPr>
          <w:rStyle w:val="Voetnootmarkering"/>
          <w:rFonts w:ascii="Calibri" w:eastAsia="Calibri" w:hAnsi="Calibri" w:cs="Times New Roman"/>
        </w:rPr>
        <w:footnoteReference w:id="44"/>
      </w:r>
      <w:r>
        <w:rPr>
          <w:rFonts w:ascii="Calibri" w:eastAsia="Calibri" w:hAnsi="Calibri" w:cs="Times New Roman"/>
        </w:rPr>
        <w:t xml:space="preserve"> </w:t>
      </w:r>
      <w:r w:rsidR="00201781">
        <w:rPr>
          <w:rFonts w:ascii="Calibri" w:eastAsia="Calibri" w:hAnsi="Calibri" w:cs="Times New Roman"/>
        </w:rPr>
        <w:t>Het huidige steekproefsgewijze kostenonderzoek en onderbouwing van de vaste kostenvergoeding is reeds een ergernis voor werkgevers.</w:t>
      </w:r>
      <w:r>
        <w:rPr>
          <w:rStyle w:val="Voetnootmarkering"/>
          <w:rFonts w:ascii="Calibri" w:eastAsia="Calibri" w:hAnsi="Calibri" w:cs="Times New Roman"/>
        </w:rPr>
        <w:footnoteReference w:id="45"/>
      </w:r>
      <w:r>
        <w:rPr>
          <w:rFonts w:ascii="Calibri" w:eastAsia="Calibri" w:hAnsi="Calibri" w:cs="Times New Roman"/>
        </w:rPr>
        <w:t xml:space="preserve"> De toevoeging bij gerichte vrijstellingen dat standaard onderzoek moet worden gedaan in plaats van steekproefsgewijs zorgt voor een extra verzwaring van de administratieve last wat betreft de vaste kostenvergoeding.</w:t>
      </w:r>
    </w:p>
    <w:p w:rsidR="003F0694" w:rsidRDefault="003F0694" w:rsidP="003F0694">
      <w:pPr>
        <w:pStyle w:val="Lijstalinea"/>
        <w:numPr>
          <w:ilvl w:val="2"/>
          <w:numId w:val="7"/>
        </w:numPr>
        <w:jc w:val="both"/>
        <w:rPr>
          <w:b/>
        </w:rPr>
      </w:pPr>
      <w:r>
        <w:rPr>
          <w:b/>
        </w:rPr>
        <w:t>Verschillen</w:t>
      </w:r>
    </w:p>
    <w:p w:rsidR="003F0694" w:rsidRDefault="003F0694" w:rsidP="00773389">
      <w:pPr>
        <w:rPr>
          <w:rFonts w:ascii="Calibri" w:eastAsia="Calibri" w:hAnsi="Calibri" w:cs="Times New Roman"/>
        </w:rPr>
      </w:pPr>
      <w:r>
        <w:rPr>
          <w:rFonts w:ascii="Calibri" w:eastAsia="Calibri" w:hAnsi="Calibri" w:cs="Times New Roman"/>
        </w:rPr>
        <w:t>Uiteraard betekent een nieuwe regeling ook een hoop verschillen en wijzigingen ten opzichte van de oude regeling. Deze verschillen moeten ervoor zorgen dat er meer lastenverlichting komt en het systeem in zijn geheel eenvoudiger in de uitvoering is.</w:t>
      </w:r>
    </w:p>
    <w:p w:rsidR="003F0694" w:rsidRDefault="003F0694" w:rsidP="00773389">
      <w:pPr>
        <w:rPr>
          <w:rFonts w:ascii="Calibri" w:eastAsia="Calibri" w:hAnsi="Calibri" w:cs="Times New Roman"/>
        </w:rPr>
      </w:pPr>
      <w:r>
        <w:rPr>
          <w:rFonts w:ascii="Calibri" w:eastAsia="Calibri" w:hAnsi="Calibri" w:cs="Times New Roman"/>
        </w:rPr>
        <w:lastRenderedPageBreak/>
        <w:t>Voor de werkgever is een van de belangrijkste verschillen dat er niet meer per werknemer individueel getoetst hoeft te worden of een bepaalde vergoeding voldoet aan de gestelde eisen. Momenteel moet getoetst worden of de vergoeding gedaan is ter behoorlijke vervulling van de dienstbetrekking, deze</w:t>
      </w:r>
      <w:r w:rsidR="00DD7D44">
        <w:rPr>
          <w:rFonts w:ascii="Calibri" w:eastAsia="Calibri" w:hAnsi="Calibri" w:cs="Times New Roman"/>
        </w:rPr>
        <w:t xml:space="preserve"> verstrekt is binnen de grenzen der</w:t>
      </w:r>
      <w:r>
        <w:rPr>
          <w:rFonts w:ascii="Calibri" w:eastAsia="Calibri" w:hAnsi="Calibri" w:cs="Times New Roman"/>
        </w:rPr>
        <w:t xml:space="preserve"> redelijk</w:t>
      </w:r>
      <w:r w:rsidR="00DD7D44">
        <w:rPr>
          <w:rFonts w:ascii="Calibri" w:eastAsia="Calibri" w:hAnsi="Calibri" w:cs="Times New Roman"/>
        </w:rPr>
        <w:t>heid</w:t>
      </w:r>
      <w:r>
        <w:rPr>
          <w:rFonts w:ascii="Calibri" w:eastAsia="Calibri" w:hAnsi="Calibri" w:cs="Times New Roman"/>
        </w:rPr>
        <w:t xml:space="preserve"> en niet naar maatschappelijke opvattingen als beloning wordt ervaren. Het onderscheid tussen zakelijkheid en beloning vervalt hierdoor; het doet er niet meer toe of een vergoeding deels zakelijk of geheel niet zakelijk is. Door het invoeren van het forfait hoeft er slechts gekeken te worden naar de gebruikelijkheid. Deze gebruikelijkheidstoets houdt in dat bij het controleren de inspecteur kan toetsen aan de gebruikelijkheid van de vergoeding. Deze mag niet in belangrijke mate (i.e. meer dan 30% afwijken) van wat gebruikelijk is in overeenkomende omstandigheden.</w:t>
      </w:r>
      <w:r>
        <w:rPr>
          <w:rStyle w:val="Voetnootmarkering"/>
          <w:rFonts w:ascii="Calibri" w:eastAsia="Calibri" w:hAnsi="Calibri" w:cs="Times New Roman"/>
        </w:rPr>
        <w:footnoteReference w:id="46"/>
      </w:r>
      <w:r>
        <w:rPr>
          <w:rFonts w:ascii="Calibri" w:eastAsia="Calibri" w:hAnsi="Calibri" w:cs="Times New Roman"/>
        </w:rPr>
        <w:t xml:space="preserve"> Dit dient ter voorkoming van onwenselijke situaties en oneigenlijk gebruik van de regeling. Dit kan voorkomen als een werkgever niet het volledige forfait gebruikt en dit aan één werknemer toekent, waardoor deze belast loon omzet in belastingvrij loon waar dit niet gebruikelijk is. Ook is de situatie denkbaar dat als reeds het maximum van het forfait is behaald een werknemer met een hoog inkomen belast loon omzet in eindheffingsbestanddelen.</w:t>
      </w:r>
      <w:r>
        <w:rPr>
          <w:rStyle w:val="Voetnootmarkering"/>
          <w:rFonts w:ascii="Calibri" w:eastAsia="Calibri" w:hAnsi="Calibri" w:cs="Times New Roman"/>
        </w:rPr>
        <w:footnoteReference w:id="47"/>
      </w:r>
      <w:r>
        <w:rPr>
          <w:rFonts w:ascii="Calibri" w:eastAsia="Calibri" w:hAnsi="Calibri" w:cs="Times New Roman"/>
        </w:rPr>
        <w:t xml:space="preserve"> Dit kan gunstig uitpakken daar de brutering bij een werknemer met een hoog salaris (en dus een hoge belastingschijf) kan oplopen tot 108,30%. Het is dan voordeliger deze tegen 80% onder de werkkostenreg</w:t>
      </w:r>
      <w:r w:rsidR="003F2852">
        <w:rPr>
          <w:rFonts w:ascii="Calibri" w:eastAsia="Calibri" w:hAnsi="Calibri" w:cs="Times New Roman"/>
        </w:rPr>
        <w:t>e</w:t>
      </w:r>
      <w:r>
        <w:rPr>
          <w:rFonts w:ascii="Calibri" w:eastAsia="Calibri" w:hAnsi="Calibri" w:cs="Times New Roman"/>
        </w:rPr>
        <w:t>ling te brengen. De bewijslast om een afwijking in de gebruikelijkheid aan te tonen ligt bij de inspecteur.</w:t>
      </w:r>
      <w:r>
        <w:rPr>
          <w:rStyle w:val="Voetnootmarkering"/>
          <w:rFonts w:ascii="Calibri" w:eastAsia="Calibri" w:hAnsi="Calibri" w:cs="Times New Roman"/>
        </w:rPr>
        <w:footnoteReference w:id="48"/>
      </w:r>
      <w:r>
        <w:rPr>
          <w:rFonts w:ascii="Calibri" w:eastAsia="Calibri" w:hAnsi="Calibri" w:cs="Times New Roman"/>
        </w:rPr>
        <w:t xml:space="preserve"> </w:t>
      </w:r>
    </w:p>
    <w:p w:rsidR="003F0694" w:rsidRDefault="003F0694" w:rsidP="00773389">
      <w:pPr>
        <w:rPr>
          <w:rFonts w:ascii="Calibri" w:eastAsia="Calibri" w:hAnsi="Calibri" w:cs="Times New Roman"/>
        </w:rPr>
      </w:pPr>
      <w:r>
        <w:rPr>
          <w:rFonts w:ascii="Calibri" w:eastAsia="Calibri" w:hAnsi="Calibri" w:cs="Times New Roman"/>
        </w:rPr>
        <w:t xml:space="preserve">Door deze nieuwe manier van kosten vergoeden hoeft de werkgever niet meer per werknemer en per vergoeding te bekijken of de vergoeding overeenkomt met de werkelijke kosten. Door het vervallen van deze toetsingseisen moet de administratieve last die het huidige systeem heeft wegvallen, waardoor het systeem eenvoudiger wordt in de uitvoering. Of dit ook daadwerkelijk bereikt wordt is nog de vraag. De nieuwe regeling behoudt ook gerichte vrijstellingen wat het effect van de invoering van een forfait deels teniet doet. De beoordeling van de regeling en mijn mening of deze voldoet aan de verwachting van de wetgever om eenvoud te brengen vindt plaats in hoofdstuk 5. </w:t>
      </w:r>
    </w:p>
    <w:p w:rsidR="003F0694" w:rsidRDefault="003F0694" w:rsidP="00773389">
      <w:pPr>
        <w:rPr>
          <w:rFonts w:ascii="Calibri" w:eastAsia="Calibri" w:hAnsi="Calibri" w:cs="Times New Roman"/>
        </w:rPr>
      </w:pPr>
      <w:r>
        <w:rPr>
          <w:rFonts w:ascii="Calibri" w:eastAsia="Calibri" w:hAnsi="Calibri" w:cs="Times New Roman"/>
        </w:rPr>
        <w:t xml:space="preserve">Ook het aangeven van vergoedingen verloopt anders in het nieuwe systeem. De werkgever moet zelf aangeven welke kosten hij aanwijst onder de werkkostenregeling als eindheffingsbestanddeel. Zolang hij geen keuze maakt valt alles – op basis van het nieuwe loonbegrip - onder het werknemersloon. De redactie van </w:t>
      </w:r>
      <w:r>
        <w:rPr>
          <w:rFonts w:ascii="Calibri" w:eastAsia="Calibri" w:hAnsi="Calibri" w:cs="Times New Roman"/>
          <w:i/>
        </w:rPr>
        <w:t>Vakstudie Nieuws</w:t>
      </w:r>
      <w:r>
        <w:rPr>
          <w:rFonts w:ascii="Calibri" w:eastAsia="Calibri" w:hAnsi="Calibri" w:cs="Times New Roman"/>
        </w:rPr>
        <w:t xml:space="preserve"> merkte op dat deze keuze gemaakt moet worden op het genietingsmoment.</w:t>
      </w:r>
      <w:r>
        <w:rPr>
          <w:rStyle w:val="Voetnootmarkering"/>
          <w:rFonts w:ascii="Calibri" w:eastAsia="Calibri" w:hAnsi="Calibri" w:cs="Times New Roman"/>
        </w:rPr>
        <w:footnoteReference w:id="49"/>
      </w:r>
      <w:r>
        <w:rPr>
          <w:rFonts w:ascii="Calibri" w:eastAsia="Calibri" w:hAnsi="Calibri" w:cs="Times New Roman"/>
        </w:rPr>
        <w:t xml:space="preserve"> Hierover is nog geen duidelijkheid gekomen, daar de wettelijke bepalingen geen termijn stellen. Hierdoor zou de mogelijkheid bestaan achteraf te bepalen welk deel werknemersloon is en welk deel als eindheffingsbestanddeel wordt aangemerkt om zodoende tariefarbitrage te verkrijgen.</w:t>
      </w:r>
      <w:r>
        <w:rPr>
          <w:rStyle w:val="Voetnootmarkering"/>
          <w:rFonts w:ascii="Calibri" w:eastAsia="Calibri" w:hAnsi="Calibri" w:cs="Times New Roman"/>
        </w:rPr>
        <w:footnoteReference w:id="50"/>
      </w:r>
    </w:p>
    <w:p w:rsidR="003F0694" w:rsidRDefault="003F0694" w:rsidP="00773389">
      <w:pPr>
        <w:rPr>
          <w:rFonts w:ascii="Calibri" w:eastAsia="Calibri" w:hAnsi="Calibri" w:cs="Times New Roman"/>
        </w:rPr>
      </w:pPr>
      <w:r>
        <w:rPr>
          <w:rFonts w:ascii="Calibri" w:eastAsia="Calibri" w:hAnsi="Calibri" w:cs="Times New Roman"/>
        </w:rPr>
        <w:t>Dat de werkgever in het nieuwe systeem naar eigen oordeel vergoedingen belastingvrij mag verstrekken aan groepen werknemers zonder verdere toetsing (buiten de gebruikelijkheid) geeft fiscaal meer ruimte en keuzemogelijkheden. Ook</w:t>
      </w:r>
      <w:r w:rsidRPr="001C2D7A">
        <w:rPr>
          <w:rFonts w:ascii="Calibri" w:eastAsia="Calibri" w:hAnsi="Calibri" w:cs="Times New Roman"/>
        </w:rPr>
        <w:t xml:space="preserve"> </w:t>
      </w:r>
      <w:r>
        <w:rPr>
          <w:rFonts w:ascii="Calibri" w:eastAsia="Calibri" w:hAnsi="Calibri" w:cs="Times New Roman"/>
        </w:rPr>
        <w:t xml:space="preserve">de keuze om wel of niet gebruik te maken van de werkkostenregeling draagt bij aan de keuzevrijheid voor de werkgever. </w:t>
      </w:r>
      <w:r w:rsidR="00201781">
        <w:rPr>
          <w:rFonts w:ascii="Calibri" w:eastAsia="Calibri" w:hAnsi="Calibri" w:cs="Times New Roman"/>
        </w:rPr>
        <w:t xml:space="preserve">Deze is echter ook gebonden </w:t>
      </w:r>
      <w:r w:rsidR="00201781">
        <w:rPr>
          <w:rFonts w:ascii="Calibri" w:eastAsia="Calibri" w:hAnsi="Calibri" w:cs="Times New Roman"/>
        </w:rPr>
        <w:lastRenderedPageBreak/>
        <w:t xml:space="preserve">aan arbeidsrechtelijke aspecten en is wellicht niet in staat daardoor de volledige keuzevrijheid te benutten. </w:t>
      </w:r>
      <w:r>
        <w:rPr>
          <w:rFonts w:ascii="Calibri" w:eastAsia="Calibri" w:hAnsi="Calibri" w:cs="Times New Roman"/>
        </w:rPr>
        <w:t>Er spelen een aantal zaken op arbeidsrechtelijk gebied, die in combinatie met de nieuwe werkkostenregeling voor ingewikkelde situaties kan zorgen.</w:t>
      </w:r>
    </w:p>
    <w:p w:rsidR="003F0694" w:rsidRDefault="003F0694" w:rsidP="00773389">
      <w:pPr>
        <w:rPr>
          <w:rFonts w:ascii="Calibri" w:eastAsia="Calibri" w:hAnsi="Calibri" w:cs="Times New Roman"/>
        </w:rPr>
      </w:pPr>
      <w:r>
        <w:rPr>
          <w:rFonts w:ascii="Calibri" w:eastAsia="Calibri" w:hAnsi="Calibri" w:cs="Times New Roman"/>
        </w:rPr>
        <w:t>Om te beginnen zijn er arbeidsvoorwaarden van kracht. Voor de vergoedingen zijn met name de secundaire arbeidsvoorwaarden van belang. Hierin is opgenomen in hoeverre de werkgever kosten vergoedt en welke afspraken hierover gemaakt zijn. Door de wijzigingen krijgt de werkgever nu de keuze bepaalde vergoedingen als loon aan te merken en andere vergoedingen onder het forfait te scharen. Hij wordt hierin echter bep</w:t>
      </w:r>
      <w:r w:rsidR="009A36F9">
        <w:rPr>
          <w:rFonts w:ascii="Calibri" w:eastAsia="Calibri" w:hAnsi="Calibri" w:cs="Times New Roman"/>
        </w:rPr>
        <w:t>erkt door de arbeidsvoorwaarden;</w:t>
      </w:r>
      <w:r>
        <w:rPr>
          <w:rFonts w:ascii="Calibri" w:eastAsia="Calibri" w:hAnsi="Calibri" w:cs="Times New Roman"/>
        </w:rPr>
        <w:t xml:space="preserve"> hij kan immers niet tegen deze afspraken in er voor kiezen een vergoeding als belast loon aan te merken. Dez</w:t>
      </w:r>
      <w:r w:rsidR="009A36F9">
        <w:rPr>
          <w:rFonts w:ascii="Calibri" w:eastAsia="Calibri" w:hAnsi="Calibri" w:cs="Times New Roman"/>
        </w:rPr>
        <w:t>e arbeidsvoorwaarden zijn ook</w:t>
      </w:r>
      <w:r>
        <w:rPr>
          <w:rFonts w:ascii="Calibri" w:eastAsia="Calibri" w:hAnsi="Calibri" w:cs="Times New Roman"/>
        </w:rPr>
        <w:t xml:space="preserve"> niet zomaar te wijzigen. Dit moet altijd in overeenstemming met de werknemer gebeuren. Dit kan enkel eenzijdig gebeuren op grond van art. 7:613 BW indien de werkgever dit heeft opgenomen in de voorwaarden en hij een zodanig zwaarwichtig belang heeft. Dit houdt in dat de werkgever hier slechts gebruik van kan maken indien er sprake is van zwaarwegende omstandigheden die een wijziging rechtvaardigen. De tweede mogelijkheid tot eenzijdige wijziging is op grond van art. 6:248, lid 2, BW. Bij gebrek aan de opgenomen bevoegdheid in de arbeidsvoorwaarden kan beroep worden gedaan dat uitvoering van de overeenkomst onaanvaardbaar is - naar maatstaven van redelijkheid en billijkheid - in de gegeven omstandigheden.</w:t>
      </w:r>
    </w:p>
    <w:p w:rsidR="003F0694" w:rsidRDefault="003F0694" w:rsidP="00773389">
      <w:pPr>
        <w:rPr>
          <w:rFonts w:ascii="Calibri" w:eastAsia="Calibri" w:hAnsi="Calibri" w:cs="Times New Roman"/>
        </w:rPr>
      </w:pPr>
      <w:r>
        <w:rPr>
          <w:rFonts w:ascii="Calibri" w:eastAsia="Calibri" w:hAnsi="Calibri" w:cs="Times New Roman"/>
        </w:rPr>
        <w:t>Uiteraard moet eerst gekeken worden of wijzigingen in de arbeidsvoorwaarden noodzakelijk zijn zodat deze waar mogelijk in overeenstemming aangepast kunnen worden. Door Bentohami wordt opgemerkt dat de invoering van de werkkostenregeling een andere situatie ontstaat dan voorheen het geval was.</w:t>
      </w:r>
      <w:r>
        <w:rPr>
          <w:rStyle w:val="Voetnootmarkering"/>
          <w:rFonts w:ascii="Calibri" w:eastAsia="Calibri" w:hAnsi="Calibri" w:cs="Times New Roman"/>
        </w:rPr>
        <w:footnoteReference w:id="51"/>
      </w:r>
      <w:r>
        <w:rPr>
          <w:rFonts w:ascii="Calibri" w:eastAsia="Calibri" w:hAnsi="Calibri" w:cs="Times New Roman"/>
        </w:rPr>
        <w:t xml:space="preserve"> Door de invoering van de wettelijke keuzemogelijkheid bij de werkgever ontstaat er slechts de wettelijke verplichting om een vergoeding te belasten bij de werknemer indien hiervoor wordt gekozen door de werkgever. De werkgever zal indien de grens van de vrije ruimte bereikt wordt ervoor willen kiezen bepaalde vergoedingen niet aan te merken. De vraag ontstaat of dit arbeidsrechtelijk kan, daar hij wellicht voorheen dit wel zou vergoeden. Zou hij op </w:t>
      </w:r>
      <w:r w:rsidR="009A36F9">
        <w:rPr>
          <w:rFonts w:ascii="Calibri" w:eastAsia="Calibri" w:hAnsi="Calibri" w:cs="Times New Roman"/>
        </w:rPr>
        <w:t>grond van het arbeidsrecht niet -</w:t>
      </w:r>
      <w:r>
        <w:rPr>
          <w:rFonts w:ascii="Calibri" w:eastAsia="Calibri" w:hAnsi="Calibri" w:cs="Times New Roman"/>
        </w:rPr>
        <w:t xml:space="preserve"> na de keuze gebruik te maken van de werkkostenrege</w:t>
      </w:r>
      <w:r w:rsidR="009A36F9">
        <w:rPr>
          <w:rFonts w:ascii="Calibri" w:eastAsia="Calibri" w:hAnsi="Calibri" w:cs="Times New Roman"/>
        </w:rPr>
        <w:t>ling voor bepaalde vergoedingen -</w:t>
      </w:r>
      <w:r>
        <w:rPr>
          <w:rFonts w:ascii="Calibri" w:eastAsia="Calibri" w:hAnsi="Calibri" w:cs="Times New Roman"/>
        </w:rPr>
        <w:t xml:space="preserve"> andere vergoedingen als belast loon aan merken, dan zou dit voor een scheve situatie zorgen. Immers houdt dit in dat zodra de werkgever de werkkostenregeling toe heeft gepast, hij dit bij alle vergoedingen moet doen op grond van het arbeidsrecht. Zodoende is hij niet vrij in het kiezen wanneer hij een vergoeding als belast loon aanmerkt. Werkgevers passen hierdoor niet zomaar de werkkostenregeling toe waar werknemers zeer gebaat zijn bij het gebruik van de werkkostenregeling. De keuzevrijheid wordt hierdoor zeer beperkt.</w:t>
      </w:r>
    </w:p>
    <w:p w:rsidR="003F0694" w:rsidRPr="00620F0E" w:rsidRDefault="003F0694" w:rsidP="00773389">
      <w:pPr>
        <w:rPr>
          <w:rFonts w:ascii="Calibri" w:eastAsia="Calibri" w:hAnsi="Calibri" w:cs="Times New Roman"/>
        </w:rPr>
      </w:pPr>
      <w:r>
        <w:rPr>
          <w:rFonts w:ascii="Calibri" w:eastAsia="Calibri" w:hAnsi="Calibri" w:cs="Times New Roman"/>
        </w:rPr>
        <w:t>Hoe dit gaat uitpakken is nog niet duidelijk</w:t>
      </w:r>
      <w:r w:rsidR="009D7DDB">
        <w:rPr>
          <w:rFonts w:ascii="Calibri" w:eastAsia="Calibri" w:hAnsi="Calibri" w:cs="Times New Roman"/>
        </w:rPr>
        <w:t>.</w:t>
      </w:r>
      <w:r>
        <w:rPr>
          <w:rStyle w:val="Voetnootmarkering"/>
          <w:rFonts w:ascii="Calibri" w:eastAsia="Calibri" w:hAnsi="Calibri" w:cs="Times New Roman"/>
        </w:rPr>
        <w:footnoteReference w:id="52"/>
      </w:r>
      <w:r>
        <w:rPr>
          <w:rFonts w:ascii="Calibri" w:eastAsia="Calibri" w:hAnsi="Calibri" w:cs="Times New Roman"/>
        </w:rPr>
        <w:t xml:space="preserve"> Daarvoor is nog te weinig bekend over hoe dit soort zaken in de praktijk uitwerken. De staatssecretaris verwachtte niet dat arbeidsrechtelijk problemen ontstaan ten opzichte van ongelijke behandeling in gelijke situaties.</w:t>
      </w:r>
      <w:r>
        <w:rPr>
          <w:rStyle w:val="Voetnootmarkering"/>
          <w:rFonts w:ascii="Calibri" w:eastAsia="Calibri" w:hAnsi="Calibri" w:cs="Times New Roman"/>
        </w:rPr>
        <w:footnoteReference w:id="53"/>
      </w:r>
      <w:r>
        <w:rPr>
          <w:rFonts w:ascii="Calibri" w:eastAsia="Calibri" w:hAnsi="Calibri" w:cs="Times New Roman"/>
        </w:rPr>
        <w:t xml:space="preserve"> Hij heeft gezegd: “Afspraken over vergoedingen en verstrekkingen tussen werkgevers en werknemers hebben </w:t>
      </w:r>
      <w:r w:rsidRPr="00AD0C6E">
        <w:rPr>
          <w:rFonts w:ascii="Calibri" w:eastAsia="Calibri" w:hAnsi="Calibri" w:cs="Times New Roman"/>
        </w:rPr>
        <w:t>een</w:t>
      </w:r>
      <w:r>
        <w:rPr>
          <w:rFonts w:ascii="Calibri" w:eastAsia="Calibri" w:hAnsi="Calibri" w:cs="Times New Roman"/>
        </w:rPr>
        <w:t xml:space="preserve"> arbeidsrechtelijk</w:t>
      </w:r>
      <w:r w:rsidRPr="00AD0C6E">
        <w:rPr>
          <w:rFonts w:ascii="Calibri" w:eastAsia="Calibri" w:hAnsi="Calibri" w:cs="Times New Roman"/>
        </w:rPr>
        <w:t xml:space="preserve"> </w:t>
      </w:r>
      <w:r>
        <w:rPr>
          <w:rFonts w:ascii="Calibri" w:eastAsia="Calibri" w:hAnsi="Calibri" w:cs="Times New Roman"/>
        </w:rPr>
        <w:t xml:space="preserve">karakter en zijn naar hun aard verschillend. Dat geldt ook voor een afspraak van de werkgever om de belasting voor zijn rekening te nemen. Dergelijke afspraken leiden in het algemeen niet tot een ongerechtvaardigde ongelijke behandeling.” Toch is het niet onwaarschijnlijk dat het arbeidsrecht ervoor zorgt dat er onwenselijke situaties ontstaan zoals hierboven uitgelegd. Naar mijn </w:t>
      </w:r>
      <w:r w:rsidR="00D93925">
        <w:rPr>
          <w:rFonts w:ascii="Calibri" w:eastAsia="Calibri" w:hAnsi="Calibri" w:cs="Times New Roman"/>
        </w:rPr>
        <w:lastRenderedPageBreak/>
        <w:t>mening gaat</w:t>
      </w:r>
      <w:r>
        <w:rPr>
          <w:rFonts w:ascii="Calibri" w:eastAsia="Calibri" w:hAnsi="Calibri" w:cs="Times New Roman"/>
        </w:rPr>
        <w:t xml:space="preserve"> de invoering van de werkkostenregeling niet zo gemakkelijk verlopen als de staatssecretaris verwacht. Hier ga ik verder op in bij hoofdstuk 5.</w:t>
      </w:r>
    </w:p>
    <w:p w:rsidR="003F0694" w:rsidRDefault="003F0694" w:rsidP="003F0694">
      <w:pPr>
        <w:pStyle w:val="Lijstalinea"/>
        <w:numPr>
          <w:ilvl w:val="1"/>
          <w:numId w:val="7"/>
        </w:numPr>
        <w:jc w:val="both"/>
        <w:rPr>
          <w:b/>
        </w:rPr>
      </w:pPr>
      <w:r>
        <w:rPr>
          <w:b/>
        </w:rPr>
        <w:t>Werkkostenregeling in de loonbelasting</w:t>
      </w:r>
    </w:p>
    <w:p w:rsidR="003F0694" w:rsidRDefault="003F0694" w:rsidP="0033020E">
      <w:pPr>
        <w:rPr>
          <w:rFonts w:ascii="Calibri" w:eastAsia="Calibri" w:hAnsi="Calibri" w:cs="Times New Roman"/>
        </w:rPr>
      </w:pPr>
      <w:r>
        <w:rPr>
          <w:rFonts w:ascii="Calibri" w:eastAsia="Calibri" w:hAnsi="Calibri" w:cs="Times New Roman"/>
        </w:rPr>
        <w:t>De werkkostenregeling betreft een ingrijpende verandering in de loonbelasting. Door de invoering van de nieuwe regeling verandert het loonbegrip en de manier hoe tegen vergoedingen en verstrekkingen wordt aangekeken aanzienlijk. Door de nieuwe systematiek was het noodzakelijk het loonbegrip uit te breiden en vrije vergoedingen en verstrekkingen tot het loon te rekenen. Onder het huidige recht moet voor loon het gaan om zaken die voortkomen uit de dienstbetrekking en een voordeel zijn die de werknemer geniet. Loon is dus al hetgeen voortkomt uit de dienstbetrekking, en niet zozeer de verrichte arbeid.</w:t>
      </w:r>
      <w:r>
        <w:rPr>
          <w:rStyle w:val="Voetnootmarkering"/>
          <w:rFonts w:ascii="Calibri" w:eastAsia="Calibri" w:hAnsi="Calibri" w:cs="Times New Roman"/>
        </w:rPr>
        <w:footnoteReference w:id="54"/>
      </w:r>
      <w:r>
        <w:rPr>
          <w:rFonts w:ascii="Calibri" w:eastAsia="Calibri" w:hAnsi="Calibri" w:cs="Times New Roman"/>
        </w:rPr>
        <w:t xml:space="preserve"> Daarnaast moet er een verband zijn tussen de dienstbetrekking en het voordeel wat de werknemer geniet. Hierdoor vallen vergoedingen met enkel een zakelijk karakter niet onder het loonbegrip, er is immers geen privé voordeel voor de werknemer. De uitbreiding van het loonbegrip bracht echter onduidelijkheid over dit ‘voordeelcriterium’. Door de toevoeging dat vergoedingen en verstrekkingen nu tot het loon behoren volgt dat ook bij een vergoeding waar een voordeel of beloningselement geheel ontbreekt dit tot het loon gaat behoren</w:t>
      </w:r>
      <w:r>
        <w:rPr>
          <w:rStyle w:val="Voetnootmarkering"/>
          <w:rFonts w:ascii="Calibri" w:eastAsia="Calibri" w:hAnsi="Calibri" w:cs="Times New Roman"/>
        </w:rPr>
        <w:footnoteReference w:id="55"/>
      </w:r>
      <w:r>
        <w:rPr>
          <w:rFonts w:ascii="Calibri" w:eastAsia="Calibri" w:hAnsi="Calibri" w:cs="Times New Roman"/>
        </w:rPr>
        <w:t xml:space="preserve">, waar dit voorheen door de zakelijkheid niet de zogeheten “poort van het loonbegrip” passeerde. </w:t>
      </w:r>
      <w:r w:rsidR="00201781">
        <w:rPr>
          <w:rFonts w:ascii="Calibri" w:eastAsia="Calibri" w:hAnsi="Calibri" w:cs="Times New Roman"/>
        </w:rPr>
        <w:t xml:space="preserve">Er hoeft daardoor dus niet meer gekeken te worden naar het voordeelcriterium. </w:t>
      </w:r>
      <w:r>
        <w:rPr>
          <w:rFonts w:ascii="Calibri" w:eastAsia="Calibri" w:hAnsi="Calibri" w:cs="Times New Roman"/>
        </w:rPr>
        <w:t>De wetgever heeft laten weten dat dit niet zo beoogd is. De wijziging dient slechts ter verduidelijking dat vergoedingen en verstrekkingen die in de huidige regelgeving zijn opgenomen onder art. 15 t/m 16c, Wet LB 1964, in de nieuwe regeling onder het loon vallen.</w:t>
      </w:r>
      <w:r>
        <w:rPr>
          <w:rStyle w:val="Voetnootmarkering"/>
          <w:rFonts w:ascii="Calibri" w:eastAsia="Calibri" w:hAnsi="Calibri" w:cs="Times New Roman"/>
        </w:rPr>
        <w:footnoteReference w:id="56"/>
      </w:r>
      <w:r>
        <w:rPr>
          <w:rFonts w:ascii="Calibri" w:eastAsia="Calibri" w:hAnsi="Calibri" w:cs="Times New Roman"/>
        </w:rPr>
        <w:t xml:space="preserve"> </w:t>
      </w:r>
      <w:r w:rsidR="00201781">
        <w:rPr>
          <w:rFonts w:ascii="Calibri" w:eastAsia="Calibri" w:hAnsi="Calibri" w:cs="Times New Roman"/>
        </w:rPr>
        <w:t>Desondanks zet Hoogstraten vraagtekens bij het belang van deze toevoeging ten opzichte van de oude regeling.</w:t>
      </w:r>
      <w:r>
        <w:rPr>
          <w:rStyle w:val="Voetnootmarkering"/>
          <w:rFonts w:ascii="Calibri" w:eastAsia="Calibri" w:hAnsi="Calibri" w:cs="Times New Roman"/>
        </w:rPr>
        <w:footnoteReference w:id="57"/>
      </w:r>
      <w:r>
        <w:rPr>
          <w:rFonts w:ascii="Calibri" w:eastAsia="Calibri" w:hAnsi="Calibri" w:cs="Times New Roman"/>
        </w:rPr>
        <w:t xml:space="preserve"> De redactie van </w:t>
      </w:r>
      <w:r>
        <w:rPr>
          <w:rFonts w:ascii="Calibri" w:eastAsia="Calibri" w:hAnsi="Calibri" w:cs="Times New Roman"/>
          <w:i/>
        </w:rPr>
        <w:t>Vakstudie Nieuws</w:t>
      </w:r>
      <w:r>
        <w:rPr>
          <w:rFonts w:ascii="Calibri" w:eastAsia="Calibri" w:hAnsi="Calibri" w:cs="Times New Roman"/>
        </w:rPr>
        <w:t xml:space="preserve"> merkt op dat het vreemd is dat de wettekst zelf onduidelijk is en uit de memorie van toelichting moet blijken wat exact te wijziging inhoudt.</w:t>
      </w:r>
      <w:r>
        <w:rPr>
          <w:rStyle w:val="Voetnootmarkering"/>
          <w:rFonts w:ascii="Calibri" w:eastAsia="Calibri" w:hAnsi="Calibri" w:cs="Times New Roman"/>
        </w:rPr>
        <w:footnoteReference w:id="58"/>
      </w:r>
      <w:r>
        <w:rPr>
          <w:rFonts w:ascii="Calibri" w:eastAsia="Calibri" w:hAnsi="Calibri" w:cs="Times New Roman"/>
        </w:rPr>
        <w:t xml:space="preserve"> Ik sluit me daarbij aan; de wijzigingen dienen ter vereenvoudiging van de wetsystematiek. Een toevoeging die meer onduidelijkheid schept draagt hier niet aan bij. Dat de wijzigingen weinig aandacht hebben gekregen in de parlementaire behandeling stuit ook op onbegrip.</w:t>
      </w:r>
      <w:r>
        <w:rPr>
          <w:rStyle w:val="Voetnootmarkering"/>
          <w:rFonts w:ascii="Calibri" w:eastAsia="Calibri" w:hAnsi="Calibri" w:cs="Times New Roman"/>
        </w:rPr>
        <w:footnoteReference w:id="59"/>
      </w:r>
      <w:r>
        <w:rPr>
          <w:rFonts w:ascii="Calibri" w:eastAsia="Calibri" w:hAnsi="Calibri" w:cs="Times New Roman"/>
        </w:rPr>
        <w:t xml:space="preserve">  </w:t>
      </w:r>
    </w:p>
    <w:p w:rsidR="003F0694" w:rsidRDefault="003F0694" w:rsidP="0033020E">
      <w:pPr>
        <w:rPr>
          <w:rFonts w:ascii="Calibri" w:eastAsia="Calibri" w:hAnsi="Calibri" w:cs="Times New Roman"/>
        </w:rPr>
      </w:pPr>
      <w:r>
        <w:rPr>
          <w:rFonts w:ascii="Calibri" w:eastAsia="Calibri" w:hAnsi="Calibri" w:cs="Times New Roman"/>
        </w:rPr>
        <w:t>Door de wijziging in het loonbegrip zijn ook de verstrekkingen op de werkplek aangemerkt als loon. Zoals in hoofdstuk 3 is toegelicht is dit een onwenselijke situatie en niet de bedoeling dat de werkgever voorzieningen ter vervulling van de dienstbetrekking op de werkplek ten koste gaan van de vrije ruimte. Hiervoor is een bepaling opgenomen die deze zaken een nihil waardering geeft, waardoor ze vrijgesteld zijn zonder de vrije ruimte te verlagen. Deze bepaling heeft nog geen concrete vorm gekregen, waardoor er nog niet echt iets over te zeggen valt hoe dit gaat werken.</w:t>
      </w:r>
      <w:r>
        <w:rPr>
          <w:rStyle w:val="Voetnootmarkering"/>
          <w:rFonts w:ascii="Calibri" w:eastAsia="Calibri" w:hAnsi="Calibri" w:cs="Times New Roman"/>
        </w:rPr>
        <w:footnoteReference w:id="60"/>
      </w:r>
      <w:r>
        <w:rPr>
          <w:rFonts w:ascii="Calibri" w:eastAsia="Calibri" w:hAnsi="Calibri" w:cs="Times New Roman"/>
        </w:rPr>
        <w:t xml:space="preserve"> De verwachting is dat de bepaling niet elke voorziening benoemt maar een meer open karakter gaat hebben. Opgemerkt dient te worden hoe voor de voorzieningen tegen de term ‘werkplek’ en de zakelijkheid wordt aangekeken. De werkplek is niet omschreven in de wettekst, maar is in ieder geval niet een thuiswerkplek. Daarnaast moet gekeken worden of er onderscheid wordt gemaakt in puur </w:t>
      </w:r>
      <w:r>
        <w:rPr>
          <w:rFonts w:ascii="Calibri" w:eastAsia="Calibri" w:hAnsi="Calibri" w:cs="Times New Roman"/>
        </w:rPr>
        <w:lastRenderedPageBreak/>
        <w:t xml:space="preserve">zakelijke voorzieningen of voorzieningen die een privé karakter hebben. De redactie van </w:t>
      </w:r>
      <w:r>
        <w:rPr>
          <w:rFonts w:ascii="Calibri" w:eastAsia="Calibri" w:hAnsi="Calibri" w:cs="Times New Roman"/>
          <w:i/>
        </w:rPr>
        <w:t xml:space="preserve">Vakstudie Nieuws </w:t>
      </w:r>
      <w:r>
        <w:rPr>
          <w:rFonts w:ascii="Calibri" w:eastAsia="Calibri" w:hAnsi="Calibri" w:cs="Times New Roman"/>
        </w:rPr>
        <w:t>geeft als voorbeeld vakliteratuur en vraagt zich af wat het verschil is tussen op de werkplek en buiten de werkplek.</w:t>
      </w:r>
      <w:r>
        <w:rPr>
          <w:rStyle w:val="Voetnootmarkering"/>
          <w:rFonts w:ascii="Calibri" w:eastAsia="Calibri" w:hAnsi="Calibri" w:cs="Times New Roman"/>
        </w:rPr>
        <w:footnoteReference w:id="61"/>
      </w:r>
      <w:r>
        <w:rPr>
          <w:rFonts w:ascii="Calibri" w:eastAsia="Calibri" w:hAnsi="Calibri" w:cs="Times New Roman"/>
        </w:rPr>
        <w:t xml:space="preserve"> </w:t>
      </w:r>
      <w:r w:rsidR="00201781">
        <w:rPr>
          <w:rFonts w:ascii="Calibri" w:eastAsia="Calibri" w:hAnsi="Calibri" w:cs="Times New Roman"/>
        </w:rPr>
        <w:t>Ik verwacht dat hierin wordt gekozen voor een praktische benadering, om de eenvoud zo veel mogelijk te waarborgen.</w:t>
      </w:r>
    </w:p>
    <w:p w:rsidR="003F0694" w:rsidRPr="0033020E" w:rsidRDefault="003F0694" w:rsidP="0033020E">
      <w:pPr>
        <w:rPr>
          <w:rFonts w:ascii="Calibri" w:eastAsia="Calibri" w:hAnsi="Calibri" w:cs="Times New Roman"/>
        </w:rPr>
      </w:pPr>
      <w:r>
        <w:rPr>
          <w:rFonts w:ascii="Calibri" w:eastAsia="Calibri" w:hAnsi="Calibri" w:cs="Times New Roman"/>
        </w:rPr>
        <w:t>Doordat de werkkostenregeling een tarief voor de eindheffing van 80% bevat worden verschillende werknemers belast tegen hetzelfde tarief. Vandaar dat men zich afvraagt of de werkkostenregeling een “opmaat naar vlaktax en loonsomheffing” is.</w:t>
      </w:r>
      <w:r>
        <w:rPr>
          <w:rStyle w:val="Voetnootmarkering"/>
          <w:rFonts w:ascii="Calibri" w:eastAsia="Calibri" w:hAnsi="Calibri" w:cs="Times New Roman"/>
        </w:rPr>
        <w:footnoteReference w:id="62"/>
      </w:r>
      <w:r>
        <w:rPr>
          <w:rFonts w:ascii="Calibri" w:eastAsia="Calibri" w:hAnsi="Calibri" w:cs="Times New Roman"/>
        </w:rPr>
        <w:t xml:space="preserve"> Met het oog op waarschijnlijke invoering van de geplande wet uniformering loonbegrip</w:t>
      </w:r>
      <w:r>
        <w:rPr>
          <w:rStyle w:val="Voetnootmarkering"/>
          <w:rFonts w:ascii="Calibri" w:eastAsia="Calibri" w:hAnsi="Calibri" w:cs="Times New Roman"/>
        </w:rPr>
        <w:footnoteReference w:id="63"/>
      </w:r>
      <w:r>
        <w:rPr>
          <w:rFonts w:ascii="Calibri" w:eastAsia="Calibri" w:hAnsi="Calibri" w:cs="Times New Roman"/>
        </w:rPr>
        <w:t xml:space="preserve"> (controversieel verklaard</w:t>
      </w:r>
      <w:r>
        <w:rPr>
          <w:rStyle w:val="Voetnootmarkering"/>
          <w:rFonts w:ascii="Calibri" w:eastAsia="Calibri" w:hAnsi="Calibri" w:cs="Times New Roman"/>
        </w:rPr>
        <w:footnoteReference w:id="64"/>
      </w:r>
      <w:r>
        <w:rPr>
          <w:rFonts w:ascii="Calibri" w:eastAsia="Calibri" w:hAnsi="Calibri" w:cs="Times New Roman"/>
        </w:rPr>
        <w:t>), lijkt het erop dat de loonbelasting een verandering ondergaat richting een loonsomheffing. Het doel hiervan is om de wetsystematiek te vereenvoudigen en verschillen tussen de onderscheiden wetten weg te nemen. Of het wenselijk is om een loonsomheffing te verkrijgen is een vraag apart, en doet verder niet ter zake voor dit onderzoek.</w:t>
      </w:r>
    </w:p>
    <w:p w:rsidR="003F0694" w:rsidRDefault="003F0694" w:rsidP="003F0694">
      <w:pPr>
        <w:pStyle w:val="Lijstalinea"/>
        <w:numPr>
          <w:ilvl w:val="1"/>
          <w:numId w:val="7"/>
        </w:numPr>
        <w:jc w:val="both"/>
        <w:rPr>
          <w:b/>
        </w:rPr>
      </w:pPr>
      <w:r>
        <w:rPr>
          <w:b/>
        </w:rPr>
        <w:t>Overgangsregeling</w:t>
      </w:r>
    </w:p>
    <w:p w:rsidR="003F0694" w:rsidRDefault="003F0694" w:rsidP="00AE4634">
      <w:pPr>
        <w:rPr>
          <w:rFonts w:ascii="Calibri" w:eastAsia="Calibri" w:hAnsi="Calibri" w:cs="Times New Roman"/>
        </w:rPr>
      </w:pPr>
      <w:r>
        <w:rPr>
          <w:rFonts w:ascii="Calibri" w:eastAsia="Calibri" w:hAnsi="Calibri" w:cs="Times New Roman"/>
        </w:rPr>
        <w:t>Om de overgang naar de nieuwe regeling zo soepel mogelijk te laten verlopen wordt gebruik gemaakt van een overgangsregeling. Deze regeling is tot 2013 van kracht, zodat werkgevers de tijd krijgen om zich aan te passen aan de nieuwe wetgeving. De overgangsregeling houdt in dat de werkgever ieder jaar nog de keuze krijgt om te kiezen tussen de huidige regeling en de nieuwe werkkostenregeling.</w:t>
      </w:r>
      <w:r>
        <w:rPr>
          <w:rStyle w:val="Voetnootmarkering"/>
          <w:rFonts w:ascii="Calibri" w:eastAsia="Calibri" w:hAnsi="Calibri" w:cs="Times New Roman"/>
        </w:rPr>
        <w:footnoteReference w:id="65"/>
      </w:r>
      <w:r>
        <w:rPr>
          <w:rFonts w:ascii="Calibri" w:eastAsia="Calibri" w:hAnsi="Calibri" w:cs="Times New Roman"/>
        </w:rPr>
        <w:t xml:space="preserve"> Deze keuze moet aan het begin van het jaar gemaakt worden, zodat niet achter</w:t>
      </w:r>
      <w:r w:rsidR="009D7DDB">
        <w:rPr>
          <w:rFonts w:ascii="Calibri" w:eastAsia="Calibri" w:hAnsi="Calibri" w:cs="Times New Roman"/>
        </w:rPr>
        <w:t>af</w:t>
      </w:r>
      <w:r>
        <w:rPr>
          <w:rFonts w:ascii="Calibri" w:eastAsia="Calibri" w:hAnsi="Calibri" w:cs="Times New Roman"/>
        </w:rPr>
        <w:t xml:space="preserve"> gekeken kan worden wat de beste optie is.</w:t>
      </w:r>
      <w:r>
        <w:rPr>
          <w:rStyle w:val="Voetnootmarkering"/>
          <w:rFonts w:ascii="Calibri" w:eastAsia="Calibri" w:hAnsi="Calibri" w:cs="Times New Roman"/>
        </w:rPr>
        <w:footnoteReference w:id="66"/>
      </w:r>
      <w:r>
        <w:rPr>
          <w:rFonts w:ascii="Calibri" w:eastAsia="Calibri" w:hAnsi="Calibri" w:cs="Times New Roman"/>
        </w:rPr>
        <w:t xml:space="preserve"> Een eerder gemaakte keuze is hierbij niet bindend voor volgend jaar</w:t>
      </w:r>
      <w:r>
        <w:rPr>
          <w:rStyle w:val="Voetnootmarkering"/>
          <w:rFonts w:ascii="Calibri" w:eastAsia="Calibri" w:hAnsi="Calibri" w:cs="Times New Roman"/>
        </w:rPr>
        <w:footnoteReference w:id="67"/>
      </w:r>
      <w:r>
        <w:rPr>
          <w:rFonts w:ascii="Calibri" w:eastAsia="Calibri" w:hAnsi="Calibri" w:cs="Times New Roman"/>
        </w:rPr>
        <w:t>; de werkgever mag van de werkkostenregeling terug naar de huidige regeling mocht hij dit willen. Dit is echter niet waarschijnlijk daar de overgang naar de werkkostenregeling grote impact heeft en arbeidsvoorwaarden hoogstwaarschijnlijk aangepast moeten worden. Het jaar erop na deze wijzigingen weer terug gaan op de oude regeling is dan onwaarschijnlijk.</w:t>
      </w:r>
    </w:p>
    <w:p w:rsidR="003F0694" w:rsidRDefault="003F0694" w:rsidP="00AE4634">
      <w:pPr>
        <w:rPr>
          <w:rFonts w:ascii="Calibri" w:eastAsia="Calibri" w:hAnsi="Calibri" w:cs="Times New Roman"/>
        </w:rPr>
      </w:pPr>
      <w:r>
        <w:rPr>
          <w:rFonts w:ascii="Calibri" w:eastAsia="Calibri" w:hAnsi="Calibri" w:cs="Times New Roman"/>
        </w:rPr>
        <w:t>Deze impact op de arbeidsvoorwaarden</w:t>
      </w:r>
      <w:r>
        <w:rPr>
          <w:rStyle w:val="Voetnootmarkering"/>
          <w:rFonts w:ascii="Calibri" w:eastAsia="Calibri" w:hAnsi="Calibri" w:cs="Times New Roman"/>
        </w:rPr>
        <w:footnoteReference w:id="68"/>
      </w:r>
      <w:r>
        <w:rPr>
          <w:rFonts w:ascii="Calibri" w:eastAsia="Calibri" w:hAnsi="Calibri" w:cs="Times New Roman"/>
        </w:rPr>
        <w:t xml:space="preserve"> komt, zoals hierboven reeds is behandeld, door het feit dat huidige arbeidsvoorwaarden zijn toegespitst op het huidige systeem van kostenvergoeding. Door de invoer van het forfait en het 80% eindheffingstarief zijn huidige arbeidsvoorwaarden in veel gevallen niet meer van toepassing omdat opgenomen overeenkomsten over kostenvergoedingen anders zullen uitpakken in het nieuwe systeem. Na eventuele wijziging van arbeidsvoorwaarden en/of keuze om de werkkostenregeling toe te passen is het voor een werkgever een redelijk definitieve keuze. Het feit dat uiteindelijk de werkkostenregeling doorgevoerd wordt in 2014 zorgt ervoor dat een werkgever die nieuwe arbeidsvoorwaarden heeft afgesproken niet snel terug keert naar het oude systeem. Voor een werkgever die geen aanpassingen hoeft te doen kan het voorkomen dat het </w:t>
      </w:r>
      <w:r>
        <w:rPr>
          <w:rFonts w:ascii="Calibri" w:eastAsia="Calibri" w:hAnsi="Calibri" w:cs="Times New Roman"/>
        </w:rPr>
        <w:lastRenderedPageBreak/>
        <w:t xml:space="preserve">voordeliger is terug te gaan naar het huidige systeem als blijkt dat de kosten van de werkkostenregeling nadelig uitvallen. </w:t>
      </w:r>
    </w:p>
    <w:p w:rsidR="003F0694" w:rsidRPr="00AE4634" w:rsidRDefault="003F0694" w:rsidP="00AE4634">
      <w:pPr>
        <w:rPr>
          <w:rFonts w:ascii="Calibri" w:eastAsia="Calibri" w:hAnsi="Calibri" w:cs="Times New Roman"/>
        </w:rPr>
      </w:pPr>
      <w:r>
        <w:rPr>
          <w:rFonts w:ascii="Calibri" w:eastAsia="Calibri" w:hAnsi="Calibri" w:cs="Times New Roman"/>
        </w:rPr>
        <w:t>De overgangsregeling riep wel vragen op over een dubbel systeem.</w:t>
      </w:r>
      <w:r>
        <w:rPr>
          <w:rStyle w:val="Voetnootmarkering"/>
          <w:rFonts w:ascii="Calibri" w:eastAsia="Calibri" w:hAnsi="Calibri" w:cs="Times New Roman"/>
        </w:rPr>
        <w:footnoteReference w:id="69"/>
      </w:r>
      <w:r>
        <w:rPr>
          <w:rFonts w:ascii="Calibri" w:eastAsia="Calibri" w:hAnsi="Calibri" w:cs="Times New Roman"/>
        </w:rPr>
        <w:t xml:space="preserve"> Door een overgangsregeling in te voeren van drie jaar krijgt men in die periode te maken met twee systemen naast elkaar, terwijl de nieuwe regeling voor administratieve lastenvermindering moet zorgen. De werkgever heeft echter slechts te maken met één systeem zodra hij een keuze heeft gemaakt. Wel moet hij inventariseren hoe de nieuwe regeling werkt en waarschijnlijk aanpassingen aanbrengen in de arbeidsvoorwaarden om het tijdstip van overgang te bepalen. Voor de Belastingdienst </w:t>
      </w:r>
      <w:r w:rsidR="00D93925">
        <w:rPr>
          <w:rFonts w:ascii="Calibri" w:eastAsia="Calibri" w:hAnsi="Calibri" w:cs="Times New Roman"/>
        </w:rPr>
        <w:t>blijft</w:t>
      </w:r>
      <w:r>
        <w:rPr>
          <w:rFonts w:ascii="Calibri" w:eastAsia="Calibri" w:hAnsi="Calibri" w:cs="Times New Roman"/>
        </w:rPr>
        <w:t xml:space="preserve"> wel een dubbel systeem bestaan. De geplande besparing die de werkkostenregeling met zich brengt wordt hierdoor doorgeschoven naar 2014, als de oude regeling komt te vervallen. De verwachting is dat in de overgangsjaren extra werk ontstaat in de uitvoering.</w:t>
      </w:r>
      <w:r>
        <w:rPr>
          <w:rStyle w:val="Voetnootmarkering"/>
          <w:rFonts w:ascii="Calibri" w:eastAsia="Calibri" w:hAnsi="Calibri" w:cs="Times New Roman"/>
        </w:rPr>
        <w:footnoteReference w:id="70"/>
      </w:r>
      <w:r>
        <w:rPr>
          <w:rFonts w:ascii="Calibri" w:eastAsia="Calibri" w:hAnsi="Calibri" w:cs="Times New Roman"/>
        </w:rPr>
        <w:t xml:space="preserve"> </w:t>
      </w:r>
    </w:p>
    <w:p w:rsidR="003F0694" w:rsidRDefault="003F0694" w:rsidP="003F0694">
      <w:pPr>
        <w:pStyle w:val="Lijstalinea"/>
        <w:numPr>
          <w:ilvl w:val="1"/>
          <w:numId w:val="7"/>
        </w:numPr>
        <w:jc w:val="both"/>
        <w:rPr>
          <w:b/>
        </w:rPr>
      </w:pPr>
      <w:r>
        <w:rPr>
          <w:b/>
        </w:rPr>
        <w:t>Conclusie</w:t>
      </w:r>
    </w:p>
    <w:p w:rsidR="003F0694" w:rsidRPr="00386370" w:rsidRDefault="003F0694" w:rsidP="00386370">
      <w:pPr>
        <w:rPr>
          <w:rFonts w:ascii="Calibri" w:eastAsia="Calibri" w:hAnsi="Calibri" w:cs="Times New Roman"/>
        </w:rPr>
      </w:pPr>
      <w:r>
        <w:rPr>
          <w:rFonts w:ascii="Calibri" w:eastAsia="Calibri" w:hAnsi="Calibri" w:cs="Times New Roman"/>
        </w:rPr>
        <w:t xml:space="preserve">De invoering van de werkkostenregeling is een grote stap. </w:t>
      </w:r>
      <w:r w:rsidR="00201781">
        <w:rPr>
          <w:rFonts w:ascii="Calibri" w:eastAsia="Calibri" w:hAnsi="Calibri" w:cs="Times New Roman"/>
        </w:rPr>
        <w:t xml:space="preserve">De verwachting is dat de werkkostenregeling niet geheel soepel opgenomen kan worden, daarvoor zijn de wijzigingen die het met zich brengt te groot. </w:t>
      </w:r>
      <w:r>
        <w:rPr>
          <w:rFonts w:ascii="Calibri" w:eastAsia="Calibri" w:hAnsi="Calibri" w:cs="Times New Roman"/>
        </w:rPr>
        <w:t xml:space="preserve">De gevolgen van de werkkostenregeling zijn ook moeilijk te overzien voor de werkgever. Het kan heel goed voorkomen dat er arbeidsrechtelijk aspecten zijn die voor de werkgever nog niet te overzien zijn. Het is lastig oordelen of met de invoer de administratieve kosten daadwerkelijk omlaag gaan, los van het feit of de regeling zelf duurder uit kan vallen. Een werkgever moet </w:t>
      </w:r>
      <w:r w:rsidR="00201781">
        <w:rPr>
          <w:rFonts w:ascii="Calibri" w:eastAsia="Calibri" w:hAnsi="Calibri" w:cs="Times New Roman"/>
        </w:rPr>
        <w:t xml:space="preserve">goed </w:t>
      </w:r>
      <w:r>
        <w:rPr>
          <w:rFonts w:ascii="Calibri" w:eastAsia="Calibri" w:hAnsi="Calibri" w:cs="Times New Roman"/>
        </w:rPr>
        <w:t>beoordelen of om een vergoeding aan te merken onder de werkkostenregeling de beste optie is, aangezien het niet ondenkbaar is dat het regulier belasten als loon gunstiger kan zijn. De wijzigingen zijn inhoudelijk te begrijpen in de opzet, maar zijn in de details niet altijd goed uitgewerkt waardoor er veel onduidelijkheid ontstaat. Zo is het niet helder wat de effecten zullen zijn van het nieuwe loonbegrip en de invloed van het arbeidsrecht. In het volgende hoofdstuk ga ik dieper in op de vereenvoudiging die het nieuwe systeem moet bieden en of de voordelen opwegen tegen de mogelijke complicaties.</w:t>
      </w:r>
    </w:p>
    <w:p w:rsidR="003F0694" w:rsidRPr="00B8203D" w:rsidRDefault="003F0694" w:rsidP="00A11DCF">
      <w:pPr>
        <w:rPr>
          <w:rFonts w:ascii="Calibri" w:eastAsia="Calibri" w:hAnsi="Calibri" w:cs="Times New Roman"/>
        </w:rPr>
      </w:pPr>
    </w:p>
    <w:p w:rsidR="003F0694" w:rsidRDefault="003F0694" w:rsidP="00A11DCF">
      <w:pPr>
        <w:rPr>
          <w:rFonts w:ascii="Calibri" w:eastAsia="Calibri" w:hAnsi="Calibri" w:cs="Times New Roman"/>
        </w:rPr>
      </w:pPr>
    </w:p>
    <w:p w:rsidR="003F0694" w:rsidRDefault="003F0694">
      <w:r>
        <w:br w:type="page"/>
      </w:r>
    </w:p>
    <w:p w:rsidR="003F0694" w:rsidRPr="00A66CF0" w:rsidRDefault="003F0694" w:rsidP="003F0694">
      <w:pPr>
        <w:pStyle w:val="Lijstalinea"/>
        <w:numPr>
          <w:ilvl w:val="0"/>
          <w:numId w:val="4"/>
        </w:numPr>
        <w:ind w:left="357" w:hanging="357"/>
        <w:contextualSpacing w:val="0"/>
        <w:jc w:val="both"/>
        <w:rPr>
          <w:b/>
        </w:rPr>
      </w:pPr>
      <w:r>
        <w:rPr>
          <w:b/>
        </w:rPr>
        <w:lastRenderedPageBreak/>
        <w:t>Oordeel</w:t>
      </w:r>
    </w:p>
    <w:p w:rsidR="003F0694" w:rsidRDefault="003F0694" w:rsidP="003F0694">
      <w:pPr>
        <w:pStyle w:val="Lijstalinea"/>
        <w:numPr>
          <w:ilvl w:val="1"/>
          <w:numId w:val="8"/>
        </w:numPr>
        <w:jc w:val="both"/>
        <w:rPr>
          <w:b/>
        </w:rPr>
      </w:pPr>
      <w:r w:rsidRPr="009A698F">
        <w:rPr>
          <w:b/>
        </w:rPr>
        <w:t>Inleiding</w:t>
      </w:r>
    </w:p>
    <w:p w:rsidR="003F0694" w:rsidRDefault="003F0694" w:rsidP="00090574">
      <w:pPr>
        <w:rPr>
          <w:rFonts w:ascii="Calibri" w:eastAsia="Calibri" w:hAnsi="Calibri" w:cs="Times New Roman"/>
        </w:rPr>
      </w:pPr>
      <w:r>
        <w:rPr>
          <w:rFonts w:ascii="Calibri" w:eastAsia="Calibri" w:hAnsi="Calibri" w:cs="Times New Roman"/>
        </w:rPr>
        <w:t xml:space="preserve">Uit de vorige hoofdstukken is naar voren gekomen hoe de nieuwe werkkostenregeling werkt en wat de verschillen en overeenkomsten zijn met het huidige systeem. In het vorige hoofdstuk zijn echter ook enkele knelpunten van het nieuwe systeem naar voren gekomen die door de vakliteratuur zijn opgemerkt. In dit hoofdstuk </w:t>
      </w:r>
      <w:r w:rsidR="00201781">
        <w:rPr>
          <w:rFonts w:ascii="Calibri" w:eastAsia="Calibri" w:hAnsi="Calibri" w:cs="Times New Roman"/>
        </w:rPr>
        <w:t xml:space="preserve">toets </w:t>
      </w:r>
      <w:r>
        <w:rPr>
          <w:rFonts w:ascii="Calibri" w:eastAsia="Calibri" w:hAnsi="Calibri" w:cs="Times New Roman"/>
        </w:rPr>
        <w:t>ik de werkkostenregeling en geef ik mijn oordeel over de nieuwe regeling. In dit hoofdstuk geef ik tevens antwoord op de vraag “</w:t>
      </w:r>
      <w:r w:rsidRPr="00354214">
        <w:rPr>
          <w:rFonts w:ascii="Calibri" w:eastAsia="Calibri" w:hAnsi="Calibri" w:cs="Times New Roman"/>
          <w:i/>
        </w:rPr>
        <w:t>Voldoet de nieuwe regeling aan de toetsingscriteria?</w:t>
      </w:r>
      <w:r>
        <w:rPr>
          <w:rFonts w:ascii="Calibri" w:eastAsia="Calibri" w:hAnsi="Calibri" w:cs="Times New Roman"/>
        </w:rPr>
        <w:t>”.</w:t>
      </w:r>
    </w:p>
    <w:p w:rsidR="003F0694" w:rsidRPr="00090574" w:rsidRDefault="003F0694" w:rsidP="00090574">
      <w:pPr>
        <w:rPr>
          <w:rFonts w:ascii="Calibri" w:eastAsia="Calibri" w:hAnsi="Calibri" w:cs="Times New Roman"/>
        </w:rPr>
      </w:pPr>
      <w:r>
        <w:rPr>
          <w:rFonts w:ascii="Calibri" w:eastAsia="Calibri" w:hAnsi="Calibri" w:cs="Times New Roman"/>
        </w:rPr>
        <w:t xml:space="preserve">Eerst </w:t>
      </w:r>
      <w:r w:rsidR="00D52427">
        <w:rPr>
          <w:rFonts w:ascii="Calibri" w:eastAsia="Calibri" w:hAnsi="Calibri" w:cs="Times New Roman"/>
        </w:rPr>
        <w:t xml:space="preserve">licht </w:t>
      </w:r>
      <w:r>
        <w:rPr>
          <w:rFonts w:ascii="Calibri" w:eastAsia="Calibri" w:hAnsi="Calibri" w:cs="Times New Roman"/>
        </w:rPr>
        <w:t>ik deze toetsingscriteria toe. Nadat duidelijk is welke toetsingseisen gesteld zijn en waarom deze gesteld zijn pas ik deze toe en beoordeel ik of de werkkostenregeling een stap in de goede richting is of dat dit niet het geval is.</w:t>
      </w:r>
    </w:p>
    <w:p w:rsidR="003F0694" w:rsidRPr="00D11C9C" w:rsidRDefault="003F0694" w:rsidP="00440EEE">
      <w:pPr>
        <w:pStyle w:val="Lijstalinea"/>
        <w:numPr>
          <w:ilvl w:val="1"/>
          <w:numId w:val="8"/>
        </w:numPr>
        <w:jc w:val="both"/>
        <w:rPr>
          <w:b/>
        </w:rPr>
      </w:pPr>
      <w:r>
        <w:rPr>
          <w:b/>
        </w:rPr>
        <w:t>Toetsingscriteria</w:t>
      </w:r>
    </w:p>
    <w:p w:rsidR="003F0694" w:rsidRDefault="003F0694" w:rsidP="00440EEE">
      <w:pPr>
        <w:rPr>
          <w:rFonts w:ascii="Calibri" w:eastAsia="Calibri" w:hAnsi="Calibri" w:cs="Times New Roman"/>
        </w:rPr>
      </w:pPr>
      <w:r>
        <w:rPr>
          <w:rFonts w:ascii="Calibri" w:eastAsia="Calibri" w:hAnsi="Calibri" w:cs="Times New Roman"/>
        </w:rPr>
        <w:t>Het eerste criterium waar ik de regeling aan toets is eenvoud. Daar de Fiscale vereenvoudigingswet als speerpunt het vereenvoudigen en terugdringen van de administratieve lasten heeft,</w:t>
      </w:r>
      <w:r>
        <w:rPr>
          <w:rStyle w:val="Voetnootmarkering"/>
          <w:rFonts w:ascii="Calibri" w:eastAsia="Calibri" w:hAnsi="Calibri" w:cs="Times New Roman"/>
        </w:rPr>
        <w:footnoteReference w:id="71"/>
      </w:r>
      <w:r>
        <w:rPr>
          <w:rFonts w:ascii="Calibri" w:eastAsia="Calibri" w:hAnsi="Calibri" w:cs="Times New Roman"/>
        </w:rPr>
        <w:t xml:space="preserve"> is dit het belangrijkste criterium van de nieuwe regeling. Immers de invoer en wijziging van de huidige regeling heeft weinig nut als hier niet aan voldaan wordt. Voor de toetsing ga ik in op de navolgende vragen:</w:t>
      </w:r>
    </w:p>
    <w:p w:rsidR="003F0694" w:rsidRDefault="003F0694" w:rsidP="003F0694">
      <w:pPr>
        <w:pStyle w:val="Lijstalinea"/>
        <w:numPr>
          <w:ilvl w:val="0"/>
          <w:numId w:val="9"/>
        </w:numPr>
        <w:jc w:val="both"/>
      </w:pPr>
      <w:r>
        <w:rPr>
          <w:i/>
        </w:rPr>
        <w:t>W</w:t>
      </w:r>
      <w:r w:rsidRPr="00740F93">
        <w:rPr>
          <w:i/>
        </w:rPr>
        <w:t>ord</w:t>
      </w:r>
      <w:r>
        <w:rPr>
          <w:i/>
        </w:rPr>
        <w:t>t</w:t>
      </w:r>
      <w:r w:rsidRPr="00740F93">
        <w:rPr>
          <w:i/>
        </w:rPr>
        <w:t xml:space="preserve"> de wetsystematiek vereenvoudigd en duidelijker</w:t>
      </w:r>
      <w:r>
        <w:rPr>
          <w:i/>
        </w:rPr>
        <w:t>?;</w:t>
      </w:r>
    </w:p>
    <w:p w:rsidR="003F0694" w:rsidRDefault="003F0694" w:rsidP="003F0694">
      <w:pPr>
        <w:pStyle w:val="Lijstalinea"/>
        <w:numPr>
          <w:ilvl w:val="0"/>
          <w:numId w:val="9"/>
        </w:numPr>
        <w:jc w:val="both"/>
      </w:pPr>
      <w:r>
        <w:rPr>
          <w:i/>
        </w:rPr>
        <w:t>Wordt</w:t>
      </w:r>
      <w:r w:rsidRPr="00740F93">
        <w:rPr>
          <w:i/>
        </w:rPr>
        <w:t xml:space="preserve"> het voor werkgevers en Belastingdienst eenvoudiger in de uitvoerin</w:t>
      </w:r>
      <w:r>
        <w:rPr>
          <w:i/>
        </w:rPr>
        <w:t>g?;</w:t>
      </w:r>
    </w:p>
    <w:p w:rsidR="003F0694" w:rsidRDefault="00201781" w:rsidP="003F0694">
      <w:pPr>
        <w:pStyle w:val="Lijstalinea"/>
        <w:numPr>
          <w:ilvl w:val="0"/>
          <w:numId w:val="9"/>
        </w:numPr>
        <w:jc w:val="both"/>
        <w:rPr>
          <w:i/>
        </w:rPr>
      </w:pPr>
      <w:r>
        <w:rPr>
          <w:i/>
        </w:rPr>
        <w:t>Draagt</w:t>
      </w:r>
      <w:r w:rsidRPr="00740F93">
        <w:rPr>
          <w:i/>
        </w:rPr>
        <w:t xml:space="preserve"> de overgangsregeling bi</w:t>
      </w:r>
      <w:r>
        <w:rPr>
          <w:i/>
        </w:rPr>
        <w:t>j</w:t>
      </w:r>
      <w:r w:rsidRPr="00740F93">
        <w:rPr>
          <w:i/>
        </w:rPr>
        <w:t xml:space="preserve"> aan</w:t>
      </w:r>
      <w:r>
        <w:rPr>
          <w:i/>
        </w:rPr>
        <w:t xml:space="preserve"> eenvoud of doet deze hieraan afbreuk?</w:t>
      </w:r>
    </w:p>
    <w:p w:rsidR="003F0694" w:rsidRDefault="003F0694" w:rsidP="00740F93">
      <w:pPr>
        <w:rPr>
          <w:rFonts w:ascii="Calibri" w:eastAsia="Calibri" w:hAnsi="Calibri" w:cs="Times New Roman"/>
        </w:rPr>
      </w:pPr>
      <w:r>
        <w:rPr>
          <w:rFonts w:ascii="Calibri" w:eastAsia="Calibri" w:hAnsi="Calibri" w:cs="Times New Roman"/>
        </w:rPr>
        <w:t>Het tweede toetsingscriterium is rechtvaardigheid. Ons belastingsysteem is gebaseerd op een eerlijke heffing waarbij er zo min mogelijk verschillend wordt belast. Zo moet ook bij het vergoeden van kosten in dienstverband dit op een gerechtvaardigde manier geschieden.</w:t>
      </w:r>
      <w:r w:rsidRPr="00003968">
        <w:rPr>
          <w:rFonts w:ascii="Calibri" w:eastAsia="Calibri" w:hAnsi="Calibri" w:cs="Times New Roman"/>
        </w:rPr>
        <w:t xml:space="preserve"> </w:t>
      </w:r>
      <w:r>
        <w:rPr>
          <w:rFonts w:ascii="Calibri" w:eastAsia="Calibri" w:hAnsi="Calibri" w:cs="Times New Roman"/>
        </w:rPr>
        <w:t>Werknemers willen immers niet de indruk krijgen dat zij worden benadeeld of dat discriminatie plaats vindt. Om de rechtvaardigheid van het nieuwe systeem te boordelen maak ik gebruik van de volgende criteria:</w:t>
      </w:r>
    </w:p>
    <w:p w:rsidR="003F0694" w:rsidRPr="00561BDD" w:rsidRDefault="003F0694" w:rsidP="003F0694">
      <w:pPr>
        <w:pStyle w:val="Lijstalinea"/>
        <w:numPr>
          <w:ilvl w:val="0"/>
          <w:numId w:val="10"/>
        </w:numPr>
        <w:jc w:val="both"/>
      </w:pPr>
      <w:r>
        <w:rPr>
          <w:i/>
        </w:rPr>
        <w:t>Is er gelijke behandeling van werknemers in de nieuwe regeling?;</w:t>
      </w:r>
    </w:p>
    <w:p w:rsidR="003F0694" w:rsidRPr="00233174" w:rsidRDefault="003F0694" w:rsidP="003F0694">
      <w:pPr>
        <w:pStyle w:val="Lijstalinea"/>
        <w:numPr>
          <w:ilvl w:val="0"/>
          <w:numId w:val="10"/>
        </w:numPr>
        <w:jc w:val="both"/>
      </w:pPr>
      <w:r>
        <w:rPr>
          <w:i/>
        </w:rPr>
        <w:t>Is de systematiek rechtvaardig?.</w:t>
      </w:r>
    </w:p>
    <w:p w:rsidR="003F0694" w:rsidRPr="00561BDD" w:rsidRDefault="003F0694" w:rsidP="00233174">
      <w:pPr>
        <w:rPr>
          <w:rFonts w:ascii="Calibri" w:eastAsia="Calibri" w:hAnsi="Calibri" w:cs="Times New Roman"/>
        </w:rPr>
      </w:pPr>
      <w:r>
        <w:rPr>
          <w:rFonts w:ascii="Calibri" w:eastAsia="Calibri" w:hAnsi="Calibri" w:cs="Times New Roman"/>
        </w:rPr>
        <w:t>Deze toetsingscriteria moeten een beeld geven over de nieuwe regeling. Als de regeling voldoet aan deze eisen zal de nieuwe regeling vereenvoudiging op een rechtvaardige manier brengen. Indien er op één of meer punten niet voldaan wordt dient daar naar gekeken te worden en eventueel aanpassingen gemaakt zodat de regeling volstaat.</w:t>
      </w:r>
    </w:p>
    <w:p w:rsidR="003F0694" w:rsidRDefault="003F0694" w:rsidP="003F0694">
      <w:pPr>
        <w:pStyle w:val="Lijstalinea"/>
        <w:numPr>
          <w:ilvl w:val="1"/>
          <w:numId w:val="8"/>
        </w:numPr>
        <w:ind w:left="357" w:hanging="357"/>
        <w:contextualSpacing w:val="0"/>
        <w:jc w:val="both"/>
        <w:rPr>
          <w:b/>
        </w:rPr>
      </w:pPr>
      <w:r>
        <w:rPr>
          <w:b/>
        </w:rPr>
        <w:t>Criteria getoetst op de werkkostenregeling</w:t>
      </w:r>
    </w:p>
    <w:p w:rsidR="003F0694" w:rsidRDefault="003F0694" w:rsidP="003F0694">
      <w:pPr>
        <w:pStyle w:val="Lijstalinea"/>
        <w:numPr>
          <w:ilvl w:val="2"/>
          <w:numId w:val="8"/>
        </w:numPr>
        <w:jc w:val="both"/>
        <w:rPr>
          <w:b/>
        </w:rPr>
      </w:pPr>
      <w:r>
        <w:rPr>
          <w:b/>
        </w:rPr>
        <w:t>Eenvoud</w:t>
      </w:r>
    </w:p>
    <w:p w:rsidR="003F0694" w:rsidRDefault="003F0694" w:rsidP="00370C1C">
      <w:pPr>
        <w:rPr>
          <w:rFonts w:ascii="Calibri" w:eastAsia="Calibri" w:hAnsi="Calibri" w:cs="Times New Roman"/>
        </w:rPr>
      </w:pPr>
      <w:r>
        <w:rPr>
          <w:rFonts w:ascii="Calibri" w:eastAsia="Calibri" w:hAnsi="Calibri" w:cs="Times New Roman"/>
        </w:rPr>
        <w:t>Ik ga nu bovengenoemde criteria toepassen op de werkkostenregeling. Ik begin hierbij met de eenvoud van het nieuwe systeem, een van de belangrijkste pijlers.</w:t>
      </w:r>
    </w:p>
    <w:p w:rsidR="003F0694" w:rsidRDefault="003F0694" w:rsidP="00370C1C">
      <w:pPr>
        <w:rPr>
          <w:rFonts w:ascii="Calibri" w:eastAsia="Calibri" w:hAnsi="Calibri" w:cs="Times New Roman"/>
        </w:rPr>
      </w:pPr>
      <w:r>
        <w:rPr>
          <w:rFonts w:ascii="Calibri" w:eastAsia="Calibri" w:hAnsi="Calibri" w:cs="Times New Roman"/>
        </w:rPr>
        <w:lastRenderedPageBreak/>
        <w:t>Allereerst kijk ik naar de wetsystematiek. Wordt deze vereenvoudigd en duidelijker? De grootste wijziging is die van het loonbegrip van art. 10, Wet LB 1964. Zoals in hoofdstuk 4 is aangehaald zijn er bedenkingen over hoe de wijziging van het loonbegrip bijdraagt aan de vereenvoudiging en of deze wijziging wel nodig was.</w:t>
      </w:r>
      <w:r>
        <w:rPr>
          <w:rStyle w:val="Voetnootmarkering"/>
          <w:rFonts w:ascii="Calibri" w:eastAsia="Calibri" w:hAnsi="Calibri" w:cs="Times New Roman"/>
        </w:rPr>
        <w:footnoteReference w:id="72"/>
      </w:r>
      <w:r>
        <w:rPr>
          <w:rFonts w:ascii="Calibri" w:eastAsia="Calibri" w:hAnsi="Calibri" w:cs="Times New Roman"/>
        </w:rPr>
        <w:t xml:space="preserve"> Dat uit de memorie van toelichting moet blijken wat de wijziging van het loonbegrip precies inhoudt</w:t>
      </w:r>
      <w:r>
        <w:rPr>
          <w:rStyle w:val="Voetnootmarkering"/>
          <w:rFonts w:ascii="Calibri" w:eastAsia="Calibri" w:hAnsi="Calibri" w:cs="Times New Roman"/>
        </w:rPr>
        <w:footnoteReference w:id="73"/>
      </w:r>
      <w:r>
        <w:rPr>
          <w:rFonts w:ascii="Calibri" w:eastAsia="Calibri" w:hAnsi="Calibri" w:cs="Times New Roman"/>
        </w:rPr>
        <w:t xml:space="preserve"> laat zien dat de wijziging in de wettekst weinig verhelderend werkt. De nieuwe systematiek vereist dat vergoedingen en verstrekkingen onder het loonbegrip vallen, om vervolgens naar keuze van de werkgever aangemerkt te worden en onbelast te blijven. De kritiek dat het voordeelcriterium komt te vervallen is mijn inziens niet geheel terecht. Mertens</w:t>
      </w:r>
      <w:r>
        <w:rPr>
          <w:rStyle w:val="Voetnootmarkering"/>
          <w:rFonts w:ascii="Calibri" w:eastAsia="Calibri" w:hAnsi="Calibri" w:cs="Times New Roman"/>
        </w:rPr>
        <w:footnoteReference w:id="74"/>
      </w:r>
      <w:r>
        <w:rPr>
          <w:rFonts w:ascii="Calibri" w:eastAsia="Calibri" w:hAnsi="Calibri" w:cs="Times New Roman"/>
        </w:rPr>
        <w:t xml:space="preserve"> en Hoogstraten</w:t>
      </w:r>
      <w:r>
        <w:rPr>
          <w:rStyle w:val="Voetnootmarkering"/>
          <w:rFonts w:ascii="Calibri" w:eastAsia="Calibri" w:hAnsi="Calibri" w:cs="Times New Roman"/>
        </w:rPr>
        <w:footnoteReference w:id="75"/>
      </w:r>
      <w:r>
        <w:rPr>
          <w:rFonts w:ascii="Calibri" w:eastAsia="Calibri" w:hAnsi="Calibri" w:cs="Times New Roman"/>
        </w:rPr>
        <w:t xml:space="preserve"> concludeerden dit al, en ik sluit me bij hun mening aan; de wijziging beoogt slechts vergoedingen en verstrekkingen expliciet tot het loon te rekenen waar ze in de huidige regeling expliciet vrijgesteld zijn. Het loonbegrip steunt nog altijd op de causaliteit tussen het voordeel en de dienstbetrekking. Als er geen voordeel is, is er ook geen sprake van loon. Desondanks kan deze wijziging zorgen voor onduidelijkheid, wat niet bijdraagt aan de vereenvoudiging.</w:t>
      </w:r>
    </w:p>
    <w:p w:rsidR="003F0694" w:rsidRDefault="003F0694" w:rsidP="00370C1C">
      <w:pPr>
        <w:rPr>
          <w:rFonts w:ascii="Calibri" w:eastAsia="Calibri" w:hAnsi="Calibri" w:cs="Times New Roman"/>
        </w:rPr>
      </w:pPr>
      <w:r>
        <w:rPr>
          <w:rFonts w:ascii="Calibri" w:eastAsia="Calibri" w:hAnsi="Calibri" w:cs="Times New Roman"/>
        </w:rPr>
        <w:t>Ook voor verstrekkingen op de werkplek komt er een wijziging in de wettekst. Via een delegatiebepaling worden verstrekkingen op de werkplek op nihil gewaardeerd om zodoende het forfait niet te verlagen.</w:t>
      </w:r>
      <w:r>
        <w:rPr>
          <w:rStyle w:val="Voetnootmarkering"/>
          <w:rFonts w:ascii="Calibri" w:eastAsia="Calibri" w:hAnsi="Calibri" w:cs="Times New Roman"/>
        </w:rPr>
        <w:footnoteReference w:id="76"/>
      </w:r>
      <w:r>
        <w:rPr>
          <w:rFonts w:ascii="Calibri" w:eastAsia="Calibri" w:hAnsi="Calibri" w:cs="Times New Roman"/>
        </w:rPr>
        <w:t xml:space="preserve"> Er zijn geen wijzigingen beoogt ten opzicht van verstrekkingen zoals ze reeds zijn vrijgesteld. Er wordt nadrukkelijk vermeld dat het gaat om verstrekkingen </w:t>
      </w:r>
      <w:r>
        <w:rPr>
          <w:rFonts w:ascii="Calibri" w:eastAsia="Calibri" w:hAnsi="Calibri" w:cs="Times New Roman"/>
          <w:i/>
        </w:rPr>
        <w:t>op de werkplek</w:t>
      </w:r>
      <w:r>
        <w:rPr>
          <w:rFonts w:ascii="Calibri" w:eastAsia="Calibri" w:hAnsi="Calibri" w:cs="Times New Roman"/>
        </w:rPr>
        <w:t xml:space="preserve">. Wat precies onder de werkplek valt is echter niet geheel duidelijk geformuleerd, maar heeft in de huidige regeling tot niet veel discussie geleid. Aangezien de regeling nog niet concreet is opgesteld kan er nog geen definitief antwoord worden gegeven op de vraag hoe de nihil-waarderingen gaan uitpakken, maar mijn verwachting is dat de bepaling een open karakter </w:t>
      </w:r>
      <w:r w:rsidR="00D93925">
        <w:rPr>
          <w:rFonts w:ascii="Calibri" w:eastAsia="Calibri" w:hAnsi="Calibri" w:cs="Times New Roman"/>
        </w:rPr>
        <w:t>krijgt</w:t>
      </w:r>
      <w:r>
        <w:rPr>
          <w:rFonts w:ascii="Calibri" w:eastAsia="Calibri" w:hAnsi="Calibri" w:cs="Times New Roman"/>
        </w:rPr>
        <w:t xml:space="preserve"> daar nooit alle verstrekkingen opgesomd kunnen worden. Dit zorgt er voor </w:t>
      </w:r>
      <w:r w:rsidR="00D52427">
        <w:rPr>
          <w:rFonts w:ascii="Calibri" w:eastAsia="Calibri" w:hAnsi="Calibri" w:cs="Times New Roman"/>
        </w:rPr>
        <w:t>dat er ruimte is voor discussie</w:t>
      </w:r>
      <w:r>
        <w:rPr>
          <w:rFonts w:ascii="Calibri" w:eastAsia="Calibri" w:hAnsi="Calibri" w:cs="Times New Roman"/>
        </w:rPr>
        <w:t xml:space="preserve"> en ik de</w:t>
      </w:r>
      <w:r w:rsidR="00D52427">
        <w:rPr>
          <w:rFonts w:ascii="Calibri" w:eastAsia="Calibri" w:hAnsi="Calibri" w:cs="Times New Roman"/>
        </w:rPr>
        <w:t>nk dat werkgevers op zoek</w:t>
      </w:r>
      <w:r>
        <w:rPr>
          <w:rFonts w:ascii="Calibri" w:eastAsia="Calibri" w:hAnsi="Calibri" w:cs="Times New Roman"/>
        </w:rPr>
        <w:t xml:space="preserve"> gaan naar vergoedingen die in de vorm van een verstrekking op de werkplek op nihil gewaardeerd kunnen worden. Daarnaast bestaat er de kans op discussie over wat het verschil is tussen een verstrekking van een zakelijk goed op de werkplek of buiten de werkplek. Dit heeft bij het ontstaan van de Fiscale vereenvoudigingswet al eerder tot Kamervragen geleid.</w:t>
      </w:r>
      <w:r>
        <w:rPr>
          <w:rStyle w:val="Voetnootmarkering"/>
          <w:rFonts w:ascii="Calibri" w:eastAsia="Calibri" w:hAnsi="Calibri" w:cs="Times New Roman"/>
        </w:rPr>
        <w:footnoteReference w:id="77"/>
      </w:r>
      <w:r>
        <w:rPr>
          <w:rFonts w:ascii="Calibri" w:eastAsia="Calibri" w:hAnsi="Calibri" w:cs="Times New Roman"/>
        </w:rPr>
        <w:t xml:space="preserve"> Deze speling is inherent aan de wens om verstrekkingen op de werkplek onbelast te laten. Of dit alles echt een groot probleem gaat vormen voor de regeling is nog niet te overzien. Ik denk dat er menig discussie zal ontstaan tussen inhoudingsplichtige en inspecteur over de nihil-waardering van grensgevallen. Zo kunnen bijvoorbeeld vakliteratuur en werkkleding die buiten de werkplek gebruikt worden in principe niet een nihil-waardering krijgen doordat ze niet op de werkplek verstrekt worden.</w:t>
      </w:r>
    </w:p>
    <w:p w:rsidR="003F0694" w:rsidRDefault="003F0694" w:rsidP="00370C1C">
      <w:pPr>
        <w:rPr>
          <w:rFonts w:ascii="Calibri" w:eastAsia="Calibri" w:hAnsi="Calibri" w:cs="Times New Roman"/>
        </w:rPr>
      </w:pPr>
      <w:r>
        <w:rPr>
          <w:rFonts w:ascii="Calibri" w:eastAsia="Calibri" w:hAnsi="Calibri" w:cs="Times New Roman"/>
        </w:rPr>
        <w:t xml:space="preserve">Het volgende criterium is of het voor werkgevers en Belastingdienst eenvoudiger wordt in de uitvoering. Dit is maar zeer de vraag. De wijzigingen hebben als ultiem doel de administratieve lasten voor beide partijen te verminderen, maar door het gemengde karakter van de nieuwe regeling (forfait en gerichte vrijstellingen) is onduidelijk of dit doel behaald wordt. Zoals in hoofdstuk 3 naar voren is gekomen heeft de nieuwe systematiek een tweedeling in de behandeling van vergoedingen. Enerzijds is er het forfait wat in essentie de eenvoudig bevordert daar alle vergoedingen - die onder </w:t>
      </w:r>
      <w:r>
        <w:rPr>
          <w:rFonts w:ascii="Calibri" w:eastAsia="Calibri" w:hAnsi="Calibri" w:cs="Times New Roman"/>
        </w:rPr>
        <w:lastRenderedPageBreak/>
        <w:t xml:space="preserve">het forfait vallen - zonder verder onderzoek belastingvrij vergoed mogen worden. Anderzijds wordt een deel van de vergoedingen apart opgenomen als gerichte vrijstelling zoals deze in de huidige regeling verwerkt zijn, waar dus ook de huidige toetsen van kracht zijn. De nieuwe regeling wilde juist deze toetsen wegnemen en vereenvoudiging bieden, maar brengt nu een systeem waar juist een nieuw component is toegevoegd. De werkgever moet nu beoordelen of voor de vergoeding die hij aan een werknemer doet een gerichte vrijstelling is opgenomen. Is dit niet het geval kan hij de vergoeding belastingvrij onder het forfait scharen. Daarbij moet hij wel rekening houden met de grens van 1,4% van de totale loonsom wil hij niet tegen een eindheffing van 80% aanlopen. Het forfait is voor werkgevers in essentie dus een vereenvoudiging van het huidige systeem, maar door het van kracht blijven van gerichte vrijstellingen komt er slechts een extra component bij welke ervoor zorgt dat de werkgever nog beter moet beoordelen wat hij als vergoeding aanwijst. De keuzemogelijkheid om zonder toetsen aan te wijzen welke vergoedingen onder het forfait vallen ziet er aantrekkelijk uit, maar zoals in hoofdstuk 4 is opgemerkt kan ook de toepassing van het arbeidsrecht ervoor zorgen dat dit niet zo functioneel meer is. Naar mijn idee zal de vereenvoudiging voor de werkgever tegen vallen en wordt hij geconfronteerd met een nieuwe regeling die complexer wordt doordat er nog altijd gerichte vrijstellingen zijn en hij tegen een 80% eindheffing aan kan lopen die wellicht niet gewenst is. Daarnaast bestaat er overigens ook de mogelijkheid dat de eindheffing in het voordeel kan werken, zoals reeds toegelicht in hoofdstuk 4. Voor de werkgever is het van belang de afweging te maken tussen eindheffing onder de werkkostenregeling of aanmerking als regulier loon en eventueel de bijhorende brutering. Wat voordeliger uitpakt is voor de werkgever echter moeilijk in te schatten. Er moet hier dus rekening mee worden gehouden, waar dit onder de huidige regeling niet speelt, en zorgt voor meer </w:t>
      </w:r>
      <w:r w:rsidR="00201781">
        <w:rPr>
          <w:rFonts w:ascii="Calibri" w:eastAsia="Calibri" w:hAnsi="Calibri" w:cs="Times New Roman"/>
        </w:rPr>
        <w:t xml:space="preserve">complexiteit. </w:t>
      </w:r>
      <w:r>
        <w:rPr>
          <w:rFonts w:ascii="Calibri" w:eastAsia="Calibri" w:hAnsi="Calibri" w:cs="Times New Roman"/>
        </w:rPr>
        <w:t>Uiteindelijk draagt dit geheel van keuzes en mogelijke uitwerkingen niet bij aan vereenvoudiging; de werkgever krijgt juist meer om over na te denken.</w:t>
      </w:r>
    </w:p>
    <w:p w:rsidR="003F0694" w:rsidRDefault="003F0694" w:rsidP="00370C1C">
      <w:pPr>
        <w:rPr>
          <w:rFonts w:ascii="Calibri" w:eastAsia="Calibri" w:hAnsi="Calibri" w:cs="Times New Roman"/>
        </w:rPr>
      </w:pPr>
      <w:r>
        <w:rPr>
          <w:rFonts w:ascii="Calibri" w:eastAsia="Calibri" w:hAnsi="Calibri" w:cs="Times New Roman"/>
        </w:rPr>
        <w:t xml:space="preserve">Voor de Belastingdienst </w:t>
      </w:r>
      <w:r w:rsidR="003A7CAC">
        <w:rPr>
          <w:rFonts w:ascii="Calibri" w:eastAsia="Calibri" w:hAnsi="Calibri" w:cs="Times New Roman"/>
        </w:rPr>
        <w:t>zorgt</w:t>
      </w:r>
      <w:r>
        <w:rPr>
          <w:rFonts w:ascii="Calibri" w:eastAsia="Calibri" w:hAnsi="Calibri" w:cs="Times New Roman"/>
        </w:rPr>
        <w:t xml:space="preserve"> de nieuwe regeling ook niet per definitie voor een eenvoudige uitvoering. Ook zij lopen tegen de tweedeling aan en ook voor hen komt er een extra component bij de kostenvergoedingen. Zo moeten zij nog altijd controleren of de gerichte vrijstellingen voldoen aan de gestelde normen en eisen als onder het huidige systeem. Bij het forfait komt de controle of de vergoedingen de gebruikelijkheidstoets doorstaan en ligt de bewijslast bij de inspecteur. Daar nog niet goed te overzien is hoe de nieuwe regeling in de praktijk werkt is er geen definitief oordeel te geven over de eenvoud in de uitvoering. Toch is het opmerkelijk dat een nieuw systeem dat eenvoud prevaleert wordt opgezadeld met regels uit het huidige systeem, zij het in uitgedunde vorm. Hierdoor krijg ik de indruk dat door de wens oude normen en eisen te behouden er slechts een uitbreiding heeft plaats gevonden in het regime van kostenvergoedingen.</w:t>
      </w:r>
    </w:p>
    <w:p w:rsidR="003F0694" w:rsidRDefault="003F0694" w:rsidP="00370C1C">
      <w:pPr>
        <w:rPr>
          <w:rFonts w:ascii="Calibri" w:eastAsia="Calibri" w:hAnsi="Calibri" w:cs="Times New Roman"/>
        </w:rPr>
      </w:pPr>
      <w:r>
        <w:rPr>
          <w:rFonts w:ascii="Calibri" w:eastAsia="Calibri" w:hAnsi="Calibri" w:cs="Times New Roman"/>
        </w:rPr>
        <w:t>Tot slot kan ook de overgangsregeling zorgen voor minder eenvoud dan beoogd. Hoewel de wetgever hiervan op de hoogte is en erkent dat het de lasten voor de Belastingdienst niet verminderen – sterker nog, toe nemen – is het noodzaak een overgangsregeling te hanteren. De nieuwe regeling heeft grote gevolgen voor de loonbelasting en arbeidsovereenkomsten zullen aangepast moeten worden. Daarnaast is het voor werkgevers moeilijk in te schatten wat de effecten zullen zijn van de nieuwe regeling, daar is tijd voor nodig. Zodoende is een overgangsregeling voor de werkgevers posit</w:t>
      </w:r>
      <w:r w:rsidR="003A7CAC">
        <w:rPr>
          <w:rFonts w:ascii="Calibri" w:eastAsia="Calibri" w:hAnsi="Calibri" w:cs="Times New Roman"/>
        </w:rPr>
        <w:t xml:space="preserve">ief daar zij tijd krijgen </w:t>
      </w:r>
      <w:r>
        <w:rPr>
          <w:rFonts w:ascii="Calibri" w:eastAsia="Calibri" w:hAnsi="Calibri" w:cs="Times New Roman"/>
        </w:rPr>
        <w:t xml:space="preserve">om aanpassingen te maken en te oordelen wat de effecten zullen zijn. Ook levert dit een (tijdelijk) dilemma bij de beoordeling wanneer over te gaan op de nieuwe regeling. In principe mag de werkgever gedurende de overgangsperiode elk jaar wisselen van systeem, maar het is voor de hand liggend dat eens een werkgever de overstap heeft gemaakt niet </w:t>
      </w:r>
      <w:r>
        <w:rPr>
          <w:rFonts w:ascii="Calibri" w:eastAsia="Calibri" w:hAnsi="Calibri" w:cs="Times New Roman"/>
        </w:rPr>
        <w:lastRenderedPageBreak/>
        <w:t xml:space="preserve">meer terug </w:t>
      </w:r>
      <w:r w:rsidR="00D93925">
        <w:rPr>
          <w:rFonts w:ascii="Calibri" w:eastAsia="Calibri" w:hAnsi="Calibri" w:cs="Times New Roman"/>
        </w:rPr>
        <w:t>gaat</w:t>
      </w:r>
      <w:r>
        <w:rPr>
          <w:rFonts w:ascii="Calibri" w:eastAsia="Calibri" w:hAnsi="Calibri" w:cs="Times New Roman"/>
        </w:rPr>
        <w:t xml:space="preserve"> op het oude systeem. Voor de Belastingdienst zijn er voor drie jaar twee systemen naast elkaar van kracht. Dit verhoogt de administratieve last en maakt de uitvoering niet gemakkelijker. Ondanks deze nadelen kan er niet om de o</w:t>
      </w:r>
      <w:r w:rsidR="003A7CAC">
        <w:rPr>
          <w:rFonts w:ascii="Calibri" w:eastAsia="Calibri" w:hAnsi="Calibri" w:cs="Times New Roman"/>
        </w:rPr>
        <w:t>vergangsregeling heen</w:t>
      </w:r>
      <w:r>
        <w:rPr>
          <w:rFonts w:ascii="Calibri" w:eastAsia="Calibri" w:hAnsi="Calibri" w:cs="Times New Roman"/>
        </w:rPr>
        <w:t xml:space="preserve"> en uiteindelijk draagt het bij aan een soepele(re) overgang naar het nieuwe systeem. Naar mijn mening moet dit als tijdelijk euvel voor lief worden genomen en is het belangrijker de uiteindelijke regeling in zijn geheel op orde te krijgen.</w:t>
      </w:r>
    </w:p>
    <w:p w:rsidR="003F0694" w:rsidRDefault="003F0694" w:rsidP="003F0694">
      <w:pPr>
        <w:pStyle w:val="Lijstalinea"/>
        <w:numPr>
          <w:ilvl w:val="2"/>
          <w:numId w:val="8"/>
        </w:numPr>
        <w:jc w:val="both"/>
        <w:rPr>
          <w:b/>
        </w:rPr>
      </w:pPr>
      <w:r>
        <w:rPr>
          <w:b/>
        </w:rPr>
        <w:t>Rechtvaardigheid</w:t>
      </w:r>
    </w:p>
    <w:p w:rsidR="003F0694" w:rsidRDefault="003F0694" w:rsidP="00003968">
      <w:pPr>
        <w:rPr>
          <w:rFonts w:ascii="Calibri" w:eastAsia="Calibri" w:hAnsi="Calibri" w:cs="Times New Roman"/>
        </w:rPr>
      </w:pPr>
      <w:r>
        <w:rPr>
          <w:rFonts w:ascii="Calibri" w:eastAsia="Calibri" w:hAnsi="Calibri" w:cs="Times New Roman"/>
        </w:rPr>
        <w:t xml:space="preserve">Om te toetsen of de regeling rechtvaardig is beoordeel ik in hoeverre er ongelijke behandeling plaatsvindt. Werknemers zullen zich immers benadeeld voelen als ze merken dat een collega onder dezelfde omstandigheden anders wordt behandeld. Het systeem bevat nu een forfait, waarbij de gehele loonsom wordt meegenomen. Over dit bedrag wordt bepaald wat belastingvrij wordt vergoed. De werkgever kan een groep werknemers in zijn geheel een vergoeding toekennen, zonder verdere toetsing of elke werknemer voldoet aan de eisen of dat de werkelijke kosten overeenkomen. Dezelfde soort werknemers </w:t>
      </w:r>
      <w:r w:rsidR="00201781">
        <w:rPr>
          <w:rFonts w:ascii="Calibri" w:eastAsia="Calibri" w:hAnsi="Calibri" w:cs="Times New Roman"/>
        </w:rPr>
        <w:t>kan</w:t>
      </w:r>
      <w:r>
        <w:rPr>
          <w:rFonts w:ascii="Calibri" w:eastAsia="Calibri" w:hAnsi="Calibri" w:cs="Times New Roman"/>
        </w:rPr>
        <w:t xml:space="preserve"> zodoende elk dezelfde vergoeding krijgen, maar ook kan een werknemer die de kosten niet heeft ten onrechte worden gecompenseerd. Het wegvallen van de toetsingseisen draagt bij aan de eenvoud, maar kan ervoor zorgen dat er oneerlijke situaties zoals hierboven kunnen ontstaat. Werknemers die bepaalde kosten niet maken of niet nodig hebben waar collega’s dit wel hebben kunnen zo toch een vergoeding krijgen. Uiteraard is het aan de werkgever om zorg te dragen dit te voorkomen maar als een werknemer zonder medeweten van de werkgever kosten weet te verminderen ontstaat er een voordeel voor de werknemer. Door het wegvallen van de verantwoording van werkelijke kosten is het mogelijk dat er wordt gezocht naar mogelijkheden de werkelijke kosten te vermijden of te verlagen.</w:t>
      </w:r>
    </w:p>
    <w:p w:rsidR="003F0694" w:rsidRDefault="003F0694" w:rsidP="00003968">
      <w:pPr>
        <w:rPr>
          <w:rFonts w:ascii="Calibri" w:eastAsia="Calibri" w:hAnsi="Calibri" w:cs="Times New Roman"/>
        </w:rPr>
      </w:pPr>
      <w:r>
        <w:rPr>
          <w:rFonts w:ascii="Calibri" w:eastAsia="Calibri" w:hAnsi="Calibri" w:cs="Times New Roman"/>
        </w:rPr>
        <w:t>Een ander punt wat niet veel gehoord is in de vakliteratuur, maar door Kavelaars wel naar voren is gebracht, is de ongelijkheid die door het forfait en de eindheffing ontstaan.</w:t>
      </w:r>
      <w:r>
        <w:rPr>
          <w:rStyle w:val="Voetnootmarkering"/>
          <w:rFonts w:ascii="Calibri" w:eastAsia="Calibri" w:hAnsi="Calibri" w:cs="Times New Roman"/>
        </w:rPr>
        <w:footnoteReference w:id="78"/>
      </w:r>
      <w:r>
        <w:rPr>
          <w:rFonts w:ascii="Calibri" w:eastAsia="Calibri" w:hAnsi="Calibri" w:cs="Times New Roman"/>
        </w:rPr>
        <w:t xml:space="preserve"> Voor het zowel het forfait als het tarief van de eindheffing is een gemiddelde genomen waardoor bij invoering gemiddeld werkgevers en werknemers er niet op voor- of achteruit gaan. Echter is te verwachten dat een werkgever die momenteel meer dan 1,4% van de loonsom vergoedt dit gaat aanpassen om onder de grens te blijven. Daar tegenover staat niet dat werkgevers die momenteel minder dan 1,4% van de loonsom vergoeden na invoering meer gaan vergoeden. Ik deel de visie van Kavelaars hierin en verwacht ook dat uiteindel</w:t>
      </w:r>
      <w:r w:rsidR="00E5738D">
        <w:rPr>
          <w:rFonts w:ascii="Calibri" w:eastAsia="Calibri" w:hAnsi="Calibri" w:cs="Times New Roman"/>
        </w:rPr>
        <w:t>ijk in totaal minder vergoed gaat</w:t>
      </w:r>
      <w:r>
        <w:rPr>
          <w:rFonts w:ascii="Calibri" w:eastAsia="Calibri" w:hAnsi="Calibri" w:cs="Times New Roman"/>
        </w:rPr>
        <w:t xml:space="preserve"> worden. Echter ben ik ook bang dat dit moeilijk te voorkomen is daar een</w:t>
      </w:r>
      <w:r w:rsidR="00D93925">
        <w:rPr>
          <w:rFonts w:ascii="Calibri" w:eastAsia="Calibri" w:hAnsi="Calibri" w:cs="Times New Roman"/>
        </w:rPr>
        <w:t xml:space="preserve"> forfait altijd een gemiddelde is</w:t>
      </w:r>
      <w:r>
        <w:rPr>
          <w:rFonts w:ascii="Calibri" w:eastAsia="Calibri" w:hAnsi="Calibri" w:cs="Times New Roman"/>
        </w:rPr>
        <w:t xml:space="preserve"> bij invoering om aan te sluiten bij het huidige systeem. Wellicht is een betere oplossing een forfait per industrie in te voeren. Uit het onderzoek van EIM</w:t>
      </w:r>
      <w:r>
        <w:rPr>
          <w:rStyle w:val="Voetnootmarkering"/>
          <w:rFonts w:ascii="Calibri" w:eastAsia="Calibri" w:hAnsi="Calibri" w:cs="Times New Roman"/>
        </w:rPr>
        <w:footnoteReference w:id="79"/>
      </w:r>
      <w:r>
        <w:rPr>
          <w:rFonts w:ascii="Calibri" w:eastAsia="Calibri" w:hAnsi="Calibri" w:cs="Times New Roman"/>
        </w:rPr>
        <w:t xml:space="preserve"> is gebleken hoeveel onder de huidige regeling wordt vergoed aan de werknemers. Aan de hand van deze cijfers kan per industrie een forfait bepaald worden. Echter maakt dit het systeem niet eenvoudiger en is het lastig te bepalen voor bepaalde bedrijven onder welke industrie ze vallen.</w:t>
      </w:r>
    </w:p>
    <w:p w:rsidR="003F0694" w:rsidRPr="00003968" w:rsidRDefault="003F0694" w:rsidP="00003968">
      <w:pPr>
        <w:rPr>
          <w:rFonts w:ascii="Calibri" w:eastAsia="Calibri" w:hAnsi="Calibri" w:cs="Times New Roman"/>
        </w:rPr>
      </w:pPr>
      <w:r>
        <w:rPr>
          <w:rFonts w:ascii="Calibri" w:eastAsia="Calibri" w:hAnsi="Calibri" w:cs="Times New Roman"/>
        </w:rPr>
        <w:t>Ook de vaste eindheffing van 80% is, zoals opgemerkt in eerdere hoofdstukken, redelijk arbitrair gekozen. De keuze van 80% komt overeen met een marginale druk van 44%, welke vergelijkbaar is met de gemiddelde marginale druk.</w:t>
      </w:r>
      <w:r>
        <w:rPr>
          <w:rStyle w:val="Voetnootmarkering"/>
          <w:rFonts w:ascii="Calibri" w:eastAsia="Calibri" w:hAnsi="Calibri" w:cs="Times New Roman"/>
        </w:rPr>
        <w:footnoteReference w:id="80"/>
      </w:r>
      <w:r>
        <w:rPr>
          <w:rFonts w:ascii="Calibri" w:eastAsia="Calibri" w:hAnsi="Calibri" w:cs="Times New Roman"/>
        </w:rPr>
        <w:t xml:space="preserve"> Ook moet dit percentage in combinatie met het forfait zorgen </w:t>
      </w:r>
      <w:r>
        <w:rPr>
          <w:rFonts w:ascii="Calibri" w:eastAsia="Calibri" w:hAnsi="Calibri" w:cs="Times New Roman"/>
        </w:rPr>
        <w:lastRenderedPageBreak/>
        <w:t>voor een budget neutrale invoering van de werkko</w:t>
      </w:r>
      <w:r w:rsidR="00D93925">
        <w:rPr>
          <w:rFonts w:ascii="Calibri" w:eastAsia="Calibri" w:hAnsi="Calibri" w:cs="Times New Roman"/>
        </w:rPr>
        <w:t xml:space="preserve">stenregeling. In de praktijk sluit </w:t>
      </w:r>
      <w:r>
        <w:rPr>
          <w:rFonts w:ascii="Calibri" w:eastAsia="Calibri" w:hAnsi="Calibri" w:cs="Times New Roman"/>
        </w:rPr>
        <w:t>dit echter nooit aan bij de individuele werkgever. Simpelweg het gemiddelde van</w:t>
      </w:r>
      <w:r w:rsidR="00471519">
        <w:rPr>
          <w:rFonts w:ascii="Calibri" w:eastAsia="Calibri" w:hAnsi="Calibri" w:cs="Times New Roman"/>
        </w:rPr>
        <w:t xml:space="preserve"> de marginale druk te nemen kan</w:t>
      </w:r>
      <w:r>
        <w:rPr>
          <w:rFonts w:ascii="Calibri" w:eastAsia="Calibri" w:hAnsi="Calibri" w:cs="Times New Roman"/>
        </w:rPr>
        <w:t xml:space="preserve"> per werkgever leiden tot onrechtvaardige situaties (zowel voor- als nadelig). Naar mijn mening was het veel beter geweest om een gemiddelde eindheffing te nemen die aansluit bij de individuele werkgever. Het forfait is genomen over de totale loonsom, logischerwijs zou de eindheffing dan ook over het gemiddelde van het totale eindheffingstarief eerlijk zijn. Qua uitvoerbaarheid zie ik geen problemen daar software voor de loonheffingen dit makkelijk kunnen berekenen. Dit zou een punt van kritiek eenvoudig weg kunnen nemen.</w:t>
      </w:r>
    </w:p>
    <w:p w:rsidR="003F0694" w:rsidRPr="009A698F" w:rsidRDefault="003F0694" w:rsidP="003F0694">
      <w:pPr>
        <w:pStyle w:val="Lijstalinea"/>
        <w:numPr>
          <w:ilvl w:val="1"/>
          <w:numId w:val="8"/>
        </w:numPr>
        <w:jc w:val="both"/>
        <w:rPr>
          <w:b/>
        </w:rPr>
      </w:pPr>
      <w:r>
        <w:rPr>
          <w:b/>
        </w:rPr>
        <w:t>Conclusie</w:t>
      </w:r>
    </w:p>
    <w:p w:rsidR="003F0694" w:rsidRDefault="003F0694" w:rsidP="009A698F">
      <w:pPr>
        <w:rPr>
          <w:rFonts w:ascii="Calibri" w:eastAsia="Calibri" w:hAnsi="Calibri" w:cs="Times New Roman"/>
        </w:rPr>
      </w:pPr>
      <w:r>
        <w:rPr>
          <w:rFonts w:ascii="Calibri" w:eastAsia="Calibri" w:hAnsi="Calibri" w:cs="Times New Roman"/>
        </w:rPr>
        <w:t xml:space="preserve">Naar mijn mening is de werkkostenregeling in principe een stap richting de vereenvoudiging van de vergoedingen en verstrekkingen. Het is evident dat er wijzigingen moeten plaats vinden ter vereenvoudiging van het huidige systeem. Waar in oorsprong de eenvoud de overhand had bij het ontwerp, blijkt nu dat er wel degelijk punten van kritiek over blijven en de oplossingen die hiervoor geboden zijn nemen deze eenvoud weg. </w:t>
      </w:r>
    </w:p>
    <w:p w:rsidR="003F0694" w:rsidRDefault="003F0694" w:rsidP="009A698F">
      <w:pPr>
        <w:rPr>
          <w:rFonts w:ascii="Calibri" w:eastAsia="Calibri" w:hAnsi="Calibri" w:cs="Times New Roman"/>
        </w:rPr>
      </w:pPr>
      <w:r>
        <w:rPr>
          <w:rFonts w:ascii="Calibri" w:eastAsia="Calibri" w:hAnsi="Calibri" w:cs="Times New Roman"/>
        </w:rPr>
        <w:t>Op gebied van eenvoud valt te betwijfelen in hoeverre het voor werkgever en Belastingdienst eenvoudiger wordt. Ondanks de toevoeging van een forfait en het wegvallen van toetsingseisen die vergoedingen en verstrekkingen momenteel ingewikkeld maken blijven er ook gerichte vrijstellingen over in ongewijzigde vorm. Daarnaast blijkt dat als beter wordt gekeken naar het forfait er ook nog knelpunten zijn in vorm dan wel door middel van het arbeidsrecht waardoor de vereenvoudiging wellicht niet tot uiting kan komen na invoering. Ook de overgangsregeling, een noodzaak gezien de omvang van de wijzigingen, draagt niet bij aan vereenvoudiging de komende jaren.</w:t>
      </w:r>
    </w:p>
    <w:p w:rsidR="003F0694" w:rsidRDefault="003F0694" w:rsidP="009A698F">
      <w:pPr>
        <w:rPr>
          <w:rFonts w:ascii="Calibri" w:eastAsia="Calibri" w:hAnsi="Calibri" w:cs="Times New Roman"/>
        </w:rPr>
      </w:pPr>
      <w:r>
        <w:rPr>
          <w:rFonts w:ascii="Calibri" w:eastAsia="Calibri" w:hAnsi="Calibri" w:cs="Times New Roman"/>
        </w:rPr>
        <w:t>Ook op gebied van rechtvaardigheid zijn er punten van kritiek. Het redelijk arbitrair gekozen tarief voor de eindheffing enerzijds en de mogelijke willekeur bij het toekennen van vergoedingen door het ontbreken van een toets aan de werkelijke kosten anderzijds zijn hierbij de belangrijkste punten van kritiek. Het probleem met de eindheffing kan echter mijn inziens eenvoudig worden verholpen, maar neemt niet weg dat deze punten de rechtvaardigheid bij de loonheffingen aantasten.</w:t>
      </w:r>
    </w:p>
    <w:p w:rsidR="003F0694" w:rsidRPr="00B8203D" w:rsidRDefault="003F0694" w:rsidP="009A698F">
      <w:pPr>
        <w:rPr>
          <w:rFonts w:ascii="Calibri" w:eastAsia="Calibri" w:hAnsi="Calibri" w:cs="Times New Roman"/>
        </w:rPr>
      </w:pPr>
      <w:r>
        <w:rPr>
          <w:rFonts w:ascii="Calibri" w:eastAsia="Calibri" w:hAnsi="Calibri" w:cs="Times New Roman"/>
        </w:rPr>
        <w:t xml:space="preserve">Al met al zal de werkkostenregeling naar mijn verwachting niet uitpakken zoals de wetgever voor ogen heeft. Daarom lijkt het mij verstandig dat er aandachtig wordt gekeken naar deze punten van kritiek - die ook door de vakliteratuur naar voren zijn gehaald - eer de invoering definitief wordt. </w:t>
      </w:r>
    </w:p>
    <w:p w:rsidR="003F0694" w:rsidRDefault="003F0694">
      <w:r>
        <w:br w:type="page"/>
      </w:r>
    </w:p>
    <w:p w:rsidR="00A31114" w:rsidRDefault="00A31114" w:rsidP="00A31114">
      <w:pPr>
        <w:pStyle w:val="Lijstalinea"/>
        <w:numPr>
          <w:ilvl w:val="0"/>
          <w:numId w:val="11"/>
        </w:numPr>
        <w:ind w:left="357" w:hanging="357"/>
        <w:contextualSpacing w:val="0"/>
        <w:jc w:val="both"/>
        <w:rPr>
          <w:b/>
        </w:rPr>
      </w:pPr>
      <w:r>
        <w:rPr>
          <w:b/>
        </w:rPr>
        <w:lastRenderedPageBreak/>
        <w:t>Conclusie</w:t>
      </w:r>
    </w:p>
    <w:p w:rsidR="00A31114" w:rsidRDefault="00A31114" w:rsidP="00A31114">
      <w:pPr>
        <w:pStyle w:val="Lijstalinea"/>
        <w:numPr>
          <w:ilvl w:val="1"/>
          <w:numId w:val="11"/>
        </w:numPr>
        <w:jc w:val="both"/>
        <w:rPr>
          <w:b/>
        </w:rPr>
      </w:pPr>
      <w:r>
        <w:rPr>
          <w:b/>
        </w:rPr>
        <w:t>Inleiding</w:t>
      </w:r>
    </w:p>
    <w:p w:rsidR="00A31114" w:rsidRDefault="00A31114" w:rsidP="00A31114">
      <w:r>
        <w:t xml:space="preserve">In dit laatste hoofdstuk vat ik het onderzoek samen, trek ik conclusies en doe ik aanbevelingen. </w:t>
      </w:r>
      <w:r w:rsidR="00201781">
        <w:t xml:space="preserve">In deze scriptie heb ik een onderzoek gedaan naar de per 1 januari 2011 in werking tredende werkkostenregeling die dient ter vervanging van het systeem van onbelaste kostenvergoedingen. </w:t>
      </w:r>
      <w:r>
        <w:t>Ik heb de nieuwe regeling getoetst aan eenvoud en rechtvaardigheid. In mijn eindconclusie geef ik antwoord op de probleemstelling uit de inleiding, “</w:t>
      </w:r>
      <w:r w:rsidRPr="000858DB">
        <w:t>Vormt de nieuwe werkkostenregeling een goed evenwicht tussen eenvoud en een gerechtvaardige heffing?</w:t>
      </w:r>
      <w:r>
        <w:t>”.</w:t>
      </w:r>
    </w:p>
    <w:p w:rsidR="00A31114" w:rsidRDefault="00A31114" w:rsidP="00A31114">
      <w:pPr>
        <w:pStyle w:val="Lijstalinea"/>
        <w:numPr>
          <w:ilvl w:val="1"/>
          <w:numId w:val="11"/>
        </w:numPr>
        <w:jc w:val="both"/>
        <w:rPr>
          <w:b/>
        </w:rPr>
      </w:pPr>
      <w:r w:rsidRPr="000858DB">
        <w:rPr>
          <w:b/>
        </w:rPr>
        <w:t>Samenvatting</w:t>
      </w:r>
    </w:p>
    <w:p w:rsidR="00A31114" w:rsidRDefault="00A31114" w:rsidP="00A31114">
      <w:r>
        <w:t xml:space="preserve">In deze scriptie zijn de oude en nieuwe regeling inzake kostenvergoedingen behandeld. </w:t>
      </w:r>
      <w:r w:rsidR="00201781">
        <w:t>Hierbij heb ik gaandeweg antwoord gegeven op deelvragen die moeten leiden tot het beantwoorden van de probleemstelling teneinde een beter beeld te krijgen van de werkkostenregeling.</w:t>
      </w:r>
    </w:p>
    <w:p w:rsidR="00A31114" w:rsidRDefault="00A31114" w:rsidP="00A31114">
      <w:r>
        <w:t xml:space="preserve">Om te beginnen heb ik de huidige regeling inzake kostenvergoedingen besproken. In het huidige systeem bestaat de regeling voor kostenvergoedingen uit een opsomming van vergoedingen en verstrekkingen die belastingvrij vergoed kunnen worden. Om hieraan te kunnen voldoen moet een vergoeding eerst getoetst worden aan drie vereisten. Er moet worden nagegaan of ze zijn verricht ter vervulling van de dienstbetrekking, of ze naar maatschappelijke opvattingen niet als beloningsvoordeel worden ervaren en of ze verstrekt zijn binnen de grenzen der redelijkheid. Indien hieraan voldaan wordt kan de vergoeding belastingvrij verstrekt worden als de wettekst dit niet anderszins beperkt of daaraan voorwaarden verbindt. De regeling wordt echter als ingewikkeld ervaren doordat elke vergoeding apart getoetst moet worden door de werkgever. De wettekst zelf wordt ook steeds uitgebreider door nieuwe normen en eisen. Ook brengt de huidige regeling administratieve lasten met zich doordat elke vergoeding moet worden bijgehouden en moet worden getoetst. Vaste kostenvergoedingen nemen deze problemen deels weg doordat er een vast bedrag </w:t>
      </w:r>
      <w:r w:rsidR="00201781">
        <w:t>vergoedt</w:t>
      </w:r>
      <w:r>
        <w:t xml:space="preserve"> wordt en niet meer op declaratiebasis waar elke vergoeding individueel getoetst moet worden. Als de werkelijke kosten echter afwijken kunnen extra declaraties volgen die alsnog apart bijgehouden moeten worden of moet het teveel wat aan vaste kostenvergoeding is </w:t>
      </w:r>
      <w:r w:rsidR="00201781">
        <w:t>verleend</w:t>
      </w:r>
      <w:r>
        <w:t xml:space="preserve"> tot het loon worden gerekend. </w:t>
      </w:r>
      <w:r w:rsidR="00201781">
        <w:t>Omdat deze systematiek als omslachtig wordt ervaren komt er een nieuwe regeling voor kostenvergoedingen die meer eenvoud en minder administratieve lasten moet bieden.</w:t>
      </w:r>
    </w:p>
    <w:p w:rsidR="00A31114" w:rsidRDefault="00A31114" w:rsidP="00A31114">
      <w:r>
        <w:t>De nieuwe werkkostenregeling moet de meeste problemen van de huidige regeling tegengaan en meer eenvoud bieden. Vooral de eenvoud staat voorop bij de invoering van het nieuwe systeem, waardoor het voor de werkgever minder ingewikkeld moet worden en de administratieve lasten teruggedrongen kunnen worden. Het nieuwe systeem bestaat grotendeels uit een forfaitaire vrijstelling met daarnaast enkele gerichte vrijstellingen. Het loonbegrip wordt gewijzigd waardoor elke vergoeding als loon wordt gezien, waarna de werkgever zelf kan aangeven welke vergoeding belastingvrij wordt gedaan en wat tot het loon van de werknemer behoort. Hierbij hoeft niet meer getoetst te worden aan de huidige eisen; er rest slechts een gebruikelijkheidstoets die misbruik moet tegen gaan. Het forfait – de zogeheten vrije ruimte – bedraagt 1,</w:t>
      </w:r>
      <w:r w:rsidR="002E5498">
        <w:t>4</w:t>
      </w:r>
      <w:r>
        <w:t xml:space="preserve">% van de totale loonsom van de werkgever. Binnen dit bedrag mag de werkgever naar keuze aan elke werknemer zonder toetsing van werkelijke kosten een vergoeding aanwijzen. Indien de werkgever meer vergoedt dan dit forfait is het surplus belast met een eindheffing van 80%, die ten laste van de werkgever is. Naast dit forfait </w:t>
      </w:r>
      <w:r>
        <w:lastRenderedPageBreak/>
        <w:t xml:space="preserve">blijven ook enkele gerichte vrijstellingen bestaan voor kosten waarvan het niet wenselijk is dat deze in de vrije ruimte vallen. De regeling voor deze vergoedingen blijft zoals ze in het huidige systeem ook van kracht zijn, waardoor voor deze kosten de normen en vereisten van kracht blijven. Als laatste zijn er ook de </w:t>
      </w:r>
      <w:r w:rsidR="00B6650C">
        <w:t>nihil-waarderingen</w:t>
      </w:r>
      <w:r>
        <w:t>. Deze vergoedingen vallen wel binnen het forfait, maar worden op nihil gewaardeerd waardoor deze niet de vrije ruimte benutten. Hierdoor zorgt het toekennen van dit soort vergoedingen er niet voor dat er minder vrije ruimte over blijft.</w:t>
      </w:r>
    </w:p>
    <w:p w:rsidR="00A31114" w:rsidRDefault="00A31114" w:rsidP="00A31114">
      <w:r>
        <w:t xml:space="preserve">Het nieuwe systeem heeft enkele overeenkomsten met het huidige systeem. Dit komt met name door het blijven bestaan van de gerichte vrijstellingen. Ook blijft de mogelijkheid tot vaste kostenvergoeding bestaan. Belangrijker zijn echter de verschillen onderling. Zo zorgt de nieuwe regeling voor een nieuw loonbegrip, vallen de toetsingseisen weg en </w:t>
      </w:r>
      <w:r w:rsidR="00D93925">
        <w:t>leidt</w:t>
      </w:r>
      <w:r>
        <w:t xml:space="preserve"> de invoering van de werkkostenregel</w:t>
      </w:r>
      <w:r w:rsidR="00D93925">
        <w:t>ing hoogst waarschijnlijk</w:t>
      </w:r>
      <w:r>
        <w:t xml:space="preserve"> tot noodzakelijke wijzigingen in de arbeidsvoorwaarden. De werkgever krijgt te maken met een forfait terwijl een deel van de huidige regeling in tact blijft. Inhoudelijk zijn deze wijzigingen te begrijpen, maar ze zijn in de details niet altijd goed uitgewerkt waardoor er op een aantal punten kritiek is op de regeling. Zo moest het loonbegrip aangepast worden door de nieuwe systematiek van aanmerken, maar hierdoor kan het voorkomen dat de werkgever eenmaal de keuze gemaakt heeft voor toepassing van de werkkostenregeling het arbeidsrecht hem verplicht dit voor alle vergoedingen te doen. De keuze van het eindheffingstarief van 80% is logisch geredeneerd een gemiddelde en zorgt voor een budgetneutrale invoering. Ech</w:t>
      </w:r>
      <w:r w:rsidR="00D93925">
        <w:t>ter wijkt</w:t>
      </w:r>
      <w:r>
        <w:t xml:space="preserve"> dit percentage altijd af van wat de werkgever onder huidig systeem als eindheffingstarief heeft. Ook is er onduidelijkheid over de termijn waar binnen de werkgever de vergoeding moet aanmerken onder de werkkostenregeling.</w:t>
      </w:r>
    </w:p>
    <w:p w:rsidR="00A31114" w:rsidRDefault="00A31114" w:rsidP="00A31114">
      <w:r>
        <w:t>Deze punten van kritiek kwamen ook naar voren bij het toetsen van de werkkostenregeling. Ik heb het nieuwe systeem getoetst op eenvoud en rechtvaardigheid en kwam tot de conclusie dat de werkkostenregeling niet geheel hieraan voldoet. Op het vlak van eenvoud wordt de vooruitgang die de toevoeging van het forfait biedt gehinderd door het blijven bestaan van de gerichte vrijstellingen. Zolang dit onderdeel van de huid</w:t>
      </w:r>
      <w:r w:rsidR="00D93925">
        <w:t xml:space="preserve">ige regeling ongewijzigd blijft kan </w:t>
      </w:r>
      <w:r>
        <w:t>het systeem nooit geheel vereenvoudigen. Ook de wetsystematiek wordt aangepast door het loonbegrip te veranderen. Deze aanpassing zorgt voor onduidelijkheid en door de uitbreiding bestaat de mogelijkheid dat via het arbeidsrecht de vrijheid van de werkgever om naar eigen keuze vergoedingen aan te wijzen gehinderd worden doordat het arbeidsrecht de eenmaal gemaakte keuze de werkkostenregeling toe te passen door voert in andere vergoedingen. De werkgever kan hierdoor op grond van de systematiek wel zelf bepalen welke vergoedingen hij aanwijst, maar het arbeidsrecht kan hem dit verhinderen. Door deze punten doet de nieuwe regeling nauwelijks eenvoudiger aan en blijft het zeer de vraag of de administratieve lasten verminderen voor de werkgever.</w:t>
      </w:r>
      <w:r w:rsidRPr="008231A8">
        <w:t xml:space="preserve"> </w:t>
      </w:r>
      <w:r>
        <w:t>Ook de overgangsregeling die drie jaar van kracht is zorgt niet meteen voor vereenvoudiging, doch zie ik dit als noodzaak bij ingrijpende wijzigingen en beschouw ik dit als een tijdelijk euvel.</w:t>
      </w:r>
    </w:p>
    <w:p w:rsidR="00A31114" w:rsidRDefault="00A31114" w:rsidP="00A31114">
      <w:r>
        <w:t>Daarnaast kan het nieuwe systeem voor situaties zorgen die niet als rechtvaardig worden</w:t>
      </w:r>
      <w:r w:rsidRPr="004E1741">
        <w:t xml:space="preserve"> </w:t>
      </w:r>
      <w:r>
        <w:t xml:space="preserve">ervaren. Het tarief van de eindheffing is voor iedere werkgever gelijk zoals reeds vermeldt, terwijl er per werkgever duidelijk verschil is in de gemiddelde marginale belastingdruk. Dit zorgt voor ongelijkheid die voor zowel voordelige als nadelige situaties kan leiden voor de werkgever. Naar mijn mening kan dit punt eenvoudig verholpen worden door een gemiddelde toe te passen van het eindheffingstarief, waardoor je dit verschil weg neemt. Doordat de werkgever ook werknemers een vergoeding kan </w:t>
      </w:r>
      <w:r>
        <w:lastRenderedPageBreak/>
        <w:t xml:space="preserve">toekennen die zij niet nodig hebben kan er willekeur ontstaan. Werknemers kunnen hierdoor ten onrechte worden bevoorrecht. </w:t>
      </w:r>
    </w:p>
    <w:p w:rsidR="00A31114" w:rsidRDefault="00A31114" w:rsidP="00A31114">
      <w:pPr>
        <w:pStyle w:val="Lijstalinea"/>
        <w:numPr>
          <w:ilvl w:val="1"/>
          <w:numId w:val="11"/>
        </w:numPr>
        <w:jc w:val="both"/>
        <w:rPr>
          <w:b/>
        </w:rPr>
      </w:pPr>
      <w:r>
        <w:rPr>
          <w:b/>
        </w:rPr>
        <w:t>Conclusie</w:t>
      </w:r>
    </w:p>
    <w:p w:rsidR="00A31114" w:rsidRDefault="00A31114" w:rsidP="00A31114">
      <w:r>
        <w:t xml:space="preserve">Hoe de werkkostenregeling daadwerkelijk in de praktijk ervaren wordt en wat de effecten zullen zijn van de invoering is niet met volledige zekerheid te zeggen. Toch blijkt uit dit onderzoek dat de nieuwe regeling niet vrij is van zwakke punten. De werkkostenregeling heeft eenvoud als belangrijk speerpunt, maar ik verwacht niet dat de regeling dit gaat bieden. Naar mijn idee </w:t>
      </w:r>
      <w:r w:rsidR="00D93925">
        <w:t>zorgt</w:t>
      </w:r>
      <w:r>
        <w:t xml:space="preserve"> de nieuwe regeling slechts voor meer verwarring bij de werkgever doordat er naast gerichte vrijstellingen zoals reeds in de huidige regeling bestaan er een forfaitaire vrijstelling bij komt. Deze uitbreiding van de systematiek van kostenvergoedingen zorgt er voor dat de werkgever te maken krijgt met een tweedeling in de kostenvergoeding. Enerzijds is er het forfait met eigen regels, anderzijds de gerichte vrijstellingen met de oude normen en eisen. Deze kunnen ook nog in elkaar overlopen als bij een gerichte vrijstelling meer vergoed wordt dan de wettelijke norm stelt. Deze hogere vergoeding kan eventueel in het forfait vallen als de werkgever hiervoor kiest. De effecten hiervan dragen niet bij aan eenvoud. Het forfait op zichzelf brengt eenvoud door het wegvallen van individuele toetsen, maar het doet af aan de rechtvaardigheid van de regeling en kan leiden tot ongelijke situaties. Daarnaast is er de mogelijkheid dat het arbeidsrecht ertoe leidt dat de keuzevrijheid bij de toepassing van de werkkostenregeling wordt verhinderd. Dit alles zorgt ervoor dat de gewenste vereenvoudiging uit blijft.</w:t>
      </w:r>
    </w:p>
    <w:p w:rsidR="00A31114" w:rsidRPr="00474B46" w:rsidRDefault="00A31114" w:rsidP="00A31114">
      <w:r>
        <w:t>Het geniet de voorkeur goed na te gaan of de werkkostenregeling zijn doel wel bereikt. Op de vraag “</w:t>
      </w:r>
      <w:r w:rsidRPr="000858DB">
        <w:t>Vormt de nieuwe werkkostenregeling een goed evenwicht tussen eenvoud en een gerechtvaardige heffing?</w:t>
      </w:r>
      <w:r>
        <w:t xml:space="preserve">” moet ik ontkennend antwoorden. Naar mijn mening brengt de werkkostenregeling niet meer eenvoud en doet dit op een manier die afbreuk doet aan een systeem van rechtvaardige kostenvergoedingen. Het huidige systeem moet veranderen, maar ik denk niet dat de werkkostenregeling de beste oplossing is voor dit probleem. De werkkostenregeling is een mix van twee systemen wat niet voor vereenvoudiging zorgt. Ik denk dat een betere oplossing komt door het huidige systeem te herzien. Door de systematiek in tact te laten maar de regelingen te vereenvoudiging kunnen problemen die nu bestaan weggenomen worden. Als de toetsingseisen vervallen, en een gebruikelijkheidstoets in de plaats hiervan komt om misbruik te voorkomen, vallen de lasten van elke vergoeding individueel toetsen weg. Een meer algemene regeling met minder regels zorgt dan al snel voor meer eenvoud voor de werkgevers. </w:t>
      </w:r>
    </w:p>
    <w:p w:rsidR="00A31114" w:rsidRDefault="00A31114">
      <w:pPr>
        <w:rPr>
          <w:b/>
        </w:rPr>
      </w:pPr>
      <w:r>
        <w:rPr>
          <w:b/>
        </w:rPr>
        <w:br w:type="page"/>
      </w:r>
    </w:p>
    <w:p w:rsidR="006A64A5" w:rsidRPr="00BE4875" w:rsidRDefault="006A64A5" w:rsidP="00466CEA">
      <w:pPr>
        <w:rPr>
          <w:b/>
        </w:rPr>
      </w:pPr>
      <w:r w:rsidRPr="00BE4875">
        <w:rPr>
          <w:b/>
        </w:rPr>
        <w:lastRenderedPageBreak/>
        <w:t>Bronnenlijst</w:t>
      </w:r>
    </w:p>
    <w:p w:rsidR="006A64A5" w:rsidRPr="00094C7D" w:rsidRDefault="006A64A5" w:rsidP="00466CEA">
      <w:r w:rsidRPr="00094C7D">
        <w:t>Centraal Bureau voor de Statistiek, Statline rijksbegroting 2009</w:t>
      </w:r>
    </w:p>
    <w:p w:rsidR="006A64A5" w:rsidRPr="00094C7D" w:rsidRDefault="006A64A5" w:rsidP="00466CEA">
      <w:r w:rsidRPr="00094C7D">
        <w:t xml:space="preserve">G.W.B. van Westen, </w:t>
      </w:r>
      <w:r w:rsidRPr="00094C7D">
        <w:rPr>
          <w:i/>
        </w:rPr>
        <w:t>Cursus Belastingrecht Loonbelasting</w:t>
      </w:r>
      <w:r w:rsidRPr="00094C7D">
        <w:t>, Kluwer 2009</w:t>
      </w:r>
    </w:p>
    <w:p w:rsidR="006A64A5" w:rsidRPr="00094C7D" w:rsidRDefault="006A64A5" w:rsidP="00466CEA">
      <w:r w:rsidRPr="00094C7D">
        <w:t xml:space="preserve">G.W.B. van Westen, </w:t>
      </w:r>
      <w:r w:rsidRPr="00094C7D">
        <w:rPr>
          <w:i/>
        </w:rPr>
        <w:t>Cursus Belastingrecht Loonbelasting</w:t>
      </w:r>
      <w:r w:rsidRPr="00094C7D">
        <w:t>, Kluwer 2010</w:t>
      </w:r>
    </w:p>
    <w:p w:rsidR="006A64A5" w:rsidRPr="00094C7D" w:rsidRDefault="006A64A5" w:rsidP="00466CEA">
      <w:r w:rsidRPr="00094C7D">
        <w:t>Fiscale Vereenvoudigingswet 2010, Kamerstukken II 2009/10, 32 130 nr. 3</w:t>
      </w:r>
    </w:p>
    <w:p w:rsidR="006A64A5" w:rsidRPr="00094C7D" w:rsidRDefault="006A64A5" w:rsidP="00466CEA">
      <w:r w:rsidRPr="00094C7D">
        <w:t xml:space="preserve">Studiecommissie belastingstelsel, </w:t>
      </w:r>
      <w:r w:rsidRPr="00094C7D">
        <w:rPr>
          <w:i/>
        </w:rPr>
        <w:t>Continuïteit en vernieuwing</w:t>
      </w:r>
      <w:r w:rsidRPr="00094C7D">
        <w:t>, 7 april 2010, www.minfin.nl</w:t>
      </w:r>
    </w:p>
    <w:p w:rsidR="006A64A5" w:rsidRPr="00094C7D" w:rsidRDefault="006A64A5" w:rsidP="0006131A">
      <w:r w:rsidRPr="00094C7D">
        <w:t xml:space="preserve">M.J. Bik, </w:t>
      </w:r>
      <w:r w:rsidRPr="00094C7D">
        <w:rPr>
          <w:i/>
        </w:rPr>
        <w:t xml:space="preserve">Vereenvoudiging van de onbelaste vergoedingen, </w:t>
      </w:r>
      <w:r w:rsidRPr="00094C7D">
        <w:t>Forfaitair 2009/200</w:t>
      </w:r>
    </w:p>
    <w:p w:rsidR="006A64A5" w:rsidRPr="00094C7D" w:rsidRDefault="006A64A5" w:rsidP="0006131A">
      <w:r w:rsidRPr="00094C7D">
        <w:t xml:space="preserve">P. Kavelaars, </w:t>
      </w:r>
      <w:r w:rsidRPr="00094C7D">
        <w:rPr>
          <w:i/>
        </w:rPr>
        <w:t>Loonkosten en eenvoud</w:t>
      </w:r>
      <w:r w:rsidRPr="00094C7D">
        <w:t>, 9 november 2009, www.eur.nl</w:t>
      </w:r>
    </w:p>
    <w:p w:rsidR="006A64A5" w:rsidRPr="00094C7D" w:rsidRDefault="006A64A5" w:rsidP="00466CEA">
      <w:r w:rsidRPr="00094C7D">
        <w:t>Kamerstukken II 2009/10, 32 333, nr. 42, onderdeel G, punt 5</w:t>
      </w:r>
    </w:p>
    <w:p w:rsidR="006A64A5" w:rsidRPr="00094C7D" w:rsidRDefault="006A64A5" w:rsidP="00466CEA">
      <w:r w:rsidRPr="00094C7D">
        <w:t>Kamerstukken II 1998/99, 26 728, nr. 3</w:t>
      </w:r>
    </w:p>
    <w:p w:rsidR="006A64A5" w:rsidRPr="00094C7D" w:rsidRDefault="006A64A5" w:rsidP="009F4695">
      <w:r w:rsidRPr="00094C7D">
        <w:t>Kamerstukken II 1998/99, 26 727, nr. 3</w:t>
      </w:r>
    </w:p>
    <w:p w:rsidR="006A64A5" w:rsidRPr="00094C7D" w:rsidRDefault="006A64A5" w:rsidP="009F4695">
      <w:r w:rsidRPr="00094C7D">
        <w:t xml:space="preserve">J. Boer, </w:t>
      </w:r>
      <w:r w:rsidRPr="00094C7D">
        <w:rPr>
          <w:i/>
        </w:rPr>
        <w:t>Beloon uw personeel fiscaal goed!</w:t>
      </w:r>
      <w:r w:rsidRPr="00094C7D">
        <w:t>, Kluwer 2006</w:t>
      </w:r>
    </w:p>
    <w:p w:rsidR="006A64A5" w:rsidRPr="00094C7D" w:rsidRDefault="006A64A5" w:rsidP="000900AD">
      <w:pPr>
        <w:rPr>
          <w:rStyle w:val="nadrukb"/>
        </w:rPr>
      </w:pPr>
      <w:r w:rsidRPr="00094C7D">
        <w:rPr>
          <w:rStyle w:val="nadrukb"/>
        </w:rPr>
        <w:t xml:space="preserve">HR 20 oktober 1954, nr. 11 </w:t>
      </w:r>
      <w:r w:rsidRPr="00094C7D">
        <w:rPr>
          <w:rStyle w:val="nadrukb"/>
          <w:rFonts w:cs="Calibri"/>
        </w:rPr>
        <w:t>947,</w:t>
      </w:r>
      <w:r w:rsidRPr="00094C7D">
        <w:rPr>
          <w:rStyle w:val="nadrukb"/>
        </w:rPr>
        <w:t xml:space="preserve"> BNB 1954/350</w:t>
      </w:r>
    </w:p>
    <w:p w:rsidR="006A64A5" w:rsidRPr="00094C7D" w:rsidRDefault="006A64A5" w:rsidP="000900AD">
      <w:pPr>
        <w:rPr>
          <w:rStyle w:val="nadrukb"/>
        </w:rPr>
      </w:pPr>
      <w:r w:rsidRPr="00094C7D">
        <w:rPr>
          <w:rStyle w:val="nadrukb"/>
        </w:rPr>
        <w:t xml:space="preserve">D.V.E.M. van der Wiel-Rammeloo, </w:t>
      </w:r>
      <w:r w:rsidRPr="00094C7D">
        <w:rPr>
          <w:rStyle w:val="nadrukb"/>
          <w:i/>
        </w:rPr>
        <w:t xml:space="preserve">Loonheffingen, </w:t>
      </w:r>
      <w:r w:rsidRPr="00094C7D">
        <w:rPr>
          <w:rStyle w:val="nadrukb"/>
        </w:rPr>
        <w:t>Kluwer 2009</w:t>
      </w:r>
    </w:p>
    <w:p w:rsidR="006A64A5" w:rsidRPr="00094C7D" w:rsidRDefault="006A64A5">
      <w:r w:rsidRPr="00094C7D">
        <w:t xml:space="preserve">Brief Minister van SZW 8 oktober 2007, nr. DEREG/2007/32947, bijlage 4, </w:t>
      </w:r>
      <w:r w:rsidRPr="00094C7D">
        <w:rPr>
          <w:i/>
        </w:rPr>
        <w:t>V-N</w:t>
      </w:r>
      <w:r w:rsidRPr="00094C7D">
        <w:t xml:space="preserve"> 2007/48.16</w:t>
      </w:r>
    </w:p>
    <w:p w:rsidR="006A64A5" w:rsidRPr="00094C7D" w:rsidRDefault="006A64A5" w:rsidP="00D6033A">
      <w:pPr>
        <w:tabs>
          <w:tab w:val="left" w:pos="5475"/>
        </w:tabs>
      </w:pPr>
      <w:r w:rsidRPr="00094C7D">
        <w:t xml:space="preserve">EIM, </w:t>
      </w:r>
      <w:r w:rsidRPr="00094C7D">
        <w:rPr>
          <w:i/>
        </w:rPr>
        <w:t>Vergoedingen en verstrekkingen in de loonsfeer</w:t>
      </w:r>
      <w:r w:rsidRPr="00094C7D">
        <w:t>, juli 2009</w:t>
      </w:r>
      <w:r w:rsidRPr="00094C7D">
        <w:tab/>
      </w:r>
    </w:p>
    <w:p w:rsidR="006A64A5" w:rsidRPr="00094C7D" w:rsidRDefault="006A64A5">
      <w:pPr>
        <w:rPr>
          <w:rFonts w:cs="Arial"/>
        </w:rPr>
      </w:pPr>
      <w:r w:rsidRPr="00094C7D">
        <w:rPr>
          <w:rFonts w:cs="Arial"/>
        </w:rPr>
        <w:t xml:space="preserve">Hoge Raad 30 november 1977, BNB 1978/7 </w:t>
      </w:r>
    </w:p>
    <w:p w:rsidR="006A64A5" w:rsidRPr="00094C7D" w:rsidRDefault="006A64A5">
      <w:pPr>
        <w:rPr>
          <w:rFonts w:cs="Arial"/>
        </w:rPr>
      </w:pPr>
      <w:r w:rsidRPr="00094C7D">
        <w:rPr>
          <w:rFonts w:cs="Arial"/>
        </w:rPr>
        <w:t>Hoge Raad 7 mei 1980, BNB 1980/186</w:t>
      </w:r>
    </w:p>
    <w:p w:rsidR="006A64A5" w:rsidRPr="00094C7D" w:rsidRDefault="006A64A5">
      <w:pPr>
        <w:rPr>
          <w:rFonts w:cs="Arial"/>
          <w:i/>
        </w:rPr>
      </w:pPr>
      <w:r w:rsidRPr="00094C7D">
        <w:rPr>
          <w:rFonts w:cs="Arial"/>
        </w:rPr>
        <w:t xml:space="preserve">Belastingdienst, </w:t>
      </w:r>
      <w:r w:rsidRPr="00094C7D">
        <w:rPr>
          <w:rFonts w:cs="Arial"/>
          <w:i/>
        </w:rPr>
        <w:t>Handboek Loonheffingen 2010</w:t>
      </w:r>
    </w:p>
    <w:p w:rsidR="006A64A5" w:rsidRPr="00094C7D" w:rsidRDefault="006A64A5">
      <w:pPr>
        <w:rPr>
          <w:i/>
        </w:rPr>
      </w:pPr>
      <w:r w:rsidRPr="00094C7D">
        <w:rPr>
          <w:rFonts w:cs="Arial"/>
        </w:rPr>
        <w:t xml:space="preserve">A-G Van Ballegooijen, </w:t>
      </w:r>
      <w:r w:rsidRPr="00094C7D">
        <w:rPr>
          <w:i/>
        </w:rPr>
        <w:t xml:space="preserve">Conclusie over waardering voordeel mobiele telefoon, V-N </w:t>
      </w:r>
      <w:r w:rsidRPr="00094C7D">
        <w:t>2009/39.17</w:t>
      </w:r>
      <w:r w:rsidRPr="00094C7D">
        <w:rPr>
          <w:i/>
        </w:rPr>
        <w:t xml:space="preserve"> </w:t>
      </w:r>
    </w:p>
    <w:p w:rsidR="006A64A5" w:rsidRPr="00094C7D" w:rsidRDefault="006A64A5">
      <w:r w:rsidRPr="00094C7D">
        <w:t>Wet uniformering loonbegrip, Kamerstukken II 2009/10, 32 131 nr. 3</w:t>
      </w:r>
    </w:p>
    <w:p w:rsidR="006A64A5" w:rsidRPr="00094C7D" w:rsidRDefault="006A64A5">
      <w:r w:rsidRPr="00094C7D">
        <w:t xml:space="preserve">Nota naar aanleiding van het verslag Fiscale Vereenvoudigingswet 2010, </w:t>
      </w:r>
      <w:r w:rsidRPr="00094C7D">
        <w:rPr>
          <w:i/>
        </w:rPr>
        <w:t xml:space="preserve">V-N </w:t>
      </w:r>
      <w:r w:rsidRPr="00094C7D">
        <w:t>2009/54.8</w:t>
      </w:r>
    </w:p>
    <w:p w:rsidR="006A64A5" w:rsidRPr="00094C7D" w:rsidRDefault="006A64A5">
      <w:r w:rsidRPr="00094C7D">
        <w:t xml:space="preserve">Nota naar aanleiding van het verslag Wet uniformering loonbegrip, </w:t>
      </w:r>
      <w:r w:rsidRPr="00094C7D">
        <w:rPr>
          <w:i/>
        </w:rPr>
        <w:t xml:space="preserve">V-N </w:t>
      </w:r>
      <w:r w:rsidRPr="00094C7D">
        <w:t>2010/9.2</w:t>
      </w:r>
    </w:p>
    <w:p w:rsidR="006A64A5" w:rsidRPr="00094C7D" w:rsidRDefault="006A64A5">
      <w:r w:rsidRPr="00094C7D">
        <w:t xml:space="preserve">Brief staatssecretaris van Financiën werkkostenregeling Fiscale Vereenvoudigingswet 2010, </w:t>
      </w:r>
      <w:r w:rsidRPr="00094C7D">
        <w:rPr>
          <w:i/>
        </w:rPr>
        <w:t xml:space="preserve">V-N </w:t>
      </w:r>
      <w:r w:rsidRPr="00094C7D">
        <w:t>2009/54.10</w:t>
      </w:r>
    </w:p>
    <w:p w:rsidR="006A64A5" w:rsidRPr="00094C7D" w:rsidRDefault="006A64A5">
      <w:r w:rsidRPr="00094C7D">
        <w:t xml:space="preserve">MvT Fiscale vereenvoudigingswet 2010, Kamerstukken II 2009/10, 32 130, nr. 3, </w:t>
      </w:r>
      <w:r w:rsidRPr="00094C7D">
        <w:rPr>
          <w:i/>
        </w:rPr>
        <w:t xml:space="preserve">V-N </w:t>
      </w:r>
      <w:r w:rsidRPr="00094C7D">
        <w:t>2009/46.9</w:t>
      </w:r>
    </w:p>
    <w:p w:rsidR="006A64A5" w:rsidRPr="00094C7D" w:rsidRDefault="006A64A5">
      <w:r w:rsidRPr="00094C7D">
        <w:t xml:space="preserve">P.W.H. Hoogstraten, </w:t>
      </w:r>
      <w:r w:rsidRPr="00094C7D">
        <w:rPr>
          <w:i/>
        </w:rPr>
        <w:t>De werkkostenregeling: opmaat naar vlaktax en loonsomheffing?</w:t>
      </w:r>
      <w:r w:rsidRPr="00094C7D">
        <w:t>, WFR 2010/288</w:t>
      </w:r>
    </w:p>
    <w:p w:rsidR="006A64A5" w:rsidRPr="00094C7D" w:rsidRDefault="006A64A5">
      <w:r w:rsidRPr="00094C7D">
        <w:lastRenderedPageBreak/>
        <w:t xml:space="preserve">A.L. Mertens, </w:t>
      </w:r>
      <w:r w:rsidRPr="00094C7D">
        <w:rPr>
          <w:i/>
        </w:rPr>
        <w:t>De Echternachse processiegang van het loonbegrip</w:t>
      </w:r>
      <w:r w:rsidRPr="00094C7D">
        <w:t xml:space="preserve">, </w:t>
      </w:r>
      <w:r w:rsidRPr="00094C7D">
        <w:rPr>
          <w:rStyle w:val="nadrukb"/>
        </w:rPr>
        <w:t>NTFR</w:t>
      </w:r>
      <w:r w:rsidRPr="00094C7D">
        <w:t xml:space="preserve"> 2009/2659</w:t>
      </w:r>
    </w:p>
    <w:p w:rsidR="006A64A5" w:rsidRPr="00094C7D" w:rsidRDefault="006A64A5">
      <w:r w:rsidRPr="00094C7D">
        <w:t>Nota naar aanleiding van het verslag, Kamerstukken II 2009/10, 32 130, nr. 7</w:t>
      </w:r>
    </w:p>
    <w:p w:rsidR="006A64A5" w:rsidRPr="00094C7D" w:rsidRDefault="006A64A5">
      <w:r w:rsidRPr="00094C7D">
        <w:t>www.belastingdienst.nl</w:t>
      </w:r>
    </w:p>
    <w:p w:rsidR="006A64A5" w:rsidRPr="00094C7D" w:rsidRDefault="006A64A5">
      <w:r w:rsidRPr="00094C7D">
        <w:t>Tweede nota van wijziging, Kamerstukken II 2009/10 32 130, nr</w:t>
      </w:r>
      <w:r w:rsidR="00B6650C">
        <w:t>.</w:t>
      </w:r>
      <w:r w:rsidR="00BD6E27">
        <w:t xml:space="preserve"> 12</w:t>
      </w:r>
    </w:p>
    <w:p w:rsidR="006A64A5" w:rsidRPr="00094C7D" w:rsidRDefault="006A64A5">
      <w:r w:rsidRPr="00094C7D">
        <w:t xml:space="preserve">Brief staatsecretaris van Financiën, 5 november 2009, Kamerstukken II 32 128, nr. 16, blz. 64, </w:t>
      </w:r>
      <w:r w:rsidRPr="00094C7D">
        <w:rPr>
          <w:i/>
        </w:rPr>
        <w:t xml:space="preserve">V-N </w:t>
      </w:r>
      <w:r w:rsidRPr="00094C7D">
        <w:t xml:space="preserve">2009/60.2 </w:t>
      </w:r>
    </w:p>
    <w:p w:rsidR="006A64A5" w:rsidRPr="00094C7D" w:rsidRDefault="006A64A5">
      <w:r w:rsidRPr="00094C7D">
        <w:t xml:space="preserve">Kamerstukken II 2009/10, 32 401, nr.3, </w:t>
      </w:r>
      <w:r w:rsidRPr="00094C7D">
        <w:rPr>
          <w:i/>
        </w:rPr>
        <w:t xml:space="preserve">V-N </w:t>
      </w:r>
      <w:r w:rsidRPr="00094C7D">
        <w:t>2010/29.3</w:t>
      </w:r>
    </w:p>
    <w:p w:rsidR="006A64A5" w:rsidRPr="00094C7D" w:rsidRDefault="006A64A5">
      <w:r w:rsidRPr="00094C7D">
        <w:t xml:space="preserve">Th.J.M. van Schendel, </w:t>
      </w:r>
      <w:r w:rsidRPr="00094C7D">
        <w:rPr>
          <w:i/>
        </w:rPr>
        <w:t>De loonheffingen in 2010, 2011, 2012, 2013 en 2014</w:t>
      </w:r>
      <w:r w:rsidRPr="00094C7D">
        <w:t>, Maandblad Belasting Beschouwingen 2010/1</w:t>
      </w:r>
    </w:p>
    <w:p w:rsidR="006A64A5" w:rsidRPr="00094C7D" w:rsidRDefault="006A64A5">
      <w:r w:rsidRPr="00094C7D">
        <w:t xml:space="preserve">G.W.B. van Westen, </w:t>
      </w:r>
      <w:r w:rsidRPr="00094C7D">
        <w:rPr>
          <w:i/>
        </w:rPr>
        <w:t xml:space="preserve">Loonsomheffing: niet nodig en niet wenselijk, </w:t>
      </w:r>
      <w:r w:rsidRPr="00094C7D">
        <w:t>NTFR 2010-983</w:t>
      </w:r>
    </w:p>
    <w:p w:rsidR="006A64A5" w:rsidRPr="00094C7D" w:rsidRDefault="006A64A5">
      <w:r w:rsidRPr="00094C7D">
        <w:t xml:space="preserve">S. Bentohami, </w:t>
      </w:r>
      <w:r w:rsidRPr="00094C7D">
        <w:rPr>
          <w:i/>
        </w:rPr>
        <w:t>De werkkostenregeling: meer vereenvoudiging of meer irritatie?</w:t>
      </w:r>
      <w:r w:rsidRPr="00094C7D">
        <w:t>, Forfaitair 2010/206</w:t>
      </w:r>
    </w:p>
    <w:p w:rsidR="006A64A5" w:rsidRPr="00094C7D" w:rsidRDefault="006A64A5">
      <w:r w:rsidRPr="00094C7D">
        <w:t xml:space="preserve">MvA Belastingpakket 2010, Kamerstukken I 2009/10, 32128, </w:t>
      </w:r>
      <w:r w:rsidRPr="00094C7D">
        <w:rPr>
          <w:i/>
        </w:rPr>
        <w:t xml:space="preserve">V-N </w:t>
      </w:r>
      <w:r w:rsidRPr="00094C7D">
        <w:t>2009/66.3</w:t>
      </w:r>
    </w:p>
    <w:p w:rsidR="0020421D" w:rsidRPr="00094C7D" w:rsidRDefault="0020421D" w:rsidP="006A64A5"/>
    <w:sectPr w:rsidR="0020421D" w:rsidRPr="00094C7D" w:rsidSect="003234CE">
      <w:footerReference w:type="default" r:id="rId12"/>
      <w:pgSz w:w="11906" w:h="16838"/>
      <w:pgMar w:top="1417" w:right="1417" w:bottom="1417" w:left="1417" w:header="708" w:footer="17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6488" w:rsidRDefault="00BF6488" w:rsidP="003F0694">
      <w:pPr>
        <w:spacing w:after="0" w:line="240" w:lineRule="auto"/>
      </w:pPr>
      <w:r>
        <w:separator/>
      </w:r>
    </w:p>
  </w:endnote>
  <w:endnote w:type="continuationSeparator" w:id="0">
    <w:p w:rsidR="00BF6488" w:rsidRDefault="00BF6488" w:rsidP="003F06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Pr>
      <w:id w:val="47430171"/>
      <w:docPartObj>
        <w:docPartGallery w:val="Page Numbers (Bottom of Page)"/>
        <w:docPartUnique/>
      </w:docPartObj>
    </w:sdtPr>
    <w:sdtContent>
      <w:p w:rsidR="003234CE" w:rsidRDefault="003234CE">
        <w:pPr>
          <w:pStyle w:val="Voettekst"/>
          <w:jc w:val="center"/>
          <w:rPr>
            <w:rFonts w:asciiTheme="majorHAnsi" w:hAnsiTheme="majorHAnsi"/>
            <w:sz w:val="28"/>
            <w:szCs w:val="28"/>
          </w:rPr>
        </w:pPr>
        <w:r>
          <w:rPr>
            <w:rFonts w:asciiTheme="majorHAnsi" w:hAnsiTheme="majorHAnsi"/>
            <w:sz w:val="28"/>
            <w:szCs w:val="28"/>
          </w:rPr>
          <w:t xml:space="preserve">- </w:t>
        </w:r>
        <w:fldSimple w:instr=" PAGE    \* MERGEFORMAT ">
          <w:r w:rsidR="00F2003F" w:rsidRPr="00F2003F">
            <w:rPr>
              <w:rFonts w:asciiTheme="majorHAnsi" w:hAnsiTheme="majorHAnsi"/>
              <w:noProof/>
            </w:rPr>
            <w:t>24</w:t>
          </w:r>
        </w:fldSimple>
        <w:r>
          <w:rPr>
            <w:rFonts w:asciiTheme="majorHAnsi" w:hAnsiTheme="majorHAnsi"/>
            <w:sz w:val="28"/>
            <w:szCs w:val="28"/>
          </w:rPr>
          <w:t xml:space="preserve"> -</w:t>
        </w:r>
      </w:p>
    </w:sdtContent>
  </w:sdt>
  <w:p w:rsidR="003234CE" w:rsidRDefault="003234CE">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6488" w:rsidRDefault="00BF6488" w:rsidP="003F0694">
      <w:pPr>
        <w:spacing w:after="0" w:line="240" w:lineRule="auto"/>
      </w:pPr>
      <w:r>
        <w:separator/>
      </w:r>
    </w:p>
  </w:footnote>
  <w:footnote w:type="continuationSeparator" w:id="0">
    <w:p w:rsidR="00BF6488" w:rsidRDefault="00BF6488" w:rsidP="003F0694">
      <w:pPr>
        <w:spacing w:after="0" w:line="240" w:lineRule="auto"/>
      </w:pPr>
      <w:r>
        <w:continuationSeparator/>
      </w:r>
    </w:p>
  </w:footnote>
  <w:footnote w:id="1">
    <w:p w:rsidR="003F0694" w:rsidRDefault="003F0694">
      <w:pPr>
        <w:pStyle w:val="Voetnoottekst"/>
      </w:pPr>
      <w:r>
        <w:rPr>
          <w:rStyle w:val="Voetnootmarkering"/>
        </w:rPr>
        <w:footnoteRef/>
      </w:r>
      <w:r>
        <w:t xml:space="preserve"> </w:t>
      </w:r>
      <w:r w:rsidRPr="0086498E">
        <w:t>Centraal Bureau voor de Statistiek, Statline rijksbegroting 2009</w:t>
      </w:r>
    </w:p>
  </w:footnote>
  <w:footnote w:id="2">
    <w:p w:rsidR="003F0694" w:rsidRDefault="003F0694">
      <w:pPr>
        <w:pStyle w:val="Voetnoottekst"/>
      </w:pPr>
      <w:r>
        <w:rPr>
          <w:rStyle w:val="Voetnootmarkering"/>
        </w:rPr>
        <w:footnoteRef/>
      </w:r>
      <w:r>
        <w:t xml:space="preserve"> </w:t>
      </w:r>
      <w:r w:rsidRPr="00211560">
        <w:t xml:space="preserve">G.W.B. van Westen, </w:t>
      </w:r>
      <w:r w:rsidRPr="00211560">
        <w:rPr>
          <w:i/>
        </w:rPr>
        <w:t>Cursus Belastingrecht Loonbelasting</w:t>
      </w:r>
      <w:r w:rsidRPr="00211560">
        <w:t>, Kluwer 2009</w:t>
      </w:r>
    </w:p>
  </w:footnote>
  <w:footnote w:id="3">
    <w:p w:rsidR="003F0694" w:rsidRDefault="003F0694">
      <w:pPr>
        <w:pStyle w:val="Voetnoottekst"/>
      </w:pPr>
      <w:r>
        <w:rPr>
          <w:rStyle w:val="Voetnootmarkering"/>
        </w:rPr>
        <w:footnoteRef/>
      </w:r>
      <w:r>
        <w:t xml:space="preserve"> Kamerstukker II 1998/99, 26 728, nr. 3, </w:t>
      </w:r>
      <w:r w:rsidR="00B6650C">
        <w:t>blz.</w:t>
      </w:r>
      <w:r>
        <w:t xml:space="preserve"> 5</w:t>
      </w:r>
    </w:p>
  </w:footnote>
  <w:footnote w:id="4">
    <w:p w:rsidR="003F0694" w:rsidRDefault="003F0694">
      <w:pPr>
        <w:pStyle w:val="Voetnoottekst"/>
      </w:pPr>
      <w:r>
        <w:rPr>
          <w:rStyle w:val="Voetnootmarkering"/>
        </w:rPr>
        <w:footnoteRef/>
      </w:r>
      <w:r>
        <w:t xml:space="preserve"> </w:t>
      </w:r>
      <w:r w:rsidRPr="00C32F5A">
        <w:t>Kamerstuk</w:t>
      </w:r>
      <w:r>
        <w:t>ken II 2009/10,</w:t>
      </w:r>
      <w:r w:rsidRPr="00C32F5A">
        <w:t xml:space="preserve"> 32</w:t>
      </w:r>
      <w:r>
        <w:t xml:space="preserve"> </w:t>
      </w:r>
      <w:r w:rsidRPr="00C32F5A">
        <w:t>333</w:t>
      </w:r>
      <w:r>
        <w:t>,</w:t>
      </w:r>
      <w:r w:rsidRPr="00C32F5A">
        <w:t xml:space="preserve"> nr. 42</w:t>
      </w:r>
    </w:p>
  </w:footnote>
  <w:footnote w:id="5">
    <w:p w:rsidR="003F0694" w:rsidRDefault="003F0694">
      <w:pPr>
        <w:pStyle w:val="Voetnoottekst"/>
      </w:pPr>
      <w:r>
        <w:rPr>
          <w:rStyle w:val="Voetnootmarkering"/>
        </w:rPr>
        <w:footnoteRef/>
      </w:r>
      <w:r>
        <w:t xml:space="preserve"> Fiscale Vereenvoudigingswet 2010, Kamerstukken II 2009/10, 32 130 nr. 3</w:t>
      </w:r>
    </w:p>
  </w:footnote>
  <w:footnote w:id="6">
    <w:p w:rsidR="003F0694" w:rsidRDefault="003F0694">
      <w:pPr>
        <w:pStyle w:val="Voetnoottekst"/>
      </w:pPr>
      <w:r>
        <w:rPr>
          <w:rStyle w:val="Voetnootmarkering"/>
        </w:rPr>
        <w:footnoteRef/>
      </w:r>
      <w:r>
        <w:t xml:space="preserve"> </w:t>
      </w:r>
      <w:r w:rsidRPr="0086498E">
        <w:t xml:space="preserve">Studiecommissie belastingstelsel, </w:t>
      </w:r>
      <w:r w:rsidRPr="0086498E">
        <w:rPr>
          <w:i/>
        </w:rPr>
        <w:t>Continuïteit en vernieuwing</w:t>
      </w:r>
      <w:r w:rsidRPr="0086498E">
        <w:t xml:space="preserve">, 7 april 2010, </w:t>
      </w:r>
      <w:r w:rsidRPr="004C1C92">
        <w:t>www.minfin.nl</w:t>
      </w:r>
    </w:p>
  </w:footnote>
  <w:footnote w:id="7">
    <w:p w:rsidR="003F0694" w:rsidRDefault="003F0694" w:rsidP="004C1C92">
      <w:pPr>
        <w:spacing w:after="0"/>
      </w:pPr>
      <w:r w:rsidRPr="00DF18CA">
        <w:rPr>
          <w:rStyle w:val="Voetnootmarkering"/>
          <w:sz w:val="20"/>
          <w:szCs w:val="20"/>
        </w:rPr>
        <w:footnoteRef/>
      </w:r>
      <w:r>
        <w:rPr>
          <w:sz w:val="20"/>
          <w:szCs w:val="20"/>
        </w:rPr>
        <w:t xml:space="preserve"> </w:t>
      </w:r>
      <w:r w:rsidRPr="00DF18CA">
        <w:rPr>
          <w:sz w:val="20"/>
          <w:szCs w:val="20"/>
        </w:rPr>
        <w:t xml:space="preserve">P. Kavelaars, </w:t>
      </w:r>
      <w:r w:rsidRPr="00DF18CA">
        <w:rPr>
          <w:i/>
          <w:sz w:val="20"/>
          <w:szCs w:val="20"/>
        </w:rPr>
        <w:t>Loonkosten en eenvoud</w:t>
      </w:r>
      <w:r>
        <w:rPr>
          <w:sz w:val="20"/>
          <w:szCs w:val="20"/>
        </w:rPr>
        <w:t>, 9 november 2009, www.eur.nl</w:t>
      </w:r>
    </w:p>
  </w:footnote>
  <w:footnote w:id="8">
    <w:p w:rsidR="003F0694" w:rsidRPr="00466CEA" w:rsidRDefault="003F0694" w:rsidP="00DF18CA">
      <w:r>
        <w:rPr>
          <w:rStyle w:val="Voetnootmarkering"/>
        </w:rPr>
        <w:footnoteRef/>
      </w:r>
      <w:r>
        <w:t xml:space="preserve"> </w:t>
      </w:r>
      <w:r w:rsidRPr="00DF18CA">
        <w:rPr>
          <w:sz w:val="20"/>
          <w:szCs w:val="20"/>
        </w:rPr>
        <w:t xml:space="preserve">M.J. Bik, </w:t>
      </w:r>
      <w:r w:rsidRPr="00DF18CA">
        <w:rPr>
          <w:i/>
          <w:sz w:val="20"/>
          <w:szCs w:val="20"/>
        </w:rPr>
        <w:t xml:space="preserve">Vereenvoudiging van de onbelaste vergoedingen, </w:t>
      </w:r>
      <w:r w:rsidRPr="00DF18CA">
        <w:rPr>
          <w:sz w:val="20"/>
          <w:szCs w:val="20"/>
        </w:rPr>
        <w:t>Forfaitair 2009/200</w:t>
      </w:r>
    </w:p>
    <w:p w:rsidR="003F0694" w:rsidRDefault="003F0694">
      <w:pPr>
        <w:pStyle w:val="Voetnoottekst"/>
      </w:pPr>
    </w:p>
  </w:footnote>
  <w:footnote w:id="9">
    <w:p w:rsidR="003F0694" w:rsidRDefault="003F0694" w:rsidP="00E912D7">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 2009</w:t>
      </w:r>
      <w:r>
        <w:t xml:space="preserve">, </w:t>
      </w:r>
      <w:r w:rsidR="00B6650C">
        <w:t>blz.</w:t>
      </w:r>
      <w:r>
        <w:t xml:space="preserve"> 24</w:t>
      </w:r>
    </w:p>
  </w:footnote>
  <w:footnote w:id="10">
    <w:p w:rsidR="003F0694" w:rsidRDefault="003F0694" w:rsidP="00E912D7">
      <w:pPr>
        <w:pStyle w:val="Voetnoottekst"/>
      </w:pPr>
      <w:r>
        <w:rPr>
          <w:rStyle w:val="Voetnootmarkering"/>
        </w:rPr>
        <w:footnoteRef/>
      </w:r>
      <w:r>
        <w:t xml:space="preserve"> Zie hiervoor, </w:t>
      </w:r>
      <w:r w:rsidR="00B6650C">
        <w:t>blz.</w:t>
      </w:r>
      <w:r>
        <w:t xml:space="preserve"> 22</w:t>
      </w:r>
    </w:p>
  </w:footnote>
  <w:footnote w:id="11">
    <w:p w:rsidR="003F0694" w:rsidRDefault="003F0694" w:rsidP="00E912D7">
      <w:pPr>
        <w:pStyle w:val="Voetnoottekst"/>
      </w:pPr>
      <w:r>
        <w:rPr>
          <w:rStyle w:val="Voetnootmarkering"/>
        </w:rPr>
        <w:footnoteRef/>
      </w:r>
      <w:r>
        <w:t xml:space="preserve"> </w:t>
      </w:r>
      <w:r w:rsidRPr="0086498E">
        <w:t>Centraal Bureau voor de Statistiek, Statline rijksbegroting 2009</w:t>
      </w:r>
    </w:p>
  </w:footnote>
  <w:footnote w:id="12">
    <w:p w:rsidR="003F0694" w:rsidRDefault="003F0694" w:rsidP="00E912D7">
      <w:pPr>
        <w:pStyle w:val="Voetnoottekst"/>
      </w:pPr>
      <w:r>
        <w:rPr>
          <w:rStyle w:val="Voetnootmarkering"/>
        </w:rPr>
        <w:footnoteRef/>
      </w:r>
      <w:r>
        <w:t xml:space="preserve"> Kamerstukken II 1998/99, 26 727, nr. 3, </w:t>
      </w:r>
      <w:r w:rsidR="00B6650C">
        <w:t>blz.</w:t>
      </w:r>
      <w:r>
        <w:t xml:space="preserve"> 29</w:t>
      </w:r>
    </w:p>
  </w:footnote>
  <w:footnote w:id="13">
    <w:p w:rsidR="003F0694" w:rsidRDefault="003F0694" w:rsidP="00E912D7">
      <w:pPr>
        <w:pStyle w:val="Voetnoottekst"/>
      </w:pPr>
      <w:r>
        <w:rPr>
          <w:rStyle w:val="Voetnootmarkering"/>
        </w:rPr>
        <w:footnoteRef/>
      </w:r>
      <w:r>
        <w:t xml:space="preserve"> </w:t>
      </w:r>
      <w:r w:rsidRPr="000900AD">
        <w:rPr>
          <w:rStyle w:val="nadrukb"/>
        </w:rPr>
        <w:t>HR 20 oktober 1954, nr. 11</w:t>
      </w:r>
      <w:r>
        <w:rPr>
          <w:rStyle w:val="nadrukb"/>
        </w:rPr>
        <w:t xml:space="preserve"> </w:t>
      </w:r>
      <w:r w:rsidRPr="000900AD">
        <w:rPr>
          <w:rStyle w:val="nadrukb"/>
          <w:rFonts w:cs="Calibri"/>
        </w:rPr>
        <w:t>947,</w:t>
      </w:r>
      <w:r w:rsidRPr="000900AD">
        <w:rPr>
          <w:rStyle w:val="nadrukb"/>
        </w:rPr>
        <w:t xml:space="preserve"> BNB 1954/350</w:t>
      </w:r>
    </w:p>
  </w:footnote>
  <w:footnote w:id="14">
    <w:p w:rsidR="003F0694" w:rsidRDefault="003F0694" w:rsidP="005005F2">
      <w:pPr>
        <w:pStyle w:val="Voetnoottekst"/>
      </w:pPr>
      <w:r>
        <w:rPr>
          <w:rStyle w:val="Voetnootmarkering"/>
        </w:rPr>
        <w:footnoteRef/>
      </w:r>
      <w:r>
        <w:t xml:space="preserve"> Kamerstukken II 1998/</w:t>
      </w:r>
      <w:r w:rsidRPr="000900AD">
        <w:t>99, 26</w:t>
      </w:r>
      <w:r>
        <w:t xml:space="preserve"> </w:t>
      </w:r>
      <w:r w:rsidRPr="000900AD">
        <w:t>728, nr. 3</w:t>
      </w:r>
      <w:r>
        <w:t xml:space="preserve">, </w:t>
      </w:r>
      <w:r w:rsidR="00B6650C">
        <w:t>blz.</w:t>
      </w:r>
      <w:r>
        <w:t xml:space="preserve"> 28/29</w:t>
      </w:r>
    </w:p>
  </w:footnote>
  <w:footnote w:id="15">
    <w:p w:rsidR="003F0694" w:rsidRDefault="003F0694" w:rsidP="00D14028">
      <w:pPr>
        <w:pStyle w:val="Voetnoottekst"/>
      </w:pPr>
      <w:r>
        <w:rPr>
          <w:rStyle w:val="Voetnootmarkering"/>
        </w:rPr>
        <w:footnoteRef/>
      </w:r>
      <w:r>
        <w:t xml:space="preserve"> </w:t>
      </w:r>
      <w:r>
        <w:rPr>
          <w:rFonts w:cs="Arial"/>
        </w:rPr>
        <w:t xml:space="preserve">Belastingdienst, </w:t>
      </w:r>
      <w:r w:rsidRPr="004E3270">
        <w:rPr>
          <w:rFonts w:cs="Arial"/>
          <w:i/>
        </w:rPr>
        <w:t>Handboek Loonheffingen</w:t>
      </w:r>
      <w:r>
        <w:rPr>
          <w:rFonts w:cs="Arial"/>
          <w:i/>
        </w:rPr>
        <w:t xml:space="preserve"> 2010</w:t>
      </w:r>
    </w:p>
  </w:footnote>
  <w:footnote w:id="16">
    <w:p w:rsidR="003F0694" w:rsidRDefault="003F0694" w:rsidP="008828A3">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 2009</w:t>
      </w:r>
      <w:r>
        <w:t xml:space="preserve">, </w:t>
      </w:r>
      <w:r w:rsidR="00B6650C">
        <w:t>blz.</w:t>
      </w:r>
      <w:r>
        <w:t xml:space="preserve"> 144</w:t>
      </w:r>
    </w:p>
  </w:footnote>
  <w:footnote w:id="17">
    <w:p w:rsidR="003F0694" w:rsidRDefault="003F0694" w:rsidP="00686538">
      <w:pPr>
        <w:pStyle w:val="Voetnoottekst"/>
      </w:pPr>
      <w:r>
        <w:rPr>
          <w:rStyle w:val="Voetnootmarkering"/>
        </w:rPr>
        <w:footnoteRef/>
      </w:r>
      <w:r>
        <w:t xml:space="preserve"> </w:t>
      </w:r>
      <w:r>
        <w:rPr>
          <w:rFonts w:cs="Arial"/>
        </w:rPr>
        <w:t xml:space="preserve">A-G Van Ballegooijen, </w:t>
      </w:r>
      <w:r w:rsidRPr="00974DD9">
        <w:rPr>
          <w:i/>
        </w:rPr>
        <w:t>Conclusie over waardering voordeel mobiele telefoon</w:t>
      </w:r>
      <w:r>
        <w:rPr>
          <w:i/>
        </w:rPr>
        <w:t xml:space="preserve">, V-N </w:t>
      </w:r>
      <w:r>
        <w:t>2009/39.17</w:t>
      </w:r>
    </w:p>
  </w:footnote>
  <w:footnote w:id="18">
    <w:p w:rsidR="003F0694" w:rsidRPr="000B1A4F" w:rsidRDefault="003F0694" w:rsidP="00E912D7">
      <w:pPr>
        <w:spacing w:after="0"/>
        <w:rPr>
          <w:sz w:val="20"/>
          <w:szCs w:val="20"/>
        </w:rPr>
      </w:pPr>
      <w:r>
        <w:rPr>
          <w:rStyle w:val="Voetnootmarkering"/>
        </w:rPr>
        <w:footnoteRef/>
      </w:r>
      <w:r>
        <w:t xml:space="preserve"> </w:t>
      </w:r>
      <w:r>
        <w:rPr>
          <w:sz w:val="20"/>
          <w:szCs w:val="20"/>
        </w:rPr>
        <w:t>Brief Minister van SZW 8 oktober 2007</w:t>
      </w:r>
      <w:r w:rsidRPr="009E12D4">
        <w:rPr>
          <w:sz w:val="20"/>
          <w:szCs w:val="20"/>
        </w:rPr>
        <w:t xml:space="preserve">, </w:t>
      </w:r>
      <w:r w:rsidR="007422D5">
        <w:rPr>
          <w:sz w:val="20"/>
          <w:szCs w:val="20"/>
        </w:rPr>
        <w:t>nr.</w:t>
      </w:r>
      <w:r w:rsidRPr="009E12D4">
        <w:rPr>
          <w:sz w:val="20"/>
          <w:szCs w:val="20"/>
        </w:rPr>
        <w:t xml:space="preserve"> DEREG/2007/32947</w:t>
      </w:r>
      <w:r>
        <w:rPr>
          <w:sz w:val="20"/>
          <w:szCs w:val="20"/>
        </w:rPr>
        <w:t xml:space="preserve">, bijlage 4, </w:t>
      </w:r>
      <w:r w:rsidRPr="0039147B">
        <w:rPr>
          <w:i/>
          <w:sz w:val="20"/>
          <w:szCs w:val="20"/>
        </w:rPr>
        <w:t>V</w:t>
      </w:r>
      <w:r>
        <w:rPr>
          <w:i/>
          <w:sz w:val="20"/>
          <w:szCs w:val="20"/>
        </w:rPr>
        <w:t>-</w:t>
      </w:r>
      <w:r w:rsidRPr="0039147B">
        <w:rPr>
          <w:i/>
          <w:sz w:val="20"/>
          <w:szCs w:val="20"/>
        </w:rPr>
        <w:t>N</w:t>
      </w:r>
      <w:r>
        <w:rPr>
          <w:sz w:val="20"/>
          <w:szCs w:val="20"/>
        </w:rPr>
        <w:t xml:space="preserve"> 2007/48.16</w:t>
      </w:r>
    </w:p>
  </w:footnote>
  <w:footnote w:id="19">
    <w:p w:rsidR="003F0694" w:rsidRPr="009C1E7B" w:rsidRDefault="003F0694" w:rsidP="00E912D7">
      <w:pPr>
        <w:spacing w:after="0"/>
        <w:rPr>
          <w:sz w:val="20"/>
          <w:szCs w:val="20"/>
        </w:rPr>
      </w:pPr>
      <w:r>
        <w:rPr>
          <w:rStyle w:val="Voetnootmarkering"/>
        </w:rPr>
        <w:footnoteRef/>
      </w:r>
      <w:r>
        <w:t xml:space="preserve"> </w:t>
      </w:r>
      <w:r w:rsidRPr="00865594">
        <w:rPr>
          <w:sz w:val="20"/>
          <w:szCs w:val="20"/>
        </w:rPr>
        <w:t xml:space="preserve">Fiscale Vereenvoudigingswet 2010, Kamerstukken II 2009/10, 32 130 nr. </w:t>
      </w:r>
      <w:r>
        <w:rPr>
          <w:sz w:val="20"/>
          <w:szCs w:val="20"/>
        </w:rPr>
        <w:t xml:space="preserve">3, </w:t>
      </w:r>
      <w:r w:rsidR="00B6650C">
        <w:rPr>
          <w:sz w:val="20"/>
          <w:szCs w:val="20"/>
        </w:rPr>
        <w:t>blz.</w:t>
      </w:r>
      <w:r>
        <w:rPr>
          <w:sz w:val="20"/>
          <w:szCs w:val="20"/>
        </w:rPr>
        <w:t xml:space="preserve"> 7</w:t>
      </w:r>
    </w:p>
  </w:footnote>
  <w:footnote w:id="20">
    <w:p w:rsidR="003F0694" w:rsidRDefault="003F0694" w:rsidP="00E912D7">
      <w:pPr>
        <w:pStyle w:val="Voetnoottekst"/>
      </w:pPr>
      <w:r>
        <w:rPr>
          <w:rStyle w:val="Voetnootmarkering"/>
        </w:rPr>
        <w:footnoteRef/>
      </w:r>
      <w:r>
        <w:t xml:space="preserve"> EIM, </w:t>
      </w:r>
      <w:r w:rsidRPr="004F48C8">
        <w:rPr>
          <w:i/>
        </w:rPr>
        <w:t>Vergoedingen en verstrekkingen in de loonsfeer</w:t>
      </w:r>
      <w:r>
        <w:t xml:space="preserve">, juli 2009, </w:t>
      </w:r>
      <w:r w:rsidR="00B6650C">
        <w:t>blz.</w:t>
      </w:r>
      <w:r>
        <w:t xml:space="preserve"> 6-9</w:t>
      </w:r>
    </w:p>
  </w:footnote>
  <w:footnote w:id="21">
    <w:p w:rsidR="003F0694" w:rsidRPr="006923FF" w:rsidRDefault="003F0694" w:rsidP="00887A7D">
      <w:pPr>
        <w:spacing w:after="0"/>
        <w:jc w:val="left"/>
        <w:rPr>
          <w:sz w:val="20"/>
          <w:szCs w:val="20"/>
        </w:rPr>
      </w:pPr>
      <w:r>
        <w:rPr>
          <w:rStyle w:val="Voetnootmarkering"/>
        </w:rPr>
        <w:footnoteRef/>
      </w:r>
      <w:r w:rsidR="00887A7D">
        <w:t xml:space="preserve"> </w:t>
      </w:r>
      <w:r>
        <w:rPr>
          <w:sz w:val="20"/>
          <w:szCs w:val="20"/>
        </w:rPr>
        <w:t xml:space="preserve">Totale kosten zijn ongeveer € 1.268 miljoen, zie </w:t>
      </w:r>
      <w:r w:rsidRPr="00865594">
        <w:rPr>
          <w:sz w:val="20"/>
          <w:szCs w:val="20"/>
        </w:rPr>
        <w:t xml:space="preserve">Fiscale Vereenvoudigingswet 2010, Kamerstukken II 2009/10, 32 130 nr. </w:t>
      </w:r>
      <w:r>
        <w:rPr>
          <w:sz w:val="20"/>
          <w:szCs w:val="20"/>
        </w:rPr>
        <w:t xml:space="preserve">3, </w:t>
      </w:r>
      <w:r w:rsidR="00B6650C">
        <w:rPr>
          <w:sz w:val="20"/>
          <w:szCs w:val="20"/>
        </w:rPr>
        <w:t>blz.</w:t>
      </w:r>
      <w:r>
        <w:rPr>
          <w:sz w:val="20"/>
          <w:szCs w:val="20"/>
        </w:rPr>
        <w:t xml:space="preserve"> 35</w:t>
      </w:r>
    </w:p>
  </w:footnote>
  <w:footnote w:id="22">
    <w:p w:rsidR="003F0694" w:rsidRDefault="003F0694">
      <w:pPr>
        <w:pStyle w:val="Voetnoottekst"/>
      </w:pPr>
      <w:r>
        <w:rPr>
          <w:rStyle w:val="Voetnootmarkering"/>
        </w:rPr>
        <w:footnoteRef/>
      </w:r>
      <w:r>
        <w:t xml:space="preserve"> </w:t>
      </w:r>
      <w:r w:rsidRPr="00865594">
        <w:t>Fiscale Vereenvoudigingswet 2010, Kamerstukken II 2009/10, 32 130</w:t>
      </w:r>
      <w:r>
        <w:t>,</w:t>
      </w:r>
      <w:r w:rsidRPr="00865594">
        <w:t xml:space="preserve"> nr. 3</w:t>
      </w:r>
    </w:p>
  </w:footnote>
  <w:footnote w:id="23">
    <w:p w:rsidR="003F0694" w:rsidRDefault="003F0694" w:rsidP="00FA243C">
      <w:pPr>
        <w:pStyle w:val="Voetnoottekst"/>
      </w:pPr>
      <w:r>
        <w:rPr>
          <w:rStyle w:val="Voetnootmarkering"/>
        </w:rPr>
        <w:footnoteRef/>
      </w:r>
      <w:r>
        <w:t xml:space="preserve"> </w:t>
      </w:r>
      <w:r w:rsidRPr="00865594">
        <w:t>Fiscale Vereenvoudigingswet 2010, Kamerstukken II 2009/10, 32 130</w:t>
      </w:r>
      <w:r>
        <w:t>,</w:t>
      </w:r>
      <w:r w:rsidRPr="00865594">
        <w:t xml:space="preserve"> nr. 3</w:t>
      </w:r>
      <w:r>
        <w:t xml:space="preserve">, </w:t>
      </w:r>
      <w:r w:rsidR="00B6650C">
        <w:t>blz.</w:t>
      </w:r>
      <w:r>
        <w:t xml:space="preserve"> 2</w:t>
      </w:r>
    </w:p>
  </w:footnote>
  <w:footnote w:id="24">
    <w:p w:rsidR="003F0694" w:rsidRDefault="003F0694">
      <w:pPr>
        <w:pStyle w:val="Voetnoottekst"/>
      </w:pPr>
      <w:r>
        <w:rPr>
          <w:rStyle w:val="Voetnootmarkering"/>
        </w:rPr>
        <w:footnoteRef/>
      </w:r>
      <w:r>
        <w:t xml:space="preserve"> EIM, </w:t>
      </w:r>
      <w:r w:rsidRPr="004F48C8">
        <w:rPr>
          <w:i/>
        </w:rPr>
        <w:t>Vergoedingen en verstrekkingen in de loon</w:t>
      </w:r>
      <w:r w:rsidRPr="00FD1D9E">
        <w:rPr>
          <w:i/>
        </w:rPr>
        <w:t>sfeer</w:t>
      </w:r>
      <w:r>
        <w:t>, juli 2009</w:t>
      </w:r>
    </w:p>
  </w:footnote>
  <w:footnote w:id="25">
    <w:p w:rsidR="003F0694" w:rsidRDefault="003F0694">
      <w:pPr>
        <w:pStyle w:val="Voetnoottekst"/>
      </w:pPr>
      <w:r>
        <w:rPr>
          <w:rStyle w:val="Voetnootmarkering"/>
        </w:rPr>
        <w:footnoteRef/>
      </w:r>
      <w:r>
        <w:t xml:space="preserve"> Zie tabel 1 en 2 in de bijlage voor exact welke kostensoorten en sectoren gebruikt zijn</w:t>
      </w:r>
    </w:p>
  </w:footnote>
  <w:footnote w:id="26">
    <w:p w:rsidR="003F0694" w:rsidRPr="00D14417" w:rsidRDefault="003F0694" w:rsidP="00462291">
      <w:pPr>
        <w:spacing w:after="0"/>
        <w:rPr>
          <w:sz w:val="20"/>
          <w:szCs w:val="20"/>
        </w:rPr>
      </w:pPr>
      <w:r>
        <w:rPr>
          <w:rStyle w:val="Voetnootmarkering"/>
        </w:rPr>
        <w:footnoteRef/>
      </w:r>
      <w:r>
        <w:t xml:space="preserve"> </w:t>
      </w:r>
      <w:r w:rsidRPr="00865594">
        <w:rPr>
          <w:sz w:val="20"/>
          <w:szCs w:val="20"/>
        </w:rPr>
        <w:t>Fiscale Vereenvoudigingswet 2010, Kamers</w:t>
      </w:r>
      <w:r>
        <w:rPr>
          <w:sz w:val="20"/>
          <w:szCs w:val="20"/>
        </w:rPr>
        <w:t>tukken II 2009/10, 32 130 nr. 3, blz. 9</w:t>
      </w:r>
    </w:p>
  </w:footnote>
  <w:footnote w:id="27">
    <w:p w:rsidR="003F0694" w:rsidRDefault="003F0694">
      <w:pPr>
        <w:pStyle w:val="Voetnoottekst"/>
      </w:pPr>
      <w:r>
        <w:rPr>
          <w:rStyle w:val="Voetnootmarkering"/>
        </w:rPr>
        <w:footnoteRef/>
      </w:r>
      <w:r>
        <w:t xml:space="preserve"> Zie tabel 2</w:t>
      </w:r>
    </w:p>
  </w:footnote>
  <w:footnote w:id="28">
    <w:p w:rsidR="003F0694" w:rsidRDefault="003F0694">
      <w:pPr>
        <w:pStyle w:val="Voetnoottekst"/>
      </w:pPr>
      <w:r>
        <w:rPr>
          <w:rStyle w:val="Voetnootmarkering"/>
        </w:rPr>
        <w:footnoteRef/>
      </w:r>
      <w:r>
        <w:t xml:space="preserve"> EIM, </w:t>
      </w:r>
      <w:r w:rsidRPr="004F48C8">
        <w:rPr>
          <w:i/>
        </w:rPr>
        <w:t>Vergoedingen en verstrekkingen in de loon</w:t>
      </w:r>
      <w:r w:rsidRPr="00FD1D9E">
        <w:rPr>
          <w:i/>
        </w:rPr>
        <w:t>sfeer</w:t>
      </w:r>
      <w:r>
        <w:t>, juli 2009, blz. 116</w:t>
      </w:r>
    </w:p>
  </w:footnote>
  <w:footnote w:id="29">
    <w:p w:rsidR="003F0694" w:rsidRPr="00E24433" w:rsidRDefault="003F0694">
      <w:pPr>
        <w:pStyle w:val="Voetnoottekst"/>
      </w:pPr>
      <w:r>
        <w:rPr>
          <w:rStyle w:val="Voetnootmarkering"/>
        </w:rPr>
        <w:footnoteRef/>
      </w:r>
      <w:r>
        <w:t xml:space="preserve"> </w:t>
      </w:r>
      <w:r>
        <w:rPr>
          <w:rFonts w:cs="Arial"/>
        </w:rPr>
        <w:t xml:space="preserve">Belastingdienst, </w:t>
      </w:r>
      <w:r w:rsidRPr="004E3270">
        <w:rPr>
          <w:rFonts w:cs="Arial"/>
          <w:i/>
        </w:rPr>
        <w:t>Handboek Loonheffingen</w:t>
      </w:r>
      <w:r>
        <w:rPr>
          <w:rFonts w:cs="Arial"/>
          <w:i/>
        </w:rPr>
        <w:t xml:space="preserve"> 2010, </w:t>
      </w:r>
      <w:r>
        <w:rPr>
          <w:rFonts w:cs="Arial"/>
        </w:rPr>
        <w:t>blz. 30</w:t>
      </w:r>
    </w:p>
  </w:footnote>
  <w:footnote w:id="30">
    <w:p w:rsidR="003F0694" w:rsidRDefault="003F0694">
      <w:pPr>
        <w:pStyle w:val="Voetnoottekst"/>
      </w:pPr>
      <w:r>
        <w:rPr>
          <w:rStyle w:val="Voetnootmarkering"/>
        </w:rPr>
        <w:footnoteRef/>
      </w:r>
      <w:r>
        <w:t xml:space="preserve"> EIM, </w:t>
      </w:r>
      <w:r w:rsidRPr="004F48C8">
        <w:rPr>
          <w:i/>
        </w:rPr>
        <w:t>Vergoedingen en verstrekkingen in de loon</w:t>
      </w:r>
      <w:r w:rsidRPr="00FD1D9E">
        <w:rPr>
          <w:i/>
        </w:rPr>
        <w:t>sfeer</w:t>
      </w:r>
      <w:r>
        <w:t>, juli 2009, blz. 118</w:t>
      </w:r>
    </w:p>
  </w:footnote>
  <w:footnote w:id="31">
    <w:p w:rsidR="003F0694" w:rsidRDefault="003F0694">
      <w:pPr>
        <w:pStyle w:val="Voetnoottekst"/>
      </w:pPr>
      <w:r>
        <w:rPr>
          <w:rStyle w:val="Voetnootmarkering"/>
        </w:rPr>
        <w:footnoteRef/>
      </w:r>
      <w:r>
        <w:t xml:space="preserve"> Zie tabel 1</w:t>
      </w:r>
    </w:p>
  </w:footnote>
  <w:footnote w:id="32">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33">
    <w:p w:rsidR="003F0694" w:rsidRDefault="003F0694">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w:t>
      </w:r>
      <w:r>
        <w:t xml:space="preserve"> 2010</w:t>
      </w:r>
    </w:p>
  </w:footnote>
  <w:footnote w:id="34">
    <w:p w:rsidR="003F0694" w:rsidRPr="0096697A" w:rsidRDefault="003F0694" w:rsidP="0096697A">
      <w:pPr>
        <w:spacing w:after="0"/>
        <w:rPr>
          <w:sz w:val="20"/>
          <w:szCs w:val="20"/>
        </w:rPr>
      </w:pPr>
      <w:r>
        <w:rPr>
          <w:rStyle w:val="Voetnootmarkering"/>
        </w:rPr>
        <w:footnoteRef/>
      </w:r>
      <w:r>
        <w:t xml:space="preserve"> </w:t>
      </w:r>
      <w:r w:rsidRPr="00865594">
        <w:rPr>
          <w:sz w:val="20"/>
          <w:szCs w:val="20"/>
        </w:rPr>
        <w:t>Fiscale Vereenvoudigingswet 2010, Kamers</w:t>
      </w:r>
      <w:r>
        <w:rPr>
          <w:sz w:val="20"/>
          <w:szCs w:val="20"/>
        </w:rPr>
        <w:t>tukken II 2009/10, 32 130 nr. 3, blz. 10</w:t>
      </w:r>
    </w:p>
  </w:footnote>
  <w:footnote w:id="35">
    <w:p w:rsidR="003F0694" w:rsidRDefault="003F0694">
      <w:pPr>
        <w:pStyle w:val="Voetnoottekst"/>
      </w:pPr>
      <w:r>
        <w:rPr>
          <w:rStyle w:val="Voetnootmarkering"/>
        </w:rPr>
        <w:footnoteRef/>
      </w:r>
      <w:r>
        <w:t xml:space="preserve"> </w:t>
      </w:r>
      <w:r w:rsidRPr="00865594">
        <w:t>Fiscale Vereenvoudigingswet 2010, Kamers</w:t>
      </w:r>
      <w:r>
        <w:t>tukken II 2009/10, 32 130 nr. 3, blz. 12</w:t>
      </w:r>
    </w:p>
  </w:footnote>
  <w:footnote w:id="36">
    <w:p w:rsidR="003F0694" w:rsidRDefault="003F0694">
      <w:pPr>
        <w:pStyle w:val="Voetnoottekst"/>
      </w:pPr>
      <w:r>
        <w:rPr>
          <w:rStyle w:val="Voetnootmarkering"/>
        </w:rPr>
        <w:footnoteRef/>
      </w:r>
      <w:r>
        <w:t xml:space="preserve"> </w:t>
      </w:r>
      <w:r w:rsidRPr="00865594">
        <w:t>Fiscale Vereenvoudigingswet 2010, Kamers</w:t>
      </w:r>
      <w:r>
        <w:t>tukken II 2009/10, 32 130 nr. 3, blz. 2</w:t>
      </w:r>
    </w:p>
  </w:footnote>
  <w:footnote w:id="37">
    <w:p w:rsidR="003F0694" w:rsidRDefault="003F0694">
      <w:pPr>
        <w:pStyle w:val="Voetnoottekst"/>
      </w:pPr>
      <w:r>
        <w:rPr>
          <w:rStyle w:val="Voetnootmarkering"/>
        </w:rPr>
        <w:footnoteRef/>
      </w:r>
      <w:r>
        <w:t xml:space="preserve"> Brief staatssecretaris van Financiën werkkostenregeling Fiscale Vereenvoudigingswet 2010, </w:t>
      </w:r>
      <w:r>
        <w:rPr>
          <w:i/>
        </w:rPr>
        <w:t xml:space="preserve">V-N </w:t>
      </w:r>
      <w:r>
        <w:t>2009/54.10</w:t>
      </w:r>
    </w:p>
  </w:footnote>
  <w:footnote w:id="38">
    <w:p w:rsidR="003F0694" w:rsidRDefault="003F0694">
      <w:pPr>
        <w:pStyle w:val="Voetnoottekst"/>
      </w:pPr>
      <w:r>
        <w:rPr>
          <w:rStyle w:val="Voetnootmarkering"/>
        </w:rPr>
        <w:footnoteRef/>
      </w:r>
      <w:r>
        <w:t xml:space="preserve"> Nota naar aanleiding van het verslag Wet uniformering loonbegrip, </w:t>
      </w:r>
      <w:r>
        <w:rPr>
          <w:i/>
        </w:rPr>
        <w:t xml:space="preserve">V-N </w:t>
      </w:r>
      <w:r>
        <w:t>2010/9.2</w:t>
      </w:r>
    </w:p>
  </w:footnote>
  <w:footnote w:id="39">
    <w:p w:rsidR="003F0694" w:rsidRDefault="003F0694">
      <w:pPr>
        <w:pStyle w:val="Voetnoottekst"/>
      </w:pPr>
      <w:r>
        <w:rPr>
          <w:rStyle w:val="Voetnootmarkering"/>
        </w:rPr>
        <w:footnoteRef/>
      </w:r>
      <w:r>
        <w:t xml:space="preserve"> Kamerstukken II 2009/10, 32 401, nr.3, </w:t>
      </w:r>
      <w:r>
        <w:rPr>
          <w:i/>
        </w:rPr>
        <w:t xml:space="preserve">V-N </w:t>
      </w:r>
      <w:r>
        <w:t>2010/29.3</w:t>
      </w:r>
    </w:p>
  </w:footnote>
  <w:footnote w:id="40">
    <w:p w:rsidR="003F0694" w:rsidRDefault="003F0694">
      <w:pPr>
        <w:pStyle w:val="Voetnoottekst"/>
      </w:pPr>
      <w:r>
        <w:rPr>
          <w:rStyle w:val="Voetnootmarkering"/>
        </w:rPr>
        <w:footnoteRef/>
      </w:r>
      <w:r>
        <w:t xml:space="preserve"> MvT Fiscale vereenvoudigingswet 2010, </w:t>
      </w:r>
      <w:r>
        <w:rPr>
          <w:i/>
        </w:rPr>
        <w:t xml:space="preserve">V-N </w:t>
      </w:r>
      <w:r>
        <w:t>2009/46.9</w:t>
      </w:r>
    </w:p>
  </w:footnote>
  <w:footnote w:id="41">
    <w:p w:rsidR="003F0694" w:rsidRDefault="003F0694">
      <w:pPr>
        <w:pStyle w:val="Voetnoottekst"/>
      </w:pPr>
      <w:r>
        <w:rPr>
          <w:rStyle w:val="Voetnootmarkering"/>
        </w:rPr>
        <w:footnoteRef/>
      </w:r>
      <w:r>
        <w:t xml:space="preserve"> MvT Fiscale vereenvoudigingswet 2010, </w:t>
      </w:r>
      <w:r>
        <w:rPr>
          <w:i/>
        </w:rPr>
        <w:t xml:space="preserve">V-N </w:t>
      </w:r>
      <w:r>
        <w:t>2009/46.9</w:t>
      </w:r>
    </w:p>
  </w:footnote>
  <w:footnote w:id="42">
    <w:p w:rsidR="003F0694" w:rsidRDefault="003F0694">
      <w:pPr>
        <w:pStyle w:val="Voetnoottekst"/>
      </w:pPr>
      <w:r>
        <w:rPr>
          <w:rStyle w:val="Voetnootmarkering"/>
        </w:rPr>
        <w:footnoteRef/>
      </w:r>
      <w:r>
        <w:t xml:space="preserve"> </w:t>
      </w:r>
      <w:r w:rsidRPr="00865594">
        <w:t>Fiscale Vereenvoudigingswet 2010, Kamerstukken II 2009/10, 32 130 nr. 3</w:t>
      </w:r>
      <w:r>
        <w:t>, blz. 13</w:t>
      </w:r>
    </w:p>
  </w:footnote>
  <w:footnote w:id="43">
    <w:p w:rsidR="003F0694" w:rsidRDefault="003F0694">
      <w:pPr>
        <w:pStyle w:val="Voetnoottekst"/>
      </w:pPr>
      <w:r>
        <w:rPr>
          <w:rStyle w:val="Voetnootmarkering"/>
        </w:rPr>
        <w:footnoteRef/>
      </w:r>
      <w:r>
        <w:t xml:space="preserve"> </w:t>
      </w:r>
      <w:r w:rsidRPr="00865594">
        <w:t>Fiscale Vereenvoudigingswet 2010, Kamerstukken II 2009/10, 32 130 nr. 3</w:t>
      </w:r>
      <w:r>
        <w:t>, blz. 11</w:t>
      </w:r>
    </w:p>
  </w:footnote>
  <w:footnote w:id="44">
    <w:p w:rsidR="003F0694" w:rsidRDefault="003F0694" w:rsidP="00773389">
      <w:pPr>
        <w:pStyle w:val="Voetnoottekst"/>
      </w:pPr>
      <w:r>
        <w:rPr>
          <w:rStyle w:val="Voetnootmarkering"/>
        </w:rPr>
        <w:footnoteRef/>
      </w:r>
      <w:r>
        <w:t xml:space="preserve"> MvT Fiscale vereenvoudigingswet 2010,</w:t>
      </w:r>
      <w:r w:rsidRPr="00CB3296">
        <w:t xml:space="preserve"> Kamerstukken II 2009/10, 32 130, nr. 3</w:t>
      </w:r>
      <w:r>
        <w:t xml:space="preserve">, </w:t>
      </w:r>
      <w:r>
        <w:rPr>
          <w:i/>
        </w:rPr>
        <w:t xml:space="preserve">V-N </w:t>
      </w:r>
      <w:r>
        <w:t>2009/46.9</w:t>
      </w:r>
    </w:p>
  </w:footnote>
  <w:footnote w:id="45">
    <w:p w:rsidR="003F0694" w:rsidRDefault="003F0694" w:rsidP="00773389">
      <w:pPr>
        <w:pStyle w:val="Voetnoottekst"/>
      </w:pPr>
      <w:r>
        <w:rPr>
          <w:rStyle w:val="Voetnootmarkering"/>
        </w:rPr>
        <w:footnoteRef/>
      </w:r>
      <w:r>
        <w:t xml:space="preserve"> </w:t>
      </w:r>
      <w:r w:rsidRPr="0086498E">
        <w:t xml:space="preserve">M.J. Bik, </w:t>
      </w:r>
      <w:r w:rsidRPr="0086498E">
        <w:rPr>
          <w:i/>
        </w:rPr>
        <w:t xml:space="preserve">Vereenvoudiging van de onbelaste vergoedingen, </w:t>
      </w:r>
      <w:r w:rsidRPr="0086498E">
        <w:t>Forfaitair 2009/200</w:t>
      </w:r>
    </w:p>
  </w:footnote>
  <w:footnote w:id="46">
    <w:p w:rsidR="003F0694" w:rsidRDefault="003F0694" w:rsidP="00773389">
      <w:pPr>
        <w:pStyle w:val="Voetnoottekst"/>
      </w:pPr>
      <w:r>
        <w:rPr>
          <w:rStyle w:val="Voetnootmarkering"/>
        </w:rPr>
        <w:footnoteRef/>
      </w:r>
      <w:r>
        <w:t xml:space="preserve"> www.belastingdienst.nl</w:t>
      </w:r>
    </w:p>
  </w:footnote>
  <w:footnote w:id="47">
    <w:p w:rsidR="003F0694" w:rsidRDefault="003F0694" w:rsidP="00773389">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w:t>
      </w:r>
      <w:r>
        <w:t xml:space="preserve"> 2010</w:t>
      </w:r>
    </w:p>
  </w:footnote>
  <w:footnote w:id="48">
    <w:p w:rsidR="003F0694" w:rsidRDefault="003F0694" w:rsidP="00773389">
      <w:pPr>
        <w:pStyle w:val="Voetnoottekst"/>
      </w:pPr>
      <w:r>
        <w:rPr>
          <w:rStyle w:val="Voetnootmarkering"/>
        </w:rPr>
        <w:footnoteRef/>
      </w:r>
      <w:r>
        <w:t xml:space="preserve"> P.W.H. Hoogstraten, </w:t>
      </w:r>
      <w:r>
        <w:rPr>
          <w:i/>
        </w:rPr>
        <w:t>De werkkostenregeling: opmaat naar vlaktax en loonsomheffing?</w:t>
      </w:r>
      <w:r>
        <w:t>, WFR 2010/288</w:t>
      </w:r>
    </w:p>
  </w:footnote>
  <w:footnote w:id="49">
    <w:p w:rsidR="003F0694" w:rsidRDefault="003F0694" w:rsidP="00773389">
      <w:pPr>
        <w:pStyle w:val="Voetnoottekst"/>
      </w:pPr>
      <w:r>
        <w:rPr>
          <w:rStyle w:val="Voetnootmarkering"/>
        </w:rPr>
        <w:footnoteRef/>
      </w:r>
      <w:r>
        <w:t xml:space="preserve"> MvT Fiscale vereenvoudigingswet 2010,</w:t>
      </w:r>
      <w:r w:rsidRPr="00CB3296">
        <w:t xml:space="preserve"> Kamerstukken II 2009/10, 32 130, nr. 3</w:t>
      </w:r>
      <w:r>
        <w:t xml:space="preserve">, </w:t>
      </w:r>
      <w:r>
        <w:rPr>
          <w:i/>
        </w:rPr>
        <w:t xml:space="preserve">V-N </w:t>
      </w:r>
      <w:r>
        <w:t>2009/46.9</w:t>
      </w:r>
    </w:p>
  </w:footnote>
  <w:footnote w:id="50">
    <w:p w:rsidR="003F0694" w:rsidRDefault="003F0694" w:rsidP="00773389">
      <w:pPr>
        <w:pStyle w:val="Voetnoottekst"/>
      </w:pPr>
      <w:r>
        <w:rPr>
          <w:rStyle w:val="Voetnootmarkering"/>
        </w:rPr>
        <w:footnoteRef/>
      </w:r>
      <w:r>
        <w:t xml:space="preserve"> P.W.H. Hoogstraten, </w:t>
      </w:r>
      <w:r>
        <w:rPr>
          <w:i/>
        </w:rPr>
        <w:t>De werkkostenregeling: opmaat naar vlaktax en loonsomheffing?</w:t>
      </w:r>
      <w:r>
        <w:t>, WFR 2010/288</w:t>
      </w:r>
    </w:p>
  </w:footnote>
  <w:footnote w:id="51">
    <w:p w:rsidR="003F0694" w:rsidRDefault="003F0694">
      <w:pPr>
        <w:pStyle w:val="Voetnoottekst"/>
      </w:pPr>
      <w:r>
        <w:rPr>
          <w:rStyle w:val="Voetnootmarkering"/>
        </w:rPr>
        <w:footnoteRef/>
      </w:r>
      <w:r>
        <w:t xml:space="preserve"> S. Bentohami, </w:t>
      </w:r>
      <w:r>
        <w:rPr>
          <w:i/>
        </w:rPr>
        <w:t>De werkkostenregeling: meer vereenvoudiging of meer irritatie?</w:t>
      </w:r>
      <w:r>
        <w:t>, Forfaitair 2010/206</w:t>
      </w:r>
    </w:p>
  </w:footnote>
  <w:footnote w:id="52">
    <w:p w:rsidR="003F0694" w:rsidRDefault="003F0694">
      <w:pPr>
        <w:pStyle w:val="Voetnoottekst"/>
      </w:pPr>
      <w:r>
        <w:rPr>
          <w:rStyle w:val="Voetnootmarkering"/>
        </w:rPr>
        <w:footnoteRef/>
      </w:r>
      <w:r>
        <w:t xml:space="preserve"> S. Bentohami, </w:t>
      </w:r>
      <w:r>
        <w:rPr>
          <w:i/>
        </w:rPr>
        <w:t>De werkkostenregeling: meer vereenvoudiging of meer irritatie?</w:t>
      </w:r>
      <w:r>
        <w:t>, Forfaitair 2010/206</w:t>
      </w:r>
    </w:p>
  </w:footnote>
  <w:footnote w:id="53">
    <w:p w:rsidR="003F0694" w:rsidRDefault="003F0694">
      <w:pPr>
        <w:pStyle w:val="Voetnoottekst"/>
      </w:pPr>
      <w:r>
        <w:rPr>
          <w:rStyle w:val="Voetnootmarkering"/>
        </w:rPr>
        <w:footnoteRef/>
      </w:r>
      <w:r>
        <w:t xml:space="preserve"> MvA Belastingpakket 2010,</w:t>
      </w:r>
      <w:r w:rsidRPr="00466EC4">
        <w:t xml:space="preserve"> Kamerstukken I 2009/10, 32128, </w:t>
      </w:r>
      <w:r w:rsidRPr="00466EC4">
        <w:rPr>
          <w:i/>
        </w:rPr>
        <w:t>V-N</w:t>
      </w:r>
      <w:r>
        <w:rPr>
          <w:i/>
        </w:rPr>
        <w:t xml:space="preserve"> </w:t>
      </w:r>
      <w:r>
        <w:t>2009/66.3</w:t>
      </w:r>
    </w:p>
  </w:footnote>
  <w:footnote w:id="54">
    <w:p w:rsidR="003F0694" w:rsidRDefault="003F0694">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w:t>
      </w:r>
      <w:r>
        <w:t xml:space="preserve"> 2010</w:t>
      </w:r>
    </w:p>
  </w:footnote>
  <w:footnote w:id="55">
    <w:p w:rsidR="003F0694" w:rsidRDefault="003F0694" w:rsidP="00987F54">
      <w:pPr>
        <w:pStyle w:val="Voetnoottekst"/>
      </w:pPr>
      <w:r>
        <w:rPr>
          <w:rStyle w:val="Voetnootmarkering"/>
        </w:rPr>
        <w:footnoteRef/>
      </w:r>
      <w:r>
        <w:t xml:space="preserve"> </w:t>
      </w:r>
      <w:r w:rsidRPr="00AD3F43">
        <w:t xml:space="preserve">A.L. Mertens, </w:t>
      </w:r>
      <w:r w:rsidRPr="007D587D">
        <w:rPr>
          <w:i/>
        </w:rPr>
        <w:t>De Echternachse processiegang van het loonbegrip</w:t>
      </w:r>
      <w:r w:rsidRPr="00AD3F43">
        <w:t xml:space="preserve">, </w:t>
      </w:r>
      <w:r w:rsidRPr="00AD3F43">
        <w:rPr>
          <w:rStyle w:val="nadrukb"/>
        </w:rPr>
        <w:t>NTFR</w:t>
      </w:r>
      <w:r w:rsidRPr="00AD3F43">
        <w:t xml:space="preserve"> 2009/2659</w:t>
      </w:r>
    </w:p>
  </w:footnote>
  <w:footnote w:id="56">
    <w:p w:rsidR="003F0694" w:rsidRDefault="003F0694">
      <w:pPr>
        <w:pStyle w:val="Voetnoottekst"/>
      </w:pPr>
      <w:r>
        <w:rPr>
          <w:rStyle w:val="Voetnootmarkering"/>
        </w:rPr>
        <w:footnoteRef/>
      </w:r>
      <w:r>
        <w:t xml:space="preserve"> </w:t>
      </w:r>
      <w:r w:rsidRPr="00AD3F43">
        <w:t>N</w:t>
      </w:r>
      <w:r>
        <w:t>ota naar aanleiding van het verslag</w:t>
      </w:r>
      <w:r w:rsidRPr="00AD3F43">
        <w:t>, Kamerstukken II 2009/10, 32 130, nr. 7, blz. 6</w:t>
      </w:r>
    </w:p>
  </w:footnote>
  <w:footnote w:id="57">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58">
    <w:p w:rsidR="003F0694" w:rsidRDefault="003F0694">
      <w:pPr>
        <w:pStyle w:val="Voetnoottekst"/>
      </w:pPr>
      <w:r>
        <w:rPr>
          <w:rStyle w:val="Voetnootmarkering"/>
        </w:rPr>
        <w:footnoteRef/>
      </w:r>
      <w:r>
        <w:t xml:space="preserve"> MvT Fiscale vereenvoudigingswet 2010,</w:t>
      </w:r>
      <w:r w:rsidRPr="00CB3296">
        <w:t xml:space="preserve"> Kamerstukken II 2009/10, 32 130, nr. 3</w:t>
      </w:r>
      <w:r>
        <w:t xml:space="preserve">, </w:t>
      </w:r>
      <w:r>
        <w:rPr>
          <w:i/>
        </w:rPr>
        <w:t xml:space="preserve">V-N </w:t>
      </w:r>
      <w:r>
        <w:t>2009/46.9</w:t>
      </w:r>
    </w:p>
  </w:footnote>
  <w:footnote w:id="59">
    <w:p w:rsidR="003F0694" w:rsidRDefault="003F0694">
      <w:pPr>
        <w:pStyle w:val="Voetnoottekst"/>
      </w:pPr>
      <w:r>
        <w:rPr>
          <w:rStyle w:val="Voetnootmarkering"/>
        </w:rPr>
        <w:footnoteRef/>
      </w:r>
      <w:r>
        <w:t xml:space="preserve"> Th.J.M. van Schendel, </w:t>
      </w:r>
      <w:r>
        <w:rPr>
          <w:i/>
        </w:rPr>
        <w:t>De loonheffingen in 2010, 2011, 2012, 2013 en 2014</w:t>
      </w:r>
      <w:r>
        <w:t>, Maandblad Belasting Beschouwingen 2010/1</w:t>
      </w:r>
    </w:p>
  </w:footnote>
  <w:footnote w:id="60">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61">
    <w:p w:rsidR="003F0694" w:rsidRDefault="003F0694">
      <w:pPr>
        <w:pStyle w:val="Voetnoottekst"/>
      </w:pPr>
      <w:r>
        <w:rPr>
          <w:rStyle w:val="Voetnootmarkering"/>
        </w:rPr>
        <w:footnoteRef/>
      </w:r>
      <w:r>
        <w:t xml:space="preserve"> Nota naar aanleiding van het verslag Fiscale Vereenvoudigingswet 2010, </w:t>
      </w:r>
      <w:r>
        <w:rPr>
          <w:i/>
        </w:rPr>
        <w:t xml:space="preserve">V-N </w:t>
      </w:r>
      <w:r>
        <w:t>2009/54.8</w:t>
      </w:r>
    </w:p>
  </w:footnote>
  <w:footnote w:id="62">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63">
    <w:p w:rsidR="003F0694" w:rsidRDefault="003F0694">
      <w:pPr>
        <w:pStyle w:val="Voetnoottekst"/>
      </w:pPr>
      <w:r>
        <w:rPr>
          <w:rStyle w:val="Voetnootmarkering"/>
        </w:rPr>
        <w:footnoteRef/>
      </w:r>
      <w:r>
        <w:t xml:space="preserve"> Wet uniformering loonbegrip, Kamerstukken II 2009/10, 32 131 nr. 3</w:t>
      </w:r>
    </w:p>
  </w:footnote>
  <w:footnote w:id="64">
    <w:p w:rsidR="003F0694" w:rsidRDefault="003F0694">
      <w:pPr>
        <w:pStyle w:val="Voetnoottekst"/>
      </w:pPr>
      <w:r>
        <w:rPr>
          <w:rStyle w:val="Voetnootmarkering"/>
        </w:rPr>
        <w:footnoteRef/>
      </w:r>
      <w:r>
        <w:t xml:space="preserve"> </w:t>
      </w:r>
      <w:r w:rsidRPr="00C32F5A">
        <w:t>Kamerstuk</w:t>
      </w:r>
      <w:r>
        <w:t>ken II 2009/10,</w:t>
      </w:r>
      <w:r w:rsidRPr="00C32F5A">
        <w:t xml:space="preserve"> 32</w:t>
      </w:r>
      <w:r>
        <w:t xml:space="preserve"> </w:t>
      </w:r>
      <w:r w:rsidRPr="00C32F5A">
        <w:t>333</w:t>
      </w:r>
      <w:r>
        <w:t>,</w:t>
      </w:r>
      <w:r w:rsidRPr="00C32F5A">
        <w:t xml:space="preserve"> nr. 42</w:t>
      </w:r>
      <w:r>
        <w:t>, onderdeel G, punt 5</w:t>
      </w:r>
    </w:p>
  </w:footnote>
  <w:footnote w:id="65">
    <w:p w:rsidR="003F0694" w:rsidRDefault="003F0694">
      <w:pPr>
        <w:pStyle w:val="Voetnoottekst"/>
      </w:pPr>
      <w:r>
        <w:rPr>
          <w:rStyle w:val="Voetnootmarkering"/>
        </w:rPr>
        <w:footnoteRef/>
      </w:r>
      <w:r>
        <w:t xml:space="preserve"> Tweede nota van wijziging, Kamerstukken II 2009/10 32 130, </w:t>
      </w:r>
      <w:r w:rsidR="00B6650C">
        <w:t>nr.</w:t>
      </w:r>
      <w:r>
        <w:t xml:space="preserve"> 12, blz. 4</w:t>
      </w:r>
    </w:p>
  </w:footnote>
  <w:footnote w:id="66">
    <w:p w:rsidR="003F0694" w:rsidRDefault="003F0694" w:rsidP="003356A3">
      <w:pPr>
        <w:pStyle w:val="Voetnoottekst"/>
      </w:pPr>
      <w:r>
        <w:rPr>
          <w:rStyle w:val="Voetnootmarkering"/>
        </w:rPr>
        <w:footnoteRef/>
      </w:r>
      <w:r>
        <w:t xml:space="preserve"> Th.J.M. van Schendel, </w:t>
      </w:r>
      <w:r>
        <w:rPr>
          <w:i/>
        </w:rPr>
        <w:t>De loonheffingen in 2010, 2011, 2012, 2013 en 2014</w:t>
      </w:r>
      <w:r>
        <w:t>, Maandblad Belasting Beschouwingen 2010/1</w:t>
      </w:r>
    </w:p>
  </w:footnote>
  <w:footnote w:id="67">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68">
    <w:p w:rsidR="003F0694" w:rsidRDefault="003F0694">
      <w:pPr>
        <w:pStyle w:val="Voetnoottekst"/>
      </w:pPr>
      <w:r>
        <w:rPr>
          <w:rStyle w:val="Voetnootmarkering"/>
        </w:rPr>
        <w:footnoteRef/>
      </w:r>
      <w:r>
        <w:t xml:space="preserve"> </w:t>
      </w:r>
      <w:r w:rsidRPr="0086498E">
        <w:t xml:space="preserve">G.W.B. van Westen, </w:t>
      </w:r>
      <w:r w:rsidRPr="0086498E">
        <w:rPr>
          <w:i/>
        </w:rPr>
        <w:t>Cursus Belastingrecht Loonbelasting</w:t>
      </w:r>
      <w:r w:rsidRPr="0086498E">
        <w:t>, Kluwer</w:t>
      </w:r>
      <w:r>
        <w:t xml:space="preserve"> 2010</w:t>
      </w:r>
    </w:p>
  </w:footnote>
  <w:footnote w:id="69">
    <w:p w:rsidR="003F0694" w:rsidRDefault="003F0694">
      <w:pPr>
        <w:pStyle w:val="Voetnoottekst"/>
      </w:pPr>
      <w:r>
        <w:rPr>
          <w:rStyle w:val="Voetnootmarkering"/>
        </w:rPr>
        <w:footnoteRef/>
      </w:r>
      <w:r>
        <w:t xml:space="preserve"> Brief staatsecretaris van Financiën, 5 november 2009, Kamerstukken II 32 128, nr. 16, blz. 64, </w:t>
      </w:r>
      <w:r>
        <w:rPr>
          <w:i/>
        </w:rPr>
        <w:t xml:space="preserve">V-N </w:t>
      </w:r>
      <w:r>
        <w:t>2009/60.2</w:t>
      </w:r>
    </w:p>
  </w:footnote>
  <w:footnote w:id="70">
    <w:p w:rsidR="003F0694" w:rsidRDefault="003F0694">
      <w:pPr>
        <w:pStyle w:val="Voetnoottekst"/>
      </w:pPr>
      <w:r>
        <w:rPr>
          <w:rStyle w:val="Voetnootmarkering"/>
        </w:rPr>
        <w:footnoteRef/>
      </w:r>
      <w:r>
        <w:t xml:space="preserve"> Brief staatsecretaris van Financiën, 5 november 2009, Kamerstukken II 32 128, nr. 16, blz. 64, </w:t>
      </w:r>
      <w:r>
        <w:rPr>
          <w:i/>
        </w:rPr>
        <w:t xml:space="preserve">V-N </w:t>
      </w:r>
      <w:r>
        <w:t>2009/60.2</w:t>
      </w:r>
    </w:p>
  </w:footnote>
  <w:footnote w:id="71">
    <w:p w:rsidR="003F0694" w:rsidRDefault="003F0694">
      <w:pPr>
        <w:pStyle w:val="Voetnoottekst"/>
      </w:pPr>
      <w:r>
        <w:rPr>
          <w:rStyle w:val="Voetnootmarkering"/>
        </w:rPr>
        <w:footnoteRef/>
      </w:r>
      <w:r>
        <w:t xml:space="preserve"> </w:t>
      </w:r>
      <w:r w:rsidRPr="00865594">
        <w:t>Fiscale Vereenvoudigingswet 2010, Kamerstukken II 2009/10, 32 130</w:t>
      </w:r>
      <w:r>
        <w:t>,</w:t>
      </w:r>
      <w:r w:rsidRPr="00865594">
        <w:t xml:space="preserve"> nr. 3</w:t>
      </w:r>
      <w:r>
        <w:t>.</w:t>
      </w:r>
    </w:p>
  </w:footnote>
  <w:footnote w:id="72">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73">
    <w:p w:rsidR="003F0694" w:rsidRDefault="003F0694">
      <w:pPr>
        <w:pStyle w:val="Voetnoottekst"/>
      </w:pPr>
      <w:r>
        <w:rPr>
          <w:rStyle w:val="Voetnootmarkering"/>
        </w:rPr>
        <w:footnoteRef/>
      </w:r>
      <w:r>
        <w:t xml:space="preserve"> MvT Fiscale vereenvoudigingswet 2010,</w:t>
      </w:r>
      <w:r w:rsidRPr="00CB3296">
        <w:t xml:space="preserve"> Kamerstukken II 2009/10, 32 130, nr. 3</w:t>
      </w:r>
      <w:r>
        <w:t xml:space="preserve">, </w:t>
      </w:r>
      <w:r>
        <w:rPr>
          <w:i/>
        </w:rPr>
        <w:t xml:space="preserve">V-N </w:t>
      </w:r>
      <w:r>
        <w:t>2009/46.9</w:t>
      </w:r>
    </w:p>
  </w:footnote>
  <w:footnote w:id="74">
    <w:p w:rsidR="003F0694" w:rsidRDefault="003F0694">
      <w:pPr>
        <w:pStyle w:val="Voetnoottekst"/>
      </w:pPr>
      <w:r>
        <w:rPr>
          <w:rStyle w:val="Voetnootmarkering"/>
        </w:rPr>
        <w:footnoteRef/>
      </w:r>
      <w:r>
        <w:t xml:space="preserve"> </w:t>
      </w:r>
      <w:r w:rsidRPr="00AD3F43">
        <w:t>A.L. Mertens,</w:t>
      </w:r>
      <w:r>
        <w:t xml:space="preserve"> </w:t>
      </w:r>
      <w:r w:rsidRPr="00EF54ED">
        <w:rPr>
          <w:i/>
        </w:rPr>
        <w:t>De Echternachse processiegang van het loonbegrip</w:t>
      </w:r>
      <w:r w:rsidRPr="00AD3F43">
        <w:t xml:space="preserve">, </w:t>
      </w:r>
      <w:r w:rsidRPr="00AD3F43">
        <w:rPr>
          <w:rStyle w:val="nadrukb"/>
        </w:rPr>
        <w:t>NTFR</w:t>
      </w:r>
      <w:r w:rsidRPr="00AD3F43">
        <w:t xml:space="preserve"> 2009/2659</w:t>
      </w:r>
    </w:p>
  </w:footnote>
  <w:footnote w:id="75">
    <w:p w:rsidR="003F0694" w:rsidRDefault="003F0694">
      <w:pPr>
        <w:pStyle w:val="Voetnoottekst"/>
      </w:pPr>
      <w:r>
        <w:rPr>
          <w:rStyle w:val="Voetnootmarkering"/>
        </w:rPr>
        <w:footnoteRef/>
      </w:r>
      <w:r>
        <w:t xml:space="preserve"> P.W.H. Hoogstraten, </w:t>
      </w:r>
      <w:r>
        <w:rPr>
          <w:i/>
        </w:rPr>
        <w:t>De werkkostenregeling: opmaat naar vlaktax en loonsomheffing?</w:t>
      </w:r>
      <w:r>
        <w:t>, WFR 2010/288</w:t>
      </w:r>
    </w:p>
  </w:footnote>
  <w:footnote w:id="76">
    <w:p w:rsidR="003F0694" w:rsidRDefault="003F0694">
      <w:pPr>
        <w:pStyle w:val="Voetnoottekst"/>
      </w:pPr>
      <w:r>
        <w:rPr>
          <w:rStyle w:val="Voetnootmarkering"/>
        </w:rPr>
        <w:footnoteRef/>
      </w:r>
      <w:r>
        <w:t xml:space="preserve"> </w:t>
      </w:r>
      <w:r w:rsidRPr="00865594">
        <w:t>Fiscale Vereenvoudigingswet 2010, Kamerstukken II 2009/10, 32 130 nr. 3</w:t>
      </w:r>
      <w:r>
        <w:t>, blz. 68</w:t>
      </w:r>
    </w:p>
  </w:footnote>
  <w:footnote w:id="77">
    <w:p w:rsidR="003F0694" w:rsidRDefault="003F0694">
      <w:pPr>
        <w:pStyle w:val="Voetnoottekst"/>
      </w:pPr>
      <w:r>
        <w:rPr>
          <w:rStyle w:val="Voetnootmarkering"/>
        </w:rPr>
        <w:footnoteRef/>
      </w:r>
      <w:r>
        <w:t xml:space="preserve"> </w:t>
      </w:r>
      <w:r w:rsidRPr="00AD3F43">
        <w:t>N</w:t>
      </w:r>
      <w:r>
        <w:t>ota naar aanleiding van het verslag</w:t>
      </w:r>
      <w:r w:rsidRPr="00AD3F43">
        <w:t>, Kamerstukken I</w:t>
      </w:r>
      <w:r>
        <w:t>I 2009/10, 32 130, nr. 7, blz. 8</w:t>
      </w:r>
    </w:p>
  </w:footnote>
  <w:footnote w:id="78">
    <w:p w:rsidR="003F0694" w:rsidRDefault="003F0694">
      <w:pPr>
        <w:pStyle w:val="Voetnoottekst"/>
      </w:pPr>
      <w:r>
        <w:rPr>
          <w:rStyle w:val="Voetnootmarkering"/>
        </w:rPr>
        <w:footnoteRef/>
      </w:r>
      <w:r>
        <w:t xml:space="preserve"> </w:t>
      </w:r>
      <w:r w:rsidRPr="0086498E">
        <w:t xml:space="preserve">P. Kavelaars, </w:t>
      </w:r>
      <w:r w:rsidRPr="0086498E">
        <w:rPr>
          <w:i/>
        </w:rPr>
        <w:t>Loonkosten en eenvoud</w:t>
      </w:r>
      <w:r w:rsidRPr="0086498E">
        <w:t xml:space="preserve">, 9 november 2009, </w:t>
      </w:r>
      <w:r w:rsidRPr="00BF439E">
        <w:t>www.eur.nl</w:t>
      </w:r>
    </w:p>
  </w:footnote>
  <w:footnote w:id="79">
    <w:p w:rsidR="003F0694" w:rsidRDefault="003F0694">
      <w:pPr>
        <w:pStyle w:val="Voetnoottekst"/>
      </w:pPr>
      <w:r>
        <w:rPr>
          <w:rStyle w:val="Voetnootmarkering"/>
        </w:rPr>
        <w:footnoteRef/>
      </w:r>
      <w:r>
        <w:t xml:space="preserve"> EIM, </w:t>
      </w:r>
      <w:r w:rsidRPr="004F48C8">
        <w:rPr>
          <w:i/>
        </w:rPr>
        <w:t>Vergoedingen en verstrekkingen in de loon</w:t>
      </w:r>
      <w:r w:rsidRPr="00FD1D9E">
        <w:rPr>
          <w:i/>
        </w:rPr>
        <w:t>sfeer</w:t>
      </w:r>
      <w:r>
        <w:t>, juli 2009</w:t>
      </w:r>
    </w:p>
  </w:footnote>
  <w:footnote w:id="80">
    <w:p w:rsidR="003F0694" w:rsidRDefault="003F0694">
      <w:pPr>
        <w:pStyle w:val="Voetnoottekst"/>
      </w:pPr>
      <w:r>
        <w:rPr>
          <w:rStyle w:val="Voetnootmarkering"/>
        </w:rPr>
        <w:footnoteRef/>
      </w:r>
      <w:r>
        <w:t xml:space="preserve"> </w:t>
      </w:r>
      <w:r w:rsidRPr="00865594">
        <w:t>Fiscale Vereenvoudigingswet 2010, Kamerstukken II 2009/10, 32 130 nr. 3</w:t>
      </w:r>
      <w:r>
        <w:t>, blz. 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750C5"/>
    <w:multiLevelType w:val="hybridMultilevel"/>
    <w:tmpl w:val="731206BC"/>
    <w:lvl w:ilvl="0" w:tplc="C07249C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14B35CF0"/>
    <w:multiLevelType w:val="multilevel"/>
    <w:tmpl w:val="82300620"/>
    <w:lvl w:ilvl="0">
      <w:start w:val="2"/>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b/>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nsid w:val="15D12E1F"/>
    <w:multiLevelType w:val="multilevel"/>
    <w:tmpl w:val="9554244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21D51D26"/>
    <w:multiLevelType w:val="hybridMultilevel"/>
    <w:tmpl w:val="E2A2EF00"/>
    <w:lvl w:ilvl="0" w:tplc="94BEA41E">
      <w:start w:val="3"/>
      <w:numFmt w:val="decimal"/>
      <w:lvlText w:val="%1."/>
      <w:lvlJc w:val="left"/>
      <w:pPr>
        <w:ind w:left="360" w:hanging="360"/>
      </w:pPr>
      <w:rPr>
        <w:rFonts w:hint="default"/>
      </w:r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nsid w:val="2ACA42AB"/>
    <w:multiLevelType w:val="hybridMultilevel"/>
    <w:tmpl w:val="AFB8A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5AC579D"/>
    <w:multiLevelType w:val="hybridMultilevel"/>
    <w:tmpl w:val="B1FEFF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3BBF5328"/>
    <w:multiLevelType w:val="multilevel"/>
    <w:tmpl w:val="9554244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4867485E"/>
    <w:multiLevelType w:val="hybridMultilevel"/>
    <w:tmpl w:val="17B496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1475F53"/>
    <w:multiLevelType w:val="multilevel"/>
    <w:tmpl w:val="0413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AC45491"/>
    <w:multiLevelType w:val="multilevel"/>
    <w:tmpl w:val="932207F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upperLetter"/>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
    <w:nsid w:val="61D74516"/>
    <w:multiLevelType w:val="multilevel"/>
    <w:tmpl w:val="65E0B4FC"/>
    <w:lvl w:ilvl="0">
      <w:start w:val="6"/>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upperLetter"/>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nsid w:val="78EB31B6"/>
    <w:multiLevelType w:val="multilevel"/>
    <w:tmpl w:val="8ADEE1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0"/>
  </w:num>
  <w:num w:numId="3">
    <w:abstractNumId w:val="1"/>
  </w:num>
  <w:num w:numId="4">
    <w:abstractNumId w:val="3"/>
  </w:num>
  <w:num w:numId="5">
    <w:abstractNumId w:val="11"/>
  </w:num>
  <w:num w:numId="6">
    <w:abstractNumId w:val="7"/>
  </w:num>
  <w:num w:numId="7">
    <w:abstractNumId w:val="6"/>
  </w:num>
  <w:num w:numId="8">
    <w:abstractNumId w:val="2"/>
  </w:num>
  <w:num w:numId="9">
    <w:abstractNumId w:val="4"/>
  </w:num>
  <w:num w:numId="10">
    <w:abstractNumId w:val="5"/>
  </w:num>
  <w:num w:numId="11">
    <w:abstractNumId w:val="10"/>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3F0694"/>
    <w:rsid w:val="00015970"/>
    <w:rsid w:val="00017400"/>
    <w:rsid w:val="00024021"/>
    <w:rsid w:val="00031CDA"/>
    <w:rsid w:val="00055CA4"/>
    <w:rsid w:val="00093AA4"/>
    <w:rsid w:val="00094C7D"/>
    <w:rsid w:val="000A07EC"/>
    <w:rsid w:val="000B53DD"/>
    <w:rsid w:val="000B69A8"/>
    <w:rsid w:val="000E1D8C"/>
    <w:rsid w:val="001E0862"/>
    <w:rsid w:val="001F5723"/>
    <w:rsid w:val="00201078"/>
    <w:rsid w:val="00201781"/>
    <w:rsid w:val="0020421D"/>
    <w:rsid w:val="0022405F"/>
    <w:rsid w:val="00254B0A"/>
    <w:rsid w:val="00271100"/>
    <w:rsid w:val="002B6366"/>
    <w:rsid w:val="002E5498"/>
    <w:rsid w:val="003234CE"/>
    <w:rsid w:val="003A7CAC"/>
    <w:rsid w:val="003F0694"/>
    <w:rsid w:val="003F2852"/>
    <w:rsid w:val="00453EF6"/>
    <w:rsid w:val="00471519"/>
    <w:rsid w:val="00541200"/>
    <w:rsid w:val="005804B5"/>
    <w:rsid w:val="00652ABC"/>
    <w:rsid w:val="00697325"/>
    <w:rsid w:val="006A4951"/>
    <w:rsid w:val="006A64A5"/>
    <w:rsid w:val="006E555D"/>
    <w:rsid w:val="007422D5"/>
    <w:rsid w:val="00752A60"/>
    <w:rsid w:val="007E2C77"/>
    <w:rsid w:val="00802B48"/>
    <w:rsid w:val="00816432"/>
    <w:rsid w:val="00824898"/>
    <w:rsid w:val="00843F75"/>
    <w:rsid w:val="0084559B"/>
    <w:rsid w:val="00845785"/>
    <w:rsid w:val="0087229F"/>
    <w:rsid w:val="00887A7D"/>
    <w:rsid w:val="008D7EF2"/>
    <w:rsid w:val="008E2923"/>
    <w:rsid w:val="00912C0A"/>
    <w:rsid w:val="009A36F9"/>
    <w:rsid w:val="009D2344"/>
    <w:rsid w:val="009D47C2"/>
    <w:rsid w:val="009D7DDB"/>
    <w:rsid w:val="00A00ECB"/>
    <w:rsid w:val="00A11105"/>
    <w:rsid w:val="00A13831"/>
    <w:rsid w:val="00A15615"/>
    <w:rsid w:val="00A31114"/>
    <w:rsid w:val="00A65F74"/>
    <w:rsid w:val="00A97D97"/>
    <w:rsid w:val="00AA0E72"/>
    <w:rsid w:val="00AB0C87"/>
    <w:rsid w:val="00B6650C"/>
    <w:rsid w:val="00BB13A4"/>
    <w:rsid w:val="00BD6E27"/>
    <w:rsid w:val="00BE4875"/>
    <w:rsid w:val="00BF6488"/>
    <w:rsid w:val="00C03BA2"/>
    <w:rsid w:val="00C42696"/>
    <w:rsid w:val="00C56766"/>
    <w:rsid w:val="00CA15B5"/>
    <w:rsid w:val="00CD1E69"/>
    <w:rsid w:val="00CD4059"/>
    <w:rsid w:val="00D11C9C"/>
    <w:rsid w:val="00D52427"/>
    <w:rsid w:val="00D93925"/>
    <w:rsid w:val="00D9691A"/>
    <w:rsid w:val="00DD7D44"/>
    <w:rsid w:val="00E03DAC"/>
    <w:rsid w:val="00E04F02"/>
    <w:rsid w:val="00E146E2"/>
    <w:rsid w:val="00E5738D"/>
    <w:rsid w:val="00E84C26"/>
    <w:rsid w:val="00EA23F6"/>
    <w:rsid w:val="00EC07FA"/>
    <w:rsid w:val="00EC5229"/>
    <w:rsid w:val="00EF2914"/>
    <w:rsid w:val="00F2003F"/>
    <w:rsid w:val="00F371E4"/>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20421D"/>
  </w:style>
  <w:style w:type="paragraph" w:styleId="Kop1">
    <w:name w:val="heading 1"/>
    <w:basedOn w:val="Standaard"/>
    <w:next w:val="Standaard"/>
    <w:link w:val="Kop1Char"/>
    <w:uiPriority w:val="9"/>
    <w:qFormat/>
    <w:rsid w:val="0087229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6A64A5"/>
    <w:pPr>
      <w:keepNext/>
      <w:spacing w:before="240" w:after="60"/>
      <w:jc w:val="left"/>
      <w:outlineLvl w:val="1"/>
    </w:pPr>
    <w:rPr>
      <w:rFonts w:ascii="Cambria" w:eastAsia="Times New Roman" w:hAnsi="Cambria" w:cs="Times New Roman"/>
      <w:b/>
      <w:bCs/>
      <w:i/>
      <w:iCs/>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noottekst">
    <w:name w:val="footnote text"/>
    <w:basedOn w:val="Standaard"/>
    <w:link w:val="VoetnoottekstChar"/>
    <w:uiPriority w:val="99"/>
    <w:semiHidden/>
    <w:unhideWhenUsed/>
    <w:rsid w:val="003F0694"/>
    <w:pPr>
      <w:spacing w:after="0" w:line="240" w:lineRule="auto"/>
      <w:jc w:val="left"/>
    </w:pPr>
    <w:rPr>
      <w:rFonts w:ascii="Calibri" w:eastAsia="Calibri" w:hAnsi="Calibri" w:cs="Times New Roman"/>
      <w:sz w:val="20"/>
      <w:szCs w:val="20"/>
    </w:rPr>
  </w:style>
  <w:style w:type="character" w:customStyle="1" w:styleId="VoetnoottekstChar">
    <w:name w:val="Voetnoottekst Char"/>
    <w:basedOn w:val="Standaardalinea-lettertype"/>
    <w:link w:val="Voetnoottekst"/>
    <w:uiPriority w:val="99"/>
    <w:semiHidden/>
    <w:rsid w:val="003F0694"/>
    <w:rPr>
      <w:rFonts w:ascii="Calibri" w:eastAsia="Calibri" w:hAnsi="Calibri" w:cs="Times New Roman"/>
      <w:sz w:val="20"/>
      <w:szCs w:val="20"/>
    </w:rPr>
  </w:style>
  <w:style w:type="character" w:styleId="Voetnootmarkering">
    <w:name w:val="footnote reference"/>
    <w:basedOn w:val="Standaardalinea-lettertype"/>
    <w:uiPriority w:val="99"/>
    <w:semiHidden/>
    <w:unhideWhenUsed/>
    <w:rsid w:val="003F0694"/>
    <w:rPr>
      <w:vertAlign w:val="superscript"/>
    </w:rPr>
  </w:style>
  <w:style w:type="paragraph" w:styleId="Lijstalinea">
    <w:name w:val="List Paragraph"/>
    <w:basedOn w:val="Standaard"/>
    <w:uiPriority w:val="34"/>
    <w:qFormat/>
    <w:rsid w:val="003F0694"/>
    <w:pPr>
      <w:ind w:left="720"/>
      <w:contextualSpacing/>
      <w:jc w:val="left"/>
    </w:pPr>
    <w:rPr>
      <w:rFonts w:ascii="Calibri" w:eastAsia="Calibri" w:hAnsi="Calibri" w:cs="Times New Roman"/>
    </w:rPr>
  </w:style>
  <w:style w:type="character" w:styleId="Verwijzingopmerking">
    <w:name w:val="annotation reference"/>
    <w:basedOn w:val="Standaardalinea-lettertype"/>
    <w:uiPriority w:val="99"/>
    <w:semiHidden/>
    <w:unhideWhenUsed/>
    <w:rsid w:val="003F0694"/>
    <w:rPr>
      <w:sz w:val="16"/>
      <w:szCs w:val="16"/>
    </w:rPr>
  </w:style>
  <w:style w:type="paragraph" w:styleId="Tekstopmerking">
    <w:name w:val="annotation text"/>
    <w:basedOn w:val="Standaard"/>
    <w:link w:val="TekstopmerkingChar"/>
    <w:uiPriority w:val="99"/>
    <w:semiHidden/>
    <w:unhideWhenUsed/>
    <w:rsid w:val="003F0694"/>
    <w:pPr>
      <w:spacing w:line="240" w:lineRule="auto"/>
      <w:jc w:val="left"/>
    </w:pPr>
    <w:rPr>
      <w:rFonts w:ascii="Calibri" w:eastAsia="Calibri" w:hAnsi="Calibri" w:cs="Times New Roman"/>
      <w:sz w:val="20"/>
      <w:szCs w:val="20"/>
    </w:rPr>
  </w:style>
  <w:style w:type="character" w:customStyle="1" w:styleId="TekstopmerkingChar">
    <w:name w:val="Tekst opmerking Char"/>
    <w:basedOn w:val="Standaardalinea-lettertype"/>
    <w:link w:val="Tekstopmerking"/>
    <w:uiPriority w:val="99"/>
    <w:semiHidden/>
    <w:rsid w:val="003F0694"/>
    <w:rPr>
      <w:rFonts w:ascii="Calibri" w:eastAsia="Calibri" w:hAnsi="Calibri" w:cs="Times New Roman"/>
      <w:sz w:val="20"/>
      <w:szCs w:val="20"/>
    </w:rPr>
  </w:style>
  <w:style w:type="paragraph" w:styleId="Ballontekst">
    <w:name w:val="Balloon Text"/>
    <w:basedOn w:val="Standaard"/>
    <w:link w:val="BallontekstChar"/>
    <w:uiPriority w:val="99"/>
    <w:semiHidden/>
    <w:unhideWhenUsed/>
    <w:rsid w:val="003F069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F0694"/>
    <w:rPr>
      <w:rFonts w:ascii="Tahoma" w:hAnsi="Tahoma" w:cs="Tahoma"/>
      <w:sz w:val="16"/>
      <w:szCs w:val="16"/>
    </w:rPr>
  </w:style>
  <w:style w:type="character" w:customStyle="1" w:styleId="nadrukb">
    <w:name w:val="nadrukb"/>
    <w:basedOn w:val="Standaardalinea-lettertype"/>
    <w:rsid w:val="003F0694"/>
  </w:style>
  <w:style w:type="paragraph" w:styleId="Inhopg1">
    <w:name w:val="toc 1"/>
    <w:basedOn w:val="Standaard"/>
    <w:next w:val="Standaard"/>
    <w:autoRedefine/>
    <w:uiPriority w:val="39"/>
    <w:semiHidden/>
    <w:qFormat/>
    <w:rsid w:val="003F0694"/>
    <w:pPr>
      <w:spacing w:before="120" w:after="120" w:line="240" w:lineRule="auto"/>
      <w:jc w:val="left"/>
    </w:pPr>
    <w:rPr>
      <w:rFonts w:ascii="Times New Roman" w:eastAsia="Times New Roman" w:hAnsi="Times New Roman" w:cs="Times New Roman"/>
      <w:b/>
      <w:bCs/>
      <w:caps/>
      <w:sz w:val="20"/>
      <w:szCs w:val="20"/>
      <w:lang w:eastAsia="nl-NL"/>
    </w:rPr>
  </w:style>
  <w:style w:type="character" w:customStyle="1" w:styleId="Kop1Char">
    <w:name w:val="Kop 1 Char"/>
    <w:basedOn w:val="Standaardalinea-lettertype"/>
    <w:link w:val="Kop1"/>
    <w:uiPriority w:val="9"/>
    <w:rsid w:val="0087229F"/>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87229F"/>
    <w:pPr>
      <w:jc w:val="left"/>
      <w:outlineLvl w:val="9"/>
    </w:pPr>
  </w:style>
  <w:style w:type="paragraph" w:styleId="Koptekst">
    <w:name w:val="header"/>
    <w:basedOn w:val="Standaard"/>
    <w:link w:val="KoptekstChar"/>
    <w:uiPriority w:val="99"/>
    <w:semiHidden/>
    <w:unhideWhenUsed/>
    <w:rsid w:val="003234CE"/>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3234CE"/>
  </w:style>
  <w:style w:type="paragraph" w:styleId="Voettekst">
    <w:name w:val="footer"/>
    <w:basedOn w:val="Standaard"/>
    <w:link w:val="VoettekstChar"/>
    <w:uiPriority w:val="99"/>
    <w:unhideWhenUsed/>
    <w:rsid w:val="003234C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3234CE"/>
  </w:style>
  <w:style w:type="paragraph" w:styleId="Inhopg2">
    <w:name w:val="toc 2"/>
    <w:basedOn w:val="Standaard"/>
    <w:next w:val="Standaard"/>
    <w:autoRedefine/>
    <w:uiPriority w:val="39"/>
    <w:semiHidden/>
    <w:unhideWhenUsed/>
    <w:qFormat/>
    <w:rsid w:val="00C03BA2"/>
    <w:pPr>
      <w:spacing w:after="100"/>
      <w:ind w:left="220"/>
      <w:jc w:val="left"/>
    </w:pPr>
    <w:rPr>
      <w:rFonts w:eastAsiaTheme="minorEastAsia"/>
    </w:rPr>
  </w:style>
  <w:style w:type="paragraph" w:styleId="Inhopg3">
    <w:name w:val="toc 3"/>
    <w:basedOn w:val="Standaard"/>
    <w:next w:val="Standaard"/>
    <w:autoRedefine/>
    <w:uiPriority w:val="39"/>
    <w:semiHidden/>
    <w:unhideWhenUsed/>
    <w:qFormat/>
    <w:rsid w:val="00C03BA2"/>
    <w:pPr>
      <w:spacing w:after="100"/>
      <w:ind w:left="440"/>
      <w:jc w:val="left"/>
    </w:pPr>
    <w:rPr>
      <w:rFonts w:eastAsiaTheme="minorEastAsia"/>
    </w:rPr>
  </w:style>
  <w:style w:type="character" w:customStyle="1" w:styleId="Kop2Char">
    <w:name w:val="Kop 2 Char"/>
    <w:basedOn w:val="Standaardalinea-lettertype"/>
    <w:link w:val="Kop2"/>
    <w:uiPriority w:val="9"/>
    <w:semiHidden/>
    <w:rsid w:val="006A64A5"/>
    <w:rPr>
      <w:rFonts w:ascii="Cambria" w:eastAsia="Times New Roman" w:hAnsi="Cambria" w:cs="Times New Roman"/>
      <w:b/>
      <w:bCs/>
      <w:i/>
      <w:iCs/>
      <w:sz w:val="28"/>
      <w:szCs w:val="28"/>
    </w:rPr>
  </w:style>
  <w:style w:type="character" w:styleId="Hyperlink">
    <w:name w:val="Hyperlink"/>
    <w:basedOn w:val="Standaardalinea-lettertype"/>
    <w:uiPriority w:val="99"/>
    <w:unhideWhenUsed/>
    <w:rsid w:val="006A64A5"/>
    <w:rPr>
      <w:color w:val="990000"/>
      <w:u w:val="single"/>
    </w:rPr>
  </w:style>
  <w:style w:type="paragraph" w:customStyle="1" w:styleId="intro">
    <w:name w:val="intro"/>
    <w:basedOn w:val="Standaard"/>
    <w:rsid w:val="006A64A5"/>
    <w:pPr>
      <w:spacing w:before="100" w:beforeAutospacing="1" w:after="100" w:afterAutospacing="1" w:line="240" w:lineRule="auto"/>
      <w:jc w:val="left"/>
    </w:pPr>
    <w:rPr>
      <w:rFonts w:ascii="Times New Roman" w:eastAsia="Times New Roman" w:hAnsi="Times New Roman" w:cs="Times New Roman"/>
      <w:sz w:val="24"/>
      <w:szCs w:val="24"/>
      <w:lang w:eastAsia="nl-NL"/>
    </w:rPr>
  </w:style>
  <w:style w:type="paragraph" w:styleId="Normaalweb">
    <w:name w:val="Normal (Web)"/>
    <w:basedOn w:val="Standaard"/>
    <w:uiPriority w:val="99"/>
    <w:semiHidden/>
    <w:unhideWhenUsed/>
    <w:rsid w:val="006A64A5"/>
    <w:pPr>
      <w:spacing w:before="100" w:beforeAutospacing="1" w:after="100" w:afterAutospacing="1" w:line="240" w:lineRule="auto"/>
      <w:jc w:val="left"/>
    </w:pPr>
    <w:rPr>
      <w:rFonts w:ascii="Times New Roman" w:eastAsia="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789D4-4837-4753-B3CC-D9C2D2FF08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37</Pages>
  <Words>14166</Words>
  <Characters>77918</Characters>
  <Application>Microsoft Office Word</Application>
  <DocSecurity>0</DocSecurity>
  <Lines>649</Lines>
  <Paragraphs>183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91901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Martijn</dc:creator>
  <cp:lastModifiedBy>Marja</cp:lastModifiedBy>
  <cp:revision>4</cp:revision>
  <cp:lastPrinted>2010-07-28T11:07:00Z</cp:lastPrinted>
  <dcterms:created xsi:type="dcterms:W3CDTF">2010-07-28T10:48:00Z</dcterms:created>
  <dcterms:modified xsi:type="dcterms:W3CDTF">2010-07-28T11:08:00Z</dcterms:modified>
</cp:coreProperties>
</file>