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5C1" w:rsidRDefault="00C5566F">
      <w:r>
        <w:rPr>
          <w:noProof/>
          <w:lang w:val="nl-NL"/>
        </w:rPr>
        <w:drawing>
          <wp:anchor distT="0" distB="0" distL="114300" distR="114300" simplePos="0" relativeHeight="251657728" behindDoc="1" locked="0" layoutInCell="1" allowOverlap="1">
            <wp:simplePos x="0" y="0"/>
            <wp:positionH relativeFrom="column">
              <wp:posOffset>2857500</wp:posOffset>
            </wp:positionH>
            <wp:positionV relativeFrom="paragraph">
              <wp:posOffset>-114300</wp:posOffset>
            </wp:positionV>
            <wp:extent cx="3257550" cy="780415"/>
            <wp:effectExtent l="19050" t="0" r="0" b="0"/>
            <wp:wrapNone/>
            <wp:docPr id="3" name="Afbeelding 3" descr="Logo_Erasmus_Universiteit_Rotterdam_ZW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rasmus_Universiteit_Rotterdam_ZWART"/>
                    <pic:cNvPicPr>
                      <a:picLocks noChangeAspect="1" noChangeArrowheads="1"/>
                    </pic:cNvPicPr>
                  </pic:nvPicPr>
                  <pic:blipFill>
                    <a:blip r:embed="rId8" cstate="print"/>
                    <a:srcRect/>
                    <a:stretch>
                      <a:fillRect/>
                    </a:stretch>
                  </pic:blipFill>
                  <pic:spPr bwMode="auto">
                    <a:xfrm>
                      <a:off x="0" y="0"/>
                      <a:ext cx="3257550" cy="780415"/>
                    </a:xfrm>
                    <a:prstGeom prst="rect">
                      <a:avLst/>
                    </a:prstGeom>
                    <a:noFill/>
                    <a:ln w="9525">
                      <a:noFill/>
                      <a:miter lim="800000"/>
                      <a:headEnd/>
                      <a:tailEnd/>
                    </a:ln>
                  </pic:spPr>
                </pic:pic>
              </a:graphicData>
            </a:graphic>
          </wp:anchor>
        </w:drawing>
      </w:r>
      <w:r w:rsidR="00EA2D82">
        <w:t xml:space="preserve"> </w:t>
      </w:r>
      <w:r w:rsidR="005A5FE4">
        <w:br/>
      </w:r>
    </w:p>
    <w:p w:rsidR="004115C1" w:rsidRDefault="004115C1"/>
    <w:p w:rsidR="004115C1" w:rsidRDefault="004115C1"/>
    <w:p w:rsidR="001277E4" w:rsidRDefault="001277E4"/>
    <w:p w:rsidR="004115C1" w:rsidRDefault="004115C1"/>
    <w:p w:rsidR="004115C1" w:rsidRDefault="004115C1"/>
    <w:p w:rsidR="004115C1" w:rsidRDefault="004115C1"/>
    <w:p w:rsidR="004115C1" w:rsidRDefault="004115C1"/>
    <w:p w:rsidR="004115C1" w:rsidRDefault="004115C1"/>
    <w:p w:rsidR="004115C1" w:rsidRDefault="004115C1"/>
    <w:p w:rsidR="004115C1" w:rsidRDefault="004115C1"/>
    <w:p w:rsidR="004115C1" w:rsidRDefault="004115C1"/>
    <w:p w:rsidR="004115C1" w:rsidRDefault="004115C1"/>
    <w:p w:rsidR="004115C1" w:rsidRDefault="004115C1"/>
    <w:p w:rsidR="004115C1" w:rsidRDefault="004115C1"/>
    <w:p w:rsidR="00DA5F70" w:rsidRDefault="00DA5F70" w:rsidP="00D16A8D">
      <w:pPr>
        <w:pBdr>
          <w:top w:val="dotted" w:sz="4" w:space="1" w:color="auto"/>
          <w:bottom w:val="dotted" w:sz="4" w:space="1" w:color="auto"/>
        </w:pBdr>
        <w:spacing w:line="360" w:lineRule="auto"/>
        <w:jc w:val="center"/>
        <w:rPr>
          <w:b/>
          <w:sz w:val="32"/>
          <w:szCs w:val="32"/>
        </w:rPr>
      </w:pPr>
    </w:p>
    <w:p w:rsidR="004115C1" w:rsidRPr="00637411" w:rsidRDefault="00CD64D3" w:rsidP="00637411">
      <w:pPr>
        <w:pBdr>
          <w:top w:val="dotted" w:sz="4" w:space="1" w:color="auto"/>
          <w:bottom w:val="dotted" w:sz="4" w:space="1" w:color="auto"/>
        </w:pBdr>
        <w:jc w:val="center"/>
        <w:rPr>
          <w:b/>
          <w:sz w:val="46"/>
          <w:szCs w:val="46"/>
        </w:rPr>
      </w:pPr>
      <w:r w:rsidRPr="00637411">
        <w:rPr>
          <w:b/>
          <w:sz w:val="46"/>
          <w:szCs w:val="46"/>
        </w:rPr>
        <w:t>E</w:t>
      </w:r>
      <w:r w:rsidR="00637411" w:rsidRPr="00637411">
        <w:rPr>
          <w:b/>
          <w:sz w:val="46"/>
          <w:szCs w:val="46"/>
        </w:rPr>
        <w:t>quity</w:t>
      </w:r>
      <w:r w:rsidRPr="00637411">
        <w:rPr>
          <w:b/>
          <w:sz w:val="46"/>
          <w:szCs w:val="46"/>
        </w:rPr>
        <w:t xml:space="preserve"> I</w:t>
      </w:r>
      <w:r w:rsidR="00637411" w:rsidRPr="00637411">
        <w:rPr>
          <w:b/>
          <w:sz w:val="46"/>
          <w:szCs w:val="46"/>
        </w:rPr>
        <w:t>ncentives</w:t>
      </w:r>
      <w:r w:rsidR="00D16A8D" w:rsidRPr="00637411">
        <w:rPr>
          <w:b/>
          <w:sz w:val="46"/>
          <w:szCs w:val="46"/>
        </w:rPr>
        <w:t xml:space="preserve"> </w:t>
      </w:r>
      <w:r w:rsidR="00637411" w:rsidRPr="00637411">
        <w:rPr>
          <w:b/>
          <w:sz w:val="46"/>
          <w:szCs w:val="46"/>
        </w:rPr>
        <w:t>and</w:t>
      </w:r>
      <w:r w:rsidR="00D16A8D" w:rsidRPr="00637411">
        <w:rPr>
          <w:b/>
          <w:sz w:val="46"/>
          <w:szCs w:val="46"/>
        </w:rPr>
        <w:t xml:space="preserve"> E</w:t>
      </w:r>
      <w:r w:rsidR="00637411" w:rsidRPr="00637411">
        <w:rPr>
          <w:b/>
          <w:sz w:val="46"/>
          <w:szCs w:val="46"/>
        </w:rPr>
        <w:t>arnings Management in the Banking</w:t>
      </w:r>
      <w:r w:rsidR="00D16A8D" w:rsidRPr="00637411">
        <w:rPr>
          <w:b/>
          <w:sz w:val="46"/>
          <w:szCs w:val="46"/>
        </w:rPr>
        <w:t xml:space="preserve"> I</w:t>
      </w:r>
      <w:r w:rsidR="00637411" w:rsidRPr="00637411">
        <w:rPr>
          <w:b/>
          <w:sz w:val="46"/>
          <w:szCs w:val="46"/>
        </w:rPr>
        <w:t>ndustry</w:t>
      </w:r>
    </w:p>
    <w:p w:rsidR="00D16A8D" w:rsidRDefault="00D16A8D" w:rsidP="00D16A8D">
      <w:pPr>
        <w:pBdr>
          <w:top w:val="dotted" w:sz="4" w:space="1" w:color="auto"/>
          <w:bottom w:val="dotted" w:sz="4" w:space="1" w:color="auto"/>
        </w:pBdr>
        <w:spacing w:line="360" w:lineRule="auto"/>
        <w:jc w:val="center"/>
        <w:rPr>
          <w:b/>
          <w:sz w:val="32"/>
          <w:szCs w:val="32"/>
        </w:rPr>
      </w:pPr>
    </w:p>
    <w:p w:rsidR="001817F7" w:rsidRPr="001817F7" w:rsidRDefault="001817F7" w:rsidP="00D16A8D">
      <w:pPr>
        <w:pBdr>
          <w:top w:val="dotted" w:sz="4" w:space="1" w:color="auto"/>
          <w:bottom w:val="dotted" w:sz="4" w:space="1" w:color="auto"/>
        </w:pBdr>
        <w:spacing w:line="360" w:lineRule="auto"/>
        <w:jc w:val="center"/>
        <w:rPr>
          <w:sz w:val="32"/>
          <w:szCs w:val="32"/>
        </w:rPr>
      </w:pPr>
      <w:r>
        <w:rPr>
          <w:sz w:val="32"/>
          <w:szCs w:val="32"/>
        </w:rPr>
        <w:t>The comparison between CFO incentives and CEO incentives</w:t>
      </w:r>
    </w:p>
    <w:p w:rsidR="001817F7" w:rsidRPr="00D16A8D" w:rsidRDefault="001817F7" w:rsidP="00D16A8D">
      <w:pPr>
        <w:pBdr>
          <w:top w:val="dotted" w:sz="4" w:space="1" w:color="auto"/>
          <w:bottom w:val="dotted" w:sz="4" w:space="1" w:color="auto"/>
        </w:pBdr>
        <w:spacing w:line="360" w:lineRule="auto"/>
        <w:jc w:val="center"/>
        <w:rPr>
          <w:b/>
          <w:sz w:val="32"/>
          <w:szCs w:val="32"/>
        </w:rPr>
      </w:pPr>
    </w:p>
    <w:p w:rsidR="004115C1" w:rsidRDefault="004115C1" w:rsidP="004115C1">
      <w:pPr>
        <w:spacing w:line="360" w:lineRule="auto"/>
        <w:jc w:val="center"/>
        <w:rPr>
          <w:sz w:val="32"/>
          <w:szCs w:val="32"/>
        </w:rPr>
      </w:pPr>
    </w:p>
    <w:p w:rsidR="004115C1" w:rsidRDefault="004115C1" w:rsidP="004115C1">
      <w:pPr>
        <w:spacing w:line="360" w:lineRule="auto"/>
        <w:jc w:val="center"/>
        <w:rPr>
          <w:sz w:val="32"/>
          <w:szCs w:val="32"/>
        </w:rPr>
      </w:pPr>
    </w:p>
    <w:p w:rsidR="004115C1" w:rsidRDefault="004115C1" w:rsidP="00F847F2">
      <w:pPr>
        <w:spacing w:line="360" w:lineRule="auto"/>
        <w:jc w:val="center"/>
        <w:rPr>
          <w:sz w:val="32"/>
          <w:szCs w:val="32"/>
        </w:rPr>
      </w:pPr>
    </w:p>
    <w:p w:rsidR="00F847F2" w:rsidRPr="004C6C2D" w:rsidRDefault="00F847F2" w:rsidP="007008D1">
      <w:pPr>
        <w:spacing w:line="360" w:lineRule="auto"/>
        <w:jc w:val="center"/>
        <w:rPr>
          <w:b/>
          <w:lang w:val="nl-NL"/>
        </w:rPr>
      </w:pPr>
      <w:bookmarkStart w:id="0" w:name="_Toc228431490"/>
      <w:bookmarkStart w:id="1" w:name="_Toc228431568"/>
      <w:bookmarkStart w:id="2" w:name="_Toc228432435"/>
      <w:bookmarkStart w:id="3" w:name="_Toc228432518"/>
      <w:bookmarkStart w:id="4" w:name="_Toc228712574"/>
      <w:bookmarkStart w:id="5" w:name="_Toc229302909"/>
      <w:bookmarkStart w:id="6" w:name="_Toc229302984"/>
      <w:bookmarkStart w:id="7" w:name="_Toc229388136"/>
      <w:bookmarkStart w:id="8" w:name="_Toc229388195"/>
      <w:bookmarkStart w:id="9" w:name="_Toc229388254"/>
      <w:bookmarkStart w:id="10" w:name="_Toc230403543"/>
      <w:bookmarkStart w:id="11" w:name="_Toc230403823"/>
      <w:bookmarkStart w:id="12" w:name="_Toc230853016"/>
      <w:bookmarkStart w:id="13" w:name="_Toc230853092"/>
      <w:bookmarkStart w:id="14" w:name="_Toc230853183"/>
      <w:bookmarkStart w:id="15" w:name="_Toc231533382"/>
      <w:bookmarkStart w:id="16" w:name="_Toc231536981"/>
      <w:bookmarkStart w:id="17" w:name="_Toc231538398"/>
      <w:bookmarkStart w:id="18" w:name="_Toc231718379"/>
      <w:bookmarkStart w:id="19" w:name="_Toc231724908"/>
      <w:bookmarkStart w:id="20" w:name="_Toc234750588"/>
      <w:bookmarkStart w:id="21" w:name="_Toc234750718"/>
      <w:r w:rsidRPr="004C6C2D">
        <w:rPr>
          <w:b/>
          <w:lang w:val="nl-NL"/>
        </w:rPr>
        <w:t>ERASMUS UNIVERSITEIT ROTTERDAM</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rsidR="007008D1" w:rsidRPr="004C6C2D" w:rsidRDefault="007008D1" w:rsidP="007008D1">
      <w:pPr>
        <w:spacing w:line="360" w:lineRule="auto"/>
        <w:jc w:val="center"/>
        <w:rPr>
          <w:sz w:val="28"/>
          <w:szCs w:val="28"/>
          <w:lang w:val="nl-NL"/>
        </w:rPr>
      </w:pPr>
      <w:r w:rsidRPr="004C6C2D">
        <w:rPr>
          <w:sz w:val="28"/>
          <w:szCs w:val="28"/>
          <w:lang w:val="nl-NL"/>
        </w:rPr>
        <w:t xml:space="preserve">Erasmus School of </w:t>
      </w:r>
      <w:proofErr w:type="spellStart"/>
      <w:r w:rsidRPr="00E37CBA">
        <w:rPr>
          <w:sz w:val="28"/>
          <w:szCs w:val="28"/>
          <w:lang w:val="nl-NL"/>
        </w:rPr>
        <w:t>Economics</w:t>
      </w:r>
      <w:proofErr w:type="spellEnd"/>
    </w:p>
    <w:p w:rsidR="004115C1" w:rsidRPr="004115C1" w:rsidRDefault="004115C1" w:rsidP="007008D1">
      <w:pPr>
        <w:spacing w:line="360" w:lineRule="auto"/>
        <w:jc w:val="center"/>
        <w:rPr>
          <w:sz w:val="28"/>
          <w:szCs w:val="28"/>
        </w:rPr>
      </w:pPr>
      <w:r w:rsidRPr="004115C1">
        <w:rPr>
          <w:sz w:val="28"/>
          <w:szCs w:val="28"/>
        </w:rPr>
        <w:t xml:space="preserve">Master Thesis Accounting, </w:t>
      </w:r>
      <w:r w:rsidR="00E17EFE">
        <w:rPr>
          <w:sz w:val="28"/>
          <w:szCs w:val="28"/>
        </w:rPr>
        <w:t>Auditing</w:t>
      </w:r>
      <w:r w:rsidRPr="004115C1">
        <w:rPr>
          <w:sz w:val="28"/>
          <w:szCs w:val="28"/>
        </w:rPr>
        <w:t xml:space="preserve"> &amp; </w:t>
      </w:r>
      <w:r w:rsidR="00E17EFE">
        <w:rPr>
          <w:sz w:val="28"/>
          <w:szCs w:val="28"/>
        </w:rPr>
        <w:t>Control</w:t>
      </w:r>
    </w:p>
    <w:p w:rsidR="004115C1" w:rsidRDefault="004115C1" w:rsidP="00F847F2">
      <w:pPr>
        <w:spacing w:line="360" w:lineRule="auto"/>
        <w:jc w:val="center"/>
        <w:rPr>
          <w:sz w:val="28"/>
          <w:szCs w:val="28"/>
        </w:rPr>
      </w:pPr>
    </w:p>
    <w:p w:rsidR="00E022B8" w:rsidRPr="004115C1" w:rsidRDefault="00E022B8" w:rsidP="00F847F2">
      <w:pPr>
        <w:spacing w:line="360" w:lineRule="auto"/>
        <w:jc w:val="center"/>
        <w:rPr>
          <w:sz w:val="28"/>
          <w:szCs w:val="28"/>
        </w:rPr>
      </w:pPr>
    </w:p>
    <w:p w:rsidR="004115C1" w:rsidRPr="004115C1" w:rsidRDefault="004115C1" w:rsidP="00F847F2">
      <w:pPr>
        <w:spacing w:line="360" w:lineRule="auto"/>
        <w:jc w:val="center"/>
        <w:rPr>
          <w:sz w:val="28"/>
          <w:szCs w:val="28"/>
        </w:rPr>
      </w:pPr>
    </w:p>
    <w:p w:rsidR="004115C1" w:rsidRPr="004115C1" w:rsidRDefault="004115C1" w:rsidP="00F847F2">
      <w:pPr>
        <w:spacing w:line="360" w:lineRule="auto"/>
        <w:jc w:val="center"/>
        <w:rPr>
          <w:sz w:val="28"/>
          <w:szCs w:val="28"/>
        </w:rPr>
      </w:pPr>
    </w:p>
    <w:p w:rsidR="004115C1" w:rsidRPr="00EF5C76" w:rsidRDefault="0011716D" w:rsidP="00F847F2">
      <w:pPr>
        <w:spacing w:line="360" w:lineRule="auto"/>
        <w:jc w:val="center"/>
      </w:pPr>
      <w:r>
        <w:t>Author</w:t>
      </w:r>
      <w:r w:rsidR="004115C1" w:rsidRPr="00EF5C76">
        <w:t>: H</w:t>
      </w:r>
      <w:r w:rsidR="00094532">
        <w:t>.S.</w:t>
      </w:r>
      <w:r w:rsidR="004115C1" w:rsidRPr="00EF5C76">
        <w:t xml:space="preserve"> Wong</w:t>
      </w:r>
    </w:p>
    <w:p w:rsidR="004115C1" w:rsidRPr="00EF5C76" w:rsidRDefault="00CD64D3" w:rsidP="00F847F2">
      <w:pPr>
        <w:spacing w:line="360" w:lineRule="auto"/>
        <w:jc w:val="center"/>
      </w:pPr>
      <w:r w:rsidRPr="00EF5C76">
        <w:t>Student number</w:t>
      </w:r>
      <w:r w:rsidR="004115C1" w:rsidRPr="00EF5C76">
        <w:t>: 196647</w:t>
      </w:r>
    </w:p>
    <w:p w:rsidR="004115C1" w:rsidRPr="00785116" w:rsidRDefault="004115C1" w:rsidP="00F847F2">
      <w:pPr>
        <w:spacing w:line="360" w:lineRule="auto"/>
        <w:jc w:val="center"/>
        <w:rPr>
          <w:b/>
        </w:rPr>
      </w:pPr>
      <w:r w:rsidRPr="00EF5C76">
        <w:t xml:space="preserve">Thesis supervisor: </w:t>
      </w:r>
      <w:proofErr w:type="spellStart"/>
      <w:r w:rsidRPr="00E37CBA">
        <w:t>Prof.dr.E.A</w:t>
      </w:r>
      <w:proofErr w:type="spellEnd"/>
      <w:r w:rsidRPr="00EF5C76">
        <w:t xml:space="preserve">. </w:t>
      </w:r>
      <w:proofErr w:type="gramStart"/>
      <w:r w:rsidRPr="00E37CBA">
        <w:t>de</w:t>
      </w:r>
      <w:proofErr w:type="gramEnd"/>
      <w:r w:rsidRPr="00EF5C76">
        <w:t xml:space="preserve"> </w:t>
      </w:r>
      <w:proofErr w:type="spellStart"/>
      <w:r w:rsidRPr="00E37CBA">
        <w:t>Groot</w:t>
      </w:r>
      <w:proofErr w:type="spellEnd"/>
    </w:p>
    <w:p w:rsidR="00F851EB" w:rsidRDefault="00F851EB" w:rsidP="00F851EB">
      <w:pPr>
        <w:spacing w:line="360" w:lineRule="auto"/>
        <w:jc w:val="center"/>
        <w:rPr>
          <w:b/>
        </w:rPr>
      </w:pPr>
    </w:p>
    <w:p w:rsidR="00E27497" w:rsidRDefault="00E27497" w:rsidP="00F851EB">
      <w:pPr>
        <w:spacing w:line="360" w:lineRule="auto"/>
        <w:jc w:val="center"/>
        <w:rPr>
          <w:b/>
        </w:rPr>
      </w:pPr>
      <w:r w:rsidRPr="00E27497">
        <w:rPr>
          <w:b/>
        </w:rPr>
        <w:t>PREFACE</w:t>
      </w:r>
    </w:p>
    <w:p w:rsidR="00F851EB" w:rsidRDefault="00F851EB" w:rsidP="00F851EB">
      <w:pPr>
        <w:spacing w:line="360" w:lineRule="auto"/>
      </w:pPr>
    </w:p>
    <w:p w:rsidR="00F851EB" w:rsidRPr="00733FCE" w:rsidRDefault="00F851EB" w:rsidP="00733FCE">
      <w:pPr>
        <w:spacing w:line="360" w:lineRule="auto"/>
        <w:jc w:val="both"/>
        <w:rPr>
          <w:sz w:val="22"/>
          <w:szCs w:val="22"/>
        </w:rPr>
      </w:pPr>
      <w:r w:rsidRPr="00733FCE">
        <w:rPr>
          <w:sz w:val="22"/>
          <w:szCs w:val="22"/>
        </w:rPr>
        <w:t>As a final assignment for the master course of Accounting, Auditing &amp; Control</w:t>
      </w:r>
      <w:r w:rsidR="00D00235" w:rsidRPr="00733FCE">
        <w:rPr>
          <w:sz w:val="22"/>
          <w:szCs w:val="22"/>
        </w:rPr>
        <w:t xml:space="preserve"> at the Erasmus University in Rotterdam</w:t>
      </w:r>
      <w:r w:rsidRPr="00733FCE">
        <w:rPr>
          <w:sz w:val="22"/>
          <w:szCs w:val="22"/>
        </w:rPr>
        <w:t xml:space="preserve">, I </w:t>
      </w:r>
      <w:r w:rsidR="00D00235" w:rsidRPr="00733FCE">
        <w:rPr>
          <w:sz w:val="22"/>
          <w:szCs w:val="22"/>
        </w:rPr>
        <w:t>was looking for a</w:t>
      </w:r>
      <w:r w:rsidR="00455258" w:rsidRPr="00733FCE">
        <w:rPr>
          <w:sz w:val="22"/>
          <w:szCs w:val="22"/>
        </w:rPr>
        <w:t xml:space="preserve"> subject</w:t>
      </w:r>
      <w:r w:rsidR="00D00235" w:rsidRPr="00733FCE">
        <w:rPr>
          <w:sz w:val="22"/>
          <w:szCs w:val="22"/>
        </w:rPr>
        <w:t xml:space="preserve"> of current relevance</w:t>
      </w:r>
      <w:r w:rsidR="00455258" w:rsidRPr="00733FCE">
        <w:rPr>
          <w:sz w:val="22"/>
          <w:szCs w:val="22"/>
        </w:rPr>
        <w:t xml:space="preserve"> for my master thesis. Due to the financial crisis of 2008 it was interesting to investigate the executive compensation in the banking sector.</w:t>
      </w:r>
      <w:r w:rsidR="00D00235" w:rsidRPr="00733FCE">
        <w:rPr>
          <w:sz w:val="22"/>
          <w:szCs w:val="22"/>
        </w:rPr>
        <w:t xml:space="preserve"> </w:t>
      </w:r>
      <w:r w:rsidR="007E7AD3">
        <w:rPr>
          <w:sz w:val="22"/>
          <w:szCs w:val="22"/>
        </w:rPr>
        <w:t xml:space="preserve">Writing a </w:t>
      </w:r>
      <w:r w:rsidR="006B5302">
        <w:rPr>
          <w:sz w:val="22"/>
          <w:szCs w:val="22"/>
        </w:rPr>
        <w:t>t</w:t>
      </w:r>
      <w:r w:rsidR="007E7AD3">
        <w:rPr>
          <w:sz w:val="22"/>
          <w:szCs w:val="22"/>
        </w:rPr>
        <w:t>hesis</w:t>
      </w:r>
      <w:r w:rsidR="006B5302">
        <w:rPr>
          <w:sz w:val="22"/>
          <w:szCs w:val="22"/>
        </w:rPr>
        <w:t xml:space="preserve"> </w:t>
      </w:r>
      <w:r w:rsidR="007E7AD3">
        <w:rPr>
          <w:sz w:val="22"/>
          <w:szCs w:val="22"/>
        </w:rPr>
        <w:t>is</w:t>
      </w:r>
      <w:r w:rsidR="006B5302">
        <w:rPr>
          <w:sz w:val="22"/>
          <w:szCs w:val="22"/>
        </w:rPr>
        <w:t xml:space="preserve"> a long journey</w:t>
      </w:r>
      <w:r w:rsidR="002D5A24">
        <w:rPr>
          <w:sz w:val="22"/>
          <w:szCs w:val="22"/>
        </w:rPr>
        <w:t xml:space="preserve"> and</w:t>
      </w:r>
      <w:r w:rsidR="006B5302">
        <w:rPr>
          <w:sz w:val="22"/>
          <w:szCs w:val="22"/>
        </w:rPr>
        <w:t xml:space="preserve"> I am glad I have finished it.</w:t>
      </w:r>
    </w:p>
    <w:p w:rsidR="00733FCE" w:rsidRPr="00733FCE" w:rsidRDefault="00733FCE" w:rsidP="00733FCE">
      <w:pPr>
        <w:spacing w:line="360" w:lineRule="auto"/>
        <w:jc w:val="both"/>
        <w:rPr>
          <w:sz w:val="22"/>
          <w:szCs w:val="22"/>
        </w:rPr>
      </w:pPr>
    </w:p>
    <w:p w:rsidR="00D00235" w:rsidRPr="00733FCE" w:rsidRDefault="006B1A0E" w:rsidP="00733FCE">
      <w:pPr>
        <w:spacing w:line="360" w:lineRule="auto"/>
        <w:jc w:val="both"/>
        <w:rPr>
          <w:sz w:val="22"/>
          <w:szCs w:val="22"/>
        </w:rPr>
      </w:pPr>
      <w:r w:rsidRPr="00733FCE">
        <w:rPr>
          <w:sz w:val="22"/>
          <w:szCs w:val="22"/>
        </w:rPr>
        <w:t xml:space="preserve">As a gesture of </w:t>
      </w:r>
      <w:r w:rsidR="006B5302">
        <w:rPr>
          <w:sz w:val="22"/>
          <w:szCs w:val="22"/>
        </w:rPr>
        <w:t>gratitude</w:t>
      </w:r>
      <w:r w:rsidRPr="00733FCE">
        <w:rPr>
          <w:sz w:val="22"/>
          <w:szCs w:val="22"/>
        </w:rPr>
        <w:t xml:space="preserve">, I want to thank my master thesis supervisor </w:t>
      </w:r>
      <w:proofErr w:type="spellStart"/>
      <w:r w:rsidRPr="00733FCE">
        <w:rPr>
          <w:sz w:val="22"/>
          <w:szCs w:val="22"/>
        </w:rPr>
        <w:t>prof</w:t>
      </w:r>
      <w:proofErr w:type="spellEnd"/>
      <w:r w:rsidRPr="00733FCE">
        <w:rPr>
          <w:sz w:val="22"/>
          <w:szCs w:val="22"/>
        </w:rPr>
        <w:t xml:space="preserve">. dr. E.A. de </w:t>
      </w:r>
      <w:proofErr w:type="spellStart"/>
      <w:r w:rsidRPr="00733FCE">
        <w:rPr>
          <w:sz w:val="22"/>
          <w:szCs w:val="22"/>
        </w:rPr>
        <w:t>Groot</w:t>
      </w:r>
      <w:proofErr w:type="spellEnd"/>
      <w:r w:rsidRPr="00733FCE">
        <w:rPr>
          <w:sz w:val="22"/>
          <w:szCs w:val="22"/>
        </w:rPr>
        <w:t xml:space="preserve"> for his help and guidance. Special thanks to my girlfriend and her sister for their support, advice and criticism. Their feedback was very helpful in order to maintain a logic</w:t>
      </w:r>
      <w:r w:rsidR="00733FCE" w:rsidRPr="00733FCE">
        <w:rPr>
          <w:sz w:val="22"/>
          <w:szCs w:val="22"/>
        </w:rPr>
        <w:t>al</w:t>
      </w:r>
      <w:r w:rsidRPr="00733FCE">
        <w:rPr>
          <w:sz w:val="22"/>
          <w:szCs w:val="22"/>
        </w:rPr>
        <w:t xml:space="preserve"> structure</w:t>
      </w:r>
      <w:r w:rsidR="00733FCE" w:rsidRPr="00733FCE">
        <w:rPr>
          <w:sz w:val="22"/>
          <w:szCs w:val="22"/>
        </w:rPr>
        <w:t xml:space="preserve"> and relevance</w:t>
      </w:r>
      <w:r w:rsidRPr="00733FCE">
        <w:rPr>
          <w:sz w:val="22"/>
          <w:szCs w:val="22"/>
        </w:rPr>
        <w:t xml:space="preserve">. </w:t>
      </w:r>
      <w:r w:rsidR="00733FCE" w:rsidRPr="00733FCE">
        <w:rPr>
          <w:sz w:val="22"/>
          <w:szCs w:val="22"/>
        </w:rPr>
        <w:t xml:space="preserve">Finally I want to thank my family for their </w:t>
      </w:r>
      <w:r w:rsidR="00733FCE">
        <w:rPr>
          <w:sz w:val="22"/>
          <w:szCs w:val="22"/>
        </w:rPr>
        <w:t>encouragement</w:t>
      </w:r>
      <w:r w:rsidR="00733FCE" w:rsidRPr="00733FCE">
        <w:rPr>
          <w:sz w:val="22"/>
          <w:szCs w:val="22"/>
        </w:rPr>
        <w:t xml:space="preserve"> and</w:t>
      </w:r>
      <w:r w:rsidR="00733FCE">
        <w:rPr>
          <w:sz w:val="22"/>
          <w:szCs w:val="22"/>
        </w:rPr>
        <w:t xml:space="preserve"> their</w:t>
      </w:r>
      <w:r w:rsidR="00733FCE" w:rsidRPr="00733FCE">
        <w:rPr>
          <w:sz w:val="22"/>
          <w:szCs w:val="22"/>
        </w:rPr>
        <w:t xml:space="preserve"> support</w:t>
      </w:r>
      <w:r w:rsidR="00E94FFC">
        <w:rPr>
          <w:sz w:val="22"/>
          <w:szCs w:val="22"/>
        </w:rPr>
        <w:t xml:space="preserve"> for</w:t>
      </w:r>
      <w:r w:rsidR="00733FCE" w:rsidRPr="00733FCE">
        <w:rPr>
          <w:sz w:val="22"/>
          <w:szCs w:val="22"/>
        </w:rPr>
        <w:t xml:space="preserve"> </w:t>
      </w:r>
      <w:r w:rsidR="00E94FFC">
        <w:rPr>
          <w:sz w:val="22"/>
          <w:szCs w:val="22"/>
        </w:rPr>
        <w:t xml:space="preserve">writing </w:t>
      </w:r>
      <w:r w:rsidR="00733FCE" w:rsidRPr="00733FCE">
        <w:rPr>
          <w:sz w:val="22"/>
          <w:szCs w:val="22"/>
        </w:rPr>
        <w:t>this master thesis.</w:t>
      </w:r>
    </w:p>
    <w:p w:rsidR="00733FCE" w:rsidRPr="00733FCE" w:rsidRDefault="00733FCE" w:rsidP="00733FCE">
      <w:pPr>
        <w:spacing w:line="360" w:lineRule="auto"/>
        <w:jc w:val="both"/>
        <w:rPr>
          <w:sz w:val="22"/>
          <w:szCs w:val="22"/>
        </w:rPr>
      </w:pPr>
    </w:p>
    <w:p w:rsidR="00733FCE" w:rsidRPr="00733FCE" w:rsidRDefault="00733FCE" w:rsidP="00733FCE">
      <w:pPr>
        <w:spacing w:line="360" w:lineRule="auto"/>
        <w:jc w:val="both"/>
        <w:rPr>
          <w:sz w:val="22"/>
          <w:szCs w:val="22"/>
        </w:rPr>
      </w:pPr>
      <w:proofErr w:type="spellStart"/>
      <w:r w:rsidRPr="00733FCE">
        <w:rPr>
          <w:sz w:val="22"/>
          <w:szCs w:val="22"/>
        </w:rPr>
        <w:t>Hosan</w:t>
      </w:r>
      <w:proofErr w:type="spellEnd"/>
      <w:r w:rsidRPr="00733FCE">
        <w:rPr>
          <w:sz w:val="22"/>
          <w:szCs w:val="22"/>
        </w:rPr>
        <w:t xml:space="preserve"> Wong</w:t>
      </w:r>
    </w:p>
    <w:p w:rsidR="00733FCE" w:rsidRPr="00733FCE" w:rsidRDefault="00733FCE" w:rsidP="00733FCE">
      <w:pPr>
        <w:spacing w:line="360" w:lineRule="auto"/>
        <w:jc w:val="both"/>
        <w:rPr>
          <w:sz w:val="22"/>
          <w:szCs w:val="22"/>
        </w:rPr>
      </w:pPr>
      <w:r w:rsidRPr="00733FCE">
        <w:rPr>
          <w:sz w:val="22"/>
          <w:szCs w:val="22"/>
        </w:rPr>
        <w:t>The Hague, March 2011</w:t>
      </w:r>
    </w:p>
    <w:p w:rsidR="00733FCE" w:rsidRDefault="00733FCE" w:rsidP="00F851EB">
      <w:pPr>
        <w:spacing w:line="360" w:lineRule="auto"/>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E27497" w:rsidRDefault="00E27497"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33FCE" w:rsidRDefault="00733FCE" w:rsidP="00F847F2">
      <w:pPr>
        <w:spacing w:line="360" w:lineRule="auto"/>
        <w:jc w:val="center"/>
      </w:pPr>
    </w:p>
    <w:p w:rsidR="007C3C74" w:rsidRDefault="007C3C74" w:rsidP="00F847F2">
      <w:pPr>
        <w:spacing w:line="360" w:lineRule="auto"/>
        <w:jc w:val="center"/>
        <w:rPr>
          <w:b/>
        </w:rPr>
      </w:pPr>
    </w:p>
    <w:p w:rsidR="00C947B5" w:rsidRDefault="00C947B5" w:rsidP="00F847F2">
      <w:pPr>
        <w:spacing w:line="360" w:lineRule="auto"/>
        <w:jc w:val="center"/>
        <w:rPr>
          <w:b/>
        </w:rPr>
      </w:pPr>
    </w:p>
    <w:p w:rsidR="00C947B5" w:rsidRDefault="00C947B5" w:rsidP="00F847F2">
      <w:pPr>
        <w:spacing w:line="360" w:lineRule="auto"/>
        <w:jc w:val="center"/>
        <w:rPr>
          <w:b/>
        </w:rPr>
      </w:pPr>
    </w:p>
    <w:p w:rsidR="00733FCE" w:rsidRPr="007C3C74" w:rsidRDefault="00733FCE" w:rsidP="00D1294F">
      <w:pPr>
        <w:spacing w:line="360" w:lineRule="auto"/>
        <w:jc w:val="center"/>
        <w:rPr>
          <w:b/>
        </w:rPr>
      </w:pPr>
      <w:r w:rsidRPr="007C3C74">
        <w:rPr>
          <w:b/>
        </w:rPr>
        <w:t>ABSTRACT</w:t>
      </w:r>
    </w:p>
    <w:p w:rsidR="00733FCE" w:rsidRDefault="00733FCE" w:rsidP="007C3C74">
      <w:pPr>
        <w:spacing w:line="360" w:lineRule="auto"/>
        <w:rPr>
          <w:sz w:val="22"/>
          <w:szCs w:val="22"/>
        </w:rPr>
      </w:pPr>
    </w:p>
    <w:p w:rsidR="004E3516" w:rsidRDefault="007C3C74" w:rsidP="00C127A8">
      <w:pPr>
        <w:pBdr>
          <w:bottom w:val="single" w:sz="4" w:space="1" w:color="auto"/>
        </w:pBdr>
        <w:spacing w:line="360" w:lineRule="auto"/>
        <w:jc w:val="both"/>
        <w:rPr>
          <w:sz w:val="22"/>
          <w:szCs w:val="22"/>
        </w:rPr>
      </w:pPr>
      <w:r>
        <w:rPr>
          <w:sz w:val="22"/>
          <w:szCs w:val="22"/>
        </w:rPr>
        <w:t xml:space="preserve">This research investigates the </w:t>
      </w:r>
      <w:r w:rsidR="00A71CE8">
        <w:rPr>
          <w:sz w:val="22"/>
          <w:szCs w:val="22"/>
        </w:rPr>
        <w:t xml:space="preserve">association between </w:t>
      </w:r>
      <w:r>
        <w:rPr>
          <w:sz w:val="22"/>
          <w:szCs w:val="22"/>
        </w:rPr>
        <w:t>CFO equity incentives and earnings management in the banking indus</w:t>
      </w:r>
      <w:r w:rsidR="00A71CE8">
        <w:rPr>
          <w:sz w:val="22"/>
          <w:szCs w:val="22"/>
        </w:rPr>
        <w:t xml:space="preserve">try compared with </w:t>
      </w:r>
      <w:r>
        <w:rPr>
          <w:sz w:val="22"/>
          <w:szCs w:val="22"/>
        </w:rPr>
        <w:t xml:space="preserve">the CEO. Based on banks in the United States and </w:t>
      </w:r>
      <w:r w:rsidR="00A71CE8">
        <w:rPr>
          <w:sz w:val="22"/>
          <w:szCs w:val="22"/>
        </w:rPr>
        <w:t xml:space="preserve">executive </w:t>
      </w:r>
      <w:r>
        <w:rPr>
          <w:sz w:val="22"/>
          <w:szCs w:val="22"/>
        </w:rPr>
        <w:t>compensation data for the period 1998-2008, I used</w:t>
      </w:r>
      <w:r w:rsidR="00A71CE8">
        <w:rPr>
          <w:sz w:val="22"/>
          <w:szCs w:val="22"/>
        </w:rPr>
        <w:t xml:space="preserve"> the provisions for loan losses</w:t>
      </w:r>
      <w:r>
        <w:rPr>
          <w:sz w:val="22"/>
          <w:szCs w:val="22"/>
        </w:rPr>
        <w:t xml:space="preserve"> as proxy for earnings management. In testing the hypotheses I divided the sample in a pre- and post-SOX period. </w:t>
      </w:r>
      <w:r w:rsidR="004E3516">
        <w:rPr>
          <w:sz w:val="22"/>
          <w:szCs w:val="22"/>
        </w:rPr>
        <w:t>E</w:t>
      </w:r>
      <w:r>
        <w:rPr>
          <w:sz w:val="22"/>
          <w:szCs w:val="22"/>
        </w:rPr>
        <w:t xml:space="preserve">vidence shows that </w:t>
      </w:r>
      <w:r w:rsidR="004E3516">
        <w:rPr>
          <w:sz w:val="22"/>
          <w:szCs w:val="22"/>
        </w:rPr>
        <w:t>equity incentives of</w:t>
      </w:r>
      <w:r>
        <w:rPr>
          <w:sz w:val="22"/>
          <w:szCs w:val="22"/>
        </w:rPr>
        <w:t xml:space="preserve"> CEO and CFO </w:t>
      </w:r>
      <w:r w:rsidR="004E3516">
        <w:rPr>
          <w:sz w:val="22"/>
          <w:szCs w:val="22"/>
        </w:rPr>
        <w:t xml:space="preserve">are </w:t>
      </w:r>
      <w:r>
        <w:rPr>
          <w:sz w:val="22"/>
          <w:szCs w:val="22"/>
        </w:rPr>
        <w:t xml:space="preserve">positively related to </w:t>
      </w:r>
      <w:r w:rsidR="004E3516">
        <w:rPr>
          <w:sz w:val="22"/>
          <w:szCs w:val="22"/>
        </w:rPr>
        <w:t>use of discretionary loan loss provisions in</w:t>
      </w:r>
      <w:r>
        <w:rPr>
          <w:sz w:val="22"/>
          <w:szCs w:val="22"/>
        </w:rPr>
        <w:t xml:space="preserve"> the pre-SOX period.</w:t>
      </w:r>
      <w:r w:rsidR="004E3516">
        <w:rPr>
          <w:sz w:val="22"/>
          <w:szCs w:val="22"/>
        </w:rPr>
        <w:t xml:space="preserve"> After the introduction of SOX no association was found for CEO equity incentives and earnings management. A lower but still positive association remained for CFO equity incentives and earnings management in the post-SOX period. The impact of CEO equity incentives dominates that of the CFO in pre-SOX and the opposite is found for the post-SOX period. Additionally, it can be concluded that the intention of SOX to mitigate earnings management has been fulfilled for the banking industry.</w:t>
      </w:r>
    </w:p>
    <w:p w:rsidR="00C127A8" w:rsidRDefault="00C127A8" w:rsidP="00C127A8">
      <w:pPr>
        <w:pBdr>
          <w:bottom w:val="single" w:sz="4" w:space="1" w:color="auto"/>
        </w:pBdr>
        <w:spacing w:line="360" w:lineRule="auto"/>
        <w:jc w:val="both"/>
        <w:rPr>
          <w:sz w:val="22"/>
          <w:szCs w:val="22"/>
        </w:rPr>
      </w:pPr>
    </w:p>
    <w:p w:rsidR="006B5302" w:rsidRDefault="006B5302" w:rsidP="00C127A8">
      <w:pPr>
        <w:pBdr>
          <w:bottom w:val="single" w:sz="4" w:space="1" w:color="auto"/>
        </w:pBdr>
        <w:spacing w:line="360" w:lineRule="auto"/>
        <w:jc w:val="both"/>
        <w:rPr>
          <w:sz w:val="22"/>
          <w:szCs w:val="22"/>
        </w:rPr>
      </w:pPr>
    </w:p>
    <w:p w:rsidR="006B5302" w:rsidRPr="006B5302" w:rsidRDefault="006B5302" w:rsidP="00C127A8">
      <w:pPr>
        <w:pBdr>
          <w:bottom w:val="single" w:sz="4" w:space="1" w:color="auto"/>
        </w:pBdr>
        <w:spacing w:line="360" w:lineRule="auto"/>
        <w:jc w:val="both"/>
        <w:rPr>
          <w:sz w:val="22"/>
          <w:szCs w:val="22"/>
        </w:rPr>
      </w:pPr>
      <w:r w:rsidRPr="006B5302">
        <w:rPr>
          <w:i/>
          <w:sz w:val="22"/>
          <w:szCs w:val="22"/>
        </w:rPr>
        <w:t>Keywords:</w:t>
      </w:r>
      <w:r>
        <w:rPr>
          <w:sz w:val="22"/>
          <w:szCs w:val="22"/>
        </w:rPr>
        <w:t xml:space="preserve"> Equity incentives; </w:t>
      </w:r>
      <w:r w:rsidR="00D1294F">
        <w:rPr>
          <w:sz w:val="22"/>
          <w:szCs w:val="22"/>
        </w:rPr>
        <w:t>E</w:t>
      </w:r>
      <w:r>
        <w:rPr>
          <w:sz w:val="22"/>
          <w:szCs w:val="22"/>
        </w:rPr>
        <w:t xml:space="preserve">arnings management; </w:t>
      </w:r>
      <w:r w:rsidR="00D1294F">
        <w:rPr>
          <w:sz w:val="22"/>
          <w:szCs w:val="22"/>
        </w:rPr>
        <w:t>B</w:t>
      </w:r>
      <w:r>
        <w:rPr>
          <w:sz w:val="22"/>
          <w:szCs w:val="22"/>
        </w:rPr>
        <w:t>anking industry; Sarbanes-Oxley</w:t>
      </w:r>
      <w:r w:rsidR="00D1294F">
        <w:rPr>
          <w:sz w:val="22"/>
          <w:szCs w:val="22"/>
        </w:rPr>
        <w:t xml:space="preserve"> Act; CFO</w:t>
      </w:r>
    </w:p>
    <w:p w:rsidR="007C3C74" w:rsidRPr="007C3C74" w:rsidRDefault="007C3C74" w:rsidP="007C3C74">
      <w:pPr>
        <w:spacing w:line="360" w:lineRule="auto"/>
        <w:rPr>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D1294F" w:rsidRDefault="00D1294F" w:rsidP="00F847F2">
      <w:pPr>
        <w:spacing w:line="360" w:lineRule="auto"/>
        <w:jc w:val="center"/>
        <w:rPr>
          <w:b/>
          <w:sz w:val="22"/>
          <w:szCs w:val="22"/>
        </w:rPr>
      </w:pPr>
    </w:p>
    <w:p w:rsidR="00D1294F" w:rsidRDefault="00D1294F" w:rsidP="00F847F2">
      <w:pPr>
        <w:spacing w:line="360" w:lineRule="auto"/>
        <w:jc w:val="center"/>
        <w:rPr>
          <w:b/>
          <w:sz w:val="22"/>
          <w:szCs w:val="22"/>
        </w:rPr>
      </w:pPr>
    </w:p>
    <w:p w:rsidR="00D1294F" w:rsidRDefault="00D1294F" w:rsidP="00F847F2">
      <w:pPr>
        <w:spacing w:line="360" w:lineRule="auto"/>
        <w:jc w:val="center"/>
        <w:rPr>
          <w:b/>
          <w:sz w:val="22"/>
          <w:szCs w:val="22"/>
        </w:rPr>
      </w:pPr>
    </w:p>
    <w:p w:rsidR="00D1294F" w:rsidRDefault="00D1294F" w:rsidP="00F847F2">
      <w:pPr>
        <w:spacing w:line="360" w:lineRule="auto"/>
        <w:jc w:val="center"/>
        <w:rPr>
          <w:b/>
          <w:sz w:val="22"/>
          <w:szCs w:val="22"/>
        </w:rPr>
      </w:pPr>
    </w:p>
    <w:p w:rsidR="00D1294F" w:rsidRDefault="00D1294F"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733FCE" w:rsidRDefault="00733FCE" w:rsidP="00F847F2">
      <w:pPr>
        <w:spacing w:line="360" w:lineRule="auto"/>
        <w:jc w:val="center"/>
        <w:rPr>
          <w:b/>
          <w:sz w:val="22"/>
          <w:szCs w:val="22"/>
        </w:rPr>
      </w:pPr>
    </w:p>
    <w:p w:rsidR="00E27497" w:rsidRPr="00EF5C76" w:rsidRDefault="00E27497" w:rsidP="00F847F2">
      <w:pPr>
        <w:spacing w:line="360" w:lineRule="auto"/>
        <w:jc w:val="center"/>
      </w:pPr>
    </w:p>
    <w:sdt>
      <w:sdtPr>
        <w:id w:val="10186668"/>
        <w:docPartObj>
          <w:docPartGallery w:val="Table of Contents"/>
          <w:docPartUnique/>
        </w:docPartObj>
      </w:sdtPr>
      <w:sdtEndPr>
        <w:rPr>
          <w:lang w:val="nl-NL"/>
        </w:rPr>
      </w:sdtEndPr>
      <w:sdtContent>
        <w:p w:rsidR="007F5BA7" w:rsidRDefault="00763EDE" w:rsidP="00763EDE">
          <w:pPr>
            <w:jc w:val="center"/>
            <w:rPr>
              <w:b/>
            </w:rPr>
          </w:pPr>
          <w:r w:rsidRPr="00EE304F">
            <w:rPr>
              <w:b/>
            </w:rPr>
            <w:t>TABLE OF CONTENTS</w:t>
          </w:r>
        </w:p>
        <w:p w:rsidR="00905BE7" w:rsidRPr="007F5BA7" w:rsidRDefault="00905BE7" w:rsidP="00763EDE">
          <w:pPr>
            <w:jc w:val="center"/>
            <w:rPr>
              <w:b/>
            </w:rPr>
          </w:pPr>
        </w:p>
        <w:p w:rsidR="00181EE5" w:rsidRDefault="00536807">
          <w:pPr>
            <w:pStyle w:val="Inhopg1"/>
            <w:tabs>
              <w:tab w:val="right" w:leader="dot" w:pos="9062"/>
            </w:tabs>
            <w:rPr>
              <w:rFonts w:asciiTheme="minorHAnsi" w:eastAsiaTheme="minorEastAsia" w:hAnsiTheme="minorHAnsi" w:cstheme="minorBidi"/>
              <w:b w:val="0"/>
              <w:bCs w:val="0"/>
              <w:caps w:val="0"/>
              <w:noProof/>
              <w:szCs w:val="22"/>
              <w:lang w:val="nl-NL"/>
            </w:rPr>
          </w:pPr>
          <w:r w:rsidRPr="00536807">
            <w:rPr>
              <w:b w:val="0"/>
              <w:bCs w:val="0"/>
              <w:caps w:val="0"/>
              <w:lang w:val="nl-NL"/>
            </w:rPr>
            <w:fldChar w:fldCharType="begin"/>
          </w:r>
          <w:r w:rsidR="00EE304F" w:rsidRPr="00094532">
            <w:rPr>
              <w:b w:val="0"/>
              <w:bCs w:val="0"/>
              <w:caps w:val="0"/>
            </w:rPr>
            <w:instrText xml:space="preserve"> TOC \o "1-3" \h \z \u </w:instrText>
          </w:r>
          <w:r w:rsidRPr="00536807">
            <w:rPr>
              <w:b w:val="0"/>
              <w:bCs w:val="0"/>
              <w:caps w:val="0"/>
              <w:lang w:val="nl-NL"/>
            </w:rPr>
            <w:fldChar w:fldCharType="separate"/>
          </w:r>
          <w:hyperlink w:anchor="_Toc287614152" w:history="1">
            <w:r w:rsidR="00181EE5" w:rsidRPr="003738B0">
              <w:rPr>
                <w:rStyle w:val="Hyperlink"/>
                <w:rFonts w:cs="Times New Roman"/>
                <w:noProof/>
              </w:rPr>
              <w:t>1. INTRODUCTION</w:t>
            </w:r>
            <w:r w:rsidR="00181EE5">
              <w:rPr>
                <w:noProof/>
                <w:webHidden/>
              </w:rPr>
              <w:tab/>
            </w:r>
            <w:r w:rsidR="00181EE5">
              <w:rPr>
                <w:noProof/>
                <w:webHidden/>
              </w:rPr>
              <w:fldChar w:fldCharType="begin"/>
            </w:r>
            <w:r w:rsidR="00181EE5">
              <w:rPr>
                <w:noProof/>
                <w:webHidden/>
              </w:rPr>
              <w:instrText xml:space="preserve"> PAGEREF _Toc287614152 \h </w:instrText>
            </w:r>
            <w:r w:rsidR="00181EE5">
              <w:rPr>
                <w:noProof/>
                <w:webHidden/>
              </w:rPr>
            </w:r>
            <w:r w:rsidR="00181EE5">
              <w:rPr>
                <w:noProof/>
                <w:webHidden/>
              </w:rPr>
              <w:fldChar w:fldCharType="separate"/>
            </w:r>
            <w:r w:rsidR="00181EE5">
              <w:rPr>
                <w:noProof/>
                <w:webHidden/>
              </w:rPr>
              <w:t>5</w:t>
            </w:r>
            <w:r w:rsidR="00181EE5">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3" w:history="1">
            <w:r w:rsidRPr="003738B0">
              <w:rPr>
                <w:rStyle w:val="Hyperlink"/>
                <w:noProof/>
              </w:rPr>
              <w:t>1.1 Background</w:t>
            </w:r>
            <w:r>
              <w:rPr>
                <w:noProof/>
                <w:webHidden/>
              </w:rPr>
              <w:tab/>
            </w:r>
            <w:r>
              <w:rPr>
                <w:noProof/>
                <w:webHidden/>
              </w:rPr>
              <w:fldChar w:fldCharType="begin"/>
            </w:r>
            <w:r>
              <w:rPr>
                <w:noProof/>
                <w:webHidden/>
              </w:rPr>
              <w:instrText xml:space="preserve"> PAGEREF _Toc287614153 \h </w:instrText>
            </w:r>
            <w:r>
              <w:rPr>
                <w:noProof/>
                <w:webHidden/>
              </w:rPr>
            </w:r>
            <w:r>
              <w:rPr>
                <w:noProof/>
                <w:webHidden/>
              </w:rPr>
              <w:fldChar w:fldCharType="separate"/>
            </w:r>
            <w:r>
              <w:rPr>
                <w:noProof/>
                <w:webHidden/>
              </w:rPr>
              <w:t>5</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4" w:history="1">
            <w:r w:rsidRPr="003738B0">
              <w:rPr>
                <w:rStyle w:val="Hyperlink"/>
                <w:noProof/>
              </w:rPr>
              <w:t>1.2 Problem statement</w:t>
            </w:r>
            <w:r>
              <w:rPr>
                <w:noProof/>
                <w:webHidden/>
              </w:rPr>
              <w:tab/>
            </w:r>
            <w:r>
              <w:rPr>
                <w:noProof/>
                <w:webHidden/>
              </w:rPr>
              <w:fldChar w:fldCharType="begin"/>
            </w:r>
            <w:r>
              <w:rPr>
                <w:noProof/>
                <w:webHidden/>
              </w:rPr>
              <w:instrText xml:space="preserve"> PAGEREF _Toc287614154 \h </w:instrText>
            </w:r>
            <w:r>
              <w:rPr>
                <w:noProof/>
                <w:webHidden/>
              </w:rPr>
            </w:r>
            <w:r>
              <w:rPr>
                <w:noProof/>
                <w:webHidden/>
              </w:rPr>
              <w:fldChar w:fldCharType="separate"/>
            </w:r>
            <w:r>
              <w:rPr>
                <w:noProof/>
                <w:webHidden/>
              </w:rPr>
              <w:t>6</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5" w:history="1">
            <w:r w:rsidRPr="003738B0">
              <w:rPr>
                <w:rStyle w:val="Hyperlink"/>
                <w:noProof/>
              </w:rPr>
              <w:t>1.3 Methodology</w:t>
            </w:r>
            <w:r>
              <w:rPr>
                <w:noProof/>
                <w:webHidden/>
              </w:rPr>
              <w:tab/>
            </w:r>
            <w:r>
              <w:rPr>
                <w:noProof/>
                <w:webHidden/>
              </w:rPr>
              <w:fldChar w:fldCharType="begin"/>
            </w:r>
            <w:r>
              <w:rPr>
                <w:noProof/>
                <w:webHidden/>
              </w:rPr>
              <w:instrText xml:space="preserve"> PAGEREF _Toc287614155 \h </w:instrText>
            </w:r>
            <w:r>
              <w:rPr>
                <w:noProof/>
                <w:webHidden/>
              </w:rPr>
            </w:r>
            <w:r>
              <w:rPr>
                <w:noProof/>
                <w:webHidden/>
              </w:rPr>
              <w:fldChar w:fldCharType="separate"/>
            </w:r>
            <w:r>
              <w:rPr>
                <w:noProof/>
                <w:webHidden/>
              </w:rPr>
              <w:t>6</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6" w:history="1">
            <w:r w:rsidRPr="003738B0">
              <w:rPr>
                <w:rStyle w:val="Hyperlink"/>
                <w:noProof/>
              </w:rPr>
              <w:t>1.4 Structure</w:t>
            </w:r>
            <w:r>
              <w:rPr>
                <w:noProof/>
                <w:webHidden/>
              </w:rPr>
              <w:tab/>
            </w:r>
            <w:r>
              <w:rPr>
                <w:noProof/>
                <w:webHidden/>
              </w:rPr>
              <w:fldChar w:fldCharType="begin"/>
            </w:r>
            <w:r>
              <w:rPr>
                <w:noProof/>
                <w:webHidden/>
              </w:rPr>
              <w:instrText xml:space="preserve"> PAGEREF _Toc287614156 \h </w:instrText>
            </w:r>
            <w:r>
              <w:rPr>
                <w:noProof/>
                <w:webHidden/>
              </w:rPr>
            </w:r>
            <w:r>
              <w:rPr>
                <w:noProof/>
                <w:webHidden/>
              </w:rPr>
              <w:fldChar w:fldCharType="separate"/>
            </w:r>
            <w:r>
              <w:rPr>
                <w:noProof/>
                <w:webHidden/>
              </w:rPr>
              <w:t>7</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57" w:history="1">
            <w:r w:rsidRPr="003738B0">
              <w:rPr>
                <w:rStyle w:val="Hyperlink"/>
                <w:rFonts w:cs="Times New Roman"/>
                <w:noProof/>
              </w:rPr>
              <w:t>2. EQUITY INCENTIVES</w:t>
            </w:r>
            <w:r>
              <w:rPr>
                <w:noProof/>
                <w:webHidden/>
              </w:rPr>
              <w:tab/>
            </w:r>
            <w:r>
              <w:rPr>
                <w:noProof/>
                <w:webHidden/>
              </w:rPr>
              <w:fldChar w:fldCharType="begin"/>
            </w:r>
            <w:r>
              <w:rPr>
                <w:noProof/>
                <w:webHidden/>
              </w:rPr>
              <w:instrText xml:space="preserve"> PAGEREF _Toc287614157 \h </w:instrText>
            </w:r>
            <w:r>
              <w:rPr>
                <w:noProof/>
                <w:webHidden/>
              </w:rPr>
            </w:r>
            <w:r>
              <w:rPr>
                <w:noProof/>
                <w:webHidden/>
              </w:rPr>
              <w:fldChar w:fldCharType="separate"/>
            </w:r>
            <w:r>
              <w:rPr>
                <w:noProof/>
                <w:webHidden/>
              </w:rPr>
              <w:t>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8" w:history="1">
            <w:r w:rsidRPr="003738B0">
              <w:rPr>
                <w:rStyle w:val="Hyperlink"/>
                <w:noProof/>
              </w:rPr>
              <w:t>2.1 What are equity incentives?</w:t>
            </w:r>
            <w:r>
              <w:rPr>
                <w:noProof/>
                <w:webHidden/>
              </w:rPr>
              <w:tab/>
            </w:r>
            <w:r>
              <w:rPr>
                <w:noProof/>
                <w:webHidden/>
              </w:rPr>
              <w:fldChar w:fldCharType="begin"/>
            </w:r>
            <w:r>
              <w:rPr>
                <w:noProof/>
                <w:webHidden/>
              </w:rPr>
              <w:instrText xml:space="preserve"> PAGEREF _Toc287614158 \h </w:instrText>
            </w:r>
            <w:r>
              <w:rPr>
                <w:noProof/>
                <w:webHidden/>
              </w:rPr>
            </w:r>
            <w:r>
              <w:rPr>
                <w:noProof/>
                <w:webHidden/>
              </w:rPr>
              <w:fldChar w:fldCharType="separate"/>
            </w:r>
            <w:r>
              <w:rPr>
                <w:noProof/>
                <w:webHidden/>
              </w:rPr>
              <w:t>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59" w:history="1">
            <w:r w:rsidRPr="003738B0">
              <w:rPr>
                <w:rStyle w:val="Hyperlink"/>
                <w:noProof/>
              </w:rPr>
              <w:t>2.2 Why are managers given equity incentives?</w:t>
            </w:r>
            <w:r>
              <w:rPr>
                <w:noProof/>
                <w:webHidden/>
              </w:rPr>
              <w:tab/>
            </w:r>
            <w:r>
              <w:rPr>
                <w:noProof/>
                <w:webHidden/>
              </w:rPr>
              <w:fldChar w:fldCharType="begin"/>
            </w:r>
            <w:r>
              <w:rPr>
                <w:noProof/>
                <w:webHidden/>
              </w:rPr>
              <w:instrText xml:space="preserve"> PAGEREF _Toc287614159 \h </w:instrText>
            </w:r>
            <w:r>
              <w:rPr>
                <w:noProof/>
                <w:webHidden/>
              </w:rPr>
            </w:r>
            <w:r>
              <w:rPr>
                <w:noProof/>
                <w:webHidden/>
              </w:rPr>
              <w:fldChar w:fldCharType="separate"/>
            </w:r>
            <w:r>
              <w:rPr>
                <w:noProof/>
                <w:webHidden/>
              </w:rPr>
              <w:t>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0" w:history="1">
            <w:r w:rsidRPr="003738B0">
              <w:rPr>
                <w:rStyle w:val="Hyperlink"/>
                <w:noProof/>
              </w:rPr>
              <w:t>2.3 The setting and disclosure of compensation</w:t>
            </w:r>
            <w:r>
              <w:rPr>
                <w:noProof/>
                <w:webHidden/>
              </w:rPr>
              <w:tab/>
            </w:r>
            <w:r>
              <w:rPr>
                <w:noProof/>
                <w:webHidden/>
              </w:rPr>
              <w:fldChar w:fldCharType="begin"/>
            </w:r>
            <w:r>
              <w:rPr>
                <w:noProof/>
                <w:webHidden/>
              </w:rPr>
              <w:instrText xml:space="preserve"> PAGEREF _Toc287614160 \h </w:instrText>
            </w:r>
            <w:r>
              <w:rPr>
                <w:noProof/>
                <w:webHidden/>
              </w:rPr>
            </w:r>
            <w:r>
              <w:rPr>
                <w:noProof/>
                <w:webHidden/>
              </w:rPr>
              <w:fldChar w:fldCharType="separate"/>
            </w:r>
            <w:r>
              <w:rPr>
                <w:noProof/>
                <w:webHidden/>
              </w:rPr>
              <w:t>10</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1" w:history="1">
            <w:r w:rsidRPr="003738B0">
              <w:rPr>
                <w:rStyle w:val="Hyperlink"/>
                <w:noProof/>
              </w:rPr>
              <w:t>2.4 Equity incentives and earnings manipulation</w:t>
            </w:r>
            <w:r>
              <w:rPr>
                <w:noProof/>
                <w:webHidden/>
              </w:rPr>
              <w:tab/>
            </w:r>
            <w:r>
              <w:rPr>
                <w:noProof/>
                <w:webHidden/>
              </w:rPr>
              <w:fldChar w:fldCharType="begin"/>
            </w:r>
            <w:r>
              <w:rPr>
                <w:noProof/>
                <w:webHidden/>
              </w:rPr>
              <w:instrText xml:space="preserve"> PAGEREF _Toc287614161 \h </w:instrText>
            </w:r>
            <w:r>
              <w:rPr>
                <w:noProof/>
                <w:webHidden/>
              </w:rPr>
            </w:r>
            <w:r>
              <w:rPr>
                <w:noProof/>
                <w:webHidden/>
              </w:rPr>
              <w:fldChar w:fldCharType="separate"/>
            </w:r>
            <w:r>
              <w:rPr>
                <w:noProof/>
                <w:webHidden/>
              </w:rPr>
              <w:t>10</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2" w:history="1">
            <w:r w:rsidRPr="003738B0">
              <w:rPr>
                <w:rStyle w:val="Hyperlink"/>
                <w:noProof/>
              </w:rPr>
              <w:t>2.5 Equity-based compensation in banks</w:t>
            </w:r>
            <w:r>
              <w:rPr>
                <w:noProof/>
                <w:webHidden/>
              </w:rPr>
              <w:tab/>
            </w:r>
            <w:r>
              <w:rPr>
                <w:noProof/>
                <w:webHidden/>
              </w:rPr>
              <w:fldChar w:fldCharType="begin"/>
            </w:r>
            <w:r>
              <w:rPr>
                <w:noProof/>
                <w:webHidden/>
              </w:rPr>
              <w:instrText xml:space="preserve"> PAGEREF _Toc287614162 \h </w:instrText>
            </w:r>
            <w:r>
              <w:rPr>
                <w:noProof/>
                <w:webHidden/>
              </w:rPr>
            </w:r>
            <w:r>
              <w:rPr>
                <w:noProof/>
                <w:webHidden/>
              </w:rPr>
              <w:fldChar w:fldCharType="separate"/>
            </w:r>
            <w:r>
              <w:rPr>
                <w:noProof/>
                <w:webHidden/>
              </w:rPr>
              <w:t>11</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3" w:history="1">
            <w:r w:rsidRPr="003738B0">
              <w:rPr>
                <w:rStyle w:val="Hyperlink"/>
                <w:noProof/>
              </w:rPr>
              <w:t>2.6 Summery and conclusion</w:t>
            </w:r>
            <w:r>
              <w:rPr>
                <w:noProof/>
                <w:webHidden/>
              </w:rPr>
              <w:tab/>
            </w:r>
            <w:r>
              <w:rPr>
                <w:noProof/>
                <w:webHidden/>
              </w:rPr>
              <w:fldChar w:fldCharType="begin"/>
            </w:r>
            <w:r>
              <w:rPr>
                <w:noProof/>
                <w:webHidden/>
              </w:rPr>
              <w:instrText xml:space="preserve"> PAGEREF _Toc287614163 \h </w:instrText>
            </w:r>
            <w:r>
              <w:rPr>
                <w:noProof/>
                <w:webHidden/>
              </w:rPr>
            </w:r>
            <w:r>
              <w:rPr>
                <w:noProof/>
                <w:webHidden/>
              </w:rPr>
              <w:fldChar w:fldCharType="separate"/>
            </w:r>
            <w:r>
              <w:rPr>
                <w:noProof/>
                <w:webHidden/>
              </w:rPr>
              <w:t>12</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64" w:history="1">
            <w:r w:rsidRPr="003738B0">
              <w:rPr>
                <w:rStyle w:val="Hyperlink"/>
                <w:rFonts w:cs="Times New Roman"/>
                <w:noProof/>
              </w:rPr>
              <w:t>3. EARNINGS MANAGEMENT</w:t>
            </w:r>
            <w:r>
              <w:rPr>
                <w:noProof/>
                <w:webHidden/>
              </w:rPr>
              <w:tab/>
            </w:r>
            <w:r>
              <w:rPr>
                <w:noProof/>
                <w:webHidden/>
              </w:rPr>
              <w:fldChar w:fldCharType="begin"/>
            </w:r>
            <w:r>
              <w:rPr>
                <w:noProof/>
                <w:webHidden/>
              </w:rPr>
              <w:instrText xml:space="preserve"> PAGEREF _Toc287614164 \h </w:instrText>
            </w:r>
            <w:r>
              <w:rPr>
                <w:noProof/>
                <w:webHidden/>
              </w:rPr>
            </w:r>
            <w:r>
              <w:rPr>
                <w:noProof/>
                <w:webHidden/>
              </w:rPr>
              <w:fldChar w:fldCharType="separate"/>
            </w:r>
            <w:r>
              <w:rPr>
                <w:noProof/>
                <w:webHidden/>
              </w:rPr>
              <w:t>13</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5" w:history="1">
            <w:r w:rsidRPr="003738B0">
              <w:rPr>
                <w:rStyle w:val="Hyperlink"/>
                <w:noProof/>
              </w:rPr>
              <w:t>3.1 Earnings management defined</w:t>
            </w:r>
            <w:r>
              <w:rPr>
                <w:noProof/>
                <w:webHidden/>
              </w:rPr>
              <w:tab/>
            </w:r>
            <w:r>
              <w:rPr>
                <w:noProof/>
                <w:webHidden/>
              </w:rPr>
              <w:fldChar w:fldCharType="begin"/>
            </w:r>
            <w:r>
              <w:rPr>
                <w:noProof/>
                <w:webHidden/>
              </w:rPr>
              <w:instrText xml:space="preserve"> PAGEREF _Toc287614165 \h </w:instrText>
            </w:r>
            <w:r>
              <w:rPr>
                <w:noProof/>
                <w:webHidden/>
              </w:rPr>
            </w:r>
            <w:r>
              <w:rPr>
                <w:noProof/>
                <w:webHidden/>
              </w:rPr>
              <w:fldChar w:fldCharType="separate"/>
            </w:r>
            <w:r>
              <w:rPr>
                <w:noProof/>
                <w:webHidden/>
              </w:rPr>
              <w:t>13</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6" w:history="1">
            <w:r w:rsidRPr="003738B0">
              <w:rPr>
                <w:rStyle w:val="Hyperlink"/>
                <w:noProof/>
              </w:rPr>
              <w:t>3.2 Accrual accounting</w:t>
            </w:r>
            <w:r>
              <w:rPr>
                <w:noProof/>
                <w:webHidden/>
              </w:rPr>
              <w:tab/>
            </w:r>
            <w:r>
              <w:rPr>
                <w:noProof/>
                <w:webHidden/>
              </w:rPr>
              <w:fldChar w:fldCharType="begin"/>
            </w:r>
            <w:r>
              <w:rPr>
                <w:noProof/>
                <w:webHidden/>
              </w:rPr>
              <w:instrText xml:space="preserve"> PAGEREF _Toc287614166 \h </w:instrText>
            </w:r>
            <w:r>
              <w:rPr>
                <w:noProof/>
                <w:webHidden/>
              </w:rPr>
            </w:r>
            <w:r>
              <w:rPr>
                <w:noProof/>
                <w:webHidden/>
              </w:rPr>
              <w:fldChar w:fldCharType="separate"/>
            </w:r>
            <w:r>
              <w:rPr>
                <w:noProof/>
                <w:webHidden/>
              </w:rPr>
              <w:t>14</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7" w:history="1">
            <w:r w:rsidRPr="003738B0">
              <w:rPr>
                <w:rStyle w:val="Hyperlink"/>
                <w:noProof/>
              </w:rPr>
              <w:t>3.3 Importance of earnings</w:t>
            </w:r>
            <w:r>
              <w:rPr>
                <w:noProof/>
                <w:webHidden/>
              </w:rPr>
              <w:tab/>
            </w:r>
            <w:r>
              <w:rPr>
                <w:noProof/>
                <w:webHidden/>
              </w:rPr>
              <w:fldChar w:fldCharType="begin"/>
            </w:r>
            <w:r>
              <w:rPr>
                <w:noProof/>
                <w:webHidden/>
              </w:rPr>
              <w:instrText xml:space="preserve"> PAGEREF _Toc287614167 \h </w:instrText>
            </w:r>
            <w:r>
              <w:rPr>
                <w:noProof/>
                <w:webHidden/>
              </w:rPr>
            </w:r>
            <w:r>
              <w:rPr>
                <w:noProof/>
                <w:webHidden/>
              </w:rPr>
              <w:fldChar w:fldCharType="separate"/>
            </w:r>
            <w:r>
              <w:rPr>
                <w:noProof/>
                <w:webHidden/>
              </w:rPr>
              <w:t>15</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8" w:history="1">
            <w:r w:rsidRPr="003738B0">
              <w:rPr>
                <w:rStyle w:val="Hyperlink"/>
                <w:noProof/>
              </w:rPr>
              <w:t>3.4 Motives for earnings management</w:t>
            </w:r>
            <w:r>
              <w:rPr>
                <w:noProof/>
                <w:webHidden/>
              </w:rPr>
              <w:tab/>
            </w:r>
            <w:r>
              <w:rPr>
                <w:noProof/>
                <w:webHidden/>
              </w:rPr>
              <w:fldChar w:fldCharType="begin"/>
            </w:r>
            <w:r>
              <w:rPr>
                <w:noProof/>
                <w:webHidden/>
              </w:rPr>
              <w:instrText xml:space="preserve"> PAGEREF _Toc287614168 \h </w:instrText>
            </w:r>
            <w:r>
              <w:rPr>
                <w:noProof/>
                <w:webHidden/>
              </w:rPr>
            </w:r>
            <w:r>
              <w:rPr>
                <w:noProof/>
                <w:webHidden/>
              </w:rPr>
              <w:fldChar w:fldCharType="separate"/>
            </w:r>
            <w:r>
              <w:rPr>
                <w:noProof/>
                <w:webHidden/>
              </w:rPr>
              <w:t>15</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69" w:history="1">
            <w:r w:rsidRPr="003738B0">
              <w:rPr>
                <w:rStyle w:val="Hyperlink"/>
                <w:noProof/>
              </w:rPr>
              <w:t>3.5 How to measure earnings management?</w:t>
            </w:r>
            <w:r>
              <w:rPr>
                <w:noProof/>
                <w:webHidden/>
              </w:rPr>
              <w:tab/>
            </w:r>
            <w:r>
              <w:rPr>
                <w:noProof/>
                <w:webHidden/>
              </w:rPr>
              <w:fldChar w:fldCharType="begin"/>
            </w:r>
            <w:r>
              <w:rPr>
                <w:noProof/>
                <w:webHidden/>
              </w:rPr>
              <w:instrText xml:space="preserve"> PAGEREF _Toc287614169 \h </w:instrText>
            </w:r>
            <w:r>
              <w:rPr>
                <w:noProof/>
                <w:webHidden/>
              </w:rPr>
            </w:r>
            <w:r>
              <w:rPr>
                <w:noProof/>
                <w:webHidden/>
              </w:rPr>
              <w:fldChar w:fldCharType="separate"/>
            </w:r>
            <w:r>
              <w:rPr>
                <w:noProof/>
                <w:webHidden/>
              </w:rPr>
              <w:t>17</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70" w:history="1">
            <w:r w:rsidRPr="003738B0">
              <w:rPr>
                <w:rStyle w:val="Hyperlink"/>
                <w:noProof/>
              </w:rPr>
              <w:t>3.6 Earnings management in the banking industry</w:t>
            </w:r>
            <w:r>
              <w:rPr>
                <w:noProof/>
                <w:webHidden/>
              </w:rPr>
              <w:tab/>
            </w:r>
            <w:r>
              <w:rPr>
                <w:noProof/>
                <w:webHidden/>
              </w:rPr>
              <w:fldChar w:fldCharType="begin"/>
            </w:r>
            <w:r>
              <w:rPr>
                <w:noProof/>
                <w:webHidden/>
              </w:rPr>
              <w:instrText xml:space="preserve"> PAGEREF _Toc287614170 \h </w:instrText>
            </w:r>
            <w:r>
              <w:rPr>
                <w:noProof/>
                <w:webHidden/>
              </w:rPr>
            </w:r>
            <w:r>
              <w:rPr>
                <w:noProof/>
                <w:webHidden/>
              </w:rPr>
              <w:fldChar w:fldCharType="separate"/>
            </w:r>
            <w:r>
              <w:rPr>
                <w:noProof/>
                <w:webHidden/>
              </w:rPr>
              <w:t>19</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71" w:history="1">
            <w:r w:rsidRPr="003738B0">
              <w:rPr>
                <w:rStyle w:val="Hyperlink"/>
                <w:i/>
                <w:noProof/>
              </w:rPr>
              <w:t>3.6.1 Regulation</w:t>
            </w:r>
            <w:r>
              <w:rPr>
                <w:noProof/>
                <w:webHidden/>
              </w:rPr>
              <w:tab/>
            </w:r>
            <w:r>
              <w:rPr>
                <w:noProof/>
                <w:webHidden/>
              </w:rPr>
              <w:fldChar w:fldCharType="begin"/>
            </w:r>
            <w:r>
              <w:rPr>
                <w:noProof/>
                <w:webHidden/>
              </w:rPr>
              <w:instrText xml:space="preserve"> PAGEREF _Toc287614171 \h </w:instrText>
            </w:r>
            <w:r>
              <w:rPr>
                <w:noProof/>
                <w:webHidden/>
              </w:rPr>
            </w:r>
            <w:r>
              <w:rPr>
                <w:noProof/>
                <w:webHidden/>
              </w:rPr>
              <w:fldChar w:fldCharType="separate"/>
            </w:r>
            <w:r>
              <w:rPr>
                <w:noProof/>
                <w:webHidden/>
              </w:rPr>
              <w:t>19</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72" w:history="1">
            <w:r w:rsidRPr="003738B0">
              <w:rPr>
                <w:rStyle w:val="Hyperlink"/>
                <w:i/>
                <w:noProof/>
              </w:rPr>
              <w:t>3.6.2 Loan loss provisions and motivations</w:t>
            </w:r>
            <w:r>
              <w:rPr>
                <w:noProof/>
                <w:webHidden/>
              </w:rPr>
              <w:tab/>
            </w:r>
            <w:r>
              <w:rPr>
                <w:noProof/>
                <w:webHidden/>
              </w:rPr>
              <w:fldChar w:fldCharType="begin"/>
            </w:r>
            <w:r>
              <w:rPr>
                <w:noProof/>
                <w:webHidden/>
              </w:rPr>
              <w:instrText xml:space="preserve"> PAGEREF _Toc287614172 \h </w:instrText>
            </w:r>
            <w:r>
              <w:rPr>
                <w:noProof/>
                <w:webHidden/>
              </w:rPr>
            </w:r>
            <w:r>
              <w:rPr>
                <w:noProof/>
                <w:webHidden/>
              </w:rPr>
              <w:fldChar w:fldCharType="separate"/>
            </w:r>
            <w:r>
              <w:rPr>
                <w:noProof/>
                <w:webHidden/>
              </w:rPr>
              <w:t>21</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73" w:history="1">
            <w:r w:rsidRPr="003738B0">
              <w:rPr>
                <w:rStyle w:val="Hyperlink"/>
                <w:noProof/>
              </w:rPr>
              <w:t>3.7 How to measure earnings management in banks</w:t>
            </w:r>
            <w:r>
              <w:rPr>
                <w:noProof/>
                <w:webHidden/>
              </w:rPr>
              <w:tab/>
            </w:r>
            <w:r>
              <w:rPr>
                <w:noProof/>
                <w:webHidden/>
              </w:rPr>
              <w:fldChar w:fldCharType="begin"/>
            </w:r>
            <w:r>
              <w:rPr>
                <w:noProof/>
                <w:webHidden/>
              </w:rPr>
              <w:instrText xml:space="preserve"> PAGEREF _Toc287614173 \h </w:instrText>
            </w:r>
            <w:r>
              <w:rPr>
                <w:noProof/>
                <w:webHidden/>
              </w:rPr>
            </w:r>
            <w:r>
              <w:rPr>
                <w:noProof/>
                <w:webHidden/>
              </w:rPr>
              <w:fldChar w:fldCharType="separate"/>
            </w:r>
            <w:r>
              <w:rPr>
                <w:noProof/>
                <w:webHidden/>
              </w:rPr>
              <w:t>22</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74" w:history="1">
            <w:r w:rsidRPr="003738B0">
              <w:rPr>
                <w:rStyle w:val="Hyperlink"/>
                <w:noProof/>
              </w:rPr>
              <w:t>3.8 Summary and conclusion</w:t>
            </w:r>
            <w:r>
              <w:rPr>
                <w:noProof/>
                <w:webHidden/>
              </w:rPr>
              <w:tab/>
            </w:r>
            <w:r>
              <w:rPr>
                <w:noProof/>
                <w:webHidden/>
              </w:rPr>
              <w:fldChar w:fldCharType="begin"/>
            </w:r>
            <w:r>
              <w:rPr>
                <w:noProof/>
                <w:webHidden/>
              </w:rPr>
              <w:instrText xml:space="preserve"> PAGEREF _Toc287614174 \h </w:instrText>
            </w:r>
            <w:r>
              <w:rPr>
                <w:noProof/>
                <w:webHidden/>
              </w:rPr>
            </w:r>
            <w:r>
              <w:rPr>
                <w:noProof/>
                <w:webHidden/>
              </w:rPr>
              <w:fldChar w:fldCharType="separate"/>
            </w:r>
            <w:r>
              <w:rPr>
                <w:noProof/>
                <w:webHidden/>
              </w:rPr>
              <w:t>24</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75" w:history="1">
            <w:r w:rsidRPr="003738B0">
              <w:rPr>
                <w:rStyle w:val="Hyperlink"/>
                <w:noProof/>
              </w:rPr>
              <w:t>4. PRIOR EMPIRICAL RESEARCH</w:t>
            </w:r>
            <w:r>
              <w:rPr>
                <w:noProof/>
                <w:webHidden/>
              </w:rPr>
              <w:tab/>
            </w:r>
            <w:r>
              <w:rPr>
                <w:noProof/>
                <w:webHidden/>
              </w:rPr>
              <w:fldChar w:fldCharType="begin"/>
            </w:r>
            <w:r>
              <w:rPr>
                <w:noProof/>
                <w:webHidden/>
              </w:rPr>
              <w:instrText xml:space="preserve"> PAGEREF _Toc287614175 \h </w:instrText>
            </w:r>
            <w:r>
              <w:rPr>
                <w:noProof/>
                <w:webHidden/>
              </w:rPr>
            </w:r>
            <w:r>
              <w:rPr>
                <w:noProof/>
                <w:webHidden/>
              </w:rPr>
              <w:fldChar w:fldCharType="separate"/>
            </w:r>
            <w:r>
              <w:rPr>
                <w:noProof/>
                <w:webHidden/>
              </w:rPr>
              <w:t>25</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76" w:history="1">
            <w:r w:rsidRPr="003738B0">
              <w:rPr>
                <w:rStyle w:val="Hyperlink"/>
                <w:noProof/>
              </w:rPr>
              <w:t>4.1 CEO equity incentives and earnings management</w:t>
            </w:r>
            <w:r>
              <w:rPr>
                <w:noProof/>
                <w:webHidden/>
              </w:rPr>
              <w:tab/>
            </w:r>
            <w:r>
              <w:rPr>
                <w:noProof/>
                <w:webHidden/>
              </w:rPr>
              <w:fldChar w:fldCharType="begin"/>
            </w:r>
            <w:r>
              <w:rPr>
                <w:noProof/>
                <w:webHidden/>
              </w:rPr>
              <w:instrText xml:space="preserve"> PAGEREF _Toc287614176 \h </w:instrText>
            </w:r>
            <w:r>
              <w:rPr>
                <w:noProof/>
                <w:webHidden/>
              </w:rPr>
            </w:r>
            <w:r>
              <w:rPr>
                <w:noProof/>
                <w:webHidden/>
              </w:rPr>
              <w:fldChar w:fldCharType="separate"/>
            </w:r>
            <w:r>
              <w:rPr>
                <w:noProof/>
                <w:webHidden/>
              </w:rPr>
              <w:t>25</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77" w:history="1">
            <w:r w:rsidRPr="003738B0">
              <w:rPr>
                <w:rStyle w:val="Hyperlink"/>
                <w:i/>
                <w:noProof/>
              </w:rPr>
              <w:t>4.1.1 Cheng and Warfield (2005)</w:t>
            </w:r>
            <w:r>
              <w:rPr>
                <w:noProof/>
                <w:webHidden/>
              </w:rPr>
              <w:tab/>
            </w:r>
            <w:r>
              <w:rPr>
                <w:noProof/>
                <w:webHidden/>
              </w:rPr>
              <w:fldChar w:fldCharType="begin"/>
            </w:r>
            <w:r>
              <w:rPr>
                <w:noProof/>
                <w:webHidden/>
              </w:rPr>
              <w:instrText xml:space="preserve"> PAGEREF _Toc287614177 \h </w:instrText>
            </w:r>
            <w:r>
              <w:rPr>
                <w:noProof/>
                <w:webHidden/>
              </w:rPr>
            </w:r>
            <w:r>
              <w:rPr>
                <w:noProof/>
                <w:webHidden/>
              </w:rPr>
              <w:fldChar w:fldCharType="separate"/>
            </w:r>
            <w:r>
              <w:rPr>
                <w:noProof/>
                <w:webHidden/>
              </w:rPr>
              <w:t>25</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78" w:history="1">
            <w:r w:rsidRPr="003738B0">
              <w:rPr>
                <w:rStyle w:val="Hyperlink"/>
                <w:i/>
                <w:noProof/>
              </w:rPr>
              <w:t>4.1.2 Bergstresser and Philippon (2006)</w:t>
            </w:r>
            <w:r>
              <w:rPr>
                <w:noProof/>
                <w:webHidden/>
              </w:rPr>
              <w:tab/>
            </w:r>
            <w:r>
              <w:rPr>
                <w:noProof/>
                <w:webHidden/>
              </w:rPr>
              <w:fldChar w:fldCharType="begin"/>
            </w:r>
            <w:r>
              <w:rPr>
                <w:noProof/>
                <w:webHidden/>
              </w:rPr>
              <w:instrText xml:space="preserve"> PAGEREF _Toc287614178 \h </w:instrText>
            </w:r>
            <w:r>
              <w:rPr>
                <w:noProof/>
                <w:webHidden/>
              </w:rPr>
            </w:r>
            <w:r>
              <w:rPr>
                <w:noProof/>
                <w:webHidden/>
              </w:rPr>
              <w:fldChar w:fldCharType="separate"/>
            </w:r>
            <w:r>
              <w:rPr>
                <w:noProof/>
                <w:webHidden/>
              </w:rPr>
              <w:t>25</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79" w:history="1">
            <w:r w:rsidRPr="003738B0">
              <w:rPr>
                <w:rStyle w:val="Hyperlink"/>
                <w:i/>
                <w:noProof/>
              </w:rPr>
              <w:t>4.1.3 Cornett, Marcus and Tehranian (2008)</w:t>
            </w:r>
            <w:r>
              <w:rPr>
                <w:noProof/>
                <w:webHidden/>
              </w:rPr>
              <w:tab/>
            </w:r>
            <w:r>
              <w:rPr>
                <w:noProof/>
                <w:webHidden/>
              </w:rPr>
              <w:fldChar w:fldCharType="begin"/>
            </w:r>
            <w:r>
              <w:rPr>
                <w:noProof/>
                <w:webHidden/>
              </w:rPr>
              <w:instrText xml:space="preserve"> PAGEREF _Toc287614179 \h </w:instrText>
            </w:r>
            <w:r>
              <w:rPr>
                <w:noProof/>
                <w:webHidden/>
              </w:rPr>
            </w:r>
            <w:r>
              <w:rPr>
                <w:noProof/>
                <w:webHidden/>
              </w:rPr>
              <w:fldChar w:fldCharType="separate"/>
            </w:r>
            <w:r>
              <w:rPr>
                <w:noProof/>
                <w:webHidden/>
              </w:rPr>
              <w:t>26</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80" w:history="1">
            <w:r w:rsidRPr="003738B0">
              <w:rPr>
                <w:rStyle w:val="Hyperlink"/>
                <w:i/>
                <w:noProof/>
              </w:rPr>
              <w:t>4.1.4 Ahmed, Duellman and Abdel-Meguid (2008)</w:t>
            </w:r>
            <w:r>
              <w:rPr>
                <w:noProof/>
                <w:webHidden/>
              </w:rPr>
              <w:tab/>
            </w:r>
            <w:r>
              <w:rPr>
                <w:noProof/>
                <w:webHidden/>
              </w:rPr>
              <w:fldChar w:fldCharType="begin"/>
            </w:r>
            <w:r>
              <w:rPr>
                <w:noProof/>
                <w:webHidden/>
              </w:rPr>
              <w:instrText xml:space="preserve"> PAGEREF _Toc287614180 \h </w:instrText>
            </w:r>
            <w:r>
              <w:rPr>
                <w:noProof/>
                <w:webHidden/>
              </w:rPr>
            </w:r>
            <w:r>
              <w:rPr>
                <w:noProof/>
                <w:webHidden/>
              </w:rPr>
              <w:fldChar w:fldCharType="separate"/>
            </w:r>
            <w:r>
              <w:rPr>
                <w:noProof/>
                <w:webHidden/>
              </w:rPr>
              <w:t>26</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81" w:history="1">
            <w:r w:rsidRPr="003738B0">
              <w:rPr>
                <w:rStyle w:val="Hyperlink"/>
                <w:noProof/>
              </w:rPr>
              <w:t>4.2 CFO equity incentives and earnings management</w:t>
            </w:r>
            <w:r>
              <w:rPr>
                <w:noProof/>
                <w:webHidden/>
              </w:rPr>
              <w:tab/>
            </w:r>
            <w:r>
              <w:rPr>
                <w:noProof/>
                <w:webHidden/>
              </w:rPr>
              <w:fldChar w:fldCharType="begin"/>
            </w:r>
            <w:r>
              <w:rPr>
                <w:noProof/>
                <w:webHidden/>
              </w:rPr>
              <w:instrText xml:space="preserve"> PAGEREF _Toc287614181 \h </w:instrText>
            </w:r>
            <w:r>
              <w:rPr>
                <w:noProof/>
                <w:webHidden/>
              </w:rPr>
            </w:r>
            <w:r>
              <w:rPr>
                <w:noProof/>
                <w:webHidden/>
              </w:rPr>
              <w:fldChar w:fldCharType="separate"/>
            </w:r>
            <w:r>
              <w:rPr>
                <w:noProof/>
                <w:webHidden/>
              </w:rPr>
              <w:t>27</w:t>
            </w:r>
            <w:r>
              <w:rPr>
                <w:noProof/>
                <w:webHidden/>
              </w:rPr>
              <w:fldChar w:fldCharType="end"/>
            </w:r>
          </w:hyperlink>
        </w:p>
        <w:p w:rsidR="00181EE5" w:rsidRDefault="00181EE5">
          <w:pPr>
            <w:pStyle w:val="Inhopg3"/>
            <w:tabs>
              <w:tab w:val="right" w:leader="dot" w:pos="9062"/>
            </w:tabs>
            <w:rPr>
              <w:rFonts w:asciiTheme="minorHAnsi" w:eastAsiaTheme="minorEastAsia" w:hAnsiTheme="minorHAnsi" w:cstheme="minorBidi"/>
              <w:iCs w:val="0"/>
              <w:noProof/>
              <w:szCs w:val="22"/>
              <w:lang w:val="nl-NL"/>
            </w:rPr>
          </w:pPr>
          <w:hyperlink w:anchor="_Toc287614182" w:history="1">
            <w:r w:rsidRPr="003738B0">
              <w:rPr>
                <w:rStyle w:val="Hyperlink"/>
                <w:i/>
                <w:noProof/>
              </w:rPr>
              <w:t>4.2.1 Jiang, Petroni and Wang (2010)</w:t>
            </w:r>
            <w:r>
              <w:rPr>
                <w:noProof/>
                <w:webHidden/>
              </w:rPr>
              <w:tab/>
            </w:r>
            <w:r>
              <w:rPr>
                <w:noProof/>
                <w:webHidden/>
              </w:rPr>
              <w:fldChar w:fldCharType="begin"/>
            </w:r>
            <w:r>
              <w:rPr>
                <w:noProof/>
                <w:webHidden/>
              </w:rPr>
              <w:instrText xml:space="preserve"> PAGEREF _Toc287614182 \h </w:instrText>
            </w:r>
            <w:r>
              <w:rPr>
                <w:noProof/>
                <w:webHidden/>
              </w:rPr>
            </w:r>
            <w:r>
              <w:rPr>
                <w:noProof/>
                <w:webHidden/>
              </w:rPr>
              <w:fldChar w:fldCharType="separate"/>
            </w:r>
            <w:r>
              <w:rPr>
                <w:noProof/>
                <w:webHidden/>
              </w:rPr>
              <w:t>27</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83" w:history="1">
            <w:r w:rsidRPr="003738B0">
              <w:rPr>
                <w:rStyle w:val="Hyperlink"/>
                <w:noProof/>
              </w:rPr>
              <w:t>4.3 Earnings management and Sarbanes-Oxley</w:t>
            </w:r>
            <w:r>
              <w:rPr>
                <w:noProof/>
                <w:webHidden/>
              </w:rPr>
              <w:tab/>
            </w:r>
            <w:r>
              <w:rPr>
                <w:noProof/>
                <w:webHidden/>
              </w:rPr>
              <w:fldChar w:fldCharType="begin"/>
            </w:r>
            <w:r>
              <w:rPr>
                <w:noProof/>
                <w:webHidden/>
              </w:rPr>
              <w:instrText xml:space="preserve"> PAGEREF _Toc287614183 \h </w:instrText>
            </w:r>
            <w:r>
              <w:rPr>
                <w:noProof/>
                <w:webHidden/>
              </w:rPr>
            </w:r>
            <w:r>
              <w:rPr>
                <w:noProof/>
                <w:webHidden/>
              </w:rPr>
              <w:fldChar w:fldCharType="separate"/>
            </w:r>
            <w:r>
              <w:rPr>
                <w:noProof/>
                <w:webHidden/>
              </w:rPr>
              <w:t>27</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84" w:history="1">
            <w:r w:rsidRPr="003738B0">
              <w:rPr>
                <w:rStyle w:val="Hyperlink"/>
                <w:noProof/>
              </w:rPr>
              <w:t>4.4 Summary and conclusion</w:t>
            </w:r>
            <w:r>
              <w:rPr>
                <w:noProof/>
                <w:webHidden/>
              </w:rPr>
              <w:tab/>
            </w:r>
            <w:r>
              <w:rPr>
                <w:noProof/>
                <w:webHidden/>
              </w:rPr>
              <w:fldChar w:fldCharType="begin"/>
            </w:r>
            <w:r>
              <w:rPr>
                <w:noProof/>
                <w:webHidden/>
              </w:rPr>
              <w:instrText xml:space="preserve"> PAGEREF _Toc287614184 \h </w:instrText>
            </w:r>
            <w:r>
              <w:rPr>
                <w:noProof/>
                <w:webHidden/>
              </w:rPr>
            </w:r>
            <w:r>
              <w:rPr>
                <w:noProof/>
                <w:webHidden/>
              </w:rPr>
              <w:fldChar w:fldCharType="separate"/>
            </w:r>
            <w:r>
              <w:rPr>
                <w:noProof/>
                <w:webHidden/>
              </w:rPr>
              <w:t>28</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85" w:history="1">
            <w:r w:rsidRPr="003738B0">
              <w:rPr>
                <w:rStyle w:val="Hyperlink"/>
                <w:noProof/>
              </w:rPr>
              <w:t>5. HYPOTHESES</w:t>
            </w:r>
            <w:r>
              <w:rPr>
                <w:noProof/>
                <w:webHidden/>
              </w:rPr>
              <w:tab/>
            </w:r>
            <w:r>
              <w:rPr>
                <w:noProof/>
                <w:webHidden/>
              </w:rPr>
              <w:fldChar w:fldCharType="begin"/>
            </w:r>
            <w:r>
              <w:rPr>
                <w:noProof/>
                <w:webHidden/>
              </w:rPr>
              <w:instrText xml:space="preserve"> PAGEREF _Toc287614185 \h </w:instrText>
            </w:r>
            <w:r>
              <w:rPr>
                <w:noProof/>
                <w:webHidden/>
              </w:rPr>
            </w:r>
            <w:r>
              <w:rPr>
                <w:noProof/>
                <w:webHidden/>
              </w:rPr>
              <w:fldChar w:fldCharType="separate"/>
            </w:r>
            <w:r>
              <w:rPr>
                <w:noProof/>
                <w:webHidden/>
              </w:rPr>
              <w:t>29</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86" w:history="1">
            <w:r w:rsidRPr="003738B0">
              <w:rPr>
                <w:rStyle w:val="Hyperlink"/>
                <w:rFonts w:cs="Times New Roman"/>
                <w:noProof/>
              </w:rPr>
              <w:t>6. RESEARCH DESIGN</w:t>
            </w:r>
            <w:r>
              <w:rPr>
                <w:noProof/>
                <w:webHidden/>
              </w:rPr>
              <w:tab/>
            </w:r>
            <w:r>
              <w:rPr>
                <w:noProof/>
                <w:webHidden/>
              </w:rPr>
              <w:fldChar w:fldCharType="begin"/>
            </w:r>
            <w:r>
              <w:rPr>
                <w:noProof/>
                <w:webHidden/>
              </w:rPr>
              <w:instrText xml:space="preserve"> PAGEREF _Toc287614186 \h </w:instrText>
            </w:r>
            <w:r>
              <w:rPr>
                <w:noProof/>
                <w:webHidden/>
              </w:rPr>
            </w:r>
            <w:r>
              <w:rPr>
                <w:noProof/>
                <w:webHidden/>
              </w:rPr>
              <w:fldChar w:fldCharType="separate"/>
            </w:r>
            <w:r>
              <w:rPr>
                <w:noProof/>
                <w:webHidden/>
              </w:rPr>
              <w:t>31</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87" w:history="1">
            <w:r w:rsidRPr="003738B0">
              <w:rPr>
                <w:rStyle w:val="Hyperlink"/>
                <w:noProof/>
              </w:rPr>
              <w:t>6.1 Descriptive analysis of the used models and variables</w:t>
            </w:r>
            <w:r>
              <w:rPr>
                <w:noProof/>
                <w:webHidden/>
              </w:rPr>
              <w:tab/>
            </w:r>
            <w:r>
              <w:rPr>
                <w:noProof/>
                <w:webHidden/>
              </w:rPr>
              <w:fldChar w:fldCharType="begin"/>
            </w:r>
            <w:r>
              <w:rPr>
                <w:noProof/>
                <w:webHidden/>
              </w:rPr>
              <w:instrText xml:space="preserve"> PAGEREF _Toc287614187 \h </w:instrText>
            </w:r>
            <w:r>
              <w:rPr>
                <w:noProof/>
                <w:webHidden/>
              </w:rPr>
            </w:r>
            <w:r>
              <w:rPr>
                <w:noProof/>
                <w:webHidden/>
              </w:rPr>
              <w:fldChar w:fldCharType="separate"/>
            </w:r>
            <w:r>
              <w:rPr>
                <w:noProof/>
                <w:webHidden/>
              </w:rPr>
              <w:t>31</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88" w:history="1">
            <w:r w:rsidRPr="003738B0">
              <w:rPr>
                <w:rStyle w:val="Hyperlink"/>
                <w:noProof/>
              </w:rPr>
              <w:t>6.2 Data sample</w:t>
            </w:r>
            <w:r>
              <w:rPr>
                <w:noProof/>
                <w:webHidden/>
              </w:rPr>
              <w:tab/>
            </w:r>
            <w:r>
              <w:rPr>
                <w:noProof/>
                <w:webHidden/>
              </w:rPr>
              <w:fldChar w:fldCharType="begin"/>
            </w:r>
            <w:r>
              <w:rPr>
                <w:noProof/>
                <w:webHidden/>
              </w:rPr>
              <w:instrText xml:space="preserve"> PAGEREF _Toc287614188 \h </w:instrText>
            </w:r>
            <w:r>
              <w:rPr>
                <w:noProof/>
                <w:webHidden/>
              </w:rPr>
            </w:r>
            <w:r>
              <w:rPr>
                <w:noProof/>
                <w:webHidden/>
              </w:rPr>
              <w:fldChar w:fldCharType="separate"/>
            </w:r>
            <w:r>
              <w:rPr>
                <w:noProof/>
                <w:webHidden/>
              </w:rPr>
              <w:t>34</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89" w:history="1">
            <w:r w:rsidRPr="003738B0">
              <w:rPr>
                <w:rStyle w:val="Hyperlink"/>
                <w:noProof/>
              </w:rPr>
              <w:t>7. DATA ANALYSIS AND RESULTS</w:t>
            </w:r>
            <w:r>
              <w:rPr>
                <w:noProof/>
                <w:webHidden/>
              </w:rPr>
              <w:tab/>
            </w:r>
            <w:r>
              <w:rPr>
                <w:noProof/>
                <w:webHidden/>
              </w:rPr>
              <w:fldChar w:fldCharType="begin"/>
            </w:r>
            <w:r>
              <w:rPr>
                <w:noProof/>
                <w:webHidden/>
              </w:rPr>
              <w:instrText xml:space="preserve"> PAGEREF _Toc287614189 \h </w:instrText>
            </w:r>
            <w:r>
              <w:rPr>
                <w:noProof/>
                <w:webHidden/>
              </w:rPr>
            </w:r>
            <w:r>
              <w:rPr>
                <w:noProof/>
                <w:webHidden/>
              </w:rPr>
              <w:fldChar w:fldCharType="separate"/>
            </w:r>
            <w:r>
              <w:rPr>
                <w:noProof/>
                <w:webHidden/>
              </w:rPr>
              <w:t>36</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0" w:history="1">
            <w:r w:rsidRPr="003738B0">
              <w:rPr>
                <w:rStyle w:val="Hyperlink"/>
                <w:noProof/>
              </w:rPr>
              <w:t>7.1 CEO and CFO equity compensation</w:t>
            </w:r>
            <w:r>
              <w:rPr>
                <w:noProof/>
                <w:webHidden/>
              </w:rPr>
              <w:tab/>
            </w:r>
            <w:r>
              <w:rPr>
                <w:noProof/>
                <w:webHidden/>
              </w:rPr>
              <w:fldChar w:fldCharType="begin"/>
            </w:r>
            <w:r>
              <w:rPr>
                <w:noProof/>
                <w:webHidden/>
              </w:rPr>
              <w:instrText xml:space="preserve"> PAGEREF _Toc287614190 \h </w:instrText>
            </w:r>
            <w:r>
              <w:rPr>
                <w:noProof/>
                <w:webHidden/>
              </w:rPr>
            </w:r>
            <w:r>
              <w:rPr>
                <w:noProof/>
                <w:webHidden/>
              </w:rPr>
              <w:fldChar w:fldCharType="separate"/>
            </w:r>
            <w:r>
              <w:rPr>
                <w:noProof/>
                <w:webHidden/>
              </w:rPr>
              <w:t>36</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1" w:history="1">
            <w:r w:rsidRPr="003738B0">
              <w:rPr>
                <w:rStyle w:val="Hyperlink"/>
                <w:noProof/>
              </w:rPr>
              <w:t>7.2 Evidence of earnings management using LLP in pre-SOX</w:t>
            </w:r>
            <w:r>
              <w:rPr>
                <w:noProof/>
                <w:webHidden/>
              </w:rPr>
              <w:tab/>
            </w:r>
            <w:r>
              <w:rPr>
                <w:noProof/>
                <w:webHidden/>
              </w:rPr>
              <w:fldChar w:fldCharType="begin"/>
            </w:r>
            <w:r>
              <w:rPr>
                <w:noProof/>
                <w:webHidden/>
              </w:rPr>
              <w:instrText xml:space="preserve"> PAGEREF _Toc287614191 \h </w:instrText>
            </w:r>
            <w:r>
              <w:rPr>
                <w:noProof/>
                <w:webHidden/>
              </w:rPr>
            </w:r>
            <w:r>
              <w:rPr>
                <w:noProof/>
                <w:webHidden/>
              </w:rPr>
              <w:fldChar w:fldCharType="separate"/>
            </w:r>
            <w:r>
              <w:rPr>
                <w:noProof/>
                <w:webHidden/>
              </w:rPr>
              <w:t>38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2" w:history="1">
            <w:r w:rsidRPr="003738B0">
              <w:rPr>
                <w:rStyle w:val="Hyperlink"/>
                <w:noProof/>
              </w:rPr>
              <w:t>7.3 Evidence of earnings management using LLP in post-SOX</w:t>
            </w:r>
            <w:r>
              <w:rPr>
                <w:noProof/>
                <w:webHidden/>
              </w:rPr>
              <w:tab/>
            </w:r>
            <w:r>
              <w:rPr>
                <w:noProof/>
                <w:webHidden/>
              </w:rPr>
              <w:fldChar w:fldCharType="begin"/>
            </w:r>
            <w:r>
              <w:rPr>
                <w:noProof/>
                <w:webHidden/>
              </w:rPr>
              <w:instrText xml:space="preserve"> PAGEREF _Toc287614192 \h </w:instrText>
            </w:r>
            <w:r>
              <w:rPr>
                <w:noProof/>
                <w:webHidden/>
              </w:rPr>
            </w:r>
            <w:r>
              <w:rPr>
                <w:noProof/>
                <w:webHidden/>
              </w:rPr>
              <w:fldChar w:fldCharType="separate"/>
            </w:r>
            <w:r>
              <w:rPr>
                <w:noProof/>
                <w:webHidden/>
              </w:rPr>
              <w:t>42</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3" w:history="1">
            <w:r w:rsidRPr="003738B0">
              <w:rPr>
                <w:rStyle w:val="Hyperlink"/>
                <w:noProof/>
              </w:rPr>
              <w:t>7.4 Comparison between CEO and CFO equity incentive</w:t>
            </w:r>
            <w:r>
              <w:rPr>
                <w:noProof/>
                <w:webHidden/>
              </w:rPr>
              <w:tab/>
            </w:r>
            <w:r>
              <w:rPr>
                <w:noProof/>
                <w:webHidden/>
              </w:rPr>
              <w:fldChar w:fldCharType="begin"/>
            </w:r>
            <w:r>
              <w:rPr>
                <w:noProof/>
                <w:webHidden/>
              </w:rPr>
              <w:instrText xml:space="preserve"> PAGEREF _Toc287614193 \h </w:instrText>
            </w:r>
            <w:r>
              <w:rPr>
                <w:noProof/>
                <w:webHidden/>
              </w:rPr>
            </w:r>
            <w:r>
              <w:rPr>
                <w:noProof/>
                <w:webHidden/>
              </w:rPr>
              <w:fldChar w:fldCharType="separate"/>
            </w:r>
            <w:r>
              <w:rPr>
                <w:noProof/>
                <w:webHidden/>
              </w:rPr>
              <w:t>45</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4" w:history="1">
            <w:r w:rsidRPr="003738B0">
              <w:rPr>
                <w:rStyle w:val="Hyperlink"/>
                <w:noProof/>
              </w:rPr>
              <w:t>7.5 Summary</w:t>
            </w:r>
            <w:r>
              <w:rPr>
                <w:noProof/>
                <w:webHidden/>
              </w:rPr>
              <w:tab/>
            </w:r>
            <w:r>
              <w:rPr>
                <w:noProof/>
                <w:webHidden/>
              </w:rPr>
              <w:fldChar w:fldCharType="begin"/>
            </w:r>
            <w:r>
              <w:rPr>
                <w:noProof/>
                <w:webHidden/>
              </w:rPr>
              <w:instrText xml:space="preserve"> PAGEREF _Toc287614194 \h </w:instrText>
            </w:r>
            <w:r>
              <w:rPr>
                <w:noProof/>
                <w:webHidden/>
              </w:rPr>
            </w:r>
            <w:r>
              <w:rPr>
                <w:noProof/>
                <w:webHidden/>
              </w:rPr>
              <w:fldChar w:fldCharType="separate"/>
            </w:r>
            <w:r>
              <w:rPr>
                <w:noProof/>
                <w:webHidden/>
              </w:rPr>
              <w:t>46</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95" w:history="1">
            <w:r w:rsidRPr="003738B0">
              <w:rPr>
                <w:rStyle w:val="Hyperlink"/>
                <w:noProof/>
              </w:rPr>
              <w:t>8. SUMMARY AND CONCLUSIONS</w:t>
            </w:r>
            <w:r>
              <w:rPr>
                <w:noProof/>
                <w:webHidden/>
              </w:rPr>
              <w:tab/>
            </w:r>
            <w:r>
              <w:rPr>
                <w:noProof/>
                <w:webHidden/>
              </w:rPr>
              <w:fldChar w:fldCharType="begin"/>
            </w:r>
            <w:r>
              <w:rPr>
                <w:noProof/>
                <w:webHidden/>
              </w:rPr>
              <w:instrText xml:space="preserve"> PAGEREF _Toc287614195 \h </w:instrText>
            </w:r>
            <w:r>
              <w:rPr>
                <w:noProof/>
                <w:webHidden/>
              </w:rPr>
            </w:r>
            <w:r>
              <w:rPr>
                <w:noProof/>
                <w:webHidden/>
              </w:rPr>
              <w:fldChar w:fldCharType="separate"/>
            </w:r>
            <w:r>
              <w:rPr>
                <w:noProof/>
                <w:webHidden/>
              </w:rPr>
              <w:t>48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6" w:history="1">
            <w:r w:rsidRPr="003738B0">
              <w:rPr>
                <w:rStyle w:val="Hyperlink"/>
                <w:noProof/>
              </w:rPr>
              <w:t>8.1 Summary</w:t>
            </w:r>
            <w:r>
              <w:rPr>
                <w:noProof/>
                <w:webHidden/>
              </w:rPr>
              <w:tab/>
            </w:r>
            <w:r>
              <w:rPr>
                <w:noProof/>
                <w:webHidden/>
              </w:rPr>
              <w:fldChar w:fldCharType="begin"/>
            </w:r>
            <w:r>
              <w:rPr>
                <w:noProof/>
                <w:webHidden/>
              </w:rPr>
              <w:instrText xml:space="preserve"> PAGEREF _Toc287614196 \h </w:instrText>
            </w:r>
            <w:r>
              <w:rPr>
                <w:noProof/>
                <w:webHidden/>
              </w:rPr>
            </w:r>
            <w:r>
              <w:rPr>
                <w:noProof/>
                <w:webHidden/>
              </w:rPr>
              <w:fldChar w:fldCharType="separate"/>
            </w:r>
            <w:r>
              <w:rPr>
                <w:noProof/>
                <w:webHidden/>
              </w:rPr>
              <w:t>48</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7" w:history="1">
            <w:r w:rsidRPr="003738B0">
              <w:rPr>
                <w:rStyle w:val="Hyperlink"/>
                <w:noProof/>
              </w:rPr>
              <w:t>8.2 Conclusions</w:t>
            </w:r>
            <w:r>
              <w:rPr>
                <w:noProof/>
                <w:webHidden/>
              </w:rPr>
              <w:tab/>
            </w:r>
            <w:r>
              <w:rPr>
                <w:noProof/>
                <w:webHidden/>
              </w:rPr>
              <w:fldChar w:fldCharType="begin"/>
            </w:r>
            <w:r>
              <w:rPr>
                <w:noProof/>
                <w:webHidden/>
              </w:rPr>
              <w:instrText xml:space="preserve"> PAGEREF _Toc287614197 \h </w:instrText>
            </w:r>
            <w:r>
              <w:rPr>
                <w:noProof/>
                <w:webHidden/>
              </w:rPr>
            </w:r>
            <w:r>
              <w:rPr>
                <w:noProof/>
                <w:webHidden/>
              </w:rPr>
              <w:fldChar w:fldCharType="separate"/>
            </w:r>
            <w:r>
              <w:rPr>
                <w:noProof/>
                <w:webHidden/>
              </w:rPr>
              <w:t>49</w:t>
            </w:r>
            <w:r>
              <w:rPr>
                <w:noProof/>
                <w:webHidden/>
              </w:rPr>
              <w:fldChar w:fldCharType="end"/>
            </w:r>
          </w:hyperlink>
        </w:p>
        <w:p w:rsidR="00181EE5" w:rsidRDefault="00181EE5">
          <w:pPr>
            <w:pStyle w:val="Inhopg2"/>
            <w:rPr>
              <w:rFonts w:asciiTheme="minorHAnsi" w:eastAsiaTheme="minorEastAsia" w:hAnsiTheme="minorHAnsi" w:cstheme="minorBidi"/>
              <w:noProof/>
              <w:szCs w:val="22"/>
              <w:lang w:val="nl-NL"/>
            </w:rPr>
          </w:pPr>
          <w:hyperlink w:anchor="_Toc287614198" w:history="1">
            <w:r w:rsidRPr="003738B0">
              <w:rPr>
                <w:rStyle w:val="Hyperlink"/>
                <w:noProof/>
              </w:rPr>
              <w:t>8.3 Limitations and suggestions for future research</w:t>
            </w:r>
            <w:r>
              <w:rPr>
                <w:noProof/>
                <w:webHidden/>
              </w:rPr>
              <w:tab/>
            </w:r>
            <w:r>
              <w:rPr>
                <w:noProof/>
                <w:webHidden/>
              </w:rPr>
              <w:fldChar w:fldCharType="begin"/>
            </w:r>
            <w:r>
              <w:rPr>
                <w:noProof/>
                <w:webHidden/>
              </w:rPr>
              <w:instrText xml:space="preserve"> PAGEREF _Toc287614198 \h </w:instrText>
            </w:r>
            <w:r>
              <w:rPr>
                <w:noProof/>
                <w:webHidden/>
              </w:rPr>
            </w:r>
            <w:r>
              <w:rPr>
                <w:noProof/>
                <w:webHidden/>
              </w:rPr>
              <w:fldChar w:fldCharType="separate"/>
            </w:r>
            <w:r>
              <w:rPr>
                <w:noProof/>
                <w:webHidden/>
              </w:rPr>
              <w:t>51</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199" w:history="1">
            <w:r w:rsidRPr="003738B0">
              <w:rPr>
                <w:rStyle w:val="Hyperlink"/>
                <w:rFonts w:cs="Times New Roman"/>
                <w:noProof/>
              </w:rPr>
              <w:t>REFERENCES</w:t>
            </w:r>
            <w:r>
              <w:rPr>
                <w:noProof/>
                <w:webHidden/>
              </w:rPr>
              <w:tab/>
            </w:r>
            <w:r>
              <w:rPr>
                <w:noProof/>
                <w:webHidden/>
              </w:rPr>
              <w:fldChar w:fldCharType="begin"/>
            </w:r>
            <w:r>
              <w:rPr>
                <w:noProof/>
                <w:webHidden/>
              </w:rPr>
              <w:instrText xml:space="preserve"> PAGEREF _Toc287614199 \h </w:instrText>
            </w:r>
            <w:r>
              <w:rPr>
                <w:noProof/>
                <w:webHidden/>
              </w:rPr>
            </w:r>
            <w:r>
              <w:rPr>
                <w:noProof/>
                <w:webHidden/>
              </w:rPr>
              <w:fldChar w:fldCharType="separate"/>
            </w:r>
            <w:r>
              <w:rPr>
                <w:noProof/>
                <w:webHidden/>
              </w:rPr>
              <w:t>52</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200" w:history="1">
            <w:r w:rsidRPr="003738B0">
              <w:rPr>
                <w:rStyle w:val="Hyperlink"/>
                <w:noProof/>
              </w:rPr>
              <w:t>APPENDIX 1: Comparison between DLLPs</w:t>
            </w:r>
            <w:r>
              <w:rPr>
                <w:noProof/>
                <w:webHidden/>
              </w:rPr>
              <w:tab/>
            </w:r>
            <w:r>
              <w:rPr>
                <w:noProof/>
                <w:webHidden/>
              </w:rPr>
              <w:fldChar w:fldCharType="begin"/>
            </w:r>
            <w:r>
              <w:rPr>
                <w:noProof/>
                <w:webHidden/>
              </w:rPr>
              <w:instrText xml:space="preserve"> PAGEREF _Toc287614200 \h </w:instrText>
            </w:r>
            <w:r>
              <w:rPr>
                <w:noProof/>
                <w:webHidden/>
              </w:rPr>
            </w:r>
            <w:r>
              <w:rPr>
                <w:noProof/>
                <w:webHidden/>
              </w:rPr>
              <w:fldChar w:fldCharType="separate"/>
            </w:r>
            <w:r>
              <w:rPr>
                <w:noProof/>
                <w:webHidden/>
              </w:rPr>
              <w:t>56</w:t>
            </w:r>
            <w:r>
              <w:rPr>
                <w:noProof/>
                <w:webHidden/>
              </w:rPr>
              <w:fldChar w:fldCharType="end"/>
            </w:r>
          </w:hyperlink>
        </w:p>
        <w:p w:rsidR="00181EE5" w:rsidRDefault="00181EE5">
          <w:pPr>
            <w:pStyle w:val="Inhopg1"/>
            <w:tabs>
              <w:tab w:val="right" w:leader="dot" w:pos="9062"/>
            </w:tabs>
            <w:rPr>
              <w:rFonts w:asciiTheme="minorHAnsi" w:eastAsiaTheme="minorEastAsia" w:hAnsiTheme="minorHAnsi" w:cstheme="minorBidi"/>
              <w:b w:val="0"/>
              <w:bCs w:val="0"/>
              <w:caps w:val="0"/>
              <w:noProof/>
              <w:szCs w:val="22"/>
              <w:lang w:val="nl-NL"/>
            </w:rPr>
          </w:pPr>
          <w:hyperlink w:anchor="_Toc287614201" w:history="1">
            <w:r w:rsidRPr="003738B0">
              <w:rPr>
                <w:rStyle w:val="Hyperlink"/>
                <w:noProof/>
              </w:rPr>
              <w:t>APPENDIX 2: Summary of prior empirical literature</w:t>
            </w:r>
            <w:r>
              <w:rPr>
                <w:noProof/>
                <w:webHidden/>
              </w:rPr>
              <w:tab/>
            </w:r>
            <w:r>
              <w:rPr>
                <w:noProof/>
                <w:webHidden/>
              </w:rPr>
              <w:fldChar w:fldCharType="begin"/>
            </w:r>
            <w:r>
              <w:rPr>
                <w:noProof/>
                <w:webHidden/>
              </w:rPr>
              <w:instrText xml:space="preserve"> PAGEREF _Toc287614201 \h </w:instrText>
            </w:r>
            <w:r>
              <w:rPr>
                <w:noProof/>
                <w:webHidden/>
              </w:rPr>
            </w:r>
            <w:r>
              <w:rPr>
                <w:noProof/>
                <w:webHidden/>
              </w:rPr>
              <w:fldChar w:fldCharType="separate"/>
            </w:r>
            <w:r>
              <w:rPr>
                <w:noProof/>
                <w:webHidden/>
              </w:rPr>
              <w:t>57</w:t>
            </w:r>
            <w:r>
              <w:rPr>
                <w:noProof/>
                <w:webHidden/>
              </w:rPr>
              <w:fldChar w:fldCharType="end"/>
            </w:r>
          </w:hyperlink>
        </w:p>
        <w:p w:rsidR="007F5BA7" w:rsidRPr="007F5BA7" w:rsidRDefault="00536807">
          <w:pPr>
            <w:rPr>
              <w:lang w:val="nl-NL"/>
            </w:rPr>
          </w:pPr>
          <w:r>
            <w:rPr>
              <w:rFonts w:cstheme="minorHAnsi"/>
              <w:b/>
              <w:bCs/>
              <w:caps/>
              <w:sz w:val="22"/>
              <w:szCs w:val="20"/>
              <w:lang w:val="nl-NL"/>
            </w:rPr>
            <w:fldChar w:fldCharType="end"/>
          </w:r>
        </w:p>
      </w:sdtContent>
    </w:sdt>
    <w:p w:rsidR="002928E4" w:rsidRDefault="002928E4"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902916" w:rsidRDefault="00902916" w:rsidP="00902916"/>
    <w:p w:rsidR="00E37CBA" w:rsidRDefault="00E37CBA" w:rsidP="00902916"/>
    <w:p w:rsidR="00902916" w:rsidRDefault="00902916" w:rsidP="00902916"/>
    <w:p w:rsidR="00902916" w:rsidRDefault="00902916" w:rsidP="00902916"/>
    <w:p w:rsidR="00902916" w:rsidRDefault="00902916" w:rsidP="00902916"/>
    <w:p w:rsidR="004115C1" w:rsidRDefault="00AA3F06" w:rsidP="0077787E">
      <w:pPr>
        <w:pStyle w:val="Kop1"/>
        <w:jc w:val="center"/>
        <w:rPr>
          <w:rFonts w:cs="Times New Roman"/>
          <w:szCs w:val="24"/>
        </w:rPr>
      </w:pPr>
      <w:bookmarkStart w:id="22" w:name="_Toc287614152"/>
      <w:r w:rsidRPr="00D87B6C">
        <w:rPr>
          <w:rFonts w:cs="Times New Roman"/>
          <w:szCs w:val="24"/>
        </w:rPr>
        <w:lastRenderedPageBreak/>
        <w:t xml:space="preserve">1. </w:t>
      </w:r>
      <w:r w:rsidR="004115C1" w:rsidRPr="00D87B6C">
        <w:rPr>
          <w:rFonts w:cs="Times New Roman"/>
          <w:szCs w:val="24"/>
        </w:rPr>
        <w:t>INTRODUCTION</w:t>
      </w:r>
      <w:bookmarkEnd w:id="22"/>
    </w:p>
    <w:p w:rsidR="00EA01D8" w:rsidRPr="00EA01D8" w:rsidRDefault="00EA01D8" w:rsidP="00EA01D8"/>
    <w:p w:rsidR="009A5D86" w:rsidRPr="00D87B6C" w:rsidRDefault="009A5D86" w:rsidP="006B7FF2">
      <w:pPr>
        <w:pStyle w:val="Kop2"/>
      </w:pPr>
      <w:bookmarkStart w:id="23" w:name="_Toc287614153"/>
      <w:r w:rsidRPr="00D87B6C">
        <w:t>1.1 Background</w:t>
      </w:r>
      <w:bookmarkEnd w:id="23"/>
      <w:r w:rsidR="00522507">
        <w:tab/>
      </w:r>
    </w:p>
    <w:p w:rsidR="00377F01" w:rsidRDefault="00716512" w:rsidP="0069474A">
      <w:pPr>
        <w:autoSpaceDE w:val="0"/>
        <w:autoSpaceDN w:val="0"/>
        <w:adjustRightInd w:val="0"/>
        <w:spacing w:line="360" w:lineRule="auto"/>
        <w:jc w:val="both"/>
        <w:rPr>
          <w:sz w:val="22"/>
          <w:szCs w:val="22"/>
        </w:rPr>
      </w:pPr>
      <w:r w:rsidRPr="009A5D86">
        <w:rPr>
          <w:sz w:val="22"/>
          <w:szCs w:val="22"/>
        </w:rPr>
        <w:t>T</w:t>
      </w:r>
      <w:r w:rsidR="00463439">
        <w:rPr>
          <w:sz w:val="22"/>
          <w:szCs w:val="22"/>
        </w:rPr>
        <w:t xml:space="preserve">he </w:t>
      </w:r>
      <w:r w:rsidR="008D068F">
        <w:rPr>
          <w:sz w:val="22"/>
          <w:szCs w:val="22"/>
        </w:rPr>
        <w:t>financial</w:t>
      </w:r>
      <w:r w:rsidR="00463439">
        <w:rPr>
          <w:sz w:val="22"/>
          <w:szCs w:val="22"/>
        </w:rPr>
        <w:t xml:space="preserve"> </w:t>
      </w:r>
      <w:r w:rsidR="00AA39C5">
        <w:rPr>
          <w:sz w:val="22"/>
          <w:szCs w:val="22"/>
        </w:rPr>
        <w:t>crisis</w:t>
      </w:r>
      <w:r w:rsidR="008D068F">
        <w:rPr>
          <w:sz w:val="22"/>
          <w:szCs w:val="22"/>
        </w:rPr>
        <w:t xml:space="preserve"> of 2008 </w:t>
      </w:r>
      <w:r w:rsidR="00AA39C5">
        <w:rPr>
          <w:sz w:val="22"/>
          <w:szCs w:val="22"/>
        </w:rPr>
        <w:t>has</w:t>
      </w:r>
      <w:r w:rsidR="00463439">
        <w:rPr>
          <w:sz w:val="22"/>
          <w:szCs w:val="22"/>
        </w:rPr>
        <w:t xml:space="preserve"> </w:t>
      </w:r>
      <w:r w:rsidR="00280302">
        <w:rPr>
          <w:sz w:val="22"/>
          <w:szCs w:val="22"/>
        </w:rPr>
        <w:t xml:space="preserve">brought </w:t>
      </w:r>
      <w:r w:rsidR="00280302" w:rsidRPr="009A5D86">
        <w:rPr>
          <w:sz w:val="22"/>
          <w:szCs w:val="22"/>
        </w:rPr>
        <w:t>the</w:t>
      </w:r>
      <w:r w:rsidR="00E7176A">
        <w:rPr>
          <w:sz w:val="22"/>
          <w:szCs w:val="22"/>
        </w:rPr>
        <w:t xml:space="preserve"> attention </w:t>
      </w:r>
      <w:r w:rsidR="00B034E4">
        <w:rPr>
          <w:sz w:val="22"/>
          <w:szCs w:val="22"/>
        </w:rPr>
        <w:t>to</w:t>
      </w:r>
      <w:r w:rsidR="00463439">
        <w:rPr>
          <w:sz w:val="22"/>
          <w:szCs w:val="22"/>
        </w:rPr>
        <w:t xml:space="preserve"> the banking industry </w:t>
      </w:r>
      <w:r w:rsidR="00B034E4">
        <w:rPr>
          <w:sz w:val="22"/>
          <w:szCs w:val="22"/>
        </w:rPr>
        <w:t>with regard to the</w:t>
      </w:r>
      <w:r>
        <w:rPr>
          <w:sz w:val="22"/>
          <w:szCs w:val="22"/>
        </w:rPr>
        <w:t xml:space="preserve"> bonus payment and excessive compensation</w:t>
      </w:r>
      <w:r w:rsidR="00B034E4">
        <w:rPr>
          <w:sz w:val="22"/>
          <w:szCs w:val="22"/>
        </w:rPr>
        <w:t xml:space="preserve"> of executives</w:t>
      </w:r>
      <w:r>
        <w:rPr>
          <w:sz w:val="22"/>
          <w:szCs w:val="22"/>
        </w:rPr>
        <w:t xml:space="preserve">. </w:t>
      </w:r>
      <w:r w:rsidR="000A2677">
        <w:rPr>
          <w:sz w:val="22"/>
          <w:szCs w:val="22"/>
        </w:rPr>
        <w:t xml:space="preserve">While </w:t>
      </w:r>
      <w:r w:rsidR="00964135">
        <w:rPr>
          <w:sz w:val="22"/>
          <w:szCs w:val="22"/>
        </w:rPr>
        <w:t>banks take huge losses</w:t>
      </w:r>
      <w:r w:rsidR="000A2677">
        <w:rPr>
          <w:sz w:val="22"/>
          <w:szCs w:val="22"/>
        </w:rPr>
        <w:t xml:space="preserve"> and </w:t>
      </w:r>
      <w:r w:rsidR="00B034E4">
        <w:rPr>
          <w:sz w:val="22"/>
          <w:szCs w:val="22"/>
        </w:rPr>
        <w:t xml:space="preserve">their stock </w:t>
      </w:r>
      <w:r w:rsidR="000A2677">
        <w:rPr>
          <w:sz w:val="22"/>
          <w:szCs w:val="22"/>
        </w:rPr>
        <w:t xml:space="preserve">prices </w:t>
      </w:r>
      <w:r w:rsidR="00B034E4">
        <w:rPr>
          <w:sz w:val="22"/>
          <w:szCs w:val="22"/>
        </w:rPr>
        <w:t>drop</w:t>
      </w:r>
      <w:r w:rsidR="000A2677">
        <w:rPr>
          <w:sz w:val="22"/>
          <w:szCs w:val="22"/>
        </w:rPr>
        <w:t xml:space="preserve"> drastically,</w:t>
      </w:r>
      <w:r w:rsidR="00B034E4">
        <w:rPr>
          <w:sz w:val="22"/>
          <w:szCs w:val="22"/>
        </w:rPr>
        <w:t xml:space="preserve"> the bonus payments</w:t>
      </w:r>
      <w:r>
        <w:rPr>
          <w:sz w:val="22"/>
          <w:szCs w:val="22"/>
        </w:rPr>
        <w:t xml:space="preserve"> of bank managers haven’t been diminished with the same impact</w:t>
      </w:r>
      <w:r w:rsidRPr="009A5D86">
        <w:rPr>
          <w:sz w:val="22"/>
          <w:szCs w:val="22"/>
        </w:rPr>
        <w:t xml:space="preserve">. </w:t>
      </w:r>
      <w:r w:rsidR="00B80773">
        <w:rPr>
          <w:sz w:val="22"/>
          <w:szCs w:val="22"/>
        </w:rPr>
        <w:t>These bonus compensations</w:t>
      </w:r>
      <w:r w:rsidR="0053267C">
        <w:rPr>
          <w:sz w:val="22"/>
          <w:szCs w:val="22"/>
        </w:rPr>
        <w:t xml:space="preserve"> and excessive greed</w:t>
      </w:r>
      <w:r w:rsidR="00B80773">
        <w:rPr>
          <w:sz w:val="22"/>
          <w:szCs w:val="22"/>
        </w:rPr>
        <w:t xml:space="preserve"> </w:t>
      </w:r>
      <w:r w:rsidR="00C76A0A">
        <w:rPr>
          <w:sz w:val="22"/>
          <w:szCs w:val="22"/>
        </w:rPr>
        <w:t>are being criticized by politicians and the media</w:t>
      </w:r>
      <w:r w:rsidR="00B80773">
        <w:rPr>
          <w:sz w:val="22"/>
          <w:szCs w:val="22"/>
        </w:rPr>
        <w:t xml:space="preserve">. </w:t>
      </w:r>
      <w:r w:rsidR="00AE22F7">
        <w:rPr>
          <w:sz w:val="22"/>
          <w:szCs w:val="22"/>
        </w:rPr>
        <w:t>As a result</w:t>
      </w:r>
      <w:r w:rsidR="00B034E4">
        <w:rPr>
          <w:sz w:val="22"/>
          <w:szCs w:val="22"/>
        </w:rPr>
        <w:t>,</w:t>
      </w:r>
      <w:r w:rsidR="00AE22F7">
        <w:rPr>
          <w:sz w:val="22"/>
          <w:szCs w:val="22"/>
        </w:rPr>
        <w:t xml:space="preserve"> s</w:t>
      </w:r>
      <w:r w:rsidRPr="009A5D86">
        <w:rPr>
          <w:sz w:val="22"/>
          <w:szCs w:val="22"/>
        </w:rPr>
        <w:t xml:space="preserve">crutiny </w:t>
      </w:r>
      <w:r>
        <w:rPr>
          <w:sz w:val="22"/>
          <w:szCs w:val="22"/>
        </w:rPr>
        <w:t xml:space="preserve">on </w:t>
      </w:r>
      <w:r w:rsidR="000A2677">
        <w:rPr>
          <w:sz w:val="22"/>
          <w:szCs w:val="22"/>
        </w:rPr>
        <w:t xml:space="preserve">executives’ </w:t>
      </w:r>
      <w:r>
        <w:rPr>
          <w:sz w:val="22"/>
          <w:szCs w:val="22"/>
        </w:rPr>
        <w:t>compensation</w:t>
      </w:r>
      <w:r w:rsidRPr="009A5D86">
        <w:rPr>
          <w:sz w:val="22"/>
          <w:szCs w:val="22"/>
        </w:rPr>
        <w:t xml:space="preserve"> </w:t>
      </w:r>
      <w:r w:rsidR="00DA5F70">
        <w:rPr>
          <w:sz w:val="22"/>
          <w:szCs w:val="22"/>
        </w:rPr>
        <w:t xml:space="preserve">has </w:t>
      </w:r>
      <w:r>
        <w:rPr>
          <w:sz w:val="22"/>
          <w:szCs w:val="22"/>
        </w:rPr>
        <w:t>intensified</w:t>
      </w:r>
      <w:r w:rsidRPr="009A5D86">
        <w:rPr>
          <w:sz w:val="22"/>
          <w:szCs w:val="22"/>
        </w:rPr>
        <w:t xml:space="preserve"> as banks prepare</w:t>
      </w:r>
      <w:r>
        <w:rPr>
          <w:sz w:val="22"/>
          <w:szCs w:val="22"/>
        </w:rPr>
        <w:t>d</w:t>
      </w:r>
      <w:r w:rsidRPr="009A5D86">
        <w:rPr>
          <w:sz w:val="22"/>
          <w:szCs w:val="22"/>
        </w:rPr>
        <w:t xml:space="preserve"> to pay out bonuses even after they have </w:t>
      </w:r>
      <w:r>
        <w:rPr>
          <w:sz w:val="22"/>
          <w:szCs w:val="22"/>
        </w:rPr>
        <w:t>received billions of dollars of taxpayers’ money</w:t>
      </w:r>
      <w:r w:rsidR="0069474A">
        <w:rPr>
          <w:sz w:val="22"/>
          <w:szCs w:val="22"/>
        </w:rPr>
        <w:t xml:space="preserve"> (Story 2008)</w:t>
      </w:r>
      <w:r>
        <w:rPr>
          <w:sz w:val="22"/>
          <w:szCs w:val="22"/>
        </w:rPr>
        <w:t>.</w:t>
      </w:r>
      <w:r w:rsidR="008E7181">
        <w:rPr>
          <w:sz w:val="22"/>
          <w:szCs w:val="22"/>
        </w:rPr>
        <w:t xml:space="preserve"> </w:t>
      </w:r>
      <w:r w:rsidR="0060483F">
        <w:rPr>
          <w:sz w:val="22"/>
          <w:szCs w:val="22"/>
        </w:rPr>
        <w:t xml:space="preserve">The use of stock option compensation has increased rapidly over the years and </w:t>
      </w:r>
      <w:r w:rsidR="00EA031F">
        <w:rPr>
          <w:sz w:val="22"/>
          <w:szCs w:val="22"/>
        </w:rPr>
        <w:t xml:space="preserve">now </w:t>
      </w:r>
      <w:r w:rsidR="0060483F">
        <w:rPr>
          <w:sz w:val="22"/>
          <w:szCs w:val="22"/>
        </w:rPr>
        <w:t xml:space="preserve">comprises a large portion of the total compensation package. </w:t>
      </w:r>
      <w:r w:rsidR="008E7181">
        <w:rPr>
          <w:sz w:val="22"/>
          <w:szCs w:val="22"/>
        </w:rPr>
        <w:t xml:space="preserve">The </w:t>
      </w:r>
      <w:r w:rsidR="00B034E4">
        <w:rPr>
          <w:sz w:val="22"/>
          <w:szCs w:val="22"/>
        </w:rPr>
        <w:t>excessive</w:t>
      </w:r>
      <w:r w:rsidR="008E7181">
        <w:rPr>
          <w:sz w:val="22"/>
          <w:szCs w:val="22"/>
        </w:rPr>
        <w:t xml:space="preserve"> salaries of ma</w:t>
      </w:r>
      <w:r w:rsidR="005F7C34">
        <w:rPr>
          <w:sz w:val="22"/>
          <w:szCs w:val="22"/>
        </w:rPr>
        <w:t>nagers ar</w:t>
      </w:r>
      <w:r w:rsidR="00B034E4">
        <w:rPr>
          <w:sz w:val="22"/>
          <w:szCs w:val="22"/>
        </w:rPr>
        <w:t>e driven by relating</w:t>
      </w:r>
      <w:r w:rsidR="008E7181">
        <w:rPr>
          <w:sz w:val="22"/>
          <w:szCs w:val="22"/>
        </w:rPr>
        <w:t xml:space="preserve"> compensation to firm performance and</w:t>
      </w:r>
      <w:r w:rsidR="005F7C34">
        <w:rPr>
          <w:sz w:val="22"/>
          <w:szCs w:val="22"/>
        </w:rPr>
        <w:t xml:space="preserve"> the</w:t>
      </w:r>
      <w:r w:rsidR="008E7181">
        <w:rPr>
          <w:sz w:val="22"/>
          <w:szCs w:val="22"/>
        </w:rPr>
        <w:t xml:space="preserve"> </w:t>
      </w:r>
      <w:r w:rsidR="005F7C34">
        <w:rPr>
          <w:sz w:val="22"/>
          <w:szCs w:val="22"/>
        </w:rPr>
        <w:t>rewards of stock options</w:t>
      </w:r>
      <w:r w:rsidR="004704FD">
        <w:rPr>
          <w:sz w:val="22"/>
          <w:szCs w:val="22"/>
        </w:rPr>
        <w:t>. This large package of equity-based compensation can induce managers to engage earnings management practices in the hope of increasing their firm’s share price.</w:t>
      </w:r>
      <w:r w:rsidR="00EA031F">
        <w:rPr>
          <w:sz w:val="22"/>
          <w:szCs w:val="22"/>
        </w:rPr>
        <w:t xml:space="preserve"> After managing earning</w:t>
      </w:r>
      <w:r w:rsidR="002A153C">
        <w:rPr>
          <w:sz w:val="22"/>
          <w:szCs w:val="22"/>
        </w:rPr>
        <w:t>s</w:t>
      </w:r>
      <w:r w:rsidR="00EA031F">
        <w:rPr>
          <w:sz w:val="22"/>
          <w:szCs w:val="22"/>
        </w:rPr>
        <w:t xml:space="preserve"> successfully,</w:t>
      </w:r>
      <w:r w:rsidR="0051508A">
        <w:rPr>
          <w:sz w:val="22"/>
          <w:szCs w:val="22"/>
        </w:rPr>
        <w:t xml:space="preserve"> they</w:t>
      </w:r>
      <w:r w:rsidR="004704FD">
        <w:rPr>
          <w:sz w:val="22"/>
          <w:szCs w:val="22"/>
        </w:rPr>
        <w:t xml:space="preserve"> </w:t>
      </w:r>
      <w:r w:rsidR="00F2286F">
        <w:rPr>
          <w:sz w:val="22"/>
          <w:szCs w:val="22"/>
        </w:rPr>
        <w:t xml:space="preserve">are likely to </w:t>
      </w:r>
      <w:r w:rsidR="004704FD">
        <w:rPr>
          <w:sz w:val="22"/>
          <w:szCs w:val="22"/>
        </w:rPr>
        <w:t xml:space="preserve">sell their options and shares </w:t>
      </w:r>
      <w:r w:rsidR="00F2286F">
        <w:rPr>
          <w:sz w:val="22"/>
          <w:szCs w:val="22"/>
        </w:rPr>
        <w:t>in order to</w:t>
      </w:r>
      <w:r w:rsidR="004704FD">
        <w:rPr>
          <w:sz w:val="22"/>
          <w:szCs w:val="22"/>
        </w:rPr>
        <w:t xml:space="preserve"> maximize their salary at the cost of creating firm value.</w:t>
      </w:r>
    </w:p>
    <w:p w:rsidR="00EA031F" w:rsidRDefault="00EA031F" w:rsidP="00D72A06">
      <w:pPr>
        <w:autoSpaceDE w:val="0"/>
        <w:autoSpaceDN w:val="0"/>
        <w:adjustRightInd w:val="0"/>
        <w:spacing w:line="360" w:lineRule="auto"/>
        <w:jc w:val="both"/>
        <w:rPr>
          <w:sz w:val="22"/>
          <w:szCs w:val="22"/>
        </w:rPr>
      </w:pPr>
    </w:p>
    <w:p w:rsidR="00A837EA" w:rsidRDefault="00B80773" w:rsidP="00D72A06">
      <w:pPr>
        <w:autoSpaceDE w:val="0"/>
        <w:autoSpaceDN w:val="0"/>
        <w:adjustRightInd w:val="0"/>
        <w:spacing w:line="360" w:lineRule="auto"/>
        <w:jc w:val="both"/>
        <w:rPr>
          <w:sz w:val="22"/>
          <w:szCs w:val="22"/>
        </w:rPr>
      </w:pPr>
      <w:r>
        <w:rPr>
          <w:sz w:val="22"/>
          <w:szCs w:val="22"/>
        </w:rPr>
        <w:t xml:space="preserve">Previous studies have examined the relation between </w:t>
      </w:r>
      <w:r w:rsidR="00F303A3">
        <w:rPr>
          <w:sz w:val="22"/>
          <w:szCs w:val="22"/>
        </w:rPr>
        <w:t>executive’s</w:t>
      </w:r>
      <w:r w:rsidR="008A79B1">
        <w:rPr>
          <w:sz w:val="22"/>
          <w:szCs w:val="22"/>
        </w:rPr>
        <w:t xml:space="preserve"> </w:t>
      </w:r>
      <w:r>
        <w:rPr>
          <w:sz w:val="22"/>
          <w:szCs w:val="22"/>
        </w:rPr>
        <w:t>equity incentives and earnings management.</w:t>
      </w:r>
      <w:r w:rsidR="00010BCE">
        <w:rPr>
          <w:sz w:val="22"/>
          <w:szCs w:val="22"/>
        </w:rPr>
        <w:t xml:space="preserve"> </w:t>
      </w:r>
      <w:r w:rsidR="00964135">
        <w:rPr>
          <w:sz w:val="22"/>
          <w:szCs w:val="22"/>
        </w:rPr>
        <w:t xml:space="preserve">For example, </w:t>
      </w:r>
      <w:proofErr w:type="spellStart"/>
      <w:r w:rsidR="00D10EE7">
        <w:rPr>
          <w:sz w:val="22"/>
          <w:szCs w:val="22"/>
        </w:rPr>
        <w:t>Bergstresser</w:t>
      </w:r>
      <w:proofErr w:type="spellEnd"/>
      <w:r w:rsidR="00D10EE7">
        <w:rPr>
          <w:sz w:val="22"/>
          <w:szCs w:val="22"/>
        </w:rPr>
        <w:t xml:space="preserve"> and </w:t>
      </w:r>
      <w:proofErr w:type="spellStart"/>
      <w:r w:rsidR="00D10EE7">
        <w:rPr>
          <w:sz w:val="22"/>
          <w:szCs w:val="22"/>
        </w:rPr>
        <w:t>Philippon</w:t>
      </w:r>
      <w:proofErr w:type="spellEnd"/>
      <w:r w:rsidR="00D10EE7">
        <w:rPr>
          <w:sz w:val="22"/>
          <w:szCs w:val="22"/>
        </w:rPr>
        <w:t xml:space="preserve"> </w:t>
      </w:r>
      <w:r w:rsidR="00010BCE">
        <w:rPr>
          <w:sz w:val="22"/>
          <w:szCs w:val="22"/>
        </w:rPr>
        <w:t>(</w:t>
      </w:r>
      <w:r w:rsidR="00D10EE7">
        <w:rPr>
          <w:sz w:val="22"/>
          <w:szCs w:val="22"/>
        </w:rPr>
        <w:t>2006</w:t>
      </w:r>
      <w:r w:rsidR="00010BCE">
        <w:rPr>
          <w:sz w:val="22"/>
          <w:szCs w:val="22"/>
        </w:rPr>
        <w:t xml:space="preserve">) </w:t>
      </w:r>
      <w:r w:rsidR="00CE4842">
        <w:rPr>
          <w:sz w:val="22"/>
          <w:szCs w:val="22"/>
        </w:rPr>
        <w:t>found</w:t>
      </w:r>
      <w:r w:rsidR="00010BCE">
        <w:rPr>
          <w:sz w:val="22"/>
          <w:szCs w:val="22"/>
        </w:rPr>
        <w:t xml:space="preserve"> </w:t>
      </w:r>
      <w:r w:rsidR="00D72A06">
        <w:rPr>
          <w:sz w:val="22"/>
          <w:szCs w:val="22"/>
        </w:rPr>
        <w:t xml:space="preserve">a positive relationship between executive equity incentive and earnings management. They </w:t>
      </w:r>
      <w:r w:rsidR="00CE4842">
        <w:rPr>
          <w:sz w:val="22"/>
          <w:szCs w:val="22"/>
        </w:rPr>
        <w:t>found</w:t>
      </w:r>
      <w:r w:rsidR="00D72A06">
        <w:rPr>
          <w:sz w:val="22"/>
          <w:szCs w:val="22"/>
        </w:rPr>
        <w:t xml:space="preserve"> </w:t>
      </w:r>
      <w:r w:rsidR="00010BCE">
        <w:rPr>
          <w:sz w:val="22"/>
          <w:szCs w:val="22"/>
        </w:rPr>
        <w:t xml:space="preserve">evidence that more incentivized </w:t>
      </w:r>
      <w:r w:rsidR="00F303A3">
        <w:rPr>
          <w:sz w:val="22"/>
          <w:szCs w:val="22"/>
        </w:rPr>
        <w:t>chief executive officers (</w:t>
      </w:r>
      <w:r w:rsidR="00010BCE">
        <w:rPr>
          <w:sz w:val="22"/>
          <w:szCs w:val="22"/>
        </w:rPr>
        <w:t>CEO</w:t>
      </w:r>
      <w:r w:rsidR="00F303A3">
        <w:rPr>
          <w:sz w:val="22"/>
          <w:szCs w:val="22"/>
        </w:rPr>
        <w:t>)</w:t>
      </w:r>
      <w:r w:rsidR="00332362">
        <w:rPr>
          <w:sz w:val="22"/>
          <w:szCs w:val="22"/>
        </w:rPr>
        <w:t xml:space="preserve"> </w:t>
      </w:r>
      <w:r w:rsidR="00140396">
        <w:rPr>
          <w:sz w:val="22"/>
          <w:szCs w:val="22"/>
        </w:rPr>
        <w:t>are associated</w:t>
      </w:r>
      <w:r w:rsidR="00332362">
        <w:rPr>
          <w:sz w:val="22"/>
          <w:szCs w:val="22"/>
        </w:rPr>
        <w:t xml:space="preserve"> with higher levels of earnings management and </w:t>
      </w:r>
      <w:r w:rsidR="00D72A06">
        <w:rPr>
          <w:sz w:val="22"/>
          <w:szCs w:val="22"/>
        </w:rPr>
        <w:t>there are unusual</w:t>
      </w:r>
      <w:r w:rsidR="00D87B6C">
        <w:rPr>
          <w:sz w:val="22"/>
          <w:szCs w:val="22"/>
        </w:rPr>
        <w:t xml:space="preserve"> option exercises and share sales by</w:t>
      </w:r>
      <w:r w:rsidR="00D87B6C" w:rsidRPr="00D87B6C">
        <w:rPr>
          <w:sz w:val="22"/>
          <w:szCs w:val="22"/>
        </w:rPr>
        <w:t xml:space="preserve"> </w:t>
      </w:r>
      <w:r w:rsidR="00D72A06">
        <w:rPr>
          <w:sz w:val="22"/>
          <w:szCs w:val="22"/>
        </w:rPr>
        <w:t xml:space="preserve">CEOs in </w:t>
      </w:r>
      <w:r w:rsidR="00332362">
        <w:rPr>
          <w:sz w:val="22"/>
          <w:szCs w:val="22"/>
        </w:rPr>
        <w:t xml:space="preserve">periods of high accruals. </w:t>
      </w:r>
      <w:r w:rsidR="007A201D">
        <w:rPr>
          <w:sz w:val="22"/>
          <w:szCs w:val="22"/>
        </w:rPr>
        <w:t>Next to it</w:t>
      </w:r>
      <w:r w:rsidR="00D72A06">
        <w:rPr>
          <w:sz w:val="22"/>
          <w:szCs w:val="22"/>
        </w:rPr>
        <w:t xml:space="preserve">, </w:t>
      </w:r>
      <w:r w:rsidR="00D10EE7">
        <w:rPr>
          <w:sz w:val="22"/>
          <w:szCs w:val="22"/>
        </w:rPr>
        <w:t xml:space="preserve">Cheng and Warfield </w:t>
      </w:r>
      <w:r w:rsidR="00332362">
        <w:rPr>
          <w:sz w:val="22"/>
          <w:szCs w:val="22"/>
        </w:rPr>
        <w:t>(</w:t>
      </w:r>
      <w:r w:rsidR="00D10EE7">
        <w:rPr>
          <w:sz w:val="22"/>
          <w:szCs w:val="22"/>
        </w:rPr>
        <w:t>2005)</w:t>
      </w:r>
      <w:r w:rsidR="00332362">
        <w:rPr>
          <w:sz w:val="22"/>
          <w:szCs w:val="22"/>
        </w:rPr>
        <w:t xml:space="preserve"> document</w:t>
      </w:r>
      <w:r w:rsidR="00E938B4">
        <w:rPr>
          <w:sz w:val="22"/>
          <w:szCs w:val="22"/>
        </w:rPr>
        <w:t>ed</w:t>
      </w:r>
      <w:r w:rsidR="00332362">
        <w:rPr>
          <w:sz w:val="22"/>
          <w:szCs w:val="22"/>
        </w:rPr>
        <w:t xml:space="preserve"> </w:t>
      </w:r>
      <w:r w:rsidR="004464DC">
        <w:rPr>
          <w:sz w:val="22"/>
          <w:szCs w:val="22"/>
        </w:rPr>
        <w:t>that manager</w:t>
      </w:r>
      <w:r w:rsidR="00D72A06">
        <w:rPr>
          <w:sz w:val="22"/>
          <w:szCs w:val="22"/>
        </w:rPr>
        <w:t>s</w:t>
      </w:r>
      <w:r w:rsidR="00332362">
        <w:rPr>
          <w:sz w:val="22"/>
          <w:szCs w:val="22"/>
        </w:rPr>
        <w:t xml:space="preserve"> with high equity incentives sell more shares in the year after earnings announcements and are more likely to report earnings that meet or just beat analysts’ forecasts</w:t>
      </w:r>
      <w:r w:rsidR="00D10EE7">
        <w:rPr>
          <w:sz w:val="22"/>
          <w:szCs w:val="22"/>
        </w:rPr>
        <w:t>.</w:t>
      </w:r>
      <w:r w:rsidR="00D72A06">
        <w:rPr>
          <w:sz w:val="22"/>
          <w:szCs w:val="22"/>
        </w:rPr>
        <w:t xml:space="preserve"> </w:t>
      </w:r>
      <w:r w:rsidR="00813571">
        <w:rPr>
          <w:sz w:val="22"/>
          <w:szCs w:val="22"/>
        </w:rPr>
        <w:t>Corne</w:t>
      </w:r>
      <w:r w:rsidR="000057FF">
        <w:rPr>
          <w:sz w:val="22"/>
          <w:szCs w:val="22"/>
        </w:rPr>
        <w:t>t</w:t>
      </w:r>
      <w:r w:rsidR="00813571">
        <w:rPr>
          <w:sz w:val="22"/>
          <w:szCs w:val="22"/>
        </w:rPr>
        <w:t xml:space="preserve">t, Marcus and </w:t>
      </w:r>
      <w:proofErr w:type="spellStart"/>
      <w:r w:rsidR="00813571">
        <w:rPr>
          <w:sz w:val="22"/>
          <w:szCs w:val="22"/>
        </w:rPr>
        <w:t>Tehranian</w:t>
      </w:r>
      <w:proofErr w:type="spellEnd"/>
      <w:r w:rsidR="00247E78">
        <w:rPr>
          <w:sz w:val="22"/>
          <w:szCs w:val="22"/>
        </w:rPr>
        <w:t xml:space="preserve"> </w:t>
      </w:r>
      <w:r w:rsidR="00280302">
        <w:rPr>
          <w:sz w:val="22"/>
          <w:szCs w:val="22"/>
        </w:rPr>
        <w:t>(</w:t>
      </w:r>
      <w:r w:rsidR="00247E78">
        <w:rPr>
          <w:sz w:val="22"/>
          <w:szCs w:val="22"/>
        </w:rPr>
        <w:t>200</w:t>
      </w:r>
      <w:r w:rsidR="00963D35">
        <w:rPr>
          <w:sz w:val="22"/>
          <w:szCs w:val="22"/>
        </w:rPr>
        <w:t>7</w:t>
      </w:r>
      <w:r w:rsidR="00247E78">
        <w:rPr>
          <w:sz w:val="22"/>
          <w:szCs w:val="22"/>
        </w:rPr>
        <w:t xml:space="preserve">) </w:t>
      </w:r>
      <w:r w:rsidR="00E938B4">
        <w:rPr>
          <w:sz w:val="22"/>
          <w:szCs w:val="22"/>
        </w:rPr>
        <w:t>foun</w:t>
      </w:r>
      <w:r w:rsidR="00B034E4">
        <w:rPr>
          <w:sz w:val="22"/>
          <w:szCs w:val="22"/>
        </w:rPr>
        <w:t>d that stock options as compensation increases earnings management and reduce the quality of earnings</w:t>
      </w:r>
      <w:r w:rsidR="002A153C">
        <w:rPr>
          <w:sz w:val="22"/>
          <w:szCs w:val="22"/>
        </w:rPr>
        <w:t>, but they</w:t>
      </w:r>
      <w:r w:rsidR="00B034E4">
        <w:rPr>
          <w:sz w:val="22"/>
          <w:szCs w:val="22"/>
        </w:rPr>
        <w:t xml:space="preserve"> point</w:t>
      </w:r>
      <w:r w:rsidR="00785116">
        <w:rPr>
          <w:sz w:val="22"/>
          <w:szCs w:val="22"/>
        </w:rPr>
        <w:t>ed</w:t>
      </w:r>
      <w:r w:rsidR="00B034E4">
        <w:rPr>
          <w:sz w:val="22"/>
          <w:szCs w:val="22"/>
        </w:rPr>
        <w:t xml:space="preserve"> out</w:t>
      </w:r>
      <w:r w:rsidR="00247E78">
        <w:rPr>
          <w:sz w:val="22"/>
          <w:szCs w:val="22"/>
        </w:rPr>
        <w:t xml:space="preserve"> that earnings management </w:t>
      </w:r>
      <w:r w:rsidR="004C113A">
        <w:rPr>
          <w:sz w:val="22"/>
          <w:szCs w:val="22"/>
        </w:rPr>
        <w:t xml:space="preserve">can be </w:t>
      </w:r>
      <w:r w:rsidR="007431D2">
        <w:rPr>
          <w:sz w:val="22"/>
          <w:szCs w:val="22"/>
        </w:rPr>
        <w:t>mitigated</w:t>
      </w:r>
      <w:r w:rsidR="004C113A">
        <w:rPr>
          <w:sz w:val="22"/>
          <w:szCs w:val="22"/>
        </w:rPr>
        <w:t xml:space="preserve"> by using</w:t>
      </w:r>
      <w:r w:rsidR="00E92FF6">
        <w:rPr>
          <w:sz w:val="22"/>
          <w:szCs w:val="22"/>
        </w:rPr>
        <w:t xml:space="preserve"> governance </w:t>
      </w:r>
      <w:r w:rsidR="004C113A">
        <w:rPr>
          <w:sz w:val="22"/>
          <w:szCs w:val="22"/>
        </w:rPr>
        <w:t xml:space="preserve">mechanisms </w:t>
      </w:r>
      <w:r w:rsidR="00E92FF6">
        <w:rPr>
          <w:sz w:val="22"/>
          <w:szCs w:val="22"/>
        </w:rPr>
        <w:t xml:space="preserve">and </w:t>
      </w:r>
      <w:r w:rsidR="004C113A">
        <w:rPr>
          <w:sz w:val="22"/>
          <w:szCs w:val="22"/>
        </w:rPr>
        <w:t xml:space="preserve">more </w:t>
      </w:r>
      <w:r w:rsidR="00E92FF6">
        <w:rPr>
          <w:sz w:val="22"/>
          <w:szCs w:val="22"/>
        </w:rPr>
        <w:t>monitoring</w:t>
      </w:r>
      <w:r w:rsidR="004C113A">
        <w:rPr>
          <w:sz w:val="22"/>
          <w:szCs w:val="22"/>
        </w:rPr>
        <w:t>.</w:t>
      </w:r>
      <w:r w:rsidR="00F459CA">
        <w:rPr>
          <w:sz w:val="22"/>
          <w:szCs w:val="22"/>
        </w:rPr>
        <w:t xml:space="preserve"> </w:t>
      </w:r>
      <w:r w:rsidR="00A837EA">
        <w:rPr>
          <w:sz w:val="22"/>
          <w:szCs w:val="22"/>
        </w:rPr>
        <w:t xml:space="preserve">In addition, </w:t>
      </w:r>
      <w:r w:rsidR="00E938B4">
        <w:rPr>
          <w:sz w:val="22"/>
          <w:szCs w:val="22"/>
        </w:rPr>
        <w:t>Cheng, Warfield and Ye (2009) fou</w:t>
      </w:r>
      <w:r w:rsidR="00A837EA">
        <w:rPr>
          <w:sz w:val="22"/>
          <w:szCs w:val="22"/>
        </w:rPr>
        <w:t>nd evidence in the banking industry that CEOs with high equity incentives only engage earnings management when capital ratios are close to the minimal capital requirements of regulators.</w:t>
      </w:r>
    </w:p>
    <w:p w:rsidR="00C90ECA" w:rsidRDefault="00C90ECA" w:rsidP="00D72A06">
      <w:pPr>
        <w:autoSpaceDE w:val="0"/>
        <w:autoSpaceDN w:val="0"/>
        <w:adjustRightInd w:val="0"/>
        <w:spacing w:line="360" w:lineRule="auto"/>
        <w:jc w:val="both"/>
        <w:rPr>
          <w:sz w:val="22"/>
          <w:szCs w:val="22"/>
        </w:rPr>
      </w:pPr>
    </w:p>
    <w:p w:rsidR="00A837EA" w:rsidRDefault="00C90ECA" w:rsidP="00D72A06">
      <w:pPr>
        <w:autoSpaceDE w:val="0"/>
        <w:autoSpaceDN w:val="0"/>
        <w:adjustRightInd w:val="0"/>
        <w:spacing w:line="360" w:lineRule="auto"/>
        <w:jc w:val="both"/>
        <w:rPr>
          <w:sz w:val="22"/>
          <w:szCs w:val="22"/>
        </w:rPr>
      </w:pPr>
      <w:r>
        <w:rPr>
          <w:sz w:val="22"/>
          <w:szCs w:val="22"/>
        </w:rPr>
        <w:t xml:space="preserve">The focus in these studies has been mainly on the CEO. This is likely, because CEOs receive the largest compensation package and the CEO is believed to be the most influential. Nevertheless, Jiang, </w:t>
      </w:r>
      <w:proofErr w:type="spellStart"/>
      <w:r>
        <w:rPr>
          <w:sz w:val="22"/>
          <w:szCs w:val="22"/>
        </w:rPr>
        <w:t>Petroni</w:t>
      </w:r>
      <w:proofErr w:type="spellEnd"/>
      <w:r>
        <w:rPr>
          <w:sz w:val="22"/>
          <w:szCs w:val="22"/>
        </w:rPr>
        <w:t xml:space="preserve"> and Wang (2010) have examined the relationship between equity incentives of the chief </w:t>
      </w:r>
      <w:proofErr w:type="gramStart"/>
      <w:r>
        <w:rPr>
          <w:sz w:val="22"/>
          <w:szCs w:val="22"/>
        </w:rPr>
        <w:t>financial</w:t>
      </w:r>
      <w:proofErr w:type="gramEnd"/>
      <w:r>
        <w:rPr>
          <w:sz w:val="22"/>
          <w:szCs w:val="22"/>
        </w:rPr>
        <w:t xml:space="preserve"> officer (CFO) and earnings management in industrial firms. Their evidence shows that equity incentives induce the CFO more to engage earnings management relative to the CEO. </w:t>
      </w:r>
      <w:r w:rsidR="00C6155A">
        <w:rPr>
          <w:sz w:val="22"/>
          <w:szCs w:val="22"/>
        </w:rPr>
        <w:t>For earnings management studies</w:t>
      </w:r>
      <w:r>
        <w:rPr>
          <w:sz w:val="22"/>
          <w:szCs w:val="22"/>
        </w:rPr>
        <w:t xml:space="preserve">, the Sarbanes-Oxley Act of 2002 (SOX) </w:t>
      </w:r>
      <w:r w:rsidR="00C6155A">
        <w:rPr>
          <w:sz w:val="22"/>
          <w:szCs w:val="22"/>
        </w:rPr>
        <w:t xml:space="preserve">is an important event which </w:t>
      </w:r>
      <w:r>
        <w:rPr>
          <w:sz w:val="22"/>
          <w:szCs w:val="22"/>
        </w:rPr>
        <w:t xml:space="preserve">requires both CEO and CFO to certify that there are no material weaknesses in the financial statements. </w:t>
      </w:r>
      <w:r w:rsidR="0045439B">
        <w:rPr>
          <w:sz w:val="22"/>
          <w:szCs w:val="22"/>
        </w:rPr>
        <w:t>A</w:t>
      </w:r>
      <w:r w:rsidR="00C6155A">
        <w:rPr>
          <w:sz w:val="22"/>
          <w:szCs w:val="22"/>
        </w:rPr>
        <w:t xml:space="preserve"> </w:t>
      </w:r>
      <w:r w:rsidR="00C6155A">
        <w:rPr>
          <w:sz w:val="22"/>
          <w:szCs w:val="22"/>
        </w:rPr>
        <w:lastRenderedPageBreak/>
        <w:t>recent disclosure requirement</w:t>
      </w:r>
      <w:r>
        <w:rPr>
          <w:sz w:val="22"/>
          <w:szCs w:val="22"/>
        </w:rPr>
        <w:t xml:space="preserve"> </w:t>
      </w:r>
      <w:r w:rsidR="00C6155A">
        <w:rPr>
          <w:sz w:val="22"/>
          <w:szCs w:val="22"/>
        </w:rPr>
        <w:t xml:space="preserve">of </w:t>
      </w:r>
      <w:r>
        <w:rPr>
          <w:sz w:val="22"/>
          <w:szCs w:val="22"/>
        </w:rPr>
        <w:t xml:space="preserve">the </w:t>
      </w:r>
      <w:r w:rsidR="0058609F">
        <w:rPr>
          <w:sz w:val="22"/>
          <w:szCs w:val="22"/>
        </w:rPr>
        <w:t>Security and Exchange Commission (</w:t>
      </w:r>
      <w:r>
        <w:rPr>
          <w:sz w:val="22"/>
          <w:szCs w:val="22"/>
        </w:rPr>
        <w:t>SEC</w:t>
      </w:r>
      <w:r w:rsidR="0058609F">
        <w:rPr>
          <w:sz w:val="22"/>
          <w:szCs w:val="22"/>
        </w:rPr>
        <w:t>)</w:t>
      </w:r>
      <w:r w:rsidR="00C6155A">
        <w:rPr>
          <w:sz w:val="22"/>
          <w:szCs w:val="22"/>
        </w:rPr>
        <w:t xml:space="preserve"> is an important event</w:t>
      </w:r>
      <w:r w:rsidR="0045439B">
        <w:rPr>
          <w:sz w:val="22"/>
          <w:szCs w:val="22"/>
        </w:rPr>
        <w:t xml:space="preserve"> for executive compensation, because the SEC</w:t>
      </w:r>
      <w:r>
        <w:rPr>
          <w:sz w:val="22"/>
          <w:szCs w:val="22"/>
        </w:rPr>
        <w:t xml:space="preserve"> mandate</w:t>
      </w:r>
      <w:r w:rsidR="0058609F">
        <w:rPr>
          <w:sz w:val="22"/>
          <w:szCs w:val="22"/>
        </w:rPr>
        <w:t>s</w:t>
      </w:r>
      <w:r>
        <w:rPr>
          <w:sz w:val="22"/>
          <w:szCs w:val="22"/>
        </w:rPr>
        <w:t xml:space="preserve"> firms to add additional disclosure of information about CFO compensation and </w:t>
      </w:r>
      <w:r w:rsidRPr="001F3D46">
        <w:rPr>
          <w:color w:val="000000"/>
          <w:sz w:val="22"/>
          <w:szCs w:val="22"/>
        </w:rPr>
        <w:t xml:space="preserve">claim that </w:t>
      </w:r>
      <w:r>
        <w:rPr>
          <w:color w:val="000000"/>
          <w:sz w:val="22"/>
          <w:szCs w:val="22"/>
        </w:rPr>
        <w:t xml:space="preserve">CFO </w:t>
      </w:r>
      <w:r w:rsidRPr="001F3D46">
        <w:rPr>
          <w:color w:val="000000"/>
          <w:sz w:val="22"/>
          <w:szCs w:val="22"/>
        </w:rPr>
        <w:t>compensation</w:t>
      </w:r>
      <w:r>
        <w:rPr>
          <w:color w:val="000000"/>
          <w:sz w:val="22"/>
          <w:szCs w:val="22"/>
        </w:rPr>
        <w:t xml:space="preserve"> </w:t>
      </w:r>
      <w:r w:rsidRPr="001F3D46">
        <w:rPr>
          <w:color w:val="000000"/>
          <w:sz w:val="22"/>
          <w:szCs w:val="22"/>
        </w:rPr>
        <w:t>is important to the shareholders as well</w:t>
      </w:r>
      <w:r>
        <w:rPr>
          <w:sz w:val="22"/>
          <w:szCs w:val="22"/>
        </w:rPr>
        <w:t xml:space="preserve">. </w:t>
      </w:r>
      <w:r w:rsidR="0045439B">
        <w:rPr>
          <w:sz w:val="22"/>
          <w:szCs w:val="22"/>
        </w:rPr>
        <w:t>I</w:t>
      </w:r>
      <w:r>
        <w:rPr>
          <w:sz w:val="22"/>
          <w:szCs w:val="22"/>
        </w:rPr>
        <w:t>t is</w:t>
      </w:r>
      <w:r w:rsidR="0045439B">
        <w:rPr>
          <w:sz w:val="22"/>
          <w:szCs w:val="22"/>
        </w:rPr>
        <w:t xml:space="preserve"> therefore</w:t>
      </w:r>
      <w:r>
        <w:rPr>
          <w:sz w:val="22"/>
          <w:szCs w:val="22"/>
        </w:rPr>
        <w:t xml:space="preserve"> interesting to examine equity incentives of the CFO.</w:t>
      </w:r>
    </w:p>
    <w:p w:rsidR="00C90ECA" w:rsidRDefault="00C90ECA" w:rsidP="00D72A06">
      <w:pPr>
        <w:autoSpaceDE w:val="0"/>
        <w:autoSpaceDN w:val="0"/>
        <w:adjustRightInd w:val="0"/>
        <w:spacing w:line="360" w:lineRule="auto"/>
        <w:jc w:val="both"/>
        <w:rPr>
          <w:sz w:val="22"/>
          <w:szCs w:val="22"/>
        </w:rPr>
      </w:pPr>
    </w:p>
    <w:p w:rsidR="00F066A9" w:rsidRPr="000B42E1" w:rsidRDefault="00EA031F" w:rsidP="00F066A9">
      <w:pPr>
        <w:autoSpaceDE w:val="0"/>
        <w:autoSpaceDN w:val="0"/>
        <w:adjustRightInd w:val="0"/>
        <w:spacing w:line="360" w:lineRule="auto"/>
        <w:jc w:val="both"/>
        <w:rPr>
          <w:sz w:val="22"/>
          <w:szCs w:val="22"/>
        </w:rPr>
      </w:pPr>
      <w:r>
        <w:rPr>
          <w:sz w:val="22"/>
          <w:szCs w:val="22"/>
        </w:rPr>
        <w:t>Moreover</w:t>
      </w:r>
      <w:r w:rsidR="00F066A9">
        <w:rPr>
          <w:sz w:val="22"/>
          <w:szCs w:val="22"/>
        </w:rPr>
        <w:t>, SOX seem</w:t>
      </w:r>
      <w:r w:rsidR="00F55FA3">
        <w:rPr>
          <w:sz w:val="22"/>
          <w:szCs w:val="22"/>
        </w:rPr>
        <w:t>s</w:t>
      </w:r>
      <w:r w:rsidR="00F066A9">
        <w:rPr>
          <w:sz w:val="22"/>
          <w:szCs w:val="22"/>
        </w:rPr>
        <w:t xml:space="preserve"> to have a large impact on earnings management behavior. </w:t>
      </w:r>
      <w:r w:rsidR="00C243D7">
        <w:rPr>
          <w:sz w:val="22"/>
          <w:szCs w:val="22"/>
        </w:rPr>
        <w:t xml:space="preserve">Regulators implemented SOX to </w:t>
      </w:r>
      <w:r w:rsidR="00F922F6">
        <w:rPr>
          <w:sz w:val="22"/>
          <w:szCs w:val="22"/>
        </w:rPr>
        <w:t>set</w:t>
      </w:r>
      <w:r w:rsidR="00C243D7">
        <w:rPr>
          <w:sz w:val="22"/>
          <w:szCs w:val="22"/>
        </w:rPr>
        <w:t xml:space="preserve"> a higher standard on the quality of financial information and state specifically that generally accepted accounting principles (GAAP) can no longer be used as a defense against charges of malicious earnings management practices. </w:t>
      </w:r>
      <w:r w:rsidR="00677C4D">
        <w:rPr>
          <w:sz w:val="22"/>
          <w:szCs w:val="22"/>
        </w:rPr>
        <w:t xml:space="preserve">It is expected that SOX will reduce earnings management practices (McEnroe, 2007). Cohen, </w:t>
      </w:r>
      <w:proofErr w:type="spellStart"/>
      <w:r w:rsidR="00677C4D">
        <w:rPr>
          <w:sz w:val="22"/>
          <w:szCs w:val="22"/>
        </w:rPr>
        <w:t>Dey</w:t>
      </w:r>
      <w:proofErr w:type="spellEnd"/>
      <w:r w:rsidR="00677C4D">
        <w:rPr>
          <w:sz w:val="22"/>
          <w:szCs w:val="22"/>
        </w:rPr>
        <w:t xml:space="preserve"> and Lys</w:t>
      </w:r>
      <w:r w:rsidR="00F066A9">
        <w:rPr>
          <w:sz w:val="22"/>
          <w:szCs w:val="22"/>
        </w:rPr>
        <w:t xml:space="preserve"> (2008) document</w:t>
      </w:r>
      <w:r w:rsidR="00F55FA3">
        <w:rPr>
          <w:sz w:val="22"/>
          <w:szCs w:val="22"/>
        </w:rPr>
        <w:t>ed</w:t>
      </w:r>
      <w:r w:rsidR="00F066A9">
        <w:rPr>
          <w:sz w:val="22"/>
          <w:szCs w:val="22"/>
        </w:rPr>
        <w:t xml:space="preserve"> an increasing use of accrual-based earnings management in the pre-SOX periods, but it has been substituted by real earnings management in the post-SOX period. Therefore, this research will attempt to provide evidence on the association of CFO equity incentives and earnings management in comparison with CEO during the pre-SOX and post-SOX period. Next to it, </w:t>
      </w:r>
      <w:r w:rsidR="00FE5E1F">
        <w:rPr>
          <w:sz w:val="22"/>
          <w:szCs w:val="22"/>
        </w:rPr>
        <w:t>prior studies often exclude financial firms in the sample because of differences in regulations and accrual processes. Therefore, this</w:t>
      </w:r>
      <w:r w:rsidR="00F066A9">
        <w:rPr>
          <w:sz w:val="22"/>
          <w:szCs w:val="22"/>
        </w:rPr>
        <w:t xml:space="preserve"> paper will investigate the extent of earnings management in the banking industry</w:t>
      </w:r>
      <w:r w:rsidR="0031623C">
        <w:rPr>
          <w:sz w:val="22"/>
          <w:szCs w:val="22"/>
        </w:rPr>
        <w:t>.</w:t>
      </w:r>
      <w:r w:rsidR="00F066A9">
        <w:rPr>
          <w:sz w:val="22"/>
          <w:szCs w:val="22"/>
        </w:rPr>
        <w:t xml:space="preserve"> </w:t>
      </w:r>
      <w:r w:rsidR="0031623C">
        <w:rPr>
          <w:sz w:val="22"/>
          <w:szCs w:val="22"/>
        </w:rPr>
        <w:t>T</w:t>
      </w:r>
      <w:r w:rsidR="00F066A9">
        <w:rPr>
          <w:sz w:val="22"/>
          <w:szCs w:val="22"/>
        </w:rPr>
        <w:t xml:space="preserve">he </w:t>
      </w:r>
      <w:r w:rsidR="00B30640">
        <w:rPr>
          <w:sz w:val="22"/>
          <w:szCs w:val="22"/>
        </w:rPr>
        <w:t>financial</w:t>
      </w:r>
      <w:r w:rsidR="00F066A9">
        <w:rPr>
          <w:sz w:val="22"/>
          <w:szCs w:val="22"/>
        </w:rPr>
        <w:t xml:space="preserve"> crisis</w:t>
      </w:r>
      <w:r w:rsidR="00B30640">
        <w:rPr>
          <w:sz w:val="22"/>
          <w:szCs w:val="22"/>
        </w:rPr>
        <w:t xml:space="preserve"> of 2008</w:t>
      </w:r>
      <w:r w:rsidR="00F066A9">
        <w:rPr>
          <w:sz w:val="22"/>
          <w:szCs w:val="22"/>
        </w:rPr>
        <w:t xml:space="preserve"> has shown that banks are critical components of the economy and have significant influence on </w:t>
      </w:r>
      <w:r w:rsidR="00260779">
        <w:rPr>
          <w:sz w:val="22"/>
          <w:szCs w:val="22"/>
        </w:rPr>
        <w:t>the financial market worldwide.</w:t>
      </w:r>
    </w:p>
    <w:p w:rsidR="00C90ECA" w:rsidRDefault="00C90ECA" w:rsidP="00D72A06">
      <w:pPr>
        <w:autoSpaceDE w:val="0"/>
        <w:autoSpaceDN w:val="0"/>
        <w:adjustRightInd w:val="0"/>
        <w:spacing w:line="360" w:lineRule="auto"/>
        <w:jc w:val="both"/>
        <w:rPr>
          <w:sz w:val="22"/>
          <w:szCs w:val="22"/>
        </w:rPr>
      </w:pPr>
    </w:p>
    <w:p w:rsidR="004351E5" w:rsidRPr="00F1390F" w:rsidRDefault="004351E5" w:rsidP="006B7FF2">
      <w:pPr>
        <w:pStyle w:val="Kop2"/>
      </w:pPr>
      <w:bookmarkStart w:id="24" w:name="_Toc287614154"/>
      <w:r w:rsidRPr="00F1390F">
        <w:t>1.</w:t>
      </w:r>
      <w:r w:rsidR="00040A9E">
        <w:t>2</w:t>
      </w:r>
      <w:r w:rsidRPr="00F1390F">
        <w:t xml:space="preserve"> Problem statement</w:t>
      </w:r>
      <w:bookmarkEnd w:id="24"/>
    </w:p>
    <w:p w:rsidR="004351E5" w:rsidRDefault="0031623C" w:rsidP="00E528C2">
      <w:pPr>
        <w:spacing w:line="360" w:lineRule="auto"/>
        <w:jc w:val="both"/>
        <w:rPr>
          <w:color w:val="000000"/>
          <w:sz w:val="22"/>
          <w:szCs w:val="22"/>
        </w:rPr>
      </w:pPr>
      <w:r>
        <w:rPr>
          <w:color w:val="000000"/>
          <w:sz w:val="22"/>
          <w:szCs w:val="22"/>
        </w:rPr>
        <w:t>In order to</w:t>
      </w:r>
      <w:r w:rsidR="00C84D02" w:rsidRPr="003C0C1C">
        <w:rPr>
          <w:color w:val="000000"/>
          <w:sz w:val="22"/>
          <w:szCs w:val="22"/>
        </w:rPr>
        <w:t xml:space="preserve"> </w:t>
      </w:r>
      <w:r w:rsidR="003C0C1C">
        <w:rPr>
          <w:color w:val="000000"/>
          <w:sz w:val="22"/>
          <w:szCs w:val="22"/>
        </w:rPr>
        <w:t>investigate the effect of</w:t>
      </w:r>
      <w:r w:rsidR="00C84D02" w:rsidRPr="003C0C1C">
        <w:rPr>
          <w:color w:val="000000"/>
          <w:sz w:val="22"/>
          <w:szCs w:val="22"/>
        </w:rPr>
        <w:t xml:space="preserve"> CFO </w:t>
      </w:r>
      <w:r w:rsidR="003C0C1C">
        <w:rPr>
          <w:color w:val="000000"/>
          <w:sz w:val="22"/>
          <w:szCs w:val="22"/>
        </w:rPr>
        <w:t>equity incentives on earnings management</w:t>
      </w:r>
      <w:r w:rsidR="00C26058">
        <w:rPr>
          <w:color w:val="000000"/>
          <w:sz w:val="22"/>
          <w:szCs w:val="22"/>
        </w:rPr>
        <w:t xml:space="preserve"> relative to the CEO</w:t>
      </w:r>
      <w:r>
        <w:rPr>
          <w:color w:val="000000"/>
          <w:sz w:val="22"/>
          <w:szCs w:val="22"/>
        </w:rPr>
        <w:t xml:space="preserve"> in t</w:t>
      </w:r>
      <w:r w:rsidR="00725DC7">
        <w:rPr>
          <w:color w:val="000000"/>
          <w:sz w:val="22"/>
          <w:szCs w:val="22"/>
        </w:rPr>
        <w:t>he banking industry, the research question will be formulated as follows:</w:t>
      </w:r>
    </w:p>
    <w:p w:rsidR="00725DC7" w:rsidRPr="00725DC7" w:rsidRDefault="00725DC7" w:rsidP="00E528C2">
      <w:pPr>
        <w:spacing w:line="360" w:lineRule="auto"/>
        <w:jc w:val="both"/>
        <w:rPr>
          <w:i/>
          <w:color w:val="000000"/>
          <w:sz w:val="22"/>
          <w:szCs w:val="22"/>
        </w:rPr>
      </w:pPr>
    </w:p>
    <w:p w:rsidR="00725DC7" w:rsidRPr="00725DC7" w:rsidRDefault="00D42703" w:rsidP="00E528C2">
      <w:pPr>
        <w:spacing w:line="360" w:lineRule="auto"/>
        <w:jc w:val="both"/>
        <w:rPr>
          <w:i/>
          <w:color w:val="000000"/>
          <w:sz w:val="22"/>
          <w:szCs w:val="22"/>
        </w:rPr>
      </w:pPr>
      <w:r>
        <w:rPr>
          <w:i/>
          <w:color w:val="000000"/>
          <w:sz w:val="22"/>
          <w:szCs w:val="22"/>
        </w:rPr>
        <w:t>“What is the association between</w:t>
      </w:r>
      <w:r w:rsidR="00725DC7" w:rsidRPr="00725DC7">
        <w:rPr>
          <w:i/>
          <w:color w:val="000000"/>
          <w:sz w:val="22"/>
          <w:szCs w:val="22"/>
        </w:rPr>
        <w:t xml:space="preserve"> CFO equity incentives </w:t>
      </w:r>
      <w:r>
        <w:rPr>
          <w:i/>
          <w:color w:val="000000"/>
          <w:sz w:val="22"/>
          <w:szCs w:val="22"/>
        </w:rPr>
        <w:t>a</w:t>
      </w:r>
      <w:r w:rsidR="00725DC7" w:rsidRPr="00725DC7">
        <w:rPr>
          <w:i/>
          <w:color w:val="000000"/>
          <w:sz w:val="22"/>
          <w:szCs w:val="22"/>
        </w:rPr>
        <w:t>n</w:t>
      </w:r>
      <w:r>
        <w:rPr>
          <w:i/>
          <w:color w:val="000000"/>
          <w:sz w:val="22"/>
          <w:szCs w:val="22"/>
        </w:rPr>
        <w:t>d</w:t>
      </w:r>
      <w:r w:rsidR="00725DC7" w:rsidRPr="00725DC7">
        <w:rPr>
          <w:i/>
          <w:color w:val="000000"/>
          <w:sz w:val="22"/>
          <w:szCs w:val="22"/>
        </w:rPr>
        <w:t xml:space="preserve"> earnings management</w:t>
      </w:r>
      <w:r>
        <w:rPr>
          <w:i/>
          <w:color w:val="000000"/>
          <w:sz w:val="22"/>
          <w:szCs w:val="22"/>
        </w:rPr>
        <w:t xml:space="preserve"> relative to the association </w:t>
      </w:r>
      <w:r w:rsidR="00E86823">
        <w:rPr>
          <w:i/>
          <w:color w:val="000000"/>
          <w:sz w:val="22"/>
          <w:szCs w:val="22"/>
        </w:rPr>
        <w:t>of</w:t>
      </w:r>
      <w:r w:rsidR="00C3123D">
        <w:rPr>
          <w:i/>
          <w:color w:val="000000"/>
          <w:sz w:val="22"/>
          <w:szCs w:val="22"/>
        </w:rPr>
        <w:t xml:space="preserve"> </w:t>
      </w:r>
      <w:r>
        <w:rPr>
          <w:i/>
          <w:color w:val="000000"/>
          <w:sz w:val="22"/>
          <w:szCs w:val="22"/>
        </w:rPr>
        <w:t>CEO equity incentives</w:t>
      </w:r>
      <w:r w:rsidR="00960670">
        <w:rPr>
          <w:i/>
          <w:color w:val="000000"/>
          <w:sz w:val="22"/>
          <w:szCs w:val="22"/>
        </w:rPr>
        <w:t xml:space="preserve"> and earnings management</w:t>
      </w:r>
      <w:r w:rsidR="00725DC7" w:rsidRPr="00725DC7">
        <w:rPr>
          <w:i/>
          <w:color w:val="000000"/>
          <w:sz w:val="22"/>
          <w:szCs w:val="22"/>
        </w:rPr>
        <w:t xml:space="preserve"> in the banking industry?”</w:t>
      </w:r>
    </w:p>
    <w:p w:rsidR="00CF6CAD" w:rsidRDefault="00CF6CAD" w:rsidP="00E528C2">
      <w:pPr>
        <w:spacing w:line="360" w:lineRule="auto"/>
        <w:jc w:val="both"/>
      </w:pPr>
    </w:p>
    <w:p w:rsidR="004725DA" w:rsidRPr="00C2579A" w:rsidRDefault="00262055" w:rsidP="00E528C2">
      <w:pPr>
        <w:spacing w:line="360" w:lineRule="auto"/>
        <w:jc w:val="both"/>
        <w:rPr>
          <w:sz w:val="22"/>
          <w:szCs w:val="22"/>
        </w:rPr>
      </w:pPr>
      <w:r w:rsidRPr="00C2579A">
        <w:rPr>
          <w:sz w:val="22"/>
          <w:szCs w:val="22"/>
        </w:rPr>
        <w:t>T</w:t>
      </w:r>
      <w:r w:rsidR="004725DA" w:rsidRPr="00C2579A">
        <w:rPr>
          <w:sz w:val="22"/>
          <w:szCs w:val="22"/>
        </w:rPr>
        <w:t>he following sub questions will be investigated and used in order to answer the research question:</w:t>
      </w:r>
    </w:p>
    <w:p w:rsidR="00E407B8" w:rsidRDefault="00E407B8" w:rsidP="00DA30B9">
      <w:pPr>
        <w:pStyle w:val="Lijstalinea"/>
        <w:numPr>
          <w:ilvl w:val="0"/>
          <w:numId w:val="1"/>
        </w:numPr>
        <w:autoSpaceDE w:val="0"/>
        <w:autoSpaceDN w:val="0"/>
        <w:adjustRightInd w:val="0"/>
        <w:spacing w:line="360" w:lineRule="auto"/>
        <w:jc w:val="both"/>
        <w:rPr>
          <w:i/>
          <w:sz w:val="22"/>
          <w:szCs w:val="22"/>
        </w:rPr>
      </w:pPr>
      <w:r>
        <w:rPr>
          <w:i/>
          <w:sz w:val="22"/>
          <w:szCs w:val="22"/>
        </w:rPr>
        <w:t>What are equity incentives?</w:t>
      </w:r>
    </w:p>
    <w:p w:rsidR="0033693B" w:rsidRDefault="0053267C" w:rsidP="00DA30B9">
      <w:pPr>
        <w:pStyle w:val="Lijstalinea"/>
        <w:numPr>
          <w:ilvl w:val="0"/>
          <w:numId w:val="1"/>
        </w:numPr>
        <w:autoSpaceDE w:val="0"/>
        <w:autoSpaceDN w:val="0"/>
        <w:adjustRightInd w:val="0"/>
        <w:spacing w:line="360" w:lineRule="auto"/>
        <w:jc w:val="both"/>
        <w:rPr>
          <w:i/>
          <w:sz w:val="22"/>
          <w:szCs w:val="22"/>
        </w:rPr>
      </w:pPr>
      <w:r>
        <w:rPr>
          <w:i/>
          <w:sz w:val="22"/>
          <w:szCs w:val="22"/>
        </w:rPr>
        <w:t>What is</w:t>
      </w:r>
      <w:r w:rsidR="004725DA" w:rsidRPr="004725DA">
        <w:rPr>
          <w:i/>
          <w:sz w:val="22"/>
          <w:szCs w:val="22"/>
        </w:rPr>
        <w:t xml:space="preserve"> earnings management</w:t>
      </w:r>
      <w:r w:rsidR="00CA1A28">
        <w:rPr>
          <w:i/>
          <w:sz w:val="22"/>
          <w:szCs w:val="22"/>
        </w:rPr>
        <w:t>?</w:t>
      </w:r>
    </w:p>
    <w:p w:rsidR="004725DA" w:rsidRPr="004725DA" w:rsidRDefault="004725DA" w:rsidP="00DA30B9">
      <w:pPr>
        <w:pStyle w:val="Lijstalinea"/>
        <w:numPr>
          <w:ilvl w:val="0"/>
          <w:numId w:val="1"/>
        </w:numPr>
        <w:autoSpaceDE w:val="0"/>
        <w:autoSpaceDN w:val="0"/>
        <w:adjustRightInd w:val="0"/>
        <w:spacing w:line="360" w:lineRule="auto"/>
        <w:jc w:val="both"/>
        <w:rPr>
          <w:i/>
          <w:sz w:val="22"/>
          <w:szCs w:val="22"/>
        </w:rPr>
      </w:pPr>
      <w:r w:rsidRPr="004725DA">
        <w:rPr>
          <w:i/>
          <w:sz w:val="22"/>
          <w:szCs w:val="22"/>
        </w:rPr>
        <w:t xml:space="preserve">What </w:t>
      </w:r>
      <w:r>
        <w:rPr>
          <w:i/>
          <w:sz w:val="22"/>
          <w:szCs w:val="22"/>
        </w:rPr>
        <w:t>is the general relation between</w:t>
      </w:r>
      <w:r w:rsidRPr="004725DA">
        <w:rPr>
          <w:i/>
          <w:sz w:val="22"/>
          <w:szCs w:val="22"/>
        </w:rPr>
        <w:t xml:space="preserve"> equity incentives</w:t>
      </w:r>
      <w:r>
        <w:rPr>
          <w:i/>
          <w:sz w:val="22"/>
          <w:szCs w:val="22"/>
        </w:rPr>
        <w:t xml:space="preserve"> and earnings management</w:t>
      </w:r>
      <w:r w:rsidRPr="004725DA">
        <w:rPr>
          <w:i/>
          <w:sz w:val="22"/>
          <w:szCs w:val="22"/>
        </w:rPr>
        <w:t>?</w:t>
      </w:r>
    </w:p>
    <w:p w:rsidR="00CA1A28" w:rsidRDefault="00CA1A28" w:rsidP="00DA30B9">
      <w:pPr>
        <w:pStyle w:val="Lijstalinea"/>
        <w:numPr>
          <w:ilvl w:val="0"/>
          <w:numId w:val="1"/>
        </w:numPr>
        <w:autoSpaceDE w:val="0"/>
        <w:autoSpaceDN w:val="0"/>
        <w:adjustRightInd w:val="0"/>
        <w:spacing w:line="360" w:lineRule="auto"/>
        <w:jc w:val="both"/>
        <w:rPr>
          <w:i/>
          <w:sz w:val="22"/>
          <w:szCs w:val="22"/>
        </w:rPr>
      </w:pPr>
      <w:r w:rsidRPr="00CA1A28">
        <w:rPr>
          <w:i/>
          <w:sz w:val="22"/>
          <w:szCs w:val="22"/>
        </w:rPr>
        <w:t xml:space="preserve">What research design can be </w:t>
      </w:r>
      <w:r w:rsidR="00CB6E08" w:rsidRPr="00CA1A28">
        <w:rPr>
          <w:i/>
          <w:sz w:val="22"/>
          <w:szCs w:val="22"/>
        </w:rPr>
        <w:t xml:space="preserve">developed </w:t>
      </w:r>
      <w:r w:rsidR="00CB6E08">
        <w:rPr>
          <w:i/>
          <w:sz w:val="22"/>
          <w:szCs w:val="22"/>
        </w:rPr>
        <w:t xml:space="preserve">to measure </w:t>
      </w:r>
      <w:r w:rsidRPr="00CA1A28">
        <w:rPr>
          <w:i/>
          <w:sz w:val="22"/>
          <w:szCs w:val="22"/>
        </w:rPr>
        <w:t>equity incentives and earnings management</w:t>
      </w:r>
      <w:r>
        <w:rPr>
          <w:i/>
          <w:sz w:val="22"/>
          <w:szCs w:val="22"/>
        </w:rPr>
        <w:t xml:space="preserve"> in the banking industry</w:t>
      </w:r>
      <w:r w:rsidRPr="00CA1A28">
        <w:rPr>
          <w:i/>
          <w:sz w:val="22"/>
          <w:szCs w:val="22"/>
        </w:rPr>
        <w:t>?</w:t>
      </w:r>
    </w:p>
    <w:p w:rsidR="005A6FD8" w:rsidRPr="00C26058" w:rsidRDefault="005A6FD8" w:rsidP="005A6FD8">
      <w:pPr>
        <w:autoSpaceDE w:val="0"/>
        <w:autoSpaceDN w:val="0"/>
        <w:adjustRightInd w:val="0"/>
        <w:spacing w:line="360" w:lineRule="auto"/>
        <w:jc w:val="both"/>
        <w:rPr>
          <w:sz w:val="22"/>
          <w:szCs w:val="22"/>
        </w:rPr>
      </w:pPr>
    </w:p>
    <w:p w:rsidR="0078013F" w:rsidRPr="00F1390F" w:rsidRDefault="00040A9E" w:rsidP="006B7FF2">
      <w:pPr>
        <w:pStyle w:val="Kop2"/>
      </w:pPr>
      <w:bookmarkStart w:id="25" w:name="_Toc287614155"/>
      <w:r>
        <w:t>1.3</w:t>
      </w:r>
      <w:r w:rsidR="0078013F" w:rsidRPr="00F1390F">
        <w:t xml:space="preserve"> Methodology</w:t>
      </w:r>
      <w:bookmarkEnd w:id="25"/>
    </w:p>
    <w:p w:rsidR="0024311A" w:rsidRDefault="0031623C" w:rsidP="0069474A">
      <w:pPr>
        <w:autoSpaceDE w:val="0"/>
        <w:autoSpaceDN w:val="0"/>
        <w:adjustRightInd w:val="0"/>
        <w:spacing w:line="360" w:lineRule="auto"/>
        <w:jc w:val="both"/>
        <w:rPr>
          <w:sz w:val="22"/>
          <w:szCs w:val="22"/>
        </w:rPr>
      </w:pPr>
      <w:r>
        <w:rPr>
          <w:sz w:val="22"/>
          <w:szCs w:val="22"/>
        </w:rPr>
        <w:t>This paper uses the Positive A</w:t>
      </w:r>
      <w:r w:rsidR="006633A1">
        <w:rPr>
          <w:sz w:val="22"/>
          <w:szCs w:val="22"/>
        </w:rPr>
        <w:t xml:space="preserve">ccounting </w:t>
      </w:r>
      <w:r>
        <w:rPr>
          <w:sz w:val="22"/>
          <w:szCs w:val="22"/>
        </w:rPr>
        <w:t>Theory, which</w:t>
      </w:r>
      <w:r w:rsidR="00644B61">
        <w:rPr>
          <w:sz w:val="22"/>
          <w:szCs w:val="22"/>
        </w:rPr>
        <w:t xml:space="preserve"> describe</w:t>
      </w:r>
      <w:r>
        <w:rPr>
          <w:sz w:val="22"/>
          <w:szCs w:val="22"/>
        </w:rPr>
        <w:t>s and</w:t>
      </w:r>
      <w:r w:rsidR="00644B61">
        <w:rPr>
          <w:sz w:val="22"/>
          <w:szCs w:val="22"/>
        </w:rPr>
        <w:t xml:space="preserve"> explain</w:t>
      </w:r>
      <w:r>
        <w:rPr>
          <w:sz w:val="22"/>
          <w:szCs w:val="22"/>
        </w:rPr>
        <w:t>s</w:t>
      </w:r>
      <w:r w:rsidR="00644B61">
        <w:rPr>
          <w:sz w:val="22"/>
          <w:szCs w:val="22"/>
        </w:rPr>
        <w:t xml:space="preserve"> </w:t>
      </w:r>
      <w:r w:rsidR="006633A1">
        <w:rPr>
          <w:sz w:val="22"/>
          <w:szCs w:val="22"/>
        </w:rPr>
        <w:t xml:space="preserve">the accounting practices </w:t>
      </w:r>
      <w:r w:rsidR="00644B61">
        <w:rPr>
          <w:sz w:val="22"/>
          <w:szCs w:val="22"/>
        </w:rPr>
        <w:t>and</w:t>
      </w:r>
      <w:r w:rsidR="0009587B" w:rsidRPr="00DB197B">
        <w:rPr>
          <w:sz w:val="22"/>
          <w:szCs w:val="22"/>
        </w:rPr>
        <w:t xml:space="preserve"> predict</w:t>
      </w:r>
      <w:r w:rsidR="006633A1">
        <w:rPr>
          <w:sz w:val="22"/>
          <w:szCs w:val="22"/>
        </w:rPr>
        <w:t xml:space="preserve"> accounting behavior</w:t>
      </w:r>
      <w:r w:rsidR="00644B61" w:rsidRPr="00644B61">
        <w:rPr>
          <w:sz w:val="22"/>
          <w:szCs w:val="22"/>
        </w:rPr>
        <w:t xml:space="preserve"> </w:t>
      </w:r>
      <w:r w:rsidR="00644B61">
        <w:rPr>
          <w:sz w:val="22"/>
          <w:szCs w:val="22"/>
        </w:rPr>
        <w:t xml:space="preserve">using </w:t>
      </w:r>
      <w:r w:rsidR="00644B61" w:rsidRPr="00DB197B">
        <w:rPr>
          <w:sz w:val="22"/>
          <w:szCs w:val="22"/>
        </w:rPr>
        <w:t>empirical</w:t>
      </w:r>
      <w:r w:rsidR="00644B61">
        <w:rPr>
          <w:sz w:val="22"/>
          <w:szCs w:val="22"/>
        </w:rPr>
        <w:t xml:space="preserve"> evidence</w:t>
      </w:r>
      <w:r w:rsidR="006633A1">
        <w:rPr>
          <w:sz w:val="22"/>
          <w:szCs w:val="22"/>
        </w:rPr>
        <w:t>.</w:t>
      </w:r>
      <w:r w:rsidR="007A0DCB" w:rsidRPr="00DB197B">
        <w:rPr>
          <w:sz w:val="22"/>
          <w:szCs w:val="22"/>
        </w:rPr>
        <w:t xml:space="preserve"> </w:t>
      </w:r>
      <w:r w:rsidR="00644B61">
        <w:rPr>
          <w:sz w:val="22"/>
          <w:szCs w:val="22"/>
        </w:rPr>
        <w:t xml:space="preserve">First I </w:t>
      </w:r>
      <w:r>
        <w:rPr>
          <w:sz w:val="22"/>
          <w:szCs w:val="22"/>
        </w:rPr>
        <w:t>present</w:t>
      </w:r>
      <w:r w:rsidR="009D595E">
        <w:rPr>
          <w:sz w:val="22"/>
          <w:szCs w:val="22"/>
        </w:rPr>
        <w:t xml:space="preserve"> </w:t>
      </w:r>
      <w:r w:rsidR="00644B61">
        <w:rPr>
          <w:sz w:val="22"/>
          <w:szCs w:val="22"/>
        </w:rPr>
        <w:t xml:space="preserve">the theoretical </w:t>
      </w:r>
      <w:r w:rsidR="00644B61">
        <w:rPr>
          <w:sz w:val="22"/>
          <w:szCs w:val="22"/>
        </w:rPr>
        <w:lastRenderedPageBreak/>
        <w:t xml:space="preserve">background of earning </w:t>
      </w:r>
      <w:r w:rsidR="00564419">
        <w:rPr>
          <w:sz w:val="22"/>
          <w:szCs w:val="22"/>
        </w:rPr>
        <w:t>management</w:t>
      </w:r>
      <w:r w:rsidR="0009587B" w:rsidRPr="00DB197B">
        <w:rPr>
          <w:sz w:val="22"/>
          <w:szCs w:val="22"/>
        </w:rPr>
        <w:t xml:space="preserve"> an</w:t>
      </w:r>
      <w:r w:rsidR="00564419">
        <w:rPr>
          <w:sz w:val="22"/>
          <w:szCs w:val="22"/>
        </w:rPr>
        <w:t>d equity incentives</w:t>
      </w:r>
      <w:r>
        <w:rPr>
          <w:sz w:val="22"/>
          <w:szCs w:val="22"/>
        </w:rPr>
        <w:t>, which influence the</w:t>
      </w:r>
      <w:r w:rsidR="00235FD6" w:rsidRPr="00DB197B">
        <w:rPr>
          <w:sz w:val="22"/>
          <w:szCs w:val="22"/>
        </w:rPr>
        <w:t xml:space="preserve"> choice</w:t>
      </w:r>
      <w:r>
        <w:rPr>
          <w:sz w:val="22"/>
          <w:szCs w:val="22"/>
        </w:rPr>
        <w:t xml:space="preserve"> of managers</w:t>
      </w:r>
      <w:r w:rsidR="00235FD6" w:rsidRPr="00DB197B">
        <w:rPr>
          <w:sz w:val="22"/>
          <w:szCs w:val="22"/>
        </w:rPr>
        <w:t xml:space="preserve"> in selecting</w:t>
      </w:r>
      <w:r w:rsidR="003223C3" w:rsidRPr="00DB197B">
        <w:rPr>
          <w:sz w:val="22"/>
          <w:szCs w:val="22"/>
        </w:rPr>
        <w:t xml:space="preserve"> particular</w:t>
      </w:r>
      <w:r w:rsidR="00235FD6" w:rsidRPr="00DB197B">
        <w:rPr>
          <w:sz w:val="22"/>
          <w:szCs w:val="22"/>
        </w:rPr>
        <w:t xml:space="preserve"> accounting methods</w:t>
      </w:r>
      <w:r w:rsidR="00DB197B" w:rsidRPr="00DB197B">
        <w:rPr>
          <w:sz w:val="22"/>
          <w:szCs w:val="22"/>
        </w:rPr>
        <w:t>.</w:t>
      </w:r>
      <w:r w:rsidR="00E91EB3">
        <w:rPr>
          <w:sz w:val="22"/>
          <w:szCs w:val="22"/>
        </w:rPr>
        <w:t xml:space="preserve"> In t</w:t>
      </w:r>
      <w:r w:rsidR="004560FA">
        <w:rPr>
          <w:sz w:val="22"/>
          <w:szCs w:val="22"/>
        </w:rPr>
        <w:t>he</w:t>
      </w:r>
      <w:r w:rsidR="009360C2">
        <w:rPr>
          <w:sz w:val="22"/>
          <w:szCs w:val="22"/>
        </w:rPr>
        <w:t xml:space="preserve"> second </w:t>
      </w:r>
      <w:r w:rsidR="004560FA">
        <w:rPr>
          <w:sz w:val="22"/>
          <w:szCs w:val="22"/>
        </w:rPr>
        <w:t>part</w:t>
      </w:r>
      <w:r w:rsidR="00E91EB3">
        <w:rPr>
          <w:sz w:val="22"/>
          <w:szCs w:val="22"/>
        </w:rPr>
        <w:t xml:space="preserve"> I will develop hypotheses to predict the outcome of the main research question using</w:t>
      </w:r>
      <w:r w:rsidR="004560FA">
        <w:rPr>
          <w:sz w:val="22"/>
          <w:szCs w:val="22"/>
        </w:rPr>
        <w:t xml:space="preserve"> empirical research</w:t>
      </w:r>
      <w:r w:rsidR="00E91EB3">
        <w:rPr>
          <w:sz w:val="22"/>
          <w:szCs w:val="22"/>
        </w:rPr>
        <w:t xml:space="preserve">. </w:t>
      </w:r>
      <w:r w:rsidR="009360C2">
        <w:rPr>
          <w:sz w:val="22"/>
          <w:szCs w:val="22"/>
        </w:rPr>
        <w:t>Like prior studies I will examine lo</w:t>
      </w:r>
      <w:r w:rsidR="00B2615D">
        <w:rPr>
          <w:sz w:val="22"/>
          <w:szCs w:val="22"/>
        </w:rPr>
        <w:t>an loss provisions (LLPs) as</w:t>
      </w:r>
      <w:r w:rsidR="009360C2">
        <w:rPr>
          <w:sz w:val="22"/>
          <w:szCs w:val="22"/>
        </w:rPr>
        <w:t xml:space="preserve"> tool for</w:t>
      </w:r>
      <w:r w:rsidR="00B2615D">
        <w:rPr>
          <w:sz w:val="22"/>
          <w:szCs w:val="22"/>
        </w:rPr>
        <w:t xml:space="preserve"> </w:t>
      </w:r>
      <w:r w:rsidR="009360C2">
        <w:rPr>
          <w:sz w:val="22"/>
          <w:szCs w:val="22"/>
        </w:rPr>
        <w:t>earnings management in the banking industry</w:t>
      </w:r>
      <w:r w:rsidR="00B2615D">
        <w:rPr>
          <w:sz w:val="22"/>
          <w:szCs w:val="22"/>
        </w:rPr>
        <w:t>. LLPs are rela</w:t>
      </w:r>
      <w:r w:rsidR="009360C2">
        <w:rPr>
          <w:sz w:val="22"/>
          <w:szCs w:val="22"/>
        </w:rPr>
        <w:t xml:space="preserve">tively large accruals </w:t>
      </w:r>
      <w:r w:rsidR="00B2615D">
        <w:rPr>
          <w:sz w:val="22"/>
          <w:szCs w:val="22"/>
        </w:rPr>
        <w:t>and therefore have significant influence on earnings (Ahmed, Takeda and Thomas, 1999)</w:t>
      </w:r>
      <w:r w:rsidR="009D72CC">
        <w:rPr>
          <w:sz w:val="22"/>
          <w:szCs w:val="22"/>
        </w:rPr>
        <w:t>.</w:t>
      </w:r>
      <w:r w:rsidR="00B2615D">
        <w:rPr>
          <w:sz w:val="22"/>
          <w:szCs w:val="22"/>
        </w:rPr>
        <w:t xml:space="preserve"> </w:t>
      </w:r>
      <w:r w:rsidR="009D72CC">
        <w:rPr>
          <w:sz w:val="22"/>
          <w:szCs w:val="22"/>
        </w:rPr>
        <w:t>To</w:t>
      </w:r>
      <w:r w:rsidR="00F922F6">
        <w:rPr>
          <w:sz w:val="22"/>
          <w:szCs w:val="22"/>
        </w:rPr>
        <w:t xml:space="preserve"> detect earnings management</w:t>
      </w:r>
      <w:r w:rsidR="009D72CC">
        <w:rPr>
          <w:sz w:val="22"/>
          <w:szCs w:val="22"/>
        </w:rPr>
        <w:t xml:space="preserve"> </w:t>
      </w:r>
      <w:r w:rsidR="00F922F6">
        <w:rPr>
          <w:sz w:val="22"/>
          <w:szCs w:val="22"/>
        </w:rPr>
        <w:t>I will use the model from Beaver and Engel (1996) to decompose</w:t>
      </w:r>
      <w:r w:rsidR="00B2615D">
        <w:rPr>
          <w:sz w:val="22"/>
          <w:szCs w:val="22"/>
        </w:rPr>
        <w:t xml:space="preserve"> </w:t>
      </w:r>
      <w:r w:rsidR="00F922F6">
        <w:rPr>
          <w:sz w:val="22"/>
          <w:szCs w:val="22"/>
        </w:rPr>
        <w:t xml:space="preserve">LLPs </w:t>
      </w:r>
      <w:r w:rsidR="00B2615D">
        <w:rPr>
          <w:sz w:val="22"/>
          <w:szCs w:val="22"/>
        </w:rPr>
        <w:t xml:space="preserve">into nondiscretionary and discretionary components. </w:t>
      </w:r>
      <w:r w:rsidR="00F27043">
        <w:rPr>
          <w:sz w:val="22"/>
          <w:szCs w:val="22"/>
        </w:rPr>
        <w:t>T</w:t>
      </w:r>
      <w:r w:rsidR="00B2615D">
        <w:rPr>
          <w:sz w:val="22"/>
          <w:szCs w:val="22"/>
        </w:rPr>
        <w:t xml:space="preserve">he discretionary component </w:t>
      </w:r>
      <w:r w:rsidR="00F27043">
        <w:rPr>
          <w:sz w:val="22"/>
          <w:szCs w:val="22"/>
        </w:rPr>
        <w:t xml:space="preserve">of LLP is used </w:t>
      </w:r>
      <w:r w:rsidR="00B2615D">
        <w:rPr>
          <w:sz w:val="22"/>
          <w:szCs w:val="22"/>
        </w:rPr>
        <w:t>as the prox</w:t>
      </w:r>
      <w:r w:rsidR="00D2519C">
        <w:rPr>
          <w:sz w:val="22"/>
          <w:szCs w:val="22"/>
        </w:rPr>
        <w:t xml:space="preserve">y for earnings management. </w:t>
      </w:r>
      <w:r w:rsidR="00F27043">
        <w:rPr>
          <w:sz w:val="22"/>
          <w:szCs w:val="22"/>
        </w:rPr>
        <w:t xml:space="preserve">The </w:t>
      </w:r>
      <w:r w:rsidR="009D72CC">
        <w:rPr>
          <w:sz w:val="22"/>
          <w:szCs w:val="22"/>
        </w:rPr>
        <w:t xml:space="preserve">final </w:t>
      </w:r>
      <w:r w:rsidR="00F27043">
        <w:rPr>
          <w:sz w:val="22"/>
          <w:szCs w:val="22"/>
        </w:rPr>
        <w:t>sample consists of commercial</w:t>
      </w:r>
      <w:r w:rsidR="00835B74">
        <w:rPr>
          <w:sz w:val="22"/>
          <w:szCs w:val="22"/>
        </w:rPr>
        <w:t xml:space="preserve"> banks </w:t>
      </w:r>
      <w:r w:rsidR="00F27043">
        <w:rPr>
          <w:sz w:val="22"/>
          <w:szCs w:val="22"/>
        </w:rPr>
        <w:t>in the U.S. in the period</w:t>
      </w:r>
      <w:r w:rsidR="00835B74">
        <w:rPr>
          <w:sz w:val="22"/>
          <w:szCs w:val="22"/>
        </w:rPr>
        <w:t xml:space="preserve"> 199</w:t>
      </w:r>
      <w:r w:rsidR="00EF4F8B">
        <w:rPr>
          <w:sz w:val="22"/>
          <w:szCs w:val="22"/>
        </w:rPr>
        <w:t>8</w:t>
      </w:r>
      <w:r w:rsidR="00F27043">
        <w:rPr>
          <w:sz w:val="22"/>
          <w:szCs w:val="22"/>
        </w:rPr>
        <w:t>-2008</w:t>
      </w:r>
      <w:r w:rsidR="00AC6E85" w:rsidRPr="00DB197B">
        <w:rPr>
          <w:sz w:val="22"/>
          <w:szCs w:val="22"/>
        </w:rPr>
        <w:t>. I w</w:t>
      </w:r>
      <w:r w:rsidR="00835B74">
        <w:rPr>
          <w:sz w:val="22"/>
          <w:szCs w:val="22"/>
        </w:rPr>
        <w:t>ill divide this period in a 199</w:t>
      </w:r>
      <w:r w:rsidR="00EF4F8B">
        <w:rPr>
          <w:sz w:val="22"/>
          <w:szCs w:val="22"/>
        </w:rPr>
        <w:t>8</w:t>
      </w:r>
      <w:r w:rsidR="00AC6E85" w:rsidRPr="00DB197B">
        <w:rPr>
          <w:sz w:val="22"/>
          <w:szCs w:val="22"/>
        </w:rPr>
        <w:t>-2001 pre-SOX period and a 2002-200</w:t>
      </w:r>
      <w:r w:rsidR="00F27043">
        <w:rPr>
          <w:sz w:val="22"/>
          <w:szCs w:val="22"/>
        </w:rPr>
        <w:t>8</w:t>
      </w:r>
      <w:r w:rsidR="00677C4D">
        <w:rPr>
          <w:sz w:val="22"/>
          <w:szCs w:val="22"/>
        </w:rPr>
        <w:t xml:space="preserve"> post-SOX period, because it is interesting to investigate whether the implementation of SOX in 2002 has resulted in reducing </w:t>
      </w:r>
      <w:r w:rsidR="0018537D">
        <w:rPr>
          <w:sz w:val="22"/>
          <w:szCs w:val="22"/>
        </w:rPr>
        <w:t xml:space="preserve">the effect that equity incentives have on </w:t>
      </w:r>
      <w:r w:rsidR="00677C4D">
        <w:rPr>
          <w:sz w:val="22"/>
          <w:szCs w:val="22"/>
        </w:rPr>
        <w:t xml:space="preserve">earnings management </w:t>
      </w:r>
      <w:proofErr w:type="gramStart"/>
      <w:r w:rsidR="00677C4D">
        <w:rPr>
          <w:sz w:val="22"/>
          <w:szCs w:val="22"/>
        </w:rPr>
        <w:t>practices</w:t>
      </w:r>
      <w:proofErr w:type="gramEnd"/>
      <w:r w:rsidR="00677C4D">
        <w:rPr>
          <w:sz w:val="22"/>
          <w:szCs w:val="22"/>
        </w:rPr>
        <w:t xml:space="preserve">. Equity incentives are measured using executive compensation data, which are obtained from the </w:t>
      </w:r>
      <w:proofErr w:type="spellStart"/>
      <w:r w:rsidR="00677C4D">
        <w:rPr>
          <w:sz w:val="22"/>
          <w:szCs w:val="22"/>
        </w:rPr>
        <w:t>Execucomp</w:t>
      </w:r>
      <w:proofErr w:type="spellEnd"/>
      <w:r w:rsidR="00677C4D">
        <w:rPr>
          <w:sz w:val="22"/>
          <w:szCs w:val="22"/>
        </w:rPr>
        <w:t xml:space="preserve"> database. </w:t>
      </w:r>
      <w:r w:rsidR="00AC6E85" w:rsidRPr="00DB197B">
        <w:rPr>
          <w:sz w:val="22"/>
          <w:szCs w:val="22"/>
        </w:rPr>
        <w:t>The data</w:t>
      </w:r>
      <w:r w:rsidR="0004286F" w:rsidRPr="00DB197B">
        <w:rPr>
          <w:sz w:val="22"/>
          <w:szCs w:val="22"/>
        </w:rPr>
        <w:t xml:space="preserve"> </w:t>
      </w:r>
      <w:r w:rsidR="00677C4D">
        <w:rPr>
          <w:sz w:val="22"/>
          <w:szCs w:val="22"/>
        </w:rPr>
        <w:t xml:space="preserve">for measuring earnings management in the banking industry are collected </w:t>
      </w:r>
      <w:r w:rsidR="00F27043">
        <w:rPr>
          <w:sz w:val="22"/>
          <w:szCs w:val="22"/>
        </w:rPr>
        <w:t xml:space="preserve">from </w:t>
      </w:r>
      <w:proofErr w:type="spellStart"/>
      <w:r w:rsidR="00F27043">
        <w:rPr>
          <w:sz w:val="22"/>
          <w:szCs w:val="22"/>
        </w:rPr>
        <w:t>Compustat</w:t>
      </w:r>
      <w:proofErr w:type="spellEnd"/>
      <w:r w:rsidR="00F27043">
        <w:rPr>
          <w:sz w:val="22"/>
          <w:szCs w:val="22"/>
        </w:rPr>
        <w:t xml:space="preserve"> Banks and</w:t>
      </w:r>
      <w:r w:rsidR="001F30CD" w:rsidRPr="00DB197B">
        <w:rPr>
          <w:sz w:val="22"/>
          <w:szCs w:val="22"/>
        </w:rPr>
        <w:t xml:space="preserve"> </w:t>
      </w:r>
      <w:r w:rsidR="009D72CC">
        <w:rPr>
          <w:sz w:val="22"/>
          <w:szCs w:val="22"/>
        </w:rPr>
        <w:t xml:space="preserve">the </w:t>
      </w:r>
      <w:proofErr w:type="spellStart"/>
      <w:r w:rsidR="00677C4D">
        <w:rPr>
          <w:sz w:val="22"/>
          <w:szCs w:val="22"/>
        </w:rPr>
        <w:t>Bankscope</w:t>
      </w:r>
      <w:proofErr w:type="spellEnd"/>
      <w:r w:rsidR="00677C4D">
        <w:rPr>
          <w:sz w:val="22"/>
          <w:szCs w:val="22"/>
        </w:rPr>
        <w:t xml:space="preserve"> </w:t>
      </w:r>
      <w:r w:rsidR="001F30CD" w:rsidRPr="00DB197B">
        <w:rPr>
          <w:sz w:val="22"/>
          <w:szCs w:val="22"/>
        </w:rPr>
        <w:t>database.</w:t>
      </w:r>
    </w:p>
    <w:p w:rsidR="00D319C3" w:rsidRDefault="00D319C3" w:rsidP="000B5530">
      <w:pPr>
        <w:spacing w:line="360" w:lineRule="auto"/>
      </w:pPr>
    </w:p>
    <w:p w:rsidR="00D16A8D" w:rsidRPr="00F1390F" w:rsidRDefault="00040A9E" w:rsidP="006B7FF2">
      <w:pPr>
        <w:pStyle w:val="Kop2"/>
      </w:pPr>
      <w:bookmarkStart w:id="26" w:name="_Toc287614156"/>
      <w:r>
        <w:t>1.4</w:t>
      </w:r>
      <w:r w:rsidR="000B5530" w:rsidRPr="00F1390F">
        <w:t xml:space="preserve"> </w:t>
      </w:r>
      <w:r w:rsidR="00C84FB7" w:rsidRPr="00F1390F">
        <w:t>Structure</w:t>
      </w:r>
      <w:bookmarkEnd w:id="26"/>
    </w:p>
    <w:p w:rsidR="006005E9" w:rsidRDefault="00563C56" w:rsidP="002E79A7">
      <w:pPr>
        <w:spacing w:line="360" w:lineRule="auto"/>
        <w:jc w:val="both"/>
        <w:rPr>
          <w:sz w:val="22"/>
          <w:szCs w:val="22"/>
        </w:rPr>
      </w:pPr>
      <w:r>
        <w:rPr>
          <w:sz w:val="22"/>
          <w:szCs w:val="22"/>
        </w:rPr>
        <w:t>Chapter 2</w:t>
      </w:r>
      <w:r w:rsidRPr="00522507">
        <w:rPr>
          <w:sz w:val="22"/>
          <w:szCs w:val="22"/>
        </w:rPr>
        <w:t xml:space="preserve"> </w:t>
      </w:r>
      <w:r>
        <w:rPr>
          <w:sz w:val="22"/>
          <w:szCs w:val="22"/>
        </w:rPr>
        <w:t xml:space="preserve">explains equity incentives of the compensation contract. I will </w:t>
      </w:r>
      <w:r w:rsidR="009D72CC">
        <w:rPr>
          <w:sz w:val="22"/>
          <w:szCs w:val="22"/>
        </w:rPr>
        <w:t>use</w:t>
      </w:r>
      <w:r>
        <w:rPr>
          <w:sz w:val="22"/>
          <w:szCs w:val="22"/>
        </w:rPr>
        <w:t xml:space="preserve"> the agency problem to provide a t</w:t>
      </w:r>
      <w:r w:rsidR="009D72CC">
        <w:rPr>
          <w:sz w:val="22"/>
          <w:szCs w:val="22"/>
        </w:rPr>
        <w:t>heoretical framework. Next, the need for equity incentives is explained</w:t>
      </w:r>
      <w:r>
        <w:rPr>
          <w:sz w:val="22"/>
          <w:szCs w:val="22"/>
        </w:rPr>
        <w:t>, followed by equity incentives in the banking industry. Chapter 3</w:t>
      </w:r>
      <w:r w:rsidR="004C6123" w:rsidRPr="00522507">
        <w:rPr>
          <w:sz w:val="22"/>
          <w:szCs w:val="22"/>
        </w:rPr>
        <w:t xml:space="preserve"> starts with an</w:t>
      </w:r>
      <w:r w:rsidR="009D72CC">
        <w:rPr>
          <w:sz w:val="22"/>
          <w:szCs w:val="22"/>
        </w:rPr>
        <w:t xml:space="preserve"> overview on earnings management, following by</w:t>
      </w:r>
      <w:r>
        <w:rPr>
          <w:sz w:val="22"/>
          <w:szCs w:val="22"/>
        </w:rPr>
        <w:t xml:space="preserve"> t</w:t>
      </w:r>
      <w:r w:rsidR="002F4DD9">
        <w:rPr>
          <w:sz w:val="22"/>
          <w:szCs w:val="22"/>
        </w:rPr>
        <w:t>he importance of earnings and accrual accou</w:t>
      </w:r>
      <w:r w:rsidR="009D72CC">
        <w:rPr>
          <w:sz w:val="22"/>
          <w:szCs w:val="22"/>
        </w:rPr>
        <w:t>nting</w:t>
      </w:r>
      <w:r w:rsidR="003B32E7">
        <w:rPr>
          <w:sz w:val="22"/>
          <w:szCs w:val="22"/>
        </w:rPr>
        <w:t>. Then, the definitions, motives and</w:t>
      </w:r>
      <w:r w:rsidR="006447A2" w:rsidRPr="00522507">
        <w:rPr>
          <w:sz w:val="22"/>
          <w:szCs w:val="22"/>
        </w:rPr>
        <w:t xml:space="preserve"> </w:t>
      </w:r>
      <w:proofErr w:type="gramStart"/>
      <w:r w:rsidR="003B32E7">
        <w:rPr>
          <w:sz w:val="22"/>
          <w:szCs w:val="22"/>
        </w:rPr>
        <w:t>methods</w:t>
      </w:r>
      <w:proofErr w:type="gramEnd"/>
      <w:r w:rsidR="003B32E7">
        <w:rPr>
          <w:sz w:val="22"/>
          <w:szCs w:val="22"/>
        </w:rPr>
        <w:t xml:space="preserve"> to detect earning manag</w:t>
      </w:r>
      <w:r w:rsidR="003B32E7" w:rsidRPr="00522507">
        <w:rPr>
          <w:sz w:val="22"/>
          <w:szCs w:val="22"/>
        </w:rPr>
        <w:t xml:space="preserve">ement </w:t>
      </w:r>
      <w:r w:rsidR="006447A2" w:rsidRPr="00522507">
        <w:rPr>
          <w:sz w:val="22"/>
          <w:szCs w:val="22"/>
        </w:rPr>
        <w:t xml:space="preserve">will be </w:t>
      </w:r>
      <w:r w:rsidR="009D72CC">
        <w:rPr>
          <w:sz w:val="22"/>
          <w:szCs w:val="22"/>
        </w:rPr>
        <w:t>documented</w:t>
      </w:r>
      <w:r w:rsidR="002F4DD9">
        <w:rPr>
          <w:sz w:val="22"/>
          <w:szCs w:val="22"/>
        </w:rPr>
        <w:t>. Because t</w:t>
      </w:r>
      <w:r w:rsidR="00A67052" w:rsidRPr="00522507">
        <w:rPr>
          <w:sz w:val="22"/>
          <w:szCs w:val="22"/>
        </w:rPr>
        <w:t xml:space="preserve">he banking </w:t>
      </w:r>
      <w:r w:rsidR="002F4DD9" w:rsidRPr="00522507">
        <w:rPr>
          <w:sz w:val="22"/>
          <w:szCs w:val="22"/>
        </w:rPr>
        <w:t>industry</w:t>
      </w:r>
      <w:r w:rsidR="002F4DD9">
        <w:rPr>
          <w:sz w:val="22"/>
          <w:szCs w:val="22"/>
        </w:rPr>
        <w:t xml:space="preserve"> has different motivations </w:t>
      </w:r>
      <w:r w:rsidR="00B30640">
        <w:rPr>
          <w:sz w:val="22"/>
          <w:szCs w:val="22"/>
        </w:rPr>
        <w:t xml:space="preserve">and different accruals </w:t>
      </w:r>
      <w:r w:rsidR="002F4DD9">
        <w:rPr>
          <w:sz w:val="22"/>
          <w:szCs w:val="22"/>
        </w:rPr>
        <w:t xml:space="preserve">to apply earnings management, </w:t>
      </w:r>
      <w:r>
        <w:rPr>
          <w:sz w:val="22"/>
          <w:szCs w:val="22"/>
        </w:rPr>
        <w:t>they are</w:t>
      </w:r>
      <w:r w:rsidR="002F4DD9">
        <w:rPr>
          <w:sz w:val="22"/>
          <w:szCs w:val="22"/>
        </w:rPr>
        <w:t xml:space="preserve"> </w:t>
      </w:r>
      <w:r>
        <w:rPr>
          <w:sz w:val="22"/>
          <w:szCs w:val="22"/>
        </w:rPr>
        <w:t xml:space="preserve">described </w:t>
      </w:r>
      <w:r w:rsidR="002F4DD9">
        <w:rPr>
          <w:sz w:val="22"/>
          <w:szCs w:val="22"/>
        </w:rPr>
        <w:t>separately in the last section</w:t>
      </w:r>
      <w:r>
        <w:rPr>
          <w:sz w:val="22"/>
          <w:szCs w:val="22"/>
        </w:rPr>
        <w:t xml:space="preserve">. </w:t>
      </w:r>
      <w:r w:rsidR="00D65715">
        <w:rPr>
          <w:sz w:val="22"/>
          <w:szCs w:val="22"/>
        </w:rPr>
        <w:t>C</w:t>
      </w:r>
      <w:r w:rsidR="006005E9" w:rsidRPr="00522507">
        <w:rPr>
          <w:sz w:val="22"/>
          <w:szCs w:val="22"/>
        </w:rPr>
        <w:t>hapter 4</w:t>
      </w:r>
      <w:r w:rsidR="00D65715">
        <w:rPr>
          <w:sz w:val="22"/>
          <w:szCs w:val="22"/>
        </w:rPr>
        <w:t xml:space="preserve"> </w:t>
      </w:r>
      <w:r w:rsidR="004357BE">
        <w:rPr>
          <w:sz w:val="22"/>
          <w:szCs w:val="22"/>
        </w:rPr>
        <w:t>presents prior</w:t>
      </w:r>
      <w:r w:rsidR="00D65715">
        <w:rPr>
          <w:sz w:val="22"/>
          <w:szCs w:val="22"/>
        </w:rPr>
        <w:t xml:space="preserve"> literature</w:t>
      </w:r>
      <w:r w:rsidR="004357BE">
        <w:rPr>
          <w:sz w:val="22"/>
          <w:szCs w:val="22"/>
        </w:rPr>
        <w:t xml:space="preserve"> about the relationship between </w:t>
      </w:r>
      <w:r w:rsidR="00D65715">
        <w:rPr>
          <w:sz w:val="22"/>
          <w:szCs w:val="22"/>
        </w:rPr>
        <w:t xml:space="preserve">equity incentives </w:t>
      </w:r>
      <w:r w:rsidR="004357BE">
        <w:rPr>
          <w:sz w:val="22"/>
          <w:szCs w:val="22"/>
        </w:rPr>
        <w:t>and earnings management</w:t>
      </w:r>
      <w:r w:rsidR="00D65715">
        <w:rPr>
          <w:sz w:val="22"/>
          <w:szCs w:val="22"/>
        </w:rPr>
        <w:t xml:space="preserve">. </w:t>
      </w:r>
      <w:r w:rsidR="009D72CC">
        <w:rPr>
          <w:sz w:val="22"/>
          <w:szCs w:val="22"/>
        </w:rPr>
        <w:t>Furthermore</w:t>
      </w:r>
      <w:r w:rsidR="004357BE">
        <w:rPr>
          <w:sz w:val="22"/>
          <w:szCs w:val="22"/>
        </w:rPr>
        <w:t xml:space="preserve">, the studies about the consequences of SOX on earnings management are discussed. </w:t>
      </w:r>
      <w:r w:rsidR="009D72CC">
        <w:rPr>
          <w:sz w:val="22"/>
          <w:szCs w:val="22"/>
        </w:rPr>
        <w:t xml:space="preserve">Thereafter, </w:t>
      </w:r>
      <w:r w:rsidR="00807C1B">
        <w:rPr>
          <w:sz w:val="22"/>
          <w:szCs w:val="22"/>
        </w:rPr>
        <w:t>i</w:t>
      </w:r>
      <w:r w:rsidR="0018537D">
        <w:rPr>
          <w:sz w:val="22"/>
          <w:szCs w:val="22"/>
        </w:rPr>
        <w:t>n c</w:t>
      </w:r>
      <w:r w:rsidR="009C6BD7" w:rsidRPr="00522507">
        <w:rPr>
          <w:sz w:val="22"/>
          <w:szCs w:val="22"/>
        </w:rPr>
        <w:t xml:space="preserve">hapter 5 </w:t>
      </w:r>
      <w:r w:rsidR="0018537D">
        <w:rPr>
          <w:sz w:val="22"/>
          <w:szCs w:val="22"/>
        </w:rPr>
        <w:t xml:space="preserve">the hypotheses are developed. Chapter 6 </w:t>
      </w:r>
      <w:r w:rsidR="009D72CC">
        <w:rPr>
          <w:sz w:val="22"/>
          <w:szCs w:val="22"/>
        </w:rPr>
        <w:t xml:space="preserve">presents </w:t>
      </w:r>
      <w:r w:rsidR="009C6BD7" w:rsidRPr="00522507">
        <w:rPr>
          <w:sz w:val="22"/>
          <w:szCs w:val="22"/>
        </w:rPr>
        <w:t>the r</w:t>
      </w:r>
      <w:r w:rsidR="00D65715">
        <w:rPr>
          <w:sz w:val="22"/>
          <w:szCs w:val="22"/>
        </w:rPr>
        <w:t xml:space="preserve">esearch design </w:t>
      </w:r>
      <w:r w:rsidR="009D72CC">
        <w:rPr>
          <w:sz w:val="22"/>
          <w:szCs w:val="22"/>
        </w:rPr>
        <w:t>and the sample selection</w:t>
      </w:r>
      <w:r w:rsidR="00D65715">
        <w:rPr>
          <w:sz w:val="22"/>
          <w:szCs w:val="22"/>
        </w:rPr>
        <w:t xml:space="preserve">. </w:t>
      </w:r>
      <w:r w:rsidR="009D72CC">
        <w:rPr>
          <w:sz w:val="22"/>
          <w:szCs w:val="22"/>
        </w:rPr>
        <w:t>In c</w:t>
      </w:r>
      <w:r w:rsidR="003B32E7" w:rsidRPr="00522507">
        <w:rPr>
          <w:sz w:val="22"/>
          <w:szCs w:val="22"/>
        </w:rPr>
        <w:t xml:space="preserve">hapter </w:t>
      </w:r>
      <w:r w:rsidR="0018537D">
        <w:rPr>
          <w:sz w:val="22"/>
          <w:szCs w:val="22"/>
        </w:rPr>
        <w:t>7</w:t>
      </w:r>
      <w:r w:rsidR="003B32E7" w:rsidRPr="00522507">
        <w:rPr>
          <w:sz w:val="22"/>
          <w:szCs w:val="22"/>
        </w:rPr>
        <w:t xml:space="preserve"> </w:t>
      </w:r>
      <w:r w:rsidR="009D72CC">
        <w:rPr>
          <w:sz w:val="22"/>
          <w:szCs w:val="22"/>
        </w:rPr>
        <w:t xml:space="preserve">the data will be analyzed and the </w:t>
      </w:r>
      <w:r w:rsidR="003B32E7" w:rsidRPr="00522507">
        <w:rPr>
          <w:sz w:val="22"/>
          <w:szCs w:val="22"/>
        </w:rPr>
        <w:t>results</w:t>
      </w:r>
      <w:r w:rsidR="009D72CC">
        <w:rPr>
          <w:sz w:val="22"/>
          <w:szCs w:val="22"/>
        </w:rPr>
        <w:t xml:space="preserve"> will be reported</w:t>
      </w:r>
      <w:r w:rsidR="002E79A7" w:rsidRPr="00522507">
        <w:rPr>
          <w:sz w:val="22"/>
          <w:szCs w:val="22"/>
        </w:rPr>
        <w:t xml:space="preserve">. </w:t>
      </w:r>
      <w:r w:rsidR="000F53D2">
        <w:rPr>
          <w:sz w:val="22"/>
          <w:szCs w:val="22"/>
        </w:rPr>
        <w:t>Moreover, the results are used to test the hypotheses.</w:t>
      </w:r>
      <w:r w:rsidR="002E79A7" w:rsidRPr="00522507">
        <w:rPr>
          <w:sz w:val="22"/>
          <w:szCs w:val="22"/>
        </w:rPr>
        <w:t xml:space="preserve"> </w:t>
      </w:r>
      <w:r w:rsidR="00D65715">
        <w:rPr>
          <w:sz w:val="22"/>
          <w:szCs w:val="22"/>
        </w:rPr>
        <w:t>C</w:t>
      </w:r>
      <w:r w:rsidR="002E79A7" w:rsidRPr="00522507">
        <w:rPr>
          <w:sz w:val="22"/>
          <w:szCs w:val="22"/>
        </w:rPr>
        <w:t xml:space="preserve">hapter </w:t>
      </w:r>
      <w:r w:rsidR="0018537D">
        <w:rPr>
          <w:sz w:val="22"/>
          <w:szCs w:val="22"/>
        </w:rPr>
        <w:t>8</w:t>
      </w:r>
      <w:r w:rsidR="002E79A7" w:rsidRPr="00522507">
        <w:rPr>
          <w:sz w:val="22"/>
          <w:szCs w:val="22"/>
        </w:rPr>
        <w:t xml:space="preserve"> </w:t>
      </w:r>
      <w:r w:rsidR="00D65715">
        <w:rPr>
          <w:sz w:val="22"/>
          <w:szCs w:val="22"/>
        </w:rPr>
        <w:t xml:space="preserve">presents </w:t>
      </w:r>
      <w:r w:rsidR="002E79A7" w:rsidRPr="00522507">
        <w:rPr>
          <w:sz w:val="22"/>
          <w:szCs w:val="22"/>
        </w:rPr>
        <w:t>the conclusions</w:t>
      </w:r>
      <w:r w:rsidR="000F53D2">
        <w:rPr>
          <w:sz w:val="22"/>
          <w:szCs w:val="22"/>
        </w:rPr>
        <w:t xml:space="preserve"> and the findings are compared with prior studies</w:t>
      </w:r>
      <w:r w:rsidR="002E79A7" w:rsidRPr="00522507">
        <w:rPr>
          <w:sz w:val="22"/>
          <w:szCs w:val="22"/>
        </w:rPr>
        <w:t>.</w:t>
      </w:r>
      <w:r w:rsidR="00D65715">
        <w:rPr>
          <w:sz w:val="22"/>
          <w:szCs w:val="22"/>
        </w:rPr>
        <w:t xml:space="preserve"> </w:t>
      </w:r>
      <w:r w:rsidR="000F53D2">
        <w:rPr>
          <w:sz w:val="22"/>
          <w:szCs w:val="22"/>
        </w:rPr>
        <w:t>Additionally,</w:t>
      </w:r>
      <w:r w:rsidR="00D65715">
        <w:rPr>
          <w:sz w:val="22"/>
          <w:szCs w:val="22"/>
        </w:rPr>
        <w:t xml:space="preserve"> t</w:t>
      </w:r>
      <w:r w:rsidR="002E79A7" w:rsidRPr="00522507">
        <w:rPr>
          <w:sz w:val="22"/>
          <w:szCs w:val="22"/>
        </w:rPr>
        <w:t>he limitations</w:t>
      </w:r>
      <w:r w:rsidR="000F53D2">
        <w:rPr>
          <w:sz w:val="22"/>
          <w:szCs w:val="22"/>
        </w:rPr>
        <w:t xml:space="preserve"> of this research</w:t>
      </w:r>
      <w:r w:rsidR="002E79A7" w:rsidRPr="00522507">
        <w:rPr>
          <w:sz w:val="22"/>
          <w:szCs w:val="22"/>
        </w:rPr>
        <w:t xml:space="preserve"> and sugges</w:t>
      </w:r>
      <w:r w:rsidR="00D65715">
        <w:rPr>
          <w:sz w:val="22"/>
          <w:szCs w:val="22"/>
        </w:rPr>
        <w:t>tions for further research will</w:t>
      </w:r>
      <w:r w:rsidR="000F53D2">
        <w:rPr>
          <w:sz w:val="22"/>
          <w:szCs w:val="22"/>
        </w:rPr>
        <w:t xml:space="preserve"> be discussed.</w:t>
      </w:r>
    </w:p>
    <w:p w:rsidR="00763C94" w:rsidRDefault="00763C94" w:rsidP="002E79A7">
      <w:pPr>
        <w:spacing w:line="360" w:lineRule="auto"/>
        <w:jc w:val="both"/>
        <w:rPr>
          <w:sz w:val="22"/>
          <w:szCs w:val="22"/>
        </w:rPr>
      </w:pPr>
    </w:p>
    <w:p w:rsidR="00763C94" w:rsidRDefault="00763C94" w:rsidP="002E79A7">
      <w:pPr>
        <w:spacing w:line="360" w:lineRule="auto"/>
        <w:jc w:val="both"/>
        <w:rPr>
          <w:sz w:val="22"/>
          <w:szCs w:val="22"/>
        </w:rPr>
      </w:pPr>
    </w:p>
    <w:p w:rsidR="0080396C" w:rsidRDefault="0080396C" w:rsidP="002E79A7">
      <w:pPr>
        <w:spacing w:line="360" w:lineRule="auto"/>
        <w:jc w:val="both"/>
        <w:rPr>
          <w:sz w:val="22"/>
          <w:szCs w:val="22"/>
        </w:rPr>
      </w:pPr>
    </w:p>
    <w:p w:rsidR="00763C94" w:rsidRDefault="00763C94" w:rsidP="002E79A7">
      <w:pPr>
        <w:spacing w:line="360" w:lineRule="auto"/>
        <w:jc w:val="both"/>
        <w:rPr>
          <w:sz w:val="22"/>
          <w:szCs w:val="22"/>
        </w:rPr>
      </w:pPr>
    </w:p>
    <w:p w:rsidR="00F27043" w:rsidRDefault="00F27043" w:rsidP="002E79A7">
      <w:pPr>
        <w:spacing w:line="360" w:lineRule="auto"/>
        <w:jc w:val="both"/>
        <w:rPr>
          <w:sz w:val="22"/>
          <w:szCs w:val="22"/>
        </w:rPr>
      </w:pPr>
    </w:p>
    <w:p w:rsidR="0031623C" w:rsidRDefault="0031623C" w:rsidP="002E79A7">
      <w:pPr>
        <w:spacing w:line="360" w:lineRule="auto"/>
        <w:jc w:val="both"/>
        <w:rPr>
          <w:sz w:val="22"/>
          <w:szCs w:val="22"/>
        </w:rPr>
      </w:pPr>
    </w:p>
    <w:p w:rsidR="0031623C" w:rsidRDefault="0031623C" w:rsidP="002E79A7">
      <w:pPr>
        <w:spacing w:line="360" w:lineRule="auto"/>
        <w:jc w:val="both"/>
        <w:rPr>
          <w:sz w:val="22"/>
          <w:szCs w:val="22"/>
        </w:rPr>
      </w:pPr>
    </w:p>
    <w:p w:rsidR="00563C56" w:rsidRDefault="004949EB" w:rsidP="00563C56">
      <w:pPr>
        <w:pStyle w:val="Kop1"/>
        <w:jc w:val="center"/>
        <w:rPr>
          <w:rFonts w:cs="Times New Roman"/>
          <w:szCs w:val="24"/>
        </w:rPr>
      </w:pPr>
      <w:bookmarkStart w:id="27" w:name="_Toc287614157"/>
      <w:r>
        <w:rPr>
          <w:rFonts w:cs="Times New Roman"/>
          <w:szCs w:val="24"/>
        </w:rPr>
        <w:lastRenderedPageBreak/>
        <w:t>2</w:t>
      </w:r>
      <w:r w:rsidR="00563C56" w:rsidRPr="00EE304F">
        <w:rPr>
          <w:rFonts w:cs="Times New Roman"/>
          <w:szCs w:val="24"/>
        </w:rPr>
        <w:t>. E</w:t>
      </w:r>
      <w:r w:rsidR="00563C56">
        <w:rPr>
          <w:rFonts w:cs="Times New Roman"/>
          <w:szCs w:val="24"/>
        </w:rPr>
        <w:t>QUITY INCENTIVES</w:t>
      </w:r>
      <w:bookmarkEnd w:id="27"/>
    </w:p>
    <w:p w:rsidR="00563C56" w:rsidRDefault="00563C56" w:rsidP="00563C56">
      <w:pPr>
        <w:spacing w:line="360" w:lineRule="auto"/>
        <w:jc w:val="both"/>
        <w:rPr>
          <w:sz w:val="22"/>
          <w:szCs w:val="22"/>
        </w:rPr>
      </w:pPr>
    </w:p>
    <w:p w:rsidR="00563C56" w:rsidRPr="00536965" w:rsidRDefault="00563C56" w:rsidP="00563C56">
      <w:pPr>
        <w:spacing w:line="360" w:lineRule="auto"/>
        <w:jc w:val="both"/>
        <w:rPr>
          <w:sz w:val="22"/>
          <w:szCs w:val="22"/>
        </w:rPr>
      </w:pPr>
      <w:r w:rsidRPr="00536965">
        <w:rPr>
          <w:sz w:val="22"/>
          <w:szCs w:val="22"/>
        </w:rPr>
        <w:t xml:space="preserve">In this chapter I will </w:t>
      </w:r>
      <w:r w:rsidR="00EA07D8">
        <w:rPr>
          <w:sz w:val="22"/>
          <w:szCs w:val="22"/>
        </w:rPr>
        <w:t>use</w:t>
      </w:r>
      <w:r w:rsidRPr="00536965">
        <w:rPr>
          <w:sz w:val="22"/>
          <w:szCs w:val="22"/>
        </w:rPr>
        <w:t xml:space="preserve"> the agency theory to clarify equity incentives </w:t>
      </w:r>
      <w:r w:rsidR="00777847">
        <w:rPr>
          <w:sz w:val="22"/>
          <w:szCs w:val="22"/>
        </w:rPr>
        <w:t>within</w:t>
      </w:r>
      <w:r w:rsidR="00EA07D8">
        <w:rPr>
          <w:sz w:val="22"/>
          <w:szCs w:val="22"/>
        </w:rPr>
        <w:t xml:space="preserve"> the</w:t>
      </w:r>
      <w:r w:rsidRPr="00536965">
        <w:rPr>
          <w:sz w:val="22"/>
          <w:szCs w:val="22"/>
        </w:rPr>
        <w:t xml:space="preserve"> managers’ </w:t>
      </w:r>
      <w:r w:rsidR="002A5307">
        <w:rPr>
          <w:sz w:val="22"/>
          <w:szCs w:val="22"/>
        </w:rPr>
        <w:t>compensation</w:t>
      </w:r>
      <w:r w:rsidR="004248AC">
        <w:rPr>
          <w:sz w:val="22"/>
          <w:szCs w:val="22"/>
        </w:rPr>
        <w:t xml:space="preserve"> contracts. Paragraph 2</w:t>
      </w:r>
      <w:r w:rsidRPr="00536965">
        <w:rPr>
          <w:sz w:val="22"/>
          <w:szCs w:val="22"/>
        </w:rPr>
        <w:t xml:space="preserve">.1 </w:t>
      </w:r>
      <w:r>
        <w:rPr>
          <w:sz w:val="22"/>
          <w:szCs w:val="22"/>
        </w:rPr>
        <w:t>describe</w:t>
      </w:r>
      <w:r w:rsidR="004248AC">
        <w:rPr>
          <w:sz w:val="22"/>
          <w:szCs w:val="22"/>
        </w:rPr>
        <w:t>s equity incentives. Paragraph 2</w:t>
      </w:r>
      <w:r>
        <w:rPr>
          <w:sz w:val="22"/>
          <w:szCs w:val="22"/>
        </w:rPr>
        <w:t xml:space="preserve">.2 discusses </w:t>
      </w:r>
      <w:r w:rsidR="002C0091">
        <w:rPr>
          <w:sz w:val="22"/>
          <w:szCs w:val="22"/>
        </w:rPr>
        <w:t>the urge to use</w:t>
      </w:r>
      <w:r>
        <w:rPr>
          <w:sz w:val="22"/>
          <w:szCs w:val="22"/>
        </w:rPr>
        <w:t xml:space="preserve"> e</w:t>
      </w:r>
      <w:r w:rsidR="002C0091">
        <w:rPr>
          <w:sz w:val="22"/>
          <w:szCs w:val="22"/>
        </w:rPr>
        <w:t>quity incentives. P</w:t>
      </w:r>
      <w:r w:rsidR="004248AC">
        <w:rPr>
          <w:sz w:val="22"/>
          <w:szCs w:val="22"/>
        </w:rPr>
        <w:t>aragraph 2</w:t>
      </w:r>
      <w:r>
        <w:rPr>
          <w:sz w:val="22"/>
          <w:szCs w:val="22"/>
        </w:rPr>
        <w:t>.3</w:t>
      </w:r>
      <w:r w:rsidRPr="00536965">
        <w:rPr>
          <w:sz w:val="22"/>
          <w:szCs w:val="22"/>
        </w:rPr>
        <w:t xml:space="preserve"> </w:t>
      </w:r>
      <w:r w:rsidR="003E56EC">
        <w:rPr>
          <w:sz w:val="22"/>
          <w:szCs w:val="22"/>
        </w:rPr>
        <w:t>explains the setting</w:t>
      </w:r>
      <w:r w:rsidR="00263E35">
        <w:rPr>
          <w:sz w:val="22"/>
          <w:szCs w:val="22"/>
        </w:rPr>
        <w:t xml:space="preserve"> and the disclosure of executive</w:t>
      </w:r>
      <w:r w:rsidR="002C0091">
        <w:rPr>
          <w:sz w:val="22"/>
          <w:szCs w:val="22"/>
        </w:rPr>
        <w:t xml:space="preserve"> compensation. Paragraph 2.4 discusses the manipulative behavior of managers</w:t>
      </w:r>
      <w:r w:rsidR="003E56EC">
        <w:rPr>
          <w:sz w:val="22"/>
          <w:szCs w:val="22"/>
        </w:rPr>
        <w:t xml:space="preserve"> due to variable compensation</w:t>
      </w:r>
      <w:r w:rsidR="002C0091">
        <w:rPr>
          <w:sz w:val="22"/>
          <w:szCs w:val="22"/>
        </w:rPr>
        <w:t>. E</w:t>
      </w:r>
      <w:r w:rsidR="002C0091" w:rsidRPr="00536965">
        <w:rPr>
          <w:sz w:val="22"/>
          <w:szCs w:val="22"/>
        </w:rPr>
        <w:t>quity incentives in the banking industry are</w:t>
      </w:r>
      <w:r w:rsidRPr="00536965">
        <w:rPr>
          <w:sz w:val="22"/>
          <w:szCs w:val="22"/>
        </w:rPr>
        <w:t xml:space="preserve"> </w:t>
      </w:r>
      <w:r w:rsidR="002C0091">
        <w:rPr>
          <w:sz w:val="22"/>
          <w:szCs w:val="22"/>
        </w:rPr>
        <w:t>explained in paragraph 2.5</w:t>
      </w:r>
      <w:r w:rsidRPr="00536965">
        <w:rPr>
          <w:sz w:val="22"/>
          <w:szCs w:val="22"/>
        </w:rPr>
        <w:t>. A summery and conclusio</w:t>
      </w:r>
      <w:r>
        <w:rPr>
          <w:sz w:val="22"/>
          <w:szCs w:val="22"/>
        </w:rPr>
        <w:t>n will be given at the end of this chapter</w:t>
      </w:r>
      <w:r w:rsidRPr="00536965">
        <w:rPr>
          <w:sz w:val="22"/>
          <w:szCs w:val="22"/>
        </w:rPr>
        <w:t>.</w:t>
      </w:r>
    </w:p>
    <w:p w:rsidR="00563C56" w:rsidRDefault="00563C56" w:rsidP="00563C56">
      <w:pPr>
        <w:rPr>
          <w:sz w:val="22"/>
          <w:szCs w:val="22"/>
        </w:rPr>
      </w:pPr>
    </w:p>
    <w:p w:rsidR="00563C56" w:rsidRDefault="00A2728A" w:rsidP="00563C56">
      <w:pPr>
        <w:pStyle w:val="Kop2"/>
      </w:pPr>
      <w:bookmarkStart w:id="28" w:name="_Toc287614158"/>
      <w:r>
        <w:t>2</w:t>
      </w:r>
      <w:r w:rsidR="00563C56">
        <w:t>.1 What are equity incentives?</w:t>
      </w:r>
      <w:bookmarkEnd w:id="28"/>
    </w:p>
    <w:p w:rsidR="00563C56" w:rsidRDefault="00563C56" w:rsidP="00563C56">
      <w:pPr>
        <w:spacing w:line="360" w:lineRule="auto"/>
        <w:jc w:val="both"/>
        <w:rPr>
          <w:sz w:val="22"/>
          <w:szCs w:val="22"/>
        </w:rPr>
      </w:pPr>
      <w:r w:rsidRPr="00E704F3">
        <w:rPr>
          <w:sz w:val="22"/>
          <w:szCs w:val="22"/>
        </w:rPr>
        <w:t xml:space="preserve">Equity incentives are motivations arising from stock-based compensation and stock/option ownership, </w:t>
      </w:r>
      <w:r w:rsidR="00695984">
        <w:rPr>
          <w:sz w:val="22"/>
          <w:szCs w:val="22"/>
        </w:rPr>
        <w:t>encouraging</w:t>
      </w:r>
      <w:r w:rsidR="00777847">
        <w:rPr>
          <w:sz w:val="22"/>
          <w:szCs w:val="22"/>
        </w:rPr>
        <w:t xml:space="preserve"> </w:t>
      </w:r>
      <w:r w:rsidRPr="00E704F3">
        <w:rPr>
          <w:sz w:val="22"/>
          <w:szCs w:val="22"/>
        </w:rPr>
        <w:t xml:space="preserve">managers </w:t>
      </w:r>
      <w:r w:rsidR="003F4EB3">
        <w:rPr>
          <w:sz w:val="22"/>
          <w:szCs w:val="22"/>
        </w:rPr>
        <w:t xml:space="preserve">to increase the firm’s share price. </w:t>
      </w:r>
      <w:r w:rsidR="00A34A78">
        <w:rPr>
          <w:sz w:val="22"/>
          <w:szCs w:val="22"/>
        </w:rPr>
        <w:t>Murphy (1999) document</w:t>
      </w:r>
      <w:r w:rsidR="009E2B0D">
        <w:rPr>
          <w:sz w:val="22"/>
          <w:szCs w:val="22"/>
        </w:rPr>
        <w:t>ed</w:t>
      </w:r>
      <w:r w:rsidR="00A34A78">
        <w:rPr>
          <w:sz w:val="22"/>
          <w:szCs w:val="22"/>
        </w:rPr>
        <w:t xml:space="preserve"> that executive compensation packages contain four basic elements: base salary, annual bonus ties to accounting performance, stocks and option plans. </w:t>
      </w:r>
      <w:r w:rsidR="00C472B1">
        <w:rPr>
          <w:sz w:val="22"/>
          <w:szCs w:val="22"/>
        </w:rPr>
        <w:t>Over the years</w:t>
      </w:r>
      <w:r w:rsidR="00A34A78">
        <w:rPr>
          <w:sz w:val="22"/>
          <w:szCs w:val="22"/>
        </w:rPr>
        <w:t>, stock and option compensation</w:t>
      </w:r>
      <w:r w:rsidR="00C472B1">
        <w:rPr>
          <w:sz w:val="22"/>
          <w:szCs w:val="22"/>
        </w:rPr>
        <w:t>s</w:t>
      </w:r>
      <w:r w:rsidR="00A34A78">
        <w:rPr>
          <w:sz w:val="22"/>
          <w:szCs w:val="22"/>
        </w:rPr>
        <w:t xml:space="preserve"> make up the largest segment of the CEO package. </w:t>
      </w:r>
      <w:r w:rsidR="00C472B1">
        <w:rPr>
          <w:sz w:val="22"/>
          <w:szCs w:val="22"/>
        </w:rPr>
        <w:t>S</w:t>
      </w:r>
      <w:r w:rsidR="00FE1E49">
        <w:rPr>
          <w:sz w:val="22"/>
          <w:szCs w:val="22"/>
        </w:rPr>
        <w:t>tock</w:t>
      </w:r>
      <w:r w:rsidR="00A34A78">
        <w:rPr>
          <w:sz w:val="22"/>
          <w:szCs w:val="22"/>
        </w:rPr>
        <w:t xml:space="preserve"> rewards</w:t>
      </w:r>
      <w:r w:rsidR="00C472B1">
        <w:rPr>
          <w:sz w:val="22"/>
          <w:szCs w:val="22"/>
        </w:rPr>
        <w:t xml:space="preserve"> are granted in different kinds</w:t>
      </w:r>
      <w:r w:rsidR="003F4EB3">
        <w:rPr>
          <w:sz w:val="22"/>
          <w:szCs w:val="22"/>
        </w:rPr>
        <w:t>,</w:t>
      </w:r>
      <w:r w:rsidR="00FE1E49">
        <w:rPr>
          <w:sz w:val="22"/>
          <w:szCs w:val="22"/>
        </w:rPr>
        <w:t xml:space="preserve"> such as</w:t>
      </w:r>
      <w:r w:rsidRPr="009C691E">
        <w:rPr>
          <w:sz w:val="22"/>
          <w:szCs w:val="22"/>
        </w:rPr>
        <w:t xml:space="preserve">: </w:t>
      </w:r>
      <w:r w:rsidR="00FE1E49">
        <w:rPr>
          <w:sz w:val="22"/>
          <w:szCs w:val="22"/>
        </w:rPr>
        <w:t xml:space="preserve">normal </w:t>
      </w:r>
      <w:r w:rsidRPr="009C691E">
        <w:rPr>
          <w:sz w:val="22"/>
          <w:szCs w:val="22"/>
        </w:rPr>
        <w:t xml:space="preserve">stock grants; </w:t>
      </w:r>
      <w:r w:rsidR="00F14450">
        <w:rPr>
          <w:sz w:val="22"/>
          <w:szCs w:val="22"/>
        </w:rPr>
        <w:t xml:space="preserve">and </w:t>
      </w:r>
      <w:r w:rsidRPr="009C691E">
        <w:rPr>
          <w:sz w:val="22"/>
          <w:szCs w:val="22"/>
        </w:rPr>
        <w:t>restricted stock grants, which cannot be sold within specific time or before the f</w:t>
      </w:r>
      <w:r w:rsidR="00F14450">
        <w:rPr>
          <w:sz w:val="22"/>
          <w:szCs w:val="22"/>
        </w:rPr>
        <w:t xml:space="preserve">irm reaches a performance goal </w:t>
      </w:r>
      <w:r w:rsidRPr="009C691E">
        <w:rPr>
          <w:sz w:val="22"/>
          <w:szCs w:val="22"/>
        </w:rPr>
        <w:t xml:space="preserve">(Ronen and </w:t>
      </w:r>
      <w:proofErr w:type="spellStart"/>
      <w:r w:rsidRPr="009C691E">
        <w:rPr>
          <w:sz w:val="22"/>
          <w:szCs w:val="22"/>
        </w:rPr>
        <w:t>Yaari</w:t>
      </w:r>
      <w:proofErr w:type="spellEnd"/>
      <w:r w:rsidRPr="009C691E">
        <w:rPr>
          <w:sz w:val="22"/>
          <w:szCs w:val="22"/>
        </w:rPr>
        <w:t>, 2009, p. 81).</w:t>
      </w:r>
      <w:r w:rsidR="000D1C7B">
        <w:rPr>
          <w:sz w:val="22"/>
          <w:szCs w:val="22"/>
        </w:rPr>
        <w:t xml:space="preserve"> Stocks enable managers to be part of the firm’s ownership.</w:t>
      </w:r>
    </w:p>
    <w:p w:rsidR="00563C56" w:rsidRPr="00EB47C2" w:rsidRDefault="00563C56" w:rsidP="00563C56">
      <w:pPr>
        <w:spacing w:line="360" w:lineRule="auto"/>
        <w:jc w:val="both"/>
        <w:rPr>
          <w:i/>
          <w:sz w:val="22"/>
          <w:szCs w:val="22"/>
        </w:rPr>
      </w:pPr>
    </w:p>
    <w:p w:rsidR="00563C56" w:rsidRDefault="00563C56" w:rsidP="00563C56">
      <w:pPr>
        <w:spacing w:line="360" w:lineRule="auto"/>
        <w:jc w:val="both"/>
        <w:rPr>
          <w:sz w:val="22"/>
          <w:szCs w:val="22"/>
        </w:rPr>
      </w:pPr>
      <w:r w:rsidRPr="00536965">
        <w:rPr>
          <w:sz w:val="22"/>
          <w:szCs w:val="22"/>
        </w:rPr>
        <w:t xml:space="preserve">Options are contracts which give the holder the right to buy a certain share of stock at a pre-specified exercise price. </w:t>
      </w:r>
      <w:r>
        <w:rPr>
          <w:sz w:val="22"/>
          <w:szCs w:val="22"/>
        </w:rPr>
        <w:t>The exercised option is</w:t>
      </w:r>
      <w:r w:rsidRPr="00536965">
        <w:rPr>
          <w:sz w:val="22"/>
          <w:szCs w:val="22"/>
        </w:rPr>
        <w:t xml:space="preserve"> only profitable when the share price is higher than the exercise price, also referred as “in the money”. Murphy (1999) mention</w:t>
      </w:r>
      <w:r w:rsidR="009E2B0D">
        <w:rPr>
          <w:sz w:val="22"/>
          <w:szCs w:val="22"/>
        </w:rPr>
        <w:t>ed</w:t>
      </w:r>
      <w:r w:rsidRPr="00536965">
        <w:rPr>
          <w:sz w:val="22"/>
          <w:szCs w:val="22"/>
        </w:rPr>
        <w:t xml:space="preserve"> that options don’t give the same incen</w:t>
      </w:r>
      <w:r w:rsidR="005A2B24">
        <w:rPr>
          <w:sz w:val="22"/>
          <w:szCs w:val="22"/>
        </w:rPr>
        <w:t>tives as stock ownership for</w:t>
      </w:r>
      <w:r w:rsidRPr="00536965">
        <w:rPr>
          <w:sz w:val="22"/>
          <w:szCs w:val="22"/>
        </w:rPr>
        <w:t xml:space="preserve"> several reasons: (1) executive</w:t>
      </w:r>
      <w:r w:rsidR="00FE1E49">
        <w:rPr>
          <w:sz w:val="22"/>
          <w:szCs w:val="22"/>
        </w:rPr>
        <w:t>s</w:t>
      </w:r>
      <w:r w:rsidRPr="00536965">
        <w:rPr>
          <w:sz w:val="22"/>
          <w:szCs w:val="22"/>
        </w:rPr>
        <w:t xml:space="preserve"> holding options have incentives to avoid dividends and favor share repurchases, because options reward only when the stock-price increases and not shareholder returns; (2) options induces executives to take riskier strategies to increase firm value, because then the manager will make a gain of the difference between share price and exercise price times the number of shares; and (3) options lose incentives when they are not “in the money”. </w:t>
      </w:r>
      <w:proofErr w:type="spellStart"/>
      <w:r>
        <w:rPr>
          <w:sz w:val="22"/>
          <w:szCs w:val="22"/>
        </w:rPr>
        <w:t>Feltham</w:t>
      </w:r>
      <w:proofErr w:type="spellEnd"/>
      <w:r>
        <w:rPr>
          <w:sz w:val="22"/>
          <w:szCs w:val="22"/>
        </w:rPr>
        <w:t xml:space="preserve"> and Wu (2001) argue that a unit of stock is equivalent to an option with a zero exercise price.</w:t>
      </w:r>
    </w:p>
    <w:p w:rsidR="003F4EB3" w:rsidRDefault="003F4EB3" w:rsidP="00563C56">
      <w:pPr>
        <w:rPr>
          <w:sz w:val="22"/>
          <w:szCs w:val="22"/>
        </w:rPr>
      </w:pPr>
    </w:p>
    <w:p w:rsidR="00563C56" w:rsidRPr="00DD0E25" w:rsidRDefault="00A2728A" w:rsidP="00563C56">
      <w:pPr>
        <w:pStyle w:val="Kop2"/>
      </w:pPr>
      <w:bookmarkStart w:id="29" w:name="_Toc287614159"/>
      <w:r>
        <w:t>2</w:t>
      </w:r>
      <w:r w:rsidR="00563C56">
        <w:t>.2</w:t>
      </w:r>
      <w:r w:rsidR="00563C56" w:rsidRPr="00DD0E25">
        <w:t xml:space="preserve"> </w:t>
      </w:r>
      <w:r w:rsidR="00563C56">
        <w:t>Why are managers given equity incentives?</w:t>
      </w:r>
      <w:bookmarkEnd w:id="29"/>
    </w:p>
    <w:p w:rsidR="00C96CCA" w:rsidRDefault="00122FCC" w:rsidP="00C96CCA">
      <w:pPr>
        <w:spacing w:line="360" w:lineRule="auto"/>
        <w:jc w:val="both"/>
        <w:rPr>
          <w:sz w:val="22"/>
          <w:szCs w:val="22"/>
        </w:rPr>
      </w:pPr>
      <w:r>
        <w:rPr>
          <w:sz w:val="22"/>
          <w:szCs w:val="22"/>
        </w:rPr>
        <w:t xml:space="preserve">The purpose of equity incentives is </w:t>
      </w:r>
      <w:r w:rsidR="003871BB">
        <w:rPr>
          <w:sz w:val="22"/>
          <w:szCs w:val="22"/>
        </w:rPr>
        <w:t xml:space="preserve">to align managers’ interest with that of shareholders and </w:t>
      </w:r>
      <w:r>
        <w:rPr>
          <w:sz w:val="22"/>
          <w:szCs w:val="22"/>
        </w:rPr>
        <w:t>to encourage risk-averse managers to increase fi</w:t>
      </w:r>
      <w:r w:rsidR="003871BB">
        <w:rPr>
          <w:sz w:val="22"/>
          <w:szCs w:val="22"/>
        </w:rPr>
        <w:t>rm value by taking more risk</w:t>
      </w:r>
      <w:r>
        <w:rPr>
          <w:sz w:val="22"/>
          <w:szCs w:val="22"/>
        </w:rPr>
        <w:t xml:space="preserve">. </w:t>
      </w:r>
      <w:r w:rsidRPr="009C691E">
        <w:rPr>
          <w:sz w:val="22"/>
          <w:szCs w:val="22"/>
        </w:rPr>
        <w:t xml:space="preserve">Jensen and Murphy (1990) </w:t>
      </w:r>
      <w:r>
        <w:rPr>
          <w:sz w:val="22"/>
          <w:szCs w:val="22"/>
        </w:rPr>
        <w:t>indicated that CEOs</w:t>
      </w:r>
      <w:r w:rsidRPr="009C691E">
        <w:rPr>
          <w:sz w:val="22"/>
          <w:szCs w:val="22"/>
        </w:rPr>
        <w:t xml:space="preserve"> </w:t>
      </w:r>
      <w:r>
        <w:rPr>
          <w:sz w:val="22"/>
          <w:szCs w:val="22"/>
        </w:rPr>
        <w:t xml:space="preserve">in </w:t>
      </w:r>
      <w:r w:rsidR="001223FA">
        <w:rPr>
          <w:sz w:val="22"/>
          <w:szCs w:val="22"/>
        </w:rPr>
        <w:t xml:space="preserve">the </w:t>
      </w:r>
      <w:r>
        <w:rPr>
          <w:sz w:val="22"/>
          <w:szCs w:val="22"/>
        </w:rPr>
        <w:t xml:space="preserve">period from 1974 till </w:t>
      </w:r>
      <w:r w:rsidRPr="009C691E">
        <w:rPr>
          <w:sz w:val="22"/>
          <w:szCs w:val="22"/>
        </w:rPr>
        <w:t>1986</w:t>
      </w:r>
      <w:r>
        <w:rPr>
          <w:sz w:val="22"/>
          <w:szCs w:val="22"/>
        </w:rPr>
        <w:t xml:space="preserve"> </w:t>
      </w:r>
      <w:r w:rsidRPr="009C691E">
        <w:rPr>
          <w:sz w:val="22"/>
          <w:szCs w:val="22"/>
        </w:rPr>
        <w:t>only saw a $3 increase in the value of their stock and option portfolios for every $1,000 increase in shareholder we</w:t>
      </w:r>
      <w:r w:rsidR="001223FA">
        <w:rPr>
          <w:sz w:val="22"/>
          <w:szCs w:val="22"/>
        </w:rPr>
        <w:t>alth</w:t>
      </w:r>
      <w:r>
        <w:rPr>
          <w:sz w:val="22"/>
          <w:szCs w:val="22"/>
        </w:rPr>
        <w:t>. They suggest</w:t>
      </w:r>
      <w:r w:rsidR="009E2B0D">
        <w:rPr>
          <w:sz w:val="22"/>
          <w:szCs w:val="22"/>
        </w:rPr>
        <w:t>ed</w:t>
      </w:r>
      <w:r>
        <w:rPr>
          <w:sz w:val="22"/>
          <w:szCs w:val="22"/>
        </w:rPr>
        <w:t xml:space="preserve"> that CEOs</w:t>
      </w:r>
      <w:r w:rsidRPr="009C691E">
        <w:rPr>
          <w:sz w:val="22"/>
          <w:szCs w:val="22"/>
        </w:rPr>
        <w:t xml:space="preserve"> had little incentive to maximize shareholder value. </w:t>
      </w:r>
      <w:r>
        <w:rPr>
          <w:sz w:val="22"/>
          <w:szCs w:val="22"/>
        </w:rPr>
        <w:t>E</w:t>
      </w:r>
      <w:r w:rsidRPr="009C691E">
        <w:rPr>
          <w:sz w:val="22"/>
          <w:szCs w:val="22"/>
        </w:rPr>
        <w:t xml:space="preserve">quity based compensation </w:t>
      </w:r>
      <w:r>
        <w:rPr>
          <w:sz w:val="22"/>
          <w:szCs w:val="22"/>
        </w:rPr>
        <w:t>is therefore</w:t>
      </w:r>
      <w:r w:rsidRPr="009C691E">
        <w:rPr>
          <w:sz w:val="22"/>
          <w:szCs w:val="22"/>
        </w:rPr>
        <w:t xml:space="preserve"> </w:t>
      </w:r>
      <w:r w:rsidR="001223FA">
        <w:rPr>
          <w:sz w:val="22"/>
          <w:szCs w:val="22"/>
        </w:rPr>
        <w:t>used</w:t>
      </w:r>
      <w:r>
        <w:rPr>
          <w:sz w:val="22"/>
          <w:szCs w:val="22"/>
        </w:rPr>
        <w:t xml:space="preserve"> t</w:t>
      </w:r>
      <w:r w:rsidRPr="009C691E">
        <w:rPr>
          <w:sz w:val="22"/>
          <w:szCs w:val="22"/>
        </w:rPr>
        <w:t>o give executives a greater incentive to act in the interests of sharehol</w:t>
      </w:r>
      <w:r>
        <w:rPr>
          <w:sz w:val="22"/>
          <w:szCs w:val="22"/>
        </w:rPr>
        <w:t>ders.</w:t>
      </w:r>
      <w:r w:rsidR="003871BB">
        <w:rPr>
          <w:sz w:val="22"/>
          <w:szCs w:val="22"/>
        </w:rPr>
        <w:t xml:space="preserve"> </w:t>
      </w:r>
      <w:r w:rsidR="004B7C32">
        <w:rPr>
          <w:sz w:val="22"/>
          <w:szCs w:val="22"/>
        </w:rPr>
        <w:t>In firms where there is a</w:t>
      </w:r>
      <w:r w:rsidR="004B7C32" w:rsidRPr="00536965">
        <w:rPr>
          <w:sz w:val="22"/>
          <w:szCs w:val="22"/>
        </w:rPr>
        <w:t xml:space="preserve"> </w:t>
      </w:r>
      <w:r w:rsidR="004B7C32" w:rsidRPr="00536965">
        <w:rPr>
          <w:sz w:val="22"/>
          <w:szCs w:val="22"/>
        </w:rPr>
        <w:lastRenderedPageBreak/>
        <w:t xml:space="preserve">separation of </w:t>
      </w:r>
      <w:r w:rsidR="00C822C9">
        <w:rPr>
          <w:sz w:val="22"/>
          <w:szCs w:val="22"/>
        </w:rPr>
        <w:t xml:space="preserve">ownership and control </w:t>
      </w:r>
      <w:r w:rsidR="004B7C32">
        <w:rPr>
          <w:sz w:val="22"/>
          <w:szCs w:val="22"/>
        </w:rPr>
        <w:t xml:space="preserve">there is a need </w:t>
      </w:r>
      <w:r w:rsidR="00C40FF4">
        <w:rPr>
          <w:sz w:val="22"/>
          <w:szCs w:val="22"/>
        </w:rPr>
        <w:t>to align the managers</w:t>
      </w:r>
      <w:r w:rsidR="004B7C32">
        <w:rPr>
          <w:sz w:val="22"/>
          <w:szCs w:val="22"/>
        </w:rPr>
        <w:t>’ interest</w:t>
      </w:r>
      <w:r w:rsidR="00C40FF4">
        <w:rPr>
          <w:sz w:val="22"/>
          <w:szCs w:val="22"/>
        </w:rPr>
        <w:t xml:space="preserve"> with that of the shareholders</w:t>
      </w:r>
      <w:r w:rsidR="004B7C32">
        <w:rPr>
          <w:sz w:val="22"/>
          <w:szCs w:val="22"/>
        </w:rPr>
        <w:t>.</w:t>
      </w:r>
      <w:r w:rsidR="004B7C32" w:rsidRPr="00536965">
        <w:rPr>
          <w:sz w:val="22"/>
          <w:szCs w:val="22"/>
        </w:rPr>
        <w:t xml:space="preserve"> </w:t>
      </w:r>
      <w:r w:rsidR="00C822C9">
        <w:rPr>
          <w:sz w:val="22"/>
          <w:szCs w:val="22"/>
        </w:rPr>
        <w:t>The agency theory assumes that</w:t>
      </w:r>
      <w:r w:rsidR="00C40FF4">
        <w:rPr>
          <w:sz w:val="22"/>
          <w:szCs w:val="22"/>
        </w:rPr>
        <w:t xml:space="preserve"> </w:t>
      </w:r>
      <w:r w:rsidR="00C822C9">
        <w:rPr>
          <w:sz w:val="22"/>
          <w:szCs w:val="22"/>
        </w:rPr>
        <w:t>managers are</w:t>
      </w:r>
      <w:r w:rsidR="00C40FF4">
        <w:rPr>
          <w:sz w:val="22"/>
          <w:szCs w:val="22"/>
        </w:rPr>
        <w:t xml:space="preserve"> driven by self-int</w:t>
      </w:r>
      <w:r w:rsidR="00C822C9">
        <w:rPr>
          <w:sz w:val="22"/>
          <w:szCs w:val="22"/>
        </w:rPr>
        <w:t>erest and act opportunistically</w:t>
      </w:r>
      <w:r w:rsidR="00C40FF4">
        <w:rPr>
          <w:sz w:val="22"/>
          <w:szCs w:val="22"/>
        </w:rPr>
        <w:t>. M</w:t>
      </w:r>
      <w:r>
        <w:rPr>
          <w:sz w:val="22"/>
          <w:szCs w:val="22"/>
        </w:rPr>
        <w:t>anagers</w:t>
      </w:r>
      <w:r w:rsidR="00C96CCA" w:rsidRPr="00536965">
        <w:rPr>
          <w:sz w:val="22"/>
          <w:szCs w:val="22"/>
        </w:rPr>
        <w:t xml:space="preserve"> in possession of control over a corporation, especially the CEO, can extract private benefits of control at the expense of shareholders</w:t>
      </w:r>
      <w:r>
        <w:rPr>
          <w:sz w:val="22"/>
          <w:szCs w:val="22"/>
        </w:rPr>
        <w:t>.</w:t>
      </w:r>
      <w:r w:rsidR="00C96CCA" w:rsidRPr="00536965">
        <w:rPr>
          <w:sz w:val="22"/>
          <w:szCs w:val="22"/>
        </w:rPr>
        <w:t xml:space="preserve"> </w:t>
      </w:r>
      <w:r>
        <w:rPr>
          <w:sz w:val="22"/>
          <w:szCs w:val="22"/>
        </w:rPr>
        <w:t xml:space="preserve"> </w:t>
      </w:r>
      <w:r w:rsidR="00C822C9">
        <w:rPr>
          <w:sz w:val="22"/>
          <w:szCs w:val="22"/>
        </w:rPr>
        <w:t xml:space="preserve">This </w:t>
      </w:r>
      <w:r>
        <w:rPr>
          <w:sz w:val="22"/>
          <w:szCs w:val="22"/>
        </w:rPr>
        <w:t xml:space="preserve">may lead </w:t>
      </w:r>
      <w:r w:rsidR="00C96CCA" w:rsidRPr="00536965">
        <w:rPr>
          <w:sz w:val="22"/>
          <w:szCs w:val="22"/>
        </w:rPr>
        <w:t>to lesser firm va</w:t>
      </w:r>
      <w:r w:rsidR="00C822C9">
        <w:rPr>
          <w:sz w:val="22"/>
          <w:szCs w:val="22"/>
        </w:rPr>
        <w:t>lue and the</w:t>
      </w:r>
      <w:r w:rsidR="00DA4646">
        <w:rPr>
          <w:sz w:val="22"/>
          <w:szCs w:val="22"/>
        </w:rPr>
        <w:t xml:space="preserve"> incurred</w:t>
      </w:r>
      <w:r w:rsidR="00C96CCA" w:rsidRPr="00536965">
        <w:rPr>
          <w:sz w:val="22"/>
          <w:szCs w:val="22"/>
        </w:rPr>
        <w:t xml:space="preserve"> </w:t>
      </w:r>
      <w:r w:rsidR="00C96CCA">
        <w:rPr>
          <w:sz w:val="22"/>
          <w:szCs w:val="22"/>
        </w:rPr>
        <w:t>losses</w:t>
      </w:r>
      <w:r w:rsidR="00C96CCA" w:rsidRPr="00536965">
        <w:rPr>
          <w:sz w:val="22"/>
          <w:szCs w:val="22"/>
        </w:rPr>
        <w:t xml:space="preserve"> are called agency costs (Jensen and </w:t>
      </w:r>
      <w:proofErr w:type="spellStart"/>
      <w:r w:rsidR="00C96CCA" w:rsidRPr="00536965">
        <w:rPr>
          <w:sz w:val="22"/>
          <w:szCs w:val="22"/>
        </w:rPr>
        <w:t>Meckling</w:t>
      </w:r>
      <w:proofErr w:type="spellEnd"/>
      <w:r w:rsidR="00C96CCA" w:rsidRPr="00536965">
        <w:rPr>
          <w:sz w:val="22"/>
          <w:szCs w:val="22"/>
        </w:rPr>
        <w:t>, 1976).</w:t>
      </w:r>
      <w:r w:rsidR="003871BB">
        <w:rPr>
          <w:sz w:val="22"/>
          <w:szCs w:val="22"/>
        </w:rPr>
        <w:t xml:space="preserve"> </w:t>
      </w:r>
      <w:r w:rsidR="00777847">
        <w:rPr>
          <w:sz w:val="22"/>
          <w:szCs w:val="22"/>
        </w:rPr>
        <w:t>An example is the CEO of</w:t>
      </w:r>
      <w:r w:rsidR="00C40FF4">
        <w:rPr>
          <w:sz w:val="22"/>
          <w:szCs w:val="22"/>
        </w:rPr>
        <w:t xml:space="preserve"> </w:t>
      </w:r>
      <w:r w:rsidR="00C472B1">
        <w:rPr>
          <w:sz w:val="22"/>
          <w:szCs w:val="22"/>
        </w:rPr>
        <w:t>Tyco</w:t>
      </w:r>
      <w:r w:rsidR="00777847">
        <w:rPr>
          <w:sz w:val="22"/>
          <w:szCs w:val="22"/>
        </w:rPr>
        <w:t>, who</w:t>
      </w:r>
      <w:r w:rsidR="009E2B0D">
        <w:rPr>
          <w:sz w:val="22"/>
          <w:szCs w:val="22"/>
        </w:rPr>
        <w:t xml:space="preserve"> purchased product</w:t>
      </w:r>
      <w:r w:rsidR="00C472B1">
        <w:rPr>
          <w:sz w:val="22"/>
          <w:szCs w:val="22"/>
        </w:rPr>
        <w:t>s for private use</w:t>
      </w:r>
      <w:r w:rsidR="00C822C9">
        <w:rPr>
          <w:sz w:val="22"/>
          <w:szCs w:val="22"/>
        </w:rPr>
        <w:t xml:space="preserve"> for over the</w:t>
      </w:r>
      <w:r w:rsidR="009E2B0D">
        <w:rPr>
          <w:sz w:val="22"/>
          <w:szCs w:val="22"/>
        </w:rPr>
        <w:t xml:space="preserve"> $2 million </w:t>
      </w:r>
      <w:r w:rsidR="00C472B1">
        <w:rPr>
          <w:sz w:val="22"/>
          <w:szCs w:val="22"/>
        </w:rPr>
        <w:t>with company funds</w:t>
      </w:r>
      <w:r w:rsidR="00C40FF4" w:rsidRPr="00C40FF4">
        <w:rPr>
          <w:sz w:val="22"/>
          <w:szCs w:val="22"/>
        </w:rPr>
        <w:t xml:space="preserve"> </w:t>
      </w:r>
      <w:r w:rsidR="00C40FF4">
        <w:rPr>
          <w:sz w:val="22"/>
          <w:szCs w:val="22"/>
        </w:rPr>
        <w:t>(</w:t>
      </w:r>
      <w:proofErr w:type="spellStart"/>
      <w:r w:rsidR="00C40FF4">
        <w:rPr>
          <w:sz w:val="22"/>
          <w:szCs w:val="22"/>
        </w:rPr>
        <w:t>Heisler</w:t>
      </w:r>
      <w:proofErr w:type="spellEnd"/>
      <w:r w:rsidR="00C40FF4">
        <w:rPr>
          <w:sz w:val="22"/>
          <w:szCs w:val="22"/>
        </w:rPr>
        <w:t>, 2007)</w:t>
      </w:r>
      <w:r w:rsidR="00C472B1">
        <w:rPr>
          <w:sz w:val="22"/>
          <w:szCs w:val="22"/>
        </w:rPr>
        <w:t>.</w:t>
      </w:r>
      <w:r w:rsidR="00C40FF4">
        <w:rPr>
          <w:sz w:val="22"/>
          <w:szCs w:val="22"/>
        </w:rPr>
        <w:t xml:space="preserve"> </w:t>
      </w:r>
      <w:r w:rsidR="000545C0">
        <w:rPr>
          <w:sz w:val="22"/>
          <w:szCs w:val="22"/>
        </w:rPr>
        <w:t>Since the</w:t>
      </w:r>
      <w:r w:rsidR="004B7C32">
        <w:rPr>
          <w:sz w:val="22"/>
          <w:szCs w:val="22"/>
        </w:rPr>
        <w:t xml:space="preserve"> manager run</w:t>
      </w:r>
      <w:r w:rsidR="00777847">
        <w:rPr>
          <w:sz w:val="22"/>
          <w:szCs w:val="22"/>
        </w:rPr>
        <w:t>s</w:t>
      </w:r>
      <w:r w:rsidR="004B7C32">
        <w:rPr>
          <w:sz w:val="22"/>
          <w:szCs w:val="22"/>
        </w:rPr>
        <w:t xml:space="preserve"> the firm</w:t>
      </w:r>
      <w:r w:rsidR="000545C0">
        <w:rPr>
          <w:sz w:val="22"/>
          <w:szCs w:val="22"/>
        </w:rPr>
        <w:t xml:space="preserve"> instead of the shareholders</w:t>
      </w:r>
      <w:r w:rsidR="004B7C32">
        <w:rPr>
          <w:sz w:val="22"/>
          <w:szCs w:val="22"/>
        </w:rPr>
        <w:t>,</w:t>
      </w:r>
      <w:r w:rsidR="004B7C32" w:rsidRPr="00DB197B">
        <w:rPr>
          <w:sz w:val="22"/>
          <w:szCs w:val="22"/>
        </w:rPr>
        <w:t xml:space="preserve"> </w:t>
      </w:r>
      <w:r w:rsidR="004B7C32">
        <w:rPr>
          <w:sz w:val="22"/>
          <w:szCs w:val="22"/>
        </w:rPr>
        <w:t xml:space="preserve">the manager will gain more knowledge about </w:t>
      </w:r>
      <w:r w:rsidR="00C96CCA">
        <w:rPr>
          <w:sz w:val="22"/>
          <w:szCs w:val="22"/>
        </w:rPr>
        <w:t>the firm. Th</w:t>
      </w:r>
      <w:r w:rsidR="00C822C9">
        <w:rPr>
          <w:sz w:val="22"/>
          <w:szCs w:val="22"/>
        </w:rPr>
        <w:t>e</w:t>
      </w:r>
      <w:r w:rsidR="004B7C32">
        <w:rPr>
          <w:sz w:val="22"/>
          <w:szCs w:val="22"/>
        </w:rPr>
        <w:t xml:space="preserve"> information asymmetry causes efficiency loss and </w:t>
      </w:r>
      <w:r w:rsidR="004B7C32" w:rsidRPr="00DB197B">
        <w:rPr>
          <w:sz w:val="22"/>
          <w:szCs w:val="22"/>
        </w:rPr>
        <w:t>agency cost</w:t>
      </w:r>
      <w:r w:rsidR="004B7C32">
        <w:rPr>
          <w:sz w:val="22"/>
          <w:szCs w:val="22"/>
        </w:rPr>
        <w:t>s, because the</w:t>
      </w:r>
      <w:r w:rsidR="004B7C32" w:rsidRPr="00DB197B">
        <w:rPr>
          <w:sz w:val="22"/>
          <w:szCs w:val="22"/>
        </w:rPr>
        <w:t xml:space="preserve"> </w:t>
      </w:r>
      <w:r w:rsidR="004B7C32">
        <w:rPr>
          <w:sz w:val="22"/>
          <w:szCs w:val="22"/>
        </w:rPr>
        <w:t>manager</w:t>
      </w:r>
      <w:r w:rsidR="004B7C32" w:rsidRPr="00DB197B">
        <w:rPr>
          <w:sz w:val="22"/>
          <w:szCs w:val="22"/>
        </w:rPr>
        <w:t xml:space="preserve"> may </w:t>
      </w:r>
      <w:r w:rsidR="004B7C32">
        <w:rPr>
          <w:sz w:val="22"/>
          <w:szCs w:val="22"/>
        </w:rPr>
        <w:t>use his superior information about the firm</w:t>
      </w:r>
      <w:r w:rsidR="004B7C32" w:rsidRPr="00DB197B">
        <w:rPr>
          <w:sz w:val="22"/>
          <w:szCs w:val="22"/>
        </w:rPr>
        <w:t xml:space="preserve"> </w:t>
      </w:r>
      <w:r w:rsidR="004B7C32">
        <w:rPr>
          <w:sz w:val="22"/>
          <w:szCs w:val="22"/>
        </w:rPr>
        <w:t xml:space="preserve">to pursue his own interest at the expense of </w:t>
      </w:r>
      <w:r w:rsidR="004B7C32" w:rsidRPr="00DB197B">
        <w:rPr>
          <w:sz w:val="22"/>
          <w:szCs w:val="22"/>
        </w:rPr>
        <w:t xml:space="preserve">the </w:t>
      </w:r>
      <w:r w:rsidR="004B7C32">
        <w:rPr>
          <w:sz w:val="22"/>
          <w:szCs w:val="22"/>
        </w:rPr>
        <w:t>shareholders</w:t>
      </w:r>
      <w:r w:rsidR="004B7C32" w:rsidRPr="00DB197B">
        <w:rPr>
          <w:sz w:val="22"/>
          <w:szCs w:val="22"/>
        </w:rPr>
        <w:t>.</w:t>
      </w:r>
      <w:r w:rsidR="004248AC">
        <w:rPr>
          <w:sz w:val="22"/>
          <w:szCs w:val="22"/>
        </w:rPr>
        <w:t xml:space="preserve"> </w:t>
      </w:r>
      <w:r w:rsidR="001223FA">
        <w:rPr>
          <w:sz w:val="22"/>
          <w:szCs w:val="22"/>
        </w:rPr>
        <w:t>This information asymmetry, on top of self-interest, induces</w:t>
      </w:r>
      <w:r w:rsidR="00C822C9">
        <w:rPr>
          <w:sz w:val="22"/>
          <w:szCs w:val="22"/>
        </w:rPr>
        <w:t xml:space="preserve"> managers with</w:t>
      </w:r>
      <w:r w:rsidR="004248AC">
        <w:rPr>
          <w:sz w:val="22"/>
          <w:szCs w:val="22"/>
        </w:rPr>
        <w:t xml:space="preserve"> equity incentives </w:t>
      </w:r>
      <w:r w:rsidR="00C96CCA">
        <w:rPr>
          <w:sz w:val="22"/>
          <w:szCs w:val="22"/>
        </w:rPr>
        <w:t xml:space="preserve">to </w:t>
      </w:r>
      <w:r w:rsidR="00C822C9">
        <w:rPr>
          <w:sz w:val="22"/>
          <w:szCs w:val="22"/>
        </w:rPr>
        <w:t>engage</w:t>
      </w:r>
      <w:r w:rsidR="00777847">
        <w:rPr>
          <w:sz w:val="22"/>
          <w:szCs w:val="22"/>
        </w:rPr>
        <w:t xml:space="preserve"> opportunistic behavior</w:t>
      </w:r>
      <w:r w:rsidR="00C822C9">
        <w:rPr>
          <w:sz w:val="22"/>
          <w:szCs w:val="22"/>
        </w:rPr>
        <w:t xml:space="preserve"> and increase their own</w:t>
      </w:r>
      <w:r w:rsidR="000545C0">
        <w:rPr>
          <w:sz w:val="22"/>
          <w:szCs w:val="22"/>
        </w:rPr>
        <w:t xml:space="preserve"> wealth at the expense of shareholders’ wealth.</w:t>
      </w:r>
    </w:p>
    <w:p w:rsidR="004B7C32" w:rsidRDefault="004B7C32" w:rsidP="004B7C32">
      <w:pPr>
        <w:spacing w:line="360" w:lineRule="auto"/>
        <w:jc w:val="both"/>
        <w:rPr>
          <w:sz w:val="22"/>
          <w:szCs w:val="22"/>
        </w:rPr>
      </w:pPr>
    </w:p>
    <w:p w:rsidR="009F0C03" w:rsidRDefault="009F0C03" w:rsidP="009F0C03">
      <w:pPr>
        <w:spacing w:line="360" w:lineRule="auto"/>
        <w:jc w:val="both"/>
        <w:rPr>
          <w:sz w:val="22"/>
          <w:szCs w:val="22"/>
        </w:rPr>
      </w:pPr>
      <w:r>
        <w:rPr>
          <w:sz w:val="22"/>
          <w:szCs w:val="22"/>
        </w:rPr>
        <w:t xml:space="preserve">Nonetheless, the agency </w:t>
      </w:r>
      <w:r w:rsidR="002873E0">
        <w:rPr>
          <w:sz w:val="22"/>
          <w:szCs w:val="22"/>
        </w:rPr>
        <w:t>theory postulates</w:t>
      </w:r>
      <w:r>
        <w:rPr>
          <w:sz w:val="22"/>
          <w:szCs w:val="22"/>
        </w:rPr>
        <w:t xml:space="preserve"> that shareholders expect their agents to take opportunistic actions </w:t>
      </w:r>
      <w:r w:rsidR="00DA4646">
        <w:rPr>
          <w:sz w:val="22"/>
          <w:szCs w:val="22"/>
        </w:rPr>
        <w:t>and</w:t>
      </w:r>
      <w:r>
        <w:rPr>
          <w:sz w:val="22"/>
          <w:szCs w:val="22"/>
        </w:rPr>
        <w:t xml:space="preserve"> decrease the value of the firm (</w:t>
      </w:r>
      <w:proofErr w:type="spellStart"/>
      <w:r>
        <w:rPr>
          <w:sz w:val="22"/>
          <w:szCs w:val="22"/>
        </w:rPr>
        <w:t>Deegan</w:t>
      </w:r>
      <w:proofErr w:type="spellEnd"/>
      <w:r>
        <w:rPr>
          <w:sz w:val="22"/>
          <w:szCs w:val="22"/>
        </w:rPr>
        <w:t xml:space="preserve"> and </w:t>
      </w:r>
      <w:proofErr w:type="spellStart"/>
      <w:r>
        <w:rPr>
          <w:sz w:val="22"/>
          <w:szCs w:val="22"/>
        </w:rPr>
        <w:t>Unerman</w:t>
      </w:r>
      <w:proofErr w:type="spellEnd"/>
      <w:r>
        <w:rPr>
          <w:sz w:val="22"/>
          <w:szCs w:val="22"/>
        </w:rPr>
        <w:t>, 2006, p. 224). In the absent of controls mechanisms, shareholders will therefore pay their agent a lower salary to compensate for the expected disadvantage behavior. This causes the manager to incur some cost</w:t>
      </w:r>
      <w:r w:rsidR="002873E0">
        <w:rPr>
          <w:sz w:val="22"/>
          <w:szCs w:val="22"/>
        </w:rPr>
        <w:t>s</w:t>
      </w:r>
      <w:r>
        <w:rPr>
          <w:sz w:val="22"/>
          <w:szCs w:val="22"/>
        </w:rPr>
        <w:t xml:space="preserve"> for his expected behavior. However, the manager may derive greater satisfaction from extra salary than from the perks </w:t>
      </w:r>
      <w:proofErr w:type="gramStart"/>
      <w:r>
        <w:rPr>
          <w:sz w:val="22"/>
          <w:szCs w:val="22"/>
        </w:rPr>
        <w:t>that</w:t>
      </w:r>
      <w:proofErr w:type="gramEnd"/>
      <w:r>
        <w:rPr>
          <w:sz w:val="22"/>
          <w:szCs w:val="22"/>
        </w:rPr>
        <w:t xml:space="preserve"> they are predicted to consume. In that case, the manager is better off by signing a compensation contract agreeing not to consume company’s resources</w:t>
      </w:r>
      <w:r w:rsidR="003871BB">
        <w:rPr>
          <w:sz w:val="22"/>
          <w:szCs w:val="22"/>
        </w:rPr>
        <w:t xml:space="preserve"> against a higher payment</w:t>
      </w:r>
      <w:r w:rsidR="00F14450">
        <w:rPr>
          <w:sz w:val="22"/>
          <w:szCs w:val="22"/>
        </w:rPr>
        <w:t xml:space="preserve"> and </w:t>
      </w:r>
      <w:r>
        <w:rPr>
          <w:sz w:val="22"/>
          <w:szCs w:val="22"/>
        </w:rPr>
        <w:t xml:space="preserve">shareholders </w:t>
      </w:r>
      <w:r w:rsidR="00F14450">
        <w:rPr>
          <w:sz w:val="22"/>
          <w:szCs w:val="22"/>
        </w:rPr>
        <w:t>can</w:t>
      </w:r>
      <w:r>
        <w:rPr>
          <w:sz w:val="22"/>
          <w:szCs w:val="22"/>
        </w:rPr>
        <w:t xml:space="preserve"> </w:t>
      </w:r>
      <w:r w:rsidR="00F14450">
        <w:rPr>
          <w:sz w:val="22"/>
          <w:szCs w:val="22"/>
        </w:rPr>
        <w:t>reduce</w:t>
      </w:r>
      <w:r>
        <w:rPr>
          <w:sz w:val="22"/>
          <w:szCs w:val="22"/>
        </w:rPr>
        <w:t xml:space="preserve"> agency costs. </w:t>
      </w:r>
      <w:r w:rsidR="00F14450">
        <w:rPr>
          <w:sz w:val="22"/>
          <w:szCs w:val="22"/>
        </w:rPr>
        <w:t>The set of available actions will decrease when the manager binds</w:t>
      </w:r>
      <w:r w:rsidR="002873E0">
        <w:rPr>
          <w:sz w:val="22"/>
          <w:szCs w:val="22"/>
        </w:rPr>
        <w:t xml:space="preserve"> himself with a</w:t>
      </w:r>
      <w:r>
        <w:rPr>
          <w:sz w:val="22"/>
          <w:szCs w:val="22"/>
        </w:rPr>
        <w:t xml:space="preserve"> compensation contract</w:t>
      </w:r>
      <w:r w:rsidR="00F14450">
        <w:rPr>
          <w:sz w:val="22"/>
          <w:szCs w:val="22"/>
        </w:rPr>
        <w:t>.</w:t>
      </w:r>
      <w:r w:rsidR="002873E0">
        <w:rPr>
          <w:sz w:val="22"/>
          <w:szCs w:val="22"/>
        </w:rPr>
        <w:t xml:space="preserve"> </w:t>
      </w:r>
      <w:r>
        <w:rPr>
          <w:sz w:val="22"/>
          <w:szCs w:val="22"/>
        </w:rPr>
        <w:t xml:space="preserve">To ensure the manager complies with his contractual agreement, </w:t>
      </w:r>
      <w:r w:rsidR="006646A9">
        <w:rPr>
          <w:sz w:val="22"/>
          <w:szCs w:val="22"/>
        </w:rPr>
        <w:t>m</w:t>
      </w:r>
      <w:r>
        <w:rPr>
          <w:sz w:val="22"/>
          <w:szCs w:val="22"/>
        </w:rPr>
        <w:t xml:space="preserve">onitoring activities </w:t>
      </w:r>
      <w:r w:rsidR="006646A9">
        <w:rPr>
          <w:sz w:val="22"/>
          <w:szCs w:val="22"/>
        </w:rPr>
        <w:t>are needed</w:t>
      </w:r>
      <w:r>
        <w:rPr>
          <w:sz w:val="22"/>
          <w:szCs w:val="22"/>
        </w:rPr>
        <w:t xml:space="preserve">. These activities results into bonding and monitoring costs, which are to guarantee that the agent keeps up to the contractual agreement. There is also a “residual loss”, because monitoring and bonding activities can’t mitigate the agency cost completely (Jensen and </w:t>
      </w:r>
      <w:proofErr w:type="spellStart"/>
      <w:r>
        <w:rPr>
          <w:sz w:val="22"/>
          <w:szCs w:val="22"/>
        </w:rPr>
        <w:t>Meckling</w:t>
      </w:r>
      <w:proofErr w:type="spellEnd"/>
      <w:r>
        <w:rPr>
          <w:sz w:val="22"/>
          <w:szCs w:val="22"/>
        </w:rPr>
        <w:t xml:space="preserve">, 1976). </w:t>
      </w:r>
    </w:p>
    <w:p w:rsidR="009F0C03" w:rsidRDefault="009F0C03" w:rsidP="009F0C03">
      <w:pPr>
        <w:spacing w:line="360" w:lineRule="auto"/>
        <w:jc w:val="both"/>
        <w:rPr>
          <w:sz w:val="22"/>
          <w:szCs w:val="22"/>
        </w:rPr>
      </w:pPr>
    </w:p>
    <w:p w:rsidR="00F237CE" w:rsidRDefault="007B7284" w:rsidP="00122FCC">
      <w:pPr>
        <w:spacing w:line="360" w:lineRule="auto"/>
        <w:jc w:val="both"/>
        <w:rPr>
          <w:sz w:val="22"/>
          <w:szCs w:val="22"/>
        </w:rPr>
      </w:pPr>
      <w:r>
        <w:rPr>
          <w:sz w:val="22"/>
          <w:szCs w:val="22"/>
        </w:rPr>
        <w:t>Furthermore, t</w:t>
      </w:r>
      <w:r w:rsidR="009F0C03">
        <w:rPr>
          <w:sz w:val="22"/>
          <w:szCs w:val="22"/>
        </w:rPr>
        <w:t xml:space="preserve">he compensation contract is designed to encourage the manager to put effort in increasing firm value. </w:t>
      </w:r>
      <w:r w:rsidR="0014075B">
        <w:rPr>
          <w:sz w:val="22"/>
          <w:szCs w:val="22"/>
        </w:rPr>
        <w:t>When the compensation package only consists of a fixed base salary, then the self-interest manager won’t take great risks since there is no share of any potential gains</w:t>
      </w:r>
      <w:r w:rsidR="009F0C03">
        <w:rPr>
          <w:sz w:val="22"/>
          <w:szCs w:val="22"/>
        </w:rPr>
        <w:t>.</w:t>
      </w:r>
      <w:r w:rsidR="0014075B">
        <w:rPr>
          <w:sz w:val="22"/>
          <w:szCs w:val="22"/>
        </w:rPr>
        <w:t xml:space="preserve"> </w:t>
      </w:r>
      <w:r w:rsidR="00C822C9">
        <w:rPr>
          <w:sz w:val="22"/>
          <w:szCs w:val="22"/>
        </w:rPr>
        <w:t>Also, the relation between</w:t>
      </w:r>
      <w:r w:rsidR="0014075B">
        <w:rPr>
          <w:sz w:val="22"/>
          <w:szCs w:val="22"/>
        </w:rPr>
        <w:t xml:space="preserve"> </w:t>
      </w:r>
      <w:r w:rsidR="00C822C9">
        <w:rPr>
          <w:sz w:val="22"/>
          <w:szCs w:val="22"/>
        </w:rPr>
        <w:t xml:space="preserve">shareholder and </w:t>
      </w:r>
      <w:r w:rsidR="0014075B">
        <w:rPr>
          <w:sz w:val="22"/>
          <w:szCs w:val="22"/>
        </w:rPr>
        <w:t xml:space="preserve">manager is characterized by moral hazard, which means that </w:t>
      </w:r>
      <w:r w:rsidR="00C822C9">
        <w:rPr>
          <w:sz w:val="22"/>
          <w:szCs w:val="22"/>
        </w:rPr>
        <w:t>they</w:t>
      </w:r>
      <w:r w:rsidR="0014075B">
        <w:rPr>
          <w:sz w:val="22"/>
          <w:szCs w:val="22"/>
        </w:rPr>
        <w:t xml:space="preserve"> don’t share the same risks. Since the manager bears no risk at all, it limits the incentive for the manager to adopt strategies that increase the value of the firm. They will act like debt-holders by protecting their fixed income from any risky projects</w:t>
      </w:r>
      <w:r w:rsidR="009F0C03">
        <w:rPr>
          <w:sz w:val="22"/>
          <w:szCs w:val="22"/>
        </w:rPr>
        <w:t xml:space="preserve"> (</w:t>
      </w:r>
      <w:proofErr w:type="spellStart"/>
      <w:r w:rsidR="009F0C03">
        <w:rPr>
          <w:sz w:val="22"/>
          <w:szCs w:val="22"/>
        </w:rPr>
        <w:t>Deegan</w:t>
      </w:r>
      <w:proofErr w:type="spellEnd"/>
      <w:r w:rsidR="009F0C03">
        <w:rPr>
          <w:sz w:val="22"/>
          <w:szCs w:val="22"/>
        </w:rPr>
        <w:t xml:space="preserve"> and </w:t>
      </w:r>
      <w:proofErr w:type="spellStart"/>
      <w:r w:rsidR="009F0C03">
        <w:rPr>
          <w:sz w:val="22"/>
          <w:szCs w:val="22"/>
        </w:rPr>
        <w:t>Unerman</w:t>
      </w:r>
      <w:proofErr w:type="spellEnd"/>
      <w:r w:rsidR="009F0C03">
        <w:rPr>
          <w:sz w:val="22"/>
          <w:szCs w:val="22"/>
        </w:rPr>
        <w:t>, 2006, p. 225)</w:t>
      </w:r>
      <w:r w:rsidR="0014075B">
        <w:rPr>
          <w:sz w:val="22"/>
          <w:szCs w:val="22"/>
        </w:rPr>
        <w:t xml:space="preserve">. Therefore, variable components </w:t>
      </w:r>
      <w:r w:rsidR="009F0C03">
        <w:rPr>
          <w:sz w:val="22"/>
          <w:szCs w:val="22"/>
        </w:rPr>
        <w:t xml:space="preserve">like </w:t>
      </w:r>
      <w:r w:rsidR="00F237CE">
        <w:rPr>
          <w:sz w:val="22"/>
          <w:szCs w:val="22"/>
        </w:rPr>
        <w:t xml:space="preserve">stock and </w:t>
      </w:r>
      <w:r w:rsidR="009F0C03">
        <w:rPr>
          <w:sz w:val="22"/>
          <w:szCs w:val="22"/>
        </w:rPr>
        <w:t xml:space="preserve">options </w:t>
      </w:r>
      <w:r w:rsidR="0014075B">
        <w:rPr>
          <w:sz w:val="22"/>
          <w:szCs w:val="22"/>
        </w:rPr>
        <w:t xml:space="preserve">in the compensation packages are necessary to tie the manager’s reward to the </w:t>
      </w:r>
      <w:r w:rsidR="00FC316D">
        <w:rPr>
          <w:sz w:val="22"/>
          <w:szCs w:val="22"/>
        </w:rPr>
        <w:t xml:space="preserve">performance of the firm giving managers incentives </w:t>
      </w:r>
      <w:r w:rsidR="00F237CE">
        <w:rPr>
          <w:sz w:val="22"/>
          <w:szCs w:val="22"/>
        </w:rPr>
        <w:t xml:space="preserve">to </w:t>
      </w:r>
      <w:r w:rsidR="00FC316D">
        <w:rPr>
          <w:sz w:val="22"/>
          <w:szCs w:val="22"/>
        </w:rPr>
        <w:t xml:space="preserve">increase </w:t>
      </w:r>
      <w:r w:rsidR="00F237CE">
        <w:rPr>
          <w:sz w:val="22"/>
          <w:szCs w:val="22"/>
        </w:rPr>
        <w:t>the share price</w:t>
      </w:r>
      <w:r w:rsidR="00FC316D">
        <w:rPr>
          <w:sz w:val="22"/>
          <w:szCs w:val="22"/>
        </w:rPr>
        <w:t>. A</w:t>
      </w:r>
      <w:r w:rsidR="00F237CE">
        <w:rPr>
          <w:sz w:val="22"/>
          <w:szCs w:val="22"/>
        </w:rPr>
        <w:t>n increased share price benefits both the manager and shareholders.</w:t>
      </w:r>
    </w:p>
    <w:p w:rsidR="00B335B0" w:rsidRPr="00B335B0" w:rsidRDefault="00A2728A" w:rsidP="00B335B0">
      <w:pPr>
        <w:pStyle w:val="Kop2"/>
      </w:pPr>
      <w:bookmarkStart w:id="30" w:name="_Toc287614160"/>
      <w:r>
        <w:lastRenderedPageBreak/>
        <w:t>2</w:t>
      </w:r>
      <w:r w:rsidR="00B335B0" w:rsidRPr="00B335B0">
        <w:t xml:space="preserve">.3 </w:t>
      </w:r>
      <w:r w:rsidR="00111207">
        <w:t xml:space="preserve">The setting </w:t>
      </w:r>
      <w:r w:rsidR="001223FA">
        <w:t>and</w:t>
      </w:r>
      <w:r w:rsidR="007B7284">
        <w:t xml:space="preserve"> </w:t>
      </w:r>
      <w:r w:rsidR="00FC1BF3">
        <w:t xml:space="preserve">disclosure </w:t>
      </w:r>
      <w:r w:rsidR="00111207">
        <w:t xml:space="preserve">of </w:t>
      </w:r>
      <w:r w:rsidR="00B335B0" w:rsidRPr="00B335B0">
        <w:t>compensation</w:t>
      </w:r>
      <w:bookmarkEnd w:id="30"/>
    </w:p>
    <w:p w:rsidR="00B335B0" w:rsidRDefault="00B335B0" w:rsidP="00B335B0">
      <w:pPr>
        <w:spacing w:line="360" w:lineRule="auto"/>
        <w:jc w:val="both"/>
        <w:rPr>
          <w:rFonts w:ascii="TimesNewRoman" w:hAnsi="TimesNewRoman" w:cs="TimesNewRoman"/>
          <w:sz w:val="22"/>
          <w:szCs w:val="22"/>
        </w:rPr>
      </w:pPr>
      <w:r w:rsidRPr="00D67F86">
        <w:rPr>
          <w:sz w:val="22"/>
          <w:szCs w:val="22"/>
        </w:rPr>
        <w:t>The board of directors is responsible for monitoring management on behalf of shareholders. It has the power to hire and fire the CEO, set his compensation, supervise their actions, provide advice and block poor decisions (Prowse, 1995, p. 13</w:t>
      </w:r>
      <w:r>
        <w:rPr>
          <w:sz w:val="22"/>
          <w:szCs w:val="22"/>
        </w:rPr>
        <w:t>).</w:t>
      </w:r>
      <w:r w:rsidRPr="00D67F86">
        <w:rPr>
          <w:sz w:val="22"/>
          <w:szCs w:val="22"/>
        </w:rPr>
        <w:t xml:space="preserve"> </w:t>
      </w:r>
      <w:r>
        <w:rPr>
          <w:sz w:val="22"/>
          <w:szCs w:val="22"/>
        </w:rPr>
        <w:t xml:space="preserve">However, in the U.S. the CEO has some significant influence on the board’s decision making. </w:t>
      </w:r>
      <w:r w:rsidR="00F636D9">
        <w:rPr>
          <w:sz w:val="22"/>
          <w:szCs w:val="22"/>
        </w:rPr>
        <w:t xml:space="preserve">Since stock ownerships are too diffused to give enough </w:t>
      </w:r>
      <w:r w:rsidR="00F636D9" w:rsidRPr="00D67F86">
        <w:rPr>
          <w:sz w:val="22"/>
          <w:szCs w:val="22"/>
        </w:rPr>
        <w:t>voting rights</w:t>
      </w:r>
      <w:r w:rsidR="00F636D9">
        <w:rPr>
          <w:sz w:val="22"/>
          <w:szCs w:val="22"/>
        </w:rPr>
        <w:t xml:space="preserve"> </w:t>
      </w:r>
      <w:r w:rsidR="00AD02A9">
        <w:rPr>
          <w:sz w:val="22"/>
          <w:szCs w:val="22"/>
        </w:rPr>
        <w:t>to select</w:t>
      </w:r>
      <w:r w:rsidR="00F636D9">
        <w:rPr>
          <w:sz w:val="22"/>
          <w:szCs w:val="22"/>
        </w:rPr>
        <w:t xml:space="preserve"> board members</w:t>
      </w:r>
      <w:r>
        <w:rPr>
          <w:sz w:val="22"/>
          <w:szCs w:val="22"/>
        </w:rPr>
        <w:t xml:space="preserve">, </w:t>
      </w:r>
      <w:r w:rsidRPr="00D67F86">
        <w:rPr>
          <w:sz w:val="22"/>
          <w:szCs w:val="22"/>
        </w:rPr>
        <w:t>the boa</w:t>
      </w:r>
      <w:r>
        <w:rPr>
          <w:sz w:val="22"/>
          <w:szCs w:val="22"/>
        </w:rPr>
        <w:t xml:space="preserve">rd is </w:t>
      </w:r>
      <w:r w:rsidR="00F636D9">
        <w:rPr>
          <w:sz w:val="22"/>
          <w:szCs w:val="22"/>
        </w:rPr>
        <w:t>often chosen by the CEO instead.</w:t>
      </w:r>
      <w:r>
        <w:rPr>
          <w:sz w:val="22"/>
          <w:szCs w:val="22"/>
        </w:rPr>
        <w:t xml:space="preserve"> Additionally, t</w:t>
      </w:r>
      <w:r w:rsidRPr="00D67F86">
        <w:rPr>
          <w:sz w:val="22"/>
          <w:szCs w:val="22"/>
        </w:rPr>
        <w:t>he CEO is also frequently the chairman of the board</w:t>
      </w:r>
      <w:r>
        <w:rPr>
          <w:sz w:val="22"/>
          <w:szCs w:val="22"/>
        </w:rPr>
        <w:t xml:space="preserve"> bringing the CEO much power. To balance this power, </w:t>
      </w:r>
      <w:r w:rsidRPr="00D67F86">
        <w:rPr>
          <w:sz w:val="22"/>
          <w:szCs w:val="22"/>
        </w:rPr>
        <w:t>outside directors</w:t>
      </w:r>
      <w:r>
        <w:rPr>
          <w:sz w:val="22"/>
          <w:szCs w:val="22"/>
        </w:rPr>
        <w:t xml:space="preserve"> are selected to board as a controllin</w:t>
      </w:r>
      <w:r w:rsidR="00F14450">
        <w:rPr>
          <w:sz w:val="22"/>
          <w:szCs w:val="22"/>
        </w:rPr>
        <w:t>g element. Peculiarly, the CEO</w:t>
      </w:r>
      <w:r>
        <w:rPr>
          <w:sz w:val="22"/>
          <w:szCs w:val="22"/>
        </w:rPr>
        <w:t xml:space="preserve"> has </w:t>
      </w:r>
      <w:r w:rsidR="00AD02A9">
        <w:rPr>
          <w:sz w:val="22"/>
          <w:szCs w:val="22"/>
        </w:rPr>
        <w:t xml:space="preserve">also </w:t>
      </w:r>
      <w:r>
        <w:rPr>
          <w:sz w:val="22"/>
          <w:szCs w:val="22"/>
        </w:rPr>
        <w:t xml:space="preserve">influence in selecting outside directors </w:t>
      </w:r>
      <w:r w:rsidRPr="00D67F86">
        <w:rPr>
          <w:sz w:val="22"/>
          <w:szCs w:val="22"/>
        </w:rPr>
        <w:t xml:space="preserve">and </w:t>
      </w:r>
      <w:r>
        <w:rPr>
          <w:sz w:val="22"/>
          <w:szCs w:val="22"/>
        </w:rPr>
        <w:t>the objectivity of outside directors can be questioned when they have</w:t>
      </w:r>
      <w:r w:rsidRPr="00D67F86">
        <w:rPr>
          <w:sz w:val="22"/>
          <w:szCs w:val="22"/>
        </w:rPr>
        <w:t xml:space="preserve"> financial interest in </w:t>
      </w:r>
      <w:r w:rsidR="00F14450">
        <w:rPr>
          <w:sz w:val="22"/>
          <w:szCs w:val="22"/>
        </w:rPr>
        <w:t>being a board member</w:t>
      </w:r>
      <w:r w:rsidRPr="00D67F86">
        <w:rPr>
          <w:sz w:val="22"/>
          <w:szCs w:val="22"/>
        </w:rPr>
        <w:t xml:space="preserve">. </w:t>
      </w:r>
      <w:r>
        <w:rPr>
          <w:rFonts w:ascii="TimesNewRoman" w:hAnsi="TimesNewRoman" w:cs="TimesNewRoman"/>
          <w:sz w:val="22"/>
          <w:szCs w:val="22"/>
        </w:rPr>
        <w:t>Since the board sets the CEO’s compensation contract and the board is under the influence by th</w:t>
      </w:r>
      <w:r w:rsidR="00CF6D87">
        <w:rPr>
          <w:rFonts w:ascii="TimesNewRoman" w:hAnsi="TimesNewRoman" w:cs="TimesNewRoman"/>
          <w:sz w:val="22"/>
          <w:szCs w:val="22"/>
        </w:rPr>
        <w:t>at</w:t>
      </w:r>
      <w:r>
        <w:rPr>
          <w:rFonts w:ascii="TimesNewRoman" w:hAnsi="TimesNewRoman" w:cs="TimesNewRoman"/>
          <w:sz w:val="22"/>
          <w:szCs w:val="22"/>
        </w:rPr>
        <w:t xml:space="preserve"> manager, he might be paid beyond optimal level. It gives the manager the opportunity to take unanticipated actions that increase the value of his shares and options by increasing the volatility of the firm’s performance </w:t>
      </w:r>
      <w:r w:rsidRPr="006C14A5">
        <w:rPr>
          <w:rFonts w:ascii="TimesNewRoman" w:hAnsi="TimesNewRoman" w:cs="TimesNewRoman"/>
          <w:sz w:val="22"/>
          <w:szCs w:val="22"/>
        </w:rPr>
        <w:t>or reduce his risk by smoothing earnings</w:t>
      </w:r>
      <w:r>
        <w:rPr>
          <w:rFonts w:ascii="TimesNewRoman" w:hAnsi="TimesNewRoman" w:cs="TimesNewRoman"/>
          <w:sz w:val="22"/>
          <w:szCs w:val="22"/>
        </w:rPr>
        <w:t xml:space="preserve"> (Ronen and </w:t>
      </w:r>
      <w:proofErr w:type="spellStart"/>
      <w:r>
        <w:rPr>
          <w:rFonts w:ascii="TimesNewRoman" w:hAnsi="TimesNewRoman" w:cs="TimesNewRoman"/>
          <w:sz w:val="22"/>
          <w:szCs w:val="22"/>
        </w:rPr>
        <w:t>Yaari</w:t>
      </w:r>
      <w:proofErr w:type="spellEnd"/>
      <w:r>
        <w:rPr>
          <w:rFonts w:ascii="TimesNewRoman" w:hAnsi="TimesNewRoman" w:cs="TimesNewRoman"/>
          <w:sz w:val="22"/>
          <w:szCs w:val="22"/>
        </w:rPr>
        <w:t>, 2008, p. 63).</w:t>
      </w:r>
    </w:p>
    <w:p w:rsidR="002E2867" w:rsidRDefault="002E2867" w:rsidP="00B335B0">
      <w:pPr>
        <w:spacing w:line="360" w:lineRule="auto"/>
        <w:jc w:val="both"/>
        <w:rPr>
          <w:rFonts w:ascii="TimesNewRoman" w:hAnsi="TimesNewRoman" w:cs="TimesNewRoman"/>
          <w:sz w:val="22"/>
          <w:szCs w:val="22"/>
        </w:rPr>
      </w:pPr>
    </w:p>
    <w:p w:rsidR="002E2867" w:rsidRDefault="00500BF8" w:rsidP="00B335B0">
      <w:pPr>
        <w:spacing w:line="360" w:lineRule="auto"/>
        <w:jc w:val="both"/>
        <w:rPr>
          <w:rFonts w:ascii="TimesNewRoman" w:hAnsi="TimesNewRoman" w:cs="TimesNewRoman"/>
          <w:sz w:val="22"/>
          <w:szCs w:val="22"/>
        </w:rPr>
      </w:pPr>
      <w:r>
        <w:rPr>
          <w:rFonts w:ascii="TimesNewRoman" w:hAnsi="TimesNewRoman" w:cs="TimesNewRoman"/>
          <w:sz w:val="22"/>
          <w:szCs w:val="22"/>
        </w:rPr>
        <w:t>Over the years e</w:t>
      </w:r>
      <w:r w:rsidR="00EC7153">
        <w:rPr>
          <w:rFonts w:ascii="TimesNewRoman" w:hAnsi="TimesNewRoman" w:cs="TimesNewRoman"/>
          <w:sz w:val="22"/>
          <w:szCs w:val="22"/>
        </w:rPr>
        <w:t xml:space="preserve">xecutive compensation has changed but disclosure rules have not. </w:t>
      </w:r>
      <w:r w:rsidR="002E2867">
        <w:rPr>
          <w:rFonts w:ascii="TimesNewRoman" w:hAnsi="TimesNewRoman" w:cs="TimesNewRoman"/>
          <w:sz w:val="22"/>
          <w:szCs w:val="22"/>
        </w:rPr>
        <w:t xml:space="preserve">The inability to get detailed information about executive compensation package has been heavily criticized. </w:t>
      </w:r>
      <w:r>
        <w:rPr>
          <w:rFonts w:ascii="TimesNewRoman" w:hAnsi="TimesNewRoman" w:cs="TimesNewRoman"/>
          <w:sz w:val="22"/>
          <w:szCs w:val="22"/>
        </w:rPr>
        <w:t>Therefore, i</w:t>
      </w:r>
      <w:r w:rsidR="002E2867">
        <w:rPr>
          <w:rFonts w:ascii="TimesNewRoman" w:hAnsi="TimesNewRoman" w:cs="TimesNewRoman"/>
          <w:sz w:val="22"/>
          <w:szCs w:val="22"/>
        </w:rPr>
        <w:t xml:space="preserve">nvestors urged the Security and Exchange Commission (SEC) to mandate companies </w:t>
      </w:r>
      <w:r>
        <w:rPr>
          <w:rFonts w:ascii="TimesNewRoman" w:hAnsi="TimesNewRoman" w:cs="TimesNewRoman"/>
          <w:sz w:val="22"/>
          <w:szCs w:val="22"/>
        </w:rPr>
        <w:t>in disclosing</w:t>
      </w:r>
      <w:r w:rsidR="002E2867">
        <w:rPr>
          <w:rFonts w:ascii="TimesNewRoman" w:hAnsi="TimesNewRoman" w:cs="TimesNewRoman"/>
          <w:sz w:val="22"/>
          <w:szCs w:val="22"/>
        </w:rPr>
        <w:t xml:space="preserve"> detailed, clear and in plain English information about executive compensation package and the process of its establishment. In 2006, the SEC adopted extensive changes to the </w:t>
      </w:r>
      <w:r w:rsidR="00EC7153">
        <w:rPr>
          <w:rFonts w:ascii="TimesNewRoman" w:hAnsi="TimesNewRoman" w:cs="TimesNewRoman"/>
          <w:sz w:val="22"/>
          <w:szCs w:val="22"/>
        </w:rPr>
        <w:t xml:space="preserve">rules of executive compensation disclosure. </w:t>
      </w:r>
      <w:r w:rsidR="00077505">
        <w:rPr>
          <w:rFonts w:ascii="TimesNewRoman" w:hAnsi="TimesNewRoman" w:cs="TimesNewRoman"/>
          <w:sz w:val="22"/>
          <w:szCs w:val="22"/>
        </w:rPr>
        <w:t xml:space="preserve">An important addition is the Compensation Discussion &amp; Analysis (CD&amp;A), which provides an overview why certain levels of compensation are selected and how it is justified. More specific, the CD&amp;A explains and provides analysis of the company’s compensation goals, practices and decisions for the CEO, CFO and three other highest paid executives and directors (Council of Institutional Investors). </w:t>
      </w:r>
    </w:p>
    <w:p w:rsidR="00B335B0" w:rsidRDefault="00B335B0" w:rsidP="00122FCC">
      <w:pPr>
        <w:spacing w:line="360" w:lineRule="auto"/>
        <w:jc w:val="both"/>
        <w:rPr>
          <w:sz w:val="22"/>
          <w:szCs w:val="22"/>
        </w:rPr>
      </w:pPr>
    </w:p>
    <w:p w:rsidR="0014075B" w:rsidRDefault="00A2728A" w:rsidP="009F0C03">
      <w:pPr>
        <w:pStyle w:val="Kop2"/>
      </w:pPr>
      <w:bookmarkStart w:id="31" w:name="_Toc287614161"/>
      <w:r>
        <w:t>2</w:t>
      </w:r>
      <w:r w:rsidR="00B335B0">
        <w:t>.4</w:t>
      </w:r>
      <w:r w:rsidR="009F0C03">
        <w:t xml:space="preserve"> Equity incentives and </w:t>
      </w:r>
      <w:r w:rsidR="009F68F3">
        <w:t>earnings m</w:t>
      </w:r>
      <w:r w:rsidR="009F0C03">
        <w:t>anipulation</w:t>
      </w:r>
      <w:bookmarkEnd w:id="31"/>
    </w:p>
    <w:p w:rsidR="008D6AD6" w:rsidRDefault="003871BB" w:rsidP="008D6AD6">
      <w:pPr>
        <w:spacing w:line="360" w:lineRule="auto"/>
        <w:jc w:val="both"/>
        <w:rPr>
          <w:i/>
          <w:sz w:val="22"/>
          <w:szCs w:val="22"/>
        </w:rPr>
      </w:pPr>
      <w:r>
        <w:rPr>
          <w:sz w:val="22"/>
          <w:szCs w:val="22"/>
        </w:rPr>
        <w:t xml:space="preserve">Goldman and </w:t>
      </w:r>
      <w:proofErr w:type="spellStart"/>
      <w:r>
        <w:rPr>
          <w:sz w:val="22"/>
          <w:szCs w:val="22"/>
        </w:rPr>
        <w:t>S</w:t>
      </w:r>
      <w:r w:rsidR="008D6AD6">
        <w:rPr>
          <w:sz w:val="22"/>
          <w:szCs w:val="22"/>
        </w:rPr>
        <w:t>l</w:t>
      </w:r>
      <w:r>
        <w:rPr>
          <w:sz w:val="22"/>
          <w:szCs w:val="22"/>
        </w:rPr>
        <w:t>ezak</w:t>
      </w:r>
      <w:proofErr w:type="spellEnd"/>
      <w:r>
        <w:rPr>
          <w:sz w:val="22"/>
          <w:szCs w:val="22"/>
        </w:rPr>
        <w:t xml:space="preserve"> (2006) </w:t>
      </w:r>
      <w:r w:rsidR="008D6AD6">
        <w:rPr>
          <w:sz w:val="22"/>
          <w:szCs w:val="22"/>
        </w:rPr>
        <w:t>argue</w:t>
      </w:r>
      <w:r w:rsidR="009E2B0D">
        <w:rPr>
          <w:sz w:val="22"/>
          <w:szCs w:val="22"/>
        </w:rPr>
        <w:t>d</w:t>
      </w:r>
      <w:r w:rsidR="008D6AD6">
        <w:rPr>
          <w:sz w:val="22"/>
          <w:szCs w:val="22"/>
        </w:rPr>
        <w:t xml:space="preserve"> that stock-based compensation acts like a double edged sword. On the one hand, </w:t>
      </w:r>
      <w:r w:rsidR="00FC316D">
        <w:rPr>
          <w:sz w:val="22"/>
          <w:szCs w:val="22"/>
        </w:rPr>
        <w:t>relating managers’ compensation to share price movement</w:t>
      </w:r>
      <w:r w:rsidR="008D6AD6">
        <w:rPr>
          <w:sz w:val="22"/>
          <w:szCs w:val="22"/>
        </w:rPr>
        <w:t xml:space="preserve"> induces beneficial effort to increase firm performance and firm value. On the other hand</w:t>
      </w:r>
      <w:r w:rsidR="00F636D9">
        <w:rPr>
          <w:sz w:val="22"/>
          <w:szCs w:val="22"/>
        </w:rPr>
        <w:t>,</w:t>
      </w:r>
      <w:r w:rsidR="008D6AD6">
        <w:rPr>
          <w:sz w:val="22"/>
          <w:szCs w:val="22"/>
        </w:rPr>
        <w:t xml:space="preserve"> it induces managers to divert valuable firm resources </w:t>
      </w:r>
      <w:r w:rsidR="00FC316D">
        <w:rPr>
          <w:sz w:val="22"/>
          <w:szCs w:val="22"/>
        </w:rPr>
        <w:t>and misrepresent performance</w:t>
      </w:r>
      <w:r w:rsidR="008D6AD6">
        <w:rPr>
          <w:sz w:val="22"/>
          <w:szCs w:val="22"/>
        </w:rPr>
        <w:t xml:space="preserve">. </w:t>
      </w:r>
      <w:proofErr w:type="spellStart"/>
      <w:r w:rsidR="008D6AD6">
        <w:rPr>
          <w:sz w:val="22"/>
          <w:szCs w:val="22"/>
        </w:rPr>
        <w:t>Kedia</w:t>
      </w:r>
      <w:proofErr w:type="spellEnd"/>
      <w:r w:rsidR="008D6AD6">
        <w:rPr>
          <w:sz w:val="22"/>
          <w:szCs w:val="22"/>
        </w:rPr>
        <w:t xml:space="preserve"> (2003) notice</w:t>
      </w:r>
      <w:r w:rsidR="009E2B0D">
        <w:rPr>
          <w:sz w:val="22"/>
          <w:szCs w:val="22"/>
        </w:rPr>
        <w:t>d</w:t>
      </w:r>
      <w:r w:rsidR="008D6AD6">
        <w:rPr>
          <w:sz w:val="22"/>
          <w:szCs w:val="22"/>
        </w:rPr>
        <w:t xml:space="preserve"> that the increasing proportion of CEO compensation containing stock options and shares makes the manager’s personal wealth more sensitive to the share price.</w:t>
      </w:r>
      <w:r w:rsidR="00FC316D">
        <w:t xml:space="preserve"> </w:t>
      </w:r>
      <w:r w:rsidR="00FC316D" w:rsidRPr="006646A9">
        <w:rPr>
          <w:sz w:val="22"/>
          <w:szCs w:val="22"/>
        </w:rPr>
        <w:t>This increased pay for performance sensitivity</w:t>
      </w:r>
      <w:r w:rsidR="008D6AD6" w:rsidRPr="006646A9">
        <w:rPr>
          <w:sz w:val="22"/>
          <w:szCs w:val="22"/>
        </w:rPr>
        <w:t xml:space="preserve"> can give executives</w:t>
      </w:r>
      <w:r w:rsidR="008D6AD6">
        <w:rPr>
          <w:sz w:val="22"/>
          <w:szCs w:val="22"/>
        </w:rPr>
        <w:t xml:space="preserve"> opportunistic incentives to increase the share price regardless of the consequences on firm value. </w:t>
      </w:r>
      <w:r w:rsidR="001C199B">
        <w:rPr>
          <w:sz w:val="22"/>
          <w:szCs w:val="22"/>
        </w:rPr>
        <w:t>One method for managers to maximize their compensation is e</w:t>
      </w:r>
      <w:r w:rsidR="008D6AD6" w:rsidRPr="006646A9">
        <w:rPr>
          <w:sz w:val="22"/>
          <w:szCs w:val="22"/>
        </w:rPr>
        <w:t>arnings management</w:t>
      </w:r>
      <w:r w:rsidR="001C199B">
        <w:rPr>
          <w:sz w:val="22"/>
          <w:szCs w:val="22"/>
        </w:rPr>
        <w:t>, where aggressive accounting is used</w:t>
      </w:r>
      <w:r w:rsidR="008D6AD6" w:rsidRPr="006646A9">
        <w:rPr>
          <w:sz w:val="22"/>
          <w:szCs w:val="22"/>
        </w:rPr>
        <w:t xml:space="preserve"> to inflate share prices by reporting performance numbers that do not reflect the </w:t>
      </w:r>
      <w:r w:rsidR="008D6AD6" w:rsidRPr="006646A9">
        <w:rPr>
          <w:sz w:val="22"/>
          <w:szCs w:val="22"/>
        </w:rPr>
        <w:lastRenderedPageBreak/>
        <w:t xml:space="preserve">firm’s underlying value. </w:t>
      </w:r>
      <w:proofErr w:type="spellStart"/>
      <w:proofErr w:type="gramStart"/>
      <w:r w:rsidR="0008015F" w:rsidRPr="006646A9">
        <w:rPr>
          <w:sz w:val="22"/>
          <w:szCs w:val="22"/>
        </w:rPr>
        <w:t>Gao</w:t>
      </w:r>
      <w:proofErr w:type="spellEnd"/>
      <w:proofErr w:type="gramEnd"/>
      <w:r w:rsidR="0008015F" w:rsidRPr="006646A9">
        <w:rPr>
          <w:sz w:val="22"/>
          <w:szCs w:val="22"/>
        </w:rPr>
        <w:t xml:space="preserve"> and </w:t>
      </w:r>
      <w:proofErr w:type="spellStart"/>
      <w:r w:rsidR="0008015F" w:rsidRPr="006646A9">
        <w:rPr>
          <w:sz w:val="22"/>
          <w:szCs w:val="22"/>
        </w:rPr>
        <w:t>Shrieves</w:t>
      </w:r>
      <w:proofErr w:type="spellEnd"/>
      <w:r w:rsidR="0008015F" w:rsidRPr="006646A9">
        <w:rPr>
          <w:sz w:val="22"/>
          <w:szCs w:val="22"/>
        </w:rPr>
        <w:t xml:space="preserve"> (2002) show</w:t>
      </w:r>
      <w:r w:rsidR="009E2B0D" w:rsidRPr="006646A9">
        <w:rPr>
          <w:sz w:val="22"/>
          <w:szCs w:val="22"/>
        </w:rPr>
        <w:t>ed</w:t>
      </w:r>
      <w:r w:rsidR="0008015F" w:rsidRPr="006646A9">
        <w:rPr>
          <w:sz w:val="22"/>
          <w:szCs w:val="22"/>
        </w:rPr>
        <w:t xml:space="preserve"> that, in contrast to base salary, the amount of stock options and bonuses are positively related to earnings management intensity. </w:t>
      </w:r>
      <w:proofErr w:type="spellStart"/>
      <w:r w:rsidR="008D6AD6" w:rsidRPr="006646A9">
        <w:rPr>
          <w:sz w:val="22"/>
          <w:szCs w:val="22"/>
        </w:rPr>
        <w:t>Bergstresser</w:t>
      </w:r>
      <w:proofErr w:type="spellEnd"/>
      <w:r w:rsidR="008D6AD6" w:rsidRPr="006646A9">
        <w:rPr>
          <w:sz w:val="22"/>
          <w:szCs w:val="22"/>
        </w:rPr>
        <w:t xml:space="preserve"> and </w:t>
      </w:r>
      <w:proofErr w:type="spellStart"/>
      <w:r w:rsidR="008D6AD6" w:rsidRPr="006646A9">
        <w:rPr>
          <w:sz w:val="22"/>
          <w:szCs w:val="22"/>
        </w:rPr>
        <w:t>Philippon</w:t>
      </w:r>
      <w:proofErr w:type="spellEnd"/>
      <w:r w:rsidR="008D6AD6" w:rsidRPr="006646A9">
        <w:rPr>
          <w:sz w:val="22"/>
          <w:szCs w:val="22"/>
        </w:rPr>
        <w:t xml:space="preserve"> (2006) state</w:t>
      </w:r>
      <w:r w:rsidR="009E2B0D" w:rsidRPr="006646A9">
        <w:rPr>
          <w:sz w:val="22"/>
          <w:szCs w:val="22"/>
        </w:rPr>
        <w:t>d</w:t>
      </w:r>
      <w:r w:rsidR="008D6AD6" w:rsidRPr="006646A9">
        <w:rPr>
          <w:sz w:val="22"/>
          <w:szCs w:val="22"/>
        </w:rPr>
        <w:t xml:space="preserve"> that equity incentives have “…</w:t>
      </w:r>
      <w:r w:rsidR="008D6AD6" w:rsidRPr="006646A9">
        <w:rPr>
          <w:i/>
          <w:sz w:val="22"/>
          <w:szCs w:val="22"/>
        </w:rPr>
        <w:t>the perverse effect of encouraging managers to exploit their discretion in reporting earnings, with an eye to manipulating the stock prices of their company.”</w:t>
      </w:r>
      <w:r w:rsidR="008D6AD6" w:rsidRPr="001A5F70">
        <w:rPr>
          <w:i/>
          <w:sz w:val="22"/>
          <w:szCs w:val="22"/>
        </w:rPr>
        <w:t xml:space="preserve"> </w:t>
      </w:r>
    </w:p>
    <w:p w:rsidR="007A151A" w:rsidRPr="007A151A" w:rsidRDefault="007A151A" w:rsidP="008D6AD6">
      <w:pPr>
        <w:spacing w:line="360" w:lineRule="auto"/>
        <w:jc w:val="both"/>
      </w:pPr>
    </w:p>
    <w:p w:rsidR="008D6AD6" w:rsidRDefault="008D6AD6" w:rsidP="008D6AD6">
      <w:pPr>
        <w:spacing w:line="360" w:lineRule="auto"/>
        <w:jc w:val="both"/>
        <w:rPr>
          <w:sz w:val="22"/>
          <w:szCs w:val="22"/>
        </w:rPr>
      </w:pPr>
      <w:r w:rsidRPr="0075421E">
        <w:rPr>
          <w:sz w:val="22"/>
          <w:szCs w:val="22"/>
        </w:rPr>
        <w:t xml:space="preserve">According to Ronen and </w:t>
      </w:r>
      <w:proofErr w:type="spellStart"/>
      <w:r w:rsidRPr="0075421E">
        <w:rPr>
          <w:sz w:val="22"/>
          <w:szCs w:val="22"/>
        </w:rPr>
        <w:t>Yaari</w:t>
      </w:r>
      <w:proofErr w:type="spellEnd"/>
      <w:r w:rsidRPr="0075421E">
        <w:rPr>
          <w:sz w:val="22"/>
          <w:szCs w:val="22"/>
        </w:rPr>
        <w:t xml:space="preserve"> (2009</w:t>
      </w:r>
      <w:r>
        <w:rPr>
          <w:sz w:val="22"/>
          <w:szCs w:val="22"/>
        </w:rPr>
        <w:t>, p. 84</w:t>
      </w:r>
      <w:r w:rsidRPr="0075421E">
        <w:rPr>
          <w:sz w:val="22"/>
          <w:szCs w:val="22"/>
        </w:rPr>
        <w:t xml:space="preserve">) equity-based compensation provides conflicting incentives to manage earnings. </w:t>
      </w:r>
      <w:r w:rsidR="00FC316D">
        <w:rPr>
          <w:sz w:val="22"/>
          <w:szCs w:val="22"/>
        </w:rPr>
        <w:t xml:space="preserve">A </w:t>
      </w:r>
      <w:r>
        <w:rPr>
          <w:sz w:val="22"/>
          <w:szCs w:val="22"/>
        </w:rPr>
        <w:t>higher share price increases the value of one’s stock and option holdings. This will lead to a short-horizon earnings management, where inflating earnin</w:t>
      </w:r>
      <w:r w:rsidR="00FC316D">
        <w:rPr>
          <w:sz w:val="22"/>
          <w:szCs w:val="22"/>
        </w:rPr>
        <w:t>gs is optimal. However</w:t>
      </w:r>
      <w:r>
        <w:rPr>
          <w:sz w:val="22"/>
          <w:szCs w:val="22"/>
        </w:rPr>
        <w:t xml:space="preserve">, the higher the market price, the harder it gets to earn a raise in the future. This gives </w:t>
      </w:r>
      <w:r w:rsidR="001B4F0D">
        <w:rPr>
          <w:sz w:val="22"/>
          <w:szCs w:val="22"/>
        </w:rPr>
        <w:t>another</w:t>
      </w:r>
      <w:r>
        <w:rPr>
          <w:sz w:val="22"/>
          <w:szCs w:val="22"/>
        </w:rPr>
        <w:t xml:space="preserve"> incentive to go for long-horizon earnings management, aimed at deflating or smoothing earnings. </w:t>
      </w:r>
      <w:r w:rsidR="001B4F0D">
        <w:rPr>
          <w:sz w:val="22"/>
          <w:szCs w:val="22"/>
        </w:rPr>
        <w:t>Nevertheless,</w:t>
      </w:r>
      <w:r w:rsidR="007B7709">
        <w:rPr>
          <w:sz w:val="22"/>
          <w:szCs w:val="22"/>
        </w:rPr>
        <w:t xml:space="preserve"> the accounting literature expects that</w:t>
      </w:r>
      <w:r>
        <w:rPr>
          <w:sz w:val="22"/>
          <w:szCs w:val="22"/>
        </w:rPr>
        <w:t xml:space="preserve"> equity-based compensation</w:t>
      </w:r>
      <w:r w:rsidR="007B7709">
        <w:rPr>
          <w:sz w:val="22"/>
          <w:szCs w:val="22"/>
        </w:rPr>
        <w:t xml:space="preserve"> gives incentives for a limited horizon</w:t>
      </w:r>
      <w:r>
        <w:rPr>
          <w:sz w:val="22"/>
          <w:szCs w:val="22"/>
        </w:rPr>
        <w:t>. Since the average tenure of a CEO in a corporate firm is around 4 years, managers seek to ensure increasing short-term stock prices (</w:t>
      </w:r>
      <w:r w:rsidRPr="007A668B">
        <w:rPr>
          <w:rFonts w:ascii="TimesNewRoman" w:hAnsi="TimesNewRoman" w:cs="TimesNewRoman"/>
          <w:sz w:val="22"/>
          <w:szCs w:val="22"/>
        </w:rPr>
        <w:t>O’</w:t>
      </w:r>
      <w:r>
        <w:rPr>
          <w:rFonts w:ascii="TimesNewRoman" w:hAnsi="TimesNewRoman" w:cs="TimesNewRoman"/>
          <w:sz w:val="22"/>
          <w:szCs w:val="22"/>
        </w:rPr>
        <w:t xml:space="preserve">Connell, </w:t>
      </w:r>
      <w:r w:rsidRPr="007A668B">
        <w:rPr>
          <w:rFonts w:ascii="TimesNewRoman" w:hAnsi="TimesNewRoman" w:cs="TimesNewRoman"/>
          <w:sz w:val="22"/>
          <w:szCs w:val="22"/>
        </w:rPr>
        <w:t>2004</w:t>
      </w:r>
      <w:r>
        <w:rPr>
          <w:rFonts w:ascii="TimesNewRoman" w:hAnsi="TimesNewRoman" w:cs="TimesNewRoman"/>
          <w:sz w:val="22"/>
          <w:szCs w:val="22"/>
        </w:rPr>
        <w:t xml:space="preserve">, cited from Ronen and </w:t>
      </w:r>
      <w:proofErr w:type="spellStart"/>
      <w:r>
        <w:rPr>
          <w:rFonts w:ascii="TimesNewRoman" w:hAnsi="TimesNewRoman" w:cs="TimesNewRoman"/>
          <w:sz w:val="22"/>
          <w:szCs w:val="22"/>
        </w:rPr>
        <w:t>Yaari</w:t>
      </w:r>
      <w:proofErr w:type="spellEnd"/>
      <w:r>
        <w:rPr>
          <w:rFonts w:ascii="TimesNewRoman" w:hAnsi="TimesNewRoman" w:cs="TimesNewRoman"/>
          <w:sz w:val="22"/>
          <w:szCs w:val="22"/>
        </w:rPr>
        <w:t>, 2009, p.84)</w:t>
      </w:r>
      <w:r>
        <w:rPr>
          <w:sz w:val="22"/>
          <w:szCs w:val="22"/>
        </w:rPr>
        <w:t>. This is in line with Graham et al. (2005, p.65), who point</w:t>
      </w:r>
      <w:r w:rsidR="0008015F">
        <w:rPr>
          <w:sz w:val="22"/>
          <w:szCs w:val="22"/>
        </w:rPr>
        <w:t>ed</w:t>
      </w:r>
      <w:r>
        <w:rPr>
          <w:sz w:val="22"/>
          <w:szCs w:val="22"/>
        </w:rPr>
        <w:t xml:space="preserve"> out that managers are focused on short-term earnings benchmarks, particularly the lagged quarterly earnings number and meeting and beating analysts’ forecast.</w:t>
      </w:r>
    </w:p>
    <w:p w:rsidR="008D6AD6" w:rsidRDefault="008D6AD6" w:rsidP="008D6AD6">
      <w:pPr>
        <w:spacing w:line="360" w:lineRule="auto"/>
        <w:jc w:val="both"/>
        <w:rPr>
          <w:sz w:val="22"/>
          <w:szCs w:val="22"/>
        </w:rPr>
      </w:pPr>
    </w:p>
    <w:p w:rsidR="000B7880" w:rsidRDefault="008D6AD6" w:rsidP="000B7880">
      <w:pPr>
        <w:spacing w:line="360" w:lineRule="auto"/>
        <w:jc w:val="both"/>
        <w:rPr>
          <w:sz w:val="22"/>
          <w:szCs w:val="22"/>
        </w:rPr>
      </w:pPr>
      <w:r>
        <w:rPr>
          <w:sz w:val="22"/>
          <w:szCs w:val="22"/>
        </w:rPr>
        <w:t>Cheng and Warfield (2005, p. 445) note</w:t>
      </w:r>
      <w:r w:rsidR="0008015F">
        <w:rPr>
          <w:sz w:val="22"/>
          <w:szCs w:val="22"/>
        </w:rPr>
        <w:t>d</w:t>
      </w:r>
      <w:r>
        <w:rPr>
          <w:sz w:val="22"/>
          <w:szCs w:val="22"/>
        </w:rPr>
        <w:t xml:space="preserve"> that holding shares and options exposes the managers to the idiosyncratic risk of the firm, and they are more likely to sell their shares to reduce this risk The exposure</w:t>
      </w:r>
      <w:r w:rsidR="000C3A22">
        <w:rPr>
          <w:sz w:val="22"/>
          <w:szCs w:val="22"/>
        </w:rPr>
        <w:t xml:space="preserve"> of risk</w:t>
      </w:r>
      <w:r>
        <w:rPr>
          <w:sz w:val="22"/>
          <w:szCs w:val="22"/>
        </w:rPr>
        <w:t xml:space="preserve"> increases in the future when stock prices increase, because a large portion of manager’s wealth has become sensitive on short-term stock prices and risky option holdings. </w:t>
      </w:r>
      <w:r w:rsidR="009A3A7D">
        <w:rPr>
          <w:sz w:val="22"/>
          <w:szCs w:val="22"/>
        </w:rPr>
        <w:t xml:space="preserve">To </w:t>
      </w:r>
      <w:r>
        <w:rPr>
          <w:sz w:val="22"/>
          <w:szCs w:val="22"/>
        </w:rPr>
        <w:t>di</w:t>
      </w:r>
      <w:r w:rsidR="000C3A22">
        <w:rPr>
          <w:sz w:val="22"/>
          <w:szCs w:val="22"/>
        </w:rPr>
        <w:t>versify</w:t>
      </w:r>
      <w:r>
        <w:rPr>
          <w:sz w:val="22"/>
          <w:szCs w:val="22"/>
        </w:rPr>
        <w:t xml:space="preserve"> this increased risk</w:t>
      </w:r>
      <w:r w:rsidR="009A3A7D">
        <w:rPr>
          <w:sz w:val="22"/>
          <w:szCs w:val="22"/>
        </w:rPr>
        <w:t>, incentives for earnings management may arise</w:t>
      </w:r>
      <w:r>
        <w:rPr>
          <w:sz w:val="22"/>
          <w:szCs w:val="22"/>
        </w:rPr>
        <w:t xml:space="preserve">. </w:t>
      </w:r>
      <w:r w:rsidR="009A3A7D">
        <w:rPr>
          <w:sz w:val="22"/>
          <w:szCs w:val="22"/>
        </w:rPr>
        <w:t>M</w:t>
      </w:r>
      <w:r>
        <w:rPr>
          <w:sz w:val="22"/>
          <w:szCs w:val="22"/>
        </w:rPr>
        <w:t xml:space="preserve">anagers who sell shares in the future </w:t>
      </w:r>
      <w:r w:rsidR="009A3A7D">
        <w:rPr>
          <w:sz w:val="22"/>
          <w:szCs w:val="22"/>
        </w:rPr>
        <w:t>engage</w:t>
      </w:r>
      <w:r>
        <w:rPr>
          <w:sz w:val="22"/>
          <w:szCs w:val="22"/>
        </w:rPr>
        <w:t xml:space="preserve"> earnings management when two conditions are met: (</w:t>
      </w:r>
      <w:proofErr w:type="spellStart"/>
      <w:r>
        <w:rPr>
          <w:sz w:val="22"/>
          <w:szCs w:val="22"/>
        </w:rPr>
        <w:t>i</w:t>
      </w:r>
      <w:proofErr w:type="spellEnd"/>
      <w:r>
        <w:rPr>
          <w:sz w:val="22"/>
          <w:szCs w:val="22"/>
        </w:rPr>
        <w:t xml:space="preserve">) the capital market use reported earnings to predict future earnings, giving earnings management a purpose to affect stock prices and (ii) managers can benefit from increased stock prices. Taking both conditions as true, the manager will gain more from selling shares when earnings management is used to increase stock prices than without </w:t>
      </w:r>
      <w:r w:rsidR="00090C2E">
        <w:rPr>
          <w:sz w:val="22"/>
          <w:szCs w:val="22"/>
        </w:rPr>
        <w:t xml:space="preserve">using </w:t>
      </w:r>
      <w:r>
        <w:rPr>
          <w:sz w:val="22"/>
          <w:szCs w:val="22"/>
        </w:rPr>
        <w:t>earnings management.</w:t>
      </w:r>
      <w:r w:rsidR="000B7880" w:rsidRPr="000B7880">
        <w:rPr>
          <w:sz w:val="22"/>
          <w:szCs w:val="22"/>
        </w:rPr>
        <w:t xml:space="preserve"> </w:t>
      </w:r>
      <w:r w:rsidR="001C199B">
        <w:rPr>
          <w:sz w:val="22"/>
          <w:szCs w:val="22"/>
        </w:rPr>
        <w:t xml:space="preserve">Moreover, </w:t>
      </w:r>
      <w:r w:rsidR="000B7880">
        <w:rPr>
          <w:sz w:val="22"/>
          <w:szCs w:val="22"/>
        </w:rPr>
        <w:t>Cheng et al. (2009) point</w:t>
      </w:r>
      <w:r w:rsidR="001C199B">
        <w:rPr>
          <w:sz w:val="22"/>
          <w:szCs w:val="22"/>
        </w:rPr>
        <w:t>ed</w:t>
      </w:r>
      <w:r w:rsidR="000B7880">
        <w:rPr>
          <w:sz w:val="22"/>
          <w:szCs w:val="22"/>
        </w:rPr>
        <w:t xml:space="preserve"> out that when management sells their granted shares or exercises their options, the ow</w:t>
      </w:r>
      <w:r w:rsidR="001255DB">
        <w:rPr>
          <w:sz w:val="22"/>
          <w:szCs w:val="22"/>
        </w:rPr>
        <w:t>nership benefits will diminish and t</w:t>
      </w:r>
      <w:r w:rsidR="000B7880">
        <w:rPr>
          <w:sz w:val="22"/>
          <w:szCs w:val="22"/>
        </w:rPr>
        <w:t>he purpose of aligning interest and increasing firm value will be nullified.</w:t>
      </w:r>
    </w:p>
    <w:p w:rsidR="00A34A78" w:rsidRDefault="00A34A78" w:rsidP="00563C56">
      <w:pPr>
        <w:spacing w:line="360" w:lineRule="auto"/>
        <w:jc w:val="both"/>
        <w:rPr>
          <w:sz w:val="22"/>
          <w:szCs w:val="22"/>
        </w:rPr>
      </w:pPr>
    </w:p>
    <w:p w:rsidR="00563C56" w:rsidRDefault="00A2728A" w:rsidP="00563C56">
      <w:pPr>
        <w:pStyle w:val="Kop2"/>
        <w:tabs>
          <w:tab w:val="left" w:pos="4605"/>
        </w:tabs>
        <w:jc w:val="left"/>
      </w:pPr>
      <w:bookmarkStart w:id="32" w:name="_Toc287614162"/>
      <w:r>
        <w:t>2</w:t>
      </w:r>
      <w:r w:rsidR="0008015F">
        <w:t>.</w:t>
      </w:r>
      <w:r>
        <w:t>5</w:t>
      </w:r>
      <w:r w:rsidR="00563C56">
        <w:t xml:space="preserve"> Equity-based compensation in</w:t>
      </w:r>
      <w:r w:rsidR="00563C56" w:rsidRPr="00920849">
        <w:t xml:space="preserve"> banks</w:t>
      </w:r>
      <w:bookmarkEnd w:id="32"/>
    </w:p>
    <w:p w:rsidR="00563C56" w:rsidRDefault="009A3A7D" w:rsidP="00563C56">
      <w:pPr>
        <w:spacing w:line="360" w:lineRule="auto"/>
        <w:jc w:val="both"/>
        <w:rPr>
          <w:sz w:val="22"/>
          <w:szCs w:val="22"/>
        </w:rPr>
      </w:pPr>
      <w:r>
        <w:rPr>
          <w:sz w:val="22"/>
          <w:szCs w:val="22"/>
        </w:rPr>
        <w:t>It</w:t>
      </w:r>
      <w:r w:rsidR="00563C56">
        <w:rPr>
          <w:sz w:val="22"/>
          <w:szCs w:val="22"/>
        </w:rPr>
        <w:t xml:space="preserve"> is argued that bank directors need less equity-based compensation. Regulated firms are more transparent and the</w:t>
      </w:r>
      <w:r w:rsidR="007B7709">
        <w:rPr>
          <w:sz w:val="22"/>
          <w:szCs w:val="22"/>
        </w:rPr>
        <w:t>ir</w:t>
      </w:r>
      <w:r w:rsidR="00563C56">
        <w:rPr>
          <w:sz w:val="22"/>
          <w:szCs w:val="22"/>
        </w:rPr>
        <w:t xml:space="preserve"> opportunities to invest in projects are limited. </w:t>
      </w:r>
      <w:r w:rsidR="00563C56" w:rsidRPr="0093208C">
        <w:rPr>
          <w:sz w:val="22"/>
          <w:szCs w:val="22"/>
        </w:rPr>
        <w:t>Houston and James (1995) f</w:t>
      </w:r>
      <w:r w:rsidR="0008015F">
        <w:rPr>
          <w:sz w:val="22"/>
          <w:szCs w:val="22"/>
        </w:rPr>
        <w:t>ou</w:t>
      </w:r>
      <w:r w:rsidR="00563C56" w:rsidRPr="0093208C">
        <w:rPr>
          <w:sz w:val="22"/>
          <w:szCs w:val="22"/>
        </w:rPr>
        <w:t xml:space="preserve">nd little evidence that compensation contracts in banks are designed to encourage excessive risk taking. The remuneration </w:t>
      </w:r>
      <w:r w:rsidR="001C199B">
        <w:rPr>
          <w:sz w:val="22"/>
          <w:szCs w:val="22"/>
        </w:rPr>
        <w:t xml:space="preserve">that </w:t>
      </w:r>
      <w:r w:rsidR="00563C56" w:rsidRPr="0093208C">
        <w:rPr>
          <w:sz w:val="22"/>
          <w:szCs w:val="22"/>
        </w:rPr>
        <w:t xml:space="preserve">bank managers receive consists of less cash salary as well as </w:t>
      </w:r>
      <w:r w:rsidR="00563C56">
        <w:rPr>
          <w:sz w:val="22"/>
          <w:szCs w:val="22"/>
        </w:rPr>
        <w:t xml:space="preserve">fewer equity based </w:t>
      </w:r>
      <w:r w:rsidR="00563C56">
        <w:rPr>
          <w:sz w:val="22"/>
          <w:szCs w:val="22"/>
        </w:rPr>
        <w:lastRenderedPageBreak/>
        <w:t>compensation, meaning that</w:t>
      </w:r>
      <w:r w:rsidR="00563C56" w:rsidRPr="0093208C">
        <w:rPr>
          <w:sz w:val="22"/>
          <w:szCs w:val="22"/>
        </w:rPr>
        <w:t xml:space="preserve"> bank CEOs are paid less</w:t>
      </w:r>
      <w:r w:rsidR="00563C56">
        <w:rPr>
          <w:sz w:val="22"/>
          <w:szCs w:val="22"/>
        </w:rPr>
        <w:t xml:space="preserve"> equity-based compensation</w:t>
      </w:r>
      <w:r w:rsidR="00563C56" w:rsidRPr="0093208C">
        <w:rPr>
          <w:sz w:val="22"/>
          <w:szCs w:val="22"/>
        </w:rPr>
        <w:t xml:space="preserve"> than non-bank CEOs</w:t>
      </w:r>
      <w:r w:rsidR="00563C56">
        <w:rPr>
          <w:sz w:val="22"/>
          <w:szCs w:val="22"/>
        </w:rPr>
        <w:t>.</w:t>
      </w:r>
      <w:r w:rsidR="00563C56" w:rsidRPr="0093208C">
        <w:rPr>
          <w:sz w:val="22"/>
          <w:szCs w:val="22"/>
        </w:rPr>
        <w:t xml:space="preserve"> This may</w:t>
      </w:r>
      <w:r w:rsidR="00563C56">
        <w:rPr>
          <w:sz w:val="22"/>
          <w:szCs w:val="22"/>
        </w:rPr>
        <w:t xml:space="preserve"> imply that the moral hazard problem might be less severe</w:t>
      </w:r>
      <w:r w:rsidR="001C199B">
        <w:rPr>
          <w:sz w:val="22"/>
          <w:szCs w:val="22"/>
        </w:rPr>
        <w:t xml:space="preserve"> and</w:t>
      </w:r>
      <w:r w:rsidR="00563C56">
        <w:rPr>
          <w:sz w:val="22"/>
          <w:szCs w:val="22"/>
        </w:rPr>
        <w:t xml:space="preserve"> that the nature of the banks’ assets and investment opportunity sets </w:t>
      </w:r>
      <w:r w:rsidR="001C199B">
        <w:rPr>
          <w:sz w:val="22"/>
          <w:szCs w:val="22"/>
        </w:rPr>
        <w:t>mitigate</w:t>
      </w:r>
      <w:r w:rsidR="00563C56">
        <w:rPr>
          <w:sz w:val="22"/>
          <w:szCs w:val="22"/>
        </w:rPr>
        <w:t xml:space="preserve"> the agency problems. </w:t>
      </w:r>
      <w:r w:rsidR="001255DB">
        <w:rPr>
          <w:sz w:val="22"/>
          <w:szCs w:val="22"/>
        </w:rPr>
        <w:t>Therefore,</w:t>
      </w:r>
      <w:r w:rsidR="00563C56">
        <w:rPr>
          <w:sz w:val="22"/>
          <w:szCs w:val="22"/>
        </w:rPr>
        <w:t xml:space="preserve"> attempts by regulators to control compensation in banks are likely ineffective, since there are no incentives for excessive risk taking. </w:t>
      </w:r>
      <w:r w:rsidR="00503282">
        <w:rPr>
          <w:sz w:val="22"/>
          <w:szCs w:val="22"/>
        </w:rPr>
        <w:t xml:space="preserve">Adams and </w:t>
      </w:r>
      <w:proofErr w:type="spellStart"/>
      <w:r w:rsidR="00503282">
        <w:rPr>
          <w:sz w:val="22"/>
          <w:szCs w:val="22"/>
        </w:rPr>
        <w:t>Mehran</w:t>
      </w:r>
      <w:proofErr w:type="spellEnd"/>
      <w:r w:rsidR="00503282">
        <w:rPr>
          <w:sz w:val="22"/>
          <w:szCs w:val="22"/>
        </w:rPr>
        <w:t xml:space="preserve"> (</w:t>
      </w:r>
      <w:r w:rsidR="00503282" w:rsidRPr="000023D7">
        <w:rPr>
          <w:sz w:val="22"/>
          <w:szCs w:val="22"/>
        </w:rPr>
        <w:t>2003, p. 131</w:t>
      </w:r>
      <w:r w:rsidR="00503282">
        <w:rPr>
          <w:sz w:val="22"/>
          <w:szCs w:val="22"/>
        </w:rPr>
        <w:t xml:space="preserve">) </w:t>
      </w:r>
      <w:r w:rsidR="00563C56" w:rsidRPr="000023D7">
        <w:rPr>
          <w:sz w:val="22"/>
          <w:szCs w:val="22"/>
        </w:rPr>
        <w:t>show</w:t>
      </w:r>
      <w:r w:rsidR="00563C56">
        <w:rPr>
          <w:sz w:val="22"/>
          <w:szCs w:val="22"/>
        </w:rPr>
        <w:t>ed</w:t>
      </w:r>
      <w:r w:rsidR="00563C56" w:rsidRPr="000023D7">
        <w:rPr>
          <w:sz w:val="22"/>
          <w:szCs w:val="22"/>
        </w:rPr>
        <w:t xml:space="preserve"> that increased use of stock options in executive compensati</w:t>
      </w:r>
      <w:r w:rsidR="0062533B">
        <w:rPr>
          <w:sz w:val="22"/>
          <w:szCs w:val="22"/>
        </w:rPr>
        <w:t xml:space="preserve">on also holds for public banks, while </w:t>
      </w:r>
      <w:r w:rsidR="00563C56">
        <w:rPr>
          <w:sz w:val="22"/>
          <w:szCs w:val="22"/>
        </w:rPr>
        <w:t xml:space="preserve">the growth and amount of stock options used in banks are lower than in nonbanks. </w:t>
      </w:r>
      <w:r w:rsidR="0062533B">
        <w:rPr>
          <w:sz w:val="22"/>
          <w:szCs w:val="22"/>
        </w:rPr>
        <w:t>They also mentioned that</w:t>
      </w:r>
      <w:r w:rsidR="00A2728A">
        <w:rPr>
          <w:sz w:val="22"/>
          <w:szCs w:val="22"/>
        </w:rPr>
        <w:t xml:space="preserve"> i</w:t>
      </w:r>
      <w:r w:rsidR="00563C56">
        <w:rPr>
          <w:sz w:val="22"/>
          <w:szCs w:val="22"/>
        </w:rPr>
        <w:t>t is easier for the board to monitor CEOs in low-growth industries</w:t>
      </w:r>
      <w:r w:rsidR="00A528AC">
        <w:rPr>
          <w:sz w:val="22"/>
          <w:szCs w:val="22"/>
        </w:rPr>
        <w:t xml:space="preserve"> (e.g. banks)</w:t>
      </w:r>
      <w:r w:rsidR="00563C56">
        <w:rPr>
          <w:sz w:val="22"/>
          <w:szCs w:val="22"/>
        </w:rPr>
        <w:t xml:space="preserve"> than companies with high-growth </w:t>
      </w:r>
      <w:r w:rsidR="0062533B">
        <w:rPr>
          <w:sz w:val="22"/>
          <w:szCs w:val="22"/>
        </w:rPr>
        <w:t>opportunities;</w:t>
      </w:r>
      <w:r w:rsidR="00563C56">
        <w:rPr>
          <w:sz w:val="22"/>
          <w:szCs w:val="22"/>
        </w:rPr>
        <w:t xml:space="preserve"> </w:t>
      </w:r>
      <w:r w:rsidR="0062533B">
        <w:rPr>
          <w:sz w:val="22"/>
          <w:szCs w:val="22"/>
        </w:rPr>
        <w:t xml:space="preserve">therefore </w:t>
      </w:r>
      <w:r w:rsidR="00A2728A">
        <w:rPr>
          <w:sz w:val="22"/>
          <w:szCs w:val="22"/>
        </w:rPr>
        <w:t>more f</w:t>
      </w:r>
      <w:r w:rsidR="00563C56">
        <w:rPr>
          <w:sz w:val="22"/>
          <w:szCs w:val="22"/>
        </w:rPr>
        <w:t xml:space="preserve">ixed </w:t>
      </w:r>
      <w:r w:rsidR="00A2728A">
        <w:rPr>
          <w:sz w:val="22"/>
          <w:szCs w:val="22"/>
        </w:rPr>
        <w:t xml:space="preserve">compensation is used </w:t>
      </w:r>
      <w:r w:rsidR="00563C56">
        <w:rPr>
          <w:sz w:val="22"/>
          <w:szCs w:val="22"/>
        </w:rPr>
        <w:t>rather than stock-based compensation.</w:t>
      </w:r>
      <w:r w:rsidR="00563C56" w:rsidRPr="000023D7">
        <w:rPr>
          <w:sz w:val="22"/>
          <w:szCs w:val="22"/>
        </w:rPr>
        <w:t xml:space="preserve"> </w:t>
      </w:r>
    </w:p>
    <w:p w:rsidR="00A2728A" w:rsidRDefault="00A2728A" w:rsidP="00563C56">
      <w:pPr>
        <w:spacing w:line="360" w:lineRule="auto"/>
        <w:jc w:val="both"/>
        <w:rPr>
          <w:sz w:val="22"/>
          <w:szCs w:val="22"/>
        </w:rPr>
      </w:pPr>
    </w:p>
    <w:p w:rsidR="00563C56" w:rsidRDefault="00F636D9" w:rsidP="00563C56">
      <w:pPr>
        <w:spacing w:line="360" w:lineRule="auto"/>
        <w:jc w:val="both"/>
        <w:rPr>
          <w:sz w:val="22"/>
          <w:szCs w:val="22"/>
        </w:rPr>
      </w:pPr>
      <w:r>
        <w:rPr>
          <w:sz w:val="22"/>
          <w:szCs w:val="22"/>
        </w:rPr>
        <w:t xml:space="preserve">However, </w:t>
      </w:r>
      <w:r w:rsidR="00423E1B">
        <w:rPr>
          <w:sz w:val="22"/>
          <w:szCs w:val="22"/>
        </w:rPr>
        <w:t xml:space="preserve">equity-based compensation </w:t>
      </w:r>
      <w:r>
        <w:rPr>
          <w:sz w:val="22"/>
          <w:szCs w:val="22"/>
        </w:rPr>
        <w:t xml:space="preserve">in banks </w:t>
      </w:r>
      <w:r w:rsidR="00423E1B">
        <w:rPr>
          <w:sz w:val="22"/>
          <w:szCs w:val="22"/>
        </w:rPr>
        <w:t xml:space="preserve">has changed over time. </w:t>
      </w:r>
      <w:proofErr w:type="spellStart"/>
      <w:r w:rsidR="00563C56">
        <w:rPr>
          <w:sz w:val="22"/>
          <w:szCs w:val="22"/>
        </w:rPr>
        <w:t>Becher</w:t>
      </w:r>
      <w:proofErr w:type="spellEnd"/>
      <w:r w:rsidR="00563C56">
        <w:rPr>
          <w:sz w:val="22"/>
          <w:szCs w:val="22"/>
        </w:rPr>
        <w:t xml:space="preserve">, Campbell II and Frye (2005) examined equity-based compensation during the period 1992-1999. </w:t>
      </w:r>
      <w:r w:rsidR="004E6892">
        <w:rPr>
          <w:sz w:val="22"/>
          <w:szCs w:val="22"/>
        </w:rPr>
        <w:t>Due to deregulation</w:t>
      </w:r>
      <w:r w:rsidR="00C02E0E">
        <w:rPr>
          <w:sz w:val="22"/>
          <w:szCs w:val="22"/>
        </w:rPr>
        <w:t>,</w:t>
      </w:r>
      <w:r w:rsidR="004E6892">
        <w:rPr>
          <w:sz w:val="22"/>
          <w:szCs w:val="22"/>
        </w:rPr>
        <w:t xml:space="preserve"> banks</w:t>
      </w:r>
      <w:r w:rsidR="00563C56">
        <w:rPr>
          <w:sz w:val="22"/>
          <w:szCs w:val="22"/>
        </w:rPr>
        <w:t xml:space="preserve"> face similar </w:t>
      </w:r>
      <w:r w:rsidR="004E6892">
        <w:rPr>
          <w:sz w:val="22"/>
          <w:szCs w:val="22"/>
        </w:rPr>
        <w:t>business environments</w:t>
      </w:r>
      <w:r w:rsidR="00563C56">
        <w:rPr>
          <w:sz w:val="22"/>
          <w:szCs w:val="22"/>
        </w:rPr>
        <w:t xml:space="preserve"> as nonbanks. </w:t>
      </w:r>
      <w:r w:rsidR="004E6892">
        <w:rPr>
          <w:sz w:val="22"/>
          <w:szCs w:val="22"/>
        </w:rPr>
        <w:t xml:space="preserve">They noted that in the </w:t>
      </w:r>
      <w:r w:rsidR="00696B59">
        <w:rPr>
          <w:sz w:val="22"/>
          <w:szCs w:val="22"/>
        </w:rPr>
        <w:t xml:space="preserve">beginning of the </w:t>
      </w:r>
      <w:r w:rsidR="004E6892">
        <w:rPr>
          <w:sz w:val="22"/>
          <w:szCs w:val="22"/>
        </w:rPr>
        <w:t xml:space="preserve">1990s significantly less equity-based compensation was used and with a slower rate than nonbanks. </w:t>
      </w:r>
      <w:r w:rsidR="00C02E0E">
        <w:rPr>
          <w:sz w:val="22"/>
          <w:szCs w:val="22"/>
        </w:rPr>
        <w:t>T</w:t>
      </w:r>
      <w:r w:rsidR="00563C56">
        <w:rPr>
          <w:sz w:val="22"/>
          <w:szCs w:val="22"/>
        </w:rPr>
        <w:t>his amount changed after deregulation and banks use equity-based compensation at similar rates as nonbanks</w:t>
      </w:r>
      <w:r w:rsidR="00696B59">
        <w:rPr>
          <w:sz w:val="22"/>
          <w:szCs w:val="22"/>
        </w:rPr>
        <w:t xml:space="preserve"> by the end of the 1990s</w:t>
      </w:r>
      <w:r w:rsidR="00563C56">
        <w:rPr>
          <w:sz w:val="22"/>
          <w:szCs w:val="22"/>
        </w:rPr>
        <w:t xml:space="preserve">. The </w:t>
      </w:r>
      <w:r w:rsidR="00C02E0E">
        <w:rPr>
          <w:sz w:val="22"/>
          <w:szCs w:val="22"/>
        </w:rPr>
        <w:t xml:space="preserve">effect was that </w:t>
      </w:r>
      <w:r w:rsidR="00563C56">
        <w:rPr>
          <w:sz w:val="22"/>
          <w:szCs w:val="22"/>
        </w:rPr>
        <w:t>difference</w:t>
      </w:r>
      <w:r w:rsidR="00C02E0E">
        <w:rPr>
          <w:sz w:val="22"/>
          <w:szCs w:val="22"/>
        </w:rPr>
        <w:t>s in equity</w:t>
      </w:r>
      <w:r w:rsidR="00563C56">
        <w:rPr>
          <w:sz w:val="22"/>
          <w:szCs w:val="22"/>
        </w:rPr>
        <w:t xml:space="preserve"> incentives in</w:t>
      </w:r>
      <w:r w:rsidR="00C02E0E">
        <w:rPr>
          <w:sz w:val="22"/>
          <w:szCs w:val="22"/>
        </w:rPr>
        <w:t xml:space="preserve"> banks and nonbanks disappeared, while b</w:t>
      </w:r>
      <w:r w:rsidR="00563C56">
        <w:rPr>
          <w:sz w:val="22"/>
          <w:szCs w:val="22"/>
        </w:rPr>
        <w:t xml:space="preserve">anks using a high degree of equity compensation are associated with higher performance and growth without increased risk. </w:t>
      </w:r>
      <w:proofErr w:type="spellStart"/>
      <w:r w:rsidR="00563C56" w:rsidRPr="0093208C">
        <w:rPr>
          <w:sz w:val="22"/>
          <w:szCs w:val="22"/>
        </w:rPr>
        <w:t>Cuñat</w:t>
      </w:r>
      <w:proofErr w:type="spellEnd"/>
      <w:r w:rsidR="00563C56">
        <w:rPr>
          <w:sz w:val="22"/>
          <w:szCs w:val="22"/>
        </w:rPr>
        <w:t xml:space="preserve"> and</w:t>
      </w:r>
      <w:r w:rsidR="00563C56" w:rsidRPr="0093208C">
        <w:rPr>
          <w:sz w:val="22"/>
          <w:szCs w:val="22"/>
        </w:rPr>
        <w:t xml:space="preserve"> Guadalupe </w:t>
      </w:r>
      <w:r w:rsidR="00563C56">
        <w:rPr>
          <w:sz w:val="22"/>
          <w:szCs w:val="22"/>
        </w:rPr>
        <w:t>(</w:t>
      </w:r>
      <w:r w:rsidR="00563C56" w:rsidRPr="0093208C">
        <w:rPr>
          <w:sz w:val="22"/>
          <w:szCs w:val="22"/>
        </w:rPr>
        <w:t>2009</w:t>
      </w:r>
      <w:r w:rsidR="00563C56">
        <w:rPr>
          <w:sz w:val="22"/>
          <w:szCs w:val="22"/>
        </w:rPr>
        <w:t>)</w:t>
      </w:r>
      <w:r w:rsidR="00563C56" w:rsidRPr="0093208C">
        <w:rPr>
          <w:sz w:val="22"/>
          <w:szCs w:val="22"/>
        </w:rPr>
        <w:t xml:space="preserve"> </w:t>
      </w:r>
      <w:r w:rsidR="00A2728A">
        <w:rPr>
          <w:sz w:val="22"/>
          <w:szCs w:val="22"/>
        </w:rPr>
        <w:t>found the same results.</w:t>
      </w:r>
      <w:r w:rsidR="00563C56">
        <w:rPr>
          <w:sz w:val="22"/>
          <w:szCs w:val="22"/>
        </w:rPr>
        <w:t xml:space="preserve"> They point</w:t>
      </w:r>
      <w:r w:rsidR="00A2728A">
        <w:rPr>
          <w:sz w:val="22"/>
          <w:szCs w:val="22"/>
        </w:rPr>
        <w:t>ed</w:t>
      </w:r>
      <w:r w:rsidR="00563C56">
        <w:rPr>
          <w:sz w:val="22"/>
          <w:szCs w:val="22"/>
        </w:rPr>
        <w:t xml:space="preserve"> out that total pay remained cons</w:t>
      </w:r>
      <w:r w:rsidR="00B16A57">
        <w:rPr>
          <w:sz w:val="22"/>
          <w:szCs w:val="22"/>
        </w:rPr>
        <w:t>tant or have slightly increased, b</w:t>
      </w:r>
      <w:r w:rsidR="00563C56">
        <w:rPr>
          <w:sz w:val="22"/>
          <w:szCs w:val="22"/>
        </w:rPr>
        <w:t xml:space="preserve">ut there is a strong difference between fixed pay and variable pay. They find substantial evidence of reduced fixed pay and increased pay performance sensitivity, indicating that deregulation and more competition leads to greater use of incentives for </w:t>
      </w:r>
      <w:r w:rsidR="00171DE5">
        <w:rPr>
          <w:sz w:val="22"/>
          <w:szCs w:val="22"/>
        </w:rPr>
        <w:t xml:space="preserve">bank </w:t>
      </w:r>
      <w:r w:rsidR="00563C56">
        <w:rPr>
          <w:sz w:val="22"/>
          <w:szCs w:val="22"/>
        </w:rPr>
        <w:t>managers to increase firm performance.</w:t>
      </w:r>
    </w:p>
    <w:p w:rsidR="00563C56" w:rsidRDefault="00563C56" w:rsidP="00563C56">
      <w:pPr>
        <w:spacing w:line="360" w:lineRule="auto"/>
        <w:jc w:val="both"/>
        <w:rPr>
          <w:sz w:val="22"/>
          <w:szCs w:val="22"/>
        </w:rPr>
      </w:pPr>
    </w:p>
    <w:p w:rsidR="00563C56" w:rsidRPr="000B63D6" w:rsidRDefault="00A2728A" w:rsidP="00563C56">
      <w:pPr>
        <w:pStyle w:val="Kop2"/>
      </w:pPr>
      <w:bookmarkStart w:id="33" w:name="_Toc287614163"/>
      <w:r>
        <w:t>2.6</w:t>
      </w:r>
      <w:r w:rsidR="00563C56" w:rsidRPr="000B63D6">
        <w:t xml:space="preserve"> Summery and conclusion</w:t>
      </w:r>
      <w:bookmarkEnd w:id="33"/>
    </w:p>
    <w:p w:rsidR="009A3A7D" w:rsidRDefault="00A2728A" w:rsidP="00563C56">
      <w:pPr>
        <w:spacing w:line="360" w:lineRule="auto"/>
        <w:jc w:val="both"/>
        <w:rPr>
          <w:sz w:val="22"/>
          <w:szCs w:val="22"/>
        </w:rPr>
      </w:pPr>
      <w:r w:rsidRPr="003371AC">
        <w:rPr>
          <w:sz w:val="22"/>
          <w:szCs w:val="22"/>
        </w:rPr>
        <w:t xml:space="preserve">Agency problems exist </w:t>
      </w:r>
      <w:r w:rsidR="00C02E0E">
        <w:rPr>
          <w:sz w:val="22"/>
          <w:szCs w:val="22"/>
        </w:rPr>
        <w:t>when</w:t>
      </w:r>
      <w:r w:rsidRPr="003371AC">
        <w:rPr>
          <w:sz w:val="22"/>
          <w:szCs w:val="22"/>
        </w:rPr>
        <w:t xml:space="preserve"> there is a separation of ownership and control</w:t>
      </w:r>
      <w:r w:rsidR="00C02E0E">
        <w:rPr>
          <w:sz w:val="22"/>
          <w:szCs w:val="22"/>
        </w:rPr>
        <w:t xml:space="preserve"> in firms</w:t>
      </w:r>
      <w:r w:rsidRPr="003371AC">
        <w:rPr>
          <w:sz w:val="22"/>
          <w:szCs w:val="22"/>
        </w:rPr>
        <w:t xml:space="preserve">. </w:t>
      </w:r>
      <w:r>
        <w:rPr>
          <w:sz w:val="22"/>
          <w:szCs w:val="22"/>
        </w:rPr>
        <w:t xml:space="preserve">Equity incentives, </w:t>
      </w:r>
      <w:r w:rsidR="004949EB">
        <w:rPr>
          <w:sz w:val="22"/>
          <w:szCs w:val="22"/>
        </w:rPr>
        <w:t xml:space="preserve">classified as options and </w:t>
      </w:r>
      <w:r w:rsidR="004949EB" w:rsidRPr="009C691E">
        <w:rPr>
          <w:sz w:val="22"/>
          <w:szCs w:val="22"/>
        </w:rPr>
        <w:t>stock</w:t>
      </w:r>
      <w:r w:rsidR="004949EB">
        <w:rPr>
          <w:sz w:val="22"/>
          <w:szCs w:val="22"/>
        </w:rPr>
        <w:t>s</w:t>
      </w:r>
      <w:r>
        <w:rPr>
          <w:sz w:val="22"/>
          <w:szCs w:val="22"/>
        </w:rPr>
        <w:t>, are given to mitigate the agency problem</w:t>
      </w:r>
      <w:r w:rsidR="00423E1B">
        <w:rPr>
          <w:sz w:val="22"/>
          <w:szCs w:val="22"/>
        </w:rPr>
        <w:t>s</w:t>
      </w:r>
      <w:r>
        <w:rPr>
          <w:sz w:val="22"/>
          <w:szCs w:val="22"/>
        </w:rPr>
        <w:t>.</w:t>
      </w:r>
      <w:r w:rsidR="004949EB">
        <w:rPr>
          <w:sz w:val="22"/>
          <w:szCs w:val="22"/>
        </w:rPr>
        <w:t xml:space="preserve"> </w:t>
      </w:r>
      <w:r w:rsidR="008D6AD6">
        <w:rPr>
          <w:sz w:val="22"/>
          <w:szCs w:val="22"/>
        </w:rPr>
        <w:t>Options encourage managers to be less risk-averse and adopt strategies to increase firm value</w:t>
      </w:r>
      <w:r w:rsidR="006E3815">
        <w:rPr>
          <w:sz w:val="22"/>
          <w:szCs w:val="22"/>
        </w:rPr>
        <w:t>;</w:t>
      </w:r>
      <w:r w:rsidR="00503282">
        <w:rPr>
          <w:sz w:val="22"/>
          <w:szCs w:val="22"/>
        </w:rPr>
        <w:t xml:space="preserve"> and</w:t>
      </w:r>
      <w:r w:rsidR="008D6AD6">
        <w:rPr>
          <w:sz w:val="22"/>
          <w:szCs w:val="22"/>
        </w:rPr>
        <w:t xml:space="preserve"> shares</w:t>
      </w:r>
      <w:r w:rsidR="00503282">
        <w:rPr>
          <w:sz w:val="22"/>
          <w:szCs w:val="22"/>
        </w:rPr>
        <w:t xml:space="preserve"> </w:t>
      </w:r>
      <w:r w:rsidR="008D6AD6">
        <w:rPr>
          <w:sz w:val="22"/>
          <w:szCs w:val="22"/>
        </w:rPr>
        <w:t>en</w:t>
      </w:r>
      <w:r w:rsidR="006E3815">
        <w:rPr>
          <w:sz w:val="22"/>
          <w:szCs w:val="22"/>
        </w:rPr>
        <w:t>able them to become owners and thereby reduce</w:t>
      </w:r>
      <w:r w:rsidR="008D6AD6" w:rsidRPr="009C691E">
        <w:rPr>
          <w:sz w:val="22"/>
          <w:szCs w:val="22"/>
        </w:rPr>
        <w:t xml:space="preserve"> agency costs.</w:t>
      </w:r>
      <w:r w:rsidR="00423E1B">
        <w:rPr>
          <w:sz w:val="22"/>
          <w:szCs w:val="22"/>
        </w:rPr>
        <w:t xml:space="preserve"> Also, i</w:t>
      </w:r>
      <w:r>
        <w:rPr>
          <w:sz w:val="22"/>
          <w:szCs w:val="22"/>
        </w:rPr>
        <w:t>t gives the incentive to management to maximize the value of their shares, for better</w:t>
      </w:r>
      <w:r w:rsidRPr="003371AC">
        <w:rPr>
          <w:sz w:val="22"/>
          <w:szCs w:val="22"/>
        </w:rPr>
        <w:t xml:space="preserve"> </w:t>
      </w:r>
      <w:r>
        <w:rPr>
          <w:sz w:val="22"/>
          <w:szCs w:val="22"/>
        </w:rPr>
        <w:t>alignment with shareholders’ interest.</w:t>
      </w:r>
      <w:r w:rsidR="00563C56" w:rsidRPr="003371AC">
        <w:rPr>
          <w:sz w:val="22"/>
          <w:szCs w:val="22"/>
        </w:rPr>
        <w:t xml:space="preserve"> The board of directors is responsible for the oversight, monitoring and setting the compensation contract of the executive director. The design of the compensation contract i</w:t>
      </w:r>
      <w:r w:rsidR="00423E1B">
        <w:rPr>
          <w:sz w:val="22"/>
          <w:szCs w:val="22"/>
        </w:rPr>
        <w:t xml:space="preserve">s used for bonding the director, giving </w:t>
      </w:r>
      <w:r w:rsidR="00563C56" w:rsidRPr="003371AC">
        <w:rPr>
          <w:sz w:val="22"/>
          <w:szCs w:val="22"/>
        </w:rPr>
        <w:t xml:space="preserve">him incentives to perform within the interests of shareholders. However, </w:t>
      </w:r>
      <w:r>
        <w:rPr>
          <w:sz w:val="22"/>
          <w:szCs w:val="22"/>
        </w:rPr>
        <w:t>h</w:t>
      </w:r>
      <w:r w:rsidR="00563C56">
        <w:rPr>
          <w:sz w:val="22"/>
          <w:szCs w:val="22"/>
        </w:rPr>
        <w:t xml:space="preserve">igher equity incentives may lead </w:t>
      </w:r>
      <w:r w:rsidR="00563C56" w:rsidRPr="003371AC">
        <w:rPr>
          <w:sz w:val="22"/>
          <w:szCs w:val="22"/>
        </w:rPr>
        <w:t>to</w:t>
      </w:r>
      <w:r w:rsidR="00563C56">
        <w:rPr>
          <w:sz w:val="22"/>
          <w:szCs w:val="22"/>
        </w:rPr>
        <w:t xml:space="preserve"> use of </w:t>
      </w:r>
      <w:r w:rsidR="00563C56" w:rsidRPr="003371AC">
        <w:rPr>
          <w:sz w:val="22"/>
          <w:szCs w:val="22"/>
        </w:rPr>
        <w:t xml:space="preserve">earnings management </w:t>
      </w:r>
      <w:r w:rsidR="00563C56">
        <w:rPr>
          <w:sz w:val="22"/>
          <w:szCs w:val="22"/>
        </w:rPr>
        <w:t xml:space="preserve">to manipulate short-term stock prices. </w:t>
      </w:r>
      <w:r w:rsidR="00112CC2">
        <w:rPr>
          <w:sz w:val="22"/>
          <w:szCs w:val="22"/>
        </w:rPr>
        <w:t>In t</w:t>
      </w:r>
      <w:r w:rsidR="00C02E0E">
        <w:rPr>
          <w:sz w:val="22"/>
          <w:szCs w:val="22"/>
        </w:rPr>
        <w:t xml:space="preserve">he banking industry </w:t>
      </w:r>
      <w:r w:rsidR="00112CC2">
        <w:rPr>
          <w:sz w:val="22"/>
          <w:szCs w:val="22"/>
        </w:rPr>
        <w:t>they relied less on</w:t>
      </w:r>
      <w:r w:rsidR="00A17E0E">
        <w:rPr>
          <w:sz w:val="22"/>
          <w:szCs w:val="22"/>
        </w:rPr>
        <w:t xml:space="preserve"> equity</w:t>
      </w:r>
      <w:r w:rsidR="00C02E0E">
        <w:rPr>
          <w:sz w:val="22"/>
          <w:szCs w:val="22"/>
        </w:rPr>
        <w:t>-</w:t>
      </w:r>
      <w:r w:rsidR="00A17E0E">
        <w:rPr>
          <w:sz w:val="22"/>
          <w:szCs w:val="22"/>
        </w:rPr>
        <w:t xml:space="preserve">based </w:t>
      </w:r>
      <w:r w:rsidR="00C02E0E">
        <w:rPr>
          <w:sz w:val="22"/>
          <w:szCs w:val="22"/>
        </w:rPr>
        <w:t>compensation</w:t>
      </w:r>
      <w:r w:rsidR="00A17E0E">
        <w:rPr>
          <w:sz w:val="22"/>
          <w:szCs w:val="22"/>
        </w:rPr>
        <w:t xml:space="preserve"> because there was no need </w:t>
      </w:r>
      <w:r w:rsidR="00112CC2">
        <w:rPr>
          <w:sz w:val="22"/>
          <w:szCs w:val="22"/>
        </w:rPr>
        <w:t>to encourage</w:t>
      </w:r>
      <w:r w:rsidR="00A17E0E">
        <w:rPr>
          <w:sz w:val="22"/>
          <w:szCs w:val="22"/>
        </w:rPr>
        <w:t xml:space="preserve"> excessive </w:t>
      </w:r>
      <w:r w:rsidR="00C02E0E">
        <w:rPr>
          <w:sz w:val="22"/>
          <w:szCs w:val="22"/>
        </w:rPr>
        <w:t>risks</w:t>
      </w:r>
      <w:r w:rsidR="00112CC2">
        <w:rPr>
          <w:sz w:val="22"/>
          <w:szCs w:val="22"/>
        </w:rPr>
        <w:t xml:space="preserve"> taking strategies</w:t>
      </w:r>
      <w:r w:rsidR="00A17E0E">
        <w:rPr>
          <w:sz w:val="22"/>
          <w:szCs w:val="22"/>
        </w:rPr>
        <w:t xml:space="preserve">. </w:t>
      </w:r>
      <w:r w:rsidR="00F14450">
        <w:rPr>
          <w:sz w:val="22"/>
          <w:szCs w:val="22"/>
        </w:rPr>
        <w:t>After the introduction of</w:t>
      </w:r>
      <w:r w:rsidR="00A17E0E">
        <w:rPr>
          <w:sz w:val="22"/>
          <w:szCs w:val="22"/>
        </w:rPr>
        <w:t xml:space="preserve"> deregulat</w:t>
      </w:r>
      <w:r w:rsidR="00C02E0E">
        <w:rPr>
          <w:sz w:val="22"/>
          <w:szCs w:val="22"/>
        </w:rPr>
        <w:t xml:space="preserve">ion and competition </w:t>
      </w:r>
      <w:r w:rsidR="00F14450">
        <w:rPr>
          <w:sz w:val="22"/>
          <w:szCs w:val="22"/>
        </w:rPr>
        <w:t xml:space="preserve">in banks, the use of option and stock compensation has increased </w:t>
      </w:r>
      <w:r w:rsidR="00A17E0E">
        <w:rPr>
          <w:sz w:val="22"/>
          <w:szCs w:val="22"/>
        </w:rPr>
        <w:t>to similar levels of compensation package d</w:t>
      </w:r>
      <w:r w:rsidR="00DE6A0A">
        <w:rPr>
          <w:sz w:val="22"/>
          <w:szCs w:val="22"/>
        </w:rPr>
        <w:t xml:space="preserve">esigns in nonbanks. In the following </w:t>
      </w:r>
      <w:r w:rsidR="00A17E0E">
        <w:rPr>
          <w:sz w:val="22"/>
          <w:szCs w:val="22"/>
        </w:rPr>
        <w:t xml:space="preserve">chapter earnings management </w:t>
      </w:r>
      <w:r w:rsidR="00112CC2">
        <w:rPr>
          <w:sz w:val="22"/>
          <w:szCs w:val="22"/>
        </w:rPr>
        <w:t>will be discussed</w:t>
      </w:r>
      <w:r w:rsidR="00A17E0E">
        <w:rPr>
          <w:sz w:val="22"/>
          <w:szCs w:val="22"/>
        </w:rPr>
        <w:t xml:space="preserve">. </w:t>
      </w:r>
    </w:p>
    <w:p w:rsidR="00AA3F06" w:rsidRDefault="0008015F" w:rsidP="00EE304F">
      <w:pPr>
        <w:pStyle w:val="Kop1"/>
        <w:jc w:val="center"/>
        <w:rPr>
          <w:rFonts w:cs="Times New Roman"/>
          <w:szCs w:val="24"/>
        </w:rPr>
      </w:pPr>
      <w:bookmarkStart w:id="34" w:name="_Toc287614164"/>
      <w:r>
        <w:rPr>
          <w:rFonts w:cs="Times New Roman"/>
          <w:szCs w:val="24"/>
        </w:rPr>
        <w:lastRenderedPageBreak/>
        <w:t>3</w:t>
      </w:r>
      <w:r w:rsidR="006D3350" w:rsidRPr="006D3350">
        <w:rPr>
          <w:rFonts w:cs="Times New Roman"/>
          <w:szCs w:val="24"/>
        </w:rPr>
        <w:t xml:space="preserve">. </w:t>
      </w:r>
      <w:r w:rsidR="00030AA9">
        <w:rPr>
          <w:rFonts w:cs="Times New Roman"/>
          <w:szCs w:val="24"/>
        </w:rPr>
        <w:t>EARNINGS MANAGEMENT</w:t>
      </w:r>
      <w:bookmarkEnd w:id="34"/>
    </w:p>
    <w:p w:rsidR="006D3350" w:rsidRPr="00DF7D4C" w:rsidRDefault="006D3350" w:rsidP="007B3E97">
      <w:pPr>
        <w:jc w:val="both"/>
        <w:rPr>
          <w:sz w:val="22"/>
          <w:szCs w:val="22"/>
        </w:rPr>
      </w:pPr>
    </w:p>
    <w:p w:rsidR="001A083E" w:rsidRDefault="00283FB0" w:rsidP="007B3E97">
      <w:pPr>
        <w:spacing w:line="360" w:lineRule="auto"/>
        <w:jc w:val="both"/>
        <w:rPr>
          <w:sz w:val="22"/>
          <w:szCs w:val="22"/>
        </w:rPr>
      </w:pPr>
      <w:r w:rsidRPr="00DF7D4C">
        <w:rPr>
          <w:sz w:val="22"/>
          <w:szCs w:val="22"/>
        </w:rPr>
        <w:t xml:space="preserve">This chapter starts with </w:t>
      </w:r>
      <w:r w:rsidR="00D82335">
        <w:rPr>
          <w:sz w:val="22"/>
          <w:szCs w:val="22"/>
        </w:rPr>
        <w:t>defining earnings management</w:t>
      </w:r>
      <w:r w:rsidR="00074BDE">
        <w:rPr>
          <w:sz w:val="22"/>
          <w:szCs w:val="22"/>
        </w:rPr>
        <w:t xml:space="preserve">. </w:t>
      </w:r>
      <w:r w:rsidR="00D82335">
        <w:rPr>
          <w:sz w:val="22"/>
          <w:szCs w:val="22"/>
        </w:rPr>
        <w:t>P</w:t>
      </w:r>
      <w:r w:rsidRPr="00DF7D4C">
        <w:rPr>
          <w:sz w:val="22"/>
          <w:szCs w:val="22"/>
        </w:rPr>
        <w:t>a</w:t>
      </w:r>
      <w:r w:rsidR="005C3B62" w:rsidRPr="00DF7D4C">
        <w:rPr>
          <w:sz w:val="22"/>
          <w:szCs w:val="22"/>
        </w:rPr>
        <w:t>ragraph</w:t>
      </w:r>
      <w:r w:rsidR="003B4CDD">
        <w:rPr>
          <w:sz w:val="22"/>
          <w:szCs w:val="22"/>
        </w:rPr>
        <w:t xml:space="preserve"> 3</w:t>
      </w:r>
      <w:r w:rsidR="00D82335">
        <w:rPr>
          <w:sz w:val="22"/>
          <w:szCs w:val="22"/>
        </w:rPr>
        <w:t xml:space="preserve">.2 </w:t>
      </w:r>
      <w:r w:rsidR="0065423D">
        <w:rPr>
          <w:sz w:val="22"/>
          <w:szCs w:val="22"/>
        </w:rPr>
        <w:t>describes</w:t>
      </w:r>
      <w:r w:rsidR="00D82335">
        <w:rPr>
          <w:sz w:val="22"/>
          <w:szCs w:val="22"/>
        </w:rPr>
        <w:t xml:space="preserve"> the accrual-based method of earnings management</w:t>
      </w:r>
      <w:r w:rsidR="00ED2912">
        <w:rPr>
          <w:sz w:val="22"/>
          <w:szCs w:val="22"/>
        </w:rPr>
        <w:t xml:space="preserve">. </w:t>
      </w:r>
      <w:r w:rsidR="003B4CDD">
        <w:rPr>
          <w:sz w:val="22"/>
          <w:szCs w:val="22"/>
        </w:rPr>
        <w:t>Paragraph 3</w:t>
      </w:r>
      <w:r w:rsidR="00D82335">
        <w:rPr>
          <w:sz w:val="22"/>
          <w:szCs w:val="22"/>
        </w:rPr>
        <w:t xml:space="preserve">.3 explains why earnings are being the main target of manipulation. </w:t>
      </w:r>
      <w:r w:rsidR="00CC3514">
        <w:rPr>
          <w:sz w:val="22"/>
          <w:szCs w:val="22"/>
        </w:rPr>
        <w:t>The motives for firms and managers to apply earnings managem</w:t>
      </w:r>
      <w:r w:rsidR="003B4CDD">
        <w:rPr>
          <w:sz w:val="22"/>
          <w:szCs w:val="22"/>
        </w:rPr>
        <w:t>ent is documented in paragraph 3</w:t>
      </w:r>
      <w:r w:rsidR="00CC3514">
        <w:rPr>
          <w:sz w:val="22"/>
          <w:szCs w:val="22"/>
        </w:rPr>
        <w:t>.</w:t>
      </w:r>
      <w:r w:rsidR="007C3050">
        <w:rPr>
          <w:sz w:val="22"/>
          <w:szCs w:val="22"/>
        </w:rPr>
        <w:t>4</w:t>
      </w:r>
      <w:r w:rsidR="00CC3514">
        <w:rPr>
          <w:sz w:val="22"/>
          <w:szCs w:val="22"/>
        </w:rPr>
        <w:t xml:space="preserve">. </w:t>
      </w:r>
      <w:r w:rsidR="00A207CB">
        <w:rPr>
          <w:sz w:val="22"/>
          <w:szCs w:val="22"/>
        </w:rPr>
        <w:t xml:space="preserve">The </w:t>
      </w:r>
      <w:r w:rsidR="00B96E93">
        <w:rPr>
          <w:sz w:val="22"/>
          <w:szCs w:val="22"/>
        </w:rPr>
        <w:t>frequently used</w:t>
      </w:r>
      <w:r w:rsidR="00A207CB">
        <w:rPr>
          <w:sz w:val="22"/>
          <w:szCs w:val="22"/>
        </w:rPr>
        <w:t xml:space="preserve"> models to detect earnings management are addressed</w:t>
      </w:r>
      <w:r w:rsidR="00ED2912">
        <w:rPr>
          <w:sz w:val="22"/>
          <w:szCs w:val="22"/>
        </w:rPr>
        <w:t xml:space="preserve"> in paragraph </w:t>
      </w:r>
      <w:r w:rsidR="00474DED">
        <w:rPr>
          <w:sz w:val="22"/>
          <w:szCs w:val="22"/>
        </w:rPr>
        <w:t>3</w:t>
      </w:r>
      <w:r w:rsidR="007C3050">
        <w:rPr>
          <w:sz w:val="22"/>
          <w:szCs w:val="22"/>
        </w:rPr>
        <w:t>.5</w:t>
      </w:r>
      <w:r w:rsidR="00A207CB">
        <w:rPr>
          <w:sz w:val="22"/>
          <w:szCs w:val="22"/>
        </w:rPr>
        <w:t xml:space="preserve">. </w:t>
      </w:r>
      <w:r w:rsidR="002F4DD9">
        <w:rPr>
          <w:sz w:val="22"/>
          <w:szCs w:val="22"/>
        </w:rPr>
        <w:t>Specific m</w:t>
      </w:r>
      <w:r w:rsidR="00A51355">
        <w:rPr>
          <w:sz w:val="22"/>
          <w:szCs w:val="22"/>
        </w:rPr>
        <w:t>otivations and model</w:t>
      </w:r>
      <w:r w:rsidR="00A207CB">
        <w:rPr>
          <w:sz w:val="22"/>
          <w:szCs w:val="22"/>
        </w:rPr>
        <w:t xml:space="preserve"> to detect </w:t>
      </w:r>
      <w:r w:rsidR="00074BDE">
        <w:rPr>
          <w:sz w:val="22"/>
          <w:szCs w:val="22"/>
        </w:rPr>
        <w:t>earnings management in the banking industry</w:t>
      </w:r>
      <w:r w:rsidR="00005873">
        <w:rPr>
          <w:sz w:val="22"/>
          <w:szCs w:val="22"/>
        </w:rPr>
        <w:t xml:space="preserve"> </w:t>
      </w:r>
      <w:r w:rsidR="002F4DD9">
        <w:rPr>
          <w:sz w:val="22"/>
          <w:szCs w:val="22"/>
        </w:rPr>
        <w:t>are</w:t>
      </w:r>
      <w:r w:rsidR="00B96E93">
        <w:rPr>
          <w:sz w:val="22"/>
          <w:szCs w:val="22"/>
        </w:rPr>
        <w:t xml:space="preserve"> explained</w:t>
      </w:r>
      <w:r w:rsidR="00474DED">
        <w:rPr>
          <w:sz w:val="22"/>
          <w:szCs w:val="22"/>
        </w:rPr>
        <w:t xml:space="preserve"> in the subsequent paragraphs</w:t>
      </w:r>
      <w:r w:rsidR="00B96E93">
        <w:rPr>
          <w:sz w:val="22"/>
          <w:szCs w:val="22"/>
        </w:rPr>
        <w:t>.</w:t>
      </w:r>
      <w:r w:rsidR="005C3B62" w:rsidRPr="00DF7D4C">
        <w:rPr>
          <w:sz w:val="22"/>
          <w:szCs w:val="22"/>
        </w:rPr>
        <w:t xml:space="preserve"> The chapter </w:t>
      </w:r>
      <w:r w:rsidR="008C2C23" w:rsidRPr="00DF7D4C">
        <w:rPr>
          <w:sz w:val="22"/>
          <w:szCs w:val="22"/>
        </w:rPr>
        <w:t>ends with a summery and conclusion.</w:t>
      </w:r>
    </w:p>
    <w:p w:rsidR="00553054" w:rsidRDefault="00553054" w:rsidP="007B3E97">
      <w:pPr>
        <w:spacing w:line="360" w:lineRule="auto"/>
        <w:jc w:val="both"/>
        <w:rPr>
          <w:sz w:val="22"/>
          <w:szCs w:val="22"/>
        </w:rPr>
      </w:pPr>
    </w:p>
    <w:p w:rsidR="00553054" w:rsidRDefault="005C3B62" w:rsidP="00553054">
      <w:pPr>
        <w:pStyle w:val="Kop2"/>
      </w:pPr>
      <w:r w:rsidRPr="00DF7D4C">
        <w:rPr>
          <w:sz w:val="22"/>
          <w:szCs w:val="22"/>
        </w:rPr>
        <w:t xml:space="preserve"> </w:t>
      </w:r>
      <w:bookmarkStart w:id="35" w:name="_Toc287614165"/>
      <w:r w:rsidR="00A2728A">
        <w:rPr>
          <w:sz w:val="22"/>
          <w:szCs w:val="22"/>
        </w:rPr>
        <w:t>3</w:t>
      </w:r>
      <w:r w:rsidR="00553054" w:rsidRPr="00AB099A">
        <w:t>.</w:t>
      </w:r>
      <w:r w:rsidR="00553054">
        <w:t>1 Earnings management defined</w:t>
      </w:r>
      <w:bookmarkEnd w:id="35"/>
    </w:p>
    <w:p w:rsidR="006A5218" w:rsidRDefault="006A5218" w:rsidP="00553054">
      <w:pPr>
        <w:pStyle w:val="Default"/>
        <w:spacing w:line="360" w:lineRule="auto"/>
        <w:jc w:val="both"/>
        <w:rPr>
          <w:i/>
          <w:iCs/>
          <w:sz w:val="22"/>
          <w:szCs w:val="22"/>
          <w:lang w:val="en-US"/>
        </w:rPr>
      </w:pPr>
      <w:r>
        <w:rPr>
          <w:sz w:val="22"/>
          <w:szCs w:val="22"/>
          <w:lang w:val="en-US"/>
        </w:rPr>
        <w:t>Generally, e</w:t>
      </w:r>
      <w:r w:rsidR="00F34751" w:rsidRPr="006A5218">
        <w:rPr>
          <w:sz w:val="22"/>
          <w:szCs w:val="22"/>
          <w:lang w:val="en-US"/>
        </w:rPr>
        <w:t>arnings management</w:t>
      </w:r>
      <w:r>
        <w:rPr>
          <w:sz w:val="22"/>
          <w:szCs w:val="22"/>
          <w:lang w:val="en-US"/>
        </w:rPr>
        <w:t xml:space="preserve"> is a practice using a particular accounting method to</w:t>
      </w:r>
      <w:r w:rsidR="00CA19D7">
        <w:rPr>
          <w:sz w:val="22"/>
          <w:szCs w:val="22"/>
          <w:lang w:val="en-US"/>
        </w:rPr>
        <w:t xml:space="preserve"> </w:t>
      </w:r>
      <w:r>
        <w:rPr>
          <w:sz w:val="22"/>
          <w:szCs w:val="22"/>
          <w:lang w:val="en-US"/>
        </w:rPr>
        <w:t>manipulate earning numbers</w:t>
      </w:r>
      <w:r w:rsidR="00AC36D0">
        <w:rPr>
          <w:sz w:val="22"/>
          <w:szCs w:val="22"/>
          <w:lang w:val="en-US"/>
        </w:rPr>
        <w:t xml:space="preserve"> in a certain direction</w:t>
      </w:r>
      <w:r>
        <w:rPr>
          <w:sz w:val="22"/>
          <w:szCs w:val="22"/>
          <w:lang w:val="en-US"/>
        </w:rPr>
        <w:t xml:space="preserve">. </w:t>
      </w:r>
      <w:r w:rsidR="00553054" w:rsidRPr="00B822E8">
        <w:rPr>
          <w:sz w:val="22"/>
          <w:szCs w:val="22"/>
          <w:lang w:val="en-US"/>
        </w:rPr>
        <w:t>A</w:t>
      </w:r>
      <w:r>
        <w:rPr>
          <w:sz w:val="22"/>
          <w:szCs w:val="22"/>
          <w:lang w:val="en-US"/>
        </w:rPr>
        <w:t xml:space="preserve"> frequently used</w:t>
      </w:r>
      <w:r w:rsidR="00553054" w:rsidRPr="00B822E8">
        <w:rPr>
          <w:sz w:val="22"/>
          <w:szCs w:val="22"/>
          <w:lang w:val="en-US"/>
        </w:rPr>
        <w:t xml:space="preserve"> definition in the literature </w:t>
      </w:r>
      <w:r>
        <w:rPr>
          <w:sz w:val="22"/>
          <w:szCs w:val="22"/>
          <w:lang w:val="en-US"/>
        </w:rPr>
        <w:t>for</w:t>
      </w:r>
      <w:r w:rsidR="00553054" w:rsidRPr="00B822E8">
        <w:rPr>
          <w:sz w:val="22"/>
          <w:szCs w:val="22"/>
          <w:lang w:val="en-US"/>
        </w:rPr>
        <w:t xml:space="preserve"> earnings management</w:t>
      </w:r>
      <w:r>
        <w:rPr>
          <w:sz w:val="22"/>
          <w:szCs w:val="22"/>
          <w:lang w:val="en-US"/>
        </w:rPr>
        <w:t xml:space="preserve"> is</w:t>
      </w:r>
      <w:r w:rsidR="00553054" w:rsidRPr="00B822E8">
        <w:rPr>
          <w:sz w:val="22"/>
          <w:szCs w:val="22"/>
          <w:lang w:val="en-US"/>
        </w:rPr>
        <w:t xml:space="preserve"> of Healy and </w:t>
      </w:r>
      <w:proofErr w:type="spellStart"/>
      <w:r w:rsidR="00553054" w:rsidRPr="00B822E8">
        <w:rPr>
          <w:sz w:val="22"/>
          <w:szCs w:val="22"/>
          <w:lang w:val="en-US"/>
        </w:rPr>
        <w:t>Wahlen</w:t>
      </w:r>
      <w:proofErr w:type="spellEnd"/>
      <w:r w:rsidR="00553054" w:rsidRPr="00B822E8">
        <w:rPr>
          <w:sz w:val="22"/>
          <w:szCs w:val="22"/>
          <w:lang w:val="en-US"/>
        </w:rPr>
        <w:t xml:space="preserve"> (1999</w:t>
      </w:r>
      <w:r w:rsidR="00553054">
        <w:rPr>
          <w:sz w:val="22"/>
          <w:szCs w:val="22"/>
          <w:lang w:val="en-US"/>
        </w:rPr>
        <w:t>, p. 368</w:t>
      </w:r>
      <w:r w:rsidR="00553054" w:rsidRPr="00B822E8">
        <w:rPr>
          <w:sz w:val="22"/>
          <w:szCs w:val="22"/>
          <w:lang w:val="en-US"/>
        </w:rPr>
        <w:t>)</w:t>
      </w:r>
      <w:r>
        <w:rPr>
          <w:sz w:val="22"/>
          <w:szCs w:val="22"/>
          <w:lang w:val="en-US"/>
        </w:rPr>
        <w:t>:</w:t>
      </w:r>
      <w:r w:rsidR="00553054" w:rsidRPr="00B822E8">
        <w:rPr>
          <w:sz w:val="22"/>
          <w:szCs w:val="22"/>
          <w:lang w:val="en-US"/>
        </w:rPr>
        <w:t xml:space="preserve"> “</w:t>
      </w:r>
      <w:r w:rsidR="00553054" w:rsidRPr="00B822E8">
        <w:rPr>
          <w:i/>
          <w:iCs/>
          <w:sz w:val="22"/>
          <w:szCs w:val="22"/>
          <w:lang w:val="en-US"/>
        </w:rPr>
        <w:t>Earnings management occurs when managers use judgment in financial reporting and in structuring transactions to alter financial reports to either mislead some</w:t>
      </w:r>
      <w:r w:rsidR="00553054" w:rsidRPr="007E3E79">
        <w:rPr>
          <w:i/>
          <w:iCs/>
          <w:sz w:val="22"/>
          <w:szCs w:val="22"/>
          <w:lang w:val="en-US"/>
        </w:rPr>
        <w:t xml:space="preserve"> stakeholders about underlying economic performance of the company or to influence contractual outcomes that depend on reported accounting numbers.” </w:t>
      </w:r>
    </w:p>
    <w:p w:rsidR="006A5218" w:rsidRDefault="006A5218" w:rsidP="00553054">
      <w:pPr>
        <w:pStyle w:val="Default"/>
        <w:spacing w:line="360" w:lineRule="auto"/>
        <w:jc w:val="both"/>
        <w:rPr>
          <w:i/>
          <w:iCs/>
          <w:sz w:val="22"/>
          <w:szCs w:val="22"/>
          <w:lang w:val="en-US"/>
        </w:rPr>
      </w:pPr>
    </w:p>
    <w:p w:rsidR="006A5218" w:rsidRPr="00B73692" w:rsidRDefault="006A5218" w:rsidP="00553054">
      <w:pPr>
        <w:pStyle w:val="Default"/>
        <w:spacing w:line="360" w:lineRule="auto"/>
        <w:jc w:val="both"/>
        <w:rPr>
          <w:rFonts w:ascii="TimesNewRoman" w:hAnsi="TimesNewRoman" w:cs="TimesNewRoman"/>
          <w:sz w:val="22"/>
          <w:szCs w:val="22"/>
          <w:lang w:val="en-US"/>
        </w:rPr>
      </w:pPr>
      <w:r w:rsidRPr="006A5218">
        <w:rPr>
          <w:sz w:val="22"/>
          <w:szCs w:val="22"/>
          <w:lang w:val="en-US"/>
        </w:rPr>
        <w:t xml:space="preserve">Another definition is from </w:t>
      </w:r>
      <w:proofErr w:type="spellStart"/>
      <w:r w:rsidRPr="006A5218">
        <w:rPr>
          <w:sz w:val="22"/>
          <w:szCs w:val="22"/>
          <w:lang w:val="en-US"/>
        </w:rPr>
        <w:t>Schipper</w:t>
      </w:r>
      <w:proofErr w:type="spellEnd"/>
      <w:r w:rsidRPr="006A5218">
        <w:rPr>
          <w:sz w:val="22"/>
          <w:szCs w:val="22"/>
          <w:lang w:val="en-US"/>
        </w:rPr>
        <w:t xml:space="preserve"> (1989, p. 92) she defines it as </w:t>
      </w:r>
      <w:r w:rsidRPr="006A5218">
        <w:rPr>
          <w:i/>
          <w:sz w:val="22"/>
          <w:szCs w:val="22"/>
          <w:lang w:val="en-US"/>
        </w:rPr>
        <w:t>“</w:t>
      </w:r>
      <w:r w:rsidRPr="006A5218">
        <w:rPr>
          <w:rFonts w:ascii="TimesNewRoman" w:hAnsi="TimesNewRoman" w:cs="TimesNewRoman"/>
          <w:i/>
          <w:sz w:val="22"/>
          <w:szCs w:val="22"/>
          <w:lang w:val="en-US"/>
        </w:rPr>
        <w:t>in the sense of a purposeful intervention in the external financial reporting process, with the intent of obtaining some private gain</w:t>
      </w:r>
      <w:r>
        <w:rPr>
          <w:rFonts w:ascii="TimesNewRoman" w:hAnsi="TimesNewRoman" w:cs="TimesNewRoman"/>
          <w:i/>
          <w:sz w:val="22"/>
          <w:szCs w:val="22"/>
          <w:lang w:val="en-US"/>
        </w:rPr>
        <w:t>.</w:t>
      </w:r>
      <w:r w:rsidRPr="006A5218">
        <w:rPr>
          <w:rFonts w:ascii="TimesNewRoman" w:hAnsi="TimesNewRoman" w:cs="TimesNewRoman"/>
          <w:i/>
          <w:sz w:val="22"/>
          <w:szCs w:val="22"/>
          <w:lang w:val="en-US"/>
        </w:rPr>
        <w:t>”</w:t>
      </w:r>
      <w:r>
        <w:rPr>
          <w:rFonts w:ascii="TimesNewRoman" w:hAnsi="TimesNewRoman" w:cs="TimesNewRoman"/>
          <w:i/>
          <w:sz w:val="22"/>
          <w:szCs w:val="22"/>
          <w:lang w:val="en-US"/>
        </w:rPr>
        <w:t xml:space="preserve"> </w:t>
      </w:r>
    </w:p>
    <w:p w:rsidR="00B73692" w:rsidRDefault="00B73692" w:rsidP="00553054">
      <w:pPr>
        <w:pStyle w:val="Default"/>
        <w:spacing w:line="360" w:lineRule="auto"/>
        <w:jc w:val="both"/>
        <w:rPr>
          <w:sz w:val="22"/>
          <w:szCs w:val="22"/>
          <w:lang w:val="en-US"/>
        </w:rPr>
      </w:pPr>
    </w:p>
    <w:p w:rsidR="00CA19D7" w:rsidRPr="007D4DBC" w:rsidRDefault="00B73692" w:rsidP="00CA19D7">
      <w:pPr>
        <w:spacing w:line="360" w:lineRule="auto"/>
        <w:jc w:val="both"/>
        <w:rPr>
          <w:sz w:val="22"/>
          <w:szCs w:val="22"/>
        </w:rPr>
      </w:pPr>
      <w:r w:rsidRPr="007D4DBC">
        <w:rPr>
          <w:sz w:val="22"/>
          <w:szCs w:val="22"/>
        </w:rPr>
        <w:t>The</w:t>
      </w:r>
      <w:r w:rsidR="00CA19D7" w:rsidRPr="007D4DBC">
        <w:rPr>
          <w:sz w:val="22"/>
          <w:szCs w:val="22"/>
        </w:rPr>
        <w:t>se</w:t>
      </w:r>
      <w:r w:rsidRPr="007D4DBC">
        <w:rPr>
          <w:sz w:val="22"/>
          <w:szCs w:val="22"/>
        </w:rPr>
        <w:t xml:space="preserve"> definitions</w:t>
      </w:r>
      <w:r w:rsidR="00CA19D7" w:rsidRPr="007D4DBC">
        <w:rPr>
          <w:sz w:val="22"/>
          <w:szCs w:val="22"/>
        </w:rPr>
        <w:t xml:space="preserve"> have</w:t>
      </w:r>
      <w:r w:rsidRPr="007D4DBC">
        <w:rPr>
          <w:sz w:val="22"/>
          <w:szCs w:val="22"/>
        </w:rPr>
        <w:t xml:space="preserve"> a negative </w:t>
      </w:r>
      <w:r w:rsidR="00CA19D7" w:rsidRPr="007D4DBC">
        <w:rPr>
          <w:sz w:val="22"/>
          <w:szCs w:val="22"/>
        </w:rPr>
        <w:t>view</w:t>
      </w:r>
      <w:r w:rsidRPr="007D4DBC">
        <w:rPr>
          <w:sz w:val="22"/>
          <w:szCs w:val="22"/>
        </w:rPr>
        <w:t xml:space="preserve"> on earnings management</w:t>
      </w:r>
      <w:r w:rsidR="00CA19D7" w:rsidRPr="007D4DBC">
        <w:rPr>
          <w:sz w:val="22"/>
          <w:szCs w:val="22"/>
        </w:rPr>
        <w:t xml:space="preserve"> by suggesting it</w:t>
      </w:r>
      <w:r w:rsidRPr="007D4DBC">
        <w:rPr>
          <w:sz w:val="22"/>
          <w:szCs w:val="22"/>
        </w:rPr>
        <w:t xml:space="preserve"> as misleading and to obtain private gain. </w:t>
      </w:r>
      <w:r w:rsidR="00CA19D7" w:rsidRPr="007D4DBC">
        <w:rPr>
          <w:sz w:val="22"/>
          <w:szCs w:val="22"/>
        </w:rPr>
        <w:t xml:space="preserve">Misleading earnings management distorts the truth and is a result of poor governance, but manipulates reports within the boundaries of the accounting standards. Opportunistic earnings management maximizes managers’ wealth instead of firm value. </w:t>
      </w:r>
      <w:r w:rsidR="00CF6885" w:rsidRPr="007D4DBC">
        <w:rPr>
          <w:sz w:val="22"/>
          <w:szCs w:val="22"/>
        </w:rPr>
        <w:t xml:space="preserve">When </w:t>
      </w:r>
      <w:r w:rsidR="00CA19D7" w:rsidRPr="007D4DBC">
        <w:rPr>
          <w:sz w:val="22"/>
          <w:szCs w:val="22"/>
        </w:rPr>
        <w:t>earnings management misrepresents or reduces transparency of financial reports</w:t>
      </w:r>
      <w:r w:rsidR="00CF6885" w:rsidRPr="007D4DBC">
        <w:rPr>
          <w:sz w:val="22"/>
          <w:szCs w:val="22"/>
        </w:rPr>
        <w:t xml:space="preserve"> and violat</w:t>
      </w:r>
      <w:r w:rsidR="00AC36D0" w:rsidRPr="007D4DBC">
        <w:rPr>
          <w:sz w:val="22"/>
          <w:szCs w:val="22"/>
        </w:rPr>
        <w:t>ing</w:t>
      </w:r>
      <w:r w:rsidR="00CA19D7" w:rsidRPr="007D4DBC">
        <w:rPr>
          <w:sz w:val="22"/>
          <w:szCs w:val="22"/>
        </w:rPr>
        <w:t xml:space="preserve"> the generally accepte</w:t>
      </w:r>
      <w:r w:rsidR="00CF6885" w:rsidRPr="007D4DBC">
        <w:rPr>
          <w:sz w:val="22"/>
          <w:szCs w:val="22"/>
        </w:rPr>
        <w:t>d accounting principles (GAAP)</w:t>
      </w:r>
      <w:r w:rsidR="00AC36D0" w:rsidRPr="007D4DBC">
        <w:rPr>
          <w:sz w:val="22"/>
          <w:szCs w:val="22"/>
        </w:rPr>
        <w:t>,</w:t>
      </w:r>
      <w:r w:rsidR="00CF6885" w:rsidRPr="007D4DBC">
        <w:rPr>
          <w:sz w:val="22"/>
          <w:szCs w:val="22"/>
        </w:rPr>
        <w:t xml:space="preserve"> it is called fraud.</w:t>
      </w:r>
    </w:p>
    <w:p w:rsidR="00CA19D7" w:rsidRPr="00740B92" w:rsidRDefault="00CA19D7" w:rsidP="00CA19D7">
      <w:pPr>
        <w:autoSpaceDE w:val="0"/>
        <w:autoSpaceDN w:val="0"/>
        <w:adjustRightInd w:val="0"/>
        <w:spacing w:line="360" w:lineRule="auto"/>
        <w:jc w:val="both"/>
        <w:rPr>
          <w:sz w:val="22"/>
          <w:szCs w:val="22"/>
        </w:rPr>
      </w:pPr>
    </w:p>
    <w:p w:rsidR="00553054" w:rsidRPr="00734546" w:rsidRDefault="00CA19D7" w:rsidP="00734546">
      <w:pPr>
        <w:pStyle w:val="Default"/>
        <w:spacing w:line="360" w:lineRule="auto"/>
        <w:jc w:val="both"/>
        <w:rPr>
          <w:sz w:val="22"/>
          <w:szCs w:val="22"/>
          <w:lang w:val="en-US"/>
        </w:rPr>
      </w:pPr>
      <w:r w:rsidRPr="00292036">
        <w:rPr>
          <w:iCs/>
          <w:sz w:val="22"/>
          <w:szCs w:val="22"/>
          <w:lang w:val="en-US"/>
        </w:rPr>
        <w:t xml:space="preserve">However not all earnings management is misleading and opportunistic. </w:t>
      </w:r>
      <w:r w:rsidR="00553054" w:rsidRPr="00292036">
        <w:rPr>
          <w:iCs/>
          <w:sz w:val="22"/>
          <w:szCs w:val="22"/>
          <w:lang w:val="en-US"/>
        </w:rPr>
        <w:t>Some investors prefer to separate continual earnings from short term shocks</w:t>
      </w:r>
      <w:r w:rsidR="00CF6885">
        <w:rPr>
          <w:iCs/>
          <w:sz w:val="22"/>
          <w:szCs w:val="22"/>
          <w:lang w:val="en-US"/>
        </w:rPr>
        <w:t xml:space="preserve">. </w:t>
      </w:r>
      <w:r w:rsidR="00AC16B8">
        <w:rPr>
          <w:iCs/>
          <w:sz w:val="22"/>
          <w:szCs w:val="22"/>
          <w:lang w:val="en-US"/>
        </w:rPr>
        <w:t>When c</w:t>
      </w:r>
      <w:r w:rsidR="00CF6885">
        <w:rPr>
          <w:iCs/>
          <w:sz w:val="22"/>
          <w:szCs w:val="22"/>
          <w:lang w:val="en-US"/>
        </w:rPr>
        <w:t xml:space="preserve">onserving low volatility in net income, also referred as earnings smoothing, </w:t>
      </w:r>
      <w:r w:rsidR="00AC16B8">
        <w:rPr>
          <w:iCs/>
          <w:sz w:val="22"/>
          <w:szCs w:val="22"/>
          <w:lang w:val="en-US"/>
        </w:rPr>
        <w:t>the</w:t>
      </w:r>
      <w:r w:rsidR="00AC16B8" w:rsidRPr="00292036">
        <w:rPr>
          <w:iCs/>
          <w:sz w:val="22"/>
          <w:szCs w:val="22"/>
          <w:lang w:val="en-US"/>
        </w:rPr>
        <w:t xml:space="preserve"> </w:t>
      </w:r>
      <w:r w:rsidR="00553054" w:rsidRPr="00292036">
        <w:rPr>
          <w:iCs/>
          <w:sz w:val="22"/>
          <w:szCs w:val="22"/>
          <w:lang w:val="en-US"/>
        </w:rPr>
        <w:t>financial report</w:t>
      </w:r>
      <w:r w:rsidR="00AC16B8">
        <w:rPr>
          <w:iCs/>
          <w:sz w:val="22"/>
          <w:szCs w:val="22"/>
          <w:lang w:val="en-US"/>
        </w:rPr>
        <w:t xml:space="preserve"> will show a </w:t>
      </w:r>
      <w:r w:rsidR="00553054" w:rsidRPr="00292036">
        <w:rPr>
          <w:iCs/>
          <w:sz w:val="22"/>
          <w:szCs w:val="22"/>
          <w:lang w:val="en-US"/>
        </w:rPr>
        <w:t xml:space="preserve">more accurate picture of the firm’s performance over the long-term period (Ronen and </w:t>
      </w:r>
      <w:proofErr w:type="spellStart"/>
      <w:r w:rsidR="00553054" w:rsidRPr="00292036">
        <w:rPr>
          <w:iCs/>
          <w:sz w:val="22"/>
          <w:szCs w:val="22"/>
          <w:lang w:val="en-US"/>
        </w:rPr>
        <w:t>Yaari</w:t>
      </w:r>
      <w:proofErr w:type="spellEnd"/>
      <w:r w:rsidR="00553054" w:rsidRPr="00292036">
        <w:rPr>
          <w:iCs/>
          <w:sz w:val="22"/>
          <w:szCs w:val="22"/>
          <w:lang w:val="en-US"/>
        </w:rPr>
        <w:t>, 2008).</w:t>
      </w:r>
      <w:r w:rsidR="00734546" w:rsidRPr="00292036">
        <w:rPr>
          <w:iCs/>
          <w:sz w:val="22"/>
          <w:szCs w:val="22"/>
          <w:lang w:val="en-US"/>
        </w:rPr>
        <w:t xml:space="preserve"> </w:t>
      </w:r>
      <w:r w:rsidR="00553054" w:rsidRPr="00292036">
        <w:rPr>
          <w:sz w:val="22"/>
          <w:szCs w:val="22"/>
          <w:lang w:val="en-US"/>
        </w:rPr>
        <w:t>McKee (2005, cited from Grasso et al. 2009) consider</w:t>
      </w:r>
      <w:r w:rsidR="00A97667" w:rsidRPr="00292036">
        <w:rPr>
          <w:sz w:val="22"/>
          <w:szCs w:val="22"/>
          <w:lang w:val="en-US"/>
        </w:rPr>
        <w:t>s</w:t>
      </w:r>
      <w:r w:rsidR="00553054" w:rsidRPr="00292036">
        <w:rPr>
          <w:sz w:val="22"/>
          <w:szCs w:val="22"/>
          <w:lang w:val="en-US"/>
        </w:rPr>
        <w:t xml:space="preserve"> earnings management as beneficial and defines it as </w:t>
      </w:r>
      <w:r w:rsidR="00553054" w:rsidRPr="00292036">
        <w:rPr>
          <w:i/>
          <w:sz w:val="22"/>
          <w:szCs w:val="22"/>
          <w:lang w:val="en-US"/>
        </w:rPr>
        <w:t>"reasonable and legal management decision making and reporting intended to achieve stable and predictable financial results."</w:t>
      </w:r>
      <w:r w:rsidR="00553054" w:rsidRPr="00292036">
        <w:rPr>
          <w:sz w:val="22"/>
          <w:szCs w:val="22"/>
          <w:lang w:val="en-US"/>
        </w:rPr>
        <w:t xml:space="preserve"> </w:t>
      </w:r>
      <w:r w:rsidR="003B54CB" w:rsidRPr="00292036">
        <w:rPr>
          <w:sz w:val="22"/>
          <w:szCs w:val="22"/>
          <w:lang w:val="en-US"/>
        </w:rPr>
        <w:t xml:space="preserve">Beneficial earnings management uses the flexibility in accounting methods to reflect the manager’s inside information on future cash flow. Flexibility implies the possibility to adjust accounting information within the opportunities given by the accounting standards. </w:t>
      </w:r>
      <w:r w:rsidR="003B54CB">
        <w:rPr>
          <w:sz w:val="22"/>
          <w:szCs w:val="22"/>
          <w:lang w:val="en-US"/>
        </w:rPr>
        <w:t>Also, it</w:t>
      </w:r>
      <w:r w:rsidR="00553054" w:rsidRPr="003B54CB">
        <w:rPr>
          <w:sz w:val="22"/>
          <w:szCs w:val="22"/>
          <w:lang w:val="en-US"/>
        </w:rPr>
        <w:t xml:space="preserve"> </w:t>
      </w:r>
      <w:r w:rsidR="00B73692" w:rsidRPr="003B54CB">
        <w:rPr>
          <w:sz w:val="22"/>
          <w:szCs w:val="22"/>
          <w:lang w:val="en-US"/>
        </w:rPr>
        <w:t>improves</w:t>
      </w:r>
      <w:r w:rsidR="00553054" w:rsidRPr="003B54CB">
        <w:rPr>
          <w:sz w:val="22"/>
          <w:szCs w:val="22"/>
          <w:lang w:val="en-US"/>
        </w:rPr>
        <w:t xml:space="preserve"> </w:t>
      </w:r>
      <w:r w:rsidR="00553054" w:rsidRPr="003B54CB">
        <w:rPr>
          <w:sz w:val="22"/>
          <w:szCs w:val="22"/>
          <w:lang w:val="en-US"/>
        </w:rPr>
        <w:lastRenderedPageBreak/>
        <w:t>the transparency on financial reports, because the manager uses his knowledge to present a more accurate</w:t>
      </w:r>
      <w:r w:rsidR="003B54CB">
        <w:rPr>
          <w:sz w:val="22"/>
          <w:szCs w:val="22"/>
          <w:lang w:val="en-US"/>
        </w:rPr>
        <w:t xml:space="preserve"> financial position of the firm and reduces the</w:t>
      </w:r>
      <w:r w:rsidR="00553054" w:rsidRPr="003B54CB">
        <w:rPr>
          <w:sz w:val="22"/>
          <w:szCs w:val="22"/>
          <w:lang w:val="en-US"/>
        </w:rPr>
        <w:t xml:space="preserve"> information asymmetry between management and shareholders.</w:t>
      </w:r>
      <w:r w:rsidR="00B73692" w:rsidRPr="003B54CB">
        <w:rPr>
          <w:sz w:val="22"/>
          <w:szCs w:val="22"/>
          <w:lang w:val="en-US"/>
        </w:rPr>
        <w:t xml:space="preserve"> </w:t>
      </w:r>
      <w:r w:rsidR="00B73692" w:rsidRPr="00B822E8">
        <w:rPr>
          <w:sz w:val="22"/>
          <w:szCs w:val="22"/>
          <w:lang w:val="en-US"/>
        </w:rPr>
        <w:t>Efficiency enhancing earnings management maximizes the firm’s value.</w:t>
      </w:r>
    </w:p>
    <w:p w:rsidR="00553054" w:rsidRPr="00C33901" w:rsidRDefault="00553054" w:rsidP="00553054">
      <w:pPr>
        <w:autoSpaceDE w:val="0"/>
        <w:autoSpaceDN w:val="0"/>
        <w:adjustRightInd w:val="0"/>
        <w:spacing w:line="360" w:lineRule="auto"/>
        <w:jc w:val="both"/>
        <w:rPr>
          <w:i/>
          <w:sz w:val="22"/>
          <w:szCs w:val="22"/>
        </w:rPr>
      </w:pPr>
    </w:p>
    <w:p w:rsidR="00CB15CC" w:rsidRDefault="00A2728A" w:rsidP="00CB15CC">
      <w:pPr>
        <w:pStyle w:val="Kop2"/>
      </w:pPr>
      <w:bookmarkStart w:id="36" w:name="_Toc287614166"/>
      <w:r>
        <w:t>3</w:t>
      </w:r>
      <w:r w:rsidR="00CB15CC" w:rsidRPr="00E46CD2">
        <w:t>.</w:t>
      </w:r>
      <w:r w:rsidR="00D82335">
        <w:t>2</w:t>
      </w:r>
      <w:r w:rsidR="00CB15CC" w:rsidRPr="00E46CD2">
        <w:t xml:space="preserve"> Accrual accounting</w:t>
      </w:r>
      <w:bookmarkEnd w:id="36"/>
    </w:p>
    <w:p w:rsidR="00B73E3F" w:rsidRDefault="00292036" w:rsidP="007D4DBC">
      <w:pPr>
        <w:spacing w:line="360" w:lineRule="auto"/>
        <w:jc w:val="both"/>
        <w:rPr>
          <w:sz w:val="22"/>
          <w:szCs w:val="22"/>
        </w:rPr>
      </w:pPr>
      <w:r>
        <w:rPr>
          <w:sz w:val="22"/>
          <w:szCs w:val="22"/>
        </w:rPr>
        <w:t>Earnings management can be applied using</w:t>
      </w:r>
      <w:r w:rsidRPr="00D07BE6">
        <w:rPr>
          <w:sz w:val="22"/>
          <w:szCs w:val="22"/>
        </w:rPr>
        <w:t xml:space="preserve"> operation</w:t>
      </w:r>
      <w:r>
        <w:rPr>
          <w:sz w:val="22"/>
          <w:szCs w:val="22"/>
        </w:rPr>
        <w:t>al</w:t>
      </w:r>
      <w:r w:rsidRPr="00D07BE6">
        <w:rPr>
          <w:sz w:val="22"/>
          <w:szCs w:val="22"/>
        </w:rPr>
        <w:t xml:space="preserve"> or account</w:t>
      </w:r>
      <w:r>
        <w:rPr>
          <w:sz w:val="22"/>
          <w:szCs w:val="22"/>
        </w:rPr>
        <w:t>ing</w:t>
      </w:r>
      <w:r w:rsidRPr="00D07BE6">
        <w:rPr>
          <w:sz w:val="22"/>
          <w:szCs w:val="22"/>
        </w:rPr>
        <w:t xml:space="preserve"> manipulation</w:t>
      </w:r>
      <w:r>
        <w:rPr>
          <w:sz w:val="22"/>
          <w:szCs w:val="22"/>
        </w:rPr>
        <w:t>. Operational manipulation, also named real earnings management, affects the timing or selection of actual business events, such as giving discount to customers to increase sales. Grasso et al. (2009, p. 2) document</w:t>
      </w:r>
      <w:r w:rsidR="007D4DBC">
        <w:rPr>
          <w:sz w:val="22"/>
          <w:szCs w:val="22"/>
        </w:rPr>
        <w:t>ed</w:t>
      </w:r>
      <w:r>
        <w:rPr>
          <w:sz w:val="22"/>
          <w:szCs w:val="22"/>
        </w:rPr>
        <w:t xml:space="preserve"> that managers apply real earnings management when deviating from the first best practice to achieve a desired result of increased reported earnings, rather than to satisfy customers or to achieve long term performance and strategic goals. </w:t>
      </w:r>
    </w:p>
    <w:p w:rsidR="00B73E3F" w:rsidRDefault="00B73E3F" w:rsidP="007D4DBC">
      <w:pPr>
        <w:spacing w:line="360" w:lineRule="auto"/>
        <w:jc w:val="both"/>
        <w:rPr>
          <w:sz w:val="22"/>
          <w:szCs w:val="22"/>
        </w:rPr>
      </w:pPr>
    </w:p>
    <w:p w:rsidR="007D4DBC" w:rsidRDefault="00292036" w:rsidP="007D4DBC">
      <w:pPr>
        <w:spacing w:line="360" w:lineRule="auto"/>
        <w:jc w:val="both"/>
        <w:rPr>
          <w:sz w:val="22"/>
          <w:szCs w:val="22"/>
        </w:rPr>
      </w:pPr>
      <w:r>
        <w:rPr>
          <w:sz w:val="22"/>
          <w:szCs w:val="22"/>
        </w:rPr>
        <w:t>Accounting manipulation uses accruals to manage earnings by choosing certain accounting methods</w:t>
      </w:r>
      <w:r w:rsidR="007D4DBC">
        <w:rPr>
          <w:sz w:val="22"/>
          <w:szCs w:val="22"/>
        </w:rPr>
        <w:t>.</w:t>
      </w:r>
      <w:r w:rsidR="00B73E3F">
        <w:rPr>
          <w:sz w:val="22"/>
          <w:szCs w:val="22"/>
        </w:rPr>
        <w:t xml:space="preserve"> </w:t>
      </w:r>
      <w:r w:rsidR="00CC29E8" w:rsidRPr="003C0B5D">
        <w:rPr>
          <w:bCs/>
          <w:sz w:val="22"/>
          <w:szCs w:val="22"/>
        </w:rPr>
        <w:t>Healy (1985</w:t>
      </w:r>
      <w:r w:rsidR="00CC29E8">
        <w:rPr>
          <w:bCs/>
          <w:sz w:val="22"/>
          <w:szCs w:val="22"/>
        </w:rPr>
        <w:t>, p. 86</w:t>
      </w:r>
      <w:r w:rsidR="00CC29E8" w:rsidRPr="003C0B5D">
        <w:rPr>
          <w:bCs/>
          <w:sz w:val="22"/>
          <w:szCs w:val="22"/>
        </w:rPr>
        <w:t xml:space="preserve">) </w:t>
      </w:r>
      <w:r w:rsidR="00CC29E8">
        <w:rPr>
          <w:bCs/>
          <w:sz w:val="22"/>
          <w:szCs w:val="22"/>
        </w:rPr>
        <w:t>defines accruals as</w:t>
      </w:r>
      <w:r w:rsidR="00CC29E8" w:rsidRPr="003C0B5D">
        <w:rPr>
          <w:bCs/>
          <w:sz w:val="22"/>
          <w:szCs w:val="22"/>
        </w:rPr>
        <w:t xml:space="preserve"> </w:t>
      </w:r>
      <w:r w:rsidR="00CC29E8" w:rsidRPr="003C0B5D">
        <w:rPr>
          <w:bCs/>
          <w:i/>
          <w:sz w:val="22"/>
          <w:szCs w:val="22"/>
        </w:rPr>
        <w:t>“</w:t>
      </w:r>
      <w:r w:rsidR="00CC29E8">
        <w:rPr>
          <w:bCs/>
          <w:i/>
          <w:sz w:val="22"/>
          <w:szCs w:val="22"/>
        </w:rPr>
        <w:t>t</w:t>
      </w:r>
      <w:r w:rsidR="00CC29E8" w:rsidRPr="003C0B5D">
        <w:rPr>
          <w:bCs/>
          <w:i/>
          <w:sz w:val="22"/>
          <w:szCs w:val="22"/>
        </w:rPr>
        <w:t>he difference between reported earnings and cash flow from operations.”</w:t>
      </w:r>
      <w:r w:rsidR="00CC29E8">
        <w:rPr>
          <w:bCs/>
          <w:i/>
          <w:sz w:val="22"/>
          <w:szCs w:val="22"/>
        </w:rPr>
        <w:t xml:space="preserve"> </w:t>
      </w:r>
      <w:r w:rsidR="00CC29E8" w:rsidRPr="00ED45F5">
        <w:rPr>
          <w:bCs/>
          <w:sz w:val="22"/>
          <w:szCs w:val="22"/>
        </w:rPr>
        <w:t>O</w:t>
      </w:r>
      <w:r w:rsidR="00CC29E8" w:rsidRPr="00ED45F5">
        <w:rPr>
          <w:sz w:val="22"/>
          <w:szCs w:val="22"/>
        </w:rPr>
        <w:t>pe</w:t>
      </w:r>
      <w:r w:rsidR="00CC29E8">
        <w:rPr>
          <w:sz w:val="22"/>
          <w:szCs w:val="22"/>
        </w:rPr>
        <w:t>rating cash flows are cash received from customers and cash paid to suppliers and employees, but not cash from not financing or investing activities (Deloitte IAS Plus). Accruals include depreciations and amortizations, changes in working capital, extraordinary losses and changes in provision, which need ma</w:t>
      </w:r>
      <w:r w:rsidR="007D4DBC">
        <w:rPr>
          <w:sz w:val="22"/>
          <w:szCs w:val="22"/>
        </w:rPr>
        <w:t xml:space="preserve">nager’s judgment to value them. The primary motivation behind </w:t>
      </w:r>
      <w:r w:rsidR="0065423D">
        <w:rPr>
          <w:sz w:val="22"/>
          <w:szCs w:val="22"/>
        </w:rPr>
        <w:t>accrual-based earnings management</w:t>
      </w:r>
      <w:r w:rsidR="007D4DBC">
        <w:rPr>
          <w:sz w:val="22"/>
          <w:szCs w:val="22"/>
        </w:rPr>
        <w:t xml:space="preserve"> is to achieve a desired result on reported earnings in a period rather than to present accurately the value of assets and liabilities or the results of operations. </w:t>
      </w:r>
    </w:p>
    <w:p w:rsidR="00292036" w:rsidRDefault="00292036" w:rsidP="00CB15CC">
      <w:pPr>
        <w:spacing w:line="360" w:lineRule="auto"/>
        <w:jc w:val="both"/>
        <w:rPr>
          <w:sz w:val="22"/>
          <w:szCs w:val="22"/>
        </w:rPr>
      </w:pPr>
    </w:p>
    <w:p w:rsidR="00CB15CC" w:rsidRDefault="002768C3" w:rsidP="00CB15CC">
      <w:pPr>
        <w:spacing w:line="360" w:lineRule="auto"/>
        <w:jc w:val="both"/>
        <w:rPr>
          <w:sz w:val="22"/>
          <w:szCs w:val="22"/>
        </w:rPr>
      </w:pPr>
      <w:r>
        <w:rPr>
          <w:sz w:val="22"/>
          <w:szCs w:val="22"/>
        </w:rPr>
        <w:t>M</w:t>
      </w:r>
      <w:r w:rsidR="00CB15CC">
        <w:rPr>
          <w:sz w:val="22"/>
          <w:szCs w:val="22"/>
        </w:rPr>
        <w:t>anipulating earnings</w:t>
      </w:r>
      <w:r>
        <w:rPr>
          <w:sz w:val="22"/>
          <w:szCs w:val="22"/>
        </w:rPr>
        <w:t xml:space="preserve"> using accruals</w:t>
      </w:r>
      <w:r w:rsidR="00CB15CC">
        <w:rPr>
          <w:sz w:val="22"/>
          <w:szCs w:val="22"/>
        </w:rPr>
        <w:t xml:space="preserve"> is</w:t>
      </w:r>
      <w:r>
        <w:rPr>
          <w:sz w:val="22"/>
          <w:szCs w:val="22"/>
        </w:rPr>
        <w:t xml:space="preserve"> made</w:t>
      </w:r>
      <w:r w:rsidR="00CB15CC">
        <w:rPr>
          <w:sz w:val="22"/>
          <w:szCs w:val="22"/>
        </w:rPr>
        <w:t xml:space="preserve"> possible because accrual accounting requires judgment and assumptions. </w:t>
      </w:r>
      <w:r>
        <w:rPr>
          <w:sz w:val="22"/>
          <w:szCs w:val="22"/>
        </w:rPr>
        <w:t>Moreover, a</w:t>
      </w:r>
      <w:r w:rsidR="00E3589C">
        <w:rPr>
          <w:sz w:val="22"/>
          <w:szCs w:val="22"/>
        </w:rPr>
        <w:t>ccrual-based e</w:t>
      </w:r>
      <w:r w:rsidR="00424B18">
        <w:rPr>
          <w:sz w:val="22"/>
          <w:szCs w:val="22"/>
        </w:rPr>
        <w:t>arnings management is widely applied, mainly because f</w:t>
      </w:r>
      <w:r w:rsidR="00E206CD">
        <w:rPr>
          <w:sz w:val="22"/>
          <w:szCs w:val="22"/>
        </w:rPr>
        <w:t>irms prefer using a</w:t>
      </w:r>
      <w:r w:rsidR="00CB15CC" w:rsidRPr="00114697">
        <w:rPr>
          <w:sz w:val="22"/>
          <w:szCs w:val="22"/>
        </w:rPr>
        <w:t xml:space="preserve">ccrual accounting </w:t>
      </w:r>
      <w:r w:rsidR="00E206CD">
        <w:rPr>
          <w:sz w:val="22"/>
          <w:szCs w:val="22"/>
        </w:rPr>
        <w:t>for</w:t>
      </w:r>
      <w:r w:rsidR="00CB15CC" w:rsidRPr="00114697">
        <w:rPr>
          <w:sz w:val="22"/>
          <w:szCs w:val="22"/>
        </w:rPr>
        <w:t xml:space="preserve"> financial reports </w:t>
      </w:r>
      <w:r w:rsidR="00CB15CC">
        <w:rPr>
          <w:sz w:val="22"/>
          <w:szCs w:val="22"/>
        </w:rPr>
        <w:t>rather</w:t>
      </w:r>
      <w:r w:rsidR="00CB15CC" w:rsidRPr="00114697">
        <w:rPr>
          <w:sz w:val="22"/>
          <w:szCs w:val="22"/>
        </w:rPr>
        <w:t xml:space="preserve"> than cash accounting</w:t>
      </w:r>
      <w:r w:rsidR="00424B18">
        <w:rPr>
          <w:sz w:val="22"/>
          <w:szCs w:val="22"/>
        </w:rPr>
        <w:t>.</w:t>
      </w:r>
      <w:r w:rsidR="00E206CD">
        <w:rPr>
          <w:sz w:val="22"/>
          <w:szCs w:val="22"/>
        </w:rPr>
        <w:t xml:space="preserve"> </w:t>
      </w:r>
      <w:r w:rsidR="00CC29E8">
        <w:rPr>
          <w:sz w:val="22"/>
          <w:szCs w:val="22"/>
        </w:rPr>
        <w:t>Since</w:t>
      </w:r>
      <w:r w:rsidR="00E206CD">
        <w:rPr>
          <w:sz w:val="22"/>
          <w:szCs w:val="22"/>
        </w:rPr>
        <w:t xml:space="preserve"> c</w:t>
      </w:r>
      <w:r w:rsidR="00CB15CC" w:rsidRPr="00114697">
        <w:rPr>
          <w:sz w:val="22"/>
          <w:szCs w:val="22"/>
        </w:rPr>
        <w:t>ash accounting recognizes transactions only when there is an exchange of cash and doesn’t take future cash</w:t>
      </w:r>
      <w:r w:rsidR="00424B18">
        <w:rPr>
          <w:sz w:val="22"/>
          <w:szCs w:val="22"/>
        </w:rPr>
        <w:t xml:space="preserve"> (e.g. sales on credit) into account, i</w:t>
      </w:r>
      <w:r w:rsidR="00CB15CC" w:rsidRPr="00114697">
        <w:rPr>
          <w:sz w:val="22"/>
          <w:szCs w:val="22"/>
        </w:rPr>
        <w:t xml:space="preserve">t </w:t>
      </w:r>
      <w:r w:rsidR="00CF6885">
        <w:rPr>
          <w:sz w:val="22"/>
          <w:szCs w:val="22"/>
        </w:rPr>
        <w:t>can</w:t>
      </w:r>
      <w:r w:rsidR="00CF6885" w:rsidRPr="00114697">
        <w:rPr>
          <w:sz w:val="22"/>
          <w:szCs w:val="22"/>
        </w:rPr>
        <w:t>not</w:t>
      </w:r>
      <w:r w:rsidR="00CB15CC" w:rsidRPr="00114697">
        <w:rPr>
          <w:sz w:val="22"/>
          <w:szCs w:val="22"/>
        </w:rPr>
        <w:t xml:space="preserve"> report the full economic consequence of the transactions in a given period. Accrual accounting, on the other hand, distinguishes between the recording of costs and revenues associated with economic events and the actual cash transactions. </w:t>
      </w:r>
      <w:r w:rsidR="00E206CD">
        <w:rPr>
          <w:sz w:val="22"/>
          <w:szCs w:val="22"/>
        </w:rPr>
        <w:t xml:space="preserve">It enables firms to </w:t>
      </w:r>
      <w:r w:rsidR="00CB15CC" w:rsidRPr="00114697">
        <w:rPr>
          <w:sz w:val="22"/>
          <w:szCs w:val="22"/>
        </w:rPr>
        <w:t>accurate</w:t>
      </w:r>
      <w:r w:rsidR="00E206CD">
        <w:rPr>
          <w:sz w:val="22"/>
          <w:szCs w:val="22"/>
        </w:rPr>
        <w:t>ly present</w:t>
      </w:r>
      <w:r w:rsidR="00CB15CC" w:rsidRPr="00114697">
        <w:rPr>
          <w:sz w:val="22"/>
          <w:szCs w:val="22"/>
        </w:rPr>
        <w:t xml:space="preserve"> financial reports on a periodic basis and </w:t>
      </w:r>
      <w:r w:rsidR="00E206CD">
        <w:rPr>
          <w:sz w:val="22"/>
          <w:szCs w:val="22"/>
        </w:rPr>
        <w:t>provide a better administration for the</w:t>
      </w:r>
      <w:r w:rsidR="00CB15CC" w:rsidRPr="00114697">
        <w:rPr>
          <w:sz w:val="22"/>
          <w:szCs w:val="22"/>
        </w:rPr>
        <w:t xml:space="preserve"> </w:t>
      </w:r>
      <w:r w:rsidR="00E206CD">
        <w:rPr>
          <w:sz w:val="22"/>
          <w:szCs w:val="22"/>
        </w:rPr>
        <w:t xml:space="preserve">increasing </w:t>
      </w:r>
      <w:r w:rsidR="00CB15CC" w:rsidRPr="00114697">
        <w:rPr>
          <w:sz w:val="22"/>
          <w:szCs w:val="22"/>
        </w:rPr>
        <w:t xml:space="preserve">complexity of business transactions. </w:t>
      </w:r>
      <w:r w:rsidR="00CC29E8">
        <w:rPr>
          <w:sz w:val="22"/>
          <w:szCs w:val="22"/>
        </w:rPr>
        <w:t>Th</w:t>
      </w:r>
      <w:r w:rsidR="00CF6885">
        <w:rPr>
          <w:sz w:val="22"/>
          <w:szCs w:val="22"/>
        </w:rPr>
        <w:t>is</w:t>
      </w:r>
      <w:r w:rsidR="00CC29E8">
        <w:rPr>
          <w:sz w:val="22"/>
          <w:szCs w:val="22"/>
        </w:rPr>
        <w:t xml:space="preserve"> </w:t>
      </w:r>
      <w:r w:rsidR="00CF6885">
        <w:rPr>
          <w:sz w:val="22"/>
          <w:szCs w:val="22"/>
        </w:rPr>
        <w:t>accuracy i</w:t>
      </w:r>
      <w:r w:rsidR="00CC29E8">
        <w:rPr>
          <w:sz w:val="22"/>
          <w:szCs w:val="22"/>
        </w:rPr>
        <w:t xml:space="preserve">s due to the possibility of </w:t>
      </w:r>
      <w:r w:rsidR="00CF6885">
        <w:rPr>
          <w:sz w:val="22"/>
          <w:szCs w:val="22"/>
        </w:rPr>
        <w:t xml:space="preserve">combining </w:t>
      </w:r>
      <w:r w:rsidR="00CB15CC" w:rsidRPr="00114697">
        <w:rPr>
          <w:sz w:val="22"/>
          <w:szCs w:val="22"/>
        </w:rPr>
        <w:t>current cash flows with future expected cash flows.</w:t>
      </w:r>
      <w:r w:rsidR="00CB15CC">
        <w:rPr>
          <w:sz w:val="22"/>
          <w:szCs w:val="22"/>
        </w:rPr>
        <w:t xml:space="preserve"> However, the future cash flow</w:t>
      </w:r>
      <w:r w:rsidR="00CB15CC" w:rsidRPr="00114697">
        <w:rPr>
          <w:sz w:val="22"/>
          <w:szCs w:val="22"/>
        </w:rPr>
        <w:t xml:space="preserve"> </w:t>
      </w:r>
      <w:r w:rsidR="00CB15CC">
        <w:rPr>
          <w:sz w:val="22"/>
          <w:szCs w:val="22"/>
        </w:rPr>
        <w:t>relies</w:t>
      </w:r>
      <w:r w:rsidR="00CB15CC" w:rsidRPr="00114697">
        <w:rPr>
          <w:sz w:val="22"/>
          <w:szCs w:val="22"/>
        </w:rPr>
        <w:t xml:space="preserve"> on expectations, that’s why accrual accounting is subjective and based on assumptions (</w:t>
      </w:r>
      <w:proofErr w:type="spellStart"/>
      <w:r w:rsidR="00CB15CC" w:rsidRPr="00114697">
        <w:rPr>
          <w:sz w:val="22"/>
          <w:szCs w:val="22"/>
        </w:rPr>
        <w:t>Palepu</w:t>
      </w:r>
      <w:proofErr w:type="spellEnd"/>
      <w:r w:rsidR="00CB15CC" w:rsidRPr="00114697">
        <w:rPr>
          <w:sz w:val="22"/>
          <w:szCs w:val="22"/>
        </w:rPr>
        <w:t xml:space="preserve"> </w:t>
      </w:r>
      <w:r w:rsidR="00CB15CC">
        <w:rPr>
          <w:sz w:val="22"/>
          <w:szCs w:val="22"/>
        </w:rPr>
        <w:t>et al.</w:t>
      </w:r>
      <w:r w:rsidR="00CB15CC" w:rsidRPr="00114697">
        <w:rPr>
          <w:sz w:val="22"/>
          <w:szCs w:val="22"/>
        </w:rPr>
        <w:t xml:space="preserve"> 2007</w:t>
      </w:r>
      <w:r w:rsidR="00CB15CC">
        <w:rPr>
          <w:sz w:val="22"/>
          <w:szCs w:val="22"/>
        </w:rPr>
        <w:t>, p. 6-7</w:t>
      </w:r>
      <w:r w:rsidR="00CB15CC" w:rsidRPr="00114697">
        <w:rPr>
          <w:sz w:val="22"/>
          <w:szCs w:val="22"/>
        </w:rPr>
        <w:t>). Managers are entrusted with th</w:t>
      </w:r>
      <w:r w:rsidR="00CB15CC">
        <w:rPr>
          <w:sz w:val="22"/>
          <w:szCs w:val="22"/>
        </w:rPr>
        <w:t>is</w:t>
      </w:r>
      <w:r w:rsidR="00CB15CC" w:rsidRPr="00114697">
        <w:rPr>
          <w:sz w:val="22"/>
          <w:szCs w:val="22"/>
        </w:rPr>
        <w:t xml:space="preserve"> accounting discretion to make proper assumptions and accurately reflect the inside information in financial statements. </w:t>
      </w:r>
      <w:r w:rsidR="00CB15CC">
        <w:rPr>
          <w:sz w:val="22"/>
          <w:szCs w:val="22"/>
        </w:rPr>
        <w:t xml:space="preserve">Additionally, it gives managers the flexibility to alter accounting earnings. While the performances are measured by earnings, managers may use their </w:t>
      </w:r>
      <w:r w:rsidR="00CB15CC" w:rsidRPr="00114697">
        <w:rPr>
          <w:sz w:val="22"/>
          <w:szCs w:val="22"/>
        </w:rPr>
        <w:t xml:space="preserve">discretion </w:t>
      </w:r>
      <w:r w:rsidR="00CB15CC">
        <w:rPr>
          <w:sz w:val="22"/>
          <w:szCs w:val="22"/>
        </w:rPr>
        <w:t>making</w:t>
      </w:r>
      <w:r w:rsidR="00CB15CC" w:rsidRPr="00114697">
        <w:rPr>
          <w:sz w:val="22"/>
          <w:szCs w:val="22"/>
        </w:rPr>
        <w:t xml:space="preserve"> biased assumptions</w:t>
      </w:r>
      <w:r w:rsidR="00CB15CC">
        <w:rPr>
          <w:sz w:val="22"/>
          <w:szCs w:val="22"/>
        </w:rPr>
        <w:t xml:space="preserve"> on future cash flows. </w:t>
      </w:r>
      <w:r w:rsidR="00CF6885">
        <w:rPr>
          <w:sz w:val="22"/>
          <w:szCs w:val="22"/>
        </w:rPr>
        <w:t xml:space="preserve">It allows </w:t>
      </w:r>
      <w:r w:rsidR="00CF6885">
        <w:rPr>
          <w:sz w:val="22"/>
          <w:szCs w:val="22"/>
        </w:rPr>
        <w:lastRenderedPageBreak/>
        <w:t>them to</w:t>
      </w:r>
      <w:r w:rsidR="00CB15CC" w:rsidRPr="00114697">
        <w:rPr>
          <w:sz w:val="22"/>
          <w:szCs w:val="22"/>
        </w:rPr>
        <w:t xml:space="preserve"> </w:t>
      </w:r>
      <w:r w:rsidR="00CB15CC">
        <w:rPr>
          <w:sz w:val="22"/>
          <w:szCs w:val="22"/>
        </w:rPr>
        <w:t>increase their performances by increasing earnings</w:t>
      </w:r>
      <w:r w:rsidR="00CB15CC" w:rsidRPr="00114697">
        <w:rPr>
          <w:sz w:val="22"/>
          <w:szCs w:val="22"/>
        </w:rPr>
        <w:t xml:space="preserve">. </w:t>
      </w:r>
      <w:r w:rsidR="00CB15CC">
        <w:rPr>
          <w:sz w:val="22"/>
          <w:szCs w:val="22"/>
        </w:rPr>
        <w:t xml:space="preserve">When management opportunistically manipulates accruals, earnings will be less reliable to measure performance. </w:t>
      </w:r>
    </w:p>
    <w:p w:rsidR="006D3350" w:rsidRPr="00DF7D4C" w:rsidRDefault="006D3350" w:rsidP="007B3E97">
      <w:pPr>
        <w:spacing w:line="360" w:lineRule="auto"/>
        <w:jc w:val="both"/>
        <w:rPr>
          <w:sz w:val="22"/>
          <w:szCs w:val="22"/>
        </w:rPr>
      </w:pPr>
    </w:p>
    <w:p w:rsidR="00607D15" w:rsidRPr="00607D15" w:rsidRDefault="00A2728A" w:rsidP="00EA01D8">
      <w:pPr>
        <w:pStyle w:val="Kop2"/>
      </w:pPr>
      <w:bookmarkStart w:id="37" w:name="_Toc287614167"/>
      <w:r>
        <w:t>3</w:t>
      </w:r>
      <w:r w:rsidR="00607D15" w:rsidRPr="00607D15">
        <w:t>.</w:t>
      </w:r>
      <w:r w:rsidR="00D82335">
        <w:t>3</w:t>
      </w:r>
      <w:r w:rsidR="00607D15" w:rsidRPr="00607D15">
        <w:t xml:space="preserve"> Importance of earnings</w:t>
      </w:r>
      <w:bookmarkEnd w:id="37"/>
    </w:p>
    <w:p w:rsidR="00E46CD2" w:rsidRDefault="00022B70" w:rsidP="00E46CD2">
      <w:pPr>
        <w:spacing w:line="360" w:lineRule="auto"/>
        <w:jc w:val="both"/>
        <w:rPr>
          <w:sz w:val="22"/>
          <w:szCs w:val="22"/>
        </w:rPr>
      </w:pPr>
      <w:r>
        <w:rPr>
          <w:sz w:val="22"/>
          <w:szCs w:val="22"/>
        </w:rPr>
        <w:t xml:space="preserve">Why are earnings manipulated in the first place? </w:t>
      </w:r>
      <w:r w:rsidR="00734887">
        <w:rPr>
          <w:sz w:val="22"/>
          <w:szCs w:val="22"/>
        </w:rPr>
        <w:t>Earnings</w:t>
      </w:r>
      <w:r>
        <w:rPr>
          <w:sz w:val="22"/>
          <w:szCs w:val="22"/>
        </w:rPr>
        <w:t xml:space="preserve"> </w:t>
      </w:r>
      <w:r w:rsidR="00734887">
        <w:rPr>
          <w:sz w:val="22"/>
          <w:szCs w:val="22"/>
        </w:rPr>
        <w:t>are widely believed to be the main information item provided in financial statements (Lev, 1989</w:t>
      </w:r>
      <w:r w:rsidR="00F45718">
        <w:rPr>
          <w:sz w:val="22"/>
          <w:szCs w:val="22"/>
        </w:rPr>
        <w:t>, p. 155</w:t>
      </w:r>
      <w:r w:rsidR="00734887">
        <w:rPr>
          <w:sz w:val="22"/>
          <w:szCs w:val="22"/>
        </w:rPr>
        <w:t>). Investors need informative data</w:t>
      </w:r>
      <w:r w:rsidR="003F766A">
        <w:rPr>
          <w:sz w:val="22"/>
          <w:szCs w:val="22"/>
        </w:rPr>
        <w:t xml:space="preserve"> to predict</w:t>
      </w:r>
      <w:r w:rsidR="00734887">
        <w:rPr>
          <w:sz w:val="22"/>
          <w:szCs w:val="22"/>
        </w:rPr>
        <w:t xml:space="preserve"> the future cash flow and risks of firms, before making decisions.</w:t>
      </w:r>
      <w:r w:rsidR="003F766A">
        <w:rPr>
          <w:sz w:val="22"/>
          <w:szCs w:val="22"/>
        </w:rPr>
        <w:t xml:space="preserve"> </w:t>
      </w:r>
      <w:r w:rsidR="007A0DCB">
        <w:rPr>
          <w:sz w:val="22"/>
          <w:szCs w:val="22"/>
        </w:rPr>
        <w:t xml:space="preserve">In the accounting </w:t>
      </w:r>
      <w:r w:rsidR="000A05D3">
        <w:rPr>
          <w:sz w:val="22"/>
          <w:szCs w:val="22"/>
        </w:rPr>
        <w:t>history the usefulness of earnings has been examined</w:t>
      </w:r>
      <w:r w:rsidR="00B07590">
        <w:rPr>
          <w:sz w:val="22"/>
          <w:szCs w:val="22"/>
        </w:rPr>
        <w:t xml:space="preserve"> frequently</w:t>
      </w:r>
      <w:r w:rsidR="000A05D3">
        <w:rPr>
          <w:sz w:val="22"/>
          <w:szCs w:val="22"/>
        </w:rPr>
        <w:t xml:space="preserve">. </w:t>
      </w:r>
      <w:r>
        <w:rPr>
          <w:sz w:val="22"/>
          <w:szCs w:val="22"/>
        </w:rPr>
        <w:t xml:space="preserve"> For example, </w:t>
      </w:r>
      <w:r w:rsidR="0029462F">
        <w:rPr>
          <w:sz w:val="22"/>
          <w:szCs w:val="22"/>
        </w:rPr>
        <w:t>Ball and Brown (1968</w:t>
      </w:r>
      <w:r w:rsidR="00CE3E9D">
        <w:rPr>
          <w:sz w:val="22"/>
          <w:szCs w:val="22"/>
        </w:rPr>
        <w:t>)</w:t>
      </w:r>
      <w:r w:rsidR="00CB5A69">
        <w:rPr>
          <w:sz w:val="22"/>
          <w:szCs w:val="22"/>
        </w:rPr>
        <w:t xml:space="preserve"> </w:t>
      </w:r>
      <w:r w:rsidR="009360C2">
        <w:rPr>
          <w:sz w:val="22"/>
          <w:szCs w:val="22"/>
        </w:rPr>
        <w:t>examined</w:t>
      </w:r>
      <w:r w:rsidR="00CE3E9D">
        <w:rPr>
          <w:sz w:val="22"/>
          <w:szCs w:val="22"/>
        </w:rPr>
        <w:t xml:space="preserve"> for stock market reactions</w:t>
      </w:r>
      <w:r w:rsidR="00712A27">
        <w:rPr>
          <w:sz w:val="22"/>
          <w:szCs w:val="22"/>
        </w:rPr>
        <w:t xml:space="preserve"> on accounting earnings anno</w:t>
      </w:r>
      <w:r w:rsidR="009360C2">
        <w:rPr>
          <w:sz w:val="22"/>
          <w:szCs w:val="22"/>
        </w:rPr>
        <w:t>uncements and</w:t>
      </w:r>
      <w:r w:rsidR="00712A27">
        <w:rPr>
          <w:sz w:val="22"/>
          <w:szCs w:val="22"/>
        </w:rPr>
        <w:t xml:space="preserve"> found evidence that earnings announcements impacts </w:t>
      </w:r>
      <w:r w:rsidR="009360C2">
        <w:rPr>
          <w:sz w:val="22"/>
          <w:szCs w:val="22"/>
        </w:rPr>
        <w:t>share prices</w:t>
      </w:r>
      <w:r w:rsidR="007C7CD2">
        <w:rPr>
          <w:sz w:val="22"/>
          <w:szCs w:val="22"/>
        </w:rPr>
        <w:t>.</w:t>
      </w:r>
      <w:r w:rsidR="00D15EB6">
        <w:rPr>
          <w:sz w:val="22"/>
          <w:szCs w:val="22"/>
        </w:rPr>
        <w:t xml:space="preserve"> </w:t>
      </w:r>
      <w:r>
        <w:rPr>
          <w:sz w:val="22"/>
          <w:szCs w:val="22"/>
        </w:rPr>
        <w:t xml:space="preserve">Moreover, </w:t>
      </w:r>
      <w:r w:rsidR="008C187B">
        <w:rPr>
          <w:sz w:val="22"/>
          <w:szCs w:val="22"/>
        </w:rPr>
        <w:t xml:space="preserve">Ronen and </w:t>
      </w:r>
      <w:proofErr w:type="spellStart"/>
      <w:r w:rsidR="008C187B">
        <w:rPr>
          <w:sz w:val="22"/>
          <w:szCs w:val="22"/>
        </w:rPr>
        <w:t>Yaari</w:t>
      </w:r>
      <w:proofErr w:type="spellEnd"/>
      <w:r w:rsidR="008C187B">
        <w:rPr>
          <w:sz w:val="22"/>
          <w:szCs w:val="22"/>
        </w:rPr>
        <w:t xml:space="preserve"> (2008</w:t>
      </w:r>
      <w:r w:rsidR="00F45718">
        <w:rPr>
          <w:sz w:val="22"/>
          <w:szCs w:val="22"/>
        </w:rPr>
        <w:t>, p. 8</w:t>
      </w:r>
      <w:r w:rsidR="008C187B">
        <w:rPr>
          <w:sz w:val="22"/>
          <w:szCs w:val="22"/>
        </w:rPr>
        <w:t>) present t</w:t>
      </w:r>
      <w:r w:rsidR="00085C98">
        <w:rPr>
          <w:sz w:val="22"/>
          <w:szCs w:val="22"/>
        </w:rPr>
        <w:t xml:space="preserve">hree approaches </w:t>
      </w:r>
      <w:r w:rsidR="00221D7A">
        <w:rPr>
          <w:sz w:val="22"/>
          <w:szCs w:val="22"/>
        </w:rPr>
        <w:t>to</w:t>
      </w:r>
      <w:r w:rsidR="00CA5247">
        <w:rPr>
          <w:sz w:val="22"/>
          <w:szCs w:val="22"/>
        </w:rPr>
        <w:t xml:space="preserve"> </w:t>
      </w:r>
      <w:r w:rsidR="005772F1">
        <w:rPr>
          <w:sz w:val="22"/>
          <w:szCs w:val="22"/>
        </w:rPr>
        <w:t>highlight</w:t>
      </w:r>
      <w:r w:rsidR="00085C98">
        <w:rPr>
          <w:sz w:val="22"/>
          <w:szCs w:val="22"/>
        </w:rPr>
        <w:t xml:space="preserve"> </w:t>
      </w:r>
      <w:r w:rsidR="00E46CD2">
        <w:rPr>
          <w:sz w:val="22"/>
          <w:szCs w:val="22"/>
        </w:rPr>
        <w:t>earning</w:t>
      </w:r>
      <w:r w:rsidR="00EB561A">
        <w:rPr>
          <w:sz w:val="22"/>
          <w:szCs w:val="22"/>
        </w:rPr>
        <w:t>’s</w:t>
      </w:r>
      <w:r w:rsidR="0047428E" w:rsidRPr="0047428E">
        <w:rPr>
          <w:sz w:val="22"/>
          <w:szCs w:val="22"/>
        </w:rPr>
        <w:t xml:space="preserve"> </w:t>
      </w:r>
      <w:proofErr w:type="spellStart"/>
      <w:r w:rsidR="008C187B">
        <w:rPr>
          <w:sz w:val="22"/>
          <w:szCs w:val="22"/>
        </w:rPr>
        <w:t>informativeness</w:t>
      </w:r>
      <w:proofErr w:type="spellEnd"/>
      <w:r w:rsidR="00E46CD2">
        <w:rPr>
          <w:sz w:val="22"/>
          <w:szCs w:val="22"/>
        </w:rPr>
        <w:t>:</w:t>
      </w:r>
    </w:p>
    <w:p w:rsidR="00E46CD2" w:rsidRPr="00E46CD2" w:rsidRDefault="0047428E" w:rsidP="00DA30B9">
      <w:pPr>
        <w:pStyle w:val="Lijstalinea"/>
        <w:numPr>
          <w:ilvl w:val="0"/>
          <w:numId w:val="2"/>
        </w:numPr>
        <w:spacing w:line="360" w:lineRule="auto"/>
        <w:ind w:left="714" w:hanging="357"/>
        <w:jc w:val="both"/>
        <w:rPr>
          <w:sz w:val="22"/>
          <w:szCs w:val="22"/>
        </w:rPr>
      </w:pPr>
      <w:r w:rsidRPr="002808D9">
        <w:rPr>
          <w:i/>
          <w:sz w:val="22"/>
          <w:szCs w:val="22"/>
        </w:rPr>
        <w:t>The c</w:t>
      </w:r>
      <w:r w:rsidR="00964C55" w:rsidRPr="002808D9">
        <w:rPr>
          <w:i/>
          <w:sz w:val="22"/>
          <w:szCs w:val="22"/>
        </w:rPr>
        <w:t>ostly-contracting approach</w:t>
      </w:r>
      <w:r w:rsidR="00861FBE" w:rsidRPr="002808D9">
        <w:rPr>
          <w:i/>
          <w:sz w:val="22"/>
          <w:szCs w:val="22"/>
        </w:rPr>
        <w:t xml:space="preserve">: </w:t>
      </w:r>
      <w:r w:rsidR="0077683B" w:rsidRPr="002808D9">
        <w:rPr>
          <w:sz w:val="22"/>
          <w:szCs w:val="22"/>
        </w:rPr>
        <w:t>E</w:t>
      </w:r>
      <w:r w:rsidR="00935418" w:rsidRPr="002808D9">
        <w:rPr>
          <w:sz w:val="22"/>
          <w:szCs w:val="22"/>
        </w:rPr>
        <w:t>very transaction</w:t>
      </w:r>
      <w:r w:rsidR="00935418" w:rsidRPr="00E46CD2">
        <w:rPr>
          <w:sz w:val="22"/>
          <w:szCs w:val="22"/>
        </w:rPr>
        <w:t xml:space="preserve"> the firm makes</w:t>
      </w:r>
      <w:r w:rsidR="007D2A31" w:rsidRPr="00E46CD2">
        <w:rPr>
          <w:sz w:val="22"/>
          <w:szCs w:val="22"/>
        </w:rPr>
        <w:t xml:space="preserve"> involves making a contract</w:t>
      </w:r>
      <w:r w:rsidR="00B7406C">
        <w:rPr>
          <w:sz w:val="22"/>
          <w:szCs w:val="22"/>
        </w:rPr>
        <w:t xml:space="preserve"> to</w:t>
      </w:r>
      <w:r w:rsidR="00F96A41" w:rsidRPr="00E46CD2">
        <w:rPr>
          <w:sz w:val="22"/>
          <w:szCs w:val="22"/>
        </w:rPr>
        <w:t xml:space="preserve"> </w:t>
      </w:r>
      <w:r w:rsidR="00F96A41">
        <w:rPr>
          <w:sz w:val="22"/>
          <w:szCs w:val="22"/>
        </w:rPr>
        <w:t>prevent</w:t>
      </w:r>
      <w:r w:rsidR="0077683B" w:rsidRPr="00E46CD2">
        <w:rPr>
          <w:sz w:val="22"/>
          <w:szCs w:val="22"/>
        </w:rPr>
        <w:t xml:space="preserve"> conflicting int</w:t>
      </w:r>
      <w:r w:rsidR="00B7406C">
        <w:rPr>
          <w:sz w:val="22"/>
          <w:szCs w:val="22"/>
        </w:rPr>
        <w:t xml:space="preserve">erest among contracting parties, for example a compensation </w:t>
      </w:r>
      <w:r w:rsidR="009363C9">
        <w:rPr>
          <w:sz w:val="22"/>
          <w:szCs w:val="22"/>
        </w:rPr>
        <w:t xml:space="preserve">or a debt </w:t>
      </w:r>
      <w:r w:rsidR="00B7406C">
        <w:rPr>
          <w:sz w:val="22"/>
          <w:szCs w:val="22"/>
        </w:rPr>
        <w:t>contract.</w:t>
      </w:r>
      <w:r w:rsidR="0077683B" w:rsidRPr="00E46CD2">
        <w:rPr>
          <w:sz w:val="22"/>
          <w:szCs w:val="22"/>
        </w:rPr>
        <w:t xml:space="preserve"> </w:t>
      </w:r>
      <w:r w:rsidR="00F96A41">
        <w:rPr>
          <w:sz w:val="22"/>
          <w:szCs w:val="22"/>
        </w:rPr>
        <w:t xml:space="preserve">However, </w:t>
      </w:r>
      <w:r w:rsidR="00F96A41" w:rsidRPr="00E46CD2">
        <w:rPr>
          <w:sz w:val="22"/>
          <w:szCs w:val="22"/>
        </w:rPr>
        <w:t>it</w:t>
      </w:r>
      <w:r w:rsidR="00921C9E" w:rsidRPr="00E46CD2">
        <w:rPr>
          <w:sz w:val="22"/>
          <w:szCs w:val="22"/>
        </w:rPr>
        <w:t xml:space="preserve"> is impossible to d</w:t>
      </w:r>
      <w:r w:rsidR="00F96A41">
        <w:rPr>
          <w:sz w:val="22"/>
          <w:szCs w:val="22"/>
        </w:rPr>
        <w:t>esign a truly complete contract.</w:t>
      </w:r>
      <w:r w:rsidR="00921C9E" w:rsidRPr="00E46CD2">
        <w:rPr>
          <w:sz w:val="22"/>
          <w:szCs w:val="22"/>
        </w:rPr>
        <w:t xml:space="preserve"> </w:t>
      </w:r>
      <w:r w:rsidR="00F96A41">
        <w:rPr>
          <w:sz w:val="22"/>
          <w:szCs w:val="22"/>
        </w:rPr>
        <w:t xml:space="preserve">There are </w:t>
      </w:r>
      <w:r w:rsidR="00921C9E" w:rsidRPr="00E46CD2">
        <w:rPr>
          <w:sz w:val="22"/>
          <w:szCs w:val="22"/>
        </w:rPr>
        <w:t xml:space="preserve">unforeseen contingencies in </w:t>
      </w:r>
      <w:r w:rsidR="00F96A41">
        <w:rPr>
          <w:sz w:val="22"/>
          <w:szCs w:val="22"/>
        </w:rPr>
        <w:t>the future and o</w:t>
      </w:r>
      <w:r w:rsidR="002B564E" w:rsidRPr="00E46CD2">
        <w:rPr>
          <w:sz w:val="22"/>
          <w:szCs w:val="22"/>
        </w:rPr>
        <w:t>pportunistic behavior</w:t>
      </w:r>
      <w:r w:rsidR="00B14C04" w:rsidRPr="00E46CD2">
        <w:rPr>
          <w:sz w:val="22"/>
          <w:szCs w:val="22"/>
        </w:rPr>
        <w:t xml:space="preserve"> of either party. </w:t>
      </w:r>
      <w:r w:rsidR="00B7406C">
        <w:rPr>
          <w:sz w:val="22"/>
          <w:szCs w:val="22"/>
        </w:rPr>
        <w:t>Adjusting badly designed contracts is costly</w:t>
      </w:r>
      <w:r w:rsidR="00B14C04" w:rsidRPr="00E46CD2">
        <w:rPr>
          <w:sz w:val="22"/>
          <w:szCs w:val="22"/>
        </w:rPr>
        <w:t xml:space="preserve">. </w:t>
      </w:r>
      <w:r w:rsidR="00603940" w:rsidRPr="00E46CD2">
        <w:rPr>
          <w:sz w:val="22"/>
          <w:szCs w:val="22"/>
        </w:rPr>
        <w:t>Therefore, e</w:t>
      </w:r>
      <w:r w:rsidR="00B14C04" w:rsidRPr="00E46CD2">
        <w:rPr>
          <w:sz w:val="22"/>
          <w:szCs w:val="22"/>
        </w:rPr>
        <w:t xml:space="preserve">arnings </w:t>
      </w:r>
      <w:r w:rsidR="00603940" w:rsidRPr="00E46CD2">
        <w:rPr>
          <w:sz w:val="22"/>
          <w:szCs w:val="22"/>
        </w:rPr>
        <w:t>are needed to provide better measurement of future contingencie</w:t>
      </w:r>
      <w:r w:rsidR="00F96A41">
        <w:rPr>
          <w:sz w:val="22"/>
          <w:szCs w:val="22"/>
        </w:rPr>
        <w:t>s and to design</w:t>
      </w:r>
      <w:r w:rsidR="003A0C24">
        <w:rPr>
          <w:sz w:val="22"/>
          <w:szCs w:val="22"/>
        </w:rPr>
        <w:t xml:space="preserve"> efficient contracts. </w:t>
      </w:r>
      <w:r w:rsidR="00603940" w:rsidRPr="00E46CD2">
        <w:rPr>
          <w:sz w:val="22"/>
          <w:szCs w:val="22"/>
        </w:rPr>
        <w:t>When unforeseen contingencies do happen and contracts cannot be adjusted, firms</w:t>
      </w:r>
      <w:r w:rsidR="007430AC" w:rsidRPr="00E46CD2">
        <w:rPr>
          <w:sz w:val="22"/>
          <w:szCs w:val="22"/>
        </w:rPr>
        <w:t xml:space="preserve"> or executives</w:t>
      </w:r>
      <w:r w:rsidR="00603940" w:rsidRPr="00E46CD2">
        <w:rPr>
          <w:sz w:val="22"/>
          <w:szCs w:val="22"/>
        </w:rPr>
        <w:t xml:space="preserve"> may manage earnings </w:t>
      </w:r>
      <w:r w:rsidR="003A0C24">
        <w:rPr>
          <w:sz w:val="22"/>
          <w:szCs w:val="22"/>
        </w:rPr>
        <w:t>to achieve their goals.</w:t>
      </w:r>
      <w:r w:rsidR="00E46CD2" w:rsidRPr="00E46CD2">
        <w:rPr>
          <w:sz w:val="22"/>
          <w:szCs w:val="22"/>
        </w:rPr>
        <w:t xml:space="preserve"> </w:t>
      </w:r>
    </w:p>
    <w:p w:rsidR="00E46CD2" w:rsidRPr="00E46CD2" w:rsidRDefault="0047428E" w:rsidP="00DA30B9">
      <w:pPr>
        <w:pStyle w:val="Lijstalinea"/>
        <w:numPr>
          <w:ilvl w:val="0"/>
          <w:numId w:val="2"/>
        </w:numPr>
        <w:spacing w:line="360" w:lineRule="auto"/>
        <w:ind w:left="714" w:hanging="357"/>
        <w:jc w:val="both"/>
        <w:rPr>
          <w:sz w:val="22"/>
          <w:szCs w:val="22"/>
        </w:rPr>
      </w:pPr>
      <w:r w:rsidRPr="002808D9">
        <w:rPr>
          <w:i/>
          <w:sz w:val="22"/>
          <w:szCs w:val="22"/>
        </w:rPr>
        <w:t>The d</w:t>
      </w:r>
      <w:r w:rsidR="00964C55" w:rsidRPr="002808D9">
        <w:rPr>
          <w:i/>
          <w:sz w:val="22"/>
          <w:szCs w:val="22"/>
        </w:rPr>
        <w:t>ecision-making approach</w:t>
      </w:r>
      <w:r w:rsidR="00D91CDA" w:rsidRPr="002808D9">
        <w:rPr>
          <w:i/>
          <w:sz w:val="22"/>
          <w:szCs w:val="22"/>
        </w:rPr>
        <w:t xml:space="preserve">: </w:t>
      </w:r>
      <w:r w:rsidR="00C7353A" w:rsidRPr="002808D9">
        <w:rPr>
          <w:sz w:val="22"/>
          <w:szCs w:val="22"/>
        </w:rPr>
        <w:t>The firm’s</w:t>
      </w:r>
      <w:r w:rsidR="00C7353A" w:rsidRPr="00E46CD2">
        <w:rPr>
          <w:sz w:val="22"/>
          <w:szCs w:val="22"/>
        </w:rPr>
        <w:t xml:space="preserve"> output is determined by the interactions from many decisions makers, who settle their relationships through contracts.</w:t>
      </w:r>
      <w:r w:rsidR="002D13CC" w:rsidRPr="00E46CD2">
        <w:rPr>
          <w:sz w:val="22"/>
          <w:szCs w:val="22"/>
        </w:rPr>
        <w:t xml:space="preserve"> </w:t>
      </w:r>
      <w:r w:rsidR="009D2AAA" w:rsidRPr="00E46CD2">
        <w:rPr>
          <w:sz w:val="22"/>
          <w:szCs w:val="22"/>
        </w:rPr>
        <w:t>An</w:t>
      </w:r>
      <w:r w:rsidR="005D22BE" w:rsidRPr="00E46CD2">
        <w:rPr>
          <w:sz w:val="22"/>
          <w:szCs w:val="22"/>
        </w:rPr>
        <w:t>y</w:t>
      </w:r>
      <w:r w:rsidR="009D2AAA" w:rsidRPr="00E46CD2">
        <w:rPr>
          <w:sz w:val="22"/>
          <w:szCs w:val="22"/>
        </w:rPr>
        <w:t xml:space="preserve"> accounting number that provides relevant information is valuable for decision making</w:t>
      </w:r>
      <w:r w:rsidR="00C7353A" w:rsidRPr="00E46CD2">
        <w:rPr>
          <w:sz w:val="22"/>
          <w:szCs w:val="22"/>
        </w:rPr>
        <w:t xml:space="preserve">. </w:t>
      </w:r>
      <w:r w:rsidR="00562B42" w:rsidRPr="00E46CD2">
        <w:rPr>
          <w:sz w:val="22"/>
          <w:szCs w:val="22"/>
        </w:rPr>
        <w:t>This approach assumes that decision makers are not fully informed. They need e</w:t>
      </w:r>
      <w:r w:rsidR="00C7353A" w:rsidRPr="00E46CD2">
        <w:rPr>
          <w:sz w:val="22"/>
          <w:szCs w:val="22"/>
        </w:rPr>
        <w:t>arnings</w:t>
      </w:r>
      <w:r w:rsidR="00562B42" w:rsidRPr="00E46CD2">
        <w:rPr>
          <w:sz w:val="22"/>
          <w:szCs w:val="22"/>
        </w:rPr>
        <w:t xml:space="preserve"> to</w:t>
      </w:r>
      <w:r w:rsidR="00C7353A" w:rsidRPr="00E46CD2">
        <w:rPr>
          <w:sz w:val="22"/>
          <w:szCs w:val="22"/>
        </w:rPr>
        <w:t xml:space="preserve"> provide </w:t>
      </w:r>
      <w:r w:rsidR="00562B42" w:rsidRPr="00E46CD2">
        <w:rPr>
          <w:sz w:val="22"/>
          <w:szCs w:val="22"/>
        </w:rPr>
        <w:t xml:space="preserve">them </w:t>
      </w:r>
      <w:r w:rsidR="00C7353A" w:rsidRPr="00E46CD2">
        <w:rPr>
          <w:sz w:val="22"/>
          <w:szCs w:val="22"/>
        </w:rPr>
        <w:t>valuable i</w:t>
      </w:r>
      <w:r w:rsidR="00562B42" w:rsidRPr="00E46CD2">
        <w:rPr>
          <w:sz w:val="22"/>
          <w:szCs w:val="22"/>
        </w:rPr>
        <w:t xml:space="preserve">nformation to </w:t>
      </w:r>
      <w:r w:rsidR="00C7353A" w:rsidRPr="00E46CD2">
        <w:rPr>
          <w:sz w:val="22"/>
          <w:szCs w:val="22"/>
        </w:rPr>
        <w:t>estimate future earnings</w:t>
      </w:r>
      <w:r w:rsidR="005D22BE" w:rsidRPr="00E46CD2">
        <w:rPr>
          <w:sz w:val="22"/>
          <w:szCs w:val="22"/>
        </w:rPr>
        <w:t xml:space="preserve"> for the contracting process</w:t>
      </w:r>
      <w:r w:rsidR="00C7353A" w:rsidRPr="00E46CD2">
        <w:rPr>
          <w:sz w:val="22"/>
          <w:szCs w:val="22"/>
        </w:rPr>
        <w:t>.</w:t>
      </w:r>
      <w:r w:rsidR="0010220D" w:rsidRPr="00E46CD2">
        <w:rPr>
          <w:sz w:val="22"/>
          <w:szCs w:val="22"/>
        </w:rPr>
        <w:t xml:space="preserve"> </w:t>
      </w:r>
    </w:p>
    <w:p w:rsidR="005D22BE" w:rsidRDefault="0047428E" w:rsidP="00DA30B9">
      <w:pPr>
        <w:pStyle w:val="Lijstalinea"/>
        <w:numPr>
          <w:ilvl w:val="0"/>
          <w:numId w:val="2"/>
        </w:numPr>
        <w:spacing w:line="360" w:lineRule="auto"/>
        <w:ind w:left="714" w:hanging="357"/>
        <w:jc w:val="both"/>
        <w:rPr>
          <w:sz w:val="22"/>
          <w:szCs w:val="22"/>
        </w:rPr>
      </w:pPr>
      <w:r w:rsidRPr="002808D9">
        <w:rPr>
          <w:i/>
          <w:sz w:val="22"/>
          <w:szCs w:val="22"/>
        </w:rPr>
        <w:t>The l</w:t>
      </w:r>
      <w:r w:rsidR="00964C55" w:rsidRPr="002808D9">
        <w:rPr>
          <w:i/>
          <w:sz w:val="22"/>
          <w:szCs w:val="22"/>
        </w:rPr>
        <w:t>egal-political approach</w:t>
      </w:r>
      <w:r w:rsidR="00D91CDA" w:rsidRPr="002808D9">
        <w:rPr>
          <w:i/>
          <w:sz w:val="22"/>
          <w:szCs w:val="22"/>
        </w:rPr>
        <w:t xml:space="preserve">: </w:t>
      </w:r>
      <w:r w:rsidR="002E2B4B" w:rsidRPr="002808D9">
        <w:rPr>
          <w:sz w:val="22"/>
          <w:szCs w:val="22"/>
        </w:rPr>
        <w:t>Shareholders</w:t>
      </w:r>
      <w:r w:rsidR="002E2B4B" w:rsidRPr="00E46CD2">
        <w:rPr>
          <w:sz w:val="22"/>
          <w:szCs w:val="22"/>
        </w:rPr>
        <w:t xml:space="preserve"> are in contrast less </w:t>
      </w:r>
      <w:r w:rsidR="00964C55" w:rsidRPr="00E46CD2">
        <w:rPr>
          <w:sz w:val="22"/>
          <w:szCs w:val="22"/>
        </w:rPr>
        <w:t>protected than other stakeholders</w:t>
      </w:r>
      <w:r w:rsidR="00CB15CC">
        <w:rPr>
          <w:sz w:val="22"/>
          <w:szCs w:val="22"/>
        </w:rPr>
        <w:t>. They</w:t>
      </w:r>
      <w:r w:rsidR="001609D5" w:rsidRPr="00E46CD2">
        <w:rPr>
          <w:sz w:val="22"/>
          <w:szCs w:val="22"/>
        </w:rPr>
        <w:t xml:space="preserve"> </w:t>
      </w:r>
      <w:r w:rsidRPr="00E46CD2">
        <w:rPr>
          <w:sz w:val="22"/>
          <w:szCs w:val="22"/>
        </w:rPr>
        <w:t xml:space="preserve">don’t </w:t>
      </w:r>
      <w:r w:rsidR="001609D5" w:rsidRPr="00E46CD2">
        <w:rPr>
          <w:sz w:val="22"/>
          <w:szCs w:val="22"/>
        </w:rPr>
        <w:t>possess the knowledge</w:t>
      </w:r>
      <w:r w:rsidR="006C079A" w:rsidRPr="00E46CD2">
        <w:rPr>
          <w:sz w:val="22"/>
          <w:szCs w:val="22"/>
        </w:rPr>
        <w:t xml:space="preserve"> to set managers’ compensation, nor can design contracts that prevent managers enriching themselves at their expense. </w:t>
      </w:r>
      <w:r w:rsidR="00CB15CC">
        <w:rPr>
          <w:sz w:val="22"/>
          <w:szCs w:val="22"/>
        </w:rPr>
        <w:t>The fact that shareholders are less knowledgeable about the firm’s business</w:t>
      </w:r>
      <w:r w:rsidR="00C55606" w:rsidRPr="00E46CD2">
        <w:rPr>
          <w:sz w:val="22"/>
          <w:szCs w:val="22"/>
        </w:rPr>
        <w:t xml:space="preserve"> makes accounting information more valuable. </w:t>
      </w:r>
      <w:r w:rsidR="002738FA" w:rsidRPr="00E46CD2">
        <w:rPr>
          <w:sz w:val="22"/>
          <w:szCs w:val="22"/>
        </w:rPr>
        <w:t xml:space="preserve">Demanding proprietary information will be too costly and cumbersome, besides it might get exposed to competitors. </w:t>
      </w:r>
      <w:r w:rsidR="00CB15CC">
        <w:rPr>
          <w:sz w:val="22"/>
          <w:szCs w:val="22"/>
        </w:rPr>
        <w:t>Therefore, e</w:t>
      </w:r>
      <w:r w:rsidR="00C55606" w:rsidRPr="00E46CD2">
        <w:rPr>
          <w:sz w:val="22"/>
          <w:szCs w:val="22"/>
        </w:rPr>
        <w:t xml:space="preserve">arnings are </w:t>
      </w:r>
      <w:r w:rsidR="00CB15CC">
        <w:rPr>
          <w:sz w:val="22"/>
          <w:szCs w:val="22"/>
        </w:rPr>
        <w:t xml:space="preserve">the </w:t>
      </w:r>
      <w:r w:rsidR="00C55606" w:rsidRPr="00E46CD2">
        <w:rPr>
          <w:sz w:val="22"/>
          <w:szCs w:val="22"/>
        </w:rPr>
        <w:t>summa</w:t>
      </w:r>
      <w:r w:rsidR="00964C55" w:rsidRPr="00E46CD2">
        <w:rPr>
          <w:sz w:val="22"/>
          <w:szCs w:val="22"/>
        </w:rPr>
        <w:t>ry information for shareholders</w:t>
      </w:r>
      <w:r w:rsidR="00C55606" w:rsidRPr="00E46CD2">
        <w:rPr>
          <w:sz w:val="22"/>
          <w:szCs w:val="22"/>
        </w:rPr>
        <w:t xml:space="preserve"> without requiring them to learn</w:t>
      </w:r>
      <w:r w:rsidRPr="00E46CD2">
        <w:rPr>
          <w:sz w:val="22"/>
          <w:szCs w:val="22"/>
        </w:rPr>
        <w:t xml:space="preserve"> the firms operation in detail.</w:t>
      </w:r>
    </w:p>
    <w:p w:rsidR="00EA01D8" w:rsidRDefault="00EA01D8" w:rsidP="0052514F">
      <w:pPr>
        <w:spacing w:line="360" w:lineRule="auto"/>
        <w:rPr>
          <w:sz w:val="22"/>
          <w:szCs w:val="22"/>
        </w:rPr>
      </w:pPr>
    </w:p>
    <w:p w:rsidR="00030AA9" w:rsidRPr="000057FF" w:rsidRDefault="00A2728A" w:rsidP="006B7FF2">
      <w:pPr>
        <w:pStyle w:val="Kop2"/>
      </w:pPr>
      <w:bookmarkStart w:id="38" w:name="_Toc287614168"/>
      <w:r>
        <w:t>3</w:t>
      </w:r>
      <w:r w:rsidR="00EA01D8">
        <w:t>.4</w:t>
      </w:r>
      <w:r w:rsidR="0052514F" w:rsidRPr="000057FF">
        <w:t xml:space="preserve"> </w:t>
      </w:r>
      <w:r w:rsidR="00030AA9" w:rsidRPr="000057FF">
        <w:t xml:space="preserve">Motives </w:t>
      </w:r>
      <w:r w:rsidR="005E340B">
        <w:t>for</w:t>
      </w:r>
      <w:r w:rsidR="00030AA9" w:rsidRPr="000057FF">
        <w:t xml:space="preserve"> earnings management</w:t>
      </w:r>
      <w:bookmarkEnd w:id="38"/>
    </w:p>
    <w:p w:rsidR="006B1D67" w:rsidRDefault="0061291B" w:rsidP="006B1D67">
      <w:pPr>
        <w:pStyle w:val="Default"/>
        <w:spacing w:line="360" w:lineRule="auto"/>
        <w:jc w:val="both"/>
        <w:rPr>
          <w:sz w:val="22"/>
          <w:szCs w:val="22"/>
          <w:lang w:val="en-US"/>
        </w:rPr>
      </w:pPr>
      <w:r>
        <w:rPr>
          <w:sz w:val="22"/>
          <w:szCs w:val="22"/>
          <w:lang w:val="en-US"/>
        </w:rPr>
        <w:t xml:space="preserve">Since earnings contain useful information, it can be </w:t>
      </w:r>
      <w:r w:rsidRPr="001A1FF2">
        <w:rPr>
          <w:sz w:val="22"/>
          <w:szCs w:val="22"/>
          <w:lang w:val="en-GB"/>
        </w:rPr>
        <w:t>abused</w:t>
      </w:r>
      <w:r>
        <w:rPr>
          <w:sz w:val="22"/>
          <w:szCs w:val="22"/>
          <w:lang w:val="en-US"/>
        </w:rPr>
        <w:t xml:space="preserve"> to affect the possibility of wealth transfer between the relationship of company and managers, funds providers or society (</w:t>
      </w:r>
      <w:proofErr w:type="spellStart"/>
      <w:r>
        <w:rPr>
          <w:sz w:val="22"/>
          <w:szCs w:val="22"/>
          <w:lang w:val="en-US"/>
        </w:rPr>
        <w:t>Stolowy</w:t>
      </w:r>
      <w:proofErr w:type="spellEnd"/>
      <w:r>
        <w:rPr>
          <w:sz w:val="22"/>
          <w:szCs w:val="22"/>
          <w:lang w:val="en-US"/>
        </w:rPr>
        <w:t xml:space="preserve"> and Breton, 2004, p. 3). Positive Accounting Theory (PAT) translates these relationships </w:t>
      </w:r>
      <w:r w:rsidRPr="00F353B3">
        <w:rPr>
          <w:sz w:val="22"/>
          <w:szCs w:val="22"/>
          <w:lang w:val="en-US"/>
        </w:rPr>
        <w:t>respectively into</w:t>
      </w:r>
      <w:r>
        <w:rPr>
          <w:sz w:val="22"/>
          <w:szCs w:val="22"/>
          <w:lang w:val="en-US"/>
        </w:rPr>
        <w:t xml:space="preserve"> three </w:t>
      </w:r>
      <w:r>
        <w:rPr>
          <w:sz w:val="22"/>
          <w:szCs w:val="22"/>
          <w:lang w:val="en-US"/>
        </w:rPr>
        <w:lastRenderedPageBreak/>
        <w:t>key hypotheses</w:t>
      </w:r>
      <w:r w:rsidRPr="00F353B3">
        <w:rPr>
          <w:sz w:val="22"/>
          <w:szCs w:val="22"/>
          <w:lang w:val="en-US"/>
        </w:rPr>
        <w:t>:</w:t>
      </w:r>
      <w:r>
        <w:rPr>
          <w:sz w:val="22"/>
          <w:szCs w:val="22"/>
          <w:lang w:val="en-US"/>
        </w:rPr>
        <w:t xml:space="preserve"> bonus plan hypothesis, debt/equity hypothesis</w:t>
      </w:r>
      <w:r w:rsidRPr="00F353B3">
        <w:rPr>
          <w:sz w:val="22"/>
          <w:szCs w:val="22"/>
          <w:lang w:val="en-US"/>
        </w:rPr>
        <w:t xml:space="preserve"> and political cost hypothesis </w:t>
      </w:r>
      <w:r>
        <w:rPr>
          <w:sz w:val="22"/>
          <w:szCs w:val="22"/>
          <w:lang w:val="en-US"/>
        </w:rPr>
        <w:t>(Watts and Zimmerman, 1978).</w:t>
      </w:r>
      <w:r w:rsidR="002B712D">
        <w:rPr>
          <w:sz w:val="22"/>
          <w:szCs w:val="22"/>
          <w:lang w:val="en-US"/>
        </w:rPr>
        <w:t xml:space="preserve"> </w:t>
      </w:r>
      <w:r>
        <w:rPr>
          <w:sz w:val="22"/>
          <w:szCs w:val="22"/>
          <w:lang w:val="en-US"/>
        </w:rPr>
        <w:t xml:space="preserve">However, </w:t>
      </w:r>
      <w:r w:rsidR="006B1D67">
        <w:rPr>
          <w:sz w:val="22"/>
          <w:szCs w:val="22"/>
          <w:lang w:val="en-US"/>
        </w:rPr>
        <w:t xml:space="preserve">Graham et al. (2005) used a survey </w:t>
      </w:r>
      <w:r w:rsidR="004044D5">
        <w:rPr>
          <w:sz w:val="22"/>
          <w:szCs w:val="22"/>
          <w:lang w:val="en-US"/>
        </w:rPr>
        <w:t>investigation on</w:t>
      </w:r>
      <w:r w:rsidR="006B1D67">
        <w:rPr>
          <w:sz w:val="22"/>
          <w:szCs w:val="22"/>
          <w:lang w:val="en-US"/>
        </w:rPr>
        <w:t xml:space="preserve"> earnings management motivations of chief financial officers (CFO)</w:t>
      </w:r>
      <w:r>
        <w:rPr>
          <w:sz w:val="22"/>
          <w:szCs w:val="22"/>
          <w:lang w:val="en-US"/>
        </w:rPr>
        <w:t xml:space="preserve"> and</w:t>
      </w:r>
      <w:r w:rsidRPr="0061291B">
        <w:rPr>
          <w:sz w:val="22"/>
          <w:szCs w:val="22"/>
          <w:lang w:val="en-US"/>
        </w:rPr>
        <w:t xml:space="preserve"> </w:t>
      </w:r>
      <w:r>
        <w:rPr>
          <w:sz w:val="22"/>
          <w:szCs w:val="22"/>
          <w:lang w:val="en-US"/>
        </w:rPr>
        <w:t>didn’t find much evidence for traditional incentives like the political cost or debt/equity hypothesis.</w:t>
      </w:r>
      <w:r w:rsidR="006B1D67">
        <w:rPr>
          <w:sz w:val="22"/>
          <w:szCs w:val="22"/>
          <w:lang w:val="en-US"/>
        </w:rPr>
        <w:t xml:space="preserve"> </w:t>
      </w:r>
      <w:r w:rsidR="00F44D7C">
        <w:rPr>
          <w:sz w:val="22"/>
          <w:szCs w:val="22"/>
          <w:lang w:val="en-US"/>
        </w:rPr>
        <w:t xml:space="preserve">Their findings confirm that </w:t>
      </w:r>
      <w:r w:rsidR="008B7E0D">
        <w:rPr>
          <w:sz w:val="22"/>
          <w:szCs w:val="22"/>
          <w:lang w:val="en-US"/>
        </w:rPr>
        <w:t>earnings</w:t>
      </w:r>
      <w:r w:rsidR="006B1D67">
        <w:rPr>
          <w:sz w:val="22"/>
          <w:szCs w:val="22"/>
          <w:lang w:val="en-US"/>
        </w:rPr>
        <w:t xml:space="preserve"> </w:t>
      </w:r>
      <w:r w:rsidR="008B7E0D">
        <w:rPr>
          <w:sz w:val="22"/>
          <w:szCs w:val="22"/>
          <w:lang w:val="en-US"/>
        </w:rPr>
        <w:t>are</w:t>
      </w:r>
      <w:r w:rsidR="006B1D67">
        <w:rPr>
          <w:sz w:val="22"/>
          <w:szCs w:val="22"/>
          <w:lang w:val="en-US"/>
        </w:rPr>
        <w:t xml:space="preserve"> the main metric for stakeholders</w:t>
      </w:r>
      <w:r w:rsidR="008B7E0D" w:rsidRPr="008B7E0D">
        <w:rPr>
          <w:sz w:val="22"/>
          <w:szCs w:val="22"/>
          <w:lang w:val="en-US"/>
        </w:rPr>
        <w:t xml:space="preserve"> </w:t>
      </w:r>
      <w:r w:rsidR="008B7E0D">
        <w:rPr>
          <w:sz w:val="22"/>
          <w:szCs w:val="22"/>
          <w:lang w:val="en-US"/>
        </w:rPr>
        <w:t>and not cash flow</w:t>
      </w:r>
      <w:r w:rsidR="006B1D67">
        <w:rPr>
          <w:sz w:val="22"/>
          <w:szCs w:val="22"/>
          <w:lang w:val="en-US"/>
        </w:rPr>
        <w:t xml:space="preserve">. </w:t>
      </w:r>
      <w:r w:rsidR="008B7E0D">
        <w:rPr>
          <w:sz w:val="22"/>
          <w:szCs w:val="22"/>
          <w:lang w:val="en-US"/>
        </w:rPr>
        <w:t>They found</w:t>
      </w:r>
      <w:r>
        <w:rPr>
          <w:sz w:val="22"/>
          <w:szCs w:val="22"/>
          <w:lang w:val="en-US"/>
        </w:rPr>
        <w:t xml:space="preserve"> </w:t>
      </w:r>
      <w:r w:rsidR="006B1D67">
        <w:rPr>
          <w:sz w:val="22"/>
          <w:szCs w:val="22"/>
          <w:lang w:val="en-US"/>
        </w:rPr>
        <w:t>that CFOs have strong preferences to smooth earnings</w:t>
      </w:r>
      <w:r w:rsidR="008B7E0D">
        <w:rPr>
          <w:sz w:val="22"/>
          <w:szCs w:val="22"/>
          <w:lang w:val="en-US"/>
        </w:rPr>
        <w:t>. Because</w:t>
      </w:r>
      <w:r w:rsidR="006B1D67">
        <w:rPr>
          <w:sz w:val="22"/>
          <w:szCs w:val="22"/>
          <w:lang w:val="en-US"/>
        </w:rPr>
        <w:t xml:space="preserve"> low volatility is associated as less risky by investors, smoothed earnings </w:t>
      </w:r>
      <w:r w:rsidR="00290EC6">
        <w:rPr>
          <w:sz w:val="22"/>
          <w:szCs w:val="22"/>
          <w:lang w:val="en-US"/>
        </w:rPr>
        <w:t xml:space="preserve">will </w:t>
      </w:r>
      <w:r w:rsidR="006B1D67">
        <w:rPr>
          <w:sz w:val="22"/>
          <w:szCs w:val="22"/>
          <w:lang w:val="en-US"/>
        </w:rPr>
        <w:t xml:space="preserve">have an increasing effect on stock price. </w:t>
      </w:r>
      <w:r w:rsidR="004044D5">
        <w:rPr>
          <w:sz w:val="22"/>
          <w:szCs w:val="22"/>
          <w:lang w:val="en-US"/>
        </w:rPr>
        <w:t>Also, CFOs</w:t>
      </w:r>
      <w:r w:rsidR="008B7E0D">
        <w:rPr>
          <w:sz w:val="22"/>
          <w:szCs w:val="22"/>
          <w:lang w:val="en-US"/>
        </w:rPr>
        <w:t xml:space="preserve"> prefer making small to moderate sacrifices of economic value</w:t>
      </w:r>
      <w:r w:rsidR="00290EC6">
        <w:rPr>
          <w:sz w:val="22"/>
          <w:szCs w:val="22"/>
          <w:lang w:val="en-US"/>
        </w:rPr>
        <w:t xml:space="preserve"> (i.e. real earnings management)</w:t>
      </w:r>
      <w:r w:rsidR="008B7E0D">
        <w:rPr>
          <w:sz w:val="22"/>
          <w:szCs w:val="22"/>
          <w:lang w:val="en-US"/>
        </w:rPr>
        <w:t xml:space="preserve"> to smooth earnings, instead of within-GAAP accounting adjustments. </w:t>
      </w:r>
      <w:r w:rsidR="004044D5" w:rsidRPr="004044D5">
        <w:rPr>
          <w:sz w:val="22"/>
          <w:szCs w:val="22"/>
          <w:lang w:val="en-US"/>
        </w:rPr>
        <w:t xml:space="preserve">Cohen et al. (2008) </w:t>
      </w:r>
      <w:r w:rsidR="008B7E0D">
        <w:rPr>
          <w:sz w:val="22"/>
          <w:szCs w:val="22"/>
          <w:lang w:val="en-US"/>
        </w:rPr>
        <w:t>found out that</w:t>
      </w:r>
      <w:r w:rsidR="00290EC6">
        <w:rPr>
          <w:sz w:val="22"/>
          <w:szCs w:val="22"/>
          <w:lang w:val="en-US"/>
        </w:rPr>
        <w:t xml:space="preserve"> real earnings management as substitute for accrual-based earnings management </w:t>
      </w:r>
      <w:r w:rsidR="008B7E0D">
        <w:rPr>
          <w:sz w:val="22"/>
          <w:szCs w:val="22"/>
          <w:lang w:val="en-US"/>
        </w:rPr>
        <w:t xml:space="preserve">is a consequence of the Sarbanes-Oxley Act. </w:t>
      </w:r>
      <w:r w:rsidR="006B1D67">
        <w:rPr>
          <w:sz w:val="22"/>
          <w:szCs w:val="22"/>
          <w:lang w:val="en-US"/>
        </w:rPr>
        <w:t>Furthermore, it is important to meet or beat earnings benchmarks of analysts</w:t>
      </w:r>
      <w:r w:rsidR="006B1D67" w:rsidRPr="00BD31FA">
        <w:rPr>
          <w:sz w:val="22"/>
          <w:szCs w:val="22"/>
          <w:lang w:val="en-US"/>
        </w:rPr>
        <w:t xml:space="preserve"> </w:t>
      </w:r>
      <w:r w:rsidR="006B1D67">
        <w:rPr>
          <w:sz w:val="22"/>
          <w:szCs w:val="22"/>
          <w:lang w:val="en-US"/>
        </w:rPr>
        <w:t xml:space="preserve">and last year’s earnings because it enables CFOs to (1) build credibility with the capital market; (2) maintain or increase stock price; (3) improve external reputation; and (4) convey future growth prospects. Missing earnings benchmarks creates uncertainty and suggests that firms hide more bad news. CEOs and CFOs know that the capital market will punish the firm when they don’t meet the analysts’ forecasts. </w:t>
      </w:r>
    </w:p>
    <w:p w:rsidR="008B7E0D" w:rsidRDefault="008B7E0D" w:rsidP="006B1D67">
      <w:pPr>
        <w:pStyle w:val="Default"/>
        <w:spacing w:line="360" w:lineRule="auto"/>
        <w:jc w:val="both"/>
        <w:rPr>
          <w:sz w:val="22"/>
          <w:szCs w:val="22"/>
          <w:lang w:val="en-US"/>
        </w:rPr>
      </w:pPr>
    </w:p>
    <w:p w:rsidR="00F353B3" w:rsidRDefault="002B712D" w:rsidP="00F353B3">
      <w:pPr>
        <w:pStyle w:val="Default"/>
        <w:spacing w:line="360" w:lineRule="auto"/>
        <w:jc w:val="both"/>
        <w:rPr>
          <w:sz w:val="22"/>
          <w:szCs w:val="22"/>
          <w:lang w:val="en-US"/>
        </w:rPr>
      </w:pPr>
      <w:r>
        <w:rPr>
          <w:sz w:val="22"/>
          <w:szCs w:val="22"/>
          <w:lang w:val="en-US"/>
        </w:rPr>
        <w:t xml:space="preserve">According to Graham et al (2005), the relevant motives for earnings management are: the bonus plan hypothesis, </w:t>
      </w:r>
      <w:r w:rsidR="00F353B3">
        <w:rPr>
          <w:sz w:val="22"/>
          <w:szCs w:val="22"/>
          <w:lang w:val="en-US"/>
        </w:rPr>
        <w:t>capital market</w:t>
      </w:r>
      <w:r>
        <w:rPr>
          <w:sz w:val="22"/>
          <w:szCs w:val="22"/>
          <w:lang w:val="en-US"/>
        </w:rPr>
        <w:t>,</w:t>
      </w:r>
      <w:r w:rsidR="00DE0226">
        <w:rPr>
          <w:sz w:val="22"/>
          <w:szCs w:val="22"/>
          <w:lang w:val="en-US"/>
        </w:rPr>
        <w:t xml:space="preserve"> </w:t>
      </w:r>
      <w:r>
        <w:rPr>
          <w:sz w:val="22"/>
          <w:szCs w:val="22"/>
          <w:lang w:val="en-US"/>
        </w:rPr>
        <w:t>company efficiency, and manager’s</w:t>
      </w:r>
      <w:r w:rsidR="00DE0226">
        <w:rPr>
          <w:sz w:val="22"/>
          <w:szCs w:val="22"/>
          <w:lang w:val="en-US"/>
        </w:rPr>
        <w:t xml:space="preserve"> personal motives</w:t>
      </w:r>
      <w:r>
        <w:rPr>
          <w:sz w:val="22"/>
          <w:szCs w:val="22"/>
          <w:lang w:val="en-US"/>
        </w:rPr>
        <w:t>.</w:t>
      </w:r>
      <w:r w:rsidR="006211AD">
        <w:rPr>
          <w:sz w:val="22"/>
          <w:szCs w:val="22"/>
          <w:lang w:val="en-US"/>
        </w:rPr>
        <w:t xml:space="preserve"> </w:t>
      </w:r>
      <w:r w:rsidR="00F353B3">
        <w:rPr>
          <w:sz w:val="22"/>
          <w:szCs w:val="22"/>
          <w:lang w:val="en-US"/>
        </w:rPr>
        <w:t>These are discussed</w:t>
      </w:r>
      <w:r>
        <w:rPr>
          <w:sz w:val="22"/>
          <w:szCs w:val="22"/>
          <w:lang w:val="en-US"/>
        </w:rPr>
        <w:t xml:space="preserve"> next (Healy and </w:t>
      </w:r>
      <w:proofErr w:type="spellStart"/>
      <w:r>
        <w:rPr>
          <w:sz w:val="22"/>
          <w:szCs w:val="22"/>
          <w:lang w:val="en-US"/>
        </w:rPr>
        <w:t>Wahlen</w:t>
      </w:r>
      <w:proofErr w:type="spellEnd"/>
      <w:r>
        <w:rPr>
          <w:sz w:val="22"/>
          <w:szCs w:val="22"/>
          <w:lang w:val="en-US"/>
        </w:rPr>
        <w:t xml:space="preserve">, 1999; </w:t>
      </w:r>
      <w:proofErr w:type="spellStart"/>
      <w:r>
        <w:rPr>
          <w:sz w:val="22"/>
          <w:szCs w:val="22"/>
          <w:lang w:val="en-US"/>
        </w:rPr>
        <w:t>Knoops</w:t>
      </w:r>
      <w:proofErr w:type="spellEnd"/>
      <w:r>
        <w:rPr>
          <w:sz w:val="22"/>
          <w:szCs w:val="22"/>
          <w:lang w:val="en-US"/>
        </w:rPr>
        <w:t>, 2010).</w:t>
      </w:r>
    </w:p>
    <w:p w:rsidR="00A36FFF" w:rsidRPr="00C37685" w:rsidRDefault="00A36FFF" w:rsidP="008C187B">
      <w:pPr>
        <w:autoSpaceDE w:val="0"/>
        <w:autoSpaceDN w:val="0"/>
        <w:adjustRightInd w:val="0"/>
        <w:spacing w:line="360" w:lineRule="auto"/>
        <w:jc w:val="both"/>
        <w:rPr>
          <w:sz w:val="22"/>
          <w:szCs w:val="22"/>
        </w:rPr>
      </w:pPr>
    </w:p>
    <w:p w:rsidR="00381A9D" w:rsidRPr="009E1650" w:rsidRDefault="00F353B3" w:rsidP="00DA30B9">
      <w:pPr>
        <w:pStyle w:val="Lijstalinea"/>
        <w:numPr>
          <w:ilvl w:val="0"/>
          <w:numId w:val="3"/>
        </w:numPr>
        <w:autoSpaceDE w:val="0"/>
        <w:autoSpaceDN w:val="0"/>
        <w:adjustRightInd w:val="0"/>
        <w:spacing w:line="360" w:lineRule="auto"/>
        <w:jc w:val="both"/>
        <w:rPr>
          <w:sz w:val="22"/>
          <w:szCs w:val="22"/>
        </w:rPr>
      </w:pPr>
      <w:r w:rsidRPr="009E1650">
        <w:rPr>
          <w:i/>
          <w:sz w:val="22"/>
          <w:szCs w:val="22"/>
        </w:rPr>
        <w:t>Bonus plan</w:t>
      </w:r>
      <w:r w:rsidR="009E1650">
        <w:rPr>
          <w:i/>
          <w:sz w:val="22"/>
          <w:szCs w:val="22"/>
        </w:rPr>
        <w:t>:</w:t>
      </w:r>
      <w:r w:rsidR="009E1650" w:rsidRPr="009E1650">
        <w:rPr>
          <w:i/>
          <w:sz w:val="22"/>
          <w:szCs w:val="22"/>
        </w:rPr>
        <w:t xml:space="preserve">  </w:t>
      </w:r>
      <w:r w:rsidR="00D27894">
        <w:rPr>
          <w:sz w:val="22"/>
          <w:szCs w:val="22"/>
        </w:rPr>
        <w:t>The</w:t>
      </w:r>
      <w:r w:rsidR="006211AD" w:rsidRPr="009E1650">
        <w:rPr>
          <w:sz w:val="22"/>
          <w:szCs w:val="22"/>
        </w:rPr>
        <w:t xml:space="preserve"> opportunistic perspective</w:t>
      </w:r>
      <w:r w:rsidR="0003237B">
        <w:rPr>
          <w:sz w:val="22"/>
          <w:szCs w:val="22"/>
        </w:rPr>
        <w:t xml:space="preserve"> of PAT </w:t>
      </w:r>
      <w:r w:rsidR="00D27894">
        <w:rPr>
          <w:sz w:val="22"/>
          <w:szCs w:val="22"/>
        </w:rPr>
        <w:t>predicts that</w:t>
      </w:r>
      <w:r w:rsidR="006211AD" w:rsidRPr="009E1650">
        <w:rPr>
          <w:sz w:val="22"/>
          <w:szCs w:val="22"/>
        </w:rPr>
        <w:t xml:space="preserve"> managers transfer wealth from the firm to themselves. </w:t>
      </w:r>
      <w:r w:rsidR="00EC4FD1" w:rsidRPr="009E1650">
        <w:rPr>
          <w:sz w:val="22"/>
          <w:szCs w:val="22"/>
        </w:rPr>
        <w:t xml:space="preserve">In order to minimize agency costs, the firm arranges a compensation contract that ties </w:t>
      </w:r>
      <w:r w:rsidR="006355CF" w:rsidRPr="009E1650">
        <w:rPr>
          <w:sz w:val="22"/>
          <w:szCs w:val="22"/>
        </w:rPr>
        <w:t>managers</w:t>
      </w:r>
      <w:r w:rsidR="00EC4FD1" w:rsidRPr="009E1650">
        <w:rPr>
          <w:sz w:val="22"/>
          <w:szCs w:val="22"/>
        </w:rPr>
        <w:t>’ performance to</w:t>
      </w:r>
      <w:r w:rsidR="006355CF" w:rsidRPr="009E1650">
        <w:rPr>
          <w:sz w:val="22"/>
          <w:szCs w:val="22"/>
        </w:rPr>
        <w:t xml:space="preserve"> reported income</w:t>
      </w:r>
      <w:r w:rsidR="00EC4FD1" w:rsidRPr="009E1650">
        <w:rPr>
          <w:sz w:val="22"/>
          <w:szCs w:val="22"/>
        </w:rPr>
        <w:t>. However, the contract gives managers incentive</w:t>
      </w:r>
      <w:r w:rsidR="00D27894">
        <w:rPr>
          <w:sz w:val="22"/>
          <w:szCs w:val="22"/>
        </w:rPr>
        <w:t>s</w:t>
      </w:r>
      <w:r w:rsidR="00EC4FD1" w:rsidRPr="009E1650">
        <w:rPr>
          <w:sz w:val="22"/>
          <w:szCs w:val="22"/>
        </w:rPr>
        <w:t xml:space="preserve"> </w:t>
      </w:r>
      <w:r w:rsidR="006355CF" w:rsidRPr="009E1650">
        <w:rPr>
          <w:sz w:val="22"/>
          <w:szCs w:val="22"/>
        </w:rPr>
        <w:t>to select accounting procedures and accruals that increase</w:t>
      </w:r>
      <w:r w:rsidR="00EC4FD1" w:rsidRPr="009E1650">
        <w:rPr>
          <w:sz w:val="22"/>
          <w:szCs w:val="22"/>
        </w:rPr>
        <w:t xml:space="preserve"> the firm’s profits and therefore</w:t>
      </w:r>
      <w:r w:rsidR="006355CF" w:rsidRPr="009E1650">
        <w:rPr>
          <w:sz w:val="22"/>
          <w:szCs w:val="22"/>
        </w:rPr>
        <w:t xml:space="preserve"> the present value of their rewards.</w:t>
      </w:r>
    </w:p>
    <w:p w:rsidR="00131747" w:rsidRPr="0046486F" w:rsidRDefault="00131747" w:rsidP="00DA30B9">
      <w:pPr>
        <w:pStyle w:val="Default"/>
        <w:numPr>
          <w:ilvl w:val="0"/>
          <w:numId w:val="3"/>
        </w:numPr>
        <w:spacing w:line="360" w:lineRule="auto"/>
        <w:jc w:val="both"/>
        <w:rPr>
          <w:i/>
          <w:sz w:val="22"/>
          <w:szCs w:val="22"/>
          <w:lang w:val="en-US"/>
        </w:rPr>
      </w:pPr>
      <w:r>
        <w:rPr>
          <w:i/>
          <w:sz w:val="22"/>
          <w:szCs w:val="22"/>
          <w:lang w:val="en-US"/>
        </w:rPr>
        <w:t xml:space="preserve">Capital market: </w:t>
      </w:r>
      <w:r w:rsidRPr="0046486F">
        <w:rPr>
          <w:sz w:val="22"/>
          <w:szCs w:val="22"/>
          <w:lang w:val="en-US"/>
        </w:rPr>
        <w:t xml:space="preserve">Investors and financial analysts use accounting information to value </w:t>
      </w:r>
      <w:r w:rsidR="0046486F" w:rsidRPr="0046486F">
        <w:rPr>
          <w:sz w:val="22"/>
          <w:szCs w:val="22"/>
          <w:lang w:val="en-US"/>
        </w:rPr>
        <w:t xml:space="preserve">stock prices. This gives an incentive for managers to manipulate earnings </w:t>
      </w:r>
      <w:r w:rsidR="003B44C2">
        <w:rPr>
          <w:sz w:val="22"/>
          <w:szCs w:val="22"/>
          <w:lang w:val="en-US"/>
        </w:rPr>
        <w:t>and</w:t>
      </w:r>
      <w:r w:rsidR="0046486F" w:rsidRPr="0046486F">
        <w:rPr>
          <w:sz w:val="22"/>
          <w:szCs w:val="22"/>
          <w:lang w:val="en-US"/>
        </w:rPr>
        <w:t xml:space="preserve"> influence short-term stock price fluctuations.</w:t>
      </w:r>
      <w:r w:rsidR="0046486F">
        <w:rPr>
          <w:sz w:val="22"/>
          <w:szCs w:val="22"/>
          <w:lang w:val="en-US"/>
        </w:rPr>
        <w:t xml:space="preserve"> By beating analys</w:t>
      </w:r>
      <w:r w:rsidR="00E46A31">
        <w:rPr>
          <w:sz w:val="22"/>
          <w:szCs w:val="22"/>
          <w:lang w:val="en-US"/>
        </w:rPr>
        <w:t>ts’ expectations and encourage</w:t>
      </w:r>
      <w:r w:rsidR="0046486F">
        <w:rPr>
          <w:sz w:val="22"/>
          <w:szCs w:val="22"/>
          <w:lang w:val="en-US"/>
        </w:rPr>
        <w:t xml:space="preserve"> investors to buy company’s stocks</w:t>
      </w:r>
      <w:r w:rsidR="00E46A31">
        <w:rPr>
          <w:sz w:val="22"/>
          <w:szCs w:val="22"/>
          <w:lang w:val="en-US"/>
        </w:rPr>
        <w:t>, these accounting methods aim for</w:t>
      </w:r>
      <w:r w:rsidR="0046486F">
        <w:rPr>
          <w:sz w:val="22"/>
          <w:szCs w:val="22"/>
          <w:lang w:val="en-US"/>
        </w:rPr>
        <w:t xml:space="preserve"> higher stock prices and</w:t>
      </w:r>
      <w:r w:rsidR="003B44C2">
        <w:rPr>
          <w:sz w:val="22"/>
          <w:szCs w:val="22"/>
          <w:lang w:val="en-US"/>
        </w:rPr>
        <w:t>/or</w:t>
      </w:r>
      <w:r w:rsidR="0046486F">
        <w:rPr>
          <w:sz w:val="22"/>
          <w:szCs w:val="22"/>
          <w:lang w:val="en-US"/>
        </w:rPr>
        <w:t xml:space="preserve"> firm value.</w:t>
      </w:r>
    </w:p>
    <w:p w:rsidR="0046486F" w:rsidRDefault="0046486F" w:rsidP="00DA30B9">
      <w:pPr>
        <w:pStyle w:val="Default"/>
        <w:numPr>
          <w:ilvl w:val="0"/>
          <w:numId w:val="3"/>
        </w:numPr>
        <w:spacing w:line="360" w:lineRule="auto"/>
        <w:jc w:val="both"/>
        <w:rPr>
          <w:sz w:val="22"/>
          <w:szCs w:val="22"/>
          <w:lang w:val="en-US"/>
        </w:rPr>
      </w:pPr>
      <w:r>
        <w:rPr>
          <w:i/>
          <w:sz w:val="22"/>
          <w:szCs w:val="22"/>
          <w:lang w:val="en-US"/>
        </w:rPr>
        <w:t>Company efficiency</w:t>
      </w:r>
      <w:r w:rsidR="0003237B">
        <w:rPr>
          <w:i/>
          <w:sz w:val="22"/>
          <w:szCs w:val="22"/>
          <w:lang w:val="en-US"/>
        </w:rPr>
        <w:t xml:space="preserve">: </w:t>
      </w:r>
      <w:r w:rsidR="0003237B" w:rsidRPr="0003237B">
        <w:rPr>
          <w:sz w:val="22"/>
          <w:szCs w:val="22"/>
          <w:lang w:val="en-US"/>
        </w:rPr>
        <w:t>The efficiency perspective of PAT</w:t>
      </w:r>
      <w:r w:rsidR="0003237B">
        <w:rPr>
          <w:sz w:val="22"/>
          <w:szCs w:val="22"/>
          <w:lang w:val="en-US"/>
        </w:rPr>
        <w:t xml:space="preserve"> assumes that </w:t>
      </w:r>
      <w:r w:rsidR="008B48E6">
        <w:rPr>
          <w:sz w:val="22"/>
          <w:szCs w:val="22"/>
          <w:lang w:val="en-US"/>
        </w:rPr>
        <w:t>managers</w:t>
      </w:r>
      <w:r w:rsidR="0003237B">
        <w:rPr>
          <w:sz w:val="22"/>
          <w:szCs w:val="22"/>
          <w:lang w:val="en-US"/>
        </w:rPr>
        <w:t xml:space="preserve"> adopt particular accounting methods because that method reflects best </w:t>
      </w:r>
      <w:r w:rsidR="008B48E6">
        <w:rPr>
          <w:sz w:val="22"/>
          <w:szCs w:val="22"/>
          <w:lang w:val="en-US"/>
        </w:rPr>
        <w:t>the</w:t>
      </w:r>
      <w:r w:rsidR="0003237B">
        <w:rPr>
          <w:sz w:val="22"/>
          <w:szCs w:val="22"/>
          <w:lang w:val="en-US"/>
        </w:rPr>
        <w:t xml:space="preserve"> underlying economic performance</w:t>
      </w:r>
      <w:r w:rsidR="008B48E6">
        <w:rPr>
          <w:sz w:val="22"/>
          <w:szCs w:val="22"/>
          <w:lang w:val="en-US"/>
        </w:rPr>
        <w:t xml:space="preserve"> of the firm</w:t>
      </w:r>
      <w:r w:rsidR="0003237B">
        <w:rPr>
          <w:sz w:val="22"/>
          <w:szCs w:val="22"/>
          <w:lang w:val="en-US"/>
        </w:rPr>
        <w:t xml:space="preserve">. </w:t>
      </w:r>
      <w:r w:rsidR="008B48E6">
        <w:rPr>
          <w:sz w:val="22"/>
          <w:szCs w:val="22"/>
          <w:lang w:val="en-US"/>
        </w:rPr>
        <w:t>By providing this accurate information, investors and other parties will not need to gather information from other sources. These will lead to cost savings.</w:t>
      </w:r>
    </w:p>
    <w:p w:rsidR="000A1114" w:rsidRPr="000A1114" w:rsidRDefault="000A1114" w:rsidP="00DA30B9">
      <w:pPr>
        <w:pStyle w:val="Default"/>
        <w:numPr>
          <w:ilvl w:val="0"/>
          <w:numId w:val="3"/>
        </w:numPr>
        <w:spacing w:line="360" w:lineRule="auto"/>
        <w:jc w:val="both"/>
        <w:rPr>
          <w:sz w:val="22"/>
          <w:szCs w:val="22"/>
          <w:lang w:val="en-US"/>
        </w:rPr>
      </w:pPr>
      <w:r>
        <w:rPr>
          <w:i/>
          <w:sz w:val="22"/>
          <w:szCs w:val="22"/>
          <w:lang w:val="en-US"/>
        </w:rPr>
        <w:t xml:space="preserve">Manager personal motives: </w:t>
      </w:r>
      <w:r w:rsidRPr="0003237B">
        <w:rPr>
          <w:sz w:val="22"/>
          <w:szCs w:val="22"/>
          <w:lang w:val="en-US"/>
        </w:rPr>
        <w:t>a manager may use increasing earnings management to show positive reported income for personal motives like reputation, job security and career opportunities.</w:t>
      </w:r>
    </w:p>
    <w:p w:rsidR="00DF7D4C" w:rsidRPr="000057FF" w:rsidRDefault="00A2728A" w:rsidP="006B7FF2">
      <w:pPr>
        <w:pStyle w:val="Kop2"/>
      </w:pPr>
      <w:bookmarkStart w:id="39" w:name="_Toc287614169"/>
      <w:r>
        <w:lastRenderedPageBreak/>
        <w:t>3</w:t>
      </w:r>
      <w:r w:rsidR="00B15A24" w:rsidRPr="000057FF">
        <w:t>.</w:t>
      </w:r>
      <w:r w:rsidR="00EA01D8">
        <w:t>5</w:t>
      </w:r>
      <w:r w:rsidR="0052514F" w:rsidRPr="000057FF">
        <w:t xml:space="preserve"> </w:t>
      </w:r>
      <w:r w:rsidR="001C76A4" w:rsidRPr="000057FF">
        <w:t>How</w:t>
      </w:r>
      <w:r w:rsidR="00030AA9" w:rsidRPr="000057FF">
        <w:t xml:space="preserve"> to </w:t>
      </w:r>
      <w:r w:rsidR="001C76A4" w:rsidRPr="000057FF">
        <w:t>measure</w:t>
      </w:r>
      <w:r w:rsidR="00030AA9" w:rsidRPr="000057FF">
        <w:t xml:space="preserve"> earnings management</w:t>
      </w:r>
      <w:r w:rsidR="001C76A4" w:rsidRPr="000057FF">
        <w:t>?</w:t>
      </w:r>
      <w:bookmarkEnd w:id="39"/>
    </w:p>
    <w:p w:rsidR="00A7457A" w:rsidRDefault="00CB1063" w:rsidP="00002D08">
      <w:pPr>
        <w:autoSpaceDE w:val="0"/>
        <w:autoSpaceDN w:val="0"/>
        <w:adjustRightInd w:val="0"/>
        <w:spacing w:line="360" w:lineRule="auto"/>
        <w:jc w:val="both"/>
        <w:rPr>
          <w:sz w:val="22"/>
          <w:szCs w:val="22"/>
        </w:rPr>
      </w:pPr>
      <w:r>
        <w:rPr>
          <w:sz w:val="22"/>
          <w:szCs w:val="22"/>
        </w:rPr>
        <w:t xml:space="preserve">To measure earnings management, the </w:t>
      </w:r>
      <w:r w:rsidR="009260B0">
        <w:rPr>
          <w:sz w:val="22"/>
          <w:szCs w:val="22"/>
        </w:rPr>
        <w:t>literature</w:t>
      </w:r>
      <w:r>
        <w:rPr>
          <w:sz w:val="22"/>
          <w:szCs w:val="22"/>
        </w:rPr>
        <w:t xml:space="preserve"> divides accruals </w:t>
      </w:r>
      <w:r w:rsidR="00357CAB">
        <w:rPr>
          <w:sz w:val="22"/>
          <w:szCs w:val="22"/>
        </w:rPr>
        <w:t xml:space="preserve">in non-discretionary </w:t>
      </w:r>
      <w:r>
        <w:rPr>
          <w:sz w:val="22"/>
          <w:szCs w:val="22"/>
        </w:rPr>
        <w:t xml:space="preserve">accruals </w:t>
      </w:r>
      <w:r w:rsidR="00357CAB">
        <w:rPr>
          <w:sz w:val="22"/>
          <w:szCs w:val="22"/>
        </w:rPr>
        <w:t>and discretionary accruals</w:t>
      </w:r>
      <w:r w:rsidR="0084482D">
        <w:rPr>
          <w:sz w:val="22"/>
          <w:szCs w:val="22"/>
        </w:rPr>
        <w:t xml:space="preserve"> (also known as abnormal accruals)</w:t>
      </w:r>
      <w:r w:rsidR="00357CAB">
        <w:rPr>
          <w:sz w:val="22"/>
          <w:szCs w:val="22"/>
        </w:rPr>
        <w:t xml:space="preserve">. </w:t>
      </w:r>
      <w:r>
        <w:rPr>
          <w:sz w:val="22"/>
          <w:szCs w:val="22"/>
        </w:rPr>
        <w:t xml:space="preserve">Non-discretionary accruals are </w:t>
      </w:r>
      <w:r w:rsidR="009260B0">
        <w:rPr>
          <w:sz w:val="22"/>
          <w:szCs w:val="22"/>
        </w:rPr>
        <w:t xml:space="preserve">accounting adjustments on cash flow that </w:t>
      </w:r>
      <w:r w:rsidR="00A7457A">
        <w:rPr>
          <w:sz w:val="22"/>
          <w:szCs w:val="22"/>
        </w:rPr>
        <w:t>are set by the accounting standards. Discretionary accruals are estimates made within the discretion of the manager</w:t>
      </w:r>
      <w:r w:rsidR="004E5FF9">
        <w:rPr>
          <w:sz w:val="22"/>
          <w:szCs w:val="22"/>
        </w:rPr>
        <w:t xml:space="preserve">. </w:t>
      </w:r>
      <w:r w:rsidR="00A7457A">
        <w:rPr>
          <w:sz w:val="22"/>
          <w:szCs w:val="22"/>
        </w:rPr>
        <w:t xml:space="preserve">Ronen and </w:t>
      </w:r>
      <w:proofErr w:type="spellStart"/>
      <w:r w:rsidR="00A7457A">
        <w:rPr>
          <w:sz w:val="22"/>
          <w:szCs w:val="22"/>
        </w:rPr>
        <w:t>Yaari</w:t>
      </w:r>
      <w:proofErr w:type="spellEnd"/>
      <w:r w:rsidR="00A7457A">
        <w:rPr>
          <w:sz w:val="22"/>
          <w:szCs w:val="22"/>
        </w:rPr>
        <w:t xml:space="preserve"> (2008</w:t>
      </w:r>
      <w:r w:rsidR="00C42B61">
        <w:rPr>
          <w:sz w:val="22"/>
          <w:szCs w:val="22"/>
        </w:rPr>
        <w:t>, p. 372</w:t>
      </w:r>
      <w:r w:rsidR="00A7457A">
        <w:rPr>
          <w:sz w:val="22"/>
          <w:szCs w:val="22"/>
        </w:rPr>
        <w:t>) use the following definition: “</w:t>
      </w:r>
      <w:r w:rsidR="00A7457A" w:rsidRPr="004E5FF9">
        <w:rPr>
          <w:i/>
          <w:iCs/>
          <w:sz w:val="22"/>
          <w:szCs w:val="22"/>
        </w:rPr>
        <w:t>Non-discretionary accruals</w:t>
      </w:r>
      <w:r w:rsidR="00A7457A" w:rsidRPr="004E5FF9">
        <w:rPr>
          <w:b/>
          <w:bCs/>
          <w:i/>
          <w:iCs/>
          <w:sz w:val="22"/>
          <w:szCs w:val="22"/>
        </w:rPr>
        <w:t xml:space="preserve"> </w:t>
      </w:r>
      <w:r w:rsidR="00A7457A" w:rsidRPr="004E5FF9">
        <w:rPr>
          <w:i/>
          <w:iCs/>
          <w:sz w:val="22"/>
          <w:szCs w:val="22"/>
        </w:rPr>
        <w:t>are accruals that arise from transactions made in the current period that are normal for the firm given its performance level and business strategy, industry conventions, macro-economic events, and other economic factors. Discretionary accruals are accruals that arise from transactions made or accounting treatments chosen in order to manage earnings.”</w:t>
      </w:r>
      <w:r w:rsidR="00002D08">
        <w:rPr>
          <w:iCs/>
          <w:sz w:val="22"/>
          <w:szCs w:val="22"/>
        </w:rPr>
        <w:t xml:space="preserve"> </w:t>
      </w:r>
      <w:r w:rsidR="004E5FF9" w:rsidRPr="004E5FF9">
        <w:rPr>
          <w:sz w:val="22"/>
          <w:szCs w:val="22"/>
        </w:rPr>
        <w:t xml:space="preserve">In empirical studies discretionary accruals are used as proxy for earnings management, because those are the accruals where management can use </w:t>
      </w:r>
      <w:r w:rsidR="00EF7975">
        <w:rPr>
          <w:sz w:val="22"/>
          <w:szCs w:val="22"/>
        </w:rPr>
        <w:t>their</w:t>
      </w:r>
      <w:r w:rsidR="004E5FF9" w:rsidRPr="004E5FF9">
        <w:rPr>
          <w:sz w:val="22"/>
          <w:szCs w:val="22"/>
        </w:rPr>
        <w:t xml:space="preserve"> discretion on. </w:t>
      </w:r>
      <w:proofErr w:type="spellStart"/>
      <w:r w:rsidR="00EF7975">
        <w:rPr>
          <w:sz w:val="22"/>
          <w:szCs w:val="22"/>
        </w:rPr>
        <w:t>McNichols</w:t>
      </w:r>
      <w:proofErr w:type="spellEnd"/>
      <w:r w:rsidR="00EF7975">
        <w:rPr>
          <w:sz w:val="22"/>
          <w:szCs w:val="22"/>
        </w:rPr>
        <w:t xml:space="preserve"> (2000) </w:t>
      </w:r>
      <w:r w:rsidR="0091110F">
        <w:rPr>
          <w:sz w:val="22"/>
          <w:szCs w:val="22"/>
        </w:rPr>
        <w:t>presents</w:t>
      </w:r>
      <w:r w:rsidR="00EF7975">
        <w:rPr>
          <w:sz w:val="22"/>
          <w:szCs w:val="22"/>
        </w:rPr>
        <w:t xml:space="preserve"> an overview of three </w:t>
      </w:r>
      <w:r w:rsidR="0091110F">
        <w:rPr>
          <w:sz w:val="22"/>
          <w:szCs w:val="22"/>
        </w:rPr>
        <w:t>kinds of</w:t>
      </w:r>
      <w:r w:rsidR="00EF7975">
        <w:rPr>
          <w:sz w:val="22"/>
          <w:szCs w:val="22"/>
        </w:rPr>
        <w:t xml:space="preserve"> research designs </w:t>
      </w:r>
      <w:r w:rsidR="0091110F">
        <w:rPr>
          <w:sz w:val="22"/>
          <w:szCs w:val="22"/>
        </w:rPr>
        <w:t>that are commonly used in the literature to measure earnings management:</w:t>
      </w:r>
    </w:p>
    <w:p w:rsidR="00831B5A" w:rsidRDefault="00831B5A" w:rsidP="00F82E77">
      <w:pPr>
        <w:spacing w:line="360" w:lineRule="auto"/>
        <w:jc w:val="both"/>
        <w:rPr>
          <w:sz w:val="22"/>
          <w:szCs w:val="22"/>
        </w:rPr>
      </w:pPr>
    </w:p>
    <w:p w:rsidR="00840939" w:rsidRDefault="00831B5A" w:rsidP="00F82E77">
      <w:pPr>
        <w:spacing w:line="360" w:lineRule="auto"/>
        <w:jc w:val="both"/>
        <w:rPr>
          <w:sz w:val="22"/>
          <w:szCs w:val="22"/>
        </w:rPr>
      </w:pPr>
      <w:r w:rsidRPr="00CC5018">
        <w:rPr>
          <w:i/>
          <w:sz w:val="22"/>
          <w:szCs w:val="22"/>
        </w:rPr>
        <w:t>(</w:t>
      </w:r>
      <w:proofErr w:type="spellStart"/>
      <w:r w:rsidRPr="00CC5018">
        <w:rPr>
          <w:i/>
          <w:sz w:val="22"/>
          <w:szCs w:val="22"/>
        </w:rPr>
        <w:t>i</w:t>
      </w:r>
      <w:proofErr w:type="spellEnd"/>
      <w:r w:rsidRPr="00CC5018">
        <w:rPr>
          <w:i/>
          <w:sz w:val="22"/>
          <w:szCs w:val="22"/>
        </w:rPr>
        <w:t>) Research</w:t>
      </w:r>
      <w:r w:rsidRPr="00B41B61">
        <w:rPr>
          <w:i/>
          <w:sz w:val="22"/>
          <w:szCs w:val="22"/>
        </w:rPr>
        <w:t xml:space="preserve"> based on aggregate accruals</w:t>
      </w:r>
    </w:p>
    <w:p w:rsidR="009429D5" w:rsidRDefault="00F82E77" w:rsidP="00F82E77">
      <w:pPr>
        <w:spacing w:line="360" w:lineRule="auto"/>
        <w:jc w:val="both"/>
        <w:rPr>
          <w:sz w:val="22"/>
          <w:szCs w:val="22"/>
        </w:rPr>
      </w:pPr>
      <w:r>
        <w:rPr>
          <w:sz w:val="22"/>
          <w:szCs w:val="22"/>
        </w:rPr>
        <w:t>This method identifies discretionary accruals by using a relation between total accruals and hy</w:t>
      </w:r>
      <w:r w:rsidR="006C61C0">
        <w:rPr>
          <w:sz w:val="22"/>
          <w:szCs w:val="22"/>
        </w:rPr>
        <w:t xml:space="preserve">pothesized explanatory factors. </w:t>
      </w:r>
      <w:r>
        <w:rPr>
          <w:sz w:val="22"/>
          <w:szCs w:val="22"/>
        </w:rPr>
        <w:t>Healy (1985)</w:t>
      </w:r>
      <w:r w:rsidR="000A78BE">
        <w:rPr>
          <w:sz w:val="22"/>
          <w:szCs w:val="22"/>
        </w:rPr>
        <w:t xml:space="preserve"> takes the</w:t>
      </w:r>
      <w:r w:rsidR="006C61C0">
        <w:rPr>
          <w:sz w:val="22"/>
          <w:szCs w:val="22"/>
        </w:rPr>
        <w:t xml:space="preserve"> total accruals</w:t>
      </w:r>
      <w:r w:rsidR="000A78BE">
        <w:rPr>
          <w:sz w:val="22"/>
          <w:szCs w:val="22"/>
        </w:rPr>
        <w:t xml:space="preserve"> (TA)</w:t>
      </w:r>
      <w:r w:rsidR="006C61C0">
        <w:rPr>
          <w:sz w:val="22"/>
          <w:szCs w:val="22"/>
        </w:rPr>
        <w:t xml:space="preserve"> from </w:t>
      </w:r>
      <w:r w:rsidR="000A78BE">
        <w:rPr>
          <w:sz w:val="22"/>
          <w:szCs w:val="22"/>
        </w:rPr>
        <w:t xml:space="preserve">period t </w:t>
      </w:r>
      <w:r w:rsidR="008D24A6">
        <w:rPr>
          <w:sz w:val="22"/>
          <w:szCs w:val="22"/>
        </w:rPr>
        <w:t xml:space="preserve">with earnings management applied </w:t>
      </w:r>
      <w:r w:rsidR="000A78BE">
        <w:rPr>
          <w:sz w:val="22"/>
          <w:szCs w:val="22"/>
        </w:rPr>
        <w:t>and assumes that the average total accruals in the previous years are similar to non-discretionary accruals (NDA)</w:t>
      </w:r>
      <w:r w:rsidR="008D24A6">
        <w:rPr>
          <w:sz w:val="22"/>
          <w:szCs w:val="22"/>
        </w:rPr>
        <w:t xml:space="preserve"> with no earnings management applied</w:t>
      </w:r>
      <w:r w:rsidR="000A78BE">
        <w:rPr>
          <w:sz w:val="22"/>
          <w:szCs w:val="22"/>
        </w:rPr>
        <w:t xml:space="preserve">. Discretionary accruals (DA) are then measured by </w:t>
      </w:r>
      <w:r w:rsidR="00BD2645">
        <w:rPr>
          <w:sz w:val="22"/>
          <w:szCs w:val="22"/>
        </w:rPr>
        <w:t>deducting average</w:t>
      </w:r>
      <w:r w:rsidR="000A78BE">
        <w:rPr>
          <w:sz w:val="22"/>
          <w:szCs w:val="22"/>
        </w:rPr>
        <w:t xml:space="preserve"> total accruals (contains only NDA) </w:t>
      </w:r>
      <w:r w:rsidR="00BD2645">
        <w:rPr>
          <w:sz w:val="22"/>
          <w:szCs w:val="22"/>
        </w:rPr>
        <w:t>in</w:t>
      </w:r>
      <w:r w:rsidR="000A78BE">
        <w:rPr>
          <w:sz w:val="22"/>
          <w:szCs w:val="22"/>
        </w:rPr>
        <w:t xml:space="preserve"> the previous years from the total accruals (c</w:t>
      </w:r>
      <w:r w:rsidR="00B64613">
        <w:rPr>
          <w:sz w:val="22"/>
          <w:szCs w:val="22"/>
        </w:rPr>
        <w:t>ontains NDA and DA) in period t</w:t>
      </w:r>
      <w:r w:rsidR="004C54A2">
        <w:rPr>
          <w:sz w:val="22"/>
          <w:szCs w:val="22"/>
        </w:rPr>
        <w:t>.</w:t>
      </w:r>
      <w:r w:rsidR="006C61C0">
        <w:rPr>
          <w:sz w:val="22"/>
          <w:szCs w:val="22"/>
        </w:rPr>
        <w:t xml:space="preserve"> </w:t>
      </w:r>
      <w:r w:rsidR="00BD2645">
        <w:rPr>
          <w:sz w:val="22"/>
          <w:szCs w:val="22"/>
        </w:rPr>
        <w:t xml:space="preserve">The </w:t>
      </w:r>
      <w:proofErr w:type="spellStart"/>
      <w:r w:rsidR="00BD2645">
        <w:rPr>
          <w:sz w:val="22"/>
          <w:szCs w:val="22"/>
        </w:rPr>
        <w:t>DeAngelo</w:t>
      </w:r>
      <w:proofErr w:type="spellEnd"/>
      <w:r w:rsidR="00BD2645">
        <w:rPr>
          <w:sz w:val="22"/>
          <w:szCs w:val="22"/>
        </w:rPr>
        <w:t xml:space="preserve"> model (1986) is like the Healy model, but the estimation period for non-discretionary accruals is restricted to last year’s observation instead the average of previous years. </w:t>
      </w:r>
      <w:r w:rsidR="008D24A6">
        <w:rPr>
          <w:sz w:val="22"/>
          <w:szCs w:val="22"/>
        </w:rPr>
        <w:t xml:space="preserve">Both the Healy and </w:t>
      </w:r>
      <w:proofErr w:type="spellStart"/>
      <w:r w:rsidR="008D24A6">
        <w:rPr>
          <w:sz w:val="22"/>
          <w:szCs w:val="22"/>
        </w:rPr>
        <w:t>DeAngelo</w:t>
      </w:r>
      <w:proofErr w:type="spellEnd"/>
      <w:r w:rsidR="008D24A6">
        <w:rPr>
          <w:sz w:val="22"/>
          <w:szCs w:val="22"/>
        </w:rPr>
        <w:t xml:space="preserve"> model don’t take into account that period t, where the total accruals in which earnings management is expected, can be influenced by the economic fluctuations. </w:t>
      </w:r>
      <w:r w:rsidR="00B1394B">
        <w:rPr>
          <w:sz w:val="22"/>
          <w:szCs w:val="22"/>
        </w:rPr>
        <w:t xml:space="preserve">The </w:t>
      </w:r>
      <w:r w:rsidR="0033196A">
        <w:rPr>
          <w:sz w:val="22"/>
          <w:szCs w:val="22"/>
        </w:rPr>
        <w:t xml:space="preserve">fluctuations </w:t>
      </w:r>
      <w:r w:rsidR="002264A3">
        <w:rPr>
          <w:sz w:val="22"/>
          <w:szCs w:val="22"/>
        </w:rPr>
        <w:t>of supply and demand</w:t>
      </w:r>
      <w:r w:rsidR="00B1394B">
        <w:rPr>
          <w:sz w:val="22"/>
          <w:szCs w:val="22"/>
        </w:rPr>
        <w:t xml:space="preserve"> can have signi</w:t>
      </w:r>
      <w:r w:rsidR="002264A3">
        <w:rPr>
          <w:sz w:val="22"/>
          <w:szCs w:val="22"/>
        </w:rPr>
        <w:t xml:space="preserve">ficant influence on accruals </w:t>
      </w:r>
      <w:r w:rsidR="00B1394B">
        <w:rPr>
          <w:sz w:val="22"/>
          <w:szCs w:val="22"/>
        </w:rPr>
        <w:t>(</w:t>
      </w:r>
      <w:proofErr w:type="spellStart"/>
      <w:r w:rsidR="00B1394B">
        <w:rPr>
          <w:sz w:val="22"/>
          <w:szCs w:val="22"/>
        </w:rPr>
        <w:t>VanderBauwhede</w:t>
      </w:r>
      <w:proofErr w:type="spellEnd"/>
      <w:r w:rsidR="00B1394B">
        <w:rPr>
          <w:sz w:val="22"/>
          <w:szCs w:val="22"/>
        </w:rPr>
        <w:t xml:space="preserve"> 2003). </w:t>
      </w:r>
    </w:p>
    <w:p w:rsidR="009429D5" w:rsidRDefault="009429D5" w:rsidP="00F82E77">
      <w:pPr>
        <w:spacing w:line="360" w:lineRule="auto"/>
        <w:jc w:val="both"/>
        <w:rPr>
          <w:sz w:val="22"/>
          <w:szCs w:val="22"/>
        </w:rPr>
      </w:pPr>
    </w:p>
    <w:p w:rsidR="0091110F" w:rsidRDefault="00B1394B" w:rsidP="00F82E77">
      <w:pPr>
        <w:spacing w:line="360" w:lineRule="auto"/>
        <w:jc w:val="both"/>
        <w:rPr>
          <w:sz w:val="22"/>
          <w:szCs w:val="22"/>
        </w:rPr>
      </w:pPr>
      <w:r>
        <w:rPr>
          <w:sz w:val="22"/>
          <w:szCs w:val="22"/>
        </w:rPr>
        <w:t>Jones (1991) introduced a</w:t>
      </w:r>
      <w:r w:rsidR="008D24A6">
        <w:rPr>
          <w:sz w:val="22"/>
          <w:szCs w:val="22"/>
        </w:rPr>
        <w:t xml:space="preserve"> version </w:t>
      </w:r>
      <w:r>
        <w:rPr>
          <w:sz w:val="22"/>
          <w:szCs w:val="22"/>
        </w:rPr>
        <w:t>to control for non-discretionary factors influencing accruals</w:t>
      </w:r>
      <w:r w:rsidR="00BC28E5">
        <w:rPr>
          <w:sz w:val="22"/>
          <w:szCs w:val="22"/>
        </w:rPr>
        <w:t>. The Jones model</w:t>
      </w:r>
      <w:r w:rsidR="00B64613">
        <w:rPr>
          <w:sz w:val="22"/>
          <w:szCs w:val="22"/>
        </w:rPr>
        <w:t xml:space="preserve"> </w:t>
      </w:r>
      <w:r w:rsidR="00787EE0">
        <w:rPr>
          <w:sz w:val="22"/>
          <w:szCs w:val="22"/>
        </w:rPr>
        <w:t>relaxes the assumption that non-discretionary accruals are constant</w:t>
      </w:r>
      <w:r>
        <w:rPr>
          <w:sz w:val="22"/>
          <w:szCs w:val="22"/>
        </w:rPr>
        <w:t xml:space="preserve">. </w:t>
      </w:r>
      <w:r w:rsidR="00B64613">
        <w:rPr>
          <w:sz w:val="22"/>
          <w:szCs w:val="22"/>
        </w:rPr>
        <w:t>It</w:t>
      </w:r>
      <w:r>
        <w:rPr>
          <w:sz w:val="22"/>
          <w:szCs w:val="22"/>
        </w:rPr>
        <w:t xml:space="preserve"> uses a regression approach, specifying a linear relation between total accruals and change in sales and property, plant and equipment.</w:t>
      </w:r>
      <w:r w:rsidR="00787EE0">
        <w:rPr>
          <w:sz w:val="22"/>
          <w:szCs w:val="22"/>
        </w:rPr>
        <w:t xml:space="preserve"> </w:t>
      </w:r>
      <w:r w:rsidR="00BC610B">
        <w:rPr>
          <w:sz w:val="22"/>
          <w:szCs w:val="22"/>
        </w:rPr>
        <w:t>First total accruals need to be calculated, which is defined as the difference between net income before extraordinary items (EXBI) and cash flow from operations (CFO). The basic estimation equation is as follows:</w:t>
      </w:r>
    </w:p>
    <w:p w:rsidR="00787EE0" w:rsidRDefault="00787EE0" w:rsidP="00F82E77">
      <w:pPr>
        <w:spacing w:line="360" w:lineRule="auto"/>
        <w:jc w:val="both"/>
        <w:rPr>
          <w:sz w:val="22"/>
          <w:szCs w:val="22"/>
        </w:rPr>
      </w:pPr>
    </w:p>
    <w:p w:rsidR="00140A91" w:rsidRPr="00140A91" w:rsidRDefault="00140A91" w:rsidP="00DA30B9">
      <w:pPr>
        <w:pStyle w:val="Lijstalinea"/>
        <w:numPr>
          <w:ilvl w:val="0"/>
          <w:numId w:val="6"/>
        </w:numPr>
        <w:spacing w:after="120" w:line="360" w:lineRule="auto"/>
        <w:ind w:left="714" w:hanging="357"/>
        <w:jc w:val="both"/>
        <w:rPr>
          <w:sz w:val="22"/>
          <w:szCs w:val="22"/>
        </w:rPr>
      </w:pPr>
      <m:oMath>
        <m:r>
          <w:rPr>
            <w:rFonts w:ascii="Cambria Math" w:hAnsi="Cambria Math"/>
            <w:sz w:val="22"/>
            <w:szCs w:val="22"/>
          </w:rPr>
          <m:t>TA=EXBI-CFO</m:t>
        </m:r>
      </m:oMath>
    </w:p>
    <w:p w:rsidR="00550AAE" w:rsidRDefault="00903783" w:rsidP="00846380">
      <w:pPr>
        <w:spacing w:line="360" w:lineRule="auto"/>
        <w:jc w:val="both"/>
        <w:rPr>
          <w:sz w:val="22"/>
          <w:szCs w:val="22"/>
        </w:rPr>
      </w:pPr>
      <w:r>
        <w:rPr>
          <w:sz w:val="22"/>
          <w:szCs w:val="22"/>
        </w:rPr>
        <w:t>Secondly,</w:t>
      </w:r>
      <w:r w:rsidR="00836A2D">
        <w:rPr>
          <w:sz w:val="22"/>
          <w:szCs w:val="22"/>
        </w:rPr>
        <w:t xml:space="preserve"> the estimated TA is used in</w:t>
      </w:r>
      <w:r w:rsidR="00BC610B">
        <w:rPr>
          <w:sz w:val="22"/>
          <w:szCs w:val="22"/>
        </w:rPr>
        <w:t xml:space="preserve"> equation (2) to calculate the coefficients:</w:t>
      </w:r>
    </w:p>
    <w:p w:rsidR="00114B5F" w:rsidRPr="00550AAE" w:rsidRDefault="00114B5F" w:rsidP="00846380">
      <w:pPr>
        <w:spacing w:line="360" w:lineRule="auto"/>
        <w:jc w:val="both"/>
        <w:rPr>
          <w:sz w:val="22"/>
          <w:szCs w:val="22"/>
        </w:rPr>
      </w:pPr>
    </w:p>
    <w:p w:rsidR="00277425" w:rsidRPr="00846380" w:rsidRDefault="008C1ADE" w:rsidP="00DA30B9">
      <w:pPr>
        <w:pStyle w:val="Lijstalinea"/>
        <w:numPr>
          <w:ilvl w:val="0"/>
          <w:numId w:val="6"/>
        </w:numPr>
        <w:spacing w:line="480" w:lineRule="auto"/>
        <w:ind w:left="714" w:hanging="357"/>
        <w:jc w:val="both"/>
        <w:rPr>
          <w:sz w:val="22"/>
          <w:szCs w:val="22"/>
        </w:rPr>
      </w:pPr>
      <w:r>
        <w:rPr>
          <w:sz w:val="22"/>
          <w:szCs w:val="22"/>
        </w:rPr>
        <w:t xml:space="preserve"> </w:t>
      </w:r>
      <m:oMath>
        <m:sSub>
          <m:sSubPr>
            <m:ctrlPr>
              <w:rPr>
                <w:rFonts w:ascii="Cambria Math" w:hAnsi="Cambria Math"/>
                <w:i/>
                <w:sz w:val="22"/>
                <w:szCs w:val="22"/>
              </w:rPr>
            </m:ctrlPr>
          </m:sSubPr>
          <m:e>
            <m:r>
              <w:rPr>
                <w:rFonts w:ascii="Cambria Math" w:hAnsi="Cambria Math"/>
                <w:sz w:val="22"/>
                <w:szCs w:val="22"/>
              </w:rPr>
              <m:t>TA</m:t>
            </m:r>
          </m:e>
          <m:sub>
            <m:r>
              <w:rPr>
                <w:rFonts w:ascii="Cambria Math" w:hAnsi="Cambria Math"/>
                <w:sz w:val="22"/>
                <w:szCs w:val="22"/>
              </w:rPr>
              <m:t>Estimated</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1</m:t>
            </m:r>
          </m:sub>
        </m:sSub>
        <m:r>
          <w:rPr>
            <w:rFonts w:ascii="Cambria Math" w:hAnsi="Cambria Math"/>
            <w:sz w:val="22"/>
            <w:szCs w:val="22"/>
          </w:rPr>
          <m:t xml:space="preserve"> </m:t>
        </m:r>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ASSETS</m:t>
                    </m:r>
                  </m:e>
                  <m:sub>
                    <m:r>
                      <w:rPr>
                        <w:rFonts w:ascii="Cambria Math" w:hAnsi="Cambria Math"/>
                        <w:sz w:val="22"/>
                        <w:szCs w:val="22"/>
                      </w:rPr>
                      <m:t>t-1</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 xml:space="preserve">2 </m:t>
            </m:r>
          </m:sub>
        </m:sSub>
        <m:d>
          <m:dPr>
            <m:ctrlPr>
              <w:rPr>
                <w:rFonts w:ascii="Cambria Math" w:hAnsi="Cambria Math"/>
                <w:i/>
                <w:sz w:val="22"/>
                <w:szCs w:val="22"/>
              </w:rPr>
            </m:ctrlPr>
          </m:dPr>
          <m:e>
            <m:sSub>
              <m:sSubPr>
                <m:ctrlPr>
                  <w:rPr>
                    <w:rFonts w:ascii="Cambria Math" w:hAnsi="Cambria Math"/>
                    <w:sz w:val="22"/>
                    <w:szCs w:val="22"/>
                  </w:rPr>
                </m:ctrlPr>
              </m:sSubPr>
              <m:e>
                <m:r>
                  <m:rPr>
                    <m:sty m:val="p"/>
                  </m:rPr>
                  <w:rPr>
                    <w:rFonts w:ascii="Cambria Math" w:hAnsi="Cambria Math"/>
                    <w:sz w:val="22"/>
                    <w:szCs w:val="22"/>
                  </w:rPr>
                  <m:t>Δ</m:t>
                </m:r>
                <m:r>
                  <w:rPr>
                    <w:rFonts w:ascii="Cambria Math" w:hAnsi="Cambria Math"/>
                    <w:sz w:val="22"/>
                    <w:szCs w:val="22"/>
                  </w:rPr>
                  <m:t>REV</m:t>
                </m:r>
              </m:e>
              <m:sub>
                <m:r>
                  <m:rPr>
                    <m:sty m:val="p"/>
                  </m:rPr>
                  <w:rPr>
                    <w:rFonts w:ascii="Cambria Math" w:hAnsi="Cambria Math"/>
                    <w:sz w:val="22"/>
                    <w:szCs w:val="22"/>
                  </w:rPr>
                  <m:t>t</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PPE</m:t>
                </m:r>
              </m:e>
              <m:sub>
                <m:r>
                  <w:rPr>
                    <w:rFonts w:ascii="Cambria Math" w:hAnsi="Cambria Math"/>
                    <w:sz w:val="22"/>
                    <w:szCs w:val="22"/>
                  </w:rPr>
                  <m:t>t</m:t>
                </m:r>
              </m:sub>
            </m:sSub>
          </m:e>
        </m:d>
      </m:oMath>
    </w:p>
    <w:p w:rsidR="00846380" w:rsidRPr="00550AAE" w:rsidRDefault="00846380" w:rsidP="00DA30B9">
      <w:pPr>
        <w:pStyle w:val="Lijstalinea"/>
        <w:numPr>
          <w:ilvl w:val="0"/>
          <w:numId w:val="6"/>
        </w:numPr>
        <w:spacing w:line="480" w:lineRule="auto"/>
        <w:ind w:left="714" w:hanging="357"/>
        <w:jc w:val="both"/>
        <w:rPr>
          <w:sz w:val="22"/>
          <w:szCs w:val="22"/>
        </w:rPr>
      </w:pPr>
      <w:r w:rsidRPr="00550AAE">
        <w:rPr>
          <w:sz w:val="22"/>
          <w:szCs w:val="22"/>
        </w:rPr>
        <w:t xml:space="preserve"> </w:t>
      </w:r>
      <m:oMath>
        <m:sSub>
          <m:sSubPr>
            <m:ctrlPr>
              <w:rPr>
                <w:rFonts w:ascii="Cambria Math" w:hAnsi="Cambria Math"/>
                <w:i/>
                <w:sz w:val="22"/>
                <w:szCs w:val="22"/>
              </w:rPr>
            </m:ctrlPr>
          </m:sSubPr>
          <m:e>
            <m:r>
              <w:rPr>
                <w:rFonts w:ascii="Cambria Math" w:hAnsi="Cambria Math"/>
                <w:sz w:val="22"/>
                <w:szCs w:val="22"/>
              </w:rPr>
              <m:t>NDA</m:t>
            </m:r>
          </m:e>
          <m:sub>
            <m:r>
              <w:rPr>
                <w:rFonts w:ascii="Cambria Math" w:hAnsi="Cambria Math"/>
                <w:sz w:val="22"/>
                <w:szCs w:val="22"/>
              </w:rPr>
              <m:t>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1</m:t>
            </m:r>
          </m:sub>
        </m:sSub>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ASSETS</m:t>
                    </m:r>
                  </m:e>
                  <m:sub>
                    <m:r>
                      <w:rPr>
                        <w:rFonts w:ascii="Cambria Math" w:hAnsi="Cambria Math"/>
                        <w:sz w:val="22"/>
                        <w:szCs w:val="22"/>
                      </w:rPr>
                      <m:t>t-1</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2</m:t>
            </m:r>
          </m:sub>
        </m:sSub>
        <m:r>
          <w:rPr>
            <w:rFonts w:ascii="Cambria Math" w:hAnsi="Cambria Math"/>
            <w:sz w:val="22"/>
            <w:szCs w:val="22"/>
          </w:rPr>
          <m:t xml:space="preserve"> </m:t>
        </m:r>
        <m:d>
          <m:dPr>
            <m:ctrlPr>
              <w:rPr>
                <w:rFonts w:ascii="Cambria Math" w:hAnsi="Cambria Math"/>
                <w:i/>
                <w:sz w:val="22"/>
                <w:szCs w:val="22"/>
              </w:rPr>
            </m:ctrlPr>
          </m:dPr>
          <m:e>
            <m:sSub>
              <m:sSubPr>
                <m:ctrlPr>
                  <w:rPr>
                    <w:rFonts w:ascii="Cambria Math" w:hAnsi="Cambria Math"/>
                    <w:sz w:val="22"/>
                    <w:szCs w:val="22"/>
                  </w:rPr>
                </m:ctrlPr>
              </m:sSubPr>
              <m:e>
                <m:r>
                  <m:rPr>
                    <m:sty m:val="p"/>
                  </m:rPr>
                  <w:rPr>
                    <w:rFonts w:ascii="Cambria Math" w:hAnsi="Cambria Math"/>
                    <w:sz w:val="22"/>
                    <w:szCs w:val="22"/>
                  </w:rPr>
                  <m:t>Δ</m:t>
                </m:r>
                <m:r>
                  <w:rPr>
                    <w:rFonts w:ascii="Cambria Math" w:hAnsi="Cambria Math"/>
                    <w:sz w:val="22"/>
                    <w:szCs w:val="22"/>
                  </w:rPr>
                  <m:t>REV</m:t>
                </m:r>
              </m:e>
              <m:sub>
                <m:r>
                  <m:rPr>
                    <m:sty m:val="p"/>
                  </m:rPr>
                  <w:rPr>
                    <w:rFonts w:ascii="Cambria Math" w:hAnsi="Cambria Math"/>
                    <w:sz w:val="22"/>
                    <w:szCs w:val="22"/>
                  </w:rPr>
                  <m:t>t</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3</m:t>
            </m:r>
          </m:sub>
        </m:sSub>
        <m:r>
          <w:rPr>
            <w:rFonts w:ascii="Cambria Math" w:hAnsi="Cambria Math"/>
            <w:sz w:val="22"/>
            <w:szCs w:val="22"/>
          </w:rPr>
          <m:t xml:space="preserve"> </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PPE</m:t>
                </m:r>
              </m:e>
              <m:sub>
                <m:r>
                  <w:rPr>
                    <w:rFonts w:ascii="Cambria Math" w:hAnsi="Cambria Math"/>
                    <w:sz w:val="22"/>
                    <w:szCs w:val="22"/>
                  </w:rPr>
                  <m:t>t</m:t>
                </m:r>
              </m:sub>
            </m:sSub>
          </m:e>
        </m:d>
      </m:oMath>
    </w:p>
    <w:p w:rsidR="00846380" w:rsidRPr="00550AAE" w:rsidRDefault="008C1ADE" w:rsidP="00DA30B9">
      <w:pPr>
        <w:pStyle w:val="Lijstalinea"/>
        <w:numPr>
          <w:ilvl w:val="0"/>
          <w:numId w:val="6"/>
        </w:numPr>
        <w:spacing w:line="480" w:lineRule="auto"/>
        <w:ind w:left="714" w:hanging="357"/>
        <w:jc w:val="both"/>
        <w:rPr>
          <w:sz w:val="22"/>
          <w:szCs w:val="22"/>
        </w:rPr>
      </w:pPr>
      <w:r>
        <w:rPr>
          <w:sz w:val="22"/>
          <w:szCs w:val="22"/>
        </w:rPr>
        <w:t xml:space="preserve"> </w:t>
      </w:r>
      <m:oMath>
        <m:sSub>
          <m:sSubPr>
            <m:ctrlPr>
              <w:rPr>
                <w:rFonts w:ascii="Cambria Math" w:hAnsi="Cambria Math"/>
                <w:i/>
                <w:sz w:val="22"/>
                <w:szCs w:val="22"/>
              </w:rPr>
            </m:ctrlPr>
          </m:sSubPr>
          <m:e>
            <m:r>
              <w:rPr>
                <w:rFonts w:ascii="Cambria Math" w:hAnsi="Cambria Math"/>
                <w:sz w:val="22"/>
                <w:szCs w:val="22"/>
              </w:rPr>
              <m:t>TA</m:t>
            </m:r>
          </m:e>
          <m:sub>
            <m:r>
              <w:rPr>
                <w:rFonts w:ascii="Cambria Math" w:hAnsi="Cambria Math"/>
                <w:sz w:val="22"/>
                <w:szCs w:val="22"/>
              </w:rPr>
              <m:t>Estimated</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NDA</m:t>
            </m:r>
          </m:e>
          <m:sub>
            <m:r>
              <w:rPr>
                <w:rFonts w:ascii="Cambria Math" w:hAnsi="Cambria Math"/>
                <w:sz w:val="22"/>
                <w:szCs w:val="22"/>
              </w:rPr>
              <m:t>Estimated</m:t>
            </m:r>
          </m:sub>
        </m:sSub>
        <m:r>
          <w:rPr>
            <w:rFonts w:ascii="Cambria Math" w:hAnsi="Cambria Math"/>
            <w:sz w:val="22"/>
            <w:szCs w:val="22"/>
          </w:rPr>
          <m:t>+ DA</m:t>
        </m:r>
      </m:oMath>
    </w:p>
    <w:p w:rsidR="00846380" w:rsidRDefault="00846380" w:rsidP="00277425">
      <w:pPr>
        <w:spacing w:line="360" w:lineRule="auto"/>
        <w:jc w:val="both"/>
        <w:rPr>
          <w:sz w:val="22"/>
          <w:szCs w:val="22"/>
        </w:rPr>
      </w:pPr>
    </w:p>
    <w:p w:rsidR="008C1ADE" w:rsidRDefault="004C54A2" w:rsidP="006A1AE6">
      <w:pPr>
        <w:spacing w:line="360" w:lineRule="auto"/>
        <w:jc w:val="both"/>
        <w:rPr>
          <w:sz w:val="22"/>
          <w:szCs w:val="22"/>
        </w:rPr>
      </w:pPr>
      <w:r>
        <w:rPr>
          <w:sz w:val="22"/>
          <w:szCs w:val="22"/>
        </w:rPr>
        <w:t>Where</w:t>
      </w:r>
      <w:r w:rsidR="008C1ADE">
        <w:rPr>
          <w:sz w:val="22"/>
          <w:szCs w:val="22"/>
        </w:rPr>
        <w:t>:</w:t>
      </w:r>
    </w:p>
    <w:p w:rsidR="008C1ADE" w:rsidRDefault="008C1ADE" w:rsidP="006A1AE6">
      <w:pPr>
        <w:spacing w:line="360" w:lineRule="auto"/>
        <w:jc w:val="both"/>
        <w:rPr>
          <w:sz w:val="22"/>
          <w:szCs w:val="22"/>
        </w:rPr>
      </w:pPr>
      <w:proofErr w:type="spellStart"/>
      <w:r>
        <w:rPr>
          <w:sz w:val="22"/>
          <w:szCs w:val="22"/>
        </w:rPr>
        <w:t>NDA</w:t>
      </w:r>
      <w:r w:rsidR="00C34F0B">
        <w:rPr>
          <w:sz w:val="22"/>
          <w:szCs w:val="22"/>
          <w:vertAlign w:val="subscript"/>
        </w:rPr>
        <w:t>t</w:t>
      </w:r>
      <w:proofErr w:type="spellEnd"/>
      <w:r>
        <w:rPr>
          <w:sz w:val="22"/>
          <w:szCs w:val="22"/>
        </w:rPr>
        <w:tab/>
      </w:r>
      <w:r>
        <w:rPr>
          <w:sz w:val="22"/>
          <w:szCs w:val="22"/>
        </w:rPr>
        <w:tab/>
        <w:t>=</w:t>
      </w:r>
      <w:r w:rsidR="00846380">
        <w:rPr>
          <w:sz w:val="22"/>
          <w:szCs w:val="22"/>
        </w:rPr>
        <w:t xml:space="preserve"> estimated</w:t>
      </w:r>
      <w:r w:rsidR="00197071">
        <w:rPr>
          <w:sz w:val="22"/>
          <w:szCs w:val="22"/>
        </w:rPr>
        <w:t xml:space="preserve"> non-discretionary accrua</w:t>
      </w:r>
      <w:r>
        <w:rPr>
          <w:sz w:val="22"/>
          <w:szCs w:val="22"/>
        </w:rPr>
        <w:t>ls and TA is total accruals</w:t>
      </w:r>
      <w:r w:rsidR="00C34F0B">
        <w:rPr>
          <w:sz w:val="22"/>
          <w:szCs w:val="22"/>
        </w:rPr>
        <w:t xml:space="preserve"> in year </w:t>
      </w:r>
      <w:r w:rsidR="00C34F0B">
        <w:rPr>
          <w:i/>
          <w:sz w:val="22"/>
          <w:szCs w:val="22"/>
        </w:rPr>
        <w:t>t</w:t>
      </w:r>
      <w:r>
        <w:rPr>
          <w:sz w:val="22"/>
          <w:szCs w:val="22"/>
        </w:rPr>
        <w:t>;</w:t>
      </w:r>
    </w:p>
    <w:p w:rsidR="008C1ADE" w:rsidRPr="008C1ADE" w:rsidRDefault="008C1ADE" w:rsidP="006A1AE6">
      <w:pPr>
        <w:spacing w:line="360" w:lineRule="auto"/>
        <w:jc w:val="both"/>
        <w:rPr>
          <w:sz w:val="22"/>
          <w:szCs w:val="22"/>
        </w:rPr>
      </w:pPr>
      <w:r>
        <w:rPr>
          <w:sz w:val="22"/>
          <w:szCs w:val="22"/>
        </w:rPr>
        <w:t>ASSETS</w:t>
      </w:r>
      <w:r w:rsidRPr="008C1ADE">
        <w:rPr>
          <w:sz w:val="22"/>
          <w:szCs w:val="22"/>
          <w:vertAlign w:val="subscript"/>
        </w:rPr>
        <w:t>t-1</w:t>
      </w:r>
      <w:r>
        <w:rPr>
          <w:sz w:val="22"/>
          <w:szCs w:val="22"/>
        </w:rPr>
        <w:t xml:space="preserve"> </w:t>
      </w:r>
      <w:r>
        <w:rPr>
          <w:sz w:val="22"/>
          <w:szCs w:val="22"/>
        </w:rPr>
        <w:tab/>
        <w:t>=</w:t>
      </w:r>
      <w:r w:rsidRPr="008C1ADE">
        <w:rPr>
          <w:sz w:val="22"/>
          <w:szCs w:val="22"/>
        </w:rPr>
        <w:t xml:space="preserve"> </w:t>
      </w:r>
      <w:r>
        <w:rPr>
          <w:sz w:val="22"/>
          <w:szCs w:val="22"/>
        </w:rPr>
        <w:t>lagged total assets</w:t>
      </w:r>
    </w:p>
    <w:p w:rsidR="008C1ADE" w:rsidRDefault="004C54A2" w:rsidP="006A1AE6">
      <w:pPr>
        <w:spacing w:line="360" w:lineRule="auto"/>
        <w:jc w:val="both"/>
        <w:rPr>
          <w:sz w:val="22"/>
          <w:szCs w:val="22"/>
        </w:rPr>
      </w:pPr>
      <w:proofErr w:type="spellStart"/>
      <w:r>
        <w:rPr>
          <w:sz w:val="22"/>
          <w:szCs w:val="22"/>
        </w:rPr>
        <w:t>PPE</w:t>
      </w:r>
      <w:r w:rsidR="00C34F0B">
        <w:rPr>
          <w:sz w:val="22"/>
          <w:szCs w:val="22"/>
          <w:vertAlign w:val="subscript"/>
        </w:rPr>
        <w:t>t</w:t>
      </w:r>
      <w:proofErr w:type="spellEnd"/>
      <w:r w:rsidR="008C1ADE">
        <w:rPr>
          <w:sz w:val="22"/>
          <w:szCs w:val="22"/>
        </w:rPr>
        <w:tab/>
      </w:r>
      <w:r w:rsidR="008C1ADE">
        <w:rPr>
          <w:sz w:val="22"/>
          <w:szCs w:val="22"/>
        </w:rPr>
        <w:tab/>
        <w:t>=</w:t>
      </w:r>
      <w:r>
        <w:rPr>
          <w:sz w:val="22"/>
          <w:szCs w:val="22"/>
        </w:rPr>
        <w:t xml:space="preserve"> gross value of property, plant and equipment</w:t>
      </w:r>
      <w:r w:rsidR="00C34F0B">
        <w:rPr>
          <w:sz w:val="22"/>
          <w:szCs w:val="22"/>
        </w:rPr>
        <w:t xml:space="preserve"> </w:t>
      </w:r>
    </w:p>
    <w:p w:rsidR="008C1ADE" w:rsidRDefault="0056535A" w:rsidP="006A1AE6">
      <w:pPr>
        <w:spacing w:line="360" w:lineRule="auto"/>
        <w:jc w:val="both"/>
        <w:rPr>
          <w:sz w:val="22"/>
          <w:szCs w:val="22"/>
        </w:rPr>
      </w:pPr>
      <w:r w:rsidRPr="004C54A2">
        <w:rPr>
          <w:sz w:val="22"/>
          <w:szCs w:val="22"/>
          <w:lang w:val="nl-NL"/>
        </w:rPr>
        <w:t>Δ</w:t>
      </w:r>
      <w:proofErr w:type="spellStart"/>
      <w:r w:rsidR="004C54A2">
        <w:rPr>
          <w:sz w:val="22"/>
          <w:szCs w:val="22"/>
        </w:rPr>
        <w:t>REV</w:t>
      </w:r>
      <w:r w:rsidR="00C34F0B">
        <w:rPr>
          <w:sz w:val="22"/>
          <w:szCs w:val="22"/>
          <w:vertAlign w:val="subscript"/>
        </w:rPr>
        <w:t>t</w:t>
      </w:r>
      <w:proofErr w:type="spellEnd"/>
      <w:r w:rsidR="004C54A2">
        <w:rPr>
          <w:sz w:val="22"/>
          <w:szCs w:val="22"/>
        </w:rPr>
        <w:t xml:space="preserve"> </w:t>
      </w:r>
      <w:r w:rsidR="008C1ADE">
        <w:rPr>
          <w:sz w:val="22"/>
          <w:szCs w:val="22"/>
        </w:rPr>
        <w:tab/>
      </w:r>
      <w:r w:rsidR="008C1ADE">
        <w:rPr>
          <w:sz w:val="22"/>
          <w:szCs w:val="22"/>
        </w:rPr>
        <w:tab/>
        <w:t>=</w:t>
      </w:r>
      <w:r>
        <w:rPr>
          <w:sz w:val="22"/>
          <w:szCs w:val="22"/>
        </w:rPr>
        <w:t xml:space="preserve"> change of</w:t>
      </w:r>
      <w:r w:rsidR="004C54A2">
        <w:rPr>
          <w:sz w:val="22"/>
          <w:szCs w:val="22"/>
        </w:rPr>
        <w:t xml:space="preserve"> revenues</w:t>
      </w:r>
      <w:r w:rsidR="00277425">
        <w:rPr>
          <w:sz w:val="22"/>
          <w:szCs w:val="22"/>
        </w:rPr>
        <w:t xml:space="preserve"> scaled by ASSETS</w:t>
      </w:r>
      <w:r w:rsidR="004C54A2">
        <w:rPr>
          <w:sz w:val="22"/>
          <w:szCs w:val="22"/>
        </w:rPr>
        <w:t xml:space="preserve">. </w:t>
      </w:r>
    </w:p>
    <w:p w:rsidR="008C1ADE" w:rsidRDefault="008C1ADE" w:rsidP="006A1AE6">
      <w:pPr>
        <w:spacing w:line="360" w:lineRule="auto"/>
        <w:jc w:val="both"/>
        <w:rPr>
          <w:sz w:val="22"/>
          <w:szCs w:val="22"/>
        </w:rPr>
      </w:pPr>
    </w:p>
    <w:p w:rsidR="00537159" w:rsidRDefault="0089094D" w:rsidP="006A1AE6">
      <w:pPr>
        <w:spacing w:line="360" w:lineRule="auto"/>
        <w:jc w:val="both"/>
        <w:rPr>
          <w:sz w:val="22"/>
          <w:szCs w:val="22"/>
        </w:rPr>
      </w:pPr>
      <w:r>
        <w:rPr>
          <w:sz w:val="22"/>
          <w:szCs w:val="22"/>
        </w:rPr>
        <w:t xml:space="preserve">The estimated total accruals are used to calculate the coefficients </w:t>
      </w:r>
      <w:r w:rsidRPr="00B64613">
        <w:rPr>
          <w:sz w:val="22"/>
          <w:szCs w:val="22"/>
          <w:lang w:val="nl-NL"/>
        </w:rPr>
        <w:t>α</w:t>
      </w:r>
      <w:r w:rsidR="004C6C2D" w:rsidRPr="004C6C2D">
        <w:rPr>
          <w:sz w:val="22"/>
          <w:szCs w:val="22"/>
          <w:vertAlign w:val="subscript"/>
        </w:rPr>
        <w:t>1</w:t>
      </w:r>
      <w:r w:rsidRPr="004C54A2">
        <w:rPr>
          <w:sz w:val="22"/>
          <w:szCs w:val="22"/>
        </w:rPr>
        <w:t xml:space="preserve">, </w:t>
      </w:r>
      <w:r w:rsidR="004C6C2D" w:rsidRPr="00B64613">
        <w:rPr>
          <w:sz w:val="22"/>
          <w:szCs w:val="22"/>
          <w:lang w:val="nl-NL"/>
        </w:rPr>
        <w:t>α</w:t>
      </w:r>
      <w:r w:rsidR="004C6C2D" w:rsidRPr="004C6C2D">
        <w:rPr>
          <w:sz w:val="22"/>
          <w:szCs w:val="22"/>
          <w:vertAlign w:val="subscript"/>
        </w:rPr>
        <w:t>2</w:t>
      </w:r>
      <w:r>
        <w:rPr>
          <w:sz w:val="22"/>
          <w:szCs w:val="22"/>
        </w:rPr>
        <w:t xml:space="preserve">, </w:t>
      </w:r>
      <w:r w:rsidR="004C6C2D" w:rsidRPr="00B64613">
        <w:rPr>
          <w:sz w:val="22"/>
          <w:szCs w:val="22"/>
          <w:lang w:val="nl-NL"/>
        </w:rPr>
        <w:t>α</w:t>
      </w:r>
      <w:r w:rsidR="004C6C2D" w:rsidRPr="004C6C2D">
        <w:rPr>
          <w:sz w:val="22"/>
          <w:szCs w:val="22"/>
          <w:vertAlign w:val="subscript"/>
        </w:rPr>
        <w:t>3</w:t>
      </w:r>
      <w:r>
        <w:rPr>
          <w:sz w:val="22"/>
          <w:szCs w:val="22"/>
        </w:rPr>
        <w:t xml:space="preserve">. </w:t>
      </w:r>
      <w:r w:rsidR="004C54A2">
        <w:rPr>
          <w:sz w:val="22"/>
          <w:szCs w:val="22"/>
        </w:rPr>
        <w:t xml:space="preserve">When the coefficients </w:t>
      </w:r>
      <w:r w:rsidR="004C6C2D" w:rsidRPr="00B64613">
        <w:rPr>
          <w:sz w:val="22"/>
          <w:szCs w:val="22"/>
          <w:lang w:val="nl-NL"/>
        </w:rPr>
        <w:t>α</w:t>
      </w:r>
      <w:r w:rsidR="004C6C2D" w:rsidRPr="004C6C2D">
        <w:rPr>
          <w:sz w:val="22"/>
          <w:szCs w:val="22"/>
          <w:vertAlign w:val="subscript"/>
        </w:rPr>
        <w:t>1</w:t>
      </w:r>
      <w:r w:rsidR="004C6C2D" w:rsidRPr="004C54A2">
        <w:rPr>
          <w:sz w:val="22"/>
          <w:szCs w:val="22"/>
        </w:rPr>
        <w:t xml:space="preserve">, </w:t>
      </w:r>
      <w:r w:rsidR="004C6C2D" w:rsidRPr="00B64613">
        <w:rPr>
          <w:sz w:val="22"/>
          <w:szCs w:val="22"/>
          <w:lang w:val="nl-NL"/>
        </w:rPr>
        <w:t>α</w:t>
      </w:r>
      <w:r w:rsidR="004C6C2D" w:rsidRPr="004C6C2D">
        <w:rPr>
          <w:sz w:val="22"/>
          <w:szCs w:val="22"/>
          <w:vertAlign w:val="subscript"/>
        </w:rPr>
        <w:t>2</w:t>
      </w:r>
      <w:r w:rsidR="004C6C2D">
        <w:rPr>
          <w:sz w:val="22"/>
          <w:szCs w:val="22"/>
        </w:rPr>
        <w:t xml:space="preserve">, </w:t>
      </w:r>
      <w:r w:rsidR="004C6C2D" w:rsidRPr="004C6C2D">
        <w:rPr>
          <w:sz w:val="22"/>
          <w:szCs w:val="22"/>
          <w:lang w:val="nl-NL"/>
        </w:rPr>
        <w:t>α</w:t>
      </w:r>
      <w:r w:rsidR="004C6C2D" w:rsidRPr="004C6C2D">
        <w:rPr>
          <w:sz w:val="22"/>
          <w:szCs w:val="22"/>
        </w:rPr>
        <w:t>3</w:t>
      </w:r>
      <w:r w:rsidR="004C6C2D">
        <w:rPr>
          <w:sz w:val="22"/>
          <w:szCs w:val="22"/>
        </w:rPr>
        <w:t xml:space="preserve"> </w:t>
      </w:r>
      <w:r w:rsidR="004C54A2" w:rsidRPr="004C6C2D">
        <w:rPr>
          <w:sz w:val="22"/>
          <w:szCs w:val="22"/>
        </w:rPr>
        <w:t>are</w:t>
      </w:r>
      <w:r w:rsidR="004C54A2">
        <w:rPr>
          <w:sz w:val="22"/>
          <w:szCs w:val="22"/>
        </w:rPr>
        <w:t xml:space="preserve"> det</w:t>
      </w:r>
      <w:r w:rsidR="0003097B">
        <w:rPr>
          <w:sz w:val="22"/>
          <w:szCs w:val="22"/>
        </w:rPr>
        <w:t xml:space="preserve">ermined, they can be put in equation (3): </w:t>
      </w:r>
      <w:proofErr w:type="spellStart"/>
      <w:r w:rsidR="00E90F91" w:rsidRPr="004C54A2">
        <w:rPr>
          <w:sz w:val="22"/>
          <w:szCs w:val="22"/>
        </w:rPr>
        <w:t>NDA</w:t>
      </w:r>
      <w:r w:rsidR="008C1ADE" w:rsidRPr="008C1ADE">
        <w:rPr>
          <w:sz w:val="22"/>
          <w:szCs w:val="22"/>
          <w:vertAlign w:val="subscript"/>
        </w:rPr>
        <w:t>t</w:t>
      </w:r>
      <w:proofErr w:type="spellEnd"/>
      <w:r w:rsidR="00E90F91" w:rsidRPr="008C1ADE">
        <w:rPr>
          <w:sz w:val="22"/>
          <w:szCs w:val="22"/>
          <w:vertAlign w:val="subscript"/>
        </w:rPr>
        <w:t xml:space="preserve"> </w:t>
      </w:r>
      <w:r w:rsidR="00E90F91" w:rsidRPr="004C54A2">
        <w:rPr>
          <w:sz w:val="22"/>
          <w:szCs w:val="22"/>
        </w:rPr>
        <w:t xml:space="preserve">= </w:t>
      </w:r>
      <w:r w:rsidR="00E90F91" w:rsidRPr="004C54A2">
        <w:rPr>
          <w:sz w:val="22"/>
          <w:szCs w:val="22"/>
          <w:lang w:val="nl-NL"/>
        </w:rPr>
        <w:t>α</w:t>
      </w:r>
      <w:r w:rsidR="004C6C2D" w:rsidRPr="004C6C2D">
        <w:rPr>
          <w:sz w:val="22"/>
          <w:szCs w:val="22"/>
          <w:vertAlign w:val="subscript"/>
        </w:rPr>
        <w:t>1</w:t>
      </w:r>
      <w:r w:rsidR="00E90F91" w:rsidRPr="004C54A2">
        <w:rPr>
          <w:sz w:val="22"/>
          <w:szCs w:val="22"/>
        </w:rPr>
        <w:t xml:space="preserve"> + </w:t>
      </w:r>
      <w:r w:rsidR="004C6C2D" w:rsidRPr="004C54A2">
        <w:rPr>
          <w:sz w:val="22"/>
          <w:szCs w:val="22"/>
          <w:lang w:val="nl-NL"/>
        </w:rPr>
        <w:t>α</w:t>
      </w:r>
      <w:r w:rsidR="004C6C2D">
        <w:rPr>
          <w:sz w:val="22"/>
          <w:szCs w:val="22"/>
          <w:vertAlign w:val="subscript"/>
        </w:rPr>
        <w:t>2</w:t>
      </w:r>
      <w:r w:rsidR="00E90F91" w:rsidRPr="004C54A2">
        <w:rPr>
          <w:sz w:val="22"/>
          <w:szCs w:val="22"/>
        </w:rPr>
        <w:t xml:space="preserve"> </w:t>
      </w:r>
      <w:proofErr w:type="spellStart"/>
      <w:r w:rsidR="00E90F91" w:rsidRPr="004C54A2">
        <w:rPr>
          <w:sz w:val="22"/>
          <w:szCs w:val="22"/>
        </w:rPr>
        <w:t>PPE</w:t>
      </w:r>
      <w:r w:rsidR="008C1ADE" w:rsidRPr="008C1ADE">
        <w:rPr>
          <w:sz w:val="22"/>
          <w:szCs w:val="22"/>
          <w:vertAlign w:val="subscript"/>
        </w:rPr>
        <w:t>t</w:t>
      </w:r>
      <w:proofErr w:type="spellEnd"/>
      <w:r w:rsidR="00E90F91" w:rsidRPr="008C1ADE">
        <w:rPr>
          <w:sz w:val="22"/>
          <w:szCs w:val="22"/>
          <w:vertAlign w:val="subscript"/>
        </w:rPr>
        <w:t xml:space="preserve"> </w:t>
      </w:r>
      <w:r w:rsidR="00E90F91" w:rsidRPr="004C54A2">
        <w:rPr>
          <w:sz w:val="22"/>
          <w:szCs w:val="22"/>
        </w:rPr>
        <w:t xml:space="preserve">+ </w:t>
      </w:r>
      <w:r w:rsidR="004C6C2D" w:rsidRPr="004C54A2">
        <w:rPr>
          <w:sz w:val="22"/>
          <w:szCs w:val="22"/>
          <w:lang w:val="nl-NL"/>
        </w:rPr>
        <w:t>α</w:t>
      </w:r>
      <w:r w:rsidR="004C6C2D" w:rsidRPr="004C6C2D">
        <w:rPr>
          <w:sz w:val="22"/>
          <w:szCs w:val="22"/>
          <w:vertAlign w:val="subscript"/>
        </w:rPr>
        <w:t>3</w:t>
      </w:r>
      <w:r w:rsidR="00E90F91" w:rsidRPr="004C54A2">
        <w:rPr>
          <w:sz w:val="22"/>
          <w:szCs w:val="22"/>
        </w:rPr>
        <w:t xml:space="preserve"> </w:t>
      </w:r>
      <w:r w:rsidR="00E90F91" w:rsidRPr="004C54A2">
        <w:rPr>
          <w:sz w:val="22"/>
          <w:szCs w:val="22"/>
          <w:lang w:val="nl-NL"/>
        </w:rPr>
        <w:t>Δ</w:t>
      </w:r>
      <w:r w:rsidR="00E90F91" w:rsidRPr="004C54A2">
        <w:rPr>
          <w:sz w:val="22"/>
          <w:szCs w:val="22"/>
        </w:rPr>
        <w:t xml:space="preserve"> </w:t>
      </w:r>
      <w:proofErr w:type="spellStart"/>
      <w:r w:rsidR="00E90F91" w:rsidRPr="004C54A2">
        <w:rPr>
          <w:sz w:val="22"/>
          <w:szCs w:val="22"/>
        </w:rPr>
        <w:t>REV</w:t>
      </w:r>
      <w:r w:rsidR="008C1ADE" w:rsidRPr="008C1ADE">
        <w:rPr>
          <w:sz w:val="22"/>
          <w:szCs w:val="22"/>
          <w:vertAlign w:val="subscript"/>
        </w:rPr>
        <w:t>t</w:t>
      </w:r>
      <w:proofErr w:type="spellEnd"/>
      <w:r w:rsidR="00E90F91" w:rsidRPr="004C54A2">
        <w:rPr>
          <w:sz w:val="22"/>
          <w:szCs w:val="22"/>
        </w:rPr>
        <w:t xml:space="preserve"> </w:t>
      </w:r>
      <w:r w:rsidR="004C54A2">
        <w:rPr>
          <w:sz w:val="22"/>
          <w:szCs w:val="22"/>
        </w:rPr>
        <w:t xml:space="preserve">and have NDA calculated. </w:t>
      </w:r>
      <w:r w:rsidR="00BA458A">
        <w:rPr>
          <w:sz w:val="22"/>
          <w:szCs w:val="22"/>
        </w:rPr>
        <w:t>Then, d</w:t>
      </w:r>
      <w:r w:rsidR="00E90F91">
        <w:rPr>
          <w:sz w:val="22"/>
          <w:szCs w:val="22"/>
        </w:rPr>
        <w:t xml:space="preserve">iscretionary </w:t>
      </w:r>
      <w:r>
        <w:rPr>
          <w:sz w:val="22"/>
          <w:szCs w:val="22"/>
        </w:rPr>
        <w:t>accruals are calculated as the difference between estimated TA and estimated NDA</w:t>
      </w:r>
      <w:r w:rsidR="00E90F91">
        <w:rPr>
          <w:sz w:val="22"/>
          <w:szCs w:val="22"/>
        </w:rPr>
        <w:t>.</w:t>
      </w:r>
      <w:r w:rsidR="00537159">
        <w:rPr>
          <w:sz w:val="22"/>
          <w:szCs w:val="22"/>
        </w:rPr>
        <w:t xml:space="preserve"> </w:t>
      </w:r>
      <w:r w:rsidR="00BA458A">
        <w:rPr>
          <w:sz w:val="22"/>
          <w:szCs w:val="22"/>
        </w:rPr>
        <w:t>Most of t</w:t>
      </w:r>
      <w:r w:rsidR="00E90F91" w:rsidRPr="00E90F91">
        <w:rPr>
          <w:sz w:val="22"/>
          <w:szCs w:val="22"/>
        </w:rPr>
        <w:t xml:space="preserve">he improved models are based on the Jones model. </w:t>
      </w:r>
      <w:r w:rsidR="00277425">
        <w:rPr>
          <w:sz w:val="22"/>
          <w:szCs w:val="22"/>
        </w:rPr>
        <w:t>The difference lies in how to calculate NDA.</w:t>
      </w:r>
      <w:r w:rsidR="00C37B08">
        <w:rPr>
          <w:sz w:val="22"/>
          <w:szCs w:val="22"/>
        </w:rPr>
        <w:t xml:space="preserve"> A frequently used and improved model is</w:t>
      </w:r>
      <w:r w:rsidR="00C37B08" w:rsidRPr="00E90F91">
        <w:rPr>
          <w:sz w:val="22"/>
          <w:szCs w:val="22"/>
        </w:rPr>
        <w:t xml:space="preserve"> the ‘modified Jones model’ (</w:t>
      </w:r>
      <w:proofErr w:type="spellStart"/>
      <w:r w:rsidR="00C37B08" w:rsidRPr="00E90F91">
        <w:rPr>
          <w:sz w:val="22"/>
          <w:szCs w:val="22"/>
        </w:rPr>
        <w:t>Dechow</w:t>
      </w:r>
      <w:proofErr w:type="spellEnd"/>
      <w:r w:rsidR="00C37B08" w:rsidRPr="00E90F91">
        <w:rPr>
          <w:sz w:val="22"/>
          <w:szCs w:val="22"/>
        </w:rPr>
        <w:t>, Sloan and Sweeny, 1995)</w:t>
      </w:r>
      <w:r w:rsidR="00BA458A">
        <w:rPr>
          <w:sz w:val="22"/>
          <w:szCs w:val="22"/>
        </w:rPr>
        <w:t>.</w:t>
      </w:r>
      <w:r w:rsidR="00C37B08" w:rsidRPr="00E90F91">
        <w:rPr>
          <w:sz w:val="22"/>
          <w:szCs w:val="22"/>
        </w:rPr>
        <w:t xml:space="preserve"> </w:t>
      </w:r>
      <w:proofErr w:type="spellStart"/>
      <w:r w:rsidR="00C37B08">
        <w:rPr>
          <w:sz w:val="22"/>
          <w:szCs w:val="22"/>
        </w:rPr>
        <w:t>Dechow</w:t>
      </w:r>
      <w:proofErr w:type="spellEnd"/>
      <w:r w:rsidR="00C37B08">
        <w:rPr>
          <w:sz w:val="22"/>
          <w:szCs w:val="22"/>
        </w:rPr>
        <w:t xml:space="preserve"> et al. (1995) argue that discretion can be exercised over sales-based revenues (REV) in the Jones model and cause error in measuring discretionary accruals. They eliminate this error by assuming that only collected revenues are non-discretionary. The modification is (</w:t>
      </w:r>
      <w:r w:rsidR="00C37B08" w:rsidRPr="004C54A2">
        <w:rPr>
          <w:sz w:val="22"/>
          <w:szCs w:val="22"/>
          <w:lang w:val="nl-NL"/>
        </w:rPr>
        <w:t>Δ</w:t>
      </w:r>
      <w:r w:rsidR="00C37B08" w:rsidRPr="0056535A">
        <w:rPr>
          <w:sz w:val="22"/>
          <w:szCs w:val="22"/>
        </w:rPr>
        <w:t xml:space="preserve">REV – </w:t>
      </w:r>
      <w:r w:rsidR="00C37B08" w:rsidRPr="004C54A2">
        <w:rPr>
          <w:sz w:val="22"/>
          <w:szCs w:val="22"/>
          <w:lang w:val="nl-NL"/>
        </w:rPr>
        <w:t>Δ</w:t>
      </w:r>
      <w:r w:rsidR="00C37B08" w:rsidRPr="0056535A">
        <w:rPr>
          <w:sz w:val="22"/>
          <w:szCs w:val="22"/>
        </w:rPr>
        <w:t>REC), where REV is revenues and REC</w:t>
      </w:r>
      <w:r w:rsidR="00C37B08">
        <w:rPr>
          <w:sz w:val="22"/>
          <w:szCs w:val="22"/>
        </w:rPr>
        <w:t xml:space="preserve"> is net receivables.</w:t>
      </w:r>
      <w:r w:rsidR="003D78C2">
        <w:rPr>
          <w:sz w:val="22"/>
          <w:szCs w:val="22"/>
        </w:rPr>
        <w:t xml:space="preserve"> Another popular model is </w:t>
      </w:r>
      <w:r w:rsidR="003D78C2" w:rsidRPr="00E90F91">
        <w:rPr>
          <w:sz w:val="22"/>
          <w:szCs w:val="22"/>
        </w:rPr>
        <w:t xml:space="preserve">the ‘linear performance matching Jones model’ </w:t>
      </w:r>
      <w:r w:rsidR="003D78C2">
        <w:rPr>
          <w:sz w:val="22"/>
          <w:szCs w:val="22"/>
        </w:rPr>
        <w:t xml:space="preserve">from </w:t>
      </w:r>
      <w:r w:rsidR="003D78C2" w:rsidRPr="00E90F91">
        <w:rPr>
          <w:sz w:val="22"/>
          <w:szCs w:val="22"/>
        </w:rPr>
        <w:t>Kothari</w:t>
      </w:r>
      <w:r w:rsidR="003D78C2">
        <w:rPr>
          <w:sz w:val="22"/>
          <w:szCs w:val="22"/>
        </w:rPr>
        <w:t xml:space="preserve"> et al. (</w:t>
      </w:r>
      <w:r w:rsidR="003D78C2" w:rsidRPr="00E90F91">
        <w:rPr>
          <w:sz w:val="22"/>
          <w:szCs w:val="22"/>
        </w:rPr>
        <w:t>2005).</w:t>
      </w:r>
      <w:r w:rsidR="003D78C2">
        <w:rPr>
          <w:sz w:val="22"/>
          <w:szCs w:val="22"/>
        </w:rPr>
        <w:t xml:space="preserve"> They found former models lacking controls for performance in companies. To control for the effect of performances the variable return on assets (ROA) is added to the modified Jones formula. They suggest that</w:t>
      </w:r>
      <w:r w:rsidR="003D78C2" w:rsidRPr="00B41B61">
        <w:rPr>
          <w:sz w:val="22"/>
          <w:szCs w:val="22"/>
        </w:rPr>
        <w:t xml:space="preserve"> </w:t>
      </w:r>
      <w:r w:rsidR="003D78C2">
        <w:rPr>
          <w:sz w:val="22"/>
          <w:szCs w:val="22"/>
        </w:rPr>
        <w:t>measuring accruals can be more accurate this way.</w:t>
      </w:r>
    </w:p>
    <w:p w:rsidR="00424B18" w:rsidRDefault="00277425" w:rsidP="006A1AE6">
      <w:pPr>
        <w:spacing w:line="360" w:lineRule="auto"/>
        <w:jc w:val="both"/>
        <w:rPr>
          <w:sz w:val="22"/>
          <w:szCs w:val="22"/>
        </w:rPr>
      </w:pPr>
      <w:r>
        <w:rPr>
          <w:sz w:val="22"/>
          <w:szCs w:val="22"/>
        </w:rPr>
        <w:t xml:space="preserve"> </w:t>
      </w:r>
    </w:p>
    <w:p w:rsidR="0091110F" w:rsidRDefault="00A01971" w:rsidP="006A1AE6">
      <w:pPr>
        <w:spacing w:line="360" w:lineRule="auto"/>
        <w:jc w:val="both"/>
        <w:rPr>
          <w:sz w:val="22"/>
          <w:szCs w:val="22"/>
        </w:rPr>
      </w:pPr>
      <w:proofErr w:type="spellStart"/>
      <w:r>
        <w:rPr>
          <w:sz w:val="22"/>
          <w:szCs w:val="22"/>
        </w:rPr>
        <w:t>McNichols</w:t>
      </w:r>
      <w:proofErr w:type="spellEnd"/>
      <w:r>
        <w:rPr>
          <w:sz w:val="22"/>
          <w:szCs w:val="22"/>
        </w:rPr>
        <w:t xml:space="preserve"> (2000) argued</w:t>
      </w:r>
      <w:r w:rsidR="0091110F">
        <w:rPr>
          <w:sz w:val="22"/>
          <w:szCs w:val="22"/>
        </w:rPr>
        <w:t xml:space="preserve"> that </w:t>
      </w:r>
      <w:r w:rsidR="006A1AE6" w:rsidRPr="006A1AE6">
        <w:rPr>
          <w:i/>
          <w:sz w:val="22"/>
          <w:szCs w:val="22"/>
        </w:rPr>
        <w:t>“</w:t>
      </w:r>
      <w:r w:rsidR="00B41B61">
        <w:rPr>
          <w:i/>
          <w:sz w:val="22"/>
          <w:szCs w:val="22"/>
        </w:rPr>
        <w:t>…</w:t>
      </w:r>
      <w:r w:rsidR="006A1AE6" w:rsidRPr="006A1AE6">
        <w:rPr>
          <w:i/>
          <w:sz w:val="22"/>
          <w:szCs w:val="22"/>
        </w:rPr>
        <w:t xml:space="preserve">aggregate accrual models that do not consider long-term earnings growth are potentially </w:t>
      </w:r>
      <w:proofErr w:type="spellStart"/>
      <w:r w:rsidR="006A1AE6" w:rsidRPr="006A1AE6">
        <w:rPr>
          <w:i/>
          <w:sz w:val="22"/>
          <w:szCs w:val="22"/>
        </w:rPr>
        <w:t>misspecified</w:t>
      </w:r>
      <w:proofErr w:type="spellEnd"/>
      <w:r w:rsidR="006A1AE6" w:rsidRPr="006A1AE6">
        <w:rPr>
          <w:i/>
          <w:sz w:val="22"/>
          <w:szCs w:val="22"/>
        </w:rPr>
        <w:t xml:space="preserve"> and can result in misleading inferences about earnings management behavior.” </w:t>
      </w:r>
      <w:r w:rsidR="006A1AE6">
        <w:rPr>
          <w:sz w:val="22"/>
          <w:szCs w:val="22"/>
        </w:rPr>
        <w:t>She suggests that future progress in earnings management literature is more likely to come from specific accrual and distribution-based tests tan from aggregate accrual tests.</w:t>
      </w:r>
    </w:p>
    <w:p w:rsidR="0091110F" w:rsidRDefault="0091110F" w:rsidP="0052514F">
      <w:pPr>
        <w:spacing w:line="360" w:lineRule="auto"/>
        <w:rPr>
          <w:sz w:val="22"/>
          <w:szCs w:val="22"/>
        </w:rPr>
      </w:pPr>
    </w:p>
    <w:p w:rsidR="00D73493" w:rsidRPr="00D73493" w:rsidRDefault="00D73493" w:rsidP="0052514F">
      <w:pPr>
        <w:spacing w:line="360" w:lineRule="auto"/>
        <w:rPr>
          <w:i/>
          <w:sz w:val="22"/>
          <w:szCs w:val="22"/>
        </w:rPr>
      </w:pPr>
      <w:r w:rsidRPr="00D73493">
        <w:rPr>
          <w:i/>
          <w:sz w:val="22"/>
          <w:szCs w:val="22"/>
        </w:rPr>
        <w:t>(ii) Distribution-based approach</w:t>
      </w:r>
    </w:p>
    <w:p w:rsidR="00D73493" w:rsidRDefault="00197071" w:rsidP="0052514F">
      <w:pPr>
        <w:spacing w:line="360" w:lineRule="auto"/>
        <w:rPr>
          <w:sz w:val="22"/>
          <w:szCs w:val="22"/>
        </w:rPr>
      </w:pPr>
      <w:r>
        <w:rPr>
          <w:sz w:val="22"/>
          <w:szCs w:val="22"/>
        </w:rPr>
        <w:t xml:space="preserve">This research design examines the statistical properties of earnings in order to identify behavior that influences earnings. The focus is on the behavior of earnings around a specified benchmark, such as zero or a prior quarter’s earnings. </w:t>
      </w:r>
      <w:r w:rsidR="00042FC7">
        <w:rPr>
          <w:sz w:val="22"/>
          <w:szCs w:val="22"/>
        </w:rPr>
        <w:t>E</w:t>
      </w:r>
      <w:r>
        <w:rPr>
          <w:sz w:val="22"/>
          <w:szCs w:val="22"/>
        </w:rPr>
        <w:t>arnings</w:t>
      </w:r>
      <w:r w:rsidR="00042FC7">
        <w:rPr>
          <w:sz w:val="22"/>
          <w:szCs w:val="22"/>
        </w:rPr>
        <w:t xml:space="preserve"> that</w:t>
      </w:r>
      <w:r>
        <w:rPr>
          <w:sz w:val="22"/>
          <w:szCs w:val="22"/>
        </w:rPr>
        <w:t xml:space="preserve"> are smoothly distributed around the benchmark </w:t>
      </w:r>
      <w:r w:rsidR="00042FC7">
        <w:rPr>
          <w:sz w:val="22"/>
          <w:szCs w:val="22"/>
        </w:rPr>
        <w:t xml:space="preserve">are not </w:t>
      </w:r>
      <w:r w:rsidR="004C6C2D">
        <w:rPr>
          <w:sz w:val="22"/>
          <w:szCs w:val="22"/>
        </w:rPr>
        <w:lastRenderedPageBreak/>
        <w:t xml:space="preserve">being </w:t>
      </w:r>
      <w:r w:rsidR="00042FC7">
        <w:rPr>
          <w:sz w:val="22"/>
          <w:szCs w:val="22"/>
        </w:rPr>
        <w:t xml:space="preserve">manipulated </w:t>
      </w:r>
      <w:r w:rsidR="004C6C2D">
        <w:rPr>
          <w:sz w:val="22"/>
          <w:szCs w:val="22"/>
        </w:rPr>
        <w:t>and earnings that reflect</w:t>
      </w:r>
      <w:r w:rsidR="00042FC7">
        <w:rPr>
          <w:sz w:val="22"/>
          <w:szCs w:val="22"/>
        </w:rPr>
        <w:t xml:space="preserve"> discontinuities are due the exercise of discretion by management.</w:t>
      </w:r>
    </w:p>
    <w:p w:rsidR="00D73493" w:rsidRDefault="00D73493" w:rsidP="0052514F">
      <w:pPr>
        <w:spacing w:line="360" w:lineRule="auto"/>
        <w:rPr>
          <w:sz w:val="22"/>
          <w:szCs w:val="22"/>
        </w:rPr>
      </w:pPr>
    </w:p>
    <w:p w:rsidR="0091110F" w:rsidRPr="00CC5018" w:rsidRDefault="00B41B61" w:rsidP="0052514F">
      <w:pPr>
        <w:spacing w:line="360" w:lineRule="auto"/>
        <w:rPr>
          <w:i/>
          <w:sz w:val="22"/>
          <w:szCs w:val="22"/>
        </w:rPr>
      </w:pPr>
      <w:r w:rsidRPr="00CC5018">
        <w:rPr>
          <w:i/>
          <w:sz w:val="22"/>
          <w:szCs w:val="22"/>
        </w:rPr>
        <w:t>(i</w:t>
      </w:r>
      <w:r w:rsidR="00D73493">
        <w:rPr>
          <w:i/>
          <w:sz w:val="22"/>
          <w:szCs w:val="22"/>
        </w:rPr>
        <w:t>i</w:t>
      </w:r>
      <w:r w:rsidRPr="00CC5018">
        <w:rPr>
          <w:i/>
          <w:sz w:val="22"/>
          <w:szCs w:val="22"/>
        </w:rPr>
        <w:t xml:space="preserve">i) Specific </w:t>
      </w:r>
      <w:r w:rsidR="00CC5018">
        <w:rPr>
          <w:i/>
          <w:sz w:val="22"/>
          <w:szCs w:val="22"/>
        </w:rPr>
        <w:t>accrual approach</w:t>
      </w:r>
    </w:p>
    <w:p w:rsidR="00DF3412" w:rsidRDefault="00F856D9" w:rsidP="00262177">
      <w:pPr>
        <w:spacing w:line="360" w:lineRule="auto"/>
        <w:jc w:val="both"/>
        <w:rPr>
          <w:sz w:val="22"/>
          <w:szCs w:val="22"/>
        </w:rPr>
      </w:pPr>
      <w:r>
        <w:rPr>
          <w:sz w:val="22"/>
          <w:szCs w:val="22"/>
        </w:rPr>
        <w:t xml:space="preserve">This approach </w:t>
      </w:r>
      <w:r w:rsidR="00663AF0">
        <w:rPr>
          <w:sz w:val="22"/>
          <w:szCs w:val="22"/>
        </w:rPr>
        <w:t xml:space="preserve">narrows the </w:t>
      </w:r>
      <w:r>
        <w:rPr>
          <w:sz w:val="22"/>
          <w:szCs w:val="22"/>
        </w:rPr>
        <w:t xml:space="preserve">tests to examine earnings management </w:t>
      </w:r>
      <w:r w:rsidR="00663AF0">
        <w:rPr>
          <w:sz w:val="22"/>
          <w:szCs w:val="22"/>
        </w:rPr>
        <w:t xml:space="preserve">by </w:t>
      </w:r>
      <w:r>
        <w:rPr>
          <w:sz w:val="22"/>
          <w:szCs w:val="22"/>
        </w:rPr>
        <w:t>using specific accruals</w:t>
      </w:r>
      <w:r w:rsidR="00262177">
        <w:rPr>
          <w:sz w:val="22"/>
          <w:szCs w:val="22"/>
        </w:rPr>
        <w:t xml:space="preserve"> in a certain industry</w:t>
      </w:r>
      <w:r>
        <w:rPr>
          <w:sz w:val="22"/>
          <w:szCs w:val="22"/>
        </w:rPr>
        <w:t xml:space="preserve">. </w:t>
      </w:r>
      <w:r w:rsidR="008D007C">
        <w:rPr>
          <w:sz w:val="22"/>
          <w:szCs w:val="22"/>
        </w:rPr>
        <w:t xml:space="preserve">The focus </w:t>
      </w:r>
      <w:r w:rsidR="00663AF0">
        <w:rPr>
          <w:sz w:val="22"/>
          <w:szCs w:val="22"/>
        </w:rPr>
        <w:t xml:space="preserve">on </w:t>
      </w:r>
      <w:r w:rsidR="00627962">
        <w:rPr>
          <w:sz w:val="22"/>
          <w:szCs w:val="22"/>
        </w:rPr>
        <w:t xml:space="preserve">a certain industry </w:t>
      </w:r>
      <w:r w:rsidR="00AA437E">
        <w:rPr>
          <w:sz w:val="22"/>
          <w:szCs w:val="22"/>
        </w:rPr>
        <w:t>can better distinguish</w:t>
      </w:r>
      <w:r w:rsidR="00627962">
        <w:rPr>
          <w:sz w:val="22"/>
          <w:szCs w:val="22"/>
        </w:rPr>
        <w:t xml:space="preserve"> an </w:t>
      </w:r>
      <w:r w:rsidR="006F3F2A">
        <w:rPr>
          <w:sz w:val="22"/>
          <w:szCs w:val="22"/>
        </w:rPr>
        <w:t>accrual</w:t>
      </w:r>
      <w:r w:rsidR="00262177">
        <w:rPr>
          <w:sz w:val="22"/>
          <w:szCs w:val="22"/>
        </w:rPr>
        <w:t xml:space="preserve"> </w:t>
      </w:r>
      <w:r w:rsidR="00627962">
        <w:rPr>
          <w:sz w:val="22"/>
          <w:szCs w:val="22"/>
        </w:rPr>
        <w:t>as significant</w:t>
      </w:r>
      <w:r w:rsidR="00AA437E">
        <w:rPr>
          <w:sz w:val="22"/>
          <w:szCs w:val="22"/>
        </w:rPr>
        <w:t xml:space="preserve"> and to have</w:t>
      </w:r>
      <w:r w:rsidR="006F3F2A">
        <w:rPr>
          <w:sz w:val="22"/>
          <w:szCs w:val="22"/>
        </w:rPr>
        <w:t xml:space="preserve"> substantial judgment.</w:t>
      </w:r>
      <w:r w:rsidR="00262177">
        <w:rPr>
          <w:sz w:val="22"/>
          <w:szCs w:val="22"/>
        </w:rPr>
        <w:t xml:space="preserve">  </w:t>
      </w:r>
      <w:r w:rsidR="00AA437E">
        <w:rPr>
          <w:sz w:val="22"/>
          <w:szCs w:val="22"/>
        </w:rPr>
        <w:t>The</w:t>
      </w:r>
      <w:r w:rsidR="00922946">
        <w:rPr>
          <w:sz w:val="22"/>
          <w:szCs w:val="22"/>
        </w:rPr>
        <w:t xml:space="preserve"> speci</w:t>
      </w:r>
      <w:r w:rsidR="00575C09">
        <w:rPr>
          <w:sz w:val="22"/>
          <w:szCs w:val="22"/>
        </w:rPr>
        <w:t>fic industry accruals</w:t>
      </w:r>
      <w:r w:rsidR="00AA437E">
        <w:rPr>
          <w:sz w:val="22"/>
          <w:szCs w:val="22"/>
        </w:rPr>
        <w:t xml:space="preserve"> with accounting discretion </w:t>
      </w:r>
      <w:r w:rsidR="00575C09">
        <w:rPr>
          <w:sz w:val="22"/>
          <w:szCs w:val="22"/>
        </w:rPr>
        <w:t>are</w:t>
      </w:r>
      <w:r w:rsidR="00AA437E">
        <w:rPr>
          <w:sz w:val="22"/>
          <w:szCs w:val="22"/>
        </w:rPr>
        <w:t xml:space="preserve"> more</w:t>
      </w:r>
      <w:r w:rsidR="00922946">
        <w:rPr>
          <w:sz w:val="22"/>
          <w:szCs w:val="22"/>
        </w:rPr>
        <w:t xml:space="preserve"> </w:t>
      </w:r>
      <w:r w:rsidR="00575C09">
        <w:rPr>
          <w:sz w:val="22"/>
          <w:szCs w:val="22"/>
        </w:rPr>
        <w:t>likely</w:t>
      </w:r>
      <w:r w:rsidR="00627962">
        <w:rPr>
          <w:sz w:val="22"/>
          <w:szCs w:val="22"/>
        </w:rPr>
        <w:t xml:space="preserve"> </w:t>
      </w:r>
      <w:r w:rsidR="00575C09">
        <w:rPr>
          <w:sz w:val="22"/>
          <w:szCs w:val="22"/>
        </w:rPr>
        <w:t>to</w:t>
      </w:r>
      <w:r w:rsidR="00AA437E">
        <w:rPr>
          <w:sz w:val="22"/>
          <w:szCs w:val="22"/>
        </w:rPr>
        <w:t xml:space="preserve"> be</w:t>
      </w:r>
      <w:r w:rsidR="00575C09">
        <w:rPr>
          <w:sz w:val="22"/>
          <w:szCs w:val="22"/>
        </w:rPr>
        <w:t xml:space="preserve"> </w:t>
      </w:r>
      <w:r w:rsidR="00627962">
        <w:rPr>
          <w:sz w:val="22"/>
          <w:szCs w:val="22"/>
        </w:rPr>
        <w:t>use</w:t>
      </w:r>
      <w:r w:rsidR="00AA437E">
        <w:rPr>
          <w:sz w:val="22"/>
          <w:szCs w:val="22"/>
        </w:rPr>
        <w:t>d</w:t>
      </w:r>
      <w:r w:rsidR="00262177">
        <w:rPr>
          <w:sz w:val="22"/>
          <w:szCs w:val="22"/>
        </w:rPr>
        <w:t xml:space="preserve"> for earnings management.</w:t>
      </w:r>
      <w:r w:rsidR="0044794A">
        <w:rPr>
          <w:sz w:val="22"/>
          <w:szCs w:val="22"/>
        </w:rPr>
        <w:t xml:space="preserve"> For </w:t>
      </w:r>
      <w:r w:rsidR="00AA437E">
        <w:rPr>
          <w:sz w:val="22"/>
          <w:szCs w:val="22"/>
        </w:rPr>
        <w:t>the banking industry the</w:t>
      </w:r>
      <w:r w:rsidR="0044794A">
        <w:rPr>
          <w:sz w:val="22"/>
          <w:szCs w:val="22"/>
        </w:rPr>
        <w:t xml:space="preserve"> specific accrual is identified as loan loss provision. </w:t>
      </w:r>
      <w:r w:rsidR="00AA437E">
        <w:rPr>
          <w:sz w:val="22"/>
          <w:szCs w:val="22"/>
        </w:rPr>
        <w:t>Like</w:t>
      </w:r>
      <w:r w:rsidR="00627962">
        <w:rPr>
          <w:sz w:val="22"/>
          <w:szCs w:val="22"/>
        </w:rPr>
        <w:t xml:space="preserve"> aggregate accruals studies, it is crucial to identify the discretionary and non-discretionary components. </w:t>
      </w:r>
    </w:p>
    <w:p w:rsidR="009F7770" w:rsidRDefault="009F7770" w:rsidP="0052514F">
      <w:pPr>
        <w:spacing w:line="360" w:lineRule="auto"/>
        <w:rPr>
          <w:sz w:val="22"/>
          <w:szCs w:val="22"/>
        </w:rPr>
      </w:pPr>
    </w:p>
    <w:p w:rsidR="00DB1293" w:rsidRDefault="00DB1293" w:rsidP="00DB1293">
      <w:pPr>
        <w:spacing w:line="360" w:lineRule="auto"/>
        <w:jc w:val="both"/>
        <w:rPr>
          <w:sz w:val="22"/>
          <w:szCs w:val="22"/>
        </w:rPr>
      </w:pPr>
      <w:r>
        <w:rPr>
          <w:sz w:val="22"/>
          <w:szCs w:val="22"/>
        </w:rPr>
        <w:t xml:space="preserve">The </w:t>
      </w:r>
      <w:r w:rsidR="00E818BE">
        <w:rPr>
          <w:sz w:val="22"/>
          <w:szCs w:val="22"/>
        </w:rPr>
        <w:t>specific accrual approach has</w:t>
      </w:r>
      <w:r>
        <w:rPr>
          <w:sz w:val="22"/>
          <w:szCs w:val="22"/>
        </w:rPr>
        <w:t xml:space="preserve"> several advantages </w:t>
      </w:r>
      <w:r w:rsidR="002264A3">
        <w:rPr>
          <w:sz w:val="22"/>
          <w:szCs w:val="22"/>
        </w:rPr>
        <w:t xml:space="preserve">and disadvantages </w:t>
      </w:r>
      <w:r>
        <w:rPr>
          <w:sz w:val="22"/>
          <w:szCs w:val="22"/>
        </w:rPr>
        <w:t>(</w:t>
      </w:r>
      <w:proofErr w:type="spellStart"/>
      <w:r>
        <w:rPr>
          <w:sz w:val="22"/>
          <w:szCs w:val="22"/>
        </w:rPr>
        <w:t>McNichols</w:t>
      </w:r>
      <w:proofErr w:type="spellEnd"/>
      <w:r>
        <w:rPr>
          <w:sz w:val="22"/>
          <w:szCs w:val="22"/>
        </w:rPr>
        <w:t xml:space="preserve">, 2000, p. 333). </w:t>
      </w:r>
      <w:r w:rsidR="002264A3">
        <w:rPr>
          <w:sz w:val="22"/>
          <w:szCs w:val="22"/>
        </w:rPr>
        <w:t>An advantage is that</w:t>
      </w:r>
      <w:r>
        <w:rPr>
          <w:sz w:val="22"/>
          <w:szCs w:val="22"/>
        </w:rPr>
        <w:t xml:space="preserve"> the researcher can gather information on the </w:t>
      </w:r>
      <w:r w:rsidR="002264A3">
        <w:rPr>
          <w:sz w:val="22"/>
          <w:szCs w:val="22"/>
        </w:rPr>
        <w:t xml:space="preserve">specific </w:t>
      </w:r>
      <w:r>
        <w:rPr>
          <w:sz w:val="22"/>
          <w:szCs w:val="22"/>
        </w:rPr>
        <w:t>factors that influence accruals’ behavior. Second</w:t>
      </w:r>
      <w:r w:rsidR="002264A3">
        <w:rPr>
          <w:sz w:val="22"/>
          <w:szCs w:val="22"/>
        </w:rPr>
        <w:t>ly</w:t>
      </w:r>
      <w:r>
        <w:rPr>
          <w:sz w:val="22"/>
          <w:szCs w:val="22"/>
        </w:rPr>
        <w:t>, by examining the business practices</w:t>
      </w:r>
      <w:r w:rsidR="002264A3">
        <w:rPr>
          <w:sz w:val="22"/>
          <w:szCs w:val="22"/>
        </w:rPr>
        <w:t xml:space="preserve"> of one industry</w:t>
      </w:r>
      <w:r>
        <w:rPr>
          <w:sz w:val="22"/>
          <w:szCs w:val="22"/>
        </w:rPr>
        <w:t xml:space="preserve"> researchers can pinpoint accruals that need judgment and have material influence on earnings.</w:t>
      </w:r>
      <w:r w:rsidR="002264A3">
        <w:rPr>
          <w:sz w:val="22"/>
          <w:szCs w:val="22"/>
        </w:rPr>
        <w:t xml:space="preserve"> Another advantage is that</w:t>
      </w:r>
      <w:r>
        <w:rPr>
          <w:sz w:val="22"/>
          <w:szCs w:val="22"/>
        </w:rPr>
        <w:t xml:space="preserve"> a specific industry </w:t>
      </w:r>
      <w:r w:rsidR="002264A3">
        <w:rPr>
          <w:sz w:val="22"/>
          <w:szCs w:val="22"/>
        </w:rPr>
        <w:t>gives</w:t>
      </w:r>
      <w:r>
        <w:rPr>
          <w:sz w:val="22"/>
          <w:szCs w:val="22"/>
        </w:rPr>
        <w:t xml:space="preserve"> insight on control variables to make a more accurate earnings management proxy. </w:t>
      </w:r>
      <w:r w:rsidR="002264A3">
        <w:rPr>
          <w:sz w:val="22"/>
          <w:szCs w:val="22"/>
        </w:rPr>
        <w:t>Finally, the specific accrual approach provides a</w:t>
      </w:r>
      <w:r>
        <w:rPr>
          <w:sz w:val="22"/>
          <w:szCs w:val="22"/>
        </w:rPr>
        <w:t xml:space="preserve"> direct link between the relation of the single a</w:t>
      </w:r>
      <w:r w:rsidR="002264A3">
        <w:rPr>
          <w:sz w:val="22"/>
          <w:szCs w:val="22"/>
        </w:rPr>
        <w:t>ccrual and explanatory factors.</w:t>
      </w:r>
      <w:r w:rsidR="00E818BE">
        <w:rPr>
          <w:sz w:val="22"/>
          <w:szCs w:val="22"/>
        </w:rPr>
        <w:t xml:space="preserve"> </w:t>
      </w:r>
      <w:r w:rsidR="00707F49">
        <w:rPr>
          <w:sz w:val="22"/>
          <w:szCs w:val="22"/>
        </w:rPr>
        <w:t>There are also</w:t>
      </w:r>
      <w:r>
        <w:rPr>
          <w:sz w:val="22"/>
          <w:szCs w:val="22"/>
        </w:rPr>
        <w:t xml:space="preserve"> some disadvantages. </w:t>
      </w:r>
      <w:r w:rsidR="00707F49">
        <w:rPr>
          <w:sz w:val="22"/>
          <w:szCs w:val="22"/>
        </w:rPr>
        <w:t>W</w:t>
      </w:r>
      <w:r>
        <w:rPr>
          <w:sz w:val="22"/>
          <w:szCs w:val="22"/>
        </w:rPr>
        <w:t>hen it is not clear whether management</w:t>
      </w:r>
      <w:r w:rsidR="00707F49">
        <w:rPr>
          <w:sz w:val="22"/>
          <w:szCs w:val="22"/>
        </w:rPr>
        <w:t xml:space="preserve"> has discretion over an accrual, it</w:t>
      </w:r>
      <w:r>
        <w:rPr>
          <w:sz w:val="22"/>
          <w:szCs w:val="22"/>
        </w:rPr>
        <w:t xml:space="preserve"> will reduce the power of a specific accrual test. </w:t>
      </w:r>
      <w:r w:rsidR="00707F49">
        <w:rPr>
          <w:sz w:val="22"/>
          <w:szCs w:val="22"/>
        </w:rPr>
        <w:t>Further</w:t>
      </w:r>
      <w:r>
        <w:rPr>
          <w:sz w:val="22"/>
          <w:szCs w:val="22"/>
        </w:rPr>
        <w:t xml:space="preserve">, when researchers want to test the magnitude of manipulation on earnings instead of the association with hypothesized factors, then each specific accrual likely to be manipulated requires its own model. </w:t>
      </w:r>
      <w:r w:rsidR="00707F49">
        <w:rPr>
          <w:sz w:val="22"/>
          <w:szCs w:val="22"/>
        </w:rPr>
        <w:t>Moreover</w:t>
      </w:r>
      <w:r>
        <w:rPr>
          <w:sz w:val="22"/>
          <w:szCs w:val="22"/>
        </w:rPr>
        <w:t xml:space="preserve">, it is more costly to examine specific accruals than aggregate accruals, since more institutional knowledge and data is required. And last, the sample of the specific industry might be smaller than the aggregate accrual approach. This may limit the </w:t>
      </w:r>
      <w:proofErr w:type="spellStart"/>
      <w:r>
        <w:rPr>
          <w:sz w:val="22"/>
          <w:szCs w:val="22"/>
        </w:rPr>
        <w:t>generalizability</w:t>
      </w:r>
      <w:proofErr w:type="spellEnd"/>
      <w:r>
        <w:rPr>
          <w:sz w:val="22"/>
          <w:szCs w:val="22"/>
        </w:rPr>
        <w:t xml:space="preserve"> of the test’s results and may not be able to identify earnings management behavior when specific accruals are not sufficient sensitive.</w:t>
      </w:r>
    </w:p>
    <w:p w:rsidR="005F49CF" w:rsidRDefault="005F49CF" w:rsidP="00B23A39">
      <w:pPr>
        <w:spacing w:line="360" w:lineRule="auto"/>
        <w:jc w:val="both"/>
        <w:rPr>
          <w:sz w:val="22"/>
          <w:szCs w:val="22"/>
        </w:rPr>
      </w:pPr>
    </w:p>
    <w:p w:rsidR="003E6B57" w:rsidRPr="007F5BA7" w:rsidRDefault="00A2728A" w:rsidP="006B7FF2">
      <w:pPr>
        <w:pStyle w:val="Kop2"/>
      </w:pPr>
      <w:bookmarkStart w:id="40" w:name="_Toc287614170"/>
      <w:r>
        <w:t>3</w:t>
      </w:r>
      <w:r w:rsidR="005C3B62" w:rsidRPr="007F5BA7">
        <w:t>.</w:t>
      </w:r>
      <w:r w:rsidR="00EA01D8">
        <w:t>6</w:t>
      </w:r>
      <w:r w:rsidR="001C76A4" w:rsidRPr="007F5BA7">
        <w:t xml:space="preserve"> </w:t>
      </w:r>
      <w:r w:rsidR="00C763CD" w:rsidRPr="007F5BA7">
        <w:t>Earnings m</w:t>
      </w:r>
      <w:r w:rsidR="00042FC7" w:rsidRPr="007F5BA7">
        <w:t xml:space="preserve">anagement </w:t>
      </w:r>
      <w:r w:rsidR="009F7770" w:rsidRPr="007F5BA7">
        <w:t>in the banking industry</w:t>
      </w:r>
      <w:bookmarkEnd w:id="40"/>
    </w:p>
    <w:p w:rsidR="000560C4" w:rsidRDefault="003F0582" w:rsidP="009A5E50">
      <w:pPr>
        <w:spacing w:line="360" w:lineRule="auto"/>
        <w:jc w:val="both"/>
        <w:rPr>
          <w:sz w:val="22"/>
          <w:szCs w:val="22"/>
        </w:rPr>
      </w:pPr>
      <w:r>
        <w:rPr>
          <w:sz w:val="22"/>
          <w:szCs w:val="22"/>
        </w:rPr>
        <w:t>In the banking industry there are</w:t>
      </w:r>
      <w:r w:rsidR="000560C4">
        <w:rPr>
          <w:sz w:val="22"/>
          <w:szCs w:val="22"/>
        </w:rPr>
        <w:t xml:space="preserve"> other motivations to apply earnings management and different types of accruals for detecting earnings management than in the aggregate industry studies. </w:t>
      </w:r>
      <w:r w:rsidR="00D0334A">
        <w:rPr>
          <w:sz w:val="22"/>
          <w:szCs w:val="22"/>
        </w:rPr>
        <w:t>Furthermore, b</w:t>
      </w:r>
      <w:r w:rsidR="00D0334A" w:rsidRPr="001D4AD1">
        <w:rPr>
          <w:sz w:val="22"/>
          <w:szCs w:val="22"/>
        </w:rPr>
        <w:t>a</w:t>
      </w:r>
      <w:r w:rsidR="00D0334A">
        <w:rPr>
          <w:sz w:val="22"/>
          <w:szCs w:val="22"/>
        </w:rPr>
        <w:t xml:space="preserve">nks and other financial companies are often excluded in previous studies because of the different regulation environment. These </w:t>
      </w:r>
      <w:r w:rsidR="001F029C">
        <w:rPr>
          <w:sz w:val="22"/>
          <w:szCs w:val="22"/>
        </w:rPr>
        <w:t>aspects</w:t>
      </w:r>
      <w:r w:rsidR="00D0334A">
        <w:rPr>
          <w:sz w:val="22"/>
          <w:szCs w:val="22"/>
        </w:rPr>
        <w:t xml:space="preserve"> </w:t>
      </w:r>
      <w:r w:rsidR="0049482E">
        <w:rPr>
          <w:sz w:val="22"/>
          <w:szCs w:val="22"/>
        </w:rPr>
        <w:t>are</w:t>
      </w:r>
      <w:r w:rsidR="00D0334A">
        <w:rPr>
          <w:sz w:val="22"/>
          <w:szCs w:val="22"/>
        </w:rPr>
        <w:t xml:space="preserve"> discussed next.</w:t>
      </w:r>
    </w:p>
    <w:p w:rsidR="00D0334A" w:rsidRDefault="00D0334A" w:rsidP="009A5E50">
      <w:pPr>
        <w:spacing w:line="360" w:lineRule="auto"/>
        <w:jc w:val="both"/>
        <w:rPr>
          <w:sz w:val="22"/>
          <w:szCs w:val="22"/>
        </w:rPr>
      </w:pPr>
    </w:p>
    <w:p w:rsidR="00F46186" w:rsidRPr="00592AFE" w:rsidRDefault="00A2728A" w:rsidP="007F5BA7">
      <w:pPr>
        <w:spacing w:line="360" w:lineRule="auto"/>
        <w:jc w:val="both"/>
        <w:outlineLvl w:val="2"/>
        <w:rPr>
          <w:i/>
        </w:rPr>
      </w:pPr>
      <w:bookmarkStart w:id="41" w:name="_Toc287614171"/>
      <w:r>
        <w:rPr>
          <w:i/>
        </w:rPr>
        <w:t>3</w:t>
      </w:r>
      <w:r w:rsidR="003F0582">
        <w:rPr>
          <w:i/>
        </w:rPr>
        <w:t>.</w:t>
      </w:r>
      <w:r w:rsidR="00EA01D8">
        <w:rPr>
          <w:i/>
        </w:rPr>
        <w:t>6</w:t>
      </w:r>
      <w:r w:rsidR="00592AFE" w:rsidRPr="00592AFE">
        <w:rPr>
          <w:i/>
        </w:rPr>
        <w:t xml:space="preserve">.1 </w:t>
      </w:r>
      <w:r w:rsidR="00F46186" w:rsidRPr="00592AFE">
        <w:rPr>
          <w:i/>
        </w:rPr>
        <w:t>Regulation</w:t>
      </w:r>
      <w:bookmarkEnd w:id="41"/>
    </w:p>
    <w:p w:rsidR="002768C3" w:rsidRDefault="00984781" w:rsidP="003E48B1">
      <w:pPr>
        <w:autoSpaceDE w:val="0"/>
        <w:autoSpaceDN w:val="0"/>
        <w:adjustRightInd w:val="0"/>
        <w:spacing w:line="360" w:lineRule="auto"/>
        <w:jc w:val="both"/>
        <w:rPr>
          <w:sz w:val="22"/>
          <w:szCs w:val="22"/>
        </w:rPr>
      </w:pPr>
      <w:r>
        <w:rPr>
          <w:sz w:val="22"/>
          <w:szCs w:val="22"/>
        </w:rPr>
        <w:t>An</w:t>
      </w:r>
      <w:r w:rsidR="00343FCE">
        <w:rPr>
          <w:sz w:val="22"/>
          <w:szCs w:val="22"/>
        </w:rPr>
        <w:t xml:space="preserve"> important </w:t>
      </w:r>
      <w:r w:rsidR="00A35464">
        <w:rPr>
          <w:sz w:val="22"/>
          <w:szCs w:val="22"/>
        </w:rPr>
        <w:t>regulation</w:t>
      </w:r>
      <w:r w:rsidR="003403BF">
        <w:rPr>
          <w:sz w:val="22"/>
          <w:szCs w:val="22"/>
        </w:rPr>
        <w:t xml:space="preserve"> for</w:t>
      </w:r>
      <w:r w:rsidR="00A35464">
        <w:rPr>
          <w:sz w:val="22"/>
          <w:szCs w:val="22"/>
        </w:rPr>
        <w:t xml:space="preserve"> </w:t>
      </w:r>
      <w:r w:rsidR="003403BF">
        <w:rPr>
          <w:sz w:val="22"/>
          <w:szCs w:val="22"/>
        </w:rPr>
        <w:t xml:space="preserve">banks </w:t>
      </w:r>
      <w:r w:rsidR="00A35464">
        <w:rPr>
          <w:sz w:val="22"/>
          <w:szCs w:val="22"/>
        </w:rPr>
        <w:t xml:space="preserve">is based on </w:t>
      </w:r>
      <w:r w:rsidR="003403BF">
        <w:rPr>
          <w:sz w:val="22"/>
          <w:szCs w:val="22"/>
        </w:rPr>
        <w:t xml:space="preserve">the requirement of </w:t>
      </w:r>
      <w:r w:rsidR="00A35464">
        <w:rPr>
          <w:sz w:val="22"/>
          <w:szCs w:val="22"/>
        </w:rPr>
        <w:t xml:space="preserve">minimal capital </w:t>
      </w:r>
      <w:r w:rsidR="00343FCE">
        <w:rPr>
          <w:sz w:val="22"/>
          <w:szCs w:val="22"/>
        </w:rPr>
        <w:t>ratios</w:t>
      </w:r>
      <w:r w:rsidR="00B00776">
        <w:rPr>
          <w:sz w:val="22"/>
          <w:szCs w:val="22"/>
        </w:rPr>
        <w:t>, which prevent bank</w:t>
      </w:r>
      <w:r>
        <w:rPr>
          <w:sz w:val="22"/>
          <w:szCs w:val="22"/>
        </w:rPr>
        <w:t>s to go bankrupt</w:t>
      </w:r>
      <w:r w:rsidR="00B00776">
        <w:rPr>
          <w:sz w:val="22"/>
          <w:szCs w:val="22"/>
        </w:rPr>
        <w:t>.</w:t>
      </w:r>
      <w:r w:rsidR="00343FCE">
        <w:rPr>
          <w:sz w:val="22"/>
          <w:szCs w:val="22"/>
        </w:rPr>
        <w:t xml:space="preserve"> </w:t>
      </w:r>
      <w:r w:rsidR="00F66334">
        <w:rPr>
          <w:sz w:val="22"/>
          <w:szCs w:val="22"/>
        </w:rPr>
        <w:t xml:space="preserve">When banks are reaching low capital ratios, there will be an </w:t>
      </w:r>
      <w:r w:rsidR="00F66334" w:rsidRPr="00F66334">
        <w:rPr>
          <w:rFonts w:ascii="Times-Roman" w:hAnsi="Times-Roman" w:cs="Times-Roman"/>
          <w:sz w:val="22"/>
          <w:szCs w:val="22"/>
        </w:rPr>
        <w:t xml:space="preserve">increase </w:t>
      </w:r>
      <w:r w:rsidR="00F66334">
        <w:rPr>
          <w:rFonts w:ascii="Times-Roman" w:hAnsi="Times-Roman" w:cs="Times-Roman"/>
          <w:sz w:val="22"/>
          <w:szCs w:val="22"/>
        </w:rPr>
        <w:t xml:space="preserve">in </w:t>
      </w:r>
      <w:r w:rsidR="00F66334" w:rsidRPr="00F66334">
        <w:rPr>
          <w:rFonts w:ascii="Times-Roman" w:hAnsi="Times-Roman" w:cs="Times-Roman"/>
          <w:sz w:val="22"/>
          <w:szCs w:val="22"/>
        </w:rPr>
        <w:lastRenderedPageBreak/>
        <w:t>monitoring</w:t>
      </w:r>
      <w:r w:rsidR="00F66334">
        <w:rPr>
          <w:rFonts w:ascii="Times-Roman" w:hAnsi="Times-Roman" w:cs="Times-Roman"/>
          <w:sz w:val="22"/>
          <w:szCs w:val="22"/>
        </w:rPr>
        <w:t xml:space="preserve"> from authorities</w:t>
      </w:r>
      <w:r w:rsidR="00EF2E8C">
        <w:rPr>
          <w:rFonts w:ascii="Times-Roman" w:hAnsi="Times-Roman" w:cs="Times-Roman"/>
          <w:sz w:val="22"/>
          <w:szCs w:val="22"/>
        </w:rPr>
        <w:t xml:space="preserve"> and</w:t>
      </w:r>
      <w:r w:rsidR="00EF2E8C">
        <w:rPr>
          <w:sz w:val="22"/>
          <w:szCs w:val="22"/>
        </w:rPr>
        <w:t xml:space="preserve"> </w:t>
      </w:r>
      <w:r w:rsidR="00537159">
        <w:rPr>
          <w:sz w:val="22"/>
          <w:szCs w:val="22"/>
        </w:rPr>
        <w:t>i</w:t>
      </w:r>
      <w:r w:rsidR="00F66334">
        <w:rPr>
          <w:rFonts w:ascii="Times-Roman" w:hAnsi="Times-Roman" w:cs="Times-Roman"/>
          <w:sz w:val="22"/>
          <w:szCs w:val="22"/>
        </w:rPr>
        <w:t>n severe cases</w:t>
      </w:r>
      <w:r w:rsidR="00F66334" w:rsidRPr="00F66334">
        <w:rPr>
          <w:rFonts w:ascii="Times-Roman" w:hAnsi="Times-Roman" w:cs="Times-Roman"/>
          <w:sz w:val="22"/>
          <w:szCs w:val="22"/>
        </w:rPr>
        <w:t xml:space="preserve"> intervening in the operations of banks with inadequate capital</w:t>
      </w:r>
      <w:r w:rsidR="00F66334">
        <w:rPr>
          <w:rFonts w:ascii="Times-Roman" w:hAnsi="Times-Roman" w:cs="Times-Roman"/>
          <w:sz w:val="22"/>
          <w:szCs w:val="22"/>
        </w:rPr>
        <w:t xml:space="preserve"> will be the consequence </w:t>
      </w:r>
      <w:r w:rsidR="00081FC6">
        <w:rPr>
          <w:rFonts w:ascii="Times-Roman" w:hAnsi="Times-Roman" w:cs="Times-Roman"/>
          <w:sz w:val="22"/>
          <w:szCs w:val="22"/>
        </w:rPr>
        <w:t>and</w:t>
      </w:r>
      <w:r w:rsidR="008B3AD6">
        <w:rPr>
          <w:rFonts w:ascii="Times-Roman" w:hAnsi="Times-Roman" w:cs="Times-Roman"/>
          <w:sz w:val="22"/>
          <w:szCs w:val="22"/>
        </w:rPr>
        <w:t xml:space="preserve"> can </w:t>
      </w:r>
      <w:r w:rsidR="00F66334" w:rsidRPr="00F66334">
        <w:rPr>
          <w:rFonts w:ascii="Times-Roman" w:hAnsi="Times-Roman" w:cs="Times-Roman"/>
          <w:sz w:val="22"/>
          <w:szCs w:val="22"/>
        </w:rPr>
        <w:t xml:space="preserve">even </w:t>
      </w:r>
      <w:r w:rsidR="008B3AD6">
        <w:rPr>
          <w:rFonts w:ascii="Times-Roman" w:hAnsi="Times-Roman" w:cs="Times-Roman"/>
          <w:sz w:val="22"/>
          <w:szCs w:val="22"/>
        </w:rPr>
        <w:t>end with</w:t>
      </w:r>
      <w:r w:rsidR="00F66334" w:rsidRPr="00F66334">
        <w:rPr>
          <w:rFonts w:ascii="Times-Roman" w:hAnsi="Times-Roman" w:cs="Times-Roman"/>
          <w:sz w:val="22"/>
          <w:szCs w:val="22"/>
        </w:rPr>
        <w:t xml:space="preserve"> dismissing management (Beatty </w:t>
      </w:r>
      <w:r w:rsidR="00BF6727">
        <w:rPr>
          <w:rFonts w:ascii="Times-Roman" w:hAnsi="Times-Roman" w:cs="Times-Roman"/>
          <w:sz w:val="22"/>
          <w:szCs w:val="22"/>
        </w:rPr>
        <w:t>et al.</w:t>
      </w:r>
      <w:r w:rsidR="00F66334" w:rsidRPr="00F66334">
        <w:rPr>
          <w:rFonts w:ascii="Times-Roman" w:hAnsi="Times-Roman" w:cs="Times-Roman"/>
          <w:sz w:val="22"/>
          <w:szCs w:val="22"/>
        </w:rPr>
        <w:t xml:space="preserve"> 1995</w:t>
      </w:r>
      <w:r w:rsidR="008B3AD6">
        <w:rPr>
          <w:rFonts w:ascii="Times-Roman" w:hAnsi="Times-Roman" w:cs="Times-Roman"/>
          <w:sz w:val="22"/>
          <w:szCs w:val="22"/>
        </w:rPr>
        <w:t>, p. 234</w:t>
      </w:r>
      <w:r w:rsidR="00F66334" w:rsidRPr="00F66334">
        <w:rPr>
          <w:rFonts w:ascii="Times-Roman" w:hAnsi="Times-Roman" w:cs="Times-Roman"/>
          <w:sz w:val="22"/>
          <w:szCs w:val="22"/>
        </w:rPr>
        <w:t>).</w:t>
      </w:r>
      <w:r w:rsidR="00191747">
        <w:rPr>
          <w:sz w:val="22"/>
          <w:szCs w:val="22"/>
        </w:rPr>
        <w:t xml:space="preserve"> </w:t>
      </w:r>
    </w:p>
    <w:p w:rsidR="002768C3" w:rsidRDefault="002768C3" w:rsidP="003E48B1">
      <w:pPr>
        <w:autoSpaceDE w:val="0"/>
        <w:autoSpaceDN w:val="0"/>
        <w:adjustRightInd w:val="0"/>
        <w:spacing w:line="360" w:lineRule="auto"/>
        <w:jc w:val="both"/>
        <w:rPr>
          <w:sz w:val="22"/>
          <w:szCs w:val="22"/>
        </w:rPr>
      </w:pPr>
    </w:p>
    <w:p w:rsidR="003E48B1" w:rsidRDefault="003E48B1" w:rsidP="003E48B1">
      <w:pPr>
        <w:autoSpaceDE w:val="0"/>
        <w:autoSpaceDN w:val="0"/>
        <w:adjustRightInd w:val="0"/>
        <w:spacing w:line="360" w:lineRule="auto"/>
        <w:jc w:val="both"/>
        <w:rPr>
          <w:rFonts w:ascii="Times-Roman" w:hAnsi="Times-Roman" w:cs="Times-Roman"/>
        </w:rPr>
      </w:pPr>
      <w:r w:rsidRPr="00FD2D20">
        <w:rPr>
          <w:sz w:val="22"/>
          <w:szCs w:val="22"/>
        </w:rPr>
        <w:t xml:space="preserve">Cheng et al. (2009) </w:t>
      </w:r>
      <w:r>
        <w:rPr>
          <w:sz w:val="22"/>
          <w:szCs w:val="22"/>
        </w:rPr>
        <w:t>examined</w:t>
      </w:r>
      <w:r w:rsidRPr="00FD2D20">
        <w:rPr>
          <w:sz w:val="22"/>
          <w:szCs w:val="22"/>
        </w:rPr>
        <w:t xml:space="preserve"> </w:t>
      </w:r>
      <w:r>
        <w:rPr>
          <w:sz w:val="22"/>
          <w:szCs w:val="22"/>
        </w:rPr>
        <w:t>the effect of minimum capital ratio on earnings management in the banking sector, using</w:t>
      </w:r>
      <w:r w:rsidR="008600FE">
        <w:rPr>
          <w:sz w:val="22"/>
          <w:szCs w:val="22"/>
        </w:rPr>
        <w:t xml:space="preserve"> 712</w:t>
      </w:r>
      <w:r w:rsidRPr="00FD2D20">
        <w:rPr>
          <w:sz w:val="22"/>
          <w:szCs w:val="22"/>
        </w:rPr>
        <w:t xml:space="preserve"> bank year observations in the period 1994-200</w:t>
      </w:r>
      <w:r w:rsidR="0038671B">
        <w:rPr>
          <w:sz w:val="22"/>
          <w:szCs w:val="22"/>
        </w:rPr>
        <w:t>7</w:t>
      </w:r>
      <w:r w:rsidRPr="00FD2D20">
        <w:rPr>
          <w:sz w:val="22"/>
          <w:szCs w:val="22"/>
        </w:rPr>
        <w:t xml:space="preserve">. </w:t>
      </w:r>
      <w:r>
        <w:rPr>
          <w:sz w:val="22"/>
          <w:szCs w:val="22"/>
        </w:rPr>
        <w:t xml:space="preserve">They </w:t>
      </w:r>
      <w:r w:rsidR="00537159">
        <w:rPr>
          <w:sz w:val="22"/>
          <w:szCs w:val="22"/>
        </w:rPr>
        <w:t>argue that</w:t>
      </w:r>
      <w:r w:rsidRPr="00FD2D20">
        <w:rPr>
          <w:sz w:val="22"/>
          <w:szCs w:val="22"/>
        </w:rPr>
        <w:t xml:space="preserve"> potential regulatory intervention may influence earnings management incentives</w:t>
      </w:r>
      <w:r w:rsidR="00537159">
        <w:rPr>
          <w:sz w:val="22"/>
          <w:szCs w:val="22"/>
        </w:rPr>
        <w:t xml:space="preserve"> in two ways</w:t>
      </w:r>
      <w:r w:rsidRPr="00FD2D20">
        <w:rPr>
          <w:sz w:val="22"/>
          <w:szCs w:val="22"/>
        </w:rPr>
        <w:t>.</w:t>
      </w:r>
      <w:r>
        <w:rPr>
          <w:sz w:val="22"/>
          <w:szCs w:val="22"/>
        </w:rPr>
        <w:t xml:space="preserve"> Since</w:t>
      </w:r>
      <w:r w:rsidRPr="00FD2D20">
        <w:rPr>
          <w:sz w:val="22"/>
          <w:szCs w:val="22"/>
        </w:rPr>
        <w:t xml:space="preserve"> </w:t>
      </w:r>
      <w:r>
        <w:rPr>
          <w:sz w:val="22"/>
          <w:szCs w:val="22"/>
        </w:rPr>
        <w:t>regulators intend to monitor weak banks and intervene when capital ratios</w:t>
      </w:r>
      <w:r w:rsidR="00537159" w:rsidRPr="00537159">
        <w:rPr>
          <w:sz w:val="22"/>
          <w:szCs w:val="22"/>
        </w:rPr>
        <w:t xml:space="preserve"> </w:t>
      </w:r>
      <w:r w:rsidR="00537159">
        <w:rPr>
          <w:sz w:val="22"/>
          <w:szCs w:val="22"/>
        </w:rPr>
        <w:t>are close to minimum</w:t>
      </w:r>
      <w:r>
        <w:rPr>
          <w:sz w:val="22"/>
          <w:szCs w:val="22"/>
        </w:rPr>
        <w:t>, it is likely t</w:t>
      </w:r>
      <w:r w:rsidRPr="00FD2D20">
        <w:rPr>
          <w:sz w:val="22"/>
          <w:szCs w:val="22"/>
        </w:rPr>
        <w:t xml:space="preserve">hat managers use earnings management to avoid regulatory intervention and even more </w:t>
      </w:r>
      <w:r w:rsidR="00C37B08">
        <w:rPr>
          <w:sz w:val="22"/>
          <w:szCs w:val="22"/>
        </w:rPr>
        <w:t>with high equity incentives</w:t>
      </w:r>
      <w:r w:rsidRPr="00FD2D20">
        <w:rPr>
          <w:sz w:val="22"/>
          <w:szCs w:val="22"/>
        </w:rPr>
        <w:t xml:space="preserve">. </w:t>
      </w:r>
      <w:r>
        <w:rPr>
          <w:sz w:val="22"/>
          <w:szCs w:val="22"/>
        </w:rPr>
        <w:t>On the other hand</w:t>
      </w:r>
      <w:r w:rsidRPr="00FD2D20">
        <w:rPr>
          <w:sz w:val="22"/>
          <w:szCs w:val="22"/>
        </w:rPr>
        <w:t>, the</w:t>
      </w:r>
      <w:r>
        <w:rPr>
          <w:sz w:val="22"/>
          <w:szCs w:val="22"/>
        </w:rPr>
        <w:t>re is a greater</w:t>
      </w:r>
      <w:r w:rsidRPr="00FD2D20">
        <w:rPr>
          <w:sz w:val="22"/>
          <w:szCs w:val="22"/>
        </w:rPr>
        <w:t xml:space="preserve"> chance for earnings management to be detected when regulators</w:t>
      </w:r>
      <w:r>
        <w:rPr>
          <w:sz w:val="22"/>
          <w:szCs w:val="22"/>
        </w:rPr>
        <w:t xml:space="preserve"> do </w:t>
      </w:r>
      <w:r w:rsidRPr="00FD2D20">
        <w:rPr>
          <w:sz w:val="22"/>
          <w:szCs w:val="22"/>
        </w:rPr>
        <w:t>intervene.</w:t>
      </w:r>
      <w:r>
        <w:rPr>
          <w:sz w:val="22"/>
          <w:szCs w:val="22"/>
        </w:rPr>
        <w:t xml:space="preserve"> </w:t>
      </w:r>
      <w:r w:rsidR="002768C3">
        <w:rPr>
          <w:sz w:val="22"/>
          <w:szCs w:val="22"/>
        </w:rPr>
        <w:t>The</w:t>
      </w:r>
      <w:r w:rsidR="00537159">
        <w:rPr>
          <w:sz w:val="22"/>
          <w:szCs w:val="22"/>
        </w:rPr>
        <w:t xml:space="preserve"> discretionary component of loan loss provisions</w:t>
      </w:r>
      <w:r w:rsidR="00537159" w:rsidRPr="00537159">
        <w:rPr>
          <w:sz w:val="22"/>
          <w:szCs w:val="22"/>
        </w:rPr>
        <w:t xml:space="preserve"> </w:t>
      </w:r>
      <w:r w:rsidR="00537159">
        <w:rPr>
          <w:sz w:val="22"/>
          <w:szCs w:val="22"/>
        </w:rPr>
        <w:t>as proxy for earnings management in banks</w:t>
      </w:r>
      <w:r w:rsidR="002768C3" w:rsidRPr="002768C3">
        <w:rPr>
          <w:sz w:val="22"/>
          <w:szCs w:val="22"/>
        </w:rPr>
        <w:t xml:space="preserve"> </w:t>
      </w:r>
      <w:r w:rsidR="002768C3">
        <w:rPr>
          <w:sz w:val="22"/>
          <w:szCs w:val="22"/>
        </w:rPr>
        <w:t>is estimated using the</w:t>
      </w:r>
      <w:r w:rsidR="002768C3" w:rsidRPr="00FD2D20">
        <w:rPr>
          <w:sz w:val="22"/>
          <w:szCs w:val="22"/>
        </w:rPr>
        <w:t xml:space="preserve"> Beaver and Engel (1996) model</w:t>
      </w:r>
      <w:r w:rsidRPr="00FD2D20">
        <w:rPr>
          <w:sz w:val="22"/>
          <w:szCs w:val="22"/>
        </w:rPr>
        <w:t>.</w:t>
      </w:r>
      <w:r>
        <w:rPr>
          <w:sz w:val="22"/>
          <w:szCs w:val="22"/>
        </w:rPr>
        <w:t xml:space="preserve"> Their results indicate that bank managers with high equity incentives are not positively related to earnings management. But when capital ratios are low and the likelihood of regulatory intervention is high, managers with high equity incentives are positively associated with upward earnings management. In addition, managers with high equity incentive have more future sales when capital ratios are close to minimum. However, managers with high equity incentives don’t show strong selling behavior and don’t manage earnings upward when there is no threat of regulatory intervention.</w:t>
      </w:r>
    </w:p>
    <w:p w:rsidR="003E48B1" w:rsidRDefault="003E48B1" w:rsidP="009F193B">
      <w:pPr>
        <w:spacing w:line="360" w:lineRule="auto"/>
        <w:jc w:val="both"/>
        <w:rPr>
          <w:sz w:val="22"/>
          <w:szCs w:val="22"/>
        </w:rPr>
      </w:pPr>
    </w:p>
    <w:p w:rsidR="00DF6AA3" w:rsidRDefault="00EF2E8C" w:rsidP="009F193B">
      <w:pPr>
        <w:spacing w:line="360" w:lineRule="auto"/>
        <w:jc w:val="both"/>
        <w:rPr>
          <w:sz w:val="22"/>
          <w:szCs w:val="22"/>
        </w:rPr>
      </w:pPr>
      <w:r>
        <w:rPr>
          <w:sz w:val="22"/>
          <w:szCs w:val="22"/>
        </w:rPr>
        <w:t>Internationally, t</w:t>
      </w:r>
      <w:r w:rsidR="00347BDD">
        <w:rPr>
          <w:sz w:val="22"/>
          <w:szCs w:val="22"/>
        </w:rPr>
        <w:t>he</w:t>
      </w:r>
      <w:r w:rsidR="00081FC6" w:rsidRPr="00081FC6">
        <w:rPr>
          <w:sz w:val="22"/>
          <w:szCs w:val="22"/>
        </w:rPr>
        <w:t xml:space="preserve"> </w:t>
      </w:r>
      <w:r w:rsidR="00081FC6">
        <w:rPr>
          <w:sz w:val="22"/>
          <w:szCs w:val="22"/>
        </w:rPr>
        <w:t>Basel Committee on Banking Supervision sets a</w:t>
      </w:r>
      <w:r w:rsidR="00347BDD">
        <w:rPr>
          <w:sz w:val="22"/>
          <w:szCs w:val="22"/>
        </w:rPr>
        <w:t xml:space="preserve"> </w:t>
      </w:r>
      <w:r w:rsidR="00C116F3">
        <w:rPr>
          <w:sz w:val="22"/>
          <w:szCs w:val="22"/>
        </w:rPr>
        <w:t>framework</w:t>
      </w:r>
      <w:r w:rsidR="00081FC6">
        <w:rPr>
          <w:sz w:val="22"/>
          <w:szCs w:val="22"/>
        </w:rPr>
        <w:t>, currently</w:t>
      </w:r>
      <w:r w:rsidR="00C116F3">
        <w:rPr>
          <w:sz w:val="22"/>
          <w:szCs w:val="22"/>
        </w:rPr>
        <w:t xml:space="preserve"> Basel</w:t>
      </w:r>
      <w:r w:rsidR="00081FC6">
        <w:rPr>
          <w:sz w:val="22"/>
          <w:szCs w:val="22"/>
        </w:rPr>
        <w:t xml:space="preserve"> Accord</w:t>
      </w:r>
      <w:r w:rsidR="00C116F3">
        <w:rPr>
          <w:sz w:val="22"/>
          <w:szCs w:val="22"/>
        </w:rPr>
        <w:t xml:space="preserve"> II</w:t>
      </w:r>
      <w:r w:rsidR="00081FC6">
        <w:rPr>
          <w:sz w:val="22"/>
          <w:szCs w:val="22"/>
        </w:rPr>
        <w:t>,</w:t>
      </w:r>
      <w:r w:rsidR="00592AFE">
        <w:rPr>
          <w:sz w:val="22"/>
          <w:szCs w:val="22"/>
        </w:rPr>
        <w:t xml:space="preserve"> </w:t>
      </w:r>
      <w:r w:rsidR="00B34008">
        <w:rPr>
          <w:sz w:val="22"/>
          <w:szCs w:val="22"/>
        </w:rPr>
        <w:t>to ensure</w:t>
      </w:r>
      <w:r w:rsidR="00347BDD">
        <w:rPr>
          <w:sz w:val="22"/>
          <w:szCs w:val="22"/>
        </w:rPr>
        <w:t xml:space="preserve"> that</w:t>
      </w:r>
      <w:r w:rsidR="00B34008">
        <w:rPr>
          <w:sz w:val="22"/>
          <w:szCs w:val="22"/>
        </w:rPr>
        <w:t xml:space="preserve"> a bank holds capital reserves that suit the</w:t>
      </w:r>
      <w:r w:rsidR="00DF6AA3">
        <w:rPr>
          <w:sz w:val="22"/>
          <w:szCs w:val="22"/>
        </w:rPr>
        <w:t xml:space="preserve"> market or credit </w:t>
      </w:r>
      <w:r w:rsidR="00B34008">
        <w:rPr>
          <w:sz w:val="22"/>
          <w:szCs w:val="22"/>
        </w:rPr>
        <w:t>risk</w:t>
      </w:r>
      <w:r w:rsidR="00DF6AA3">
        <w:rPr>
          <w:sz w:val="22"/>
          <w:szCs w:val="22"/>
        </w:rPr>
        <w:t>s</w:t>
      </w:r>
      <w:r w:rsidR="00B34008">
        <w:rPr>
          <w:sz w:val="22"/>
          <w:szCs w:val="22"/>
        </w:rPr>
        <w:t xml:space="preserve"> the bank exposes itself. In other words, the greater the risk to which the bank is exposed, the more capital the bank needs to safeguard its solvency and integrity</w:t>
      </w:r>
      <w:r w:rsidR="00FE0082">
        <w:rPr>
          <w:sz w:val="22"/>
          <w:szCs w:val="22"/>
        </w:rPr>
        <w:t xml:space="preserve">. </w:t>
      </w:r>
      <w:r w:rsidR="00081FC6">
        <w:rPr>
          <w:sz w:val="22"/>
          <w:szCs w:val="22"/>
        </w:rPr>
        <w:t xml:space="preserve">To </w:t>
      </w:r>
      <w:r w:rsidR="00B21C04">
        <w:rPr>
          <w:sz w:val="22"/>
          <w:szCs w:val="22"/>
        </w:rPr>
        <w:t>measure their</w:t>
      </w:r>
      <w:r w:rsidR="00903783">
        <w:rPr>
          <w:sz w:val="22"/>
          <w:szCs w:val="22"/>
        </w:rPr>
        <w:t xml:space="preserve"> loan’s</w:t>
      </w:r>
      <w:r w:rsidR="00081FC6">
        <w:rPr>
          <w:sz w:val="22"/>
          <w:szCs w:val="22"/>
        </w:rPr>
        <w:t xml:space="preserve"> risk exposure, banks use a</w:t>
      </w:r>
      <w:r w:rsidR="00DF6AA3">
        <w:rPr>
          <w:sz w:val="22"/>
          <w:szCs w:val="22"/>
        </w:rPr>
        <w:t xml:space="preserve"> risk management tool</w:t>
      </w:r>
      <w:r w:rsidR="00081FC6">
        <w:rPr>
          <w:sz w:val="22"/>
          <w:szCs w:val="22"/>
        </w:rPr>
        <w:t xml:space="preserve"> called</w:t>
      </w:r>
      <w:r w:rsidR="00DF6AA3">
        <w:rPr>
          <w:sz w:val="22"/>
          <w:szCs w:val="22"/>
        </w:rPr>
        <w:t xml:space="preserve"> the Value-at-Risk (</w:t>
      </w:r>
      <w:proofErr w:type="spellStart"/>
      <w:r w:rsidR="00DF6AA3">
        <w:rPr>
          <w:sz w:val="22"/>
          <w:szCs w:val="22"/>
        </w:rPr>
        <w:t>VaR</w:t>
      </w:r>
      <w:proofErr w:type="spellEnd"/>
      <w:r w:rsidR="00DF6AA3">
        <w:rPr>
          <w:sz w:val="22"/>
          <w:szCs w:val="22"/>
        </w:rPr>
        <w:t>) model.</w:t>
      </w:r>
      <w:r w:rsidR="007D7890">
        <w:rPr>
          <w:sz w:val="22"/>
          <w:szCs w:val="22"/>
        </w:rPr>
        <w:t xml:space="preserve"> </w:t>
      </w:r>
      <w:proofErr w:type="spellStart"/>
      <w:r w:rsidR="007D7890">
        <w:rPr>
          <w:sz w:val="22"/>
          <w:szCs w:val="22"/>
        </w:rPr>
        <w:t>VaR</w:t>
      </w:r>
      <w:proofErr w:type="spellEnd"/>
      <w:r w:rsidR="007D7890">
        <w:rPr>
          <w:sz w:val="22"/>
          <w:szCs w:val="22"/>
        </w:rPr>
        <w:t xml:space="preserve"> provides </w:t>
      </w:r>
      <w:r w:rsidR="00B375F4">
        <w:rPr>
          <w:sz w:val="22"/>
          <w:szCs w:val="22"/>
        </w:rPr>
        <w:t xml:space="preserve">in </w:t>
      </w:r>
      <w:r w:rsidR="007D7890">
        <w:rPr>
          <w:sz w:val="22"/>
          <w:szCs w:val="22"/>
        </w:rPr>
        <w:t>a single number</w:t>
      </w:r>
      <w:r w:rsidR="00B375F4">
        <w:rPr>
          <w:sz w:val="22"/>
          <w:szCs w:val="22"/>
        </w:rPr>
        <w:t xml:space="preserve"> the</w:t>
      </w:r>
      <w:r w:rsidR="00675409">
        <w:rPr>
          <w:sz w:val="22"/>
          <w:szCs w:val="22"/>
        </w:rPr>
        <w:t xml:space="preserve"> measurement of</w:t>
      </w:r>
      <w:r w:rsidR="00B375F4">
        <w:rPr>
          <w:sz w:val="22"/>
          <w:szCs w:val="22"/>
        </w:rPr>
        <w:t xml:space="preserve"> summarized</w:t>
      </w:r>
      <w:r w:rsidR="007D7890">
        <w:rPr>
          <w:sz w:val="22"/>
          <w:szCs w:val="22"/>
        </w:rPr>
        <w:t xml:space="preserve"> risk </w:t>
      </w:r>
      <w:r w:rsidR="00481BC4">
        <w:rPr>
          <w:sz w:val="22"/>
          <w:szCs w:val="22"/>
        </w:rPr>
        <w:t xml:space="preserve">of possible losses </w:t>
      </w:r>
      <w:r w:rsidR="00675409">
        <w:rPr>
          <w:sz w:val="22"/>
          <w:szCs w:val="22"/>
        </w:rPr>
        <w:t>in a</w:t>
      </w:r>
      <w:r w:rsidR="007D7890">
        <w:rPr>
          <w:sz w:val="22"/>
          <w:szCs w:val="22"/>
        </w:rPr>
        <w:t xml:space="preserve"> </w:t>
      </w:r>
      <w:r w:rsidR="00675409">
        <w:rPr>
          <w:sz w:val="22"/>
          <w:szCs w:val="22"/>
        </w:rPr>
        <w:t xml:space="preserve">financial instruments </w:t>
      </w:r>
      <w:r w:rsidR="00481BC4">
        <w:rPr>
          <w:sz w:val="22"/>
          <w:szCs w:val="22"/>
        </w:rPr>
        <w:t>portfolio (</w:t>
      </w:r>
      <w:proofErr w:type="spellStart"/>
      <w:r w:rsidR="00481BC4">
        <w:rPr>
          <w:sz w:val="22"/>
          <w:szCs w:val="22"/>
        </w:rPr>
        <w:t>Linsmeier</w:t>
      </w:r>
      <w:proofErr w:type="spellEnd"/>
      <w:r w:rsidR="00481BC4">
        <w:rPr>
          <w:sz w:val="22"/>
          <w:szCs w:val="22"/>
        </w:rPr>
        <w:t xml:space="preserve"> and Pearson, 2000)</w:t>
      </w:r>
      <w:r w:rsidR="00B375F4">
        <w:rPr>
          <w:sz w:val="22"/>
          <w:szCs w:val="22"/>
        </w:rPr>
        <w:t xml:space="preserve">. </w:t>
      </w:r>
      <w:r w:rsidR="00D869B0">
        <w:rPr>
          <w:sz w:val="22"/>
          <w:szCs w:val="22"/>
        </w:rPr>
        <w:t>B</w:t>
      </w:r>
      <w:r w:rsidR="00B375F4">
        <w:rPr>
          <w:sz w:val="22"/>
          <w:szCs w:val="22"/>
        </w:rPr>
        <w:t>ank ma</w:t>
      </w:r>
      <w:r w:rsidR="00B37F1E">
        <w:rPr>
          <w:sz w:val="22"/>
          <w:szCs w:val="22"/>
        </w:rPr>
        <w:t>nagement use</w:t>
      </w:r>
      <w:r w:rsidR="00D869B0">
        <w:rPr>
          <w:sz w:val="22"/>
          <w:szCs w:val="22"/>
        </w:rPr>
        <w:t>s</w:t>
      </w:r>
      <w:r w:rsidR="00B37F1E">
        <w:rPr>
          <w:sz w:val="22"/>
          <w:szCs w:val="22"/>
        </w:rPr>
        <w:t xml:space="preserve"> </w:t>
      </w:r>
      <w:proofErr w:type="spellStart"/>
      <w:r w:rsidR="00B37F1E">
        <w:rPr>
          <w:sz w:val="22"/>
          <w:szCs w:val="22"/>
        </w:rPr>
        <w:t>VaR</w:t>
      </w:r>
      <w:proofErr w:type="spellEnd"/>
      <w:r w:rsidR="00B37F1E">
        <w:rPr>
          <w:sz w:val="22"/>
          <w:szCs w:val="22"/>
        </w:rPr>
        <w:t xml:space="preserve"> to measure</w:t>
      </w:r>
      <w:r w:rsidR="00B375F4">
        <w:rPr>
          <w:sz w:val="22"/>
          <w:szCs w:val="22"/>
        </w:rPr>
        <w:t xml:space="preserve"> </w:t>
      </w:r>
      <w:r w:rsidR="00B37F1E">
        <w:rPr>
          <w:sz w:val="22"/>
          <w:szCs w:val="22"/>
        </w:rPr>
        <w:t>cred</w:t>
      </w:r>
      <w:r w:rsidR="00081FC6">
        <w:rPr>
          <w:sz w:val="22"/>
          <w:szCs w:val="22"/>
        </w:rPr>
        <w:t>it or default risks for estimating</w:t>
      </w:r>
      <w:r w:rsidR="00B37F1E">
        <w:rPr>
          <w:sz w:val="22"/>
          <w:szCs w:val="22"/>
        </w:rPr>
        <w:t xml:space="preserve"> </w:t>
      </w:r>
      <w:r w:rsidR="003F0582">
        <w:rPr>
          <w:sz w:val="22"/>
          <w:szCs w:val="22"/>
        </w:rPr>
        <w:t>loan</w:t>
      </w:r>
      <w:r w:rsidR="00B375F4">
        <w:rPr>
          <w:sz w:val="22"/>
          <w:szCs w:val="22"/>
        </w:rPr>
        <w:t xml:space="preserve"> losses and set</w:t>
      </w:r>
      <w:r w:rsidR="00081FC6">
        <w:rPr>
          <w:sz w:val="22"/>
          <w:szCs w:val="22"/>
        </w:rPr>
        <w:t>ting</w:t>
      </w:r>
      <w:r w:rsidR="00B375F4">
        <w:rPr>
          <w:sz w:val="22"/>
          <w:szCs w:val="22"/>
        </w:rPr>
        <w:t xml:space="preserve"> capital requirements. </w:t>
      </w:r>
      <w:r w:rsidR="000963C1">
        <w:rPr>
          <w:sz w:val="22"/>
          <w:szCs w:val="22"/>
        </w:rPr>
        <w:t xml:space="preserve">International standards require banks </w:t>
      </w:r>
      <w:r w:rsidR="00C37B08">
        <w:rPr>
          <w:sz w:val="22"/>
          <w:szCs w:val="22"/>
        </w:rPr>
        <w:t xml:space="preserve">to compute their </w:t>
      </w:r>
      <w:proofErr w:type="spellStart"/>
      <w:r w:rsidR="00C37B08">
        <w:rPr>
          <w:sz w:val="22"/>
          <w:szCs w:val="22"/>
        </w:rPr>
        <w:t>VaR</w:t>
      </w:r>
      <w:proofErr w:type="spellEnd"/>
      <w:r w:rsidR="00C37B08">
        <w:rPr>
          <w:sz w:val="22"/>
          <w:szCs w:val="22"/>
        </w:rPr>
        <w:t xml:space="preserve"> forecasts and </w:t>
      </w:r>
      <w:r w:rsidR="00D869B0">
        <w:rPr>
          <w:sz w:val="22"/>
          <w:szCs w:val="22"/>
        </w:rPr>
        <w:t>in the U.S</w:t>
      </w:r>
      <w:r w:rsidR="000963C1">
        <w:rPr>
          <w:sz w:val="22"/>
          <w:szCs w:val="22"/>
        </w:rPr>
        <w:t xml:space="preserve"> </w:t>
      </w:r>
      <w:r w:rsidR="00C37B08">
        <w:rPr>
          <w:sz w:val="22"/>
          <w:szCs w:val="22"/>
        </w:rPr>
        <w:t>banks must</w:t>
      </w:r>
      <w:r w:rsidR="000963C1">
        <w:rPr>
          <w:sz w:val="22"/>
          <w:szCs w:val="22"/>
        </w:rPr>
        <w:t xml:space="preserve"> disclose public market risks using </w:t>
      </w:r>
      <w:proofErr w:type="spellStart"/>
      <w:r w:rsidR="000963C1">
        <w:rPr>
          <w:sz w:val="22"/>
          <w:szCs w:val="22"/>
        </w:rPr>
        <w:t>VaR</w:t>
      </w:r>
      <w:proofErr w:type="spellEnd"/>
      <w:r w:rsidR="000963C1">
        <w:rPr>
          <w:sz w:val="22"/>
          <w:szCs w:val="22"/>
        </w:rPr>
        <w:t xml:space="preserve"> or an alternative model.</w:t>
      </w:r>
      <w:r w:rsidR="00B37F1E">
        <w:rPr>
          <w:sz w:val="22"/>
          <w:szCs w:val="22"/>
        </w:rPr>
        <w:t xml:space="preserve"> </w:t>
      </w:r>
      <w:proofErr w:type="spellStart"/>
      <w:r w:rsidR="00016D89">
        <w:rPr>
          <w:sz w:val="22"/>
          <w:szCs w:val="22"/>
        </w:rPr>
        <w:t>VaR</w:t>
      </w:r>
      <w:proofErr w:type="spellEnd"/>
      <w:r w:rsidR="00016D89">
        <w:rPr>
          <w:sz w:val="22"/>
          <w:szCs w:val="22"/>
        </w:rPr>
        <w:t xml:space="preserve"> disclosure</w:t>
      </w:r>
      <w:r w:rsidR="00D869B0">
        <w:rPr>
          <w:sz w:val="22"/>
          <w:szCs w:val="22"/>
        </w:rPr>
        <w:t xml:space="preserve"> has three objectives</w:t>
      </w:r>
      <w:r w:rsidR="00016D89">
        <w:rPr>
          <w:sz w:val="22"/>
          <w:szCs w:val="22"/>
        </w:rPr>
        <w:t>: (1) it provides a summarized</w:t>
      </w:r>
      <w:r w:rsidR="000963C1">
        <w:rPr>
          <w:sz w:val="22"/>
          <w:szCs w:val="22"/>
        </w:rPr>
        <w:t xml:space="preserve"> </w:t>
      </w:r>
      <w:r w:rsidR="00016D89">
        <w:rPr>
          <w:sz w:val="22"/>
          <w:szCs w:val="22"/>
        </w:rPr>
        <w:t>measure of market risk the bank is exposed to, which reduces the information asymmetry between the company and outsiders; (2) to estimate sufficient provisions for capital losses; and (3) to allow the regulator to assess the v</w:t>
      </w:r>
      <w:r w:rsidR="00C37B08">
        <w:rPr>
          <w:sz w:val="22"/>
          <w:szCs w:val="22"/>
        </w:rPr>
        <w:t xml:space="preserve">alidity of the </w:t>
      </w:r>
      <w:proofErr w:type="spellStart"/>
      <w:r w:rsidR="00347BDD">
        <w:rPr>
          <w:sz w:val="22"/>
          <w:szCs w:val="22"/>
        </w:rPr>
        <w:t>VaR</w:t>
      </w:r>
      <w:proofErr w:type="spellEnd"/>
      <w:r w:rsidR="00347BDD">
        <w:rPr>
          <w:sz w:val="22"/>
          <w:szCs w:val="22"/>
        </w:rPr>
        <w:t xml:space="preserve"> model</w:t>
      </w:r>
      <w:r w:rsidR="00D869B0">
        <w:rPr>
          <w:sz w:val="22"/>
          <w:szCs w:val="22"/>
        </w:rPr>
        <w:t xml:space="preserve"> (</w:t>
      </w:r>
      <w:proofErr w:type="spellStart"/>
      <w:r w:rsidR="00D869B0">
        <w:rPr>
          <w:sz w:val="22"/>
          <w:szCs w:val="22"/>
        </w:rPr>
        <w:t>Pérignon</w:t>
      </w:r>
      <w:proofErr w:type="spellEnd"/>
      <w:r w:rsidR="00D869B0">
        <w:rPr>
          <w:sz w:val="22"/>
          <w:szCs w:val="22"/>
        </w:rPr>
        <w:t xml:space="preserve"> et al. 2008, p. 784)</w:t>
      </w:r>
      <w:r w:rsidR="00016D89">
        <w:rPr>
          <w:sz w:val="22"/>
          <w:szCs w:val="22"/>
        </w:rPr>
        <w:t>.</w:t>
      </w:r>
      <w:r w:rsidR="00B37F1E">
        <w:rPr>
          <w:sz w:val="22"/>
          <w:szCs w:val="22"/>
        </w:rPr>
        <w:t xml:space="preserve"> However, e</w:t>
      </w:r>
      <w:r w:rsidR="00DF6AA3">
        <w:rPr>
          <w:sz w:val="22"/>
          <w:szCs w:val="22"/>
        </w:rPr>
        <w:t xml:space="preserve">ach bank </w:t>
      </w:r>
      <w:r w:rsidR="00D869B0">
        <w:rPr>
          <w:sz w:val="22"/>
          <w:szCs w:val="22"/>
        </w:rPr>
        <w:t>may</w:t>
      </w:r>
      <w:r w:rsidR="00DF6AA3">
        <w:rPr>
          <w:sz w:val="22"/>
          <w:szCs w:val="22"/>
        </w:rPr>
        <w:t xml:space="preserve"> use its own internal </w:t>
      </w:r>
      <w:proofErr w:type="spellStart"/>
      <w:r w:rsidR="00D869B0">
        <w:rPr>
          <w:sz w:val="22"/>
          <w:szCs w:val="22"/>
        </w:rPr>
        <w:t>VaR</w:t>
      </w:r>
      <w:proofErr w:type="spellEnd"/>
      <w:r w:rsidR="00DF6AA3">
        <w:rPr>
          <w:sz w:val="22"/>
          <w:szCs w:val="22"/>
        </w:rPr>
        <w:t xml:space="preserve"> model</w:t>
      </w:r>
      <w:r w:rsidR="00B37F1E">
        <w:rPr>
          <w:sz w:val="22"/>
          <w:szCs w:val="22"/>
        </w:rPr>
        <w:t xml:space="preserve"> instead of a standardized measurement framework</w:t>
      </w:r>
      <w:r w:rsidR="00DF6AA3">
        <w:rPr>
          <w:sz w:val="22"/>
          <w:szCs w:val="22"/>
        </w:rPr>
        <w:t>.</w:t>
      </w:r>
      <w:r w:rsidR="00B37F1E">
        <w:rPr>
          <w:sz w:val="22"/>
          <w:szCs w:val="22"/>
        </w:rPr>
        <w:t xml:space="preserve"> </w:t>
      </w:r>
      <w:r w:rsidR="00537159">
        <w:rPr>
          <w:sz w:val="22"/>
          <w:szCs w:val="22"/>
        </w:rPr>
        <w:t>Specifically</w:t>
      </w:r>
      <w:r w:rsidR="00B37F1E">
        <w:rPr>
          <w:sz w:val="22"/>
          <w:szCs w:val="22"/>
        </w:rPr>
        <w:t xml:space="preserve">, it is not an obligation for banks to disclose the specificities of their internal </w:t>
      </w:r>
      <w:proofErr w:type="spellStart"/>
      <w:r w:rsidR="00B37F1E">
        <w:rPr>
          <w:sz w:val="22"/>
          <w:szCs w:val="22"/>
        </w:rPr>
        <w:t>VaR</w:t>
      </w:r>
      <w:proofErr w:type="spellEnd"/>
      <w:r w:rsidR="00B37F1E">
        <w:rPr>
          <w:sz w:val="22"/>
          <w:szCs w:val="22"/>
        </w:rPr>
        <w:t xml:space="preserve"> model. This means that bank management has discretion over these models and can underestimate their </w:t>
      </w:r>
      <w:proofErr w:type="spellStart"/>
      <w:r w:rsidR="00B37F1E">
        <w:rPr>
          <w:sz w:val="22"/>
          <w:szCs w:val="22"/>
        </w:rPr>
        <w:t>VaR</w:t>
      </w:r>
      <w:proofErr w:type="spellEnd"/>
      <w:r w:rsidR="00B37F1E">
        <w:rPr>
          <w:sz w:val="22"/>
          <w:szCs w:val="22"/>
        </w:rPr>
        <w:t xml:space="preserve"> estimates to reduce </w:t>
      </w:r>
      <w:r w:rsidR="0068766C">
        <w:rPr>
          <w:sz w:val="22"/>
          <w:szCs w:val="22"/>
        </w:rPr>
        <w:t xml:space="preserve">provisions for loan losses and </w:t>
      </w:r>
      <w:r w:rsidR="00B37F1E">
        <w:rPr>
          <w:sz w:val="22"/>
          <w:szCs w:val="22"/>
        </w:rPr>
        <w:t>capital requirements.</w:t>
      </w:r>
      <w:r w:rsidR="006A0B39">
        <w:rPr>
          <w:sz w:val="22"/>
          <w:szCs w:val="22"/>
        </w:rPr>
        <w:t xml:space="preserve"> Higher provision for loan losses means a lower profitability. </w:t>
      </w:r>
      <w:r w:rsidR="00675409">
        <w:rPr>
          <w:sz w:val="22"/>
          <w:szCs w:val="22"/>
        </w:rPr>
        <w:t xml:space="preserve"> By reducing provisions for loan losses,</w:t>
      </w:r>
      <w:r w:rsidR="006A0B39">
        <w:rPr>
          <w:sz w:val="22"/>
          <w:szCs w:val="22"/>
        </w:rPr>
        <w:t xml:space="preserve"> bank</w:t>
      </w:r>
      <w:r w:rsidR="00675409">
        <w:rPr>
          <w:sz w:val="22"/>
          <w:szCs w:val="22"/>
        </w:rPr>
        <w:t xml:space="preserve"> management can increase their reported </w:t>
      </w:r>
      <w:r w:rsidR="006A0B39">
        <w:rPr>
          <w:sz w:val="22"/>
          <w:szCs w:val="22"/>
        </w:rPr>
        <w:t>earnings</w:t>
      </w:r>
      <w:r w:rsidR="00675409">
        <w:rPr>
          <w:sz w:val="22"/>
          <w:szCs w:val="22"/>
        </w:rPr>
        <w:t xml:space="preserve">. </w:t>
      </w:r>
    </w:p>
    <w:p w:rsidR="00B37F1E" w:rsidRDefault="00B37F1E" w:rsidP="009F193B">
      <w:pPr>
        <w:spacing w:line="360" w:lineRule="auto"/>
        <w:jc w:val="both"/>
        <w:rPr>
          <w:sz w:val="22"/>
          <w:szCs w:val="22"/>
        </w:rPr>
      </w:pPr>
    </w:p>
    <w:p w:rsidR="00C7494B" w:rsidRDefault="00347BDD" w:rsidP="009F193B">
      <w:pPr>
        <w:spacing w:line="360" w:lineRule="auto"/>
        <w:jc w:val="both"/>
        <w:rPr>
          <w:sz w:val="22"/>
          <w:szCs w:val="22"/>
        </w:rPr>
      </w:pPr>
      <w:r>
        <w:rPr>
          <w:sz w:val="22"/>
          <w:szCs w:val="22"/>
        </w:rPr>
        <w:t>The discretion</w:t>
      </w:r>
      <w:r w:rsidR="008600FE">
        <w:rPr>
          <w:sz w:val="22"/>
          <w:szCs w:val="22"/>
        </w:rPr>
        <w:t xml:space="preserve"> which</w:t>
      </w:r>
      <w:r>
        <w:rPr>
          <w:sz w:val="22"/>
          <w:szCs w:val="22"/>
        </w:rPr>
        <w:t xml:space="preserve"> m</w:t>
      </w:r>
      <w:r w:rsidR="00AB033D">
        <w:rPr>
          <w:sz w:val="22"/>
          <w:szCs w:val="22"/>
        </w:rPr>
        <w:t xml:space="preserve">anagement </w:t>
      </w:r>
      <w:r w:rsidR="00D32500">
        <w:rPr>
          <w:sz w:val="22"/>
          <w:szCs w:val="22"/>
        </w:rPr>
        <w:t>possesses for estimating</w:t>
      </w:r>
      <w:r w:rsidR="001E5DF9">
        <w:rPr>
          <w:sz w:val="22"/>
          <w:szCs w:val="22"/>
        </w:rPr>
        <w:t xml:space="preserve"> the amount of loan loss provisions need</w:t>
      </w:r>
      <w:r>
        <w:rPr>
          <w:sz w:val="22"/>
          <w:szCs w:val="22"/>
        </w:rPr>
        <w:t xml:space="preserve"> to be</w:t>
      </w:r>
      <w:r w:rsidR="00AB033D">
        <w:rPr>
          <w:sz w:val="22"/>
          <w:szCs w:val="22"/>
        </w:rPr>
        <w:t xml:space="preserve"> within the regulatory</w:t>
      </w:r>
      <w:r w:rsidR="001E5DF9">
        <w:rPr>
          <w:sz w:val="22"/>
          <w:szCs w:val="22"/>
        </w:rPr>
        <w:t xml:space="preserve"> guidelines for the loan impairment. The</w:t>
      </w:r>
      <w:r w:rsidR="00C7494B">
        <w:rPr>
          <w:sz w:val="22"/>
          <w:szCs w:val="22"/>
        </w:rPr>
        <w:t xml:space="preserve"> Financial Accounting Standard</w:t>
      </w:r>
      <w:r w:rsidR="001E5DF9">
        <w:rPr>
          <w:sz w:val="22"/>
          <w:szCs w:val="22"/>
        </w:rPr>
        <w:t>s</w:t>
      </w:r>
      <w:r w:rsidR="00C7494B">
        <w:rPr>
          <w:sz w:val="22"/>
          <w:szCs w:val="22"/>
        </w:rPr>
        <w:t xml:space="preserve"> Board</w:t>
      </w:r>
      <w:r w:rsidR="001E5DF9">
        <w:rPr>
          <w:sz w:val="22"/>
          <w:szCs w:val="22"/>
        </w:rPr>
        <w:t xml:space="preserve"> </w:t>
      </w:r>
      <w:r w:rsidR="007B3ED1">
        <w:rPr>
          <w:sz w:val="22"/>
          <w:szCs w:val="22"/>
        </w:rPr>
        <w:t xml:space="preserve">provides accounting standards for the recognition and measurement of loan losses. </w:t>
      </w:r>
      <w:r w:rsidR="00081FC6">
        <w:rPr>
          <w:sz w:val="22"/>
          <w:szCs w:val="22"/>
        </w:rPr>
        <w:t xml:space="preserve">Under </w:t>
      </w:r>
      <w:r w:rsidR="007B3ED1">
        <w:rPr>
          <w:sz w:val="22"/>
          <w:szCs w:val="22"/>
        </w:rPr>
        <w:t xml:space="preserve">FAS No.5 </w:t>
      </w:r>
      <w:r w:rsidR="00081FC6">
        <w:rPr>
          <w:sz w:val="22"/>
          <w:szCs w:val="22"/>
        </w:rPr>
        <w:t>a bad loan is recognized when (</w:t>
      </w:r>
      <w:r w:rsidR="007B3ED1">
        <w:rPr>
          <w:sz w:val="22"/>
          <w:szCs w:val="22"/>
        </w:rPr>
        <w:t xml:space="preserve">1) “it is probable that an asset has been impaired” and (2) “the amount of the loss can be reasonably estimated”. </w:t>
      </w:r>
      <w:r w:rsidR="00081FC6">
        <w:rPr>
          <w:sz w:val="22"/>
          <w:szCs w:val="22"/>
        </w:rPr>
        <w:t xml:space="preserve">Under </w:t>
      </w:r>
      <w:r w:rsidR="007B3ED1">
        <w:rPr>
          <w:sz w:val="22"/>
          <w:szCs w:val="22"/>
        </w:rPr>
        <w:t xml:space="preserve">FAS No. 114 </w:t>
      </w:r>
      <w:r w:rsidR="00081FC6">
        <w:rPr>
          <w:sz w:val="22"/>
          <w:szCs w:val="22"/>
        </w:rPr>
        <w:t>a</w:t>
      </w:r>
      <w:r w:rsidR="007B3ED1">
        <w:rPr>
          <w:sz w:val="22"/>
          <w:szCs w:val="22"/>
        </w:rPr>
        <w:t xml:space="preserve"> loan is impaired when “it is probable that a creditor is unable to collect all interest</w:t>
      </w:r>
      <w:r w:rsidR="00090AAD">
        <w:rPr>
          <w:sz w:val="22"/>
          <w:szCs w:val="22"/>
        </w:rPr>
        <w:t xml:space="preserve"> and principal when contractually due according to the terms of the loan agreement.” A restructured loan is also considered impaired and will be reclassified as nonperforming asset. The bank </w:t>
      </w:r>
      <w:r w:rsidR="00D071D4">
        <w:rPr>
          <w:sz w:val="22"/>
          <w:szCs w:val="22"/>
        </w:rPr>
        <w:t>must</w:t>
      </w:r>
      <w:r w:rsidR="00090AAD">
        <w:rPr>
          <w:sz w:val="22"/>
          <w:szCs w:val="22"/>
        </w:rPr>
        <w:t xml:space="preserve"> value the impaired loan by disc</w:t>
      </w:r>
      <w:r w:rsidR="00D071D4">
        <w:rPr>
          <w:sz w:val="22"/>
          <w:szCs w:val="22"/>
        </w:rPr>
        <w:t>ounting the expected cash flow, basing the impairment</w:t>
      </w:r>
      <w:r w:rsidR="00090AAD">
        <w:rPr>
          <w:sz w:val="22"/>
          <w:szCs w:val="22"/>
        </w:rPr>
        <w:t xml:space="preserve"> </w:t>
      </w:r>
      <w:r w:rsidR="00D071D4">
        <w:rPr>
          <w:sz w:val="22"/>
          <w:szCs w:val="22"/>
        </w:rPr>
        <w:t xml:space="preserve">value </w:t>
      </w:r>
      <w:r w:rsidR="00090AAD">
        <w:rPr>
          <w:sz w:val="22"/>
          <w:szCs w:val="22"/>
        </w:rPr>
        <w:t>on the loan’s price in the secondary market or the fair value of the collateral if assets secure the loan (</w:t>
      </w:r>
      <w:proofErr w:type="spellStart"/>
      <w:r w:rsidR="00090AAD">
        <w:rPr>
          <w:sz w:val="22"/>
          <w:szCs w:val="22"/>
        </w:rPr>
        <w:t>Handorf</w:t>
      </w:r>
      <w:proofErr w:type="spellEnd"/>
      <w:r w:rsidR="00090AAD">
        <w:rPr>
          <w:sz w:val="22"/>
          <w:szCs w:val="22"/>
        </w:rPr>
        <w:t xml:space="preserve"> and Zhu, 2006, p. 100)</w:t>
      </w:r>
      <w:r w:rsidR="00D071D4">
        <w:rPr>
          <w:sz w:val="22"/>
          <w:szCs w:val="22"/>
        </w:rPr>
        <w:t>.</w:t>
      </w:r>
    </w:p>
    <w:p w:rsidR="00C7494B" w:rsidRDefault="00C7494B" w:rsidP="009F193B">
      <w:pPr>
        <w:spacing w:line="360" w:lineRule="auto"/>
        <w:jc w:val="both"/>
        <w:rPr>
          <w:sz w:val="22"/>
          <w:szCs w:val="22"/>
        </w:rPr>
      </w:pPr>
    </w:p>
    <w:p w:rsidR="009E42A0" w:rsidRDefault="00A2728A" w:rsidP="007F5BA7">
      <w:pPr>
        <w:spacing w:line="360" w:lineRule="auto"/>
        <w:jc w:val="both"/>
        <w:outlineLvl w:val="2"/>
        <w:rPr>
          <w:i/>
        </w:rPr>
      </w:pPr>
      <w:bookmarkStart w:id="42" w:name="_Toc287614172"/>
      <w:r>
        <w:rPr>
          <w:i/>
        </w:rPr>
        <w:t>3</w:t>
      </w:r>
      <w:r w:rsidR="003F0582">
        <w:rPr>
          <w:i/>
        </w:rPr>
        <w:t>.</w:t>
      </w:r>
      <w:r w:rsidR="00EA01D8">
        <w:rPr>
          <w:i/>
        </w:rPr>
        <w:t>6</w:t>
      </w:r>
      <w:r w:rsidR="009E42A0" w:rsidRPr="002E6004">
        <w:rPr>
          <w:i/>
        </w:rPr>
        <w:t xml:space="preserve">.2 </w:t>
      </w:r>
      <w:r w:rsidR="009E42A0">
        <w:rPr>
          <w:i/>
        </w:rPr>
        <w:t>Loan loss provisions</w:t>
      </w:r>
      <w:r w:rsidR="00437F1A">
        <w:rPr>
          <w:i/>
        </w:rPr>
        <w:t xml:space="preserve"> and motivations</w:t>
      </w:r>
      <w:bookmarkEnd w:id="42"/>
    </w:p>
    <w:p w:rsidR="00437F1A" w:rsidRDefault="00437F1A" w:rsidP="00437F1A">
      <w:pPr>
        <w:autoSpaceDE w:val="0"/>
        <w:autoSpaceDN w:val="0"/>
        <w:adjustRightInd w:val="0"/>
        <w:spacing w:line="360" w:lineRule="auto"/>
        <w:jc w:val="both"/>
        <w:rPr>
          <w:sz w:val="22"/>
          <w:szCs w:val="22"/>
        </w:rPr>
      </w:pPr>
      <w:r w:rsidRPr="00947242">
        <w:rPr>
          <w:sz w:val="22"/>
          <w:szCs w:val="22"/>
        </w:rPr>
        <w:t xml:space="preserve">The banking industry has several accruals that are materially significant and </w:t>
      </w:r>
      <w:r>
        <w:rPr>
          <w:sz w:val="22"/>
          <w:szCs w:val="22"/>
        </w:rPr>
        <w:t xml:space="preserve">requires substantial judgment. </w:t>
      </w:r>
      <w:r w:rsidR="00991544">
        <w:rPr>
          <w:sz w:val="22"/>
          <w:szCs w:val="22"/>
        </w:rPr>
        <w:t>Beat</w:t>
      </w:r>
      <w:r w:rsidR="0052273D">
        <w:rPr>
          <w:sz w:val="22"/>
          <w:szCs w:val="22"/>
        </w:rPr>
        <w:t>ty et al.(1995, p. 233) mentioned</w:t>
      </w:r>
      <w:r w:rsidR="00991544">
        <w:rPr>
          <w:sz w:val="22"/>
          <w:szCs w:val="22"/>
        </w:rPr>
        <w:t xml:space="preserve"> accruals like loan charge-offs, loan loss provisions, miscellaneous gains and losses, gains from pension settlements and changes in external funds. However, </w:t>
      </w:r>
      <w:r w:rsidR="00F81C28">
        <w:rPr>
          <w:sz w:val="22"/>
          <w:szCs w:val="22"/>
        </w:rPr>
        <w:t>the accounting literature frequently focuses on loan loss provisions (LLP) for</w:t>
      </w:r>
      <w:r w:rsidR="000C4A89">
        <w:rPr>
          <w:sz w:val="22"/>
          <w:szCs w:val="22"/>
        </w:rPr>
        <w:t xml:space="preserve"> detect</w:t>
      </w:r>
      <w:r w:rsidR="00F81C28">
        <w:rPr>
          <w:sz w:val="22"/>
          <w:szCs w:val="22"/>
        </w:rPr>
        <w:t>ing earnings management in banks</w:t>
      </w:r>
      <w:r w:rsidR="00991544">
        <w:rPr>
          <w:sz w:val="22"/>
          <w:szCs w:val="22"/>
        </w:rPr>
        <w:t>.</w:t>
      </w:r>
      <w:r w:rsidR="00DC65E3">
        <w:rPr>
          <w:sz w:val="22"/>
          <w:szCs w:val="22"/>
        </w:rPr>
        <w:t xml:space="preserve"> Some of these studies are from Beaver and Engel (1996),</w:t>
      </w:r>
      <w:r w:rsidR="00A67D02">
        <w:rPr>
          <w:sz w:val="22"/>
          <w:szCs w:val="22"/>
        </w:rPr>
        <w:t xml:space="preserve"> Ahmed Takeda and Thomas (1999) and </w:t>
      </w:r>
      <w:r w:rsidR="00DC65E3">
        <w:rPr>
          <w:sz w:val="22"/>
          <w:szCs w:val="22"/>
        </w:rPr>
        <w:t>Cheng Warfield and Ye (2009).</w:t>
      </w:r>
      <w:r w:rsidR="00D9260D">
        <w:rPr>
          <w:sz w:val="22"/>
          <w:szCs w:val="22"/>
        </w:rPr>
        <w:t xml:space="preserve"> </w:t>
      </w:r>
      <w:r w:rsidR="00A67D02">
        <w:rPr>
          <w:sz w:val="22"/>
          <w:szCs w:val="22"/>
        </w:rPr>
        <w:t xml:space="preserve">The LLP is a large accrual for banks, which has significant impact on banks’ earnings and </w:t>
      </w:r>
      <w:r w:rsidR="00502324">
        <w:rPr>
          <w:sz w:val="22"/>
          <w:szCs w:val="22"/>
        </w:rPr>
        <w:t>capital stock</w:t>
      </w:r>
      <w:r w:rsidR="00A67D02">
        <w:rPr>
          <w:sz w:val="22"/>
          <w:szCs w:val="22"/>
        </w:rPr>
        <w:t xml:space="preserve">. </w:t>
      </w:r>
      <w:r w:rsidR="00FE5FDF">
        <w:rPr>
          <w:sz w:val="22"/>
          <w:szCs w:val="22"/>
        </w:rPr>
        <w:t>Corne</w:t>
      </w:r>
      <w:r w:rsidR="000F00A0">
        <w:rPr>
          <w:sz w:val="22"/>
          <w:szCs w:val="22"/>
        </w:rPr>
        <w:t>tt et al. (2009, p. 414) define</w:t>
      </w:r>
      <w:r w:rsidR="00FE5FDF">
        <w:rPr>
          <w:sz w:val="22"/>
          <w:szCs w:val="22"/>
        </w:rPr>
        <w:t xml:space="preserve"> LLP as </w:t>
      </w:r>
      <w:r w:rsidR="00FE5FDF" w:rsidRPr="003742E4">
        <w:rPr>
          <w:i/>
          <w:sz w:val="22"/>
          <w:szCs w:val="22"/>
        </w:rPr>
        <w:t>“</w:t>
      </w:r>
      <w:r w:rsidR="003403BF" w:rsidRPr="003742E4">
        <w:rPr>
          <w:i/>
          <w:sz w:val="22"/>
          <w:szCs w:val="22"/>
        </w:rPr>
        <w:t>…</w:t>
      </w:r>
      <w:r w:rsidR="00FE5FDF" w:rsidRPr="003742E4">
        <w:rPr>
          <w:i/>
          <w:sz w:val="22"/>
          <w:szCs w:val="22"/>
        </w:rPr>
        <w:t>an expense item listed on the income statement reflecting management’s current period assessment of the level of future loan losses.”</w:t>
      </w:r>
      <w:r w:rsidR="00FE5FDF">
        <w:rPr>
          <w:sz w:val="22"/>
          <w:szCs w:val="22"/>
        </w:rPr>
        <w:t xml:space="preserve"> </w:t>
      </w:r>
      <w:r w:rsidR="00A67D02">
        <w:rPr>
          <w:sz w:val="22"/>
          <w:szCs w:val="22"/>
        </w:rPr>
        <w:t xml:space="preserve">The </w:t>
      </w:r>
      <w:r w:rsidR="001006B5">
        <w:rPr>
          <w:sz w:val="22"/>
          <w:szCs w:val="22"/>
        </w:rPr>
        <w:t>main</w:t>
      </w:r>
      <w:r w:rsidR="00A67D02">
        <w:rPr>
          <w:sz w:val="22"/>
          <w:szCs w:val="22"/>
        </w:rPr>
        <w:t xml:space="preserve"> purpose of LLP is to adjust </w:t>
      </w:r>
      <w:r w:rsidR="001006B5">
        <w:rPr>
          <w:sz w:val="22"/>
          <w:szCs w:val="22"/>
        </w:rPr>
        <w:t xml:space="preserve">bank’s loan loss reserves to reflect expected future losses on their loan portfolios (Ahmed </w:t>
      </w:r>
      <w:r w:rsidR="00BF6727">
        <w:rPr>
          <w:sz w:val="22"/>
          <w:szCs w:val="22"/>
        </w:rPr>
        <w:t>et al.</w:t>
      </w:r>
      <w:r w:rsidR="001006B5">
        <w:rPr>
          <w:sz w:val="22"/>
          <w:szCs w:val="22"/>
        </w:rPr>
        <w:t xml:space="preserve"> 1999, p. 2).</w:t>
      </w:r>
      <w:r w:rsidR="00396419">
        <w:rPr>
          <w:sz w:val="22"/>
          <w:szCs w:val="22"/>
        </w:rPr>
        <w:t xml:space="preserve"> However, bank managers </w:t>
      </w:r>
      <w:r w:rsidR="006B61FB">
        <w:rPr>
          <w:sz w:val="22"/>
          <w:szCs w:val="22"/>
        </w:rPr>
        <w:t>may</w:t>
      </w:r>
      <w:r w:rsidR="00396419">
        <w:rPr>
          <w:sz w:val="22"/>
          <w:szCs w:val="22"/>
        </w:rPr>
        <w:t xml:space="preserve"> have incentives to use LLP for </w:t>
      </w:r>
      <w:r w:rsidR="00175F55">
        <w:rPr>
          <w:sz w:val="22"/>
          <w:szCs w:val="22"/>
        </w:rPr>
        <w:t>managing earnings</w:t>
      </w:r>
      <w:r w:rsidR="00396419">
        <w:rPr>
          <w:sz w:val="22"/>
          <w:szCs w:val="22"/>
        </w:rPr>
        <w:t>.</w:t>
      </w:r>
    </w:p>
    <w:p w:rsidR="001006B5" w:rsidRDefault="001006B5" w:rsidP="00437F1A">
      <w:pPr>
        <w:autoSpaceDE w:val="0"/>
        <w:autoSpaceDN w:val="0"/>
        <w:adjustRightInd w:val="0"/>
        <w:spacing w:line="360" w:lineRule="auto"/>
        <w:jc w:val="both"/>
        <w:rPr>
          <w:sz w:val="22"/>
          <w:szCs w:val="22"/>
        </w:rPr>
      </w:pPr>
    </w:p>
    <w:p w:rsidR="00B029F6" w:rsidRDefault="001006B5" w:rsidP="001006B5">
      <w:pPr>
        <w:spacing w:line="360" w:lineRule="auto"/>
        <w:jc w:val="both"/>
        <w:rPr>
          <w:sz w:val="22"/>
          <w:szCs w:val="22"/>
        </w:rPr>
      </w:pPr>
      <w:r>
        <w:rPr>
          <w:sz w:val="22"/>
          <w:szCs w:val="22"/>
        </w:rPr>
        <w:t xml:space="preserve">Beaver and Engel (1996) and other researchers find four motivations for discretionary behavior with respect to LLP: regulatory, financial reporting, tax factors and signaling. </w:t>
      </w:r>
      <w:r w:rsidR="00B029F6">
        <w:rPr>
          <w:sz w:val="22"/>
          <w:szCs w:val="22"/>
        </w:rPr>
        <w:t xml:space="preserve">In addition, earnings smoothing is also an incentive to manipulate LLP (Cheng </w:t>
      </w:r>
      <w:r w:rsidR="00BF6727">
        <w:rPr>
          <w:sz w:val="22"/>
          <w:szCs w:val="22"/>
        </w:rPr>
        <w:t>et al.</w:t>
      </w:r>
      <w:r w:rsidR="00B029F6">
        <w:rPr>
          <w:sz w:val="22"/>
          <w:szCs w:val="22"/>
        </w:rPr>
        <w:t xml:space="preserve"> 2009; </w:t>
      </w:r>
      <w:proofErr w:type="spellStart"/>
      <w:r w:rsidR="00B029F6">
        <w:rPr>
          <w:sz w:val="22"/>
          <w:szCs w:val="22"/>
        </w:rPr>
        <w:t>Anandarajan</w:t>
      </w:r>
      <w:proofErr w:type="spellEnd"/>
      <w:r w:rsidR="00B029F6">
        <w:rPr>
          <w:sz w:val="22"/>
          <w:szCs w:val="22"/>
        </w:rPr>
        <w:t xml:space="preserve"> </w:t>
      </w:r>
      <w:r w:rsidR="00BF6727">
        <w:rPr>
          <w:sz w:val="22"/>
          <w:szCs w:val="22"/>
        </w:rPr>
        <w:t>et al.</w:t>
      </w:r>
      <w:r w:rsidR="00B029F6">
        <w:rPr>
          <w:sz w:val="22"/>
          <w:szCs w:val="22"/>
        </w:rPr>
        <w:t xml:space="preserve"> 2007; Ahmed </w:t>
      </w:r>
      <w:r w:rsidR="00BF6727">
        <w:rPr>
          <w:sz w:val="22"/>
          <w:szCs w:val="22"/>
        </w:rPr>
        <w:t>et al.</w:t>
      </w:r>
      <w:r w:rsidR="00B029F6">
        <w:rPr>
          <w:sz w:val="22"/>
          <w:szCs w:val="22"/>
        </w:rPr>
        <w:t xml:space="preserve"> 1999).</w:t>
      </w:r>
    </w:p>
    <w:p w:rsidR="00B029F6" w:rsidRPr="00F66334" w:rsidRDefault="001006B5" w:rsidP="00DA30B9">
      <w:pPr>
        <w:pStyle w:val="Lijstalinea"/>
        <w:numPr>
          <w:ilvl w:val="0"/>
          <w:numId w:val="4"/>
        </w:numPr>
        <w:spacing w:line="360" w:lineRule="auto"/>
        <w:jc w:val="both"/>
        <w:rPr>
          <w:sz w:val="22"/>
          <w:szCs w:val="22"/>
        </w:rPr>
      </w:pPr>
      <w:r w:rsidRPr="00F66334">
        <w:rPr>
          <w:sz w:val="22"/>
          <w:szCs w:val="22"/>
        </w:rPr>
        <w:t xml:space="preserve">Regulatory motivations arise because </w:t>
      </w:r>
      <w:r w:rsidR="00427A16" w:rsidRPr="00F66334">
        <w:rPr>
          <w:sz w:val="22"/>
          <w:szCs w:val="22"/>
        </w:rPr>
        <w:t>r</w:t>
      </w:r>
      <w:r w:rsidRPr="00F66334">
        <w:rPr>
          <w:sz w:val="22"/>
          <w:szCs w:val="22"/>
        </w:rPr>
        <w:t xml:space="preserve">egulators use capital ratios </w:t>
      </w:r>
      <w:r w:rsidR="00B029F6" w:rsidRPr="00F66334">
        <w:rPr>
          <w:sz w:val="22"/>
          <w:szCs w:val="22"/>
        </w:rPr>
        <w:t>for measuring</w:t>
      </w:r>
      <w:r w:rsidRPr="00F66334">
        <w:rPr>
          <w:sz w:val="22"/>
          <w:szCs w:val="22"/>
        </w:rPr>
        <w:t xml:space="preserve"> the bank capital risks and </w:t>
      </w:r>
      <w:r w:rsidR="00B029F6" w:rsidRPr="00F66334">
        <w:rPr>
          <w:sz w:val="22"/>
          <w:szCs w:val="22"/>
        </w:rPr>
        <w:t>for</w:t>
      </w:r>
      <w:r w:rsidRPr="00F66334">
        <w:rPr>
          <w:sz w:val="22"/>
          <w:szCs w:val="22"/>
        </w:rPr>
        <w:t xml:space="preserve"> identify</w:t>
      </w:r>
      <w:r w:rsidR="00B029F6" w:rsidRPr="00F66334">
        <w:rPr>
          <w:sz w:val="22"/>
          <w:szCs w:val="22"/>
        </w:rPr>
        <w:t>ing</w:t>
      </w:r>
      <w:r w:rsidRPr="00F66334">
        <w:rPr>
          <w:sz w:val="22"/>
          <w:szCs w:val="22"/>
        </w:rPr>
        <w:t xml:space="preserve"> banks with low solvency. </w:t>
      </w:r>
      <w:r w:rsidR="00427A16" w:rsidRPr="00F66334">
        <w:rPr>
          <w:sz w:val="22"/>
          <w:szCs w:val="22"/>
        </w:rPr>
        <w:t>When the capital ratio nears the</w:t>
      </w:r>
      <w:r w:rsidRPr="00F66334">
        <w:rPr>
          <w:sz w:val="22"/>
          <w:szCs w:val="22"/>
        </w:rPr>
        <w:t xml:space="preserve"> minimum capital requirement it is likely for banks to manage earnings. Beatty et al</w:t>
      </w:r>
      <w:r w:rsidR="00FE36ED" w:rsidRPr="00F66334">
        <w:rPr>
          <w:sz w:val="22"/>
          <w:szCs w:val="22"/>
        </w:rPr>
        <w:t>. (</w:t>
      </w:r>
      <w:r w:rsidRPr="00F66334">
        <w:rPr>
          <w:sz w:val="22"/>
          <w:szCs w:val="22"/>
        </w:rPr>
        <w:t>1995, p. 233) document that approaching the primary capital ratio of 5.5% is costly for banks, because it in</w:t>
      </w:r>
      <w:r w:rsidR="00427A16" w:rsidRPr="00F66334">
        <w:rPr>
          <w:sz w:val="22"/>
          <w:szCs w:val="22"/>
        </w:rPr>
        <w:t>creases the chance of regulatory</w:t>
      </w:r>
      <w:r w:rsidRPr="00F66334">
        <w:rPr>
          <w:sz w:val="22"/>
          <w:szCs w:val="22"/>
        </w:rPr>
        <w:t xml:space="preserve"> scrutiny. </w:t>
      </w:r>
    </w:p>
    <w:p w:rsidR="00B029F6" w:rsidRPr="00F66334" w:rsidRDefault="00396419" w:rsidP="00DA30B9">
      <w:pPr>
        <w:pStyle w:val="Lijstalinea"/>
        <w:numPr>
          <w:ilvl w:val="0"/>
          <w:numId w:val="4"/>
        </w:numPr>
        <w:spacing w:line="360" w:lineRule="auto"/>
        <w:jc w:val="both"/>
        <w:rPr>
          <w:sz w:val="22"/>
          <w:szCs w:val="22"/>
        </w:rPr>
      </w:pPr>
      <w:r w:rsidRPr="00F66334">
        <w:rPr>
          <w:sz w:val="22"/>
          <w:szCs w:val="22"/>
        </w:rPr>
        <w:t>Fina</w:t>
      </w:r>
      <w:r w:rsidR="00202B67">
        <w:rPr>
          <w:sz w:val="22"/>
          <w:szCs w:val="22"/>
        </w:rPr>
        <w:t xml:space="preserve">ncial reporting motivations arise because </w:t>
      </w:r>
      <w:r w:rsidRPr="00F66334">
        <w:rPr>
          <w:sz w:val="22"/>
          <w:szCs w:val="22"/>
        </w:rPr>
        <w:t xml:space="preserve">contracts written by the bank </w:t>
      </w:r>
      <w:r w:rsidR="00202B67">
        <w:rPr>
          <w:sz w:val="22"/>
          <w:szCs w:val="22"/>
        </w:rPr>
        <w:t>are stated</w:t>
      </w:r>
      <w:r w:rsidRPr="00F66334">
        <w:rPr>
          <w:sz w:val="22"/>
          <w:szCs w:val="22"/>
        </w:rPr>
        <w:t xml:space="preserve"> in terms of accounting numbers. Exercising discretion over LLP can affect the economic value of a bank and its managers.</w:t>
      </w:r>
    </w:p>
    <w:p w:rsidR="009E42A0" w:rsidRPr="00F66334" w:rsidRDefault="00B029F6" w:rsidP="00DA30B9">
      <w:pPr>
        <w:pStyle w:val="Lijstalinea"/>
        <w:numPr>
          <w:ilvl w:val="0"/>
          <w:numId w:val="4"/>
        </w:numPr>
        <w:spacing w:line="360" w:lineRule="auto"/>
        <w:jc w:val="both"/>
        <w:rPr>
          <w:sz w:val="22"/>
          <w:szCs w:val="22"/>
        </w:rPr>
      </w:pPr>
      <w:r w:rsidRPr="00F66334">
        <w:rPr>
          <w:sz w:val="22"/>
          <w:szCs w:val="22"/>
        </w:rPr>
        <w:lastRenderedPageBreak/>
        <w:t>Incentives for tax purposes</w:t>
      </w:r>
      <w:r w:rsidR="00396419" w:rsidRPr="00F66334">
        <w:rPr>
          <w:sz w:val="22"/>
          <w:szCs w:val="22"/>
        </w:rPr>
        <w:t xml:space="preserve"> arise because</w:t>
      </w:r>
      <w:r w:rsidR="00383182" w:rsidRPr="00F66334">
        <w:rPr>
          <w:sz w:val="22"/>
          <w:szCs w:val="22"/>
        </w:rPr>
        <w:t xml:space="preserve"> tax expenses represent a significant cost to banks. Prior research finds that banks</w:t>
      </w:r>
      <w:r w:rsidRPr="00F66334">
        <w:rPr>
          <w:sz w:val="22"/>
          <w:szCs w:val="22"/>
        </w:rPr>
        <w:t xml:space="preserve"> can reduce the present value of tax payments by timing transactions (Beatty </w:t>
      </w:r>
      <w:r w:rsidR="00BF6727">
        <w:rPr>
          <w:sz w:val="22"/>
          <w:szCs w:val="22"/>
        </w:rPr>
        <w:t>et al.</w:t>
      </w:r>
      <w:r w:rsidRPr="00F66334">
        <w:rPr>
          <w:sz w:val="22"/>
          <w:szCs w:val="22"/>
        </w:rPr>
        <w:t xml:space="preserve"> 1995).</w:t>
      </w:r>
    </w:p>
    <w:p w:rsidR="00B029F6" w:rsidRPr="00F66334" w:rsidRDefault="00383182" w:rsidP="00DA30B9">
      <w:pPr>
        <w:pStyle w:val="Lijstalinea"/>
        <w:numPr>
          <w:ilvl w:val="0"/>
          <w:numId w:val="4"/>
        </w:numPr>
        <w:spacing w:line="360" w:lineRule="auto"/>
        <w:jc w:val="both"/>
        <w:rPr>
          <w:sz w:val="22"/>
          <w:szCs w:val="22"/>
        </w:rPr>
      </w:pPr>
      <w:r w:rsidRPr="00F66334">
        <w:rPr>
          <w:sz w:val="22"/>
          <w:szCs w:val="22"/>
        </w:rPr>
        <w:t>Signaling occurs when a ‘stronger’ bank wants to distinguish itself from ‘weaker’ banks. LLPs are used to signal pr</w:t>
      </w:r>
      <w:r w:rsidR="00150697" w:rsidRPr="00F66334">
        <w:rPr>
          <w:sz w:val="22"/>
          <w:szCs w:val="22"/>
        </w:rPr>
        <w:t xml:space="preserve">ivate information about future intentions of higher earnings to investors and the stock market. </w:t>
      </w:r>
      <w:r w:rsidR="00B86487">
        <w:rPr>
          <w:sz w:val="22"/>
          <w:szCs w:val="22"/>
        </w:rPr>
        <w:t>Increasing LLP is considered a sign of strength.</w:t>
      </w:r>
    </w:p>
    <w:p w:rsidR="00150697" w:rsidRPr="00F66334" w:rsidRDefault="00150697" w:rsidP="00DA30B9">
      <w:pPr>
        <w:pStyle w:val="Lijstalinea"/>
        <w:numPr>
          <w:ilvl w:val="0"/>
          <w:numId w:val="4"/>
        </w:numPr>
        <w:spacing w:line="360" w:lineRule="auto"/>
        <w:jc w:val="both"/>
        <w:rPr>
          <w:sz w:val="22"/>
          <w:szCs w:val="22"/>
        </w:rPr>
      </w:pPr>
      <w:r w:rsidRPr="00F66334">
        <w:rPr>
          <w:sz w:val="22"/>
          <w:szCs w:val="22"/>
        </w:rPr>
        <w:t xml:space="preserve">Earnings </w:t>
      </w:r>
      <w:r w:rsidR="002F67CD">
        <w:rPr>
          <w:sz w:val="22"/>
          <w:szCs w:val="22"/>
        </w:rPr>
        <w:t>smoothing</w:t>
      </w:r>
      <w:r w:rsidRPr="00F66334">
        <w:rPr>
          <w:sz w:val="22"/>
          <w:szCs w:val="22"/>
        </w:rPr>
        <w:t xml:space="preserve"> motives arise </w:t>
      </w:r>
      <w:r w:rsidR="007276E5" w:rsidRPr="00F66334">
        <w:rPr>
          <w:sz w:val="22"/>
          <w:szCs w:val="22"/>
        </w:rPr>
        <w:t xml:space="preserve">due </w:t>
      </w:r>
      <w:r w:rsidRPr="00F66334">
        <w:rPr>
          <w:sz w:val="22"/>
          <w:szCs w:val="22"/>
        </w:rPr>
        <w:t>to earnings volatility. A smoother stream of earnings reduces the information asymmetry between managers and stakeholders</w:t>
      </w:r>
      <w:r w:rsidR="007276E5" w:rsidRPr="00F66334">
        <w:rPr>
          <w:sz w:val="22"/>
          <w:szCs w:val="22"/>
        </w:rPr>
        <w:t>, therefore reducing the cost of capital.</w:t>
      </w:r>
      <w:r w:rsidR="003F02B6">
        <w:rPr>
          <w:sz w:val="22"/>
          <w:szCs w:val="22"/>
        </w:rPr>
        <w:t xml:space="preserve"> </w:t>
      </w:r>
      <w:r w:rsidR="002F67CD">
        <w:rPr>
          <w:sz w:val="22"/>
          <w:szCs w:val="22"/>
        </w:rPr>
        <w:t xml:space="preserve">Beatty and Harris (1999, p. 301) claim that public banks </w:t>
      </w:r>
      <w:r w:rsidR="00FB1AA7">
        <w:rPr>
          <w:sz w:val="22"/>
          <w:szCs w:val="22"/>
        </w:rPr>
        <w:t>engage</w:t>
      </w:r>
      <w:r w:rsidR="000D02F1">
        <w:rPr>
          <w:sz w:val="22"/>
          <w:szCs w:val="22"/>
        </w:rPr>
        <w:t xml:space="preserve"> more in earnings management than</w:t>
      </w:r>
      <w:r w:rsidR="00496555">
        <w:rPr>
          <w:sz w:val="22"/>
          <w:szCs w:val="22"/>
        </w:rPr>
        <w:t xml:space="preserve"> private banks</w:t>
      </w:r>
      <w:r w:rsidR="000D02F1">
        <w:rPr>
          <w:sz w:val="22"/>
          <w:szCs w:val="22"/>
        </w:rPr>
        <w:t xml:space="preserve"> due to greater agency cost </w:t>
      </w:r>
      <w:r w:rsidR="00202B67">
        <w:rPr>
          <w:sz w:val="22"/>
          <w:szCs w:val="22"/>
        </w:rPr>
        <w:t>and</w:t>
      </w:r>
      <w:r w:rsidR="000D02F1">
        <w:rPr>
          <w:sz w:val="22"/>
          <w:szCs w:val="22"/>
        </w:rPr>
        <w:t xml:space="preserve"> greater information asymmetry in public banks. </w:t>
      </w:r>
      <w:r w:rsidRPr="00F66334">
        <w:rPr>
          <w:sz w:val="22"/>
          <w:szCs w:val="22"/>
        </w:rPr>
        <w:t xml:space="preserve">Also, </w:t>
      </w:r>
      <w:r w:rsidR="007276E5" w:rsidRPr="00F66334">
        <w:rPr>
          <w:sz w:val="22"/>
          <w:szCs w:val="22"/>
        </w:rPr>
        <w:t>less</w:t>
      </w:r>
      <w:r w:rsidRPr="00F66334">
        <w:rPr>
          <w:sz w:val="22"/>
          <w:szCs w:val="22"/>
        </w:rPr>
        <w:t xml:space="preserve"> volatility </w:t>
      </w:r>
      <w:r w:rsidR="007276E5" w:rsidRPr="00F66334">
        <w:rPr>
          <w:sz w:val="22"/>
          <w:szCs w:val="22"/>
        </w:rPr>
        <w:t>convey</w:t>
      </w:r>
      <w:r w:rsidRPr="00F66334">
        <w:rPr>
          <w:sz w:val="22"/>
          <w:szCs w:val="22"/>
        </w:rPr>
        <w:t xml:space="preserve"> a signal of lower risk</w:t>
      </w:r>
      <w:r w:rsidR="007276E5" w:rsidRPr="00F66334">
        <w:rPr>
          <w:sz w:val="22"/>
          <w:szCs w:val="22"/>
        </w:rPr>
        <w:t>, thereby</w:t>
      </w:r>
      <w:r w:rsidRPr="00F66334">
        <w:rPr>
          <w:sz w:val="22"/>
          <w:szCs w:val="22"/>
        </w:rPr>
        <w:t xml:space="preserve"> prevent</w:t>
      </w:r>
      <w:r w:rsidR="007276E5" w:rsidRPr="00F66334">
        <w:rPr>
          <w:sz w:val="22"/>
          <w:szCs w:val="22"/>
        </w:rPr>
        <w:t>ing the chance of</w:t>
      </w:r>
      <w:r w:rsidRPr="00F66334">
        <w:rPr>
          <w:sz w:val="22"/>
          <w:szCs w:val="22"/>
        </w:rPr>
        <w:t xml:space="preserve"> potential scrutiny from regulators. </w:t>
      </w:r>
    </w:p>
    <w:p w:rsidR="0031054C" w:rsidRDefault="0031054C" w:rsidP="0031054C">
      <w:pPr>
        <w:autoSpaceDE w:val="0"/>
        <w:autoSpaceDN w:val="0"/>
        <w:adjustRightInd w:val="0"/>
        <w:rPr>
          <w:sz w:val="22"/>
          <w:szCs w:val="22"/>
        </w:rPr>
      </w:pPr>
    </w:p>
    <w:p w:rsidR="005C3B62" w:rsidRPr="0040092D" w:rsidRDefault="00A2728A" w:rsidP="006B7FF2">
      <w:pPr>
        <w:pStyle w:val="Kop2"/>
      </w:pPr>
      <w:bookmarkStart w:id="43" w:name="_Toc287614173"/>
      <w:r>
        <w:t>3</w:t>
      </w:r>
      <w:r w:rsidR="001C76A4" w:rsidRPr="0040092D">
        <w:t>.</w:t>
      </w:r>
      <w:r w:rsidR="00EA01D8">
        <w:t>7</w:t>
      </w:r>
      <w:r w:rsidR="005C3B62" w:rsidRPr="0040092D">
        <w:t xml:space="preserve"> </w:t>
      </w:r>
      <w:r w:rsidR="0052514F" w:rsidRPr="0040092D">
        <w:t xml:space="preserve">How to </w:t>
      </w:r>
      <w:r w:rsidR="004F51A3" w:rsidRPr="0040092D">
        <w:t>measure</w:t>
      </w:r>
      <w:r w:rsidR="0052514F" w:rsidRPr="0040092D">
        <w:t xml:space="preserve"> </w:t>
      </w:r>
      <w:r w:rsidR="0040092D" w:rsidRPr="0040092D">
        <w:t>e</w:t>
      </w:r>
      <w:r w:rsidR="0052514F" w:rsidRPr="0040092D">
        <w:t xml:space="preserve">arnings </w:t>
      </w:r>
      <w:r w:rsidR="0040092D" w:rsidRPr="0040092D">
        <w:t>m</w:t>
      </w:r>
      <w:r w:rsidR="00667656">
        <w:t>anagement in</w:t>
      </w:r>
      <w:r w:rsidR="0052514F" w:rsidRPr="0040092D">
        <w:t xml:space="preserve"> </w:t>
      </w:r>
      <w:r w:rsidR="0040092D" w:rsidRPr="0040092D">
        <w:t>b</w:t>
      </w:r>
      <w:r w:rsidR="0052514F" w:rsidRPr="0040092D">
        <w:t>anks</w:t>
      </w:r>
      <w:bookmarkEnd w:id="43"/>
    </w:p>
    <w:p w:rsidR="00D83C4C" w:rsidRPr="00D83C4C" w:rsidRDefault="000C459D" w:rsidP="00A239C8">
      <w:pPr>
        <w:autoSpaceDE w:val="0"/>
        <w:autoSpaceDN w:val="0"/>
        <w:adjustRightInd w:val="0"/>
        <w:spacing w:line="360" w:lineRule="auto"/>
        <w:jc w:val="both"/>
        <w:rPr>
          <w:sz w:val="22"/>
          <w:szCs w:val="22"/>
        </w:rPr>
      </w:pPr>
      <w:r>
        <w:rPr>
          <w:sz w:val="22"/>
          <w:szCs w:val="22"/>
        </w:rPr>
        <w:t xml:space="preserve">Beaver and Engel (1996) investigated </w:t>
      </w:r>
      <w:r w:rsidR="00AC681F">
        <w:rPr>
          <w:sz w:val="22"/>
          <w:szCs w:val="22"/>
        </w:rPr>
        <w:t>how the capital market values the discretionary and non-discretionary components of a large accrual in the banking sector, the allowance of loan losses.</w:t>
      </w:r>
      <w:r w:rsidR="00CC25D9">
        <w:rPr>
          <w:sz w:val="22"/>
          <w:szCs w:val="22"/>
        </w:rPr>
        <w:t xml:space="preserve"> </w:t>
      </w:r>
      <w:r w:rsidR="00EF280D">
        <w:rPr>
          <w:sz w:val="22"/>
          <w:szCs w:val="22"/>
        </w:rPr>
        <w:t xml:space="preserve">They </w:t>
      </w:r>
      <w:r w:rsidR="00CC25D9">
        <w:rPr>
          <w:sz w:val="22"/>
          <w:szCs w:val="22"/>
        </w:rPr>
        <w:t>f</w:t>
      </w:r>
      <w:r w:rsidR="00AC681F">
        <w:rPr>
          <w:sz w:val="22"/>
          <w:szCs w:val="22"/>
        </w:rPr>
        <w:t>oun</w:t>
      </w:r>
      <w:r w:rsidR="00CC25D9">
        <w:rPr>
          <w:sz w:val="22"/>
          <w:szCs w:val="22"/>
        </w:rPr>
        <w:t>d evidence</w:t>
      </w:r>
      <w:r w:rsidR="00EF280D">
        <w:rPr>
          <w:sz w:val="22"/>
          <w:szCs w:val="22"/>
        </w:rPr>
        <w:t xml:space="preserve"> that the non-discretionary part is negatively priced</w:t>
      </w:r>
      <w:r w:rsidR="00AC681F">
        <w:rPr>
          <w:sz w:val="22"/>
          <w:szCs w:val="22"/>
        </w:rPr>
        <w:t xml:space="preserve"> by</w:t>
      </w:r>
      <w:r w:rsidR="00AC681F" w:rsidRPr="00AC681F">
        <w:rPr>
          <w:sz w:val="22"/>
          <w:szCs w:val="22"/>
        </w:rPr>
        <w:t xml:space="preserve"> </w:t>
      </w:r>
      <w:r w:rsidR="00AC681F">
        <w:rPr>
          <w:sz w:val="22"/>
          <w:szCs w:val="22"/>
        </w:rPr>
        <w:t>market participants</w:t>
      </w:r>
      <w:r w:rsidR="00EF280D">
        <w:rPr>
          <w:sz w:val="22"/>
          <w:szCs w:val="22"/>
        </w:rPr>
        <w:t xml:space="preserve">, because it reflects the impairment of the loan assets due to loan defaults. The discretionary part is positively priced or valuation-neutral. </w:t>
      </w:r>
      <w:r w:rsidR="007F59BD">
        <w:rPr>
          <w:sz w:val="22"/>
          <w:szCs w:val="22"/>
        </w:rPr>
        <w:t>Their model is</w:t>
      </w:r>
      <w:r w:rsidR="009B68B2">
        <w:rPr>
          <w:sz w:val="22"/>
          <w:szCs w:val="22"/>
        </w:rPr>
        <w:t xml:space="preserve"> similar like the “Jones model”</w:t>
      </w:r>
      <w:r w:rsidR="00794351">
        <w:rPr>
          <w:sz w:val="22"/>
          <w:szCs w:val="22"/>
        </w:rPr>
        <w:t xml:space="preserve"> </w:t>
      </w:r>
      <w:r w:rsidR="007F59BD">
        <w:rPr>
          <w:sz w:val="22"/>
          <w:szCs w:val="22"/>
        </w:rPr>
        <w:t xml:space="preserve">in the sense of </w:t>
      </w:r>
      <w:r w:rsidR="00794351">
        <w:rPr>
          <w:sz w:val="22"/>
          <w:szCs w:val="22"/>
        </w:rPr>
        <w:t>detect</w:t>
      </w:r>
      <w:r w:rsidR="007F59BD">
        <w:rPr>
          <w:sz w:val="22"/>
          <w:szCs w:val="22"/>
        </w:rPr>
        <w:t>ing</w:t>
      </w:r>
      <w:r w:rsidR="00794351">
        <w:rPr>
          <w:sz w:val="22"/>
          <w:szCs w:val="22"/>
        </w:rPr>
        <w:t xml:space="preserve"> the discretionary component of the accrual</w:t>
      </w:r>
      <w:r w:rsidR="009B68B2">
        <w:rPr>
          <w:sz w:val="22"/>
          <w:szCs w:val="22"/>
        </w:rPr>
        <w:t xml:space="preserve">. They </w:t>
      </w:r>
      <w:r w:rsidR="00C1127E">
        <w:rPr>
          <w:sz w:val="22"/>
          <w:szCs w:val="22"/>
        </w:rPr>
        <w:t>suggest that</w:t>
      </w:r>
      <w:r w:rsidR="00CC25D9">
        <w:rPr>
          <w:sz w:val="22"/>
          <w:szCs w:val="22"/>
        </w:rPr>
        <w:t xml:space="preserve"> find</w:t>
      </w:r>
      <w:r w:rsidR="00C1127E">
        <w:rPr>
          <w:sz w:val="22"/>
          <w:szCs w:val="22"/>
        </w:rPr>
        <w:t>ing</w:t>
      </w:r>
      <w:r w:rsidR="00CC25D9">
        <w:rPr>
          <w:sz w:val="22"/>
          <w:szCs w:val="22"/>
        </w:rPr>
        <w:t xml:space="preserve"> the </w:t>
      </w:r>
      <w:r w:rsidR="00A239C8">
        <w:rPr>
          <w:sz w:val="22"/>
          <w:szCs w:val="22"/>
        </w:rPr>
        <w:t xml:space="preserve">discretionary </w:t>
      </w:r>
      <w:r w:rsidR="00CC25D9">
        <w:rPr>
          <w:sz w:val="22"/>
          <w:szCs w:val="22"/>
        </w:rPr>
        <w:t>component of loan loss allowance, first the non-discretionary</w:t>
      </w:r>
      <w:r w:rsidR="00FB1AA7">
        <w:rPr>
          <w:sz w:val="22"/>
          <w:szCs w:val="22"/>
        </w:rPr>
        <w:t xml:space="preserve"> part</w:t>
      </w:r>
      <w:r w:rsidR="00CC25D9">
        <w:rPr>
          <w:sz w:val="22"/>
          <w:szCs w:val="22"/>
        </w:rPr>
        <w:t xml:space="preserve"> must be </w:t>
      </w:r>
      <w:r w:rsidR="00007AF0">
        <w:rPr>
          <w:sz w:val="22"/>
          <w:szCs w:val="22"/>
        </w:rPr>
        <w:t>estimated</w:t>
      </w:r>
      <w:r w:rsidR="00FB1AA7">
        <w:rPr>
          <w:sz w:val="22"/>
          <w:szCs w:val="22"/>
        </w:rPr>
        <w:t xml:space="preserve"> </w:t>
      </w:r>
      <w:r w:rsidR="00C85C58">
        <w:rPr>
          <w:sz w:val="22"/>
          <w:szCs w:val="22"/>
        </w:rPr>
        <w:t xml:space="preserve">by </w:t>
      </w:r>
      <w:r w:rsidR="00FB1AA7">
        <w:rPr>
          <w:sz w:val="22"/>
          <w:szCs w:val="22"/>
        </w:rPr>
        <w:t xml:space="preserve">using </w:t>
      </w:r>
      <w:r w:rsidR="005945FF">
        <w:rPr>
          <w:sz w:val="22"/>
          <w:szCs w:val="22"/>
        </w:rPr>
        <w:t>nonperforming assets and net loan charge-offs</w:t>
      </w:r>
      <w:r w:rsidR="00FB1AA7">
        <w:rPr>
          <w:sz w:val="22"/>
          <w:szCs w:val="22"/>
        </w:rPr>
        <w:t xml:space="preserve"> as explanatory variables</w:t>
      </w:r>
      <w:r w:rsidR="005945FF">
        <w:rPr>
          <w:sz w:val="22"/>
          <w:szCs w:val="22"/>
        </w:rPr>
        <w:t xml:space="preserve">. Nonperforming assets contains </w:t>
      </w:r>
      <w:r w:rsidR="00C1127E">
        <w:rPr>
          <w:sz w:val="22"/>
          <w:szCs w:val="22"/>
        </w:rPr>
        <w:t xml:space="preserve">bad loans and </w:t>
      </w:r>
      <w:r w:rsidR="00D63F32">
        <w:rPr>
          <w:sz w:val="22"/>
          <w:szCs w:val="22"/>
        </w:rPr>
        <w:t>real estate obtained in foreclosure.</w:t>
      </w:r>
      <w:r w:rsidR="00166655">
        <w:rPr>
          <w:sz w:val="22"/>
          <w:szCs w:val="22"/>
        </w:rPr>
        <w:t xml:space="preserve"> Loan c</w:t>
      </w:r>
      <w:r w:rsidR="00D63F32">
        <w:rPr>
          <w:sz w:val="22"/>
          <w:szCs w:val="22"/>
        </w:rPr>
        <w:t xml:space="preserve">harge-offs </w:t>
      </w:r>
      <w:r w:rsidR="00166655">
        <w:rPr>
          <w:sz w:val="22"/>
          <w:szCs w:val="22"/>
        </w:rPr>
        <w:t>are</w:t>
      </w:r>
      <w:r w:rsidR="00D63F32">
        <w:rPr>
          <w:sz w:val="22"/>
          <w:szCs w:val="22"/>
        </w:rPr>
        <w:t xml:space="preserve"> </w:t>
      </w:r>
      <w:r w:rsidR="00AC681F">
        <w:rPr>
          <w:sz w:val="22"/>
          <w:szCs w:val="22"/>
        </w:rPr>
        <w:t>depreciations</w:t>
      </w:r>
      <w:r w:rsidR="00166655">
        <w:rPr>
          <w:sz w:val="22"/>
          <w:szCs w:val="22"/>
        </w:rPr>
        <w:t xml:space="preserve"> of </w:t>
      </w:r>
      <w:r w:rsidR="00D83C4C">
        <w:rPr>
          <w:sz w:val="22"/>
          <w:szCs w:val="22"/>
        </w:rPr>
        <w:t>bad</w:t>
      </w:r>
      <w:r w:rsidR="00544047">
        <w:rPr>
          <w:sz w:val="22"/>
          <w:szCs w:val="22"/>
        </w:rPr>
        <w:t xml:space="preserve"> </w:t>
      </w:r>
      <w:r w:rsidR="00166655">
        <w:rPr>
          <w:sz w:val="22"/>
          <w:szCs w:val="22"/>
        </w:rPr>
        <w:t>loa</w:t>
      </w:r>
      <w:r w:rsidR="00544047">
        <w:rPr>
          <w:sz w:val="22"/>
          <w:szCs w:val="22"/>
        </w:rPr>
        <w:t xml:space="preserve">ns during an accounting period and </w:t>
      </w:r>
      <w:r w:rsidR="00166655">
        <w:rPr>
          <w:sz w:val="22"/>
          <w:szCs w:val="22"/>
        </w:rPr>
        <w:t>has no direct effect on earnings.</w:t>
      </w:r>
      <w:r w:rsidR="00794351">
        <w:rPr>
          <w:sz w:val="22"/>
          <w:szCs w:val="22"/>
        </w:rPr>
        <w:t xml:space="preserve"> </w:t>
      </w:r>
      <w:r w:rsidR="00D83C4C">
        <w:rPr>
          <w:sz w:val="22"/>
          <w:szCs w:val="22"/>
        </w:rPr>
        <w:t xml:space="preserve">Net charge-offs is the difference between gross charge-offs less recoveries of previous charge-offs. </w:t>
      </w:r>
      <w:r w:rsidR="00D83C4C" w:rsidRPr="00D83C4C">
        <w:rPr>
          <w:sz w:val="22"/>
          <w:szCs w:val="22"/>
        </w:rPr>
        <w:t>If losses exceed recoveries, this value is shown as a negative amount</w:t>
      </w:r>
      <w:r w:rsidR="00D83C4C">
        <w:rPr>
          <w:sz w:val="22"/>
          <w:szCs w:val="22"/>
        </w:rPr>
        <w:t>.</w:t>
      </w:r>
    </w:p>
    <w:p w:rsidR="00D83C4C" w:rsidRDefault="00D83C4C" w:rsidP="00A239C8">
      <w:pPr>
        <w:autoSpaceDE w:val="0"/>
        <w:autoSpaceDN w:val="0"/>
        <w:adjustRightInd w:val="0"/>
        <w:spacing w:line="360" w:lineRule="auto"/>
        <w:jc w:val="both"/>
        <w:rPr>
          <w:sz w:val="22"/>
          <w:szCs w:val="22"/>
        </w:rPr>
      </w:pPr>
    </w:p>
    <w:p w:rsidR="005945FF" w:rsidRDefault="00673045" w:rsidP="00A239C8">
      <w:pPr>
        <w:autoSpaceDE w:val="0"/>
        <w:autoSpaceDN w:val="0"/>
        <w:adjustRightInd w:val="0"/>
        <w:spacing w:line="360" w:lineRule="auto"/>
        <w:jc w:val="both"/>
        <w:rPr>
          <w:sz w:val="22"/>
          <w:szCs w:val="22"/>
        </w:rPr>
      </w:pPr>
      <w:r>
        <w:rPr>
          <w:sz w:val="22"/>
          <w:szCs w:val="22"/>
        </w:rPr>
        <w:t xml:space="preserve">The </w:t>
      </w:r>
      <w:r w:rsidR="00470A7C">
        <w:rPr>
          <w:sz w:val="22"/>
          <w:szCs w:val="22"/>
        </w:rPr>
        <w:t>allowance for loan losses</w:t>
      </w:r>
      <w:r w:rsidR="005945FF">
        <w:rPr>
          <w:sz w:val="22"/>
          <w:szCs w:val="22"/>
        </w:rPr>
        <w:t xml:space="preserve"> </w:t>
      </w:r>
      <w:r w:rsidR="00007AF0">
        <w:rPr>
          <w:sz w:val="22"/>
          <w:szCs w:val="22"/>
        </w:rPr>
        <w:t xml:space="preserve">(ALL) </w:t>
      </w:r>
      <w:r w:rsidR="00794351">
        <w:rPr>
          <w:sz w:val="22"/>
          <w:szCs w:val="22"/>
        </w:rPr>
        <w:t>i</w:t>
      </w:r>
      <w:r w:rsidR="005945FF">
        <w:rPr>
          <w:sz w:val="22"/>
          <w:szCs w:val="22"/>
        </w:rPr>
        <w:t xml:space="preserve">s a linear function of loans outstanding, nonperforming </w:t>
      </w:r>
      <w:r w:rsidR="00544047">
        <w:rPr>
          <w:sz w:val="22"/>
          <w:szCs w:val="22"/>
        </w:rPr>
        <w:t>assets and net loan charge offs</w:t>
      </w:r>
      <w:r w:rsidR="0003097B">
        <w:rPr>
          <w:sz w:val="22"/>
          <w:szCs w:val="22"/>
        </w:rPr>
        <w:t xml:space="preserve">. </w:t>
      </w:r>
      <w:r w:rsidR="00007AF0">
        <w:rPr>
          <w:sz w:val="22"/>
          <w:szCs w:val="22"/>
        </w:rPr>
        <w:t>The estimation of the components of ALL is based on the</w:t>
      </w:r>
      <w:r w:rsidR="00205E00">
        <w:rPr>
          <w:sz w:val="22"/>
          <w:szCs w:val="22"/>
        </w:rPr>
        <w:t xml:space="preserve"> non-discretionary component (NALL)</w:t>
      </w:r>
      <w:r w:rsidR="00F701C5">
        <w:rPr>
          <w:sz w:val="22"/>
          <w:szCs w:val="22"/>
        </w:rPr>
        <w:t>. NALL is</w:t>
      </w:r>
      <w:r w:rsidR="00205E00">
        <w:rPr>
          <w:sz w:val="22"/>
          <w:szCs w:val="22"/>
        </w:rPr>
        <w:t xml:space="preserve"> a function of a set of variables including the net charge-offs (CO); loans outstanding (LOAN); nonperforming assets (NPA) and the one-year-ahead change in nonperforming assets (</w:t>
      </w:r>
      <w:r w:rsidR="00205E00" w:rsidRPr="00D041E8">
        <w:rPr>
          <w:sz w:val="22"/>
          <w:szCs w:val="22"/>
          <w:lang w:val="nl-NL"/>
        </w:rPr>
        <w:t>Δ</w:t>
      </w:r>
      <w:r w:rsidR="00205E00" w:rsidRPr="00026FD5">
        <w:rPr>
          <w:sz w:val="22"/>
          <w:szCs w:val="22"/>
        </w:rPr>
        <w:t>N</w:t>
      </w:r>
      <w:r w:rsidR="00205E00">
        <w:rPr>
          <w:sz w:val="22"/>
          <w:szCs w:val="22"/>
        </w:rPr>
        <w:t>PA)</w:t>
      </w:r>
      <w:r w:rsidR="00E407B8">
        <w:rPr>
          <w:sz w:val="22"/>
          <w:szCs w:val="22"/>
        </w:rPr>
        <w:t>.</w:t>
      </w:r>
      <w:r w:rsidR="00205E00">
        <w:rPr>
          <w:sz w:val="22"/>
          <w:szCs w:val="22"/>
        </w:rPr>
        <w:t xml:space="preserve"> </w:t>
      </w:r>
      <w:r w:rsidR="00E407B8">
        <w:rPr>
          <w:sz w:val="22"/>
          <w:szCs w:val="22"/>
        </w:rPr>
        <w:t>The</w:t>
      </w:r>
      <w:r w:rsidR="00205E00">
        <w:rPr>
          <w:sz w:val="22"/>
          <w:szCs w:val="22"/>
        </w:rPr>
        <w:t xml:space="preserve"> formulation is as follows:</w:t>
      </w:r>
    </w:p>
    <w:p w:rsidR="00975DD2" w:rsidRPr="00BA6D6E" w:rsidRDefault="008C1ADE" w:rsidP="00DA30B9">
      <w:pPr>
        <w:pStyle w:val="Lijstalinea"/>
        <w:numPr>
          <w:ilvl w:val="0"/>
          <w:numId w:val="5"/>
        </w:numPr>
        <w:spacing w:before="120" w:after="240" w:line="360" w:lineRule="auto"/>
        <w:ind w:left="0" w:firstLine="357"/>
        <w:contextualSpacing w:val="0"/>
        <w:jc w:val="both"/>
        <w:rPr>
          <w:i/>
          <w:sz w:val="22"/>
          <w:szCs w:val="22"/>
        </w:rPr>
      </w:pPr>
      <w:r>
        <w:rPr>
          <w:i/>
          <w:sz w:val="22"/>
          <w:szCs w:val="22"/>
        </w:rPr>
        <w:t xml:space="preserve"> </w:t>
      </w:r>
      <m:oMath>
        <m:sSub>
          <m:sSubPr>
            <m:ctrlPr>
              <w:rPr>
                <w:rFonts w:ascii="Cambria Math" w:hAnsi="Cambria Math"/>
                <w:i/>
                <w:sz w:val="22"/>
                <w:szCs w:val="22"/>
              </w:rPr>
            </m:ctrlPr>
          </m:sSubPr>
          <m:e>
            <m:r>
              <w:rPr>
                <w:rFonts w:ascii="Cambria Math" w:hAnsi="Cambria Math"/>
                <w:sz w:val="22"/>
                <w:szCs w:val="22"/>
              </w:rPr>
              <m:t>NALL</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0</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NPA</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i,t</m:t>
            </m:r>
          </m:sub>
        </m:sSub>
      </m:oMath>
    </w:p>
    <w:p w:rsidR="00205E00" w:rsidRDefault="00026FD5" w:rsidP="00975DD2">
      <w:pPr>
        <w:spacing w:before="120" w:after="240" w:line="360" w:lineRule="auto"/>
        <w:jc w:val="both"/>
        <w:rPr>
          <w:sz w:val="22"/>
          <w:szCs w:val="22"/>
        </w:rPr>
      </w:pPr>
      <w:r>
        <w:rPr>
          <w:sz w:val="22"/>
          <w:szCs w:val="22"/>
        </w:rPr>
        <w:t xml:space="preserve">The model assumes there is no discretionary component in equation (1) and </w:t>
      </w:r>
      <w:r w:rsidR="00205E00">
        <w:rPr>
          <w:sz w:val="22"/>
          <w:szCs w:val="22"/>
        </w:rPr>
        <w:t>z</w:t>
      </w:r>
      <w:r>
        <w:rPr>
          <w:sz w:val="22"/>
          <w:szCs w:val="22"/>
        </w:rPr>
        <w:t xml:space="preserve"> is the measurement error.</w:t>
      </w:r>
      <w:r w:rsidR="00205E00">
        <w:rPr>
          <w:sz w:val="22"/>
          <w:szCs w:val="22"/>
        </w:rPr>
        <w:t xml:space="preserve"> However, NALL can’t be observed directly and have to be estimated by regressing ALL on the explanatory variables in equation (2):</w:t>
      </w:r>
    </w:p>
    <w:p w:rsidR="00205E00" w:rsidRPr="00BA6D6E" w:rsidRDefault="00370ADF" w:rsidP="00DA30B9">
      <w:pPr>
        <w:pStyle w:val="Lijstalinea"/>
        <w:numPr>
          <w:ilvl w:val="0"/>
          <w:numId w:val="5"/>
        </w:numPr>
        <w:spacing w:before="120" w:after="240" w:line="360" w:lineRule="auto"/>
        <w:jc w:val="both"/>
        <w:rPr>
          <w:i/>
          <w:sz w:val="22"/>
          <w:szCs w:val="22"/>
        </w:rPr>
      </w:pPr>
      <w:r>
        <w:rPr>
          <w:i/>
          <w:sz w:val="22"/>
          <w:szCs w:val="22"/>
        </w:rPr>
        <w:lastRenderedPageBreak/>
        <w:t xml:space="preserve"> </w:t>
      </w:r>
      <m:oMath>
        <m:sSub>
          <m:sSubPr>
            <m:ctrlPr>
              <w:rPr>
                <w:rFonts w:ascii="Cambria Math" w:hAnsi="Cambria Math"/>
                <w:i/>
                <w:sz w:val="22"/>
                <w:szCs w:val="22"/>
              </w:rPr>
            </m:ctrlPr>
          </m:sSubPr>
          <m:e>
            <m:r>
              <w:rPr>
                <w:rFonts w:ascii="Cambria Math" w:hAnsi="Cambria Math"/>
                <w:sz w:val="22"/>
                <w:szCs w:val="22"/>
              </w:rPr>
              <m:t>ALL</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0</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NPA</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m:t>
                </m:r>
                <m:r>
                  <w:rPr>
                    <w:rFonts w:ascii="Cambria Math" w:hAnsi="Cambria Math"/>
                    <w:sz w:val="22"/>
                    <w:szCs w:val="22"/>
                  </w:rPr>
                  <m:t>A</m:t>
                </m:r>
              </m:e>
              <m:sub>
                <m:r>
                  <w:rPr>
                    <w:rFonts w:ascii="Cambria Math" w:hAnsi="Cambria Math"/>
                    <w:sz w:val="22"/>
                    <w:szCs w:val="22"/>
                  </w:rPr>
                  <m:t>i,t+1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μ</m:t>
            </m:r>
          </m:e>
          <m:sub>
            <m:r>
              <w:rPr>
                <w:rFonts w:ascii="Cambria Math" w:hAnsi="Cambria Math"/>
                <w:sz w:val="22"/>
                <w:szCs w:val="22"/>
              </w:rPr>
              <m:t>i,t</m:t>
            </m:r>
          </m:sub>
        </m:sSub>
      </m:oMath>
    </w:p>
    <w:p w:rsidR="00975DD2" w:rsidRDefault="00026FD5" w:rsidP="00975DD2">
      <w:pPr>
        <w:spacing w:before="120" w:after="240" w:line="360" w:lineRule="auto"/>
        <w:jc w:val="both"/>
        <w:rPr>
          <w:sz w:val="22"/>
          <w:szCs w:val="22"/>
        </w:rPr>
      </w:pPr>
      <w:r>
        <w:rPr>
          <w:sz w:val="22"/>
          <w:szCs w:val="22"/>
        </w:rPr>
        <w:t>Since total allowance account (ALL) is the sum of the non-discretionary component (NALL) and discretionary component (DALL), to calculate the discretionary part of loan loss allowance (DALL) the</w:t>
      </w:r>
      <w:r w:rsidR="0040092D">
        <w:rPr>
          <w:sz w:val="22"/>
          <w:szCs w:val="22"/>
        </w:rPr>
        <w:t xml:space="preserve"> basic estimation </w:t>
      </w:r>
      <w:r>
        <w:rPr>
          <w:sz w:val="22"/>
          <w:szCs w:val="22"/>
        </w:rPr>
        <w:t>equation is:</w:t>
      </w:r>
    </w:p>
    <w:p w:rsidR="00205E00" w:rsidRDefault="00536807" w:rsidP="00DA30B9">
      <w:pPr>
        <w:pStyle w:val="Lijstalinea"/>
        <w:numPr>
          <w:ilvl w:val="0"/>
          <w:numId w:val="5"/>
        </w:numPr>
        <w:spacing w:before="120" w:after="240" w:line="360" w:lineRule="auto"/>
        <w:jc w:val="both"/>
        <w:rPr>
          <w:i/>
          <w:sz w:val="22"/>
          <w:szCs w:val="22"/>
        </w:rPr>
      </w:pPr>
      <m:oMath>
        <m:sSub>
          <m:sSubPr>
            <m:ctrlPr>
              <w:rPr>
                <w:rFonts w:ascii="Cambria Math" w:hAnsi="Cambria Math"/>
                <w:i/>
                <w:sz w:val="22"/>
                <w:szCs w:val="22"/>
              </w:rPr>
            </m:ctrlPr>
          </m:sSubPr>
          <m:e>
            <m:r>
              <w:rPr>
                <w:rFonts w:ascii="Cambria Math" w:hAnsi="Cambria Math"/>
                <w:sz w:val="22"/>
                <w:szCs w:val="22"/>
              </w:rPr>
              <m:t>ALL</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NALL</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DALL</m:t>
            </m:r>
          </m:e>
          <m:sub>
            <m:r>
              <w:rPr>
                <w:rFonts w:ascii="Cambria Math" w:hAnsi="Cambria Math"/>
                <w:sz w:val="22"/>
                <w:szCs w:val="22"/>
              </w:rPr>
              <m:t>i,t</m:t>
            </m:r>
          </m:sub>
        </m:sSub>
      </m:oMath>
    </w:p>
    <w:p w:rsidR="0081762F" w:rsidRPr="00BA6D6E" w:rsidRDefault="00536807" w:rsidP="00DA30B9">
      <w:pPr>
        <w:pStyle w:val="Lijstalinea"/>
        <w:numPr>
          <w:ilvl w:val="0"/>
          <w:numId w:val="5"/>
        </w:numPr>
        <w:spacing w:before="120" w:after="240" w:line="360" w:lineRule="auto"/>
        <w:jc w:val="both"/>
        <w:rPr>
          <w:i/>
          <w:sz w:val="22"/>
          <w:szCs w:val="22"/>
        </w:rPr>
      </w:pPr>
      <m:oMath>
        <m:sSub>
          <m:sSubPr>
            <m:ctrlPr>
              <w:rPr>
                <w:rFonts w:ascii="Cambria Math" w:hAnsi="Cambria Math"/>
                <w:i/>
                <w:sz w:val="22"/>
                <w:szCs w:val="22"/>
              </w:rPr>
            </m:ctrlPr>
          </m:sSubPr>
          <m:e>
            <m:r>
              <w:rPr>
                <w:rFonts w:ascii="Cambria Math" w:hAnsi="Cambria Math"/>
                <w:sz w:val="22"/>
                <w:szCs w:val="22"/>
              </w:rPr>
              <m:t xml:space="preserve"> μ</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DALL</m:t>
            </m:r>
          </m:e>
          <m:sub>
            <m:r>
              <w:rPr>
                <w:rFonts w:ascii="Cambria Math" w:hAnsi="Cambria Math"/>
                <w:sz w:val="22"/>
                <w:szCs w:val="22"/>
              </w:rPr>
              <m:t>i,t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ε</m:t>
            </m:r>
          </m:e>
          <m:sub>
            <m:r>
              <w:rPr>
                <w:rFonts w:ascii="Cambria Math" w:hAnsi="Cambria Math"/>
                <w:sz w:val="22"/>
                <w:szCs w:val="22"/>
              </w:rPr>
              <m:t>i,t</m:t>
            </m:r>
          </m:sub>
        </m:sSub>
      </m:oMath>
    </w:p>
    <w:p w:rsidR="00A239C8" w:rsidRDefault="00A239C8" w:rsidP="00A239C8">
      <w:pPr>
        <w:autoSpaceDE w:val="0"/>
        <w:autoSpaceDN w:val="0"/>
        <w:adjustRightInd w:val="0"/>
        <w:spacing w:line="360" w:lineRule="auto"/>
        <w:jc w:val="both"/>
        <w:rPr>
          <w:sz w:val="22"/>
          <w:szCs w:val="22"/>
        </w:rPr>
      </w:pPr>
      <w:r>
        <w:rPr>
          <w:sz w:val="22"/>
          <w:szCs w:val="22"/>
        </w:rPr>
        <w:t>The discretionary part of the accrual</w:t>
      </w:r>
      <w:r w:rsidR="00E71DC6">
        <w:rPr>
          <w:sz w:val="22"/>
          <w:szCs w:val="22"/>
        </w:rPr>
        <w:t xml:space="preserve"> (DALL)</w:t>
      </w:r>
      <w:r>
        <w:rPr>
          <w:sz w:val="22"/>
          <w:szCs w:val="22"/>
        </w:rPr>
        <w:t xml:space="preserve"> is </w:t>
      </w:r>
      <w:r w:rsidR="0081762F">
        <w:rPr>
          <w:sz w:val="22"/>
          <w:szCs w:val="22"/>
        </w:rPr>
        <w:t>equivalent to</w:t>
      </w:r>
      <w:r>
        <w:rPr>
          <w:sz w:val="22"/>
          <w:szCs w:val="22"/>
        </w:rPr>
        <w:t xml:space="preserve"> the</w:t>
      </w:r>
      <w:r w:rsidR="00205E00">
        <w:rPr>
          <w:sz w:val="22"/>
          <w:szCs w:val="22"/>
        </w:rPr>
        <w:t xml:space="preserve"> residual from equation (2)</w:t>
      </w:r>
      <w:r w:rsidR="00E9299A">
        <w:rPr>
          <w:sz w:val="22"/>
          <w:szCs w:val="22"/>
        </w:rPr>
        <w:t xml:space="preserve"> </w:t>
      </w:r>
      <w:proofErr w:type="spellStart"/>
      <w:r w:rsidR="0081762F">
        <w:rPr>
          <w:sz w:val="22"/>
          <w:szCs w:val="22"/>
        </w:rPr>
        <w:t>μ</w:t>
      </w:r>
      <w:r w:rsidR="00E9299A" w:rsidRPr="00E9299A">
        <w:rPr>
          <w:sz w:val="22"/>
          <w:szCs w:val="22"/>
          <w:vertAlign w:val="subscript"/>
        </w:rPr>
        <w:t>it</w:t>
      </w:r>
      <w:proofErr w:type="spellEnd"/>
      <w:r w:rsidR="00E9299A">
        <w:rPr>
          <w:sz w:val="22"/>
          <w:szCs w:val="22"/>
        </w:rPr>
        <w:t xml:space="preserve">, where </w:t>
      </w:r>
      <w:proofErr w:type="spellStart"/>
      <w:r w:rsidR="0081762F">
        <w:rPr>
          <w:sz w:val="22"/>
          <w:szCs w:val="22"/>
        </w:rPr>
        <w:t>μ</w:t>
      </w:r>
      <w:r w:rsidR="00E9299A" w:rsidRPr="0040092D">
        <w:rPr>
          <w:sz w:val="22"/>
          <w:szCs w:val="22"/>
          <w:vertAlign w:val="subscript"/>
        </w:rPr>
        <w:t>it</w:t>
      </w:r>
      <w:proofErr w:type="spellEnd"/>
      <w:r w:rsidR="00E9299A">
        <w:rPr>
          <w:sz w:val="22"/>
          <w:szCs w:val="22"/>
          <w:vertAlign w:val="subscript"/>
        </w:rPr>
        <w:t xml:space="preserve"> </w:t>
      </w:r>
      <w:r w:rsidR="00E9299A">
        <w:rPr>
          <w:sz w:val="22"/>
          <w:szCs w:val="22"/>
        </w:rPr>
        <w:t xml:space="preserve">= </w:t>
      </w:r>
      <w:proofErr w:type="spellStart"/>
      <w:r w:rsidR="00E9299A">
        <w:rPr>
          <w:sz w:val="22"/>
          <w:szCs w:val="22"/>
        </w:rPr>
        <w:t>DALL</w:t>
      </w:r>
      <w:r w:rsidR="00E9299A">
        <w:rPr>
          <w:i/>
          <w:sz w:val="22"/>
          <w:szCs w:val="22"/>
          <w:vertAlign w:val="subscript"/>
        </w:rPr>
        <w:t>it</w:t>
      </w:r>
      <w:proofErr w:type="spellEnd"/>
      <w:r w:rsidR="00E9299A">
        <w:rPr>
          <w:i/>
          <w:sz w:val="22"/>
          <w:szCs w:val="22"/>
        </w:rPr>
        <w:t xml:space="preserve"> </w:t>
      </w:r>
      <w:r w:rsidR="00E9299A" w:rsidRPr="0040092D">
        <w:rPr>
          <w:sz w:val="22"/>
          <w:szCs w:val="22"/>
        </w:rPr>
        <w:t xml:space="preserve">+ </w:t>
      </w:r>
      <w:proofErr w:type="spellStart"/>
      <w:r w:rsidR="0081762F">
        <w:rPr>
          <w:sz w:val="22"/>
          <w:szCs w:val="22"/>
        </w:rPr>
        <w:t>ε</w:t>
      </w:r>
      <w:r w:rsidR="00E9299A" w:rsidRPr="0040092D">
        <w:rPr>
          <w:sz w:val="22"/>
          <w:szCs w:val="22"/>
          <w:vertAlign w:val="subscript"/>
        </w:rPr>
        <w:t>it</w:t>
      </w:r>
      <w:proofErr w:type="spellEnd"/>
      <w:r w:rsidR="00E9299A">
        <w:rPr>
          <w:sz w:val="22"/>
          <w:szCs w:val="22"/>
        </w:rPr>
        <w:t xml:space="preserve">. </w:t>
      </w:r>
      <w:r>
        <w:rPr>
          <w:sz w:val="22"/>
          <w:szCs w:val="22"/>
        </w:rPr>
        <w:t xml:space="preserve">The discretionary component becomes a proxy for manipulation of the allowance account </w:t>
      </w:r>
      <w:r w:rsidR="00E71DC6">
        <w:rPr>
          <w:sz w:val="22"/>
          <w:szCs w:val="22"/>
        </w:rPr>
        <w:t xml:space="preserve">and </w:t>
      </w:r>
      <w:proofErr w:type="spellStart"/>
      <w:r w:rsidR="0081762F">
        <w:rPr>
          <w:sz w:val="22"/>
          <w:szCs w:val="22"/>
        </w:rPr>
        <w:t>ε</w:t>
      </w:r>
      <w:r w:rsidR="00E71DC6" w:rsidRPr="00E71DC6">
        <w:rPr>
          <w:sz w:val="22"/>
          <w:szCs w:val="22"/>
          <w:vertAlign w:val="subscript"/>
        </w:rPr>
        <w:t>it</w:t>
      </w:r>
      <w:proofErr w:type="spellEnd"/>
      <w:r w:rsidR="00E71DC6">
        <w:rPr>
          <w:sz w:val="22"/>
          <w:szCs w:val="22"/>
        </w:rPr>
        <w:t xml:space="preserve"> is the error term</w:t>
      </w:r>
      <w:r w:rsidR="00CC25D9">
        <w:rPr>
          <w:sz w:val="22"/>
          <w:szCs w:val="22"/>
        </w:rPr>
        <w:t>.</w:t>
      </w:r>
    </w:p>
    <w:p w:rsidR="00CC25D9" w:rsidRDefault="00CC25D9" w:rsidP="00A239C8">
      <w:pPr>
        <w:autoSpaceDE w:val="0"/>
        <w:autoSpaceDN w:val="0"/>
        <w:adjustRightInd w:val="0"/>
        <w:spacing w:line="360" w:lineRule="auto"/>
        <w:jc w:val="both"/>
        <w:rPr>
          <w:sz w:val="22"/>
          <w:szCs w:val="22"/>
        </w:rPr>
      </w:pPr>
    </w:p>
    <w:p w:rsidR="00C7422B" w:rsidRDefault="00C7422B" w:rsidP="00C7422B">
      <w:pPr>
        <w:autoSpaceDE w:val="0"/>
        <w:autoSpaceDN w:val="0"/>
        <w:adjustRightInd w:val="0"/>
        <w:spacing w:line="360" w:lineRule="auto"/>
        <w:jc w:val="both"/>
        <w:rPr>
          <w:sz w:val="22"/>
          <w:szCs w:val="22"/>
        </w:rPr>
      </w:pPr>
      <w:r>
        <w:rPr>
          <w:sz w:val="22"/>
          <w:szCs w:val="22"/>
        </w:rPr>
        <w:t>Beaver and Engel also tested their model with loan loss provisions</w:t>
      </w:r>
      <w:r w:rsidR="00692ABD">
        <w:rPr>
          <w:sz w:val="22"/>
          <w:szCs w:val="22"/>
        </w:rPr>
        <w:t xml:space="preserve"> (income statement account)</w:t>
      </w:r>
      <w:r>
        <w:rPr>
          <w:sz w:val="22"/>
          <w:szCs w:val="22"/>
        </w:rPr>
        <w:t xml:space="preserve"> instead of </w:t>
      </w:r>
      <w:r w:rsidR="00692ABD">
        <w:rPr>
          <w:sz w:val="22"/>
          <w:szCs w:val="22"/>
        </w:rPr>
        <w:t xml:space="preserve">loan loss </w:t>
      </w:r>
      <w:r>
        <w:rPr>
          <w:sz w:val="22"/>
          <w:szCs w:val="22"/>
        </w:rPr>
        <w:t>allowance. The difference with the former model is the changes in loans and nonperforming assets. The equation is as follows:</w:t>
      </w:r>
    </w:p>
    <w:p w:rsidR="00C7422B" w:rsidRDefault="00C7422B" w:rsidP="00C7422B">
      <w:pPr>
        <w:autoSpaceDE w:val="0"/>
        <w:autoSpaceDN w:val="0"/>
        <w:adjustRightInd w:val="0"/>
        <w:spacing w:line="360" w:lineRule="auto"/>
        <w:jc w:val="both"/>
        <w:rPr>
          <w:sz w:val="22"/>
          <w:szCs w:val="22"/>
        </w:rPr>
      </w:pPr>
    </w:p>
    <w:p w:rsidR="00BA6D6E" w:rsidRPr="00C7422B" w:rsidRDefault="00536807" w:rsidP="00DA30B9">
      <w:pPr>
        <w:pStyle w:val="Lijstalinea"/>
        <w:numPr>
          <w:ilvl w:val="0"/>
          <w:numId w:val="5"/>
        </w:numPr>
        <w:autoSpaceDE w:val="0"/>
        <w:autoSpaceDN w:val="0"/>
        <w:adjustRightInd w:val="0"/>
        <w:spacing w:line="360" w:lineRule="auto"/>
        <w:jc w:val="both"/>
        <w:rPr>
          <w:sz w:val="22"/>
          <w:szCs w:val="22"/>
        </w:rPr>
      </w:pPr>
      <m:oMath>
        <m:sSub>
          <m:sSubPr>
            <m:ctrlPr>
              <w:rPr>
                <w:rFonts w:ascii="Cambria Math" w:hAnsi="Cambria Math"/>
                <w:i/>
                <w:sz w:val="22"/>
                <w:szCs w:val="22"/>
              </w:rPr>
            </m:ctrlPr>
          </m:sSubPr>
          <m:e>
            <m:r>
              <w:rPr>
                <w:rFonts w:ascii="Cambria Math" w:hAnsi="Cambria Math"/>
                <w:sz w:val="22"/>
                <w:szCs w:val="22"/>
              </w:rPr>
              <m:t>LLP</m:t>
            </m:r>
          </m:e>
          <m:sub>
            <m:r>
              <w:rPr>
                <w:rFonts w:ascii="Cambria Math" w:hAnsi="Cambria Math"/>
                <w:sz w:val="22"/>
                <w:szCs w:val="22"/>
              </w:rPr>
              <m:t>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0</m:t>
            </m:r>
          </m:sub>
        </m:sSub>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GBV</m:t>
                    </m:r>
                  </m:e>
                  <m:sub>
                    <m:r>
                      <w:rPr>
                        <w:rFonts w:ascii="Cambria Math" w:hAnsi="Cambria Math"/>
                        <w:sz w:val="22"/>
                        <w:szCs w:val="22"/>
                      </w:rPr>
                      <m:t>t</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r>
              <m:rPr>
                <m:sty m:val="p"/>
              </m:rPr>
              <w:rPr>
                <w:rFonts w:ascii="Cambria Math" w:hAnsi="Cambria Math"/>
                <w:sz w:val="22"/>
                <w:szCs w:val="22"/>
              </w:rPr>
              <m:t>Δ</m:t>
            </m:r>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t</m:t>
            </m:r>
          </m:sub>
        </m:sSub>
      </m:oMath>
    </w:p>
    <w:p w:rsidR="00C7422B" w:rsidRDefault="00E27C47" w:rsidP="00C7422B">
      <w:pPr>
        <w:autoSpaceDE w:val="0"/>
        <w:autoSpaceDN w:val="0"/>
        <w:adjustRightInd w:val="0"/>
        <w:spacing w:line="360" w:lineRule="auto"/>
        <w:jc w:val="both"/>
        <w:rPr>
          <w:sz w:val="22"/>
          <w:szCs w:val="22"/>
        </w:rPr>
      </w:pPr>
      <w:r>
        <w:rPr>
          <w:sz w:val="22"/>
          <w:szCs w:val="22"/>
        </w:rPr>
        <w:t>Where:</w:t>
      </w:r>
    </w:p>
    <w:p w:rsidR="00E27C47" w:rsidRDefault="00E27C47" w:rsidP="00C7422B">
      <w:pPr>
        <w:autoSpaceDE w:val="0"/>
        <w:autoSpaceDN w:val="0"/>
        <w:adjustRightInd w:val="0"/>
        <w:spacing w:line="360" w:lineRule="auto"/>
        <w:jc w:val="both"/>
        <w:rPr>
          <w:sz w:val="22"/>
          <w:szCs w:val="22"/>
        </w:rPr>
      </w:pPr>
      <w:r>
        <w:rPr>
          <w:sz w:val="22"/>
          <w:szCs w:val="22"/>
        </w:rPr>
        <w:t xml:space="preserve">LLP </w:t>
      </w:r>
      <w:r w:rsidRPr="00E27C47">
        <w:rPr>
          <w:i/>
          <w:sz w:val="22"/>
          <w:szCs w:val="22"/>
          <w:vertAlign w:val="subscript"/>
        </w:rPr>
        <w:t>t</w:t>
      </w:r>
      <w:r w:rsidRPr="00E27C47">
        <w:rPr>
          <w:sz w:val="22"/>
          <w:szCs w:val="22"/>
          <w:vertAlign w:val="subscript"/>
        </w:rPr>
        <w:tab/>
      </w:r>
      <w:r>
        <w:rPr>
          <w:sz w:val="22"/>
          <w:szCs w:val="22"/>
        </w:rPr>
        <w:tab/>
        <w:t xml:space="preserve">= Loan loss provisions at firm in year </w:t>
      </w:r>
      <w:r w:rsidRPr="00E27C47">
        <w:rPr>
          <w:i/>
          <w:sz w:val="22"/>
          <w:szCs w:val="22"/>
        </w:rPr>
        <w:t>t</w:t>
      </w:r>
      <w:r>
        <w:rPr>
          <w:sz w:val="22"/>
          <w:szCs w:val="22"/>
        </w:rPr>
        <w:t>;</w:t>
      </w:r>
    </w:p>
    <w:p w:rsidR="00E27C47" w:rsidRPr="00C34F0B" w:rsidRDefault="00E27C47" w:rsidP="00C7422B">
      <w:pPr>
        <w:autoSpaceDE w:val="0"/>
        <w:autoSpaceDN w:val="0"/>
        <w:adjustRightInd w:val="0"/>
        <w:spacing w:line="360" w:lineRule="auto"/>
        <w:jc w:val="both"/>
        <w:rPr>
          <w:i/>
          <w:sz w:val="22"/>
          <w:szCs w:val="22"/>
        </w:rPr>
      </w:pPr>
      <w:r w:rsidRPr="00C34F0B">
        <w:rPr>
          <w:sz w:val="22"/>
          <w:szCs w:val="22"/>
        </w:rPr>
        <w:t xml:space="preserve">GBV </w:t>
      </w:r>
      <w:r w:rsidRPr="00C34F0B">
        <w:rPr>
          <w:i/>
          <w:sz w:val="22"/>
          <w:szCs w:val="22"/>
          <w:vertAlign w:val="subscript"/>
        </w:rPr>
        <w:t>t</w:t>
      </w:r>
      <w:r w:rsidRPr="00C34F0B">
        <w:rPr>
          <w:sz w:val="22"/>
          <w:szCs w:val="22"/>
        </w:rPr>
        <w:tab/>
      </w:r>
      <w:r w:rsidRPr="00C34F0B">
        <w:rPr>
          <w:sz w:val="22"/>
          <w:szCs w:val="22"/>
        </w:rPr>
        <w:tab/>
        <w:t xml:space="preserve">= </w:t>
      </w:r>
      <w:r w:rsidR="00C34F0B" w:rsidRPr="00C34F0B">
        <w:rPr>
          <w:sz w:val="22"/>
          <w:szCs w:val="22"/>
        </w:rPr>
        <w:t>Net book value</w:t>
      </w:r>
      <w:r w:rsidR="00C326A5">
        <w:rPr>
          <w:sz w:val="22"/>
          <w:szCs w:val="22"/>
        </w:rPr>
        <w:t xml:space="preserve"> of common equity</w:t>
      </w:r>
      <w:r w:rsidR="00C34F0B" w:rsidRPr="00C34F0B">
        <w:rPr>
          <w:sz w:val="22"/>
          <w:szCs w:val="22"/>
        </w:rPr>
        <w:t xml:space="preserve"> p</w:t>
      </w:r>
      <w:r w:rsidR="00C34F0B">
        <w:rPr>
          <w:sz w:val="22"/>
          <w:szCs w:val="22"/>
        </w:rPr>
        <w:t xml:space="preserve">lus loan loss allowance in year </w:t>
      </w:r>
      <w:r w:rsidR="00C34F0B">
        <w:rPr>
          <w:i/>
          <w:sz w:val="22"/>
          <w:szCs w:val="22"/>
        </w:rPr>
        <w:t>t</w:t>
      </w:r>
      <w:r w:rsidR="0081762F">
        <w:rPr>
          <w:i/>
          <w:sz w:val="22"/>
          <w:szCs w:val="22"/>
        </w:rPr>
        <w:t>;</w:t>
      </w:r>
    </w:p>
    <w:p w:rsidR="00E27C47" w:rsidRPr="00E27C47" w:rsidRDefault="00E27C47" w:rsidP="00C7422B">
      <w:pPr>
        <w:autoSpaceDE w:val="0"/>
        <w:autoSpaceDN w:val="0"/>
        <w:adjustRightInd w:val="0"/>
        <w:spacing w:line="360" w:lineRule="auto"/>
        <w:jc w:val="both"/>
        <w:rPr>
          <w:i/>
          <w:sz w:val="22"/>
          <w:szCs w:val="22"/>
        </w:rPr>
      </w:pPr>
      <w:r>
        <w:rPr>
          <w:sz w:val="22"/>
          <w:szCs w:val="22"/>
        </w:rPr>
        <w:t xml:space="preserve">CO </w:t>
      </w:r>
      <w:r w:rsidRPr="00E27C47">
        <w:rPr>
          <w:i/>
          <w:sz w:val="22"/>
          <w:szCs w:val="22"/>
          <w:vertAlign w:val="subscript"/>
        </w:rPr>
        <w:t>t</w:t>
      </w:r>
      <w:r>
        <w:rPr>
          <w:sz w:val="22"/>
          <w:szCs w:val="22"/>
        </w:rPr>
        <w:tab/>
      </w:r>
      <w:r>
        <w:rPr>
          <w:sz w:val="22"/>
          <w:szCs w:val="22"/>
        </w:rPr>
        <w:tab/>
        <w:t xml:space="preserve">= Net loan charge-offs in year </w:t>
      </w:r>
      <w:r w:rsidRPr="00E27C47">
        <w:rPr>
          <w:i/>
          <w:sz w:val="22"/>
          <w:szCs w:val="22"/>
        </w:rPr>
        <w:t>t</w:t>
      </w:r>
      <w:r w:rsidR="0081762F">
        <w:rPr>
          <w:i/>
          <w:sz w:val="22"/>
          <w:szCs w:val="22"/>
        </w:rPr>
        <w:t>;</w:t>
      </w:r>
    </w:p>
    <w:p w:rsidR="00E27C47" w:rsidRPr="0081762F" w:rsidRDefault="003F1553" w:rsidP="00C7422B">
      <w:pPr>
        <w:autoSpaceDE w:val="0"/>
        <w:autoSpaceDN w:val="0"/>
        <w:adjustRightInd w:val="0"/>
        <w:spacing w:line="360" w:lineRule="auto"/>
        <w:jc w:val="both"/>
        <w:rPr>
          <w:i/>
          <w:sz w:val="22"/>
          <w:szCs w:val="22"/>
        </w:rPr>
      </w:pPr>
      <w:r w:rsidRPr="003F1553">
        <w:rPr>
          <w:sz w:val="22"/>
          <w:szCs w:val="22"/>
          <w:lang w:val="nl-NL"/>
        </w:rPr>
        <w:t>Δ</w:t>
      </w:r>
      <w:r>
        <w:rPr>
          <w:sz w:val="22"/>
          <w:szCs w:val="22"/>
        </w:rPr>
        <w:t xml:space="preserve"> </w:t>
      </w:r>
      <w:r w:rsidR="00E27C47">
        <w:rPr>
          <w:sz w:val="22"/>
          <w:szCs w:val="22"/>
        </w:rPr>
        <w:t xml:space="preserve">LOAN </w:t>
      </w:r>
      <w:r w:rsidR="00E27C47" w:rsidRPr="00E27C47">
        <w:rPr>
          <w:i/>
          <w:sz w:val="22"/>
          <w:szCs w:val="22"/>
          <w:vertAlign w:val="subscript"/>
        </w:rPr>
        <w:t>t</w:t>
      </w:r>
      <w:r w:rsidR="00E27C47" w:rsidRPr="00E27C47">
        <w:rPr>
          <w:i/>
          <w:sz w:val="22"/>
          <w:szCs w:val="22"/>
        </w:rPr>
        <w:tab/>
      </w:r>
      <w:r w:rsidR="00E27C47">
        <w:rPr>
          <w:sz w:val="22"/>
          <w:szCs w:val="22"/>
        </w:rPr>
        <w:t>=</w:t>
      </w:r>
      <w:r w:rsidR="00C34F0B">
        <w:rPr>
          <w:sz w:val="22"/>
          <w:szCs w:val="22"/>
        </w:rPr>
        <w:t xml:space="preserve"> </w:t>
      </w:r>
      <w:r w:rsidR="0081762F">
        <w:rPr>
          <w:sz w:val="22"/>
          <w:szCs w:val="22"/>
        </w:rPr>
        <w:t>Current c</w:t>
      </w:r>
      <w:r w:rsidR="00C34F0B">
        <w:rPr>
          <w:sz w:val="22"/>
          <w:szCs w:val="22"/>
        </w:rPr>
        <w:t xml:space="preserve">hange in total loans </w:t>
      </w:r>
      <w:r w:rsidR="0081762F">
        <w:rPr>
          <w:sz w:val="22"/>
          <w:szCs w:val="22"/>
        </w:rPr>
        <w:t>(</w:t>
      </w:r>
      <w:proofErr w:type="spellStart"/>
      <w:r w:rsidR="0081762F">
        <w:rPr>
          <w:sz w:val="22"/>
          <w:szCs w:val="22"/>
        </w:rPr>
        <w:t>LOAN</w:t>
      </w:r>
      <w:r w:rsidR="0081762F">
        <w:rPr>
          <w:sz w:val="22"/>
          <w:szCs w:val="22"/>
          <w:vertAlign w:val="subscript"/>
        </w:rPr>
        <w:t>t</w:t>
      </w:r>
      <w:proofErr w:type="spellEnd"/>
      <w:r w:rsidR="0081762F">
        <w:rPr>
          <w:sz w:val="22"/>
          <w:szCs w:val="22"/>
        </w:rPr>
        <w:t xml:space="preserve"> –LOAN</w:t>
      </w:r>
      <w:r w:rsidR="0081762F">
        <w:rPr>
          <w:sz w:val="22"/>
          <w:szCs w:val="22"/>
          <w:vertAlign w:val="subscript"/>
        </w:rPr>
        <w:t>t-1</w:t>
      </w:r>
      <w:r w:rsidR="0081762F">
        <w:rPr>
          <w:sz w:val="22"/>
          <w:szCs w:val="22"/>
        </w:rPr>
        <w:t>);</w:t>
      </w:r>
    </w:p>
    <w:p w:rsidR="00E27C47" w:rsidRPr="00C34F0B" w:rsidRDefault="0081762F" w:rsidP="00C7422B">
      <w:pPr>
        <w:autoSpaceDE w:val="0"/>
        <w:autoSpaceDN w:val="0"/>
        <w:adjustRightInd w:val="0"/>
        <w:spacing w:line="360" w:lineRule="auto"/>
        <w:jc w:val="both"/>
        <w:rPr>
          <w:i/>
          <w:sz w:val="22"/>
          <w:szCs w:val="22"/>
        </w:rPr>
      </w:pPr>
      <w:r w:rsidRPr="003F1553">
        <w:rPr>
          <w:sz w:val="22"/>
          <w:szCs w:val="22"/>
          <w:lang w:val="nl-NL"/>
        </w:rPr>
        <w:t>Δ</w:t>
      </w:r>
      <w:r w:rsidR="00E27C47" w:rsidRPr="00C34F0B">
        <w:rPr>
          <w:sz w:val="22"/>
          <w:szCs w:val="22"/>
        </w:rPr>
        <w:t xml:space="preserve">NPA </w:t>
      </w:r>
      <w:r w:rsidR="00E27C47" w:rsidRPr="00C34F0B">
        <w:rPr>
          <w:i/>
          <w:sz w:val="22"/>
          <w:szCs w:val="22"/>
          <w:vertAlign w:val="subscript"/>
        </w:rPr>
        <w:t>t</w:t>
      </w:r>
      <w:r w:rsidR="00E27C47" w:rsidRPr="00C34F0B">
        <w:rPr>
          <w:i/>
          <w:sz w:val="22"/>
          <w:szCs w:val="22"/>
          <w:vertAlign w:val="subscript"/>
        </w:rPr>
        <w:tab/>
      </w:r>
      <w:r w:rsidR="00E27C47" w:rsidRPr="00C34F0B">
        <w:rPr>
          <w:sz w:val="22"/>
          <w:szCs w:val="22"/>
        </w:rPr>
        <w:tab/>
        <w:t>=</w:t>
      </w:r>
      <w:r w:rsidR="00C34F0B" w:rsidRPr="00C34F0B">
        <w:rPr>
          <w:sz w:val="22"/>
          <w:szCs w:val="22"/>
        </w:rPr>
        <w:t xml:space="preserve"> </w:t>
      </w:r>
      <w:r w:rsidR="00C34F0B">
        <w:rPr>
          <w:sz w:val="22"/>
          <w:szCs w:val="22"/>
        </w:rPr>
        <w:t>Current change of n</w:t>
      </w:r>
      <w:r w:rsidR="00C34F0B" w:rsidRPr="00C34F0B">
        <w:rPr>
          <w:sz w:val="22"/>
          <w:szCs w:val="22"/>
        </w:rPr>
        <w:t xml:space="preserve">onperforming assets </w:t>
      </w:r>
      <w:r w:rsidR="00C34F0B">
        <w:rPr>
          <w:sz w:val="22"/>
          <w:szCs w:val="22"/>
        </w:rPr>
        <w:t>(</w:t>
      </w:r>
      <w:proofErr w:type="spellStart"/>
      <w:r w:rsidR="00C34F0B">
        <w:rPr>
          <w:sz w:val="22"/>
          <w:szCs w:val="22"/>
        </w:rPr>
        <w:t>NPA</w:t>
      </w:r>
      <w:r w:rsidR="00C34F0B" w:rsidRPr="00C34F0B">
        <w:rPr>
          <w:sz w:val="22"/>
          <w:szCs w:val="22"/>
          <w:vertAlign w:val="subscript"/>
        </w:rPr>
        <w:t>t</w:t>
      </w:r>
      <w:proofErr w:type="spellEnd"/>
      <w:r w:rsidR="00C34F0B">
        <w:rPr>
          <w:sz w:val="22"/>
          <w:szCs w:val="22"/>
        </w:rPr>
        <w:t xml:space="preserve"> – NPA</w:t>
      </w:r>
      <w:r w:rsidR="00C34F0B" w:rsidRPr="00C34F0B">
        <w:rPr>
          <w:sz w:val="22"/>
          <w:szCs w:val="22"/>
          <w:vertAlign w:val="subscript"/>
        </w:rPr>
        <w:t>t-1</w:t>
      </w:r>
      <w:r w:rsidR="00C34F0B">
        <w:rPr>
          <w:sz w:val="22"/>
          <w:szCs w:val="22"/>
        </w:rPr>
        <w:t>)</w:t>
      </w:r>
      <w:r>
        <w:rPr>
          <w:sz w:val="22"/>
          <w:szCs w:val="22"/>
        </w:rPr>
        <w:t>;</w:t>
      </w:r>
    </w:p>
    <w:p w:rsidR="00E27C47" w:rsidRPr="0081762F" w:rsidRDefault="0081762F" w:rsidP="00C7422B">
      <w:pPr>
        <w:autoSpaceDE w:val="0"/>
        <w:autoSpaceDN w:val="0"/>
        <w:adjustRightInd w:val="0"/>
        <w:spacing w:line="360" w:lineRule="auto"/>
        <w:jc w:val="both"/>
        <w:rPr>
          <w:i/>
          <w:sz w:val="22"/>
          <w:szCs w:val="22"/>
        </w:rPr>
      </w:pPr>
      <w:r w:rsidRPr="003F1553">
        <w:rPr>
          <w:sz w:val="22"/>
          <w:szCs w:val="22"/>
          <w:lang w:val="nl-NL"/>
        </w:rPr>
        <w:t>Δ</w:t>
      </w:r>
      <w:r w:rsidR="00E27C47" w:rsidRPr="00C34F0B">
        <w:rPr>
          <w:sz w:val="22"/>
          <w:szCs w:val="22"/>
        </w:rPr>
        <w:t xml:space="preserve">NPA </w:t>
      </w:r>
      <w:r w:rsidR="00E27C47" w:rsidRPr="00C34F0B">
        <w:rPr>
          <w:i/>
          <w:sz w:val="22"/>
          <w:szCs w:val="22"/>
          <w:vertAlign w:val="subscript"/>
        </w:rPr>
        <w:t>t+1</w:t>
      </w:r>
      <w:r w:rsidR="00E27C47" w:rsidRPr="00C34F0B">
        <w:rPr>
          <w:i/>
          <w:sz w:val="22"/>
          <w:szCs w:val="22"/>
        </w:rPr>
        <w:tab/>
      </w:r>
      <w:r w:rsidR="00E27C47" w:rsidRPr="00C34F0B">
        <w:rPr>
          <w:sz w:val="22"/>
          <w:szCs w:val="22"/>
        </w:rPr>
        <w:t>=</w:t>
      </w:r>
      <w:r w:rsidR="00C34F0B" w:rsidRPr="00C34F0B">
        <w:rPr>
          <w:sz w:val="22"/>
          <w:szCs w:val="22"/>
        </w:rPr>
        <w:t xml:space="preserve"> </w:t>
      </w:r>
      <w:r w:rsidR="00C34F0B">
        <w:rPr>
          <w:sz w:val="22"/>
          <w:szCs w:val="22"/>
        </w:rPr>
        <w:t>One-year-ahead change of n</w:t>
      </w:r>
      <w:r w:rsidR="00C34F0B" w:rsidRPr="00C34F0B">
        <w:rPr>
          <w:sz w:val="22"/>
          <w:szCs w:val="22"/>
        </w:rPr>
        <w:t>onperforming assets</w:t>
      </w:r>
      <w:r w:rsidR="00C34F0B">
        <w:rPr>
          <w:sz w:val="22"/>
          <w:szCs w:val="22"/>
        </w:rPr>
        <w:t xml:space="preserve"> (NPA</w:t>
      </w:r>
      <w:r w:rsidR="00C34F0B">
        <w:rPr>
          <w:sz w:val="22"/>
          <w:szCs w:val="22"/>
          <w:vertAlign w:val="subscript"/>
        </w:rPr>
        <w:t>t+1</w:t>
      </w:r>
      <w:r>
        <w:rPr>
          <w:sz w:val="22"/>
          <w:szCs w:val="22"/>
        </w:rPr>
        <w:t xml:space="preserve"> – </w:t>
      </w:r>
      <w:proofErr w:type="spellStart"/>
      <w:r>
        <w:rPr>
          <w:sz w:val="22"/>
          <w:szCs w:val="22"/>
        </w:rPr>
        <w:t>NPA</w:t>
      </w:r>
      <w:r>
        <w:rPr>
          <w:sz w:val="22"/>
          <w:szCs w:val="22"/>
          <w:vertAlign w:val="subscript"/>
        </w:rPr>
        <w:t>t</w:t>
      </w:r>
      <w:proofErr w:type="spellEnd"/>
      <w:r>
        <w:rPr>
          <w:sz w:val="22"/>
          <w:szCs w:val="22"/>
        </w:rPr>
        <w:t>);</w:t>
      </w:r>
    </w:p>
    <w:p w:rsidR="00E27C47" w:rsidRPr="00C34F0B" w:rsidRDefault="00E27C47" w:rsidP="00C7422B">
      <w:pPr>
        <w:autoSpaceDE w:val="0"/>
        <w:autoSpaceDN w:val="0"/>
        <w:adjustRightInd w:val="0"/>
        <w:spacing w:line="360" w:lineRule="auto"/>
        <w:jc w:val="both"/>
        <w:rPr>
          <w:sz w:val="22"/>
          <w:szCs w:val="22"/>
        </w:rPr>
      </w:pPr>
      <w:r w:rsidRPr="00C34F0B">
        <w:rPr>
          <w:sz w:val="22"/>
          <w:szCs w:val="22"/>
        </w:rPr>
        <w:t xml:space="preserve">Z </w:t>
      </w:r>
      <w:r w:rsidRPr="00C34F0B">
        <w:rPr>
          <w:sz w:val="22"/>
          <w:szCs w:val="22"/>
          <w:vertAlign w:val="subscript"/>
        </w:rPr>
        <w:t>t</w:t>
      </w:r>
      <w:r w:rsidRPr="00C34F0B">
        <w:rPr>
          <w:sz w:val="22"/>
          <w:szCs w:val="22"/>
        </w:rPr>
        <w:tab/>
      </w:r>
      <w:r w:rsidRPr="00C34F0B">
        <w:rPr>
          <w:sz w:val="22"/>
          <w:szCs w:val="22"/>
        </w:rPr>
        <w:tab/>
        <w:t>=</w:t>
      </w:r>
      <w:r w:rsidR="00C34F0B">
        <w:rPr>
          <w:sz w:val="22"/>
          <w:szCs w:val="22"/>
        </w:rPr>
        <w:t xml:space="preserve"> Error term in year </w:t>
      </w:r>
      <w:r w:rsidR="00C34F0B">
        <w:rPr>
          <w:i/>
          <w:sz w:val="22"/>
          <w:szCs w:val="22"/>
        </w:rPr>
        <w:t xml:space="preserve">t, </w:t>
      </w:r>
      <w:r w:rsidR="00C34F0B">
        <w:rPr>
          <w:sz w:val="22"/>
          <w:szCs w:val="22"/>
        </w:rPr>
        <w:t>also the estimated discretionary loan loss provisions;</w:t>
      </w:r>
    </w:p>
    <w:p w:rsidR="00E27C47" w:rsidRPr="00C34F0B" w:rsidRDefault="00E27C47" w:rsidP="00E27C47">
      <w:pPr>
        <w:autoSpaceDE w:val="0"/>
        <w:autoSpaceDN w:val="0"/>
        <w:adjustRightInd w:val="0"/>
        <w:spacing w:line="360" w:lineRule="auto"/>
        <w:jc w:val="both"/>
        <w:rPr>
          <w:sz w:val="22"/>
          <w:szCs w:val="22"/>
        </w:rPr>
      </w:pPr>
      <w:r>
        <w:rPr>
          <w:sz w:val="22"/>
          <w:szCs w:val="22"/>
        </w:rPr>
        <w:t>β</w:t>
      </w:r>
      <w:r w:rsidRPr="00C34F0B">
        <w:rPr>
          <w:sz w:val="22"/>
          <w:szCs w:val="22"/>
          <w:vertAlign w:val="subscript"/>
        </w:rPr>
        <w:t>0</w:t>
      </w:r>
      <w:r w:rsidRPr="00C34F0B">
        <w:rPr>
          <w:sz w:val="22"/>
          <w:szCs w:val="22"/>
        </w:rPr>
        <w:t xml:space="preserve">, </w:t>
      </w:r>
      <w:r>
        <w:rPr>
          <w:sz w:val="22"/>
          <w:szCs w:val="22"/>
        </w:rPr>
        <w:t>β</w:t>
      </w:r>
      <w:r w:rsidRPr="00C34F0B">
        <w:rPr>
          <w:sz w:val="22"/>
          <w:szCs w:val="22"/>
          <w:vertAlign w:val="subscript"/>
        </w:rPr>
        <w:t>1</w:t>
      </w:r>
      <w:r w:rsidRPr="00C34F0B">
        <w:rPr>
          <w:sz w:val="22"/>
          <w:szCs w:val="22"/>
        </w:rPr>
        <w:t xml:space="preserve">, </w:t>
      </w:r>
      <w:r>
        <w:rPr>
          <w:sz w:val="22"/>
          <w:szCs w:val="22"/>
        </w:rPr>
        <w:t>β</w:t>
      </w:r>
      <w:r w:rsidRPr="00C34F0B">
        <w:rPr>
          <w:sz w:val="22"/>
          <w:szCs w:val="22"/>
          <w:vertAlign w:val="subscript"/>
        </w:rPr>
        <w:t>2</w:t>
      </w:r>
      <w:r w:rsidRPr="00C34F0B">
        <w:rPr>
          <w:sz w:val="22"/>
          <w:szCs w:val="22"/>
        </w:rPr>
        <w:t xml:space="preserve">, </w:t>
      </w:r>
      <w:r>
        <w:rPr>
          <w:sz w:val="22"/>
          <w:szCs w:val="22"/>
        </w:rPr>
        <w:t>β</w:t>
      </w:r>
      <w:r w:rsidRPr="00C34F0B">
        <w:rPr>
          <w:sz w:val="22"/>
          <w:szCs w:val="22"/>
          <w:vertAlign w:val="subscript"/>
        </w:rPr>
        <w:t>3</w:t>
      </w:r>
      <w:r w:rsidRPr="00C34F0B">
        <w:rPr>
          <w:sz w:val="22"/>
          <w:szCs w:val="22"/>
        </w:rPr>
        <w:t xml:space="preserve">, </w:t>
      </w:r>
      <w:r>
        <w:rPr>
          <w:sz w:val="22"/>
          <w:szCs w:val="22"/>
        </w:rPr>
        <w:t>β</w:t>
      </w:r>
      <w:r w:rsidRPr="00C34F0B">
        <w:rPr>
          <w:sz w:val="22"/>
          <w:szCs w:val="22"/>
          <w:vertAlign w:val="subscript"/>
        </w:rPr>
        <w:t>4</w:t>
      </w:r>
      <w:r w:rsidR="00C34F0B" w:rsidRPr="00C34F0B">
        <w:rPr>
          <w:sz w:val="22"/>
          <w:szCs w:val="22"/>
          <w:vertAlign w:val="subscript"/>
        </w:rPr>
        <w:t xml:space="preserve"> </w:t>
      </w:r>
      <w:r w:rsidR="00C34F0B" w:rsidRPr="00C34F0B">
        <w:rPr>
          <w:sz w:val="22"/>
          <w:szCs w:val="22"/>
        </w:rPr>
        <w:tab/>
        <w:t xml:space="preserve">= </w:t>
      </w:r>
      <w:r w:rsidR="0081762F">
        <w:rPr>
          <w:sz w:val="22"/>
          <w:szCs w:val="22"/>
        </w:rPr>
        <w:t>Firm specific parameters.</w:t>
      </w:r>
    </w:p>
    <w:p w:rsidR="00E27C47" w:rsidRPr="00C34F0B" w:rsidRDefault="00E27C47" w:rsidP="00C7422B">
      <w:pPr>
        <w:autoSpaceDE w:val="0"/>
        <w:autoSpaceDN w:val="0"/>
        <w:adjustRightInd w:val="0"/>
        <w:spacing w:line="360" w:lineRule="auto"/>
        <w:jc w:val="both"/>
        <w:rPr>
          <w:sz w:val="22"/>
          <w:szCs w:val="22"/>
        </w:rPr>
      </w:pPr>
    </w:p>
    <w:p w:rsidR="0088089E" w:rsidRDefault="0088089E" w:rsidP="00A239C8">
      <w:pPr>
        <w:autoSpaceDE w:val="0"/>
        <w:autoSpaceDN w:val="0"/>
        <w:adjustRightInd w:val="0"/>
        <w:spacing w:line="360" w:lineRule="auto"/>
        <w:jc w:val="both"/>
        <w:rPr>
          <w:sz w:val="22"/>
          <w:szCs w:val="22"/>
        </w:rPr>
      </w:pPr>
      <w:r>
        <w:rPr>
          <w:sz w:val="22"/>
          <w:szCs w:val="22"/>
        </w:rPr>
        <w:t xml:space="preserve">Net charge-offs is included because current charge-offs provides information regarding future net charge-offs, which in turn influence the expectations of the collectability of current loans. The </w:t>
      </w:r>
      <w:proofErr w:type="spellStart"/>
      <w:r>
        <w:rPr>
          <w:sz w:val="22"/>
          <w:szCs w:val="22"/>
        </w:rPr>
        <w:t>informativeness</w:t>
      </w:r>
      <w:proofErr w:type="spellEnd"/>
      <w:r>
        <w:rPr>
          <w:sz w:val="22"/>
          <w:szCs w:val="22"/>
        </w:rPr>
        <w:t xml:space="preserve"> of current charge-offs may lead to a positive coefficient. Nonperforming loans and the loan portfolio are both a source of default. Therefore, the coefficients of both these variables are expected to be positive. </w:t>
      </w:r>
      <w:r w:rsidR="004A745E">
        <w:rPr>
          <w:sz w:val="22"/>
          <w:szCs w:val="22"/>
        </w:rPr>
        <w:t>Since loan loss provisions is an expense for a time period, rather like the allowance account</w:t>
      </w:r>
      <w:r w:rsidR="00C36369">
        <w:rPr>
          <w:sz w:val="22"/>
          <w:szCs w:val="22"/>
        </w:rPr>
        <w:t xml:space="preserve"> at a point of time, equation (5</w:t>
      </w:r>
      <w:r w:rsidR="004A745E">
        <w:rPr>
          <w:sz w:val="22"/>
          <w:szCs w:val="22"/>
        </w:rPr>
        <w:t xml:space="preserve">) uses the current changes in loans and nonperformance assets instead. </w:t>
      </w:r>
      <w:r w:rsidR="001E4DB5">
        <w:rPr>
          <w:sz w:val="22"/>
          <w:szCs w:val="22"/>
        </w:rPr>
        <w:t>The one-year-ahead change of nonperforming assets is used as measurement for information that management has about the default exposure of loans that is not explained by the other variables.</w:t>
      </w:r>
    </w:p>
    <w:p w:rsidR="0088089E" w:rsidRDefault="0088089E" w:rsidP="00A239C8">
      <w:pPr>
        <w:autoSpaceDE w:val="0"/>
        <w:autoSpaceDN w:val="0"/>
        <w:adjustRightInd w:val="0"/>
        <w:spacing w:line="360" w:lineRule="auto"/>
        <w:jc w:val="both"/>
        <w:rPr>
          <w:sz w:val="22"/>
          <w:szCs w:val="22"/>
        </w:rPr>
      </w:pPr>
    </w:p>
    <w:p w:rsidR="003D78C2" w:rsidRDefault="00B04BF7" w:rsidP="008A2DF7">
      <w:pPr>
        <w:autoSpaceDE w:val="0"/>
        <w:autoSpaceDN w:val="0"/>
        <w:adjustRightInd w:val="0"/>
        <w:spacing w:line="360" w:lineRule="auto"/>
        <w:jc w:val="both"/>
        <w:rPr>
          <w:sz w:val="22"/>
          <w:szCs w:val="22"/>
        </w:rPr>
      </w:pPr>
      <w:r>
        <w:rPr>
          <w:sz w:val="22"/>
          <w:szCs w:val="22"/>
        </w:rPr>
        <w:t>T</w:t>
      </w:r>
      <w:r w:rsidR="00AF3E75">
        <w:rPr>
          <w:sz w:val="22"/>
          <w:szCs w:val="22"/>
        </w:rPr>
        <w:t xml:space="preserve">here are </w:t>
      </w:r>
      <w:r>
        <w:rPr>
          <w:sz w:val="22"/>
          <w:szCs w:val="22"/>
        </w:rPr>
        <w:t xml:space="preserve">also </w:t>
      </w:r>
      <w:r w:rsidR="00AF3E75">
        <w:rPr>
          <w:sz w:val="22"/>
          <w:szCs w:val="22"/>
        </w:rPr>
        <w:t xml:space="preserve">studies that don’t find </w:t>
      </w:r>
      <w:r w:rsidR="00692ABD">
        <w:rPr>
          <w:sz w:val="22"/>
          <w:szCs w:val="22"/>
        </w:rPr>
        <w:t>LLP to be associated with earnings management</w:t>
      </w:r>
      <w:r w:rsidR="00ED6019">
        <w:rPr>
          <w:sz w:val="22"/>
          <w:szCs w:val="22"/>
        </w:rPr>
        <w:t>.</w:t>
      </w:r>
      <w:r w:rsidR="00AF3E75">
        <w:rPr>
          <w:sz w:val="22"/>
          <w:szCs w:val="22"/>
        </w:rPr>
        <w:t xml:space="preserve"> Ahmed et al. (1999</w:t>
      </w:r>
      <w:r w:rsidR="00140EB0">
        <w:rPr>
          <w:sz w:val="22"/>
          <w:szCs w:val="22"/>
        </w:rPr>
        <w:t>, p. 23</w:t>
      </w:r>
      <w:r w:rsidR="002768C3">
        <w:rPr>
          <w:sz w:val="22"/>
          <w:szCs w:val="22"/>
        </w:rPr>
        <w:t>) showed</w:t>
      </w:r>
      <w:r w:rsidR="00AF3E75">
        <w:rPr>
          <w:sz w:val="22"/>
          <w:szCs w:val="22"/>
        </w:rPr>
        <w:t xml:space="preserve"> strong ev</w:t>
      </w:r>
      <w:r w:rsidR="00140EB0">
        <w:rPr>
          <w:sz w:val="22"/>
          <w:szCs w:val="22"/>
        </w:rPr>
        <w:t>idence that LLP is used for capital management and that it reflects changes in the expected quality of loan portfolio</w:t>
      </w:r>
      <w:r w:rsidR="00ED6019">
        <w:rPr>
          <w:sz w:val="22"/>
          <w:szCs w:val="22"/>
        </w:rPr>
        <w:t xml:space="preserve">, but it </w:t>
      </w:r>
      <w:r w:rsidR="000C4A89">
        <w:rPr>
          <w:sz w:val="22"/>
          <w:szCs w:val="22"/>
        </w:rPr>
        <w:t xml:space="preserve">not used </w:t>
      </w:r>
      <w:r w:rsidR="00140EB0">
        <w:rPr>
          <w:sz w:val="22"/>
          <w:szCs w:val="22"/>
        </w:rPr>
        <w:t>for earnings management.</w:t>
      </w:r>
      <w:r w:rsidR="00AF3E75">
        <w:rPr>
          <w:sz w:val="22"/>
          <w:szCs w:val="22"/>
        </w:rPr>
        <w:t xml:space="preserve"> </w:t>
      </w:r>
      <w:r w:rsidR="00794351">
        <w:rPr>
          <w:sz w:val="22"/>
          <w:szCs w:val="22"/>
        </w:rPr>
        <w:t>Wetmore and Brick (1994) did</w:t>
      </w:r>
      <w:r w:rsidR="005E26D1">
        <w:rPr>
          <w:sz w:val="22"/>
          <w:szCs w:val="22"/>
        </w:rPr>
        <w:t>n’t find</w:t>
      </w:r>
      <w:r w:rsidR="00B71655">
        <w:rPr>
          <w:sz w:val="22"/>
          <w:szCs w:val="22"/>
        </w:rPr>
        <w:t xml:space="preserve"> evidence on</w:t>
      </w:r>
      <w:r w:rsidR="005E26D1">
        <w:rPr>
          <w:sz w:val="22"/>
          <w:szCs w:val="22"/>
        </w:rPr>
        <w:t xml:space="preserve"> income smoothing when determining LLP, </w:t>
      </w:r>
      <w:r w:rsidR="00B71655">
        <w:rPr>
          <w:sz w:val="22"/>
          <w:szCs w:val="22"/>
        </w:rPr>
        <w:t>instead they find past loan risk, loan quality deterioration and foreign risk to be related to LLP.</w:t>
      </w:r>
      <w:r w:rsidR="00794351">
        <w:rPr>
          <w:sz w:val="22"/>
          <w:szCs w:val="22"/>
        </w:rPr>
        <w:t xml:space="preserve"> </w:t>
      </w:r>
    </w:p>
    <w:p w:rsidR="003D78C2" w:rsidRDefault="003D78C2" w:rsidP="008A2DF7">
      <w:pPr>
        <w:autoSpaceDE w:val="0"/>
        <w:autoSpaceDN w:val="0"/>
        <w:adjustRightInd w:val="0"/>
        <w:spacing w:line="360" w:lineRule="auto"/>
        <w:jc w:val="both"/>
        <w:rPr>
          <w:sz w:val="22"/>
          <w:szCs w:val="22"/>
        </w:rPr>
      </w:pPr>
    </w:p>
    <w:p w:rsidR="00B52BD4" w:rsidRDefault="00692ABD" w:rsidP="008A2DF7">
      <w:pPr>
        <w:autoSpaceDE w:val="0"/>
        <w:autoSpaceDN w:val="0"/>
        <w:adjustRightInd w:val="0"/>
        <w:spacing w:line="360" w:lineRule="auto"/>
        <w:jc w:val="both"/>
        <w:rPr>
          <w:sz w:val="22"/>
          <w:szCs w:val="22"/>
        </w:rPr>
      </w:pPr>
      <w:r>
        <w:rPr>
          <w:sz w:val="22"/>
          <w:szCs w:val="22"/>
        </w:rPr>
        <w:t xml:space="preserve">Nevertheless, </w:t>
      </w:r>
      <w:r w:rsidR="00B71655">
        <w:rPr>
          <w:sz w:val="22"/>
          <w:szCs w:val="22"/>
        </w:rPr>
        <w:t xml:space="preserve">recent studies do find evidence consistent with managers </w:t>
      </w:r>
      <w:r w:rsidR="00FE5FDF">
        <w:rPr>
          <w:sz w:val="22"/>
          <w:szCs w:val="22"/>
        </w:rPr>
        <w:t>s</w:t>
      </w:r>
      <w:r w:rsidR="00794351">
        <w:rPr>
          <w:sz w:val="22"/>
          <w:szCs w:val="22"/>
        </w:rPr>
        <w:t>moothing earnings by using LLP</w:t>
      </w:r>
      <w:r w:rsidR="00FE5FDF">
        <w:rPr>
          <w:sz w:val="22"/>
          <w:szCs w:val="22"/>
        </w:rPr>
        <w:t xml:space="preserve">. </w:t>
      </w:r>
      <w:proofErr w:type="spellStart"/>
      <w:r w:rsidR="00A80B7E">
        <w:rPr>
          <w:sz w:val="22"/>
          <w:szCs w:val="22"/>
        </w:rPr>
        <w:t>Kanagaretnam</w:t>
      </w:r>
      <w:proofErr w:type="spellEnd"/>
      <w:r w:rsidR="00A80B7E">
        <w:rPr>
          <w:sz w:val="22"/>
          <w:szCs w:val="22"/>
        </w:rPr>
        <w:t xml:space="preserve"> et al. (2004) examine</w:t>
      </w:r>
      <w:r w:rsidR="002768C3">
        <w:rPr>
          <w:sz w:val="22"/>
          <w:szCs w:val="22"/>
        </w:rPr>
        <w:t>d</w:t>
      </w:r>
      <w:r w:rsidR="00A80B7E">
        <w:rPr>
          <w:sz w:val="22"/>
          <w:szCs w:val="22"/>
        </w:rPr>
        <w:t xml:space="preserve"> whether and how managers use LLP to smooth income and to signal private information about their bank’s future prospects. They find evidence consistent with the use of LLP to smooth earnings, </w:t>
      </w:r>
      <w:r w:rsidR="0007064D">
        <w:rPr>
          <w:sz w:val="22"/>
          <w:szCs w:val="22"/>
        </w:rPr>
        <w:t>especially when the pre</w:t>
      </w:r>
      <w:r w:rsidR="00F332B8">
        <w:rPr>
          <w:sz w:val="22"/>
          <w:szCs w:val="22"/>
        </w:rPr>
        <w:t>-</w:t>
      </w:r>
      <w:r w:rsidR="0007064D">
        <w:rPr>
          <w:sz w:val="22"/>
          <w:szCs w:val="22"/>
        </w:rPr>
        <w:t xml:space="preserve">managed earnings variability is greater. The evidence on signaling is less consistent. </w:t>
      </w:r>
      <w:proofErr w:type="spellStart"/>
      <w:r w:rsidR="0007064D">
        <w:rPr>
          <w:sz w:val="22"/>
          <w:szCs w:val="22"/>
        </w:rPr>
        <w:t>Lui</w:t>
      </w:r>
      <w:proofErr w:type="spellEnd"/>
      <w:r w:rsidR="0007064D">
        <w:rPr>
          <w:sz w:val="22"/>
          <w:szCs w:val="22"/>
        </w:rPr>
        <w:t xml:space="preserve"> and Ryan (2006</w:t>
      </w:r>
      <w:r w:rsidR="004A1197">
        <w:rPr>
          <w:sz w:val="22"/>
          <w:szCs w:val="22"/>
        </w:rPr>
        <w:t>, p. 439</w:t>
      </w:r>
      <w:r w:rsidR="0007064D">
        <w:rPr>
          <w:sz w:val="22"/>
          <w:szCs w:val="22"/>
        </w:rPr>
        <w:t xml:space="preserve">) </w:t>
      </w:r>
      <w:r w:rsidR="002768C3">
        <w:rPr>
          <w:sz w:val="22"/>
          <w:szCs w:val="22"/>
        </w:rPr>
        <w:t>documented</w:t>
      </w:r>
      <w:r w:rsidR="0007064D">
        <w:rPr>
          <w:sz w:val="22"/>
          <w:szCs w:val="22"/>
        </w:rPr>
        <w:t xml:space="preserve"> that profitable banks smoothed their income downward by overstating LLP for homogeneous loans </w:t>
      </w:r>
      <w:r w:rsidR="004A1197">
        <w:rPr>
          <w:sz w:val="22"/>
          <w:szCs w:val="22"/>
        </w:rPr>
        <w:t>in the 1990s. These income smoothing were then obscured by accelerating charge-offs of those loans.</w:t>
      </w:r>
      <w:r w:rsidR="00007AF0">
        <w:rPr>
          <w:sz w:val="22"/>
          <w:szCs w:val="22"/>
        </w:rPr>
        <w:t xml:space="preserve"> According to</w:t>
      </w:r>
      <w:r w:rsidR="004A038A">
        <w:rPr>
          <w:sz w:val="22"/>
          <w:szCs w:val="22"/>
        </w:rPr>
        <w:t xml:space="preserve"> Cornett et al. (2009)</w:t>
      </w:r>
      <w:r w:rsidR="00205E00">
        <w:rPr>
          <w:sz w:val="22"/>
          <w:szCs w:val="22"/>
        </w:rPr>
        <w:t>,</w:t>
      </w:r>
      <w:r w:rsidR="00015E7F">
        <w:rPr>
          <w:sz w:val="22"/>
          <w:szCs w:val="22"/>
        </w:rPr>
        <w:t xml:space="preserve"> </w:t>
      </w:r>
      <w:r w:rsidR="00012E5E">
        <w:rPr>
          <w:sz w:val="22"/>
          <w:szCs w:val="22"/>
        </w:rPr>
        <w:t xml:space="preserve">LLP </w:t>
      </w:r>
      <w:r w:rsidR="00015E7F">
        <w:rPr>
          <w:sz w:val="22"/>
          <w:szCs w:val="22"/>
        </w:rPr>
        <w:t>is</w:t>
      </w:r>
      <w:r w:rsidR="00012E5E">
        <w:rPr>
          <w:sz w:val="22"/>
          <w:szCs w:val="22"/>
        </w:rPr>
        <w:t xml:space="preserve"> </w:t>
      </w:r>
      <w:r w:rsidR="00015E7F">
        <w:rPr>
          <w:sz w:val="22"/>
          <w:szCs w:val="22"/>
        </w:rPr>
        <w:t xml:space="preserve">used as </w:t>
      </w:r>
      <w:r w:rsidR="00012E5E">
        <w:rPr>
          <w:sz w:val="22"/>
          <w:szCs w:val="22"/>
        </w:rPr>
        <w:t xml:space="preserve">a main tool </w:t>
      </w:r>
      <w:r w:rsidR="00015E7F">
        <w:rPr>
          <w:sz w:val="22"/>
          <w:szCs w:val="22"/>
        </w:rPr>
        <w:t>for</w:t>
      </w:r>
      <w:r w:rsidR="00012E5E">
        <w:rPr>
          <w:sz w:val="22"/>
          <w:szCs w:val="22"/>
        </w:rPr>
        <w:t xml:space="preserve"> mana</w:t>
      </w:r>
      <w:r w:rsidR="00015E7F">
        <w:rPr>
          <w:sz w:val="22"/>
          <w:szCs w:val="22"/>
        </w:rPr>
        <w:t xml:space="preserve">ging </w:t>
      </w:r>
      <w:r w:rsidR="00012E5E">
        <w:rPr>
          <w:sz w:val="22"/>
          <w:szCs w:val="22"/>
        </w:rPr>
        <w:t>earnings in commercial banks.</w:t>
      </w:r>
      <w:r w:rsidR="00015E7F">
        <w:rPr>
          <w:sz w:val="22"/>
          <w:szCs w:val="22"/>
        </w:rPr>
        <w:t xml:space="preserve"> As a manager increases</w:t>
      </w:r>
      <w:r w:rsidR="00B158DF">
        <w:rPr>
          <w:sz w:val="22"/>
          <w:szCs w:val="22"/>
        </w:rPr>
        <w:t xml:space="preserve"> (decreases)</w:t>
      </w:r>
      <w:r w:rsidR="00015E7F">
        <w:rPr>
          <w:sz w:val="22"/>
          <w:szCs w:val="22"/>
        </w:rPr>
        <w:t xml:space="preserve"> LLP, then net income decreases</w:t>
      </w:r>
      <w:r w:rsidR="00B158DF">
        <w:rPr>
          <w:sz w:val="22"/>
          <w:szCs w:val="22"/>
        </w:rPr>
        <w:t xml:space="preserve"> (increases)</w:t>
      </w:r>
      <w:r w:rsidR="00015E7F">
        <w:rPr>
          <w:sz w:val="22"/>
          <w:szCs w:val="22"/>
        </w:rPr>
        <w:t xml:space="preserve">. </w:t>
      </w:r>
      <w:r w:rsidR="00B52BD4">
        <w:rPr>
          <w:sz w:val="22"/>
          <w:szCs w:val="22"/>
        </w:rPr>
        <w:t xml:space="preserve">In </w:t>
      </w:r>
      <w:r w:rsidR="00015E7F">
        <w:rPr>
          <w:sz w:val="22"/>
          <w:szCs w:val="22"/>
        </w:rPr>
        <w:t>their research</w:t>
      </w:r>
      <w:r w:rsidR="00B52BD4">
        <w:rPr>
          <w:sz w:val="22"/>
          <w:szCs w:val="22"/>
        </w:rPr>
        <w:t xml:space="preserve"> for earnings management in public banks</w:t>
      </w:r>
      <w:r w:rsidR="00015E7F">
        <w:rPr>
          <w:sz w:val="22"/>
          <w:szCs w:val="22"/>
        </w:rPr>
        <w:t xml:space="preserve"> they conclude that </w:t>
      </w:r>
      <w:r w:rsidR="00B52BD4">
        <w:rPr>
          <w:sz w:val="22"/>
          <w:szCs w:val="22"/>
        </w:rPr>
        <w:t>CEO</w:t>
      </w:r>
      <w:r w:rsidR="00B04BF7">
        <w:rPr>
          <w:sz w:val="22"/>
          <w:szCs w:val="22"/>
        </w:rPr>
        <w:t>’s variable pay</w:t>
      </w:r>
      <w:r w:rsidR="00B52BD4">
        <w:rPr>
          <w:sz w:val="22"/>
          <w:szCs w:val="22"/>
        </w:rPr>
        <w:t xml:space="preserve"> sensitivity is positively related to earnings management. In other words, when pay performance sensitivity is high, the managers record fewer LLP and more securities gains. </w:t>
      </w:r>
    </w:p>
    <w:p w:rsidR="00CC521E" w:rsidRDefault="00CC521E" w:rsidP="008A2DF7">
      <w:pPr>
        <w:autoSpaceDE w:val="0"/>
        <w:autoSpaceDN w:val="0"/>
        <w:adjustRightInd w:val="0"/>
        <w:spacing w:line="360" w:lineRule="auto"/>
        <w:jc w:val="both"/>
        <w:rPr>
          <w:sz w:val="22"/>
          <w:szCs w:val="22"/>
        </w:rPr>
      </w:pPr>
    </w:p>
    <w:p w:rsidR="008C2C23" w:rsidRPr="00965778" w:rsidRDefault="00A2728A" w:rsidP="006B7FF2">
      <w:pPr>
        <w:pStyle w:val="Kop2"/>
      </w:pPr>
      <w:bookmarkStart w:id="44" w:name="_Toc287614174"/>
      <w:r>
        <w:t>3</w:t>
      </w:r>
      <w:r w:rsidR="001C76A4" w:rsidRPr="00965778">
        <w:t>.</w:t>
      </w:r>
      <w:r w:rsidR="00EA01D8">
        <w:t>8</w:t>
      </w:r>
      <w:r w:rsidR="008C2C23" w:rsidRPr="00965778">
        <w:t xml:space="preserve"> Summary and conclusion</w:t>
      </w:r>
      <w:bookmarkEnd w:id="44"/>
    </w:p>
    <w:p w:rsidR="00474DED" w:rsidRDefault="00E818BE" w:rsidP="00474DED">
      <w:pPr>
        <w:autoSpaceDE w:val="0"/>
        <w:autoSpaceDN w:val="0"/>
        <w:adjustRightInd w:val="0"/>
        <w:spacing w:line="360" w:lineRule="auto"/>
        <w:jc w:val="both"/>
        <w:rPr>
          <w:sz w:val="22"/>
          <w:szCs w:val="22"/>
        </w:rPr>
      </w:pPr>
      <w:r>
        <w:rPr>
          <w:sz w:val="22"/>
          <w:szCs w:val="22"/>
        </w:rPr>
        <w:t>Earnings contain important information and are used as measurement of performance. A</w:t>
      </w:r>
      <w:r w:rsidR="00F661C6">
        <w:rPr>
          <w:sz w:val="22"/>
          <w:szCs w:val="22"/>
        </w:rPr>
        <w:t xml:space="preserve">ccrual </w:t>
      </w:r>
      <w:r>
        <w:rPr>
          <w:sz w:val="22"/>
          <w:szCs w:val="22"/>
        </w:rPr>
        <w:t>accounting gives managers</w:t>
      </w:r>
      <w:r w:rsidR="00E9299A">
        <w:rPr>
          <w:sz w:val="22"/>
          <w:szCs w:val="22"/>
        </w:rPr>
        <w:t xml:space="preserve"> </w:t>
      </w:r>
      <w:r w:rsidR="00F661C6">
        <w:rPr>
          <w:sz w:val="22"/>
          <w:szCs w:val="22"/>
        </w:rPr>
        <w:t>the flexibility to exercise discretion over accruals.</w:t>
      </w:r>
      <w:r w:rsidR="005B60B0">
        <w:rPr>
          <w:sz w:val="22"/>
          <w:szCs w:val="22"/>
        </w:rPr>
        <w:t xml:space="preserve"> </w:t>
      </w:r>
      <w:r w:rsidR="00E9299A">
        <w:rPr>
          <w:sz w:val="22"/>
          <w:szCs w:val="22"/>
        </w:rPr>
        <w:t>The</w:t>
      </w:r>
      <w:r>
        <w:rPr>
          <w:sz w:val="22"/>
          <w:szCs w:val="22"/>
        </w:rPr>
        <w:t>se</w:t>
      </w:r>
      <w:r w:rsidR="005B60B0">
        <w:rPr>
          <w:sz w:val="22"/>
          <w:szCs w:val="22"/>
        </w:rPr>
        <w:t xml:space="preserve"> circumstances </w:t>
      </w:r>
      <w:r w:rsidR="009D0D7F">
        <w:rPr>
          <w:sz w:val="22"/>
          <w:szCs w:val="22"/>
        </w:rPr>
        <w:t>may</w:t>
      </w:r>
      <w:r w:rsidR="00700482">
        <w:rPr>
          <w:sz w:val="22"/>
          <w:szCs w:val="22"/>
        </w:rPr>
        <w:t xml:space="preserve"> lead to efficient, opportunistic or fraudulent forms of earnings management</w:t>
      </w:r>
      <w:r w:rsidR="00E9299A">
        <w:rPr>
          <w:sz w:val="22"/>
          <w:szCs w:val="22"/>
        </w:rPr>
        <w:t xml:space="preserve">. </w:t>
      </w:r>
      <w:r w:rsidR="00CD0B84">
        <w:rPr>
          <w:sz w:val="22"/>
          <w:szCs w:val="22"/>
        </w:rPr>
        <w:t xml:space="preserve">Managers use earnings management </w:t>
      </w:r>
      <w:r w:rsidR="00700482">
        <w:rPr>
          <w:sz w:val="22"/>
          <w:szCs w:val="22"/>
        </w:rPr>
        <w:t>to influence</w:t>
      </w:r>
      <w:r w:rsidR="005B60B0">
        <w:rPr>
          <w:sz w:val="22"/>
          <w:szCs w:val="22"/>
        </w:rPr>
        <w:t xml:space="preserve"> political cost</w:t>
      </w:r>
      <w:r w:rsidR="00700482">
        <w:rPr>
          <w:sz w:val="22"/>
          <w:szCs w:val="22"/>
        </w:rPr>
        <w:t>s</w:t>
      </w:r>
      <w:r w:rsidR="00526686">
        <w:rPr>
          <w:sz w:val="22"/>
          <w:szCs w:val="22"/>
        </w:rPr>
        <w:t>,</w:t>
      </w:r>
      <w:r w:rsidR="005B60B0">
        <w:rPr>
          <w:sz w:val="22"/>
          <w:szCs w:val="22"/>
        </w:rPr>
        <w:t xml:space="preserve"> cost</w:t>
      </w:r>
      <w:r w:rsidR="00700482">
        <w:rPr>
          <w:sz w:val="22"/>
          <w:szCs w:val="22"/>
        </w:rPr>
        <w:t>s</w:t>
      </w:r>
      <w:r w:rsidR="005B60B0">
        <w:rPr>
          <w:sz w:val="22"/>
          <w:szCs w:val="22"/>
        </w:rPr>
        <w:t xml:space="preserve"> of capital</w:t>
      </w:r>
      <w:r w:rsidR="00E9299A">
        <w:rPr>
          <w:sz w:val="22"/>
          <w:szCs w:val="22"/>
        </w:rPr>
        <w:t>,</w:t>
      </w:r>
      <w:r w:rsidR="00526686">
        <w:rPr>
          <w:sz w:val="22"/>
          <w:szCs w:val="22"/>
        </w:rPr>
        <w:t xml:space="preserve"> agency costs</w:t>
      </w:r>
      <w:r w:rsidR="00700482">
        <w:rPr>
          <w:sz w:val="22"/>
          <w:szCs w:val="22"/>
        </w:rPr>
        <w:t>, personal wealth and</w:t>
      </w:r>
      <w:r w:rsidR="00526686">
        <w:rPr>
          <w:sz w:val="22"/>
          <w:szCs w:val="22"/>
        </w:rPr>
        <w:t xml:space="preserve"> stoc</w:t>
      </w:r>
      <w:r w:rsidR="00700482">
        <w:rPr>
          <w:sz w:val="22"/>
          <w:szCs w:val="22"/>
        </w:rPr>
        <w:t xml:space="preserve">k prices. </w:t>
      </w:r>
      <w:r w:rsidR="00CD0B84">
        <w:rPr>
          <w:sz w:val="22"/>
          <w:szCs w:val="22"/>
        </w:rPr>
        <w:t>T</w:t>
      </w:r>
      <w:r w:rsidR="00C1103C">
        <w:rPr>
          <w:sz w:val="22"/>
          <w:szCs w:val="22"/>
        </w:rPr>
        <w:t xml:space="preserve">he specific accrual approach </w:t>
      </w:r>
      <w:r w:rsidR="00CD0B84">
        <w:rPr>
          <w:sz w:val="22"/>
          <w:szCs w:val="22"/>
        </w:rPr>
        <w:t xml:space="preserve">is used </w:t>
      </w:r>
      <w:r w:rsidR="00700482">
        <w:rPr>
          <w:sz w:val="22"/>
          <w:szCs w:val="22"/>
        </w:rPr>
        <w:t>to detect earnings management</w:t>
      </w:r>
      <w:r w:rsidR="00CD0B84">
        <w:rPr>
          <w:sz w:val="22"/>
          <w:szCs w:val="22"/>
        </w:rPr>
        <w:t xml:space="preserve"> for t</w:t>
      </w:r>
      <w:r w:rsidR="00700482">
        <w:rPr>
          <w:sz w:val="22"/>
          <w:szCs w:val="22"/>
        </w:rPr>
        <w:t>he banking industry</w:t>
      </w:r>
      <w:r w:rsidR="00CD0B84">
        <w:rPr>
          <w:sz w:val="22"/>
          <w:szCs w:val="22"/>
        </w:rPr>
        <w:t xml:space="preserve">, which </w:t>
      </w:r>
      <w:r w:rsidR="00700482">
        <w:rPr>
          <w:sz w:val="22"/>
          <w:szCs w:val="22"/>
        </w:rPr>
        <w:t xml:space="preserve">has its own </w:t>
      </w:r>
      <w:r w:rsidR="00C1103C">
        <w:rPr>
          <w:sz w:val="22"/>
          <w:szCs w:val="22"/>
        </w:rPr>
        <w:t xml:space="preserve">regulation, accrual process and earnings manipulation incentives. </w:t>
      </w:r>
      <w:r w:rsidR="007124EF">
        <w:rPr>
          <w:sz w:val="22"/>
          <w:szCs w:val="22"/>
        </w:rPr>
        <w:t>The effect of r</w:t>
      </w:r>
      <w:r w:rsidR="00CD0B84">
        <w:rPr>
          <w:sz w:val="22"/>
          <w:szCs w:val="22"/>
        </w:rPr>
        <w:t xml:space="preserve">egulation </w:t>
      </w:r>
      <w:r w:rsidR="007124EF">
        <w:rPr>
          <w:sz w:val="22"/>
          <w:szCs w:val="22"/>
        </w:rPr>
        <w:t>on earnings management is ambiguous. M</w:t>
      </w:r>
      <w:r w:rsidR="00CD0B84">
        <w:rPr>
          <w:sz w:val="22"/>
          <w:szCs w:val="22"/>
        </w:rPr>
        <w:t>anagers</w:t>
      </w:r>
      <w:r w:rsidR="007124EF">
        <w:rPr>
          <w:sz w:val="22"/>
          <w:szCs w:val="22"/>
        </w:rPr>
        <w:t xml:space="preserve"> can</w:t>
      </w:r>
      <w:r w:rsidR="00CD0B84">
        <w:rPr>
          <w:sz w:val="22"/>
          <w:szCs w:val="22"/>
        </w:rPr>
        <w:t xml:space="preserve"> use earnings management to avoid</w:t>
      </w:r>
      <w:r w:rsidR="007124EF">
        <w:rPr>
          <w:sz w:val="22"/>
          <w:szCs w:val="22"/>
        </w:rPr>
        <w:t xml:space="preserve"> regulatory</w:t>
      </w:r>
      <w:r w:rsidR="00CD0B84">
        <w:rPr>
          <w:sz w:val="22"/>
          <w:szCs w:val="22"/>
        </w:rPr>
        <w:t xml:space="preserve"> intervention</w:t>
      </w:r>
      <w:r w:rsidR="007124EF">
        <w:rPr>
          <w:sz w:val="22"/>
          <w:szCs w:val="22"/>
        </w:rPr>
        <w:t xml:space="preserve"> or they refrain from earnings management because of the probability of detection by regulators. </w:t>
      </w:r>
      <w:r w:rsidR="00CD0B84">
        <w:rPr>
          <w:sz w:val="22"/>
          <w:szCs w:val="22"/>
        </w:rPr>
        <w:t>R</w:t>
      </w:r>
      <w:r w:rsidR="00CC521E">
        <w:rPr>
          <w:sz w:val="22"/>
          <w:szCs w:val="22"/>
        </w:rPr>
        <w:t xml:space="preserve">ecent studies suggest that LLP is related to earnings management in the banking industry. </w:t>
      </w:r>
      <w:r w:rsidR="00E5651B">
        <w:rPr>
          <w:sz w:val="22"/>
          <w:szCs w:val="22"/>
        </w:rPr>
        <w:t xml:space="preserve">The discretionary component of LLP can directly be managed by the manager. </w:t>
      </w:r>
      <w:r w:rsidR="00CC521E">
        <w:rPr>
          <w:sz w:val="22"/>
          <w:szCs w:val="22"/>
        </w:rPr>
        <w:t>Therefore,</w:t>
      </w:r>
      <w:r w:rsidR="00E5651B">
        <w:rPr>
          <w:sz w:val="22"/>
          <w:szCs w:val="22"/>
        </w:rPr>
        <w:t xml:space="preserve"> D</w:t>
      </w:r>
      <w:r w:rsidR="00CC521E">
        <w:rPr>
          <w:sz w:val="22"/>
          <w:szCs w:val="22"/>
        </w:rPr>
        <w:t xml:space="preserve">LLP can be used as an earnings management proxy and provide evidence that managers manipulate earnings in banks. </w:t>
      </w:r>
      <w:r w:rsidR="00CD0B84">
        <w:rPr>
          <w:sz w:val="22"/>
          <w:szCs w:val="22"/>
        </w:rPr>
        <w:t xml:space="preserve">The Beaver and Engel (1996) model is used to detect earnings management in banks. </w:t>
      </w:r>
    </w:p>
    <w:p w:rsidR="00474DED" w:rsidRDefault="00474DED" w:rsidP="00474DED">
      <w:pPr>
        <w:autoSpaceDE w:val="0"/>
        <w:autoSpaceDN w:val="0"/>
        <w:adjustRightInd w:val="0"/>
        <w:spacing w:line="360" w:lineRule="auto"/>
        <w:jc w:val="both"/>
        <w:rPr>
          <w:sz w:val="22"/>
          <w:szCs w:val="22"/>
        </w:rPr>
      </w:pPr>
    </w:p>
    <w:p w:rsidR="00175F55" w:rsidRDefault="0081762F" w:rsidP="00474DED">
      <w:pPr>
        <w:autoSpaceDE w:val="0"/>
        <w:autoSpaceDN w:val="0"/>
        <w:adjustRightInd w:val="0"/>
        <w:spacing w:line="360" w:lineRule="auto"/>
        <w:jc w:val="both"/>
        <w:rPr>
          <w:sz w:val="22"/>
          <w:szCs w:val="22"/>
        </w:rPr>
      </w:pPr>
      <w:r>
        <w:rPr>
          <w:sz w:val="22"/>
          <w:szCs w:val="22"/>
        </w:rPr>
        <w:t>In the next chapter prior studies about the relationship between equity incentives and earnings management are discussed.</w:t>
      </w:r>
    </w:p>
    <w:p w:rsidR="002E79A7" w:rsidRDefault="004A72DC" w:rsidP="002140F2">
      <w:pPr>
        <w:pStyle w:val="Kop1"/>
        <w:jc w:val="center"/>
      </w:pPr>
      <w:bookmarkStart w:id="45" w:name="_Toc287614175"/>
      <w:r>
        <w:lastRenderedPageBreak/>
        <w:t xml:space="preserve">4. </w:t>
      </w:r>
      <w:r w:rsidR="00A653B0">
        <w:t xml:space="preserve">PRIOR </w:t>
      </w:r>
      <w:r w:rsidR="00023857">
        <w:t>EMPIRICAL RESEARCH</w:t>
      </w:r>
      <w:bookmarkEnd w:id="45"/>
    </w:p>
    <w:p w:rsidR="002140F2" w:rsidRDefault="002140F2" w:rsidP="002140F2"/>
    <w:p w:rsidR="00D637BB" w:rsidRPr="00C07974" w:rsidRDefault="00D637BB" w:rsidP="0090500D">
      <w:pPr>
        <w:spacing w:line="360" w:lineRule="auto"/>
        <w:jc w:val="both"/>
        <w:rPr>
          <w:sz w:val="22"/>
          <w:szCs w:val="22"/>
        </w:rPr>
      </w:pPr>
      <w:r w:rsidRPr="00C07974">
        <w:rPr>
          <w:sz w:val="22"/>
          <w:szCs w:val="22"/>
        </w:rPr>
        <w:t xml:space="preserve">The previous chapters </w:t>
      </w:r>
      <w:r w:rsidR="0040078D">
        <w:rPr>
          <w:sz w:val="22"/>
          <w:szCs w:val="22"/>
        </w:rPr>
        <w:t>have</w:t>
      </w:r>
      <w:r w:rsidR="0090500D" w:rsidRPr="00C07974">
        <w:rPr>
          <w:sz w:val="22"/>
          <w:szCs w:val="22"/>
        </w:rPr>
        <w:t xml:space="preserve"> </w:t>
      </w:r>
      <w:r w:rsidRPr="00C07974">
        <w:rPr>
          <w:sz w:val="22"/>
          <w:szCs w:val="22"/>
        </w:rPr>
        <w:t>describ</w:t>
      </w:r>
      <w:r w:rsidR="0090500D" w:rsidRPr="00C07974">
        <w:rPr>
          <w:sz w:val="22"/>
          <w:szCs w:val="22"/>
        </w:rPr>
        <w:t>e</w:t>
      </w:r>
      <w:r w:rsidR="0040078D">
        <w:rPr>
          <w:sz w:val="22"/>
          <w:szCs w:val="22"/>
        </w:rPr>
        <w:t xml:space="preserve">d </w:t>
      </w:r>
      <w:r w:rsidRPr="00C07974">
        <w:rPr>
          <w:sz w:val="22"/>
          <w:szCs w:val="22"/>
        </w:rPr>
        <w:t xml:space="preserve">and explain the theory </w:t>
      </w:r>
      <w:r w:rsidR="0090500D" w:rsidRPr="00C07974">
        <w:rPr>
          <w:sz w:val="22"/>
          <w:szCs w:val="22"/>
        </w:rPr>
        <w:t xml:space="preserve">on </w:t>
      </w:r>
      <w:r w:rsidR="0040078D" w:rsidRPr="00C07974">
        <w:rPr>
          <w:sz w:val="22"/>
          <w:szCs w:val="22"/>
        </w:rPr>
        <w:t>equity incentives</w:t>
      </w:r>
      <w:r w:rsidR="0040078D">
        <w:rPr>
          <w:sz w:val="22"/>
          <w:szCs w:val="22"/>
        </w:rPr>
        <w:t xml:space="preserve"> and</w:t>
      </w:r>
      <w:r w:rsidR="0040078D" w:rsidRPr="00C07974">
        <w:rPr>
          <w:sz w:val="22"/>
          <w:szCs w:val="22"/>
        </w:rPr>
        <w:t xml:space="preserve"> </w:t>
      </w:r>
      <w:r w:rsidRPr="00C07974">
        <w:rPr>
          <w:sz w:val="22"/>
          <w:szCs w:val="22"/>
        </w:rPr>
        <w:t>earnings management.</w:t>
      </w:r>
      <w:r w:rsidR="0040078D">
        <w:rPr>
          <w:sz w:val="22"/>
          <w:szCs w:val="22"/>
        </w:rPr>
        <w:t xml:space="preserve"> This chapter discusses empirical studies about the relation between equity incentives and earnings management. </w:t>
      </w:r>
      <w:r w:rsidR="00396A82">
        <w:rPr>
          <w:sz w:val="22"/>
          <w:szCs w:val="22"/>
        </w:rPr>
        <w:t>In p</w:t>
      </w:r>
      <w:r w:rsidR="0040078D">
        <w:rPr>
          <w:sz w:val="22"/>
          <w:szCs w:val="22"/>
        </w:rPr>
        <w:t>aragraph 4.1</w:t>
      </w:r>
      <w:r w:rsidR="00396A82">
        <w:rPr>
          <w:sz w:val="22"/>
          <w:szCs w:val="22"/>
        </w:rPr>
        <w:t xml:space="preserve"> </w:t>
      </w:r>
      <w:r w:rsidR="0040078D">
        <w:rPr>
          <w:sz w:val="22"/>
          <w:szCs w:val="22"/>
        </w:rPr>
        <w:t xml:space="preserve">studies </w:t>
      </w:r>
      <w:r w:rsidR="00396A82">
        <w:rPr>
          <w:sz w:val="22"/>
          <w:szCs w:val="22"/>
        </w:rPr>
        <w:t xml:space="preserve">about the relation between </w:t>
      </w:r>
      <w:r w:rsidR="0040078D">
        <w:rPr>
          <w:sz w:val="22"/>
          <w:szCs w:val="22"/>
        </w:rPr>
        <w:t>CEO equity incentives and earnings management</w:t>
      </w:r>
      <w:r w:rsidR="00396A82">
        <w:rPr>
          <w:sz w:val="22"/>
          <w:szCs w:val="22"/>
        </w:rPr>
        <w:t xml:space="preserve"> are explained. </w:t>
      </w:r>
      <w:r w:rsidR="00807BE6" w:rsidRPr="00C07974">
        <w:rPr>
          <w:sz w:val="22"/>
          <w:szCs w:val="22"/>
        </w:rPr>
        <w:t>However, some earnings management studies examine the chief financial o</w:t>
      </w:r>
      <w:r w:rsidR="0040078D">
        <w:rPr>
          <w:sz w:val="22"/>
          <w:szCs w:val="22"/>
        </w:rPr>
        <w:t xml:space="preserve">fficer (CFO) instead, </w:t>
      </w:r>
      <w:r w:rsidR="00396A82">
        <w:rPr>
          <w:sz w:val="22"/>
          <w:szCs w:val="22"/>
        </w:rPr>
        <w:t>since</w:t>
      </w:r>
      <w:r w:rsidR="0040078D">
        <w:rPr>
          <w:sz w:val="22"/>
          <w:szCs w:val="22"/>
        </w:rPr>
        <w:t xml:space="preserve"> the CFO</w:t>
      </w:r>
      <w:r w:rsidR="00807BE6" w:rsidRPr="00C07974">
        <w:rPr>
          <w:sz w:val="22"/>
          <w:szCs w:val="22"/>
        </w:rPr>
        <w:t xml:space="preserve"> has significant infl</w:t>
      </w:r>
      <w:r w:rsidR="0040078D">
        <w:rPr>
          <w:sz w:val="22"/>
          <w:szCs w:val="22"/>
        </w:rPr>
        <w:t>uence on the financial reports.</w:t>
      </w:r>
      <w:r w:rsidR="00396A82">
        <w:rPr>
          <w:sz w:val="22"/>
          <w:szCs w:val="22"/>
        </w:rPr>
        <w:t xml:space="preserve"> </w:t>
      </w:r>
      <w:r w:rsidR="009A4294">
        <w:rPr>
          <w:sz w:val="22"/>
          <w:szCs w:val="22"/>
        </w:rPr>
        <w:t>These are discussed in p</w:t>
      </w:r>
      <w:r w:rsidR="00396A82">
        <w:rPr>
          <w:sz w:val="22"/>
          <w:szCs w:val="22"/>
        </w:rPr>
        <w:t>aragraph 4.2</w:t>
      </w:r>
      <w:r w:rsidR="009A4294">
        <w:rPr>
          <w:sz w:val="22"/>
          <w:szCs w:val="22"/>
        </w:rPr>
        <w:t>.</w:t>
      </w:r>
      <w:r w:rsidR="0040078D">
        <w:rPr>
          <w:sz w:val="22"/>
          <w:szCs w:val="22"/>
        </w:rPr>
        <w:t xml:space="preserve"> </w:t>
      </w:r>
      <w:r w:rsidR="007C27D4">
        <w:rPr>
          <w:sz w:val="22"/>
          <w:szCs w:val="22"/>
        </w:rPr>
        <w:t>Next to it</w:t>
      </w:r>
      <w:r w:rsidR="000C1199">
        <w:rPr>
          <w:sz w:val="22"/>
          <w:szCs w:val="22"/>
        </w:rPr>
        <w:t xml:space="preserve">, </w:t>
      </w:r>
      <w:r w:rsidR="00396A82">
        <w:rPr>
          <w:sz w:val="22"/>
          <w:szCs w:val="22"/>
        </w:rPr>
        <w:t xml:space="preserve">regulators predict that </w:t>
      </w:r>
      <w:r w:rsidR="000C1199">
        <w:rPr>
          <w:sz w:val="22"/>
          <w:szCs w:val="22"/>
        </w:rPr>
        <w:t xml:space="preserve">SOX </w:t>
      </w:r>
      <w:r w:rsidR="00396A82">
        <w:rPr>
          <w:sz w:val="22"/>
          <w:szCs w:val="22"/>
        </w:rPr>
        <w:t>has a mitigating influence on</w:t>
      </w:r>
      <w:r w:rsidR="000C1199">
        <w:rPr>
          <w:sz w:val="22"/>
          <w:szCs w:val="22"/>
        </w:rPr>
        <w:t xml:space="preserve"> earnings management</w:t>
      </w:r>
      <w:r w:rsidR="00396A82">
        <w:rPr>
          <w:sz w:val="22"/>
          <w:szCs w:val="22"/>
        </w:rPr>
        <w:t>. Therefore, paragraph 4.3 reviews prior studies which examined the relationship between SOX and earnings management</w:t>
      </w:r>
      <w:r w:rsidR="000C1199">
        <w:rPr>
          <w:sz w:val="22"/>
          <w:szCs w:val="22"/>
        </w:rPr>
        <w:t>.</w:t>
      </w:r>
      <w:r w:rsidR="00AB2F48" w:rsidRPr="00C07974">
        <w:rPr>
          <w:sz w:val="22"/>
          <w:szCs w:val="22"/>
        </w:rPr>
        <w:t xml:space="preserve"> </w:t>
      </w:r>
      <w:r w:rsidR="00396A82">
        <w:rPr>
          <w:sz w:val="22"/>
          <w:szCs w:val="22"/>
        </w:rPr>
        <w:t>The chapter ends with a summary and conclusion</w:t>
      </w:r>
      <w:r w:rsidR="0090500D" w:rsidRPr="00C07974">
        <w:rPr>
          <w:sz w:val="22"/>
          <w:szCs w:val="22"/>
        </w:rPr>
        <w:t>.</w:t>
      </w:r>
    </w:p>
    <w:p w:rsidR="00AD7EA8" w:rsidRDefault="00AD7EA8" w:rsidP="0090500D">
      <w:pPr>
        <w:spacing w:line="360" w:lineRule="auto"/>
        <w:jc w:val="both"/>
      </w:pPr>
    </w:p>
    <w:p w:rsidR="004A72DC" w:rsidRDefault="004A72DC" w:rsidP="00EA2D82">
      <w:pPr>
        <w:pStyle w:val="Kop2"/>
      </w:pPr>
      <w:bookmarkStart w:id="46" w:name="_Toc287614176"/>
      <w:r>
        <w:t>4.1 CEO equity incentives and earnings management</w:t>
      </w:r>
      <w:bookmarkEnd w:id="46"/>
    </w:p>
    <w:p w:rsidR="00C07974" w:rsidRPr="00E652E4" w:rsidRDefault="004A67E9" w:rsidP="00E652E4">
      <w:pPr>
        <w:autoSpaceDE w:val="0"/>
        <w:autoSpaceDN w:val="0"/>
        <w:adjustRightInd w:val="0"/>
        <w:spacing w:line="360" w:lineRule="auto"/>
        <w:jc w:val="both"/>
        <w:outlineLvl w:val="2"/>
        <w:rPr>
          <w:i/>
        </w:rPr>
      </w:pPr>
      <w:bookmarkStart w:id="47" w:name="_Toc287614177"/>
      <w:r w:rsidRPr="00E652E4">
        <w:rPr>
          <w:i/>
        </w:rPr>
        <w:t xml:space="preserve">4.1.1 </w:t>
      </w:r>
      <w:r w:rsidR="00C07974" w:rsidRPr="00E652E4">
        <w:rPr>
          <w:i/>
        </w:rPr>
        <w:t>Cheng and Warfield (2005)</w:t>
      </w:r>
      <w:bookmarkEnd w:id="47"/>
    </w:p>
    <w:p w:rsidR="004A67E9" w:rsidRPr="00C07974" w:rsidRDefault="00786CAC" w:rsidP="00034FF4">
      <w:pPr>
        <w:autoSpaceDE w:val="0"/>
        <w:autoSpaceDN w:val="0"/>
        <w:adjustRightInd w:val="0"/>
        <w:spacing w:line="360" w:lineRule="auto"/>
        <w:jc w:val="both"/>
        <w:rPr>
          <w:sz w:val="22"/>
          <w:szCs w:val="22"/>
        </w:rPr>
      </w:pPr>
      <w:r>
        <w:rPr>
          <w:sz w:val="22"/>
          <w:szCs w:val="22"/>
        </w:rPr>
        <w:t>Cheng and Warfield examine</w:t>
      </w:r>
      <w:r w:rsidR="008536EB">
        <w:rPr>
          <w:sz w:val="22"/>
          <w:szCs w:val="22"/>
        </w:rPr>
        <w:t>d</w:t>
      </w:r>
      <w:r>
        <w:rPr>
          <w:sz w:val="22"/>
          <w:szCs w:val="22"/>
        </w:rPr>
        <w:t xml:space="preserve"> CEO</w:t>
      </w:r>
      <w:r w:rsidR="00807BE6">
        <w:rPr>
          <w:sz w:val="22"/>
          <w:szCs w:val="22"/>
        </w:rPr>
        <w:t>s</w:t>
      </w:r>
      <w:r>
        <w:rPr>
          <w:sz w:val="22"/>
          <w:szCs w:val="22"/>
        </w:rPr>
        <w:t xml:space="preserve"> equity incentives and earnings management</w:t>
      </w:r>
      <w:r w:rsidR="00807BE6">
        <w:rPr>
          <w:sz w:val="22"/>
          <w:szCs w:val="22"/>
        </w:rPr>
        <w:t xml:space="preserve"> </w:t>
      </w:r>
      <w:r w:rsidR="00692ABD">
        <w:rPr>
          <w:sz w:val="22"/>
          <w:szCs w:val="22"/>
        </w:rPr>
        <w:t>in</w:t>
      </w:r>
      <w:r w:rsidR="00807BE6">
        <w:rPr>
          <w:sz w:val="22"/>
          <w:szCs w:val="22"/>
        </w:rPr>
        <w:t xml:space="preserve"> the period</w:t>
      </w:r>
      <w:r>
        <w:rPr>
          <w:sz w:val="22"/>
          <w:szCs w:val="22"/>
        </w:rPr>
        <w:t xml:space="preserve"> 1993</w:t>
      </w:r>
      <w:r w:rsidR="00807BE6">
        <w:rPr>
          <w:sz w:val="22"/>
          <w:szCs w:val="22"/>
        </w:rPr>
        <w:t>-</w:t>
      </w:r>
      <w:r>
        <w:rPr>
          <w:sz w:val="22"/>
          <w:szCs w:val="22"/>
        </w:rPr>
        <w:t xml:space="preserve"> 2000. </w:t>
      </w:r>
      <w:r w:rsidR="00396A82">
        <w:rPr>
          <w:sz w:val="22"/>
          <w:szCs w:val="22"/>
        </w:rPr>
        <w:t>They tested</w:t>
      </w:r>
      <w:r w:rsidR="00A830C4">
        <w:rPr>
          <w:sz w:val="22"/>
          <w:szCs w:val="22"/>
        </w:rPr>
        <w:t xml:space="preserve"> the relation</w:t>
      </w:r>
      <w:r w:rsidR="00807BE6">
        <w:rPr>
          <w:sz w:val="22"/>
          <w:szCs w:val="22"/>
        </w:rPr>
        <w:t>ship</w:t>
      </w:r>
      <w:r w:rsidR="00A830C4">
        <w:rPr>
          <w:sz w:val="22"/>
          <w:szCs w:val="22"/>
        </w:rPr>
        <w:t xml:space="preserve"> of equity incentives and </w:t>
      </w:r>
      <w:r w:rsidR="00807BE6">
        <w:rPr>
          <w:sz w:val="22"/>
          <w:szCs w:val="22"/>
        </w:rPr>
        <w:t xml:space="preserve">the selling of stock by </w:t>
      </w:r>
      <w:r w:rsidR="00A830C4">
        <w:rPr>
          <w:sz w:val="22"/>
          <w:szCs w:val="22"/>
        </w:rPr>
        <w:t>managers</w:t>
      </w:r>
      <w:r w:rsidR="00396A82">
        <w:rPr>
          <w:sz w:val="22"/>
          <w:szCs w:val="22"/>
        </w:rPr>
        <w:t xml:space="preserve"> and found a positive relation between equity incentives and manages’ net future sales of their own firm’s stocks. </w:t>
      </w:r>
      <w:r w:rsidR="00A830C4">
        <w:rPr>
          <w:sz w:val="22"/>
          <w:szCs w:val="22"/>
        </w:rPr>
        <w:t xml:space="preserve"> </w:t>
      </w:r>
      <w:r w:rsidR="00396A82">
        <w:rPr>
          <w:sz w:val="22"/>
          <w:szCs w:val="22"/>
        </w:rPr>
        <w:t xml:space="preserve">Furthermore, they investigated </w:t>
      </w:r>
      <w:r w:rsidR="00A830C4">
        <w:rPr>
          <w:sz w:val="22"/>
          <w:szCs w:val="22"/>
        </w:rPr>
        <w:t>the association between equity inc</w:t>
      </w:r>
      <w:r w:rsidR="00396A82">
        <w:rPr>
          <w:sz w:val="22"/>
          <w:szCs w:val="22"/>
        </w:rPr>
        <w:t xml:space="preserve">entives and earnings management </w:t>
      </w:r>
      <w:r w:rsidR="00E957CA">
        <w:rPr>
          <w:sz w:val="22"/>
          <w:szCs w:val="22"/>
        </w:rPr>
        <w:t>and</w:t>
      </w:r>
      <w:r w:rsidR="00A830C4">
        <w:rPr>
          <w:sz w:val="22"/>
          <w:szCs w:val="22"/>
        </w:rPr>
        <w:t xml:space="preserve"> whether managers sell more shares afte</w:t>
      </w:r>
      <w:r w:rsidR="00E957CA">
        <w:rPr>
          <w:sz w:val="22"/>
          <w:szCs w:val="22"/>
        </w:rPr>
        <w:t>r actual earnings management</w:t>
      </w:r>
      <w:r w:rsidR="00630937">
        <w:rPr>
          <w:sz w:val="22"/>
          <w:szCs w:val="22"/>
        </w:rPr>
        <w:t xml:space="preserve">. </w:t>
      </w:r>
      <w:r w:rsidR="00C3378C">
        <w:rPr>
          <w:sz w:val="22"/>
          <w:szCs w:val="22"/>
        </w:rPr>
        <w:t>T</w:t>
      </w:r>
      <w:r w:rsidR="00630937">
        <w:rPr>
          <w:sz w:val="22"/>
          <w:szCs w:val="22"/>
        </w:rPr>
        <w:t xml:space="preserve">heir results </w:t>
      </w:r>
      <w:r w:rsidR="00C3378C">
        <w:rPr>
          <w:sz w:val="22"/>
          <w:szCs w:val="22"/>
        </w:rPr>
        <w:t>show</w:t>
      </w:r>
      <w:r w:rsidR="00CD0B84">
        <w:rPr>
          <w:sz w:val="22"/>
          <w:szCs w:val="22"/>
        </w:rPr>
        <w:t>ed</w:t>
      </w:r>
      <w:r>
        <w:rPr>
          <w:sz w:val="22"/>
          <w:szCs w:val="22"/>
        </w:rPr>
        <w:t xml:space="preserve"> </w:t>
      </w:r>
      <w:r w:rsidR="00E957CA">
        <w:rPr>
          <w:sz w:val="22"/>
          <w:szCs w:val="22"/>
        </w:rPr>
        <w:t>that</w:t>
      </w:r>
      <w:r w:rsidR="0004425E">
        <w:rPr>
          <w:sz w:val="22"/>
          <w:szCs w:val="22"/>
        </w:rPr>
        <w:t xml:space="preserve"> </w:t>
      </w:r>
      <w:r w:rsidR="00807BE6">
        <w:rPr>
          <w:sz w:val="22"/>
          <w:szCs w:val="22"/>
        </w:rPr>
        <w:t xml:space="preserve">a </w:t>
      </w:r>
      <w:r w:rsidR="0004425E">
        <w:rPr>
          <w:sz w:val="22"/>
          <w:szCs w:val="22"/>
        </w:rPr>
        <w:t>higher incidence of meeting or beating analysts’ forecasts is associated with hi</w:t>
      </w:r>
      <w:r w:rsidR="00630937">
        <w:rPr>
          <w:sz w:val="22"/>
          <w:szCs w:val="22"/>
        </w:rPr>
        <w:t xml:space="preserve">gh equity incentives, which leads to </w:t>
      </w:r>
      <w:r w:rsidR="00807BE6">
        <w:rPr>
          <w:sz w:val="22"/>
          <w:szCs w:val="22"/>
        </w:rPr>
        <w:t>more</w:t>
      </w:r>
      <w:r w:rsidR="00630937">
        <w:rPr>
          <w:sz w:val="22"/>
          <w:szCs w:val="22"/>
        </w:rPr>
        <w:t xml:space="preserve"> sales of shares after actual earnings management. No evidence was found for managers with low equity incentives. Additional analysis </w:t>
      </w:r>
      <w:r w:rsidR="00C3378C">
        <w:rPr>
          <w:sz w:val="22"/>
          <w:szCs w:val="22"/>
        </w:rPr>
        <w:t xml:space="preserve">points out </w:t>
      </w:r>
      <w:r w:rsidR="00630937">
        <w:rPr>
          <w:sz w:val="22"/>
          <w:szCs w:val="22"/>
        </w:rPr>
        <w:t>that high equity incentives is associated with e</w:t>
      </w:r>
      <w:r w:rsidR="00807BE6">
        <w:rPr>
          <w:sz w:val="22"/>
          <w:szCs w:val="22"/>
        </w:rPr>
        <w:t>arnings smoothing, because</w:t>
      </w:r>
      <w:r w:rsidR="00630937">
        <w:rPr>
          <w:sz w:val="22"/>
          <w:szCs w:val="22"/>
        </w:rPr>
        <w:t xml:space="preserve"> managers are less likely to report large positive earnings surprises. </w:t>
      </w:r>
      <w:r w:rsidR="00037F15">
        <w:rPr>
          <w:sz w:val="22"/>
          <w:szCs w:val="22"/>
        </w:rPr>
        <w:t>The authors</w:t>
      </w:r>
      <w:r w:rsidR="00C3378C">
        <w:rPr>
          <w:sz w:val="22"/>
          <w:szCs w:val="22"/>
        </w:rPr>
        <w:t xml:space="preserve"> conclude that high equity incentive managers are more likely to engage earnings management. </w:t>
      </w:r>
    </w:p>
    <w:p w:rsidR="000823C0" w:rsidRDefault="000823C0" w:rsidP="00C07974">
      <w:pPr>
        <w:autoSpaceDE w:val="0"/>
        <w:autoSpaceDN w:val="0"/>
        <w:adjustRightInd w:val="0"/>
        <w:spacing w:line="360" w:lineRule="auto"/>
        <w:jc w:val="both"/>
        <w:rPr>
          <w:sz w:val="22"/>
          <w:szCs w:val="22"/>
        </w:rPr>
      </w:pPr>
    </w:p>
    <w:p w:rsidR="00C07974" w:rsidRPr="00E652E4" w:rsidRDefault="00C3378C" w:rsidP="00E652E4">
      <w:pPr>
        <w:autoSpaceDE w:val="0"/>
        <w:autoSpaceDN w:val="0"/>
        <w:adjustRightInd w:val="0"/>
        <w:spacing w:line="360" w:lineRule="auto"/>
        <w:jc w:val="both"/>
        <w:outlineLvl w:val="2"/>
        <w:rPr>
          <w:i/>
        </w:rPr>
      </w:pPr>
      <w:bookmarkStart w:id="48" w:name="_Toc287614178"/>
      <w:r w:rsidRPr="00E652E4">
        <w:rPr>
          <w:i/>
        </w:rPr>
        <w:t xml:space="preserve">4.1.2 </w:t>
      </w:r>
      <w:proofErr w:type="spellStart"/>
      <w:r w:rsidR="00C07974" w:rsidRPr="00E652E4">
        <w:rPr>
          <w:i/>
        </w:rPr>
        <w:t>Be</w:t>
      </w:r>
      <w:r w:rsidRPr="00E652E4">
        <w:rPr>
          <w:i/>
        </w:rPr>
        <w:t>rgstresser</w:t>
      </w:r>
      <w:proofErr w:type="spellEnd"/>
      <w:r w:rsidRPr="00E652E4">
        <w:rPr>
          <w:i/>
        </w:rPr>
        <w:t xml:space="preserve"> and </w:t>
      </w:r>
      <w:proofErr w:type="spellStart"/>
      <w:r w:rsidRPr="00E652E4">
        <w:rPr>
          <w:i/>
        </w:rPr>
        <w:t>Philippon</w:t>
      </w:r>
      <w:proofErr w:type="spellEnd"/>
      <w:r w:rsidRPr="00E652E4">
        <w:rPr>
          <w:i/>
        </w:rPr>
        <w:t xml:space="preserve"> (2006)</w:t>
      </w:r>
      <w:bookmarkEnd w:id="48"/>
    </w:p>
    <w:p w:rsidR="004A2BE7" w:rsidRDefault="005C078E" w:rsidP="00FA666E">
      <w:pPr>
        <w:autoSpaceDE w:val="0"/>
        <w:autoSpaceDN w:val="0"/>
        <w:adjustRightInd w:val="0"/>
        <w:spacing w:line="360" w:lineRule="auto"/>
        <w:jc w:val="both"/>
        <w:rPr>
          <w:sz w:val="22"/>
          <w:szCs w:val="22"/>
        </w:rPr>
      </w:pPr>
      <w:proofErr w:type="spellStart"/>
      <w:r>
        <w:rPr>
          <w:sz w:val="22"/>
          <w:szCs w:val="22"/>
        </w:rPr>
        <w:t>Bergstresser</w:t>
      </w:r>
      <w:proofErr w:type="spellEnd"/>
      <w:r>
        <w:rPr>
          <w:sz w:val="22"/>
          <w:szCs w:val="22"/>
        </w:rPr>
        <w:t xml:space="preserve"> and </w:t>
      </w:r>
      <w:proofErr w:type="spellStart"/>
      <w:r>
        <w:rPr>
          <w:sz w:val="22"/>
          <w:szCs w:val="22"/>
        </w:rPr>
        <w:t>Philippon</w:t>
      </w:r>
      <w:proofErr w:type="spellEnd"/>
      <w:r>
        <w:rPr>
          <w:sz w:val="22"/>
          <w:szCs w:val="22"/>
        </w:rPr>
        <w:t xml:space="preserve"> examine</w:t>
      </w:r>
      <w:r w:rsidR="008536EB">
        <w:rPr>
          <w:sz w:val="22"/>
          <w:szCs w:val="22"/>
        </w:rPr>
        <w:t>d</w:t>
      </w:r>
      <w:r w:rsidR="00151023">
        <w:rPr>
          <w:sz w:val="22"/>
          <w:szCs w:val="22"/>
        </w:rPr>
        <w:t xml:space="preserve"> the </w:t>
      </w:r>
      <w:r>
        <w:rPr>
          <w:sz w:val="22"/>
          <w:szCs w:val="22"/>
        </w:rPr>
        <w:t>association between equity incentives and earnings management</w:t>
      </w:r>
      <w:r w:rsidR="005B2448">
        <w:rPr>
          <w:sz w:val="22"/>
          <w:szCs w:val="22"/>
        </w:rPr>
        <w:t xml:space="preserve"> </w:t>
      </w:r>
      <w:r w:rsidR="00371FBD">
        <w:rPr>
          <w:sz w:val="22"/>
          <w:szCs w:val="22"/>
        </w:rPr>
        <w:t>in the period 1993-2001</w:t>
      </w:r>
      <w:r w:rsidR="005B2448">
        <w:rPr>
          <w:sz w:val="22"/>
          <w:szCs w:val="22"/>
        </w:rPr>
        <w:t>. They detect discretionary accruals by using the Jon</w:t>
      </w:r>
      <w:r w:rsidR="006B21CE">
        <w:rPr>
          <w:sz w:val="22"/>
          <w:szCs w:val="22"/>
        </w:rPr>
        <w:t>es and the m</w:t>
      </w:r>
      <w:r w:rsidR="001C6312">
        <w:rPr>
          <w:sz w:val="22"/>
          <w:szCs w:val="22"/>
        </w:rPr>
        <w:t>odified Jones model</w:t>
      </w:r>
      <w:r w:rsidR="005B2448">
        <w:rPr>
          <w:sz w:val="22"/>
          <w:szCs w:val="22"/>
        </w:rPr>
        <w:t xml:space="preserve">. </w:t>
      </w:r>
      <w:r w:rsidR="00D15DFD">
        <w:rPr>
          <w:sz w:val="22"/>
          <w:szCs w:val="22"/>
        </w:rPr>
        <w:t xml:space="preserve">CEO equity incentives </w:t>
      </w:r>
      <w:r w:rsidR="006B21CE">
        <w:rPr>
          <w:sz w:val="22"/>
          <w:szCs w:val="22"/>
        </w:rPr>
        <w:t>are</w:t>
      </w:r>
      <w:r w:rsidR="00D15DFD">
        <w:rPr>
          <w:sz w:val="22"/>
          <w:szCs w:val="22"/>
        </w:rPr>
        <w:t xml:space="preserve"> measured by the dollar change in the value of CEO’s stock and option holdings that comes from a 1% increase of the firm’s stock price</w:t>
      </w:r>
      <w:r w:rsidR="007F59BD">
        <w:rPr>
          <w:sz w:val="22"/>
          <w:szCs w:val="22"/>
        </w:rPr>
        <w:t xml:space="preserve"> </w:t>
      </w:r>
      <w:r w:rsidR="00D15DFD">
        <w:rPr>
          <w:sz w:val="22"/>
          <w:szCs w:val="22"/>
        </w:rPr>
        <w:t>and deflated by total CEO compensation</w:t>
      </w:r>
      <w:r w:rsidR="006B21CE">
        <w:rPr>
          <w:sz w:val="22"/>
          <w:szCs w:val="22"/>
        </w:rPr>
        <w:t xml:space="preserve"> (the </w:t>
      </w:r>
      <w:r w:rsidR="00C8341C">
        <w:rPr>
          <w:sz w:val="22"/>
          <w:szCs w:val="22"/>
        </w:rPr>
        <w:t>‘</w:t>
      </w:r>
      <w:r w:rsidR="006B21CE">
        <w:rPr>
          <w:sz w:val="22"/>
          <w:szCs w:val="22"/>
        </w:rPr>
        <w:t>Incentive Ratio</w:t>
      </w:r>
      <w:r w:rsidR="00C8341C">
        <w:rPr>
          <w:sz w:val="22"/>
          <w:szCs w:val="22"/>
        </w:rPr>
        <w:t>’</w:t>
      </w:r>
      <w:r w:rsidR="006B21CE">
        <w:rPr>
          <w:sz w:val="22"/>
          <w:szCs w:val="22"/>
        </w:rPr>
        <w:t>)</w:t>
      </w:r>
      <w:r w:rsidR="002528DA">
        <w:rPr>
          <w:sz w:val="22"/>
          <w:szCs w:val="22"/>
        </w:rPr>
        <w:t>.</w:t>
      </w:r>
      <w:r w:rsidR="007F59BD">
        <w:rPr>
          <w:sz w:val="22"/>
          <w:szCs w:val="22"/>
        </w:rPr>
        <w:t xml:space="preserve"> </w:t>
      </w:r>
      <w:r w:rsidR="001C6312">
        <w:rPr>
          <w:sz w:val="22"/>
          <w:szCs w:val="22"/>
        </w:rPr>
        <w:t>In addition, they</w:t>
      </w:r>
      <w:r w:rsidR="00FA666E">
        <w:rPr>
          <w:sz w:val="22"/>
          <w:szCs w:val="22"/>
        </w:rPr>
        <w:t xml:space="preserve"> asse</w:t>
      </w:r>
      <w:r w:rsidR="006F72BB">
        <w:rPr>
          <w:sz w:val="22"/>
          <w:szCs w:val="22"/>
        </w:rPr>
        <w:t>s</w:t>
      </w:r>
      <w:r w:rsidR="00FA666E">
        <w:rPr>
          <w:sz w:val="22"/>
          <w:szCs w:val="22"/>
        </w:rPr>
        <w:t>s</w:t>
      </w:r>
      <w:r w:rsidR="006F72BB">
        <w:rPr>
          <w:sz w:val="22"/>
          <w:szCs w:val="22"/>
        </w:rPr>
        <w:t>ed</w:t>
      </w:r>
      <w:r w:rsidR="00FA666E">
        <w:rPr>
          <w:sz w:val="22"/>
          <w:szCs w:val="22"/>
        </w:rPr>
        <w:t xml:space="preserve"> the relation between high-accrual periods and the C</w:t>
      </w:r>
      <w:r w:rsidR="00AC1D14">
        <w:rPr>
          <w:sz w:val="22"/>
          <w:szCs w:val="22"/>
        </w:rPr>
        <w:t>EO’s option exercises and share</w:t>
      </w:r>
      <w:r w:rsidR="00FA666E">
        <w:rPr>
          <w:sz w:val="22"/>
          <w:szCs w:val="22"/>
        </w:rPr>
        <w:t xml:space="preserve"> sales.</w:t>
      </w:r>
      <w:r w:rsidR="002528DA">
        <w:rPr>
          <w:sz w:val="22"/>
          <w:szCs w:val="22"/>
        </w:rPr>
        <w:t xml:space="preserve"> Their results showed</w:t>
      </w:r>
      <w:r w:rsidR="001C6312">
        <w:rPr>
          <w:sz w:val="22"/>
          <w:szCs w:val="22"/>
        </w:rPr>
        <w:t xml:space="preserve"> </w:t>
      </w:r>
      <w:r w:rsidR="002528DA">
        <w:rPr>
          <w:sz w:val="22"/>
          <w:szCs w:val="22"/>
        </w:rPr>
        <w:t xml:space="preserve">that CEOs with </w:t>
      </w:r>
      <w:r w:rsidR="001C6312">
        <w:rPr>
          <w:sz w:val="22"/>
          <w:szCs w:val="22"/>
        </w:rPr>
        <w:t xml:space="preserve">high equity incentive </w:t>
      </w:r>
      <w:r w:rsidR="002528DA">
        <w:rPr>
          <w:sz w:val="22"/>
          <w:szCs w:val="22"/>
        </w:rPr>
        <w:t>are</w:t>
      </w:r>
      <w:r w:rsidR="001C6312">
        <w:rPr>
          <w:sz w:val="22"/>
          <w:szCs w:val="22"/>
        </w:rPr>
        <w:t xml:space="preserve"> associated </w:t>
      </w:r>
      <w:r w:rsidR="002528DA">
        <w:rPr>
          <w:sz w:val="22"/>
          <w:szCs w:val="22"/>
        </w:rPr>
        <w:t xml:space="preserve">with </w:t>
      </w:r>
      <w:r w:rsidR="00AC1D14">
        <w:rPr>
          <w:sz w:val="22"/>
          <w:szCs w:val="22"/>
        </w:rPr>
        <w:t>firms with high earnings management</w:t>
      </w:r>
      <w:r w:rsidR="001C6312">
        <w:rPr>
          <w:sz w:val="22"/>
          <w:szCs w:val="22"/>
        </w:rPr>
        <w:t xml:space="preserve">. Also, periods with high discretionary accruals coincide with unusually option exercises and sales of shares by CEOs and other top executives. </w:t>
      </w:r>
    </w:p>
    <w:p w:rsidR="004A2BE7" w:rsidRDefault="004A2BE7" w:rsidP="00FA666E">
      <w:pPr>
        <w:autoSpaceDE w:val="0"/>
        <w:autoSpaceDN w:val="0"/>
        <w:adjustRightInd w:val="0"/>
        <w:spacing w:line="360" w:lineRule="auto"/>
        <w:jc w:val="both"/>
        <w:rPr>
          <w:sz w:val="22"/>
          <w:szCs w:val="22"/>
        </w:rPr>
      </w:pPr>
    </w:p>
    <w:p w:rsidR="001C6312" w:rsidRPr="008A2C6F" w:rsidRDefault="004A2BE7" w:rsidP="008A2C6F">
      <w:pPr>
        <w:autoSpaceDE w:val="0"/>
        <w:autoSpaceDN w:val="0"/>
        <w:adjustRightInd w:val="0"/>
        <w:spacing w:line="360" w:lineRule="auto"/>
        <w:jc w:val="both"/>
        <w:rPr>
          <w:sz w:val="22"/>
          <w:szCs w:val="22"/>
        </w:rPr>
      </w:pPr>
      <w:r w:rsidRPr="008A2C6F">
        <w:rPr>
          <w:sz w:val="22"/>
          <w:szCs w:val="22"/>
        </w:rPr>
        <w:lastRenderedPageBreak/>
        <w:t xml:space="preserve">However, </w:t>
      </w:r>
      <w:proofErr w:type="spellStart"/>
      <w:r w:rsidR="00175F55" w:rsidRPr="008A2C6F">
        <w:rPr>
          <w:sz w:val="22"/>
          <w:szCs w:val="22"/>
        </w:rPr>
        <w:t>Hribar</w:t>
      </w:r>
      <w:proofErr w:type="spellEnd"/>
      <w:r w:rsidR="00175F55" w:rsidRPr="008A2C6F">
        <w:rPr>
          <w:sz w:val="22"/>
          <w:szCs w:val="22"/>
        </w:rPr>
        <w:t xml:space="preserve"> and Nichols (2007) argue</w:t>
      </w:r>
      <w:r w:rsidR="008536EB">
        <w:rPr>
          <w:sz w:val="22"/>
          <w:szCs w:val="22"/>
        </w:rPr>
        <w:t>d</w:t>
      </w:r>
      <w:r w:rsidR="00175F55" w:rsidRPr="008A2C6F">
        <w:rPr>
          <w:sz w:val="22"/>
          <w:szCs w:val="22"/>
        </w:rPr>
        <w:t xml:space="preserve"> that the results of studies using absolute discretionary accruals don’t hold once controls for volatility of cash flow and sales are added. Accrual-based earnings management</w:t>
      </w:r>
      <w:r w:rsidR="00765AC0" w:rsidRPr="008A2C6F">
        <w:rPr>
          <w:sz w:val="22"/>
          <w:szCs w:val="22"/>
        </w:rPr>
        <w:t xml:space="preserve"> </w:t>
      </w:r>
      <w:r w:rsidRPr="008A2C6F">
        <w:rPr>
          <w:sz w:val="22"/>
          <w:szCs w:val="22"/>
        </w:rPr>
        <w:t xml:space="preserve">studies (i.e. Healy, 1985; </w:t>
      </w:r>
      <w:proofErr w:type="spellStart"/>
      <w:r w:rsidRPr="008A2C6F">
        <w:rPr>
          <w:sz w:val="22"/>
          <w:szCs w:val="22"/>
        </w:rPr>
        <w:t>DeAngelo</w:t>
      </w:r>
      <w:proofErr w:type="spellEnd"/>
      <w:r w:rsidRPr="008A2C6F">
        <w:rPr>
          <w:sz w:val="22"/>
          <w:szCs w:val="22"/>
        </w:rPr>
        <w:t xml:space="preserve">, 1986; Jones, 1991; </w:t>
      </w:r>
      <w:proofErr w:type="spellStart"/>
      <w:r w:rsidRPr="008A2C6F">
        <w:rPr>
          <w:sz w:val="22"/>
          <w:szCs w:val="22"/>
        </w:rPr>
        <w:t>Dechow</w:t>
      </w:r>
      <w:proofErr w:type="spellEnd"/>
      <w:r w:rsidRPr="008A2C6F">
        <w:rPr>
          <w:sz w:val="22"/>
          <w:szCs w:val="22"/>
        </w:rPr>
        <w:t xml:space="preserve"> et al., 1995) </w:t>
      </w:r>
      <w:r w:rsidR="00175F55" w:rsidRPr="008A2C6F">
        <w:rPr>
          <w:sz w:val="22"/>
          <w:szCs w:val="22"/>
        </w:rPr>
        <w:t>can be distinguished into</w:t>
      </w:r>
      <w:r w:rsidRPr="008A2C6F">
        <w:rPr>
          <w:sz w:val="22"/>
          <w:szCs w:val="22"/>
        </w:rPr>
        <w:t xml:space="preserve"> sign</w:t>
      </w:r>
      <w:r w:rsidR="00175F55" w:rsidRPr="008A2C6F">
        <w:rPr>
          <w:sz w:val="22"/>
          <w:szCs w:val="22"/>
        </w:rPr>
        <w:t>ed prediction</w:t>
      </w:r>
      <w:r w:rsidRPr="008A2C6F">
        <w:rPr>
          <w:sz w:val="22"/>
          <w:szCs w:val="22"/>
        </w:rPr>
        <w:t xml:space="preserve"> (income increasing or income decreasing) </w:t>
      </w:r>
      <w:r w:rsidR="00765AC0" w:rsidRPr="008A2C6F">
        <w:rPr>
          <w:sz w:val="22"/>
          <w:szCs w:val="22"/>
        </w:rPr>
        <w:t xml:space="preserve">and studies with an unsigned </w:t>
      </w:r>
      <w:r w:rsidR="00175F55" w:rsidRPr="008A2C6F">
        <w:rPr>
          <w:sz w:val="22"/>
          <w:szCs w:val="22"/>
        </w:rPr>
        <w:t>prediction (no particular direction)</w:t>
      </w:r>
      <w:r w:rsidRPr="008A2C6F">
        <w:rPr>
          <w:sz w:val="22"/>
          <w:szCs w:val="22"/>
        </w:rPr>
        <w:t xml:space="preserve">. Recent studies like </w:t>
      </w:r>
      <w:proofErr w:type="spellStart"/>
      <w:r w:rsidRPr="008A2C6F">
        <w:rPr>
          <w:sz w:val="22"/>
          <w:szCs w:val="22"/>
        </w:rPr>
        <w:t>Bergstresser</w:t>
      </w:r>
      <w:proofErr w:type="spellEnd"/>
      <w:r w:rsidRPr="008A2C6F">
        <w:rPr>
          <w:sz w:val="22"/>
          <w:szCs w:val="22"/>
        </w:rPr>
        <w:t xml:space="preserve"> and </w:t>
      </w:r>
      <w:proofErr w:type="spellStart"/>
      <w:r w:rsidRPr="008A2C6F">
        <w:rPr>
          <w:sz w:val="22"/>
          <w:szCs w:val="22"/>
        </w:rPr>
        <w:t>Philippon</w:t>
      </w:r>
      <w:proofErr w:type="spellEnd"/>
      <w:r w:rsidRPr="008A2C6F">
        <w:rPr>
          <w:sz w:val="22"/>
          <w:szCs w:val="22"/>
        </w:rPr>
        <w:t xml:space="preserve"> (2006) use</w:t>
      </w:r>
      <w:r w:rsidR="009B4279">
        <w:rPr>
          <w:sz w:val="22"/>
          <w:szCs w:val="22"/>
        </w:rPr>
        <w:t>d</w:t>
      </w:r>
      <w:r w:rsidRPr="008A2C6F">
        <w:rPr>
          <w:sz w:val="22"/>
          <w:szCs w:val="22"/>
        </w:rPr>
        <w:t xml:space="preserve"> </w:t>
      </w:r>
      <w:r w:rsidR="006F72BB">
        <w:rPr>
          <w:sz w:val="22"/>
          <w:szCs w:val="22"/>
        </w:rPr>
        <w:t>unsigned measures (</w:t>
      </w:r>
      <w:r w:rsidR="007D5507" w:rsidRPr="008A2C6F">
        <w:rPr>
          <w:sz w:val="22"/>
          <w:szCs w:val="22"/>
        </w:rPr>
        <w:t>absolute discretionary accruals</w:t>
      </w:r>
      <w:r w:rsidR="006F72BB">
        <w:rPr>
          <w:sz w:val="22"/>
          <w:szCs w:val="22"/>
        </w:rPr>
        <w:t>)</w:t>
      </w:r>
      <w:r w:rsidR="007D5507" w:rsidRPr="008A2C6F">
        <w:rPr>
          <w:sz w:val="22"/>
          <w:szCs w:val="22"/>
        </w:rPr>
        <w:t xml:space="preserve"> </w:t>
      </w:r>
      <w:r w:rsidR="00844F25" w:rsidRPr="008A2C6F">
        <w:rPr>
          <w:sz w:val="22"/>
          <w:szCs w:val="22"/>
        </w:rPr>
        <w:t xml:space="preserve">of earnings management </w:t>
      </w:r>
      <w:r w:rsidRPr="008A2C6F">
        <w:rPr>
          <w:sz w:val="22"/>
          <w:szCs w:val="22"/>
        </w:rPr>
        <w:t>for their research.</w:t>
      </w:r>
      <w:r w:rsidR="008A2C6F">
        <w:rPr>
          <w:sz w:val="22"/>
          <w:szCs w:val="22"/>
        </w:rPr>
        <w:t xml:space="preserve"> These </w:t>
      </w:r>
      <w:r w:rsidR="00765AC0" w:rsidRPr="008A2C6F">
        <w:rPr>
          <w:sz w:val="22"/>
          <w:szCs w:val="22"/>
        </w:rPr>
        <w:t>studies</w:t>
      </w:r>
      <w:r w:rsidR="00EC050F" w:rsidRPr="008A2C6F">
        <w:rPr>
          <w:sz w:val="22"/>
          <w:szCs w:val="22"/>
        </w:rPr>
        <w:t xml:space="preserve"> have</w:t>
      </w:r>
      <w:r w:rsidR="00844F25" w:rsidRPr="008A2C6F">
        <w:rPr>
          <w:sz w:val="22"/>
          <w:szCs w:val="22"/>
        </w:rPr>
        <w:t xml:space="preserve"> </w:t>
      </w:r>
      <w:r w:rsidR="00EC050F" w:rsidRPr="008A2C6F">
        <w:rPr>
          <w:sz w:val="22"/>
          <w:szCs w:val="22"/>
        </w:rPr>
        <w:t>potential bias arising from the use of unsigned measures of earnings management and their inference</w:t>
      </w:r>
      <w:r w:rsidR="00105EB3">
        <w:rPr>
          <w:sz w:val="22"/>
          <w:szCs w:val="22"/>
        </w:rPr>
        <w:t>s</w:t>
      </w:r>
      <w:r w:rsidR="00EC050F" w:rsidRPr="008A2C6F">
        <w:rPr>
          <w:sz w:val="22"/>
          <w:szCs w:val="22"/>
        </w:rPr>
        <w:t xml:space="preserve"> change after controlling for the operating volatility.</w:t>
      </w:r>
    </w:p>
    <w:p w:rsidR="00EC050F" w:rsidRDefault="00EC050F" w:rsidP="00FA666E">
      <w:pPr>
        <w:autoSpaceDE w:val="0"/>
        <w:autoSpaceDN w:val="0"/>
        <w:adjustRightInd w:val="0"/>
        <w:spacing w:line="360" w:lineRule="auto"/>
        <w:jc w:val="both"/>
        <w:rPr>
          <w:sz w:val="22"/>
          <w:szCs w:val="22"/>
        </w:rPr>
      </w:pPr>
    </w:p>
    <w:p w:rsidR="00C63B91" w:rsidRPr="00E652E4" w:rsidRDefault="001C6312" w:rsidP="00E652E4">
      <w:pPr>
        <w:autoSpaceDE w:val="0"/>
        <w:autoSpaceDN w:val="0"/>
        <w:adjustRightInd w:val="0"/>
        <w:spacing w:line="360" w:lineRule="auto"/>
        <w:jc w:val="both"/>
        <w:outlineLvl w:val="2"/>
        <w:rPr>
          <w:i/>
        </w:rPr>
      </w:pPr>
      <w:bookmarkStart w:id="49" w:name="_Toc287614179"/>
      <w:r w:rsidRPr="00E652E4">
        <w:rPr>
          <w:i/>
        </w:rPr>
        <w:t xml:space="preserve">4.1.3 </w:t>
      </w:r>
      <w:r w:rsidR="00C63B91" w:rsidRPr="00E652E4">
        <w:rPr>
          <w:i/>
        </w:rPr>
        <w:t xml:space="preserve">Cornett, Marcus and </w:t>
      </w:r>
      <w:proofErr w:type="spellStart"/>
      <w:r w:rsidR="00C63B91" w:rsidRPr="00E652E4">
        <w:rPr>
          <w:i/>
        </w:rPr>
        <w:t>Tehranian</w:t>
      </w:r>
      <w:proofErr w:type="spellEnd"/>
      <w:r w:rsidR="00C63B91" w:rsidRPr="00E652E4">
        <w:rPr>
          <w:i/>
        </w:rPr>
        <w:t xml:space="preserve"> (2008)</w:t>
      </w:r>
      <w:bookmarkEnd w:id="49"/>
    </w:p>
    <w:p w:rsidR="001C6312" w:rsidRDefault="006B21CE" w:rsidP="00C07974">
      <w:pPr>
        <w:autoSpaceDE w:val="0"/>
        <w:autoSpaceDN w:val="0"/>
        <w:adjustRightInd w:val="0"/>
        <w:spacing w:line="360" w:lineRule="auto"/>
        <w:jc w:val="both"/>
        <w:rPr>
          <w:sz w:val="22"/>
          <w:szCs w:val="22"/>
        </w:rPr>
      </w:pPr>
      <w:r>
        <w:rPr>
          <w:sz w:val="22"/>
          <w:szCs w:val="22"/>
        </w:rPr>
        <w:t xml:space="preserve">Cornett et al. </w:t>
      </w:r>
      <w:r w:rsidR="005A1AD3">
        <w:rPr>
          <w:sz w:val="22"/>
          <w:szCs w:val="22"/>
        </w:rPr>
        <w:t>investigate</w:t>
      </w:r>
      <w:r w:rsidR="008536EB">
        <w:rPr>
          <w:sz w:val="22"/>
          <w:szCs w:val="22"/>
        </w:rPr>
        <w:t>d</w:t>
      </w:r>
      <w:r w:rsidR="005A1AD3">
        <w:rPr>
          <w:sz w:val="22"/>
          <w:szCs w:val="22"/>
        </w:rPr>
        <w:t xml:space="preserve"> </w:t>
      </w:r>
      <w:r w:rsidR="003D78C2">
        <w:rPr>
          <w:sz w:val="22"/>
          <w:szCs w:val="22"/>
        </w:rPr>
        <w:t xml:space="preserve">the effect of </w:t>
      </w:r>
      <w:r w:rsidR="007F59BD">
        <w:rPr>
          <w:sz w:val="22"/>
          <w:szCs w:val="22"/>
        </w:rPr>
        <w:t xml:space="preserve">equity incentives and earnings management </w:t>
      </w:r>
      <w:r>
        <w:rPr>
          <w:sz w:val="22"/>
          <w:szCs w:val="22"/>
        </w:rPr>
        <w:t>controlled by</w:t>
      </w:r>
      <w:r w:rsidR="007F59BD">
        <w:rPr>
          <w:sz w:val="22"/>
          <w:szCs w:val="22"/>
        </w:rPr>
        <w:t xml:space="preserve"> the</w:t>
      </w:r>
      <w:r w:rsidR="00E471EE">
        <w:rPr>
          <w:sz w:val="22"/>
          <w:szCs w:val="22"/>
        </w:rPr>
        <w:t xml:space="preserve"> influences </w:t>
      </w:r>
      <w:r w:rsidR="007F59BD">
        <w:rPr>
          <w:sz w:val="22"/>
          <w:szCs w:val="22"/>
        </w:rPr>
        <w:t>of</w:t>
      </w:r>
      <w:r w:rsidR="00E471EE">
        <w:rPr>
          <w:sz w:val="22"/>
          <w:szCs w:val="22"/>
        </w:rPr>
        <w:t xml:space="preserve"> governance structure</w:t>
      </w:r>
      <w:r w:rsidR="003D78C2">
        <w:rPr>
          <w:sz w:val="22"/>
          <w:szCs w:val="22"/>
        </w:rPr>
        <w:t xml:space="preserve"> </w:t>
      </w:r>
      <w:r>
        <w:rPr>
          <w:sz w:val="22"/>
          <w:szCs w:val="22"/>
        </w:rPr>
        <w:t>and</w:t>
      </w:r>
      <w:r w:rsidR="003D78C2">
        <w:rPr>
          <w:sz w:val="22"/>
          <w:szCs w:val="22"/>
        </w:rPr>
        <w:t xml:space="preserve"> firm performance</w:t>
      </w:r>
      <w:r w:rsidR="00E471EE">
        <w:rPr>
          <w:sz w:val="22"/>
          <w:szCs w:val="22"/>
        </w:rPr>
        <w:t xml:space="preserve">. Their sample consists of firms in the S&amp;P 100 index from the period 1994–2003. </w:t>
      </w:r>
      <w:r>
        <w:rPr>
          <w:sz w:val="22"/>
          <w:szCs w:val="22"/>
        </w:rPr>
        <w:t>They use the m</w:t>
      </w:r>
      <w:r w:rsidR="00083AB6">
        <w:rPr>
          <w:sz w:val="22"/>
          <w:szCs w:val="22"/>
        </w:rPr>
        <w:t>odified Jones model to detect discretionary accruals</w:t>
      </w:r>
      <w:r w:rsidR="007F59BD">
        <w:rPr>
          <w:sz w:val="22"/>
          <w:szCs w:val="22"/>
        </w:rPr>
        <w:t>.</w:t>
      </w:r>
      <w:r w:rsidR="00083AB6">
        <w:rPr>
          <w:sz w:val="22"/>
          <w:szCs w:val="22"/>
        </w:rPr>
        <w:t xml:space="preserve"> </w:t>
      </w:r>
      <w:r>
        <w:rPr>
          <w:sz w:val="22"/>
          <w:szCs w:val="22"/>
        </w:rPr>
        <w:t>To</w:t>
      </w:r>
      <w:r w:rsidR="0002710D">
        <w:rPr>
          <w:sz w:val="22"/>
          <w:szCs w:val="22"/>
        </w:rPr>
        <w:t xml:space="preserve"> measure the compensation structure</w:t>
      </w:r>
      <w:r>
        <w:rPr>
          <w:sz w:val="22"/>
          <w:szCs w:val="22"/>
        </w:rPr>
        <w:t xml:space="preserve"> they used</w:t>
      </w:r>
      <w:r w:rsidR="0002710D">
        <w:rPr>
          <w:sz w:val="22"/>
          <w:szCs w:val="22"/>
        </w:rPr>
        <w:t xml:space="preserve"> the percentage of total CEO annual compensation comprised of new option grants, with the options valued b</w:t>
      </w:r>
      <w:r>
        <w:rPr>
          <w:sz w:val="22"/>
          <w:szCs w:val="22"/>
        </w:rPr>
        <w:t>y the Black-</w:t>
      </w:r>
      <w:proofErr w:type="spellStart"/>
      <w:r>
        <w:rPr>
          <w:sz w:val="22"/>
          <w:szCs w:val="22"/>
        </w:rPr>
        <w:t>Scholes</w:t>
      </w:r>
      <w:proofErr w:type="spellEnd"/>
      <w:r>
        <w:rPr>
          <w:sz w:val="22"/>
          <w:szCs w:val="22"/>
        </w:rPr>
        <w:t xml:space="preserve"> formula. </w:t>
      </w:r>
      <w:r w:rsidR="0002710D">
        <w:rPr>
          <w:sz w:val="22"/>
          <w:szCs w:val="22"/>
        </w:rPr>
        <w:t xml:space="preserve">Their </w:t>
      </w:r>
      <w:r w:rsidR="00683F90">
        <w:rPr>
          <w:sz w:val="22"/>
          <w:szCs w:val="22"/>
        </w:rPr>
        <w:t>results suggest</w:t>
      </w:r>
      <w:r w:rsidR="0002710D">
        <w:rPr>
          <w:sz w:val="22"/>
          <w:szCs w:val="22"/>
        </w:rPr>
        <w:t xml:space="preserve"> that earnings management is lower when there is more monitoring from governance mechanisms. </w:t>
      </w:r>
      <w:r w:rsidR="00051DC5">
        <w:rPr>
          <w:sz w:val="22"/>
          <w:szCs w:val="22"/>
        </w:rPr>
        <w:t xml:space="preserve">These governance mechanisms reduce the use of discretionary accruals. </w:t>
      </w:r>
      <w:r w:rsidR="0002710D">
        <w:rPr>
          <w:sz w:val="22"/>
          <w:szCs w:val="22"/>
        </w:rPr>
        <w:t>The positive impact of option compensation on reported pr</w:t>
      </w:r>
      <w:r>
        <w:rPr>
          <w:sz w:val="22"/>
          <w:szCs w:val="22"/>
        </w:rPr>
        <w:t>ofitability is purely cosmetic, since t</w:t>
      </w:r>
      <w:r w:rsidR="00051DC5">
        <w:rPr>
          <w:sz w:val="22"/>
          <w:szCs w:val="22"/>
        </w:rPr>
        <w:t>he impact of option compensation strongly encourages e</w:t>
      </w:r>
      <w:r w:rsidR="0002710D">
        <w:rPr>
          <w:sz w:val="22"/>
          <w:szCs w:val="22"/>
        </w:rPr>
        <w:t>arnings management</w:t>
      </w:r>
      <w:r w:rsidR="00051DC5">
        <w:rPr>
          <w:sz w:val="22"/>
          <w:szCs w:val="22"/>
        </w:rPr>
        <w:t>. They conclude that governance is more important and equity-based compensation less important for firm performance than suggested by prior studies.</w:t>
      </w:r>
      <w:r w:rsidR="0002710D">
        <w:rPr>
          <w:sz w:val="22"/>
          <w:szCs w:val="22"/>
        </w:rPr>
        <w:t xml:space="preserve"> </w:t>
      </w:r>
    </w:p>
    <w:p w:rsidR="00E957CA" w:rsidRDefault="00E957CA" w:rsidP="00051DC5">
      <w:pPr>
        <w:autoSpaceDE w:val="0"/>
        <w:autoSpaceDN w:val="0"/>
        <w:adjustRightInd w:val="0"/>
        <w:spacing w:line="360" w:lineRule="auto"/>
        <w:jc w:val="both"/>
        <w:rPr>
          <w:sz w:val="22"/>
          <w:szCs w:val="22"/>
        </w:rPr>
      </w:pPr>
    </w:p>
    <w:p w:rsidR="0060270F" w:rsidRPr="00E652E4" w:rsidRDefault="00051DC5" w:rsidP="00E652E4">
      <w:pPr>
        <w:autoSpaceDE w:val="0"/>
        <w:autoSpaceDN w:val="0"/>
        <w:adjustRightInd w:val="0"/>
        <w:spacing w:line="360" w:lineRule="auto"/>
        <w:jc w:val="both"/>
        <w:outlineLvl w:val="2"/>
        <w:rPr>
          <w:i/>
        </w:rPr>
      </w:pPr>
      <w:bookmarkStart w:id="50" w:name="_Toc287614180"/>
      <w:r w:rsidRPr="00E652E4">
        <w:rPr>
          <w:i/>
        </w:rPr>
        <w:t xml:space="preserve">4.1.4 </w:t>
      </w:r>
      <w:r w:rsidR="00C63B91" w:rsidRPr="00E652E4">
        <w:rPr>
          <w:i/>
        </w:rPr>
        <w:t xml:space="preserve">Ahmed, </w:t>
      </w:r>
      <w:proofErr w:type="spellStart"/>
      <w:r w:rsidR="00C63B91" w:rsidRPr="00E652E4">
        <w:rPr>
          <w:i/>
        </w:rPr>
        <w:t>Duellman</w:t>
      </w:r>
      <w:proofErr w:type="spellEnd"/>
      <w:r w:rsidR="00C63B91" w:rsidRPr="00E652E4">
        <w:rPr>
          <w:i/>
        </w:rPr>
        <w:t xml:space="preserve"> and Abdel-</w:t>
      </w:r>
      <w:proofErr w:type="spellStart"/>
      <w:r w:rsidR="00C63B91" w:rsidRPr="00E652E4">
        <w:rPr>
          <w:i/>
        </w:rPr>
        <w:t>Meguid</w:t>
      </w:r>
      <w:proofErr w:type="spellEnd"/>
      <w:r w:rsidR="00FD7439" w:rsidRPr="00E652E4">
        <w:rPr>
          <w:i/>
        </w:rPr>
        <w:t xml:space="preserve"> (2008)</w:t>
      </w:r>
      <w:bookmarkEnd w:id="50"/>
    </w:p>
    <w:p w:rsidR="00051DC5" w:rsidRDefault="00051DC5" w:rsidP="00051DC5">
      <w:pPr>
        <w:autoSpaceDE w:val="0"/>
        <w:autoSpaceDN w:val="0"/>
        <w:adjustRightInd w:val="0"/>
        <w:spacing w:line="360" w:lineRule="auto"/>
        <w:jc w:val="both"/>
        <w:rPr>
          <w:sz w:val="22"/>
          <w:szCs w:val="22"/>
        </w:rPr>
      </w:pPr>
      <w:r w:rsidRPr="00415D9E">
        <w:rPr>
          <w:sz w:val="22"/>
          <w:szCs w:val="22"/>
        </w:rPr>
        <w:t xml:space="preserve">Ahmed et al. </w:t>
      </w:r>
      <w:r w:rsidRPr="00051DC5">
        <w:rPr>
          <w:sz w:val="22"/>
          <w:szCs w:val="22"/>
        </w:rPr>
        <w:t>(2008) investigate</w:t>
      </w:r>
      <w:r w:rsidR="008536EB">
        <w:rPr>
          <w:sz w:val="22"/>
          <w:szCs w:val="22"/>
        </w:rPr>
        <w:t>d</w:t>
      </w:r>
      <w:r w:rsidRPr="00051DC5">
        <w:rPr>
          <w:sz w:val="22"/>
          <w:szCs w:val="22"/>
        </w:rPr>
        <w:t xml:space="preserve"> w</w:t>
      </w:r>
      <w:r>
        <w:rPr>
          <w:sz w:val="22"/>
          <w:szCs w:val="22"/>
        </w:rPr>
        <w:t xml:space="preserve">hether the association between equity incentives and earnings management changes when influenced by governance mechanisms and involvement of auditors. Their sample consists of 4,403 firm-year observations in the period 2000-2006. </w:t>
      </w:r>
      <w:r w:rsidR="00C8341C">
        <w:rPr>
          <w:sz w:val="22"/>
          <w:szCs w:val="22"/>
        </w:rPr>
        <w:t>They use</w:t>
      </w:r>
      <w:r w:rsidR="006B21CE">
        <w:rPr>
          <w:sz w:val="22"/>
          <w:szCs w:val="22"/>
        </w:rPr>
        <w:t xml:space="preserve"> the m</w:t>
      </w:r>
      <w:r w:rsidR="00343FC8">
        <w:rPr>
          <w:sz w:val="22"/>
          <w:szCs w:val="22"/>
        </w:rPr>
        <w:t>odified Jon</w:t>
      </w:r>
      <w:r w:rsidR="00C8341C">
        <w:rPr>
          <w:sz w:val="22"/>
          <w:szCs w:val="22"/>
        </w:rPr>
        <w:t xml:space="preserve">es model for measuring accruals and </w:t>
      </w:r>
      <w:r w:rsidR="005737D2">
        <w:rPr>
          <w:sz w:val="22"/>
          <w:szCs w:val="22"/>
        </w:rPr>
        <w:t>the ‘</w:t>
      </w:r>
      <w:r w:rsidR="00E05298">
        <w:rPr>
          <w:sz w:val="22"/>
          <w:szCs w:val="22"/>
        </w:rPr>
        <w:t>i</w:t>
      </w:r>
      <w:r w:rsidR="00343FC8">
        <w:rPr>
          <w:sz w:val="22"/>
          <w:szCs w:val="22"/>
        </w:rPr>
        <w:t xml:space="preserve">ncentive </w:t>
      </w:r>
      <w:r w:rsidR="00E05298">
        <w:rPr>
          <w:sz w:val="22"/>
          <w:szCs w:val="22"/>
        </w:rPr>
        <w:t>r</w:t>
      </w:r>
      <w:r w:rsidR="00343FC8">
        <w:rPr>
          <w:sz w:val="22"/>
          <w:szCs w:val="22"/>
        </w:rPr>
        <w:t>atio</w:t>
      </w:r>
      <w:r w:rsidR="005737D2">
        <w:rPr>
          <w:sz w:val="22"/>
          <w:szCs w:val="22"/>
        </w:rPr>
        <w:t>’</w:t>
      </w:r>
      <w:r w:rsidR="00C8341C">
        <w:rPr>
          <w:sz w:val="22"/>
          <w:szCs w:val="22"/>
        </w:rPr>
        <w:t xml:space="preserve"> to measure equity incentives</w:t>
      </w:r>
      <w:r w:rsidR="006B21CE">
        <w:rPr>
          <w:sz w:val="22"/>
          <w:szCs w:val="22"/>
        </w:rPr>
        <w:t xml:space="preserve">. </w:t>
      </w:r>
      <w:r w:rsidR="007D5507">
        <w:rPr>
          <w:sz w:val="22"/>
          <w:szCs w:val="22"/>
        </w:rPr>
        <w:t xml:space="preserve">Instead of using the absolute accruals, the signed discretionary accrual </w:t>
      </w:r>
      <w:r w:rsidR="00100AC7">
        <w:rPr>
          <w:sz w:val="22"/>
          <w:szCs w:val="22"/>
        </w:rPr>
        <w:t>was</w:t>
      </w:r>
      <w:r w:rsidR="007D5507">
        <w:rPr>
          <w:sz w:val="22"/>
          <w:szCs w:val="22"/>
        </w:rPr>
        <w:t xml:space="preserve"> used. </w:t>
      </w:r>
      <w:r w:rsidR="00683F90">
        <w:rPr>
          <w:sz w:val="22"/>
          <w:szCs w:val="22"/>
        </w:rPr>
        <w:t>T</w:t>
      </w:r>
      <w:r w:rsidR="00343FC8">
        <w:rPr>
          <w:sz w:val="22"/>
          <w:szCs w:val="22"/>
        </w:rPr>
        <w:t>he influence of auditors</w:t>
      </w:r>
      <w:r w:rsidR="007D5507">
        <w:rPr>
          <w:sz w:val="22"/>
          <w:szCs w:val="22"/>
        </w:rPr>
        <w:t xml:space="preserve"> </w:t>
      </w:r>
      <w:r w:rsidR="00683F90">
        <w:rPr>
          <w:sz w:val="22"/>
          <w:szCs w:val="22"/>
        </w:rPr>
        <w:t xml:space="preserve">is measured </w:t>
      </w:r>
      <w:r w:rsidR="007D5507">
        <w:rPr>
          <w:sz w:val="22"/>
          <w:szCs w:val="22"/>
        </w:rPr>
        <w:t>as the extent of</w:t>
      </w:r>
      <w:r w:rsidR="00343FC8">
        <w:rPr>
          <w:sz w:val="22"/>
          <w:szCs w:val="22"/>
        </w:rPr>
        <w:t xml:space="preserve"> economic dependence on the </w:t>
      </w:r>
      <w:r w:rsidR="007D5507">
        <w:rPr>
          <w:sz w:val="22"/>
          <w:szCs w:val="22"/>
        </w:rPr>
        <w:t>auditors’ clients</w:t>
      </w:r>
      <w:r w:rsidR="00343FC8">
        <w:rPr>
          <w:sz w:val="22"/>
          <w:szCs w:val="22"/>
        </w:rPr>
        <w:t xml:space="preserve">. </w:t>
      </w:r>
      <w:r w:rsidR="00100AC7">
        <w:rPr>
          <w:sz w:val="22"/>
          <w:szCs w:val="22"/>
        </w:rPr>
        <w:t>Their results showed</w:t>
      </w:r>
      <w:r w:rsidR="00343FC8">
        <w:rPr>
          <w:sz w:val="22"/>
          <w:szCs w:val="22"/>
        </w:rPr>
        <w:t xml:space="preserve"> that equity incentives are not positively r</w:t>
      </w:r>
      <w:r w:rsidR="00F111DB">
        <w:rPr>
          <w:sz w:val="22"/>
          <w:szCs w:val="22"/>
        </w:rPr>
        <w:t>elate</w:t>
      </w:r>
      <w:r w:rsidR="00683F90">
        <w:rPr>
          <w:sz w:val="22"/>
          <w:szCs w:val="22"/>
        </w:rPr>
        <w:t xml:space="preserve">d with earnings management and </w:t>
      </w:r>
      <w:r w:rsidR="00F111DB">
        <w:rPr>
          <w:sz w:val="22"/>
          <w:szCs w:val="22"/>
        </w:rPr>
        <w:t>equity-based compensation has an</w:t>
      </w:r>
      <w:r w:rsidR="00343FC8">
        <w:rPr>
          <w:sz w:val="22"/>
          <w:szCs w:val="22"/>
        </w:rPr>
        <w:t xml:space="preserve"> interest </w:t>
      </w:r>
      <w:r w:rsidR="00F111DB">
        <w:rPr>
          <w:sz w:val="22"/>
          <w:szCs w:val="22"/>
        </w:rPr>
        <w:t>alignment function</w:t>
      </w:r>
      <w:r w:rsidR="00343FC8">
        <w:rPr>
          <w:sz w:val="22"/>
          <w:szCs w:val="22"/>
        </w:rPr>
        <w:t>. H</w:t>
      </w:r>
      <w:r w:rsidR="00100AC7">
        <w:rPr>
          <w:sz w:val="22"/>
          <w:szCs w:val="22"/>
        </w:rPr>
        <w:t>owever, they fou</w:t>
      </w:r>
      <w:r w:rsidR="00343FC8">
        <w:rPr>
          <w:sz w:val="22"/>
          <w:szCs w:val="22"/>
        </w:rPr>
        <w:t>nd income increasing earnings management when both equity incentives and auditors’ depend</w:t>
      </w:r>
      <w:r w:rsidR="00E957CA">
        <w:rPr>
          <w:sz w:val="22"/>
          <w:szCs w:val="22"/>
        </w:rPr>
        <w:t xml:space="preserve">ence on clients are high. </w:t>
      </w:r>
      <w:r w:rsidR="00F111DB">
        <w:rPr>
          <w:sz w:val="22"/>
          <w:szCs w:val="22"/>
        </w:rPr>
        <w:t>Governance mechanisms like the board of directors and institutional shareholders mitigate this effect.</w:t>
      </w:r>
    </w:p>
    <w:p w:rsidR="0060270F" w:rsidRDefault="0060270F" w:rsidP="0060270F">
      <w:pPr>
        <w:autoSpaceDE w:val="0"/>
        <w:autoSpaceDN w:val="0"/>
        <w:adjustRightInd w:val="0"/>
        <w:spacing w:line="360" w:lineRule="auto"/>
        <w:jc w:val="both"/>
      </w:pPr>
    </w:p>
    <w:p w:rsidR="00683F90" w:rsidRPr="00F36632" w:rsidRDefault="00683F90" w:rsidP="0060270F">
      <w:pPr>
        <w:autoSpaceDE w:val="0"/>
        <w:autoSpaceDN w:val="0"/>
        <w:adjustRightInd w:val="0"/>
        <w:spacing w:line="360" w:lineRule="auto"/>
        <w:jc w:val="both"/>
      </w:pPr>
    </w:p>
    <w:p w:rsidR="004A72DC" w:rsidRDefault="004A72DC" w:rsidP="006B7FF2">
      <w:pPr>
        <w:pStyle w:val="Kop2"/>
      </w:pPr>
      <w:bookmarkStart w:id="51" w:name="_Toc287614181"/>
      <w:r w:rsidRPr="000B63D6">
        <w:lastRenderedPageBreak/>
        <w:t>4.2 CFO equity incentives and earnings management</w:t>
      </w:r>
      <w:bookmarkEnd w:id="51"/>
    </w:p>
    <w:p w:rsidR="008B7F6D" w:rsidRDefault="0038193C" w:rsidP="008B7F6D">
      <w:pPr>
        <w:autoSpaceDE w:val="0"/>
        <w:autoSpaceDN w:val="0"/>
        <w:adjustRightInd w:val="0"/>
        <w:spacing w:line="360" w:lineRule="auto"/>
        <w:jc w:val="both"/>
        <w:rPr>
          <w:sz w:val="22"/>
          <w:szCs w:val="22"/>
        </w:rPr>
      </w:pPr>
      <w:r>
        <w:rPr>
          <w:sz w:val="22"/>
          <w:szCs w:val="22"/>
        </w:rPr>
        <w:t>As mentioned</w:t>
      </w:r>
      <w:r w:rsidR="008B7F6D">
        <w:rPr>
          <w:sz w:val="22"/>
          <w:szCs w:val="22"/>
        </w:rPr>
        <w:t xml:space="preserve"> previously in </w:t>
      </w:r>
      <w:r>
        <w:rPr>
          <w:sz w:val="22"/>
          <w:szCs w:val="22"/>
        </w:rPr>
        <w:t xml:space="preserve">paragraph </w:t>
      </w:r>
      <w:r w:rsidR="008536EB">
        <w:rPr>
          <w:sz w:val="22"/>
          <w:szCs w:val="22"/>
        </w:rPr>
        <w:t>3.4</w:t>
      </w:r>
      <w:r w:rsidR="008B7F6D">
        <w:rPr>
          <w:sz w:val="22"/>
          <w:szCs w:val="22"/>
        </w:rPr>
        <w:t xml:space="preserve">, Graham </w:t>
      </w:r>
      <w:r w:rsidR="00371FBD">
        <w:rPr>
          <w:sz w:val="22"/>
          <w:szCs w:val="22"/>
        </w:rPr>
        <w:t>et al.</w:t>
      </w:r>
      <w:r>
        <w:rPr>
          <w:sz w:val="22"/>
          <w:szCs w:val="22"/>
        </w:rPr>
        <w:t xml:space="preserve"> (2005)</w:t>
      </w:r>
      <w:r w:rsidR="00371FBD">
        <w:rPr>
          <w:sz w:val="22"/>
          <w:szCs w:val="22"/>
        </w:rPr>
        <w:t xml:space="preserve"> </w:t>
      </w:r>
      <w:r w:rsidR="008536EB">
        <w:rPr>
          <w:sz w:val="22"/>
          <w:szCs w:val="22"/>
        </w:rPr>
        <w:t>presented</w:t>
      </w:r>
      <w:r w:rsidR="008B7F6D">
        <w:rPr>
          <w:sz w:val="22"/>
          <w:szCs w:val="22"/>
        </w:rPr>
        <w:t xml:space="preserve"> evidence that </w:t>
      </w:r>
      <w:r>
        <w:rPr>
          <w:sz w:val="22"/>
          <w:szCs w:val="22"/>
        </w:rPr>
        <w:t xml:space="preserve">the </w:t>
      </w:r>
      <w:r w:rsidR="008B7F6D">
        <w:rPr>
          <w:sz w:val="22"/>
          <w:szCs w:val="22"/>
        </w:rPr>
        <w:t>CFO manage</w:t>
      </w:r>
      <w:r>
        <w:rPr>
          <w:sz w:val="22"/>
          <w:szCs w:val="22"/>
        </w:rPr>
        <w:t>s</w:t>
      </w:r>
      <w:r w:rsidR="008B7F6D">
        <w:rPr>
          <w:sz w:val="22"/>
          <w:szCs w:val="22"/>
        </w:rPr>
        <w:t xml:space="preserve"> financial reports to influence stock price. </w:t>
      </w:r>
      <w:r w:rsidR="0034566F">
        <w:rPr>
          <w:sz w:val="22"/>
          <w:szCs w:val="22"/>
        </w:rPr>
        <w:t>In their conclusion they suggest additional motives why</w:t>
      </w:r>
      <w:r w:rsidR="008B7F6D">
        <w:rPr>
          <w:sz w:val="22"/>
          <w:szCs w:val="22"/>
        </w:rPr>
        <w:t xml:space="preserve"> CFOs worry abo</w:t>
      </w:r>
      <w:r w:rsidR="0034566F">
        <w:rPr>
          <w:sz w:val="22"/>
          <w:szCs w:val="22"/>
        </w:rPr>
        <w:t>ut short-run stock price</w:t>
      </w:r>
      <w:r w:rsidR="008B7F6D">
        <w:rPr>
          <w:sz w:val="22"/>
          <w:szCs w:val="22"/>
        </w:rPr>
        <w:t>: (</w:t>
      </w:r>
      <w:proofErr w:type="spellStart"/>
      <w:r w:rsidR="008B7F6D">
        <w:rPr>
          <w:sz w:val="22"/>
          <w:szCs w:val="22"/>
        </w:rPr>
        <w:t>i</w:t>
      </w:r>
      <w:proofErr w:type="spellEnd"/>
      <w:r w:rsidR="008B7F6D">
        <w:rPr>
          <w:sz w:val="22"/>
          <w:szCs w:val="22"/>
        </w:rPr>
        <w:t xml:space="preserve">) </w:t>
      </w:r>
      <w:r w:rsidR="0034566F">
        <w:rPr>
          <w:sz w:val="22"/>
          <w:szCs w:val="22"/>
        </w:rPr>
        <w:t>CFO</w:t>
      </w:r>
      <w:r w:rsidR="008B7F6D">
        <w:rPr>
          <w:sz w:val="22"/>
          <w:szCs w:val="22"/>
        </w:rPr>
        <w:t xml:space="preserve"> think that short-run stock price volatility influences cost of capital; (ii) they are afraid to lose their job when the stock price falls; (iii) they believe their skill and reputation is based on short-term stock prices; (iv) managers </w:t>
      </w:r>
      <w:r w:rsidR="008536EB">
        <w:rPr>
          <w:sz w:val="22"/>
          <w:szCs w:val="22"/>
        </w:rPr>
        <w:t>seek attention from</w:t>
      </w:r>
      <w:r w:rsidR="008B7F6D">
        <w:rPr>
          <w:sz w:val="22"/>
          <w:szCs w:val="22"/>
        </w:rPr>
        <w:t xml:space="preserve"> equity analysts to cover their </w:t>
      </w:r>
      <w:r w:rsidR="008536EB">
        <w:rPr>
          <w:sz w:val="22"/>
          <w:szCs w:val="22"/>
        </w:rPr>
        <w:t>stocks</w:t>
      </w:r>
      <w:r w:rsidR="008B7F6D">
        <w:rPr>
          <w:sz w:val="22"/>
          <w:szCs w:val="22"/>
        </w:rPr>
        <w:t xml:space="preserve">; and (v) </w:t>
      </w:r>
      <w:r w:rsidR="008B7F6D" w:rsidRPr="00371FBD">
        <w:rPr>
          <w:sz w:val="22"/>
          <w:szCs w:val="22"/>
        </w:rPr>
        <w:t xml:space="preserve">CFOs want to avoid embarrassing </w:t>
      </w:r>
      <w:r w:rsidR="0034566F">
        <w:rPr>
          <w:sz w:val="22"/>
          <w:szCs w:val="22"/>
        </w:rPr>
        <w:t>interrogations</w:t>
      </w:r>
      <w:r w:rsidR="008B7F6D" w:rsidRPr="00371FBD">
        <w:rPr>
          <w:sz w:val="22"/>
          <w:szCs w:val="22"/>
        </w:rPr>
        <w:t xml:space="preserve"> by analysts when stock price falls. </w:t>
      </w:r>
      <w:r w:rsidR="00371FBD" w:rsidRPr="00371FBD">
        <w:rPr>
          <w:sz w:val="22"/>
          <w:szCs w:val="22"/>
        </w:rPr>
        <w:t>Further, Graham et al. (2005) conclude</w:t>
      </w:r>
      <w:r w:rsidR="00E542F6">
        <w:rPr>
          <w:sz w:val="22"/>
          <w:szCs w:val="22"/>
        </w:rPr>
        <w:t>d</w:t>
      </w:r>
      <w:r w:rsidR="00371FBD" w:rsidRPr="00371FBD">
        <w:rPr>
          <w:sz w:val="22"/>
          <w:szCs w:val="22"/>
        </w:rPr>
        <w:t xml:space="preserve"> that </w:t>
      </w:r>
      <w:r w:rsidR="00371FBD" w:rsidRPr="00371FBD">
        <w:rPr>
          <w:i/>
          <w:sz w:val="22"/>
          <w:szCs w:val="22"/>
        </w:rPr>
        <w:t>“unless there is a fundamental change in the manner in which stock markets perceive small misses from earnings benchmarks, the pressure that CFOs feel to manage earnings, either via real or accounting actions, and influence analyst expectations is unlikely to go away.”</w:t>
      </w:r>
      <w:r w:rsidR="00371FBD">
        <w:rPr>
          <w:sz w:val="22"/>
          <w:szCs w:val="22"/>
        </w:rPr>
        <w:t xml:space="preserve"> </w:t>
      </w:r>
    </w:p>
    <w:p w:rsidR="008B7F6D" w:rsidRDefault="008B7F6D" w:rsidP="000238D2">
      <w:pPr>
        <w:autoSpaceDE w:val="0"/>
        <w:autoSpaceDN w:val="0"/>
        <w:adjustRightInd w:val="0"/>
        <w:spacing w:line="360" w:lineRule="auto"/>
        <w:jc w:val="both"/>
        <w:rPr>
          <w:sz w:val="22"/>
          <w:szCs w:val="22"/>
        </w:rPr>
      </w:pPr>
    </w:p>
    <w:p w:rsidR="00E43D88" w:rsidRPr="00667656" w:rsidRDefault="00E43D88" w:rsidP="002C0751">
      <w:pPr>
        <w:autoSpaceDE w:val="0"/>
        <w:autoSpaceDN w:val="0"/>
        <w:adjustRightInd w:val="0"/>
        <w:spacing w:line="360" w:lineRule="auto"/>
        <w:jc w:val="both"/>
        <w:outlineLvl w:val="2"/>
        <w:rPr>
          <w:i/>
        </w:rPr>
      </w:pPr>
      <w:bookmarkStart w:id="52" w:name="_Toc287614182"/>
      <w:r w:rsidRPr="00667656">
        <w:rPr>
          <w:i/>
        </w:rPr>
        <w:t>4.2.</w:t>
      </w:r>
      <w:r w:rsidR="00E37CBA">
        <w:rPr>
          <w:i/>
        </w:rPr>
        <w:t>1</w:t>
      </w:r>
      <w:r w:rsidRPr="00667656">
        <w:rPr>
          <w:i/>
        </w:rPr>
        <w:t xml:space="preserve"> Jiang, </w:t>
      </w:r>
      <w:proofErr w:type="spellStart"/>
      <w:r w:rsidRPr="00667656">
        <w:rPr>
          <w:i/>
        </w:rPr>
        <w:t>Petroni</w:t>
      </w:r>
      <w:proofErr w:type="spellEnd"/>
      <w:r w:rsidRPr="00667656">
        <w:rPr>
          <w:i/>
        </w:rPr>
        <w:t xml:space="preserve"> and Wang (2010)</w:t>
      </w:r>
      <w:bookmarkEnd w:id="52"/>
    </w:p>
    <w:p w:rsidR="00E43D88" w:rsidRDefault="00E43D88" w:rsidP="00E43D88">
      <w:pPr>
        <w:autoSpaceDE w:val="0"/>
        <w:autoSpaceDN w:val="0"/>
        <w:adjustRightInd w:val="0"/>
        <w:spacing w:line="360" w:lineRule="auto"/>
        <w:jc w:val="both"/>
        <w:rPr>
          <w:sz w:val="22"/>
          <w:szCs w:val="22"/>
        </w:rPr>
      </w:pPr>
      <w:r>
        <w:rPr>
          <w:sz w:val="22"/>
          <w:szCs w:val="22"/>
        </w:rPr>
        <w:t>This research investigates whether the CFO equity incentives are associated with earnings management</w:t>
      </w:r>
      <w:r w:rsidR="00BC0C49">
        <w:rPr>
          <w:sz w:val="22"/>
          <w:szCs w:val="22"/>
        </w:rPr>
        <w:t xml:space="preserve"> and compare</w:t>
      </w:r>
      <w:r w:rsidR="0038193C">
        <w:rPr>
          <w:sz w:val="22"/>
          <w:szCs w:val="22"/>
        </w:rPr>
        <w:t>s</w:t>
      </w:r>
      <w:r w:rsidR="00BC0C49">
        <w:rPr>
          <w:sz w:val="22"/>
          <w:szCs w:val="22"/>
        </w:rPr>
        <w:t xml:space="preserve"> it with the results of the CEOs</w:t>
      </w:r>
      <w:r>
        <w:rPr>
          <w:sz w:val="22"/>
          <w:szCs w:val="22"/>
        </w:rPr>
        <w:t>.</w:t>
      </w:r>
      <w:r w:rsidR="0038193C">
        <w:rPr>
          <w:sz w:val="22"/>
          <w:szCs w:val="22"/>
        </w:rPr>
        <w:t xml:space="preserve"> The</w:t>
      </w:r>
      <w:r w:rsidR="008E548A">
        <w:rPr>
          <w:sz w:val="22"/>
          <w:szCs w:val="22"/>
        </w:rPr>
        <w:t xml:space="preserve"> </w:t>
      </w:r>
      <w:r w:rsidR="006428EB">
        <w:rPr>
          <w:sz w:val="22"/>
          <w:szCs w:val="22"/>
        </w:rPr>
        <w:t>sample consists of 17,542 firm-years in the period 199</w:t>
      </w:r>
      <w:r w:rsidR="003F191E">
        <w:rPr>
          <w:sz w:val="22"/>
          <w:szCs w:val="22"/>
        </w:rPr>
        <w:t>4</w:t>
      </w:r>
      <w:r w:rsidR="006428EB">
        <w:rPr>
          <w:sz w:val="22"/>
          <w:szCs w:val="22"/>
        </w:rPr>
        <w:t>-200</w:t>
      </w:r>
      <w:r w:rsidR="003F191E">
        <w:rPr>
          <w:sz w:val="22"/>
          <w:szCs w:val="22"/>
        </w:rPr>
        <w:t>7</w:t>
      </w:r>
      <w:r w:rsidR="006428EB">
        <w:rPr>
          <w:sz w:val="22"/>
          <w:szCs w:val="22"/>
        </w:rPr>
        <w:t>.</w:t>
      </w:r>
      <w:r>
        <w:rPr>
          <w:sz w:val="22"/>
          <w:szCs w:val="22"/>
        </w:rPr>
        <w:t xml:space="preserve"> Jiang et al.</w:t>
      </w:r>
      <w:r w:rsidR="00FA3FC3">
        <w:rPr>
          <w:sz w:val="22"/>
          <w:szCs w:val="22"/>
        </w:rPr>
        <w:t xml:space="preserve"> mentioned </w:t>
      </w:r>
      <w:r>
        <w:rPr>
          <w:sz w:val="22"/>
          <w:szCs w:val="22"/>
        </w:rPr>
        <w:t>that CFOs’ main respon</w:t>
      </w:r>
      <w:r w:rsidR="003D770C">
        <w:rPr>
          <w:sz w:val="22"/>
          <w:szCs w:val="22"/>
        </w:rPr>
        <w:t xml:space="preserve">sibility is financial reporting; therefore CFO equity incentives should have a greater effect than that of the CEO in earnings management. </w:t>
      </w:r>
      <w:r w:rsidR="00FA3FC3">
        <w:rPr>
          <w:sz w:val="22"/>
          <w:szCs w:val="22"/>
        </w:rPr>
        <w:t>They documented</w:t>
      </w:r>
      <w:r w:rsidR="003D770C">
        <w:rPr>
          <w:sz w:val="22"/>
          <w:szCs w:val="22"/>
        </w:rPr>
        <w:t xml:space="preserve"> that CFOs shou</w:t>
      </w:r>
      <w:r w:rsidR="001734EE">
        <w:rPr>
          <w:sz w:val="22"/>
          <w:szCs w:val="22"/>
        </w:rPr>
        <w:t>ld not be paid by stock options</w:t>
      </w:r>
      <w:r w:rsidR="003D770C">
        <w:rPr>
          <w:sz w:val="22"/>
          <w:szCs w:val="22"/>
        </w:rPr>
        <w:t xml:space="preserve"> but </w:t>
      </w:r>
      <w:r w:rsidR="00FA3FC3">
        <w:rPr>
          <w:sz w:val="22"/>
          <w:szCs w:val="22"/>
        </w:rPr>
        <w:t xml:space="preserve">rather </w:t>
      </w:r>
      <w:r w:rsidR="003D770C">
        <w:rPr>
          <w:sz w:val="22"/>
          <w:szCs w:val="22"/>
        </w:rPr>
        <w:t>by fix</w:t>
      </w:r>
      <w:r w:rsidR="001734EE">
        <w:rPr>
          <w:sz w:val="22"/>
          <w:szCs w:val="22"/>
        </w:rPr>
        <w:t>ed salary, because CFOs have a responsibility of ‘minding the cookie jar’.</w:t>
      </w:r>
      <w:r w:rsidR="003D770C">
        <w:rPr>
          <w:sz w:val="22"/>
          <w:szCs w:val="22"/>
        </w:rPr>
        <w:t xml:space="preserve"> </w:t>
      </w:r>
      <w:r w:rsidR="00FA3FC3">
        <w:rPr>
          <w:sz w:val="22"/>
          <w:szCs w:val="22"/>
        </w:rPr>
        <w:t>Since</w:t>
      </w:r>
      <w:r w:rsidR="00C41602">
        <w:rPr>
          <w:sz w:val="22"/>
          <w:szCs w:val="22"/>
        </w:rPr>
        <w:t xml:space="preserve"> CFO acts as the CEO’s agent and the CEO has the power to replace the CFO, it might be thought that the CFO would only serve the CEO’s equity incentives.</w:t>
      </w:r>
      <w:r w:rsidR="00CD261E">
        <w:rPr>
          <w:sz w:val="22"/>
          <w:szCs w:val="22"/>
        </w:rPr>
        <w:t xml:space="preserve"> However, Jiang et al. (2010) believe that CFOs wield significant influence. </w:t>
      </w:r>
      <w:r w:rsidR="00371FBD">
        <w:rPr>
          <w:sz w:val="22"/>
          <w:szCs w:val="22"/>
        </w:rPr>
        <w:t>They investigate</w:t>
      </w:r>
      <w:r w:rsidR="00FA3FC3">
        <w:rPr>
          <w:sz w:val="22"/>
          <w:szCs w:val="22"/>
        </w:rPr>
        <w:t>d</w:t>
      </w:r>
      <w:r w:rsidR="00371FBD">
        <w:rPr>
          <w:sz w:val="22"/>
          <w:szCs w:val="22"/>
        </w:rPr>
        <w:t xml:space="preserve"> </w:t>
      </w:r>
      <w:r w:rsidR="00FA3FC3">
        <w:rPr>
          <w:sz w:val="22"/>
          <w:szCs w:val="22"/>
        </w:rPr>
        <w:t xml:space="preserve">the association between </w:t>
      </w:r>
      <w:r w:rsidR="00371FBD">
        <w:rPr>
          <w:sz w:val="22"/>
          <w:szCs w:val="22"/>
        </w:rPr>
        <w:t xml:space="preserve">CFO equity incentives </w:t>
      </w:r>
      <w:r w:rsidR="00FA3FC3">
        <w:rPr>
          <w:sz w:val="22"/>
          <w:szCs w:val="22"/>
        </w:rPr>
        <w:t>and</w:t>
      </w:r>
      <w:r w:rsidR="00371FBD">
        <w:rPr>
          <w:sz w:val="22"/>
          <w:szCs w:val="22"/>
        </w:rPr>
        <w:t xml:space="preserve"> earnings management </w:t>
      </w:r>
      <w:r w:rsidR="00FA3FC3">
        <w:rPr>
          <w:sz w:val="22"/>
          <w:szCs w:val="22"/>
        </w:rPr>
        <w:t>relative to CEO incentives</w:t>
      </w:r>
      <w:r w:rsidR="00371FBD">
        <w:rPr>
          <w:sz w:val="22"/>
          <w:szCs w:val="22"/>
        </w:rPr>
        <w:t xml:space="preserve">. </w:t>
      </w:r>
      <w:r w:rsidR="00683F90">
        <w:rPr>
          <w:sz w:val="22"/>
          <w:szCs w:val="22"/>
        </w:rPr>
        <w:t>T</w:t>
      </w:r>
      <w:r w:rsidR="00597412">
        <w:rPr>
          <w:sz w:val="22"/>
          <w:szCs w:val="22"/>
        </w:rPr>
        <w:t xml:space="preserve">hey found that </w:t>
      </w:r>
      <w:r w:rsidR="006428EB">
        <w:rPr>
          <w:sz w:val="22"/>
          <w:szCs w:val="22"/>
        </w:rPr>
        <w:t>CFO equity incentives are significa</w:t>
      </w:r>
      <w:r w:rsidR="00597412">
        <w:rPr>
          <w:sz w:val="22"/>
          <w:szCs w:val="22"/>
        </w:rPr>
        <w:t>ntly more increasing than CE</w:t>
      </w:r>
      <w:r w:rsidR="006428EB">
        <w:rPr>
          <w:sz w:val="22"/>
          <w:szCs w:val="22"/>
        </w:rPr>
        <w:t>O equity incentives</w:t>
      </w:r>
      <w:r w:rsidR="00597412">
        <w:rPr>
          <w:sz w:val="22"/>
          <w:szCs w:val="22"/>
        </w:rPr>
        <w:t xml:space="preserve"> in the pre-SOX period</w:t>
      </w:r>
      <w:r w:rsidR="006428EB">
        <w:rPr>
          <w:sz w:val="22"/>
          <w:szCs w:val="22"/>
        </w:rPr>
        <w:t xml:space="preserve">. For the post-SOX period they find that neither CFO nor CEO equity incentives are increasing. </w:t>
      </w:r>
      <w:r w:rsidR="00597412">
        <w:rPr>
          <w:sz w:val="22"/>
          <w:szCs w:val="22"/>
        </w:rPr>
        <w:t>Also, their results</w:t>
      </w:r>
      <w:r w:rsidR="006428EB">
        <w:rPr>
          <w:sz w:val="22"/>
          <w:szCs w:val="22"/>
        </w:rPr>
        <w:t xml:space="preserve"> </w:t>
      </w:r>
      <w:r w:rsidR="00597412">
        <w:rPr>
          <w:sz w:val="22"/>
          <w:szCs w:val="22"/>
        </w:rPr>
        <w:t>showed</w:t>
      </w:r>
      <w:r w:rsidR="006428EB">
        <w:rPr>
          <w:sz w:val="22"/>
          <w:szCs w:val="22"/>
        </w:rPr>
        <w:t xml:space="preserve"> that </w:t>
      </w:r>
      <w:r w:rsidR="00597412">
        <w:rPr>
          <w:sz w:val="22"/>
          <w:szCs w:val="22"/>
        </w:rPr>
        <w:t>the association between CFO equity incentives and to meet or beat</w:t>
      </w:r>
      <w:r w:rsidR="006428EB">
        <w:rPr>
          <w:sz w:val="22"/>
          <w:szCs w:val="22"/>
        </w:rPr>
        <w:t xml:space="preserve"> analysts’ forecast </w:t>
      </w:r>
      <w:r w:rsidR="00597412">
        <w:rPr>
          <w:sz w:val="22"/>
          <w:szCs w:val="22"/>
        </w:rPr>
        <w:t>do</w:t>
      </w:r>
      <w:r w:rsidR="006428EB">
        <w:rPr>
          <w:sz w:val="22"/>
          <w:szCs w:val="22"/>
        </w:rPr>
        <w:t xml:space="preserve">minates </w:t>
      </w:r>
      <w:r w:rsidR="00597412">
        <w:rPr>
          <w:sz w:val="22"/>
          <w:szCs w:val="22"/>
        </w:rPr>
        <w:t>that of the</w:t>
      </w:r>
      <w:r w:rsidR="006428EB">
        <w:rPr>
          <w:sz w:val="22"/>
          <w:szCs w:val="22"/>
        </w:rPr>
        <w:t xml:space="preserve"> CEOs.</w:t>
      </w:r>
    </w:p>
    <w:p w:rsidR="003F0582" w:rsidRDefault="003F0582" w:rsidP="00E43D88">
      <w:pPr>
        <w:autoSpaceDE w:val="0"/>
        <w:autoSpaceDN w:val="0"/>
        <w:adjustRightInd w:val="0"/>
        <w:spacing w:line="360" w:lineRule="auto"/>
        <w:jc w:val="both"/>
        <w:rPr>
          <w:sz w:val="22"/>
          <w:szCs w:val="22"/>
        </w:rPr>
      </w:pPr>
    </w:p>
    <w:p w:rsidR="003F0582" w:rsidRDefault="003F0582" w:rsidP="003F0582">
      <w:pPr>
        <w:pStyle w:val="Kop2"/>
      </w:pPr>
      <w:bookmarkStart w:id="53" w:name="_Toc287614183"/>
      <w:r>
        <w:t>4.3 Earnings management and Sarbanes-Oxley</w:t>
      </w:r>
      <w:bookmarkEnd w:id="53"/>
    </w:p>
    <w:p w:rsidR="003F0582" w:rsidRDefault="003F0582" w:rsidP="003F0582">
      <w:pPr>
        <w:spacing w:line="360" w:lineRule="auto"/>
        <w:jc w:val="both"/>
        <w:rPr>
          <w:sz w:val="22"/>
          <w:szCs w:val="22"/>
        </w:rPr>
      </w:pPr>
      <w:r>
        <w:rPr>
          <w:sz w:val="22"/>
          <w:szCs w:val="22"/>
        </w:rPr>
        <w:t>The Sarbanes-Oxley Act (SOX) has been enacted in 2002 in the United States after</w:t>
      </w:r>
      <w:r w:rsidR="0038193C">
        <w:rPr>
          <w:sz w:val="22"/>
          <w:szCs w:val="22"/>
        </w:rPr>
        <w:t xml:space="preserve"> the</w:t>
      </w:r>
      <w:r>
        <w:rPr>
          <w:sz w:val="22"/>
          <w:szCs w:val="22"/>
        </w:rPr>
        <w:t xml:space="preserve"> large accounting scandals and large </w:t>
      </w:r>
      <w:r w:rsidR="0038193C">
        <w:rPr>
          <w:sz w:val="22"/>
          <w:szCs w:val="22"/>
        </w:rPr>
        <w:t>corporations’</w:t>
      </w:r>
      <w:r>
        <w:rPr>
          <w:sz w:val="22"/>
          <w:szCs w:val="22"/>
        </w:rPr>
        <w:t xml:space="preserve"> f</w:t>
      </w:r>
      <w:r w:rsidR="0038193C">
        <w:rPr>
          <w:sz w:val="22"/>
          <w:szCs w:val="22"/>
        </w:rPr>
        <w:t xml:space="preserve">ailures like Enron and WorldCom. </w:t>
      </w:r>
      <w:r>
        <w:rPr>
          <w:sz w:val="22"/>
          <w:szCs w:val="22"/>
        </w:rPr>
        <w:t xml:space="preserve">This legislation sets </w:t>
      </w:r>
      <w:r w:rsidR="00D755BE">
        <w:rPr>
          <w:sz w:val="22"/>
          <w:szCs w:val="22"/>
        </w:rPr>
        <w:t>higher standards on financial information quality</w:t>
      </w:r>
      <w:r>
        <w:rPr>
          <w:sz w:val="22"/>
          <w:szCs w:val="22"/>
        </w:rPr>
        <w:t xml:space="preserve"> and </w:t>
      </w:r>
      <w:r w:rsidR="00D755BE">
        <w:rPr>
          <w:sz w:val="22"/>
          <w:szCs w:val="22"/>
        </w:rPr>
        <w:t xml:space="preserve">new disclosure </w:t>
      </w:r>
      <w:r>
        <w:rPr>
          <w:sz w:val="22"/>
          <w:szCs w:val="22"/>
        </w:rPr>
        <w:t xml:space="preserve">procedures for public companies in the United States. Sections 302 and 404 have increased top management responsibility of the internal controls over financial reporting and. Section 404 requires public firms to strengthen their internal control systems and to produce an internal control report showing potential material weaknesses if any. Section 302 requires the CEO and CFO </w:t>
      </w:r>
      <w:r w:rsidRPr="009E62F9">
        <w:rPr>
          <w:i/>
          <w:sz w:val="22"/>
          <w:szCs w:val="22"/>
        </w:rPr>
        <w:t>personally</w:t>
      </w:r>
      <w:r>
        <w:rPr>
          <w:sz w:val="22"/>
          <w:szCs w:val="22"/>
        </w:rPr>
        <w:t xml:space="preserve"> to certify the annual or quarterly report that there are no material weaknesses or untrue statements. The signing officers can be </w:t>
      </w:r>
      <w:r>
        <w:rPr>
          <w:sz w:val="22"/>
          <w:szCs w:val="22"/>
        </w:rPr>
        <w:lastRenderedPageBreak/>
        <w:t>held responsible for establishing, maintaining and abusing intern controls.</w:t>
      </w:r>
      <w:r w:rsidR="00D755BE">
        <w:rPr>
          <w:sz w:val="22"/>
          <w:szCs w:val="22"/>
        </w:rPr>
        <w:t xml:space="preserve"> A fair presentation of the financial report is no longer limited to GAAP, </w:t>
      </w:r>
      <w:r w:rsidR="002C02DC">
        <w:rPr>
          <w:sz w:val="22"/>
          <w:szCs w:val="22"/>
        </w:rPr>
        <w:t>meaning that GAAP</w:t>
      </w:r>
      <w:r w:rsidR="00D755BE">
        <w:rPr>
          <w:sz w:val="22"/>
          <w:szCs w:val="22"/>
        </w:rPr>
        <w:t xml:space="preserve"> cannot be a safe harbor anymore against charges of earnings management practices</w:t>
      </w:r>
      <w:r w:rsidR="007432B4">
        <w:rPr>
          <w:sz w:val="22"/>
          <w:szCs w:val="22"/>
        </w:rPr>
        <w:t xml:space="preserve"> (McEnroe, 2007)</w:t>
      </w:r>
      <w:r w:rsidR="00D755BE">
        <w:rPr>
          <w:sz w:val="22"/>
          <w:szCs w:val="22"/>
        </w:rPr>
        <w:t xml:space="preserve">. </w:t>
      </w:r>
      <w:r w:rsidR="002C02DC">
        <w:rPr>
          <w:sz w:val="22"/>
          <w:szCs w:val="22"/>
        </w:rPr>
        <w:t>Because</w:t>
      </w:r>
      <w:r>
        <w:rPr>
          <w:sz w:val="22"/>
          <w:szCs w:val="22"/>
        </w:rPr>
        <w:t xml:space="preserve"> the CFO has </w:t>
      </w:r>
      <w:r w:rsidR="00D755BE">
        <w:rPr>
          <w:sz w:val="22"/>
          <w:szCs w:val="22"/>
        </w:rPr>
        <w:t xml:space="preserve">to certify along with the CEO the periodic reports, </w:t>
      </w:r>
      <w:r w:rsidR="002C02DC">
        <w:rPr>
          <w:sz w:val="22"/>
          <w:szCs w:val="22"/>
        </w:rPr>
        <w:t>the</w:t>
      </w:r>
      <w:r w:rsidR="00D755BE">
        <w:rPr>
          <w:sz w:val="22"/>
          <w:szCs w:val="22"/>
        </w:rPr>
        <w:t xml:space="preserve"> CFOs</w:t>
      </w:r>
      <w:r w:rsidR="002C02DC">
        <w:rPr>
          <w:sz w:val="22"/>
          <w:szCs w:val="22"/>
        </w:rPr>
        <w:t xml:space="preserve"> have</w:t>
      </w:r>
      <w:r w:rsidR="00D755BE">
        <w:rPr>
          <w:sz w:val="22"/>
          <w:szCs w:val="22"/>
        </w:rPr>
        <w:t xml:space="preserve"> </w:t>
      </w:r>
      <w:r>
        <w:rPr>
          <w:sz w:val="22"/>
          <w:szCs w:val="22"/>
        </w:rPr>
        <w:t>the same responsibilities of financial oversight as the CEO. Moreover, when a firm f</w:t>
      </w:r>
      <w:r w:rsidR="002C02DC">
        <w:rPr>
          <w:sz w:val="22"/>
          <w:szCs w:val="22"/>
        </w:rPr>
        <w:t>ails to comply with section 404 and</w:t>
      </w:r>
      <w:r>
        <w:rPr>
          <w:sz w:val="22"/>
          <w:szCs w:val="22"/>
        </w:rPr>
        <w:t xml:space="preserve"> financial rep</w:t>
      </w:r>
      <w:r w:rsidR="002C02DC">
        <w:rPr>
          <w:sz w:val="22"/>
          <w:szCs w:val="22"/>
        </w:rPr>
        <w:t>orts cannot be certified, then</w:t>
      </w:r>
      <w:r>
        <w:rPr>
          <w:sz w:val="22"/>
          <w:szCs w:val="22"/>
        </w:rPr>
        <w:t xml:space="preserve"> the resulting penalties are severe. This makes adopting pernicious earnings management more costly (Ronen and </w:t>
      </w:r>
      <w:proofErr w:type="spellStart"/>
      <w:r>
        <w:rPr>
          <w:sz w:val="22"/>
          <w:szCs w:val="22"/>
        </w:rPr>
        <w:t>Yaari</w:t>
      </w:r>
      <w:proofErr w:type="spellEnd"/>
      <w:r>
        <w:rPr>
          <w:sz w:val="22"/>
          <w:szCs w:val="22"/>
        </w:rPr>
        <w:t>, 2009, p. 60).</w:t>
      </w:r>
      <w:r w:rsidR="007432B4">
        <w:rPr>
          <w:sz w:val="22"/>
          <w:szCs w:val="22"/>
        </w:rPr>
        <w:t xml:space="preserve"> It is therefore expected that after the implementation of SOX that earnings management practices will be reduced.</w:t>
      </w:r>
    </w:p>
    <w:p w:rsidR="003F0582" w:rsidRDefault="003F0582" w:rsidP="003F0582">
      <w:pPr>
        <w:spacing w:line="360" w:lineRule="auto"/>
        <w:jc w:val="both"/>
        <w:rPr>
          <w:sz w:val="22"/>
          <w:szCs w:val="22"/>
        </w:rPr>
      </w:pPr>
    </w:p>
    <w:p w:rsidR="003F0582" w:rsidRDefault="003F0582" w:rsidP="003F0582">
      <w:pPr>
        <w:spacing w:line="360" w:lineRule="auto"/>
        <w:jc w:val="both"/>
        <w:rPr>
          <w:sz w:val="22"/>
          <w:szCs w:val="22"/>
        </w:rPr>
      </w:pPr>
      <w:r>
        <w:rPr>
          <w:sz w:val="22"/>
          <w:szCs w:val="22"/>
        </w:rPr>
        <w:t>Graham et al. (2005, p. 66) find in their interview and survey research that most earnings management is achieved via real actions instead of using accounting manipulations. Managers are less willing to adopt accrual manipulation strategies within the accounting standards to manage earnings and use real earnings management instead, even when it is considered less costly. The authors state that this substitution might be caused by the implementation of SOX. Cohen et al. (2008) extend the work of Graham et al. (2005) by documenting that accrual-based earnings management was increasing until the passage of SOX in 2002. They provide evidence that accrual-based earnings management was particularly high in the period preceding SOX and this increasing trend was concurrent with increases of stock option compensation. In post-S</w:t>
      </w:r>
      <w:r w:rsidR="00A93EAD">
        <w:rPr>
          <w:sz w:val="22"/>
          <w:szCs w:val="22"/>
        </w:rPr>
        <w:t>OX</w:t>
      </w:r>
      <w:r>
        <w:rPr>
          <w:sz w:val="22"/>
          <w:szCs w:val="22"/>
        </w:rPr>
        <w:t xml:space="preserve"> they find a decline in accrual-based earnings management, but a significant increase in real earnings management. The authors point</w:t>
      </w:r>
      <w:r w:rsidR="00B16637">
        <w:rPr>
          <w:sz w:val="22"/>
          <w:szCs w:val="22"/>
        </w:rPr>
        <w:t>ed</w:t>
      </w:r>
      <w:r>
        <w:rPr>
          <w:sz w:val="22"/>
          <w:szCs w:val="22"/>
        </w:rPr>
        <w:t xml:space="preserve"> out that firms still </w:t>
      </w:r>
      <w:r w:rsidR="001734EE">
        <w:rPr>
          <w:sz w:val="22"/>
          <w:szCs w:val="22"/>
        </w:rPr>
        <w:t>perceive that</w:t>
      </w:r>
      <w:r>
        <w:rPr>
          <w:sz w:val="22"/>
          <w:szCs w:val="22"/>
        </w:rPr>
        <w:t xml:space="preserve"> ac</w:t>
      </w:r>
      <w:r w:rsidR="001734EE">
        <w:rPr>
          <w:sz w:val="22"/>
          <w:szCs w:val="22"/>
        </w:rPr>
        <w:t>hieving</w:t>
      </w:r>
      <w:r>
        <w:rPr>
          <w:sz w:val="22"/>
          <w:szCs w:val="22"/>
        </w:rPr>
        <w:t xml:space="preserve"> earnings benchmarks</w:t>
      </w:r>
      <w:r w:rsidR="001734EE">
        <w:rPr>
          <w:sz w:val="22"/>
          <w:szCs w:val="22"/>
        </w:rPr>
        <w:t xml:space="preserve"> is important</w:t>
      </w:r>
      <w:r>
        <w:rPr>
          <w:sz w:val="22"/>
          <w:szCs w:val="22"/>
        </w:rPr>
        <w:t xml:space="preserve">, using less accruals and more real earnings management. </w:t>
      </w:r>
      <w:r w:rsidR="00766179">
        <w:rPr>
          <w:sz w:val="22"/>
          <w:szCs w:val="22"/>
        </w:rPr>
        <w:t xml:space="preserve">McEnroe (2007) surveyed CFOs and audit partners as to whether they perceived that SOX significantly reduced earnings management practices in audited financial statements. His </w:t>
      </w:r>
      <w:r w:rsidR="002C02DC">
        <w:rPr>
          <w:sz w:val="22"/>
          <w:szCs w:val="22"/>
        </w:rPr>
        <w:t>f</w:t>
      </w:r>
      <w:r w:rsidR="00766179">
        <w:rPr>
          <w:sz w:val="22"/>
          <w:szCs w:val="22"/>
        </w:rPr>
        <w:t>indings suggested that SOX legislation hasn’t significant</w:t>
      </w:r>
      <w:r w:rsidR="002C02DC">
        <w:rPr>
          <w:sz w:val="22"/>
          <w:szCs w:val="22"/>
        </w:rPr>
        <w:t xml:space="preserve">ly reduced earnings management, but </w:t>
      </w:r>
      <w:r w:rsidR="00745CDE">
        <w:rPr>
          <w:sz w:val="22"/>
          <w:szCs w:val="22"/>
        </w:rPr>
        <w:t xml:space="preserve">has been more effective in reducing clear GAAP violations than earnings management within GAAP. </w:t>
      </w:r>
    </w:p>
    <w:p w:rsidR="001A6A6F" w:rsidRDefault="001A6A6F" w:rsidP="0040078D"/>
    <w:p w:rsidR="00F967F1" w:rsidRDefault="00F967F1" w:rsidP="00F967F1">
      <w:pPr>
        <w:pStyle w:val="Kop2"/>
      </w:pPr>
      <w:bookmarkStart w:id="54" w:name="_Toc287614184"/>
      <w:r>
        <w:t>4.4 Summary and conclusion</w:t>
      </w:r>
      <w:bookmarkEnd w:id="54"/>
    </w:p>
    <w:p w:rsidR="00283980" w:rsidRDefault="00B16637" w:rsidP="00B16637">
      <w:pPr>
        <w:spacing w:line="360" w:lineRule="auto"/>
        <w:jc w:val="both"/>
        <w:rPr>
          <w:sz w:val="22"/>
          <w:szCs w:val="22"/>
        </w:rPr>
      </w:pPr>
      <w:r w:rsidRPr="00B16637">
        <w:rPr>
          <w:sz w:val="22"/>
          <w:szCs w:val="22"/>
        </w:rPr>
        <w:t>Prior studies found evidence that CEOs with high equity incentives are more likely to use earnings management to meet or beat analysts’ forecasts and sell options and shares after successfully applied earnings management.</w:t>
      </w:r>
      <w:r>
        <w:rPr>
          <w:sz w:val="22"/>
          <w:szCs w:val="22"/>
        </w:rPr>
        <w:t xml:space="preserve"> However, </w:t>
      </w:r>
      <w:r w:rsidR="0018537D">
        <w:rPr>
          <w:sz w:val="22"/>
          <w:szCs w:val="22"/>
        </w:rPr>
        <w:t>the positive association between high equity incentives and earnings management can be mitigated by</w:t>
      </w:r>
      <w:r w:rsidR="00060E22">
        <w:rPr>
          <w:sz w:val="22"/>
          <w:szCs w:val="22"/>
        </w:rPr>
        <w:t xml:space="preserve"> more</w:t>
      </w:r>
      <w:r w:rsidR="0018537D">
        <w:rPr>
          <w:sz w:val="22"/>
          <w:szCs w:val="22"/>
        </w:rPr>
        <w:t xml:space="preserve"> governance mechanisms</w:t>
      </w:r>
      <w:r w:rsidR="00060E22">
        <w:rPr>
          <w:sz w:val="22"/>
          <w:szCs w:val="22"/>
        </w:rPr>
        <w:t xml:space="preserve"> and independent auditors. CFOs main responsibility is financial reporting, it is therefore predicted that equity incentives more likely to induce earnings management than CEOs. Due </w:t>
      </w:r>
      <w:r w:rsidR="00283980">
        <w:rPr>
          <w:sz w:val="22"/>
          <w:szCs w:val="22"/>
        </w:rPr>
        <w:t>to the</w:t>
      </w:r>
      <w:r w:rsidR="00060E22">
        <w:rPr>
          <w:sz w:val="22"/>
          <w:szCs w:val="22"/>
        </w:rPr>
        <w:t xml:space="preserve"> </w:t>
      </w:r>
      <w:r w:rsidR="00283980">
        <w:rPr>
          <w:sz w:val="22"/>
          <w:szCs w:val="22"/>
        </w:rPr>
        <w:t>heavy focus</w:t>
      </w:r>
      <w:r w:rsidR="00060E22">
        <w:rPr>
          <w:sz w:val="22"/>
          <w:szCs w:val="22"/>
        </w:rPr>
        <w:t xml:space="preserve"> </w:t>
      </w:r>
      <w:r w:rsidR="00283980">
        <w:rPr>
          <w:sz w:val="22"/>
          <w:szCs w:val="22"/>
        </w:rPr>
        <w:t>on</w:t>
      </w:r>
      <w:r w:rsidR="00060E22">
        <w:rPr>
          <w:sz w:val="22"/>
          <w:szCs w:val="22"/>
        </w:rPr>
        <w:t xml:space="preserve"> small misses </w:t>
      </w:r>
      <w:r w:rsidR="00283980">
        <w:rPr>
          <w:sz w:val="22"/>
          <w:szCs w:val="22"/>
        </w:rPr>
        <w:t>of</w:t>
      </w:r>
      <w:r w:rsidR="00060E22">
        <w:rPr>
          <w:sz w:val="22"/>
          <w:szCs w:val="22"/>
        </w:rPr>
        <w:t xml:space="preserve"> earnings benchmarks</w:t>
      </w:r>
      <w:r w:rsidR="00283980">
        <w:rPr>
          <w:sz w:val="22"/>
          <w:szCs w:val="22"/>
        </w:rPr>
        <w:t xml:space="preserve"> by market participants and analysts, the pressure on CFOs to manage earnings is unlikely to go away.</w:t>
      </w:r>
      <w:r w:rsidR="001734EE">
        <w:rPr>
          <w:sz w:val="22"/>
          <w:szCs w:val="22"/>
        </w:rPr>
        <w:t xml:space="preserve"> </w:t>
      </w:r>
      <w:r w:rsidR="00186C9C">
        <w:rPr>
          <w:sz w:val="22"/>
          <w:szCs w:val="22"/>
        </w:rPr>
        <w:t xml:space="preserve">Regulators </w:t>
      </w:r>
      <w:r w:rsidR="008C4E0F">
        <w:rPr>
          <w:sz w:val="22"/>
          <w:szCs w:val="22"/>
        </w:rPr>
        <w:t xml:space="preserve">expect that </w:t>
      </w:r>
      <w:r w:rsidR="00C7417E">
        <w:rPr>
          <w:sz w:val="22"/>
          <w:szCs w:val="22"/>
        </w:rPr>
        <w:t xml:space="preserve">after the implementation of </w:t>
      </w:r>
      <w:r w:rsidR="008C4E0F">
        <w:rPr>
          <w:sz w:val="22"/>
          <w:szCs w:val="22"/>
        </w:rPr>
        <w:t xml:space="preserve">SOX </w:t>
      </w:r>
      <w:r w:rsidR="00C7417E">
        <w:rPr>
          <w:sz w:val="22"/>
          <w:szCs w:val="22"/>
        </w:rPr>
        <w:t xml:space="preserve">there will be a </w:t>
      </w:r>
      <w:r w:rsidR="008C4E0F">
        <w:rPr>
          <w:sz w:val="22"/>
          <w:szCs w:val="22"/>
        </w:rPr>
        <w:t>reduc</w:t>
      </w:r>
      <w:r w:rsidR="00C7417E">
        <w:rPr>
          <w:sz w:val="22"/>
          <w:szCs w:val="22"/>
        </w:rPr>
        <w:t>tion in</w:t>
      </w:r>
      <w:r w:rsidR="008C4E0F">
        <w:rPr>
          <w:sz w:val="22"/>
          <w:szCs w:val="22"/>
        </w:rPr>
        <w:t xml:space="preserve"> </w:t>
      </w:r>
      <w:r w:rsidR="00186C9C">
        <w:rPr>
          <w:sz w:val="22"/>
          <w:szCs w:val="22"/>
        </w:rPr>
        <w:t xml:space="preserve">earnings management practices. This has succeeded only partially, because </w:t>
      </w:r>
      <w:r w:rsidR="00C7417E">
        <w:rPr>
          <w:sz w:val="22"/>
          <w:szCs w:val="22"/>
        </w:rPr>
        <w:t xml:space="preserve">it is found that </w:t>
      </w:r>
      <w:r w:rsidR="00186C9C">
        <w:rPr>
          <w:sz w:val="22"/>
          <w:szCs w:val="22"/>
        </w:rPr>
        <w:t>accrual-based earnings management</w:t>
      </w:r>
      <w:r w:rsidR="00C7417E">
        <w:rPr>
          <w:sz w:val="22"/>
          <w:szCs w:val="22"/>
        </w:rPr>
        <w:t xml:space="preserve"> has decreased</w:t>
      </w:r>
      <w:r w:rsidR="00186C9C">
        <w:rPr>
          <w:sz w:val="22"/>
          <w:szCs w:val="22"/>
        </w:rPr>
        <w:t xml:space="preserve"> but</w:t>
      </w:r>
      <w:r w:rsidR="00C7417E">
        <w:rPr>
          <w:sz w:val="22"/>
          <w:szCs w:val="22"/>
        </w:rPr>
        <w:t xml:space="preserve"> there is</w:t>
      </w:r>
      <w:r w:rsidR="00186C9C">
        <w:rPr>
          <w:sz w:val="22"/>
          <w:szCs w:val="22"/>
        </w:rPr>
        <w:t xml:space="preserve"> an increase in real earnings management. </w:t>
      </w:r>
    </w:p>
    <w:p w:rsidR="004A72DC" w:rsidRDefault="00246A48" w:rsidP="00246A48">
      <w:pPr>
        <w:pStyle w:val="Kop1"/>
        <w:jc w:val="center"/>
      </w:pPr>
      <w:bookmarkStart w:id="55" w:name="_Toc287614185"/>
      <w:r>
        <w:lastRenderedPageBreak/>
        <w:t xml:space="preserve">5. </w:t>
      </w:r>
      <w:r w:rsidR="0040078D">
        <w:t>HYPOTHESES</w:t>
      </w:r>
      <w:bookmarkEnd w:id="55"/>
    </w:p>
    <w:p w:rsidR="0040078D" w:rsidRPr="0040078D" w:rsidRDefault="0040078D" w:rsidP="0040078D">
      <w:pPr>
        <w:pStyle w:val="Lijstalinea"/>
      </w:pPr>
    </w:p>
    <w:p w:rsidR="00CE22B6" w:rsidRPr="000755BF" w:rsidRDefault="006C60C5" w:rsidP="00CE22B6">
      <w:pPr>
        <w:spacing w:line="360" w:lineRule="auto"/>
        <w:jc w:val="both"/>
        <w:rPr>
          <w:sz w:val="22"/>
          <w:szCs w:val="22"/>
        </w:rPr>
      </w:pPr>
      <w:r w:rsidRPr="000755BF">
        <w:rPr>
          <w:sz w:val="22"/>
          <w:szCs w:val="22"/>
        </w:rPr>
        <w:t>After</w:t>
      </w:r>
      <w:r w:rsidR="00155C82" w:rsidRPr="000755BF">
        <w:rPr>
          <w:sz w:val="22"/>
          <w:szCs w:val="22"/>
        </w:rPr>
        <w:t xml:space="preserve"> the literature reviews</w:t>
      </w:r>
      <w:r w:rsidRPr="000755BF">
        <w:rPr>
          <w:sz w:val="22"/>
          <w:szCs w:val="22"/>
        </w:rPr>
        <w:t>,</w:t>
      </w:r>
      <w:r w:rsidR="006264F2">
        <w:rPr>
          <w:sz w:val="22"/>
          <w:szCs w:val="22"/>
        </w:rPr>
        <w:t xml:space="preserve"> I</w:t>
      </w:r>
      <w:r w:rsidR="00D42703" w:rsidRPr="000755BF">
        <w:rPr>
          <w:sz w:val="22"/>
          <w:szCs w:val="22"/>
        </w:rPr>
        <w:t xml:space="preserve"> develop my hypothese</w:t>
      </w:r>
      <w:r w:rsidR="00155C82" w:rsidRPr="000755BF">
        <w:rPr>
          <w:sz w:val="22"/>
          <w:szCs w:val="22"/>
        </w:rPr>
        <w:t xml:space="preserve">s </w:t>
      </w:r>
      <w:r w:rsidR="00D42703" w:rsidRPr="000755BF">
        <w:rPr>
          <w:sz w:val="22"/>
          <w:szCs w:val="22"/>
        </w:rPr>
        <w:t>using</w:t>
      </w:r>
      <w:r w:rsidR="00155C82" w:rsidRPr="000755BF">
        <w:rPr>
          <w:sz w:val="22"/>
          <w:szCs w:val="22"/>
        </w:rPr>
        <w:t xml:space="preserve"> the findings written in this thesis. </w:t>
      </w:r>
      <w:r w:rsidR="00002B6A">
        <w:rPr>
          <w:sz w:val="22"/>
          <w:szCs w:val="22"/>
        </w:rPr>
        <w:t>Cheng et al. (2009) didn’t</w:t>
      </w:r>
      <w:r w:rsidR="000A2F49">
        <w:rPr>
          <w:sz w:val="22"/>
          <w:szCs w:val="22"/>
        </w:rPr>
        <w:t xml:space="preserve"> find that</w:t>
      </w:r>
      <w:r w:rsidR="00002B6A">
        <w:rPr>
          <w:sz w:val="22"/>
          <w:szCs w:val="22"/>
        </w:rPr>
        <w:t xml:space="preserve"> bank managers with high equity incentives are more likely to engage earnings management. </w:t>
      </w:r>
      <w:r w:rsidR="00A3085B">
        <w:rPr>
          <w:sz w:val="22"/>
          <w:szCs w:val="22"/>
        </w:rPr>
        <w:t>But when taking regulation into account, they foun</w:t>
      </w:r>
      <w:r w:rsidR="00002B6A">
        <w:rPr>
          <w:sz w:val="22"/>
          <w:szCs w:val="22"/>
        </w:rPr>
        <w:t xml:space="preserve">d a positive association between equity incentives and </w:t>
      </w:r>
      <w:r w:rsidR="00BA4680">
        <w:rPr>
          <w:sz w:val="22"/>
          <w:szCs w:val="22"/>
        </w:rPr>
        <w:t>upward earn</w:t>
      </w:r>
      <w:r w:rsidR="00A3085B">
        <w:rPr>
          <w:sz w:val="22"/>
          <w:szCs w:val="22"/>
        </w:rPr>
        <w:t xml:space="preserve">ings management only when bank’s capital ratios are </w:t>
      </w:r>
      <w:r w:rsidR="00BA4680">
        <w:rPr>
          <w:sz w:val="22"/>
          <w:szCs w:val="22"/>
        </w:rPr>
        <w:t>low</w:t>
      </w:r>
      <w:r w:rsidR="00A3085B">
        <w:rPr>
          <w:sz w:val="22"/>
          <w:szCs w:val="22"/>
        </w:rPr>
        <w:t xml:space="preserve"> and the possibility of </w:t>
      </w:r>
      <w:r w:rsidR="00BA4680">
        <w:rPr>
          <w:sz w:val="22"/>
          <w:szCs w:val="22"/>
        </w:rPr>
        <w:t>regulatory</w:t>
      </w:r>
      <w:r w:rsidR="00A3085B">
        <w:rPr>
          <w:sz w:val="22"/>
          <w:szCs w:val="22"/>
        </w:rPr>
        <w:t xml:space="preserve"> scrutiny is high</w:t>
      </w:r>
      <w:r w:rsidR="00BA4680">
        <w:rPr>
          <w:sz w:val="22"/>
          <w:szCs w:val="22"/>
        </w:rPr>
        <w:t>.</w:t>
      </w:r>
      <w:r w:rsidR="00002B6A">
        <w:rPr>
          <w:sz w:val="22"/>
          <w:szCs w:val="22"/>
        </w:rPr>
        <w:t xml:space="preserve"> </w:t>
      </w:r>
      <w:r w:rsidR="00BA4680">
        <w:rPr>
          <w:sz w:val="22"/>
          <w:szCs w:val="22"/>
        </w:rPr>
        <w:t xml:space="preserve">However, Cheng et al. (2009) didn’t take into account that SOX have influence on earnings management practices. </w:t>
      </w:r>
      <w:r w:rsidR="00155C82" w:rsidRPr="000755BF">
        <w:rPr>
          <w:sz w:val="22"/>
          <w:szCs w:val="22"/>
        </w:rPr>
        <w:t>As previously mentioned, SOX has a significant influence on the use of accrual-based earnings management. Therefore I will pe</w:t>
      </w:r>
      <w:r w:rsidR="00A93EAD">
        <w:rPr>
          <w:sz w:val="22"/>
          <w:szCs w:val="22"/>
        </w:rPr>
        <w:t>rform all tests separately for</w:t>
      </w:r>
      <w:r w:rsidR="00155C82" w:rsidRPr="000755BF">
        <w:rPr>
          <w:sz w:val="22"/>
          <w:szCs w:val="22"/>
        </w:rPr>
        <w:t xml:space="preserve"> pre-SOX and post-SOX period</w:t>
      </w:r>
      <w:r w:rsidR="00BA4680">
        <w:rPr>
          <w:sz w:val="22"/>
          <w:szCs w:val="22"/>
        </w:rPr>
        <w:t xml:space="preserve"> for the banking industry</w:t>
      </w:r>
      <w:r w:rsidR="00155C82" w:rsidRPr="000755BF">
        <w:rPr>
          <w:sz w:val="22"/>
          <w:szCs w:val="22"/>
        </w:rPr>
        <w:t xml:space="preserve">. </w:t>
      </w:r>
      <w:r w:rsidR="00595428">
        <w:rPr>
          <w:sz w:val="22"/>
          <w:szCs w:val="22"/>
        </w:rPr>
        <w:t>Even though prior studies have found a positive accrual based earnings management practices in the pre-SOX period</w:t>
      </w:r>
      <w:r w:rsidR="000A2F49">
        <w:rPr>
          <w:sz w:val="22"/>
          <w:szCs w:val="22"/>
        </w:rPr>
        <w:t xml:space="preserve"> of nonbanks</w:t>
      </w:r>
      <w:r w:rsidR="00595428">
        <w:rPr>
          <w:sz w:val="22"/>
          <w:szCs w:val="22"/>
        </w:rPr>
        <w:t xml:space="preserve">, the regulation and a different compensation package in the banking industry may </w:t>
      </w:r>
      <w:r w:rsidR="00FE7E58">
        <w:rPr>
          <w:sz w:val="22"/>
          <w:szCs w:val="22"/>
        </w:rPr>
        <w:t xml:space="preserve">have different influence on </w:t>
      </w:r>
      <w:r w:rsidR="00595428">
        <w:rPr>
          <w:sz w:val="22"/>
          <w:szCs w:val="22"/>
        </w:rPr>
        <w:t xml:space="preserve">earnings management. </w:t>
      </w:r>
      <w:r w:rsidR="000A2F49">
        <w:rPr>
          <w:sz w:val="22"/>
          <w:szCs w:val="22"/>
        </w:rPr>
        <w:t xml:space="preserve">However, the equity-based compensation packages of executives in banks are getting more similar as in nonbanks, </w:t>
      </w:r>
      <w:r w:rsidR="00FE7E58">
        <w:rPr>
          <w:sz w:val="22"/>
          <w:szCs w:val="22"/>
        </w:rPr>
        <w:t>inducing</w:t>
      </w:r>
      <w:r w:rsidR="000A2F49">
        <w:rPr>
          <w:sz w:val="22"/>
          <w:szCs w:val="22"/>
        </w:rPr>
        <w:t xml:space="preserve"> earnings management </w:t>
      </w:r>
      <w:r w:rsidR="00FE7E58">
        <w:rPr>
          <w:sz w:val="22"/>
          <w:szCs w:val="22"/>
        </w:rPr>
        <w:t>behavior</w:t>
      </w:r>
      <w:r w:rsidR="000A2F49">
        <w:rPr>
          <w:sz w:val="22"/>
          <w:szCs w:val="22"/>
        </w:rPr>
        <w:t xml:space="preserve">. </w:t>
      </w:r>
      <w:r w:rsidR="00CE22B6" w:rsidRPr="000755BF">
        <w:rPr>
          <w:sz w:val="22"/>
          <w:szCs w:val="22"/>
        </w:rPr>
        <w:t>First I want to confirm the findings of previous studies that CE</w:t>
      </w:r>
      <w:r w:rsidR="00FE7E58">
        <w:rPr>
          <w:sz w:val="22"/>
          <w:szCs w:val="22"/>
        </w:rPr>
        <w:t>O equity incentives are positively related</w:t>
      </w:r>
      <w:r w:rsidR="00CE22B6" w:rsidRPr="000755BF">
        <w:rPr>
          <w:sz w:val="22"/>
          <w:szCs w:val="22"/>
        </w:rPr>
        <w:t xml:space="preserve"> with earnings management for the p</w:t>
      </w:r>
      <w:r w:rsidR="00FE7E58">
        <w:rPr>
          <w:sz w:val="22"/>
          <w:szCs w:val="22"/>
        </w:rPr>
        <w:t>re</w:t>
      </w:r>
      <w:r w:rsidR="00CE22B6" w:rsidRPr="000755BF">
        <w:rPr>
          <w:sz w:val="22"/>
          <w:szCs w:val="22"/>
        </w:rPr>
        <w:t xml:space="preserve">-SOX period. My </w:t>
      </w:r>
      <w:r w:rsidR="00595428">
        <w:rPr>
          <w:sz w:val="22"/>
          <w:szCs w:val="22"/>
        </w:rPr>
        <w:t xml:space="preserve">first </w:t>
      </w:r>
      <w:r w:rsidR="00CE22B6" w:rsidRPr="000755BF">
        <w:rPr>
          <w:sz w:val="22"/>
          <w:szCs w:val="22"/>
        </w:rPr>
        <w:t xml:space="preserve">hypothesis </w:t>
      </w:r>
      <w:r w:rsidR="00FE7E58">
        <w:rPr>
          <w:sz w:val="22"/>
          <w:szCs w:val="22"/>
        </w:rPr>
        <w:t>is therefore as</w:t>
      </w:r>
      <w:r w:rsidR="00CE22B6" w:rsidRPr="000755BF">
        <w:rPr>
          <w:sz w:val="22"/>
          <w:szCs w:val="22"/>
        </w:rPr>
        <w:t xml:space="preserve"> follows:  </w:t>
      </w:r>
    </w:p>
    <w:p w:rsidR="000730EC" w:rsidRDefault="000730EC" w:rsidP="000730EC">
      <w:pPr>
        <w:spacing w:line="360" w:lineRule="auto"/>
        <w:jc w:val="center"/>
        <w:rPr>
          <w:b/>
          <w:sz w:val="22"/>
          <w:szCs w:val="22"/>
        </w:rPr>
      </w:pPr>
    </w:p>
    <w:p w:rsidR="000730EC" w:rsidRPr="000755BF" w:rsidRDefault="000730EC" w:rsidP="0094367E">
      <w:pPr>
        <w:spacing w:line="360" w:lineRule="auto"/>
        <w:ind w:left="708"/>
        <w:rPr>
          <w:sz w:val="22"/>
          <w:szCs w:val="22"/>
        </w:rPr>
      </w:pPr>
      <w:r w:rsidRPr="000730EC">
        <w:rPr>
          <w:b/>
          <w:sz w:val="22"/>
          <w:szCs w:val="22"/>
        </w:rPr>
        <w:t>H</w:t>
      </w:r>
      <w:r w:rsidRPr="000730EC">
        <w:rPr>
          <w:b/>
          <w:sz w:val="22"/>
          <w:szCs w:val="22"/>
          <w:vertAlign w:val="subscript"/>
        </w:rPr>
        <w:t>1</w:t>
      </w:r>
      <w:r w:rsidRPr="000730EC">
        <w:rPr>
          <w:b/>
          <w:sz w:val="22"/>
          <w:szCs w:val="22"/>
        </w:rPr>
        <w:t>:</w:t>
      </w:r>
      <w:r w:rsidR="00E91E43">
        <w:rPr>
          <w:sz w:val="22"/>
          <w:szCs w:val="22"/>
        </w:rPr>
        <w:t xml:space="preserve"> There is a positive</w:t>
      </w:r>
      <w:r w:rsidRPr="000755BF">
        <w:rPr>
          <w:sz w:val="22"/>
          <w:szCs w:val="22"/>
        </w:rPr>
        <w:t xml:space="preserve"> association between CEO equity incentive and earnings management in the pre-SOX period</w:t>
      </w:r>
      <w:r w:rsidR="0031073D">
        <w:rPr>
          <w:sz w:val="22"/>
          <w:szCs w:val="22"/>
        </w:rPr>
        <w:t xml:space="preserve"> of</w:t>
      </w:r>
      <w:r w:rsidRPr="000755BF">
        <w:rPr>
          <w:sz w:val="22"/>
          <w:szCs w:val="22"/>
        </w:rPr>
        <w:t xml:space="preserve"> the banking industry.</w:t>
      </w:r>
    </w:p>
    <w:p w:rsidR="00595428" w:rsidRDefault="00595428" w:rsidP="00CE22B6">
      <w:pPr>
        <w:spacing w:line="360" w:lineRule="auto"/>
        <w:jc w:val="both"/>
        <w:rPr>
          <w:sz w:val="22"/>
          <w:szCs w:val="22"/>
        </w:rPr>
      </w:pPr>
    </w:p>
    <w:p w:rsidR="000730EC" w:rsidRDefault="003A2CF4" w:rsidP="000730EC">
      <w:pPr>
        <w:spacing w:line="360" w:lineRule="auto"/>
        <w:jc w:val="both"/>
        <w:rPr>
          <w:sz w:val="22"/>
          <w:szCs w:val="22"/>
        </w:rPr>
      </w:pPr>
      <w:r>
        <w:rPr>
          <w:sz w:val="22"/>
          <w:szCs w:val="22"/>
        </w:rPr>
        <w:t>Since</w:t>
      </w:r>
      <w:r w:rsidR="004002EE">
        <w:rPr>
          <w:sz w:val="22"/>
          <w:szCs w:val="22"/>
        </w:rPr>
        <w:t xml:space="preserve"> the CFO’s main task is preparing financial statements, the impact of CFO’s equity incentives on financial reporting</w:t>
      </w:r>
      <w:r w:rsidR="00FE7E58">
        <w:rPr>
          <w:sz w:val="22"/>
          <w:szCs w:val="22"/>
        </w:rPr>
        <w:t xml:space="preserve"> should dominate</w:t>
      </w:r>
      <w:r w:rsidR="004002EE">
        <w:rPr>
          <w:sz w:val="22"/>
          <w:szCs w:val="22"/>
        </w:rPr>
        <w:t xml:space="preserve"> the impact of CEO equity incentives. Moreover, </w:t>
      </w:r>
      <w:r>
        <w:rPr>
          <w:sz w:val="22"/>
          <w:szCs w:val="22"/>
        </w:rPr>
        <w:t xml:space="preserve">the CFO can use accrual-based earnings management more as a key tool in response to </w:t>
      </w:r>
      <w:r w:rsidR="00F73CDA">
        <w:rPr>
          <w:sz w:val="22"/>
          <w:szCs w:val="22"/>
        </w:rPr>
        <w:t>equity incentives, unlike the CE</w:t>
      </w:r>
      <w:r>
        <w:rPr>
          <w:sz w:val="22"/>
          <w:szCs w:val="22"/>
        </w:rPr>
        <w:t>O who has more oversight responsibilities and other options to engage earnings management (Jiang et al. 2010). Like the CEO, I predict that the CFO’s engagement to earnings management is positive in the p</w:t>
      </w:r>
      <w:r w:rsidR="0092697E">
        <w:rPr>
          <w:sz w:val="22"/>
          <w:szCs w:val="22"/>
        </w:rPr>
        <w:t>re</w:t>
      </w:r>
      <w:r>
        <w:rPr>
          <w:sz w:val="22"/>
          <w:szCs w:val="22"/>
        </w:rPr>
        <w:t>-SOX period</w:t>
      </w:r>
      <w:r w:rsidR="0092697E">
        <w:rPr>
          <w:sz w:val="22"/>
          <w:szCs w:val="22"/>
        </w:rPr>
        <w:t>. The second hypothesis is formulated as:</w:t>
      </w:r>
    </w:p>
    <w:p w:rsidR="0092697E" w:rsidRDefault="0092697E" w:rsidP="000730EC">
      <w:pPr>
        <w:spacing w:line="360" w:lineRule="auto"/>
        <w:jc w:val="both"/>
        <w:rPr>
          <w:b/>
          <w:sz w:val="22"/>
          <w:szCs w:val="22"/>
        </w:rPr>
      </w:pPr>
    </w:p>
    <w:p w:rsidR="000730EC" w:rsidRPr="000755BF" w:rsidRDefault="000730EC" w:rsidP="0094367E">
      <w:pPr>
        <w:spacing w:line="360" w:lineRule="auto"/>
        <w:ind w:left="708"/>
        <w:rPr>
          <w:sz w:val="22"/>
          <w:szCs w:val="22"/>
        </w:rPr>
      </w:pPr>
      <w:r w:rsidRPr="000730EC">
        <w:rPr>
          <w:b/>
          <w:sz w:val="22"/>
          <w:szCs w:val="22"/>
        </w:rPr>
        <w:t>H</w:t>
      </w:r>
      <w:r w:rsidR="0092697E">
        <w:rPr>
          <w:b/>
          <w:sz w:val="22"/>
          <w:szCs w:val="22"/>
          <w:vertAlign w:val="subscript"/>
        </w:rPr>
        <w:t>2</w:t>
      </w:r>
      <w:r w:rsidRPr="000730EC">
        <w:rPr>
          <w:b/>
          <w:sz w:val="22"/>
          <w:szCs w:val="22"/>
        </w:rPr>
        <w:t>:</w:t>
      </w:r>
      <w:r w:rsidR="00E91E43">
        <w:rPr>
          <w:sz w:val="22"/>
          <w:szCs w:val="22"/>
        </w:rPr>
        <w:t xml:space="preserve"> There is a positive</w:t>
      </w:r>
      <w:r w:rsidRPr="000755BF">
        <w:rPr>
          <w:sz w:val="22"/>
          <w:szCs w:val="22"/>
        </w:rPr>
        <w:t xml:space="preserve"> association between CFO equity incentive and earnings management</w:t>
      </w:r>
      <w:r w:rsidR="0094367E">
        <w:rPr>
          <w:sz w:val="22"/>
          <w:szCs w:val="22"/>
        </w:rPr>
        <w:t xml:space="preserve"> </w:t>
      </w:r>
      <w:r w:rsidRPr="000755BF">
        <w:rPr>
          <w:sz w:val="22"/>
          <w:szCs w:val="22"/>
        </w:rPr>
        <w:t xml:space="preserve">in the pre-SOX period </w:t>
      </w:r>
      <w:r w:rsidR="0031073D">
        <w:rPr>
          <w:sz w:val="22"/>
          <w:szCs w:val="22"/>
        </w:rPr>
        <w:t>of</w:t>
      </w:r>
      <w:r w:rsidRPr="000755BF">
        <w:rPr>
          <w:sz w:val="22"/>
          <w:szCs w:val="22"/>
        </w:rPr>
        <w:t xml:space="preserve"> the banking industry.</w:t>
      </w:r>
    </w:p>
    <w:p w:rsidR="000730EC" w:rsidRDefault="000730EC" w:rsidP="000730EC">
      <w:pPr>
        <w:spacing w:line="360" w:lineRule="auto"/>
        <w:jc w:val="both"/>
        <w:rPr>
          <w:sz w:val="22"/>
          <w:szCs w:val="22"/>
        </w:rPr>
      </w:pPr>
    </w:p>
    <w:p w:rsidR="009E045D" w:rsidRDefault="009E045D" w:rsidP="009E045D">
      <w:pPr>
        <w:spacing w:line="360" w:lineRule="auto"/>
        <w:jc w:val="both"/>
        <w:rPr>
          <w:sz w:val="22"/>
          <w:szCs w:val="22"/>
        </w:rPr>
      </w:pPr>
      <w:r>
        <w:rPr>
          <w:sz w:val="22"/>
          <w:szCs w:val="22"/>
        </w:rPr>
        <w:t xml:space="preserve">After the passage of SOX, prior studies have found lower accrual based earnings management. I predict that influence of SOX </w:t>
      </w:r>
      <w:r w:rsidR="0092697E">
        <w:rPr>
          <w:sz w:val="22"/>
          <w:szCs w:val="22"/>
        </w:rPr>
        <w:t>will reduce the effect of</w:t>
      </w:r>
      <w:r>
        <w:rPr>
          <w:sz w:val="22"/>
          <w:szCs w:val="22"/>
        </w:rPr>
        <w:t xml:space="preserve"> CEO and CFO </w:t>
      </w:r>
      <w:r w:rsidR="0092697E">
        <w:rPr>
          <w:sz w:val="22"/>
          <w:szCs w:val="22"/>
        </w:rPr>
        <w:t xml:space="preserve">equity incentives on </w:t>
      </w:r>
      <w:r>
        <w:rPr>
          <w:sz w:val="22"/>
          <w:szCs w:val="22"/>
        </w:rPr>
        <w:t>earnings management practices</w:t>
      </w:r>
      <w:r w:rsidR="0092697E" w:rsidRPr="000730EC">
        <w:rPr>
          <w:sz w:val="22"/>
          <w:szCs w:val="22"/>
        </w:rPr>
        <w:t xml:space="preserve"> </w:t>
      </w:r>
      <w:r w:rsidR="0092697E">
        <w:rPr>
          <w:sz w:val="22"/>
          <w:szCs w:val="22"/>
        </w:rPr>
        <w:t>and there is no association for the post-SOX period in</w:t>
      </w:r>
      <w:r>
        <w:rPr>
          <w:sz w:val="22"/>
          <w:szCs w:val="22"/>
        </w:rPr>
        <w:t xml:space="preserve"> the banking industry. The second </w:t>
      </w:r>
      <w:r w:rsidR="0092697E">
        <w:rPr>
          <w:sz w:val="22"/>
          <w:szCs w:val="22"/>
        </w:rPr>
        <w:t>and third hypothese</w:t>
      </w:r>
      <w:r>
        <w:rPr>
          <w:sz w:val="22"/>
          <w:szCs w:val="22"/>
        </w:rPr>
        <w:t>s</w:t>
      </w:r>
      <w:r w:rsidR="0092697E">
        <w:rPr>
          <w:sz w:val="22"/>
          <w:szCs w:val="22"/>
        </w:rPr>
        <w:t xml:space="preserve"> are</w:t>
      </w:r>
      <w:r>
        <w:rPr>
          <w:sz w:val="22"/>
          <w:szCs w:val="22"/>
        </w:rPr>
        <w:t xml:space="preserve"> </w:t>
      </w:r>
      <w:r w:rsidR="0092697E">
        <w:rPr>
          <w:sz w:val="22"/>
          <w:szCs w:val="22"/>
        </w:rPr>
        <w:t>therefore formulated as:</w:t>
      </w:r>
    </w:p>
    <w:p w:rsidR="009E045D" w:rsidRDefault="009E045D" w:rsidP="009E045D">
      <w:pPr>
        <w:spacing w:line="360" w:lineRule="auto"/>
        <w:jc w:val="both"/>
        <w:rPr>
          <w:sz w:val="22"/>
          <w:szCs w:val="22"/>
        </w:rPr>
      </w:pPr>
    </w:p>
    <w:p w:rsidR="009E045D" w:rsidRPr="000755BF" w:rsidRDefault="009E045D" w:rsidP="009E045D">
      <w:pPr>
        <w:spacing w:line="360" w:lineRule="auto"/>
        <w:ind w:left="708"/>
        <w:rPr>
          <w:sz w:val="22"/>
          <w:szCs w:val="22"/>
        </w:rPr>
      </w:pPr>
      <w:r w:rsidRPr="000730EC">
        <w:rPr>
          <w:b/>
          <w:sz w:val="22"/>
          <w:szCs w:val="22"/>
        </w:rPr>
        <w:t>H</w:t>
      </w:r>
      <w:r w:rsidR="0092697E">
        <w:rPr>
          <w:b/>
          <w:sz w:val="22"/>
          <w:szCs w:val="22"/>
          <w:vertAlign w:val="subscript"/>
        </w:rPr>
        <w:t>3</w:t>
      </w:r>
      <w:r w:rsidRPr="000730EC">
        <w:rPr>
          <w:b/>
          <w:sz w:val="22"/>
          <w:szCs w:val="22"/>
        </w:rPr>
        <w:t>:</w:t>
      </w:r>
      <w:r w:rsidRPr="000755BF">
        <w:rPr>
          <w:sz w:val="22"/>
          <w:szCs w:val="22"/>
        </w:rPr>
        <w:t xml:space="preserve"> Th</w:t>
      </w:r>
      <w:r>
        <w:rPr>
          <w:sz w:val="22"/>
          <w:szCs w:val="22"/>
        </w:rPr>
        <w:t>ere is no association between CE</w:t>
      </w:r>
      <w:r w:rsidRPr="000755BF">
        <w:rPr>
          <w:sz w:val="22"/>
          <w:szCs w:val="22"/>
        </w:rPr>
        <w:t>O equity incentives and earnings management</w:t>
      </w:r>
      <w:r>
        <w:rPr>
          <w:sz w:val="22"/>
          <w:szCs w:val="22"/>
        </w:rPr>
        <w:t xml:space="preserve"> in the post-SOX period of</w:t>
      </w:r>
      <w:r w:rsidRPr="000755BF">
        <w:rPr>
          <w:sz w:val="22"/>
          <w:szCs w:val="22"/>
        </w:rPr>
        <w:t xml:space="preserve"> the banking industry.</w:t>
      </w:r>
    </w:p>
    <w:p w:rsidR="009E045D" w:rsidRDefault="009E045D" w:rsidP="000730EC">
      <w:pPr>
        <w:spacing w:line="360" w:lineRule="auto"/>
        <w:jc w:val="both"/>
        <w:rPr>
          <w:sz w:val="22"/>
          <w:szCs w:val="22"/>
        </w:rPr>
      </w:pPr>
    </w:p>
    <w:p w:rsidR="009E045D" w:rsidRDefault="009E045D" w:rsidP="000730EC">
      <w:pPr>
        <w:spacing w:line="360" w:lineRule="auto"/>
        <w:jc w:val="both"/>
        <w:rPr>
          <w:sz w:val="22"/>
          <w:szCs w:val="22"/>
        </w:rPr>
      </w:pPr>
    </w:p>
    <w:p w:rsidR="000730EC" w:rsidRPr="000755BF" w:rsidRDefault="000730EC" w:rsidP="0094367E">
      <w:pPr>
        <w:spacing w:line="360" w:lineRule="auto"/>
        <w:ind w:left="708"/>
        <w:rPr>
          <w:sz w:val="22"/>
          <w:szCs w:val="22"/>
        </w:rPr>
      </w:pPr>
      <w:r w:rsidRPr="000730EC">
        <w:rPr>
          <w:b/>
          <w:sz w:val="22"/>
          <w:szCs w:val="22"/>
        </w:rPr>
        <w:t>H</w:t>
      </w:r>
      <w:r w:rsidRPr="000730EC">
        <w:rPr>
          <w:b/>
          <w:sz w:val="22"/>
          <w:szCs w:val="22"/>
          <w:vertAlign w:val="subscript"/>
        </w:rPr>
        <w:t>4</w:t>
      </w:r>
      <w:r w:rsidRPr="000730EC">
        <w:rPr>
          <w:b/>
          <w:sz w:val="22"/>
          <w:szCs w:val="22"/>
        </w:rPr>
        <w:t>:</w:t>
      </w:r>
      <w:r w:rsidRPr="000755BF">
        <w:rPr>
          <w:sz w:val="22"/>
          <w:szCs w:val="22"/>
        </w:rPr>
        <w:t xml:space="preserve"> There is no association between CFO equity incentives and earnings management</w:t>
      </w:r>
      <w:r w:rsidR="0094367E">
        <w:rPr>
          <w:sz w:val="22"/>
          <w:szCs w:val="22"/>
        </w:rPr>
        <w:t xml:space="preserve"> </w:t>
      </w:r>
      <w:r w:rsidR="0031073D">
        <w:rPr>
          <w:sz w:val="22"/>
          <w:szCs w:val="22"/>
        </w:rPr>
        <w:t>in the post-SOX period of</w:t>
      </w:r>
      <w:r w:rsidRPr="000755BF">
        <w:rPr>
          <w:sz w:val="22"/>
          <w:szCs w:val="22"/>
        </w:rPr>
        <w:t xml:space="preserve"> the banking industry.</w:t>
      </w:r>
    </w:p>
    <w:p w:rsidR="00595428" w:rsidRPr="000755BF" w:rsidRDefault="00595428" w:rsidP="00595428">
      <w:pPr>
        <w:spacing w:line="360" w:lineRule="auto"/>
        <w:jc w:val="both"/>
        <w:rPr>
          <w:sz w:val="22"/>
          <w:szCs w:val="22"/>
        </w:rPr>
      </w:pPr>
    </w:p>
    <w:p w:rsidR="000730EC" w:rsidRDefault="0058609F" w:rsidP="000730EC">
      <w:pPr>
        <w:spacing w:line="360" w:lineRule="auto"/>
        <w:jc w:val="both"/>
        <w:rPr>
          <w:sz w:val="22"/>
          <w:szCs w:val="22"/>
        </w:rPr>
      </w:pPr>
      <w:r>
        <w:rPr>
          <w:sz w:val="22"/>
          <w:szCs w:val="22"/>
        </w:rPr>
        <w:t xml:space="preserve">The SOX act has elevated the CFO with the same responsibilities of financial oversight as the CEO. Furthermore, as described in </w:t>
      </w:r>
      <w:r w:rsidR="00C7417E">
        <w:rPr>
          <w:sz w:val="22"/>
          <w:szCs w:val="22"/>
        </w:rPr>
        <w:t>paragraph 2.3, the SEC recently required</w:t>
      </w:r>
      <w:r>
        <w:rPr>
          <w:sz w:val="22"/>
          <w:szCs w:val="22"/>
        </w:rPr>
        <w:t xml:space="preserve"> additional disclosure of CFO compensation. </w:t>
      </w:r>
      <w:r w:rsidR="00CE22B6" w:rsidRPr="000755BF">
        <w:rPr>
          <w:sz w:val="22"/>
          <w:szCs w:val="22"/>
        </w:rPr>
        <w:t xml:space="preserve">For the </w:t>
      </w:r>
      <w:r w:rsidR="00C10C9D" w:rsidRPr="000755BF">
        <w:rPr>
          <w:sz w:val="22"/>
          <w:szCs w:val="22"/>
        </w:rPr>
        <w:t>increasing</w:t>
      </w:r>
      <w:r w:rsidR="00CE22B6" w:rsidRPr="000755BF">
        <w:rPr>
          <w:sz w:val="22"/>
          <w:szCs w:val="22"/>
        </w:rPr>
        <w:t xml:space="preserve"> concerns on the significant influence of the CFO, </w:t>
      </w:r>
      <w:r w:rsidR="00C10C9D" w:rsidRPr="000755BF">
        <w:rPr>
          <w:sz w:val="22"/>
          <w:szCs w:val="22"/>
        </w:rPr>
        <w:t xml:space="preserve">I </w:t>
      </w:r>
      <w:r w:rsidR="00CE22B6" w:rsidRPr="000755BF">
        <w:rPr>
          <w:sz w:val="22"/>
          <w:szCs w:val="22"/>
        </w:rPr>
        <w:t xml:space="preserve">will compare CFO equity incentives </w:t>
      </w:r>
      <w:r w:rsidR="00C10C9D" w:rsidRPr="000755BF">
        <w:rPr>
          <w:sz w:val="22"/>
          <w:szCs w:val="22"/>
        </w:rPr>
        <w:t>to apply</w:t>
      </w:r>
      <w:r w:rsidR="00CE22B6" w:rsidRPr="000755BF">
        <w:rPr>
          <w:sz w:val="22"/>
          <w:szCs w:val="22"/>
        </w:rPr>
        <w:t xml:space="preserve"> earnings management with </w:t>
      </w:r>
      <w:r w:rsidR="00C10C9D" w:rsidRPr="000755BF">
        <w:rPr>
          <w:sz w:val="22"/>
          <w:szCs w:val="22"/>
        </w:rPr>
        <w:t>that of the CEO.</w:t>
      </w:r>
      <w:r w:rsidR="003A2CF4">
        <w:rPr>
          <w:sz w:val="22"/>
          <w:szCs w:val="22"/>
        </w:rPr>
        <w:t xml:space="preserve"> I predict that CFO is more likely to engage earnings management than the CEO.</w:t>
      </w:r>
      <w:r w:rsidR="00C10C9D" w:rsidRPr="000755BF">
        <w:rPr>
          <w:sz w:val="22"/>
          <w:szCs w:val="22"/>
        </w:rPr>
        <w:t xml:space="preserve"> Therefore the last hypothesis is as follows:</w:t>
      </w:r>
      <w:r w:rsidR="000730EC" w:rsidRPr="000730EC">
        <w:rPr>
          <w:sz w:val="22"/>
          <w:szCs w:val="22"/>
        </w:rPr>
        <w:t xml:space="preserve"> </w:t>
      </w:r>
    </w:p>
    <w:p w:rsidR="000730EC" w:rsidRDefault="000730EC" w:rsidP="000730EC">
      <w:pPr>
        <w:spacing w:line="360" w:lineRule="auto"/>
        <w:jc w:val="both"/>
        <w:rPr>
          <w:sz w:val="22"/>
          <w:szCs w:val="22"/>
        </w:rPr>
      </w:pPr>
    </w:p>
    <w:p w:rsidR="000730EC" w:rsidRPr="000755BF" w:rsidRDefault="000730EC" w:rsidP="0094367E">
      <w:pPr>
        <w:spacing w:line="360" w:lineRule="auto"/>
        <w:ind w:left="708"/>
        <w:rPr>
          <w:sz w:val="22"/>
          <w:szCs w:val="22"/>
        </w:rPr>
      </w:pPr>
      <w:r w:rsidRPr="000730EC">
        <w:rPr>
          <w:b/>
          <w:sz w:val="22"/>
          <w:szCs w:val="22"/>
        </w:rPr>
        <w:t>H</w:t>
      </w:r>
      <w:r w:rsidRPr="000730EC">
        <w:rPr>
          <w:b/>
          <w:sz w:val="22"/>
          <w:szCs w:val="22"/>
          <w:vertAlign w:val="subscript"/>
        </w:rPr>
        <w:t>5</w:t>
      </w:r>
      <w:r w:rsidRPr="000730EC">
        <w:rPr>
          <w:b/>
          <w:sz w:val="22"/>
          <w:szCs w:val="22"/>
        </w:rPr>
        <w:t>:</w:t>
      </w:r>
      <w:r w:rsidRPr="000755BF">
        <w:rPr>
          <w:sz w:val="22"/>
          <w:szCs w:val="22"/>
        </w:rPr>
        <w:t xml:space="preserve"> CFO equity incentives are greater than CEO equity incen</w:t>
      </w:r>
      <w:r w:rsidR="0094367E">
        <w:rPr>
          <w:sz w:val="22"/>
          <w:szCs w:val="22"/>
        </w:rPr>
        <w:t xml:space="preserve">tives for the </w:t>
      </w:r>
      <w:r w:rsidR="004B7EBC">
        <w:rPr>
          <w:sz w:val="22"/>
          <w:szCs w:val="22"/>
        </w:rPr>
        <w:t xml:space="preserve">pre- and post-SOX </w:t>
      </w:r>
      <w:r w:rsidR="0094367E">
        <w:rPr>
          <w:sz w:val="22"/>
          <w:szCs w:val="22"/>
        </w:rPr>
        <w:t>period</w:t>
      </w:r>
      <w:r w:rsidR="004B7EBC">
        <w:rPr>
          <w:sz w:val="22"/>
          <w:szCs w:val="22"/>
        </w:rPr>
        <w:t>s</w:t>
      </w:r>
      <w:r w:rsidR="00D40016" w:rsidRPr="00D40016">
        <w:rPr>
          <w:sz w:val="22"/>
          <w:szCs w:val="22"/>
        </w:rPr>
        <w:t xml:space="preserve"> </w:t>
      </w:r>
      <w:r w:rsidR="00D40016" w:rsidRPr="000755BF">
        <w:rPr>
          <w:sz w:val="22"/>
          <w:szCs w:val="22"/>
        </w:rPr>
        <w:t>in the banking industry</w:t>
      </w:r>
      <w:r w:rsidRPr="000755BF">
        <w:rPr>
          <w:sz w:val="22"/>
          <w:szCs w:val="22"/>
        </w:rPr>
        <w:t>.</w:t>
      </w:r>
    </w:p>
    <w:p w:rsidR="00CE22B6" w:rsidRDefault="00CE22B6" w:rsidP="00CE22B6">
      <w:pPr>
        <w:spacing w:line="360" w:lineRule="auto"/>
        <w:jc w:val="both"/>
        <w:rPr>
          <w:sz w:val="22"/>
          <w:szCs w:val="22"/>
        </w:rPr>
      </w:pPr>
    </w:p>
    <w:p w:rsidR="009C3479" w:rsidRDefault="009C3479" w:rsidP="009C3479">
      <w:pPr>
        <w:autoSpaceDE w:val="0"/>
        <w:autoSpaceDN w:val="0"/>
        <w:adjustRightInd w:val="0"/>
        <w:spacing w:line="360" w:lineRule="auto"/>
        <w:jc w:val="both"/>
        <w:rPr>
          <w:sz w:val="22"/>
          <w:szCs w:val="22"/>
        </w:rPr>
      </w:pPr>
      <w:r>
        <w:rPr>
          <w:sz w:val="22"/>
          <w:szCs w:val="22"/>
        </w:rPr>
        <w:t>This research</w:t>
      </w:r>
      <w:r w:rsidRPr="00002B6A">
        <w:rPr>
          <w:sz w:val="22"/>
          <w:szCs w:val="22"/>
        </w:rPr>
        <w:t xml:space="preserve"> extend</w:t>
      </w:r>
      <w:r>
        <w:rPr>
          <w:sz w:val="22"/>
          <w:szCs w:val="22"/>
        </w:rPr>
        <w:t>s</w:t>
      </w:r>
      <w:r w:rsidRPr="00002B6A">
        <w:rPr>
          <w:sz w:val="22"/>
          <w:szCs w:val="22"/>
        </w:rPr>
        <w:t xml:space="preserve"> the previous accounting literature on equity incentives and earnings management in several ways. First despite the acknowledgement of significant influence of CFOs in the financial reporting process and the disclosure requirements for CFOs made by SOX and the SEC, there is little academic research conducted to investigate the effects of the CFO</w:t>
      </w:r>
      <w:r>
        <w:rPr>
          <w:sz w:val="22"/>
          <w:szCs w:val="22"/>
        </w:rPr>
        <w:t xml:space="preserve"> equity incentives</w:t>
      </w:r>
      <w:r w:rsidRPr="00002B6A">
        <w:rPr>
          <w:sz w:val="22"/>
          <w:szCs w:val="22"/>
        </w:rPr>
        <w:t xml:space="preserve"> on earnings management. Secondly, prior studies on earnings management often exclude financial institutions from their sample, which means that there aren’t many studies covering earnings management in the banking industry. </w:t>
      </w:r>
      <w:r>
        <w:rPr>
          <w:sz w:val="22"/>
          <w:szCs w:val="22"/>
        </w:rPr>
        <w:t xml:space="preserve">And third, this research gives some insight as to whether the implementation of SOX has been effective on reducing earnings management in the banking industry. </w:t>
      </w:r>
    </w:p>
    <w:p w:rsidR="009C3479" w:rsidRDefault="009C3479" w:rsidP="00CE22B6">
      <w:pPr>
        <w:spacing w:line="360" w:lineRule="auto"/>
        <w:jc w:val="both"/>
        <w:rPr>
          <w:sz w:val="22"/>
          <w:szCs w:val="22"/>
        </w:rPr>
      </w:pPr>
    </w:p>
    <w:p w:rsidR="00537159" w:rsidRDefault="00537159" w:rsidP="00CE22B6">
      <w:pPr>
        <w:spacing w:line="360" w:lineRule="auto"/>
        <w:jc w:val="both"/>
        <w:rPr>
          <w:sz w:val="22"/>
          <w:szCs w:val="22"/>
        </w:rPr>
      </w:pPr>
      <w:r>
        <w:rPr>
          <w:sz w:val="22"/>
          <w:szCs w:val="22"/>
        </w:rPr>
        <w:t>The next chapter will present the research design</w:t>
      </w:r>
      <w:r w:rsidR="0017094A">
        <w:rPr>
          <w:sz w:val="22"/>
          <w:szCs w:val="22"/>
        </w:rPr>
        <w:t xml:space="preserve"> and sample selection</w:t>
      </w:r>
      <w:r>
        <w:rPr>
          <w:sz w:val="22"/>
          <w:szCs w:val="22"/>
        </w:rPr>
        <w:t>.</w:t>
      </w: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9F3CCB" w:rsidRDefault="009F3CCB" w:rsidP="00CE22B6">
      <w:pPr>
        <w:spacing w:line="360" w:lineRule="auto"/>
        <w:jc w:val="both"/>
        <w:rPr>
          <w:sz w:val="22"/>
          <w:szCs w:val="22"/>
        </w:rPr>
      </w:pPr>
    </w:p>
    <w:p w:rsidR="00AA3F06" w:rsidRDefault="00145921" w:rsidP="00533672">
      <w:pPr>
        <w:pStyle w:val="Kop1"/>
        <w:jc w:val="center"/>
        <w:rPr>
          <w:rFonts w:cs="Times New Roman"/>
          <w:szCs w:val="24"/>
        </w:rPr>
      </w:pPr>
      <w:bookmarkStart w:id="56" w:name="_Toc287614186"/>
      <w:r>
        <w:rPr>
          <w:rFonts w:cs="Times New Roman"/>
          <w:szCs w:val="24"/>
        </w:rPr>
        <w:lastRenderedPageBreak/>
        <w:t>6</w:t>
      </w:r>
      <w:r w:rsidR="00AA3F06" w:rsidRPr="00533672">
        <w:rPr>
          <w:rFonts w:cs="Times New Roman"/>
          <w:szCs w:val="24"/>
        </w:rPr>
        <w:t xml:space="preserve">. </w:t>
      </w:r>
      <w:r w:rsidR="00533672">
        <w:rPr>
          <w:rFonts w:cs="Times New Roman"/>
          <w:szCs w:val="24"/>
        </w:rPr>
        <w:t>RESEARCH DESIGN</w:t>
      </w:r>
      <w:bookmarkEnd w:id="56"/>
    </w:p>
    <w:p w:rsidR="00533672" w:rsidRPr="00533672" w:rsidRDefault="00533672" w:rsidP="00533672"/>
    <w:p w:rsidR="00533672" w:rsidRPr="00725DC7" w:rsidRDefault="009C3479" w:rsidP="002B0EE1">
      <w:pPr>
        <w:autoSpaceDE w:val="0"/>
        <w:autoSpaceDN w:val="0"/>
        <w:adjustRightInd w:val="0"/>
        <w:spacing w:line="360" w:lineRule="auto"/>
        <w:jc w:val="both"/>
        <w:rPr>
          <w:i/>
          <w:color w:val="000000"/>
          <w:sz w:val="22"/>
          <w:szCs w:val="22"/>
        </w:rPr>
      </w:pPr>
      <w:r>
        <w:rPr>
          <w:rFonts w:ascii="TimesNewRoman" w:hAnsi="TimesNewRoman" w:cs="TimesNewRoman"/>
          <w:sz w:val="22"/>
          <w:szCs w:val="22"/>
        </w:rPr>
        <w:t>In t</w:t>
      </w:r>
      <w:r w:rsidR="00866C6A">
        <w:rPr>
          <w:rFonts w:ascii="TimesNewRoman" w:hAnsi="TimesNewRoman" w:cs="TimesNewRoman"/>
          <w:sz w:val="22"/>
          <w:szCs w:val="22"/>
        </w:rPr>
        <w:t xml:space="preserve">he previous chapter </w:t>
      </w:r>
      <w:r>
        <w:rPr>
          <w:rFonts w:ascii="TimesNewRoman" w:hAnsi="TimesNewRoman" w:cs="TimesNewRoman"/>
          <w:sz w:val="22"/>
          <w:szCs w:val="22"/>
        </w:rPr>
        <w:t xml:space="preserve">the </w:t>
      </w:r>
      <w:r w:rsidR="00BB1B67">
        <w:rPr>
          <w:rFonts w:ascii="TimesNewRoman" w:hAnsi="TimesNewRoman" w:cs="TimesNewRoman"/>
          <w:sz w:val="22"/>
          <w:szCs w:val="22"/>
        </w:rPr>
        <w:t>hypothese</w:t>
      </w:r>
      <w:r w:rsidR="00866C6A">
        <w:rPr>
          <w:rFonts w:ascii="TimesNewRoman" w:hAnsi="TimesNewRoman" w:cs="TimesNewRoman"/>
          <w:sz w:val="22"/>
          <w:szCs w:val="22"/>
        </w:rPr>
        <w:t>s</w:t>
      </w:r>
      <w:r>
        <w:rPr>
          <w:rFonts w:ascii="TimesNewRoman" w:hAnsi="TimesNewRoman" w:cs="TimesNewRoman"/>
          <w:sz w:val="22"/>
          <w:szCs w:val="22"/>
        </w:rPr>
        <w:t xml:space="preserve"> were developed</w:t>
      </w:r>
      <w:r w:rsidR="00866C6A">
        <w:rPr>
          <w:rFonts w:ascii="TimesNewRoman" w:hAnsi="TimesNewRoman" w:cs="TimesNewRoman"/>
          <w:sz w:val="22"/>
          <w:szCs w:val="22"/>
        </w:rPr>
        <w:t xml:space="preserve">. </w:t>
      </w:r>
      <w:r w:rsidR="00FB7E48">
        <w:rPr>
          <w:rFonts w:ascii="TimesNewRoman" w:hAnsi="TimesNewRoman" w:cs="TimesNewRoman"/>
          <w:sz w:val="22"/>
          <w:szCs w:val="22"/>
        </w:rPr>
        <w:t xml:space="preserve">In this chapter I will </w:t>
      </w:r>
      <w:r w:rsidR="00BB1B67">
        <w:rPr>
          <w:rFonts w:ascii="TimesNewRoman" w:hAnsi="TimesNewRoman" w:cs="TimesNewRoman"/>
          <w:sz w:val="22"/>
          <w:szCs w:val="22"/>
        </w:rPr>
        <w:t xml:space="preserve">present </w:t>
      </w:r>
      <w:r w:rsidR="00FB7E48">
        <w:rPr>
          <w:rFonts w:ascii="TimesNewRoman" w:hAnsi="TimesNewRoman" w:cs="TimesNewRoman"/>
          <w:sz w:val="22"/>
          <w:szCs w:val="22"/>
        </w:rPr>
        <w:t xml:space="preserve">the setup of the methodology used for the empirical part of this thesis. </w:t>
      </w:r>
      <w:r w:rsidR="00533672">
        <w:rPr>
          <w:rFonts w:ascii="TimesNewRoman" w:hAnsi="TimesNewRoman" w:cs="TimesNewRoman"/>
          <w:sz w:val="22"/>
          <w:szCs w:val="22"/>
        </w:rPr>
        <w:t xml:space="preserve">First I will </w:t>
      </w:r>
      <w:r w:rsidR="00866C6A">
        <w:rPr>
          <w:rFonts w:ascii="TimesNewRoman" w:hAnsi="TimesNewRoman" w:cs="TimesNewRoman"/>
          <w:sz w:val="22"/>
          <w:szCs w:val="22"/>
        </w:rPr>
        <w:t>explain the research model used for testing the hypotheses</w:t>
      </w:r>
      <w:r w:rsidR="00533672">
        <w:rPr>
          <w:rFonts w:ascii="TimesNewRoman" w:hAnsi="TimesNewRoman" w:cs="TimesNewRoman"/>
          <w:sz w:val="22"/>
          <w:szCs w:val="22"/>
        </w:rPr>
        <w:t>. Then I will</w:t>
      </w:r>
      <w:r w:rsidR="00866C6A" w:rsidRPr="00866C6A">
        <w:rPr>
          <w:rFonts w:ascii="TimesNewRoman" w:hAnsi="TimesNewRoman" w:cs="TimesNewRoman"/>
          <w:sz w:val="22"/>
          <w:szCs w:val="22"/>
        </w:rPr>
        <w:t xml:space="preserve"> </w:t>
      </w:r>
      <w:r w:rsidR="00866C6A">
        <w:rPr>
          <w:rFonts w:ascii="TimesNewRoman" w:hAnsi="TimesNewRoman" w:cs="TimesNewRoman"/>
          <w:sz w:val="22"/>
          <w:szCs w:val="22"/>
        </w:rPr>
        <w:t>elaborate my sample selection</w:t>
      </w:r>
      <w:r w:rsidR="00533672">
        <w:rPr>
          <w:rFonts w:ascii="TimesNewRoman" w:hAnsi="TimesNewRoman" w:cs="TimesNewRoman"/>
          <w:sz w:val="22"/>
          <w:szCs w:val="22"/>
        </w:rPr>
        <w:t xml:space="preserve">. </w:t>
      </w:r>
    </w:p>
    <w:p w:rsidR="00D42703" w:rsidRDefault="00D42703" w:rsidP="00FB7E48">
      <w:pPr>
        <w:autoSpaceDE w:val="0"/>
        <w:autoSpaceDN w:val="0"/>
        <w:adjustRightInd w:val="0"/>
        <w:spacing w:line="360" w:lineRule="auto"/>
        <w:jc w:val="both"/>
        <w:rPr>
          <w:rFonts w:ascii="TimesNewRoman" w:hAnsi="TimesNewRoman" w:cs="TimesNewRoman"/>
          <w:sz w:val="22"/>
          <w:szCs w:val="22"/>
        </w:rPr>
      </w:pPr>
    </w:p>
    <w:p w:rsidR="005563BF" w:rsidRPr="006F789D" w:rsidRDefault="00145921" w:rsidP="005563BF">
      <w:pPr>
        <w:pStyle w:val="Kop2"/>
      </w:pPr>
      <w:bookmarkStart w:id="57" w:name="_Toc287614187"/>
      <w:r>
        <w:t>6</w:t>
      </w:r>
      <w:r w:rsidR="00481BDA">
        <w:t>.1</w:t>
      </w:r>
      <w:r w:rsidR="00F2024E" w:rsidRPr="001D49CF">
        <w:t xml:space="preserve"> </w:t>
      </w:r>
      <w:r w:rsidR="005563BF" w:rsidRPr="006F789D">
        <w:t>Descriptive analysis of the used models and variables</w:t>
      </w:r>
      <w:bookmarkEnd w:id="57"/>
    </w:p>
    <w:p w:rsidR="005563BF" w:rsidRPr="005563BF" w:rsidRDefault="005563BF" w:rsidP="005563BF">
      <w:pPr>
        <w:spacing w:line="360" w:lineRule="auto"/>
        <w:jc w:val="both"/>
        <w:rPr>
          <w:sz w:val="22"/>
          <w:szCs w:val="22"/>
          <w:u w:val="single"/>
        </w:rPr>
      </w:pPr>
      <w:r w:rsidRPr="005563BF">
        <w:rPr>
          <w:sz w:val="22"/>
          <w:szCs w:val="22"/>
        </w:rPr>
        <w:t>To measure the association between equity incentives and earnings management I use a two stage research approach. In the first stage I estimate the equity incentive</w:t>
      </w:r>
      <w:r w:rsidR="000F6328">
        <w:rPr>
          <w:sz w:val="22"/>
          <w:szCs w:val="22"/>
        </w:rPr>
        <w:t>s</w:t>
      </w:r>
      <w:r w:rsidRPr="005563BF">
        <w:rPr>
          <w:sz w:val="22"/>
          <w:szCs w:val="22"/>
        </w:rPr>
        <w:t xml:space="preserve"> and</w:t>
      </w:r>
      <w:r w:rsidR="000F6328">
        <w:rPr>
          <w:sz w:val="22"/>
          <w:szCs w:val="22"/>
        </w:rPr>
        <w:t xml:space="preserve"> discretionary loan loss provision</w:t>
      </w:r>
      <w:r w:rsidRPr="005563BF">
        <w:rPr>
          <w:sz w:val="22"/>
          <w:szCs w:val="22"/>
        </w:rPr>
        <w:t xml:space="preserve">. In the second stage I use the estimated variables in a regression to determine </w:t>
      </w:r>
      <w:r w:rsidR="00764E14">
        <w:rPr>
          <w:sz w:val="22"/>
          <w:szCs w:val="22"/>
        </w:rPr>
        <w:t>the</w:t>
      </w:r>
      <w:r w:rsidRPr="005563BF">
        <w:rPr>
          <w:sz w:val="22"/>
          <w:szCs w:val="22"/>
        </w:rPr>
        <w:t xml:space="preserve"> relationship between equity incentives and earnings management.</w:t>
      </w:r>
    </w:p>
    <w:p w:rsidR="004B470D" w:rsidRPr="00002B6A" w:rsidRDefault="004B470D" w:rsidP="004B470D">
      <w:pPr>
        <w:autoSpaceDE w:val="0"/>
        <w:autoSpaceDN w:val="0"/>
        <w:adjustRightInd w:val="0"/>
        <w:spacing w:line="360" w:lineRule="auto"/>
        <w:jc w:val="both"/>
        <w:rPr>
          <w:rFonts w:ascii="TimesNewRoman" w:hAnsi="TimesNewRoman" w:cs="TimesNewRoman"/>
          <w:sz w:val="22"/>
          <w:szCs w:val="22"/>
        </w:rPr>
      </w:pPr>
    </w:p>
    <w:p w:rsidR="005563BF" w:rsidRDefault="005563BF" w:rsidP="005563BF">
      <w:pPr>
        <w:spacing w:line="360" w:lineRule="auto"/>
        <w:jc w:val="both"/>
        <w:rPr>
          <w:b/>
          <w:sz w:val="22"/>
          <w:szCs w:val="22"/>
        </w:rPr>
      </w:pPr>
      <w:r w:rsidRPr="005563BF">
        <w:rPr>
          <w:b/>
          <w:sz w:val="22"/>
          <w:szCs w:val="22"/>
        </w:rPr>
        <w:t>First stage</w:t>
      </w:r>
    </w:p>
    <w:p w:rsidR="005563BF" w:rsidRPr="000C4FC5" w:rsidRDefault="005563BF" w:rsidP="005563BF">
      <w:pPr>
        <w:spacing w:line="360" w:lineRule="auto"/>
        <w:jc w:val="both"/>
        <w:rPr>
          <w:sz w:val="22"/>
          <w:szCs w:val="22"/>
          <w:u w:val="single"/>
        </w:rPr>
      </w:pPr>
      <w:r w:rsidRPr="000C4FC5">
        <w:rPr>
          <w:sz w:val="22"/>
          <w:szCs w:val="22"/>
          <w:u w:val="single"/>
        </w:rPr>
        <w:t>Equity incentives</w:t>
      </w:r>
    </w:p>
    <w:p w:rsidR="005563BF" w:rsidRPr="005563BF" w:rsidRDefault="005563BF" w:rsidP="005563BF">
      <w:pPr>
        <w:spacing w:line="360" w:lineRule="auto"/>
        <w:jc w:val="both"/>
        <w:rPr>
          <w:sz w:val="22"/>
          <w:szCs w:val="22"/>
        </w:rPr>
      </w:pPr>
      <w:r w:rsidRPr="005563BF">
        <w:rPr>
          <w:sz w:val="22"/>
          <w:szCs w:val="22"/>
        </w:rPr>
        <w:t>Equity incentives (</w:t>
      </w:r>
      <w:proofErr w:type="spellStart"/>
      <w:r w:rsidRPr="005563BF">
        <w:rPr>
          <w:sz w:val="22"/>
          <w:szCs w:val="22"/>
        </w:rPr>
        <w:t>EI</w:t>
      </w:r>
      <w:r w:rsidRPr="005563BF">
        <w:rPr>
          <w:sz w:val="22"/>
          <w:szCs w:val="22"/>
          <w:vertAlign w:val="subscript"/>
        </w:rPr>
        <w:t>i,t</w:t>
      </w:r>
      <w:proofErr w:type="spellEnd"/>
      <w:r w:rsidRPr="005563BF">
        <w:rPr>
          <w:sz w:val="22"/>
          <w:szCs w:val="22"/>
        </w:rPr>
        <w:t xml:space="preserve">) </w:t>
      </w:r>
      <w:r w:rsidR="00B94EA2">
        <w:rPr>
          <w:sz w:val="22"/>
          <w:szCs w:val="22"/>
        </w:rPr>
        <w:t xml:space="preserve">is a </w:t>
      </w:r>
      <w:r w:rsidR="00F16099">
        <w:rPr>
          <w:sz w:val="22"/>
          <w:szCs w:val="22"/>
        </w:rPr>
        <w:t>ratio</w:t>
      </w:r>
      <w:r w:rsidR="00B94EA2">
        <w:rPr>
          <w:sz w:val="22"/>
          <w:szCs w:val="22"/>
        </w:rPr>
        <w:t xml:space="preserve"> and is measured </w:t>
      </w:r>
      <w:r w:rsidR="00475915">
        <w:rPr>
          <w:sz w:val="22"/>
          <w:szCs w:val="22"/>
        </w:rPr>
        <w:t>as</w:t>
      </w:r>
      <w:r w:rsidR="00B94EA2">
        <w:rPr>
          <w:sz w:val="22"/>
          <w:szCs w:val="22"/>
        </w:rPr>
        <w:t xml:space="preserve"> the number of </w:t>
      </w:r>
      <w:r w:rsidRPr="005563BF">
        <w:rPr>
          <w:sz w:val="22"/>
          <w:szCs w:val="22"/>
        </w:rPr>
        <w:t xml:space="preserve">options grants, </w:t>
      </w:r>
      <w:proofErr w:type="spellStart"/>
      <w:r w:rsidRPr="005563BF">
        <w:rPr>
          <w:sz w:val="22"/>
          <w:szCs w:val="22"/>
        </w:rPr>
        <w:t>unexercisable</w:t>
      </w:r>
      <w:proofErr w:type="spellEnd"/>
      <w:r w:rsidRPr="005563BF">
        <w:rPr>
          <w:sz w:val="22"/>
          <w:szCs w:val="22"/>
        </w:rPr>
        <w:t xml:space="preserve"> options, exercisable options, stock ownership and restricted stocks, divided by the number of outstanding shares. </w:t>
      </w:r>
      <w:r w:rsidR="00B94EA2">
        <w:rPr>
          <w:sz w:val="22"/>
          <w:szCs w:val="22"/>
        </w:rPr>
        <w:t>An option is taken as a share’s equivalent and is measured in shares.</w:t>
      </w:r>
      <w:r w:rsidRPr="005563BF">
        <w:rPr>
          <w:sz w:val="22"/>
          <w:szCs w:val="22"/>
        </w:rPr>
        <w:t xml:space="preserve"> Total equity incent</w:t>
      </w:r>
      <w:r w:rsidR="00C77A19">
        <w:rPr>
          <w:sz w:val="22"/>
          <w:szCs w:val="22"/>
        </w:rPr>
        <w:t xml:space="preserve">ives are the sum of the </w:t>
      </w:r>
      <w:r w:rsidR="00D47AA2">
        <w:rPr>
          <w:sz w:val="22"/>
          <w:szCs w:val="22"/>
        </w:rPr>
        <w:t>stock and option compensation package</w:t>
      </w:r>
      <w:r w:rsidRPr="005563BF">
        <w:rPr>
          <w:sz w:val="22"/>
          <w:szCs w:val="22"/>
        </w:rPr>
        <w:t>.</w:t>
      </w:r>
    </w:p>
    <w:p w:rsidR="005563BF" w:rsidRDefault="005563BF" w:rsidP="005563BF">
      <w:pPr>
        <w:spacing w:line="360" w:lineRule="auto"/>
        <w:jc w:val="both"/>
        <w:rPr>
          <w:sz w:val="22"/>
          <w:szCs w:val="22"/>
        </w:rPr>
      </w:pPr>
    </w:p>
    <w:p w:rsidR="00E1376E" w:rsidRPr="005563BF" w:rsidRDefault="00E1376E" w:rsidP="005563BF">
      <w:pPr>
        <w:spacing w:line="360" w:lineRule="auto"/>
        <w:jc w:val="both"/>
        <w:rPr>
          <w:sz w:val="22"/>
          <w:szCs w:val="22"/>
        </w:rPr>
      </w:pPr>
      <w:r>
        <w:rPr>
          <w:sz w:val="22"/>
          <w:szCs w:val="22"/>
        </w:rPr>
        <w:t>Where:</w:t>
      </w:r>
    </w:p>
    <w:p w:rsidR="005563BF" w:rsidRPr="005563BF" w:rsidRDefault="005563BF" w:rsidP="005563BF">
      <w:pPr>
        <w:spacing w:line="360" w:lineRule="auto"/>
        <w:jc w:val="both"/>
        <w:rPr>
          <w:sz w:val="22"/>
          <w:szCs w:val="22"/>
        </w:rPr>
      </w:pP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i/>
          <w:sz w:val="22"/>
          <w:szCs w:val="22"/>
        </w:rPr>
        <w:t xml:space="preserve"> option grants</w:t>
      </w:r>
      <w:r w:rsidRPr="005563BF">
        <w:rPr>
          <w:sz w:val="22"/>
          <w:szCs w:val="22"/>
        </w:rPr>
        <w:t xml:space="preserve"> = option grants / common shares ou</w:t>
      </w:r>
      <w:r w:rsidR="00FC7821">
        <w:rPr>
          <w:sz w:val="22"/>
          <w:szCs w:val="22"/>
        </w:rPr>
        <w:t>tstanding;</w:t>
      </w:r>
    </w:p>
    <w:p w:rsidR="005563BF" w:rsidRPr="005563BF" w:rsidRDefault="005563BF" w:rsidP="005563BF">
      <w:pPr>
        <w:spacing w:line="360" w:lineRule="auto"/>
        <w:jc w:val="both"/>
        <w:rPr>
          <w:sz w:val="22"/>
          <w:szCs w:val="22"/>
        </w:rPr>
      </w:pP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i/>
          <w:sz w:val="22"/>
          <w:szCs w:val="22"/>
          <w:vertAlign w:val="subscript"/>
        </w:rPr>
        <w:t xml:space="preserve"> </w:t>
      </w:r>
      <w:proofErr w:type="spellStart"/>
      <w:r w:rsidRPr="005563BF">
        <w:rPr>
          <w:i/>
          <w:sz w:val="22"/>
          <w:szCs w:val="22"/>
        </w:rPr>
        <w:t>unexercisable</w:t>
      </w:r>
      <w:proofErr w:type="spellEnd"/>
      <w:r w:rsidRPr="005563BF">
        <w:rPr>
          <w:i/>
          <w:sz w:val="22"/>
          <w:szCs w:val="22"/>
        </w:rPr>
        <w:t xml:space="preserve"> options</w:t>
      </w:r>
      <w:r w:rsidRPr="005563BF">
        <w:rPr>
          <w:sz w:val="22"/>
          <w:szCs w:val="22"/>
        </w:rPr>
        <w:t xml:space="preserve"> =  unexercised </w:t>
      </w:r>
      <w:proofErr w:type="spellStart"/>
      <w:r w:rsidRPr="005563BF">
        <w:rPr>
          <w:sz w:val="22"/>
          <w:szCs w:val="22"/>
        </w:rPr>
        <w:t>unexercisable</w:t>
      </w:r>
      <w:proofErr w:type="spellEnd"/>
      <w:r w:rsidRPr="005563BF">
        <w:rPr>
          <w:sz w:val="22"/>
          <w:szCs w:val="22"/>
        </w:rPr>
        <w:t xml:space="preserve"> options / common shares outstanding</w:t>
      </w:r>
      <w:r w:rsidR="00FC7821">
        <w:rPr>
          <w:sz w:val="22"/>
          <w:szCs w:val="22"/>
        </w:rPr>
        <w:t>;</w:t>
      </w:r>
    </w:p>
    <w:p w:rsidR="005563BF" w:rsidRPr="005563BF" w:rsidRDefault="005563BF" w:rsidP="005563BF">
      <w:pPr>
        <w:spacing w:line="360" w:lineRule="auto"/>
        <w:jc w:val="both"/>
        <w:rPr>
          <w:sz w:val="22"/>
          <w:szCs w:val="22"/>
        </w:rPr>
      </w:pP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i/>
          <w:sz w:val="22"/>
          <w:szCs w:val="22"/>
        </w:rPr>
        <w:t xml:space="preserve"> exercisable options</w:t>
      </w:r>
      <w:r w:rsidRPr="005563BF">
        <w:rPr>
          <w:sz w:val="22"/>
          <w:szCs w:val="22"/>
        </w:rPr>
        <w:t xml:space="preserve"> = unexercised exercisable options / common shares outstanding</w:t>
      </w:r>
      <w:r w:rsidR="00FC7821">
        <w:rPr>
          <w:sz w:val="22"/>
          <w:szCs w:val="22"/>
        </w:rPr>
        <w:t>;</w:t>
      </w:r>
    </w:p>
    <w:p w:rsidR="005563BF" w:rsidRPr="005563BF" w:rsidRDefault="005563BF" w:rsidP="005563BF">
      <w:pPr>
        <w:spacing w:line="360" w:lineRule="auto"/>
        <w:jc w:val="both"/>
        <w:rPr>
          <w:sz w:val="22"/>
          <w:szCs w:val="22"/>
        </w:rPr>
      </w:pP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i/>
          <w:sz w:val="22"/>
          <w:szCs w:val="22"/>
        </w:rPr>
        <w:t xml:space="preserve"> shares</w:t>
      </w:r>
      <w:r w:rsidRPr="005563BF">
        <w:rPr>
          <w:sz w:val="22"/>
          <w:szCs w:val="22"/>
        </w:rPr>
        <w:t xml:space="preserve"> = shares owned / common shares outstanding</w:t>
      </w:r>
      <w:r w:rsidR="00FC7821">
        <w:rPr>
          <w:sz w:val="22"/>
          <w:szCs w:val="22"/>
        </w:rPr>
        <w:t>;</w:t>
      </w:r>
    </w:p>
    <w:p w:rsidR="005563BF" w:rsidRPr="005563BF" w:rsidRDefault="005563BF" w:rsidP="005563BF">
      <w:pPr>
        <w:spacing w:line="360" w:lineRule="auto"/>
        <w:jc w:val="both"/>
        <w:rPr>
          <w:sz w:val="22"/>
          <w:szCs w:val="22"/>
        </w:rPr>
      </w:pP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i/>
          <w:sz w:val="22"/>
          <w:szCs w:val="22"/>
        </w:rPr>
        <w:t xml:space="preserve"> restricted stock</w:t>
      </w:r>
      <w:r w:rsidRPr="005563BF">
        <w:rPr>
          <w:sz w:val="22"/>
          <w:szCs w:val="22"/>
        </w:rPr>
        <w:t xml:space="preserve"> = restricted stock holdings / common shares outstanding</w:t>
      </w:r>
      <w:r w:rsidR="00FC7821">
        <w:rPr>
          <w:sz w:val="22"/>
          <w:szCs w:val="22"/>
        </w:rPr>
        <w:t>;</w:t>
      </w:r>
    </w:p>
    <w:p w:rsidR="005563BF" w:rsidRPr="005563BF" w:rsidRDefault="005563BF" w:rsidP="005563BF">
      <w:pPr>
        <w:spacing w:line="360" w:lineRule="auto"/>
        <w:jc w:val="both"/>
        <w:rPr>
          <w:sz w:val="22"/>
          <w:szCs w:val="22"/>
        </w:rPr>
      </w:pPr>
      <w:r w:rsidRPr="005563BF">
        <w:rPr>
          <w:i/>
          <w:sz w:val="22"/>
          <w:szCs w:val="22"/>
        </w:rPr>
        <w:t xml:space="preserve">Total </w:t>
      </w:r>
      <w:proofErr w:type="spellStart"/>
      <w:r w:rsidRPr="005563BF">
        <w:rPr>
          <w:i/>
          <w:sz w:val="22"/>
          <w:szCs w:val="22"/>
        </w:rPr>
        <w:t>EI</w:t>
      </w:r>
      <w:r w:rsidRPr="005563BF">
        <w:rPr>
          <w:i/>
          <w:sz w:val="22"/>
          <w:szCs w:val="22"/>
          <w:vertAlign w:val="subscript"/>
        </w:rPr>
        <w:t>i</w:t>
      </w:r>
      <w:proofErr w:type="gramStart"/>
      <w:r w:rsidRPr="005563BF">
        <w:rPr>
          <w:i/>
          <w:sz w:val="22"/>
          <w:szCs w:val="22"/>
          <w:vertAlign w:val="subscript"/>
        </w:rPr>
        <w:t>,t</w:t>
      </w:r>
      <w:proofErr w:type="spellEnd"/>
      <w:proofErr w:type="gramEnd"/>
      <w:r w:rsidRPr="005563BF">
        <w:rPr>
          <w:sz w:val="22"/>
          <w:szCs w:val="22"/>
          <w:vertAlign w:val="subscript"/>
        </w:rPr>
        <w:t xml:space="preserve"> </w:t>
      </w:r>
      <w:r w:rsidRPr="005563BF">
        <w:rPr>
          <w:sz w:val="22"/>
          <w:szCs w:val="22"/>
        </w:rPr>
        <w:t xml:space="preserve">= </w:t>
      </w:r>
      <w:proofErr w:type="spellStart"/>
      <w:r w:rsidRPr="005563BF">
        <w:rPr>
          <w:sz w:val="22"/>
          <w:szCs w:val="22"/>
        </w:rPr>
        <w:t>EI</w:t>
      </w:r>
      <w:r w:rsidRPr="005563BF">
        <w:rPr>
          <w:sz w:val="22"/>
          <w:szCs w:val="22"/>
          <w:vertAlign w:val="subscript"/>
        </w:rPr>
        <w:t>i,t</w:t>
      </w:r>
      <w:proofErr w:type="spellEnd"/>
      <w:r w:rsidRPr="005563BF">
        <w:rPr>
          <w:sz w:val="22"/>
          <w:szCs w:val="22"/>
        </w:rPr>
        <w:t xml:space="preserve"> option grants + </w:t>
      </w:r>
      <w:proofErr w:type="spellStart"/>
      <w:r w:rsidRPr="005563BF">
        <w:rPr>
          <w:sz w:val="22"/>
          <w:szCs w:val="22"/>
        </w:rPr>
        <w:t>EI</w:t>
      </w:r>
      <w:r w:rsidRPr="005563BF">
        <w:rPr>
          <w:sz w:val="22"/>
          <w:szCs w:val="22"/>
          <w:vertAlign w:val="subscript"/>
        </w:rPr>
        <w:t>i,t</w:t>
      </w:r>
      <w:proofErr w:type="spellEnd"/>
      <w:r w:rsidRPr="005563BF">
        <w:rPr>
          <w:sz w:val="22"/>
          <w:szCs w:val="22"/>
          <w:vertAlign w:val="subscript"/>
        </w:rPr>
        <w:t xml:space="preserve"> </w:t>
      </w:r>
      <w:proofErr w:type="spellStart"/>
      <w:r w:rsidRPr="005563BF">
        <w:rPr>
          <w:sz w:val="22"/>
          <w:szCs w:val="22"/>
        </w:rPr>
        <w:t>unexercisable</w:t>
      </w:r>
      <w:proofErr w:type="spellEnd"/>
      <w:r w:rsidRPr="005563BF">
        <w:rPr>
          <w:sz w:val="22"/>
          <w:szCs w:val="22"/>
        </w:rPr>
        <w:t xml:space="preserve"> options + </w:t>
      </w:r>
      <w:proofErr w:type="spellStart"/>
      <w:r w:rsidRPr="005563BF">
        <w:rPr>
          <w:sz w:val="22"/>
          <w:szCs w:val="22"/>
        </w:rPr>
        <w:t>EI</w:t>
      </w:r>
      <w:r w:rsidRPr="005563BF">
        <w:rPr>
          <w:sz w:val="22"/>
          <w:szCs w:val="22"/>
          <w:vertAlign w:val="subscript"/>
        </w:rPr>
        <w:t>i,t</w:t>
      </w:r>
      <w:proofErr w:type="spellEnd"/>
      <w:r w:rsidRPr="005563BF">
        <w:rPr>
          <w:sz w:val="22"/>
          <w:szCs w:val="22"/>
        </w:rPr>
        <w:t xml:space="preserve"> exercisable options + </w:t>
      </w:r>
      <w:proofErr w:type="spellStart"/>
      <w:r w:rsidRPr="005563BF">
        <w:rPr>
          <w:sz w:val="22"/>
          <w:szCs w:val="22"/>
        </w:rPr>
        <w:t>EI</w:t>
      </w:r>
      <w:r w:rsidRPr="005563BF">
        <w:rPr>
          <w:sz w:val="22"/>
          <w:szCs w:val="22"/>
          <w:vertAlign w:val="subscript"/>
        </w:rPr>
        <w:t>i,t</w:t>
      </w:r>
      <w:proofErr w:type="spellEnd"/>
      <w:r w:rsidRPr="005563BF">
        <w:rPr>
          <w:sz w:val="22"/>
          <w:szCs w:val="22"/>
        </w:rPr>
        <w:t xml:space="preserve"> shares + </w:t>
      </w:r>
      <w:proofErr w:type="spellStart"/>
      <w:r w:rsidRPr="005563BF">
        <w:rPr>
          <w:sz w:val="22"/>
          <w:szCs w:val="22"/>
        </w:rPr>
        <w:t>EI</w:t>
      </w:r>
      <w:r w:rsidRPr="005563BF">
        <w:rPr>
          <w:sz w:val="22"/>
          <w:szCs w:val="22"/>
          <w:vertAlign w:val="subscript"/>
        </w:rPr>
        <w:t>i,t</w:t>
      </w:r>
      <w:proofErr w:type="spellEnd"/>
      <w:r w:rsidRPr="005563BF">
        <w:rPr>
          <w:sz w:val="22"/>
          <w:szCs w:val="22"/>
        </w:rPr>
        <w:t xml:space="preserve"> restricted stock</w:t>
      </w:r>
      <w:r w:rsidR="00FC7821">
        <w:rPr>
          <w:sz w:val="22"/>
          <w:szCs w:val="22"/>
        </w:rPr>
        <w:t>.</w:t>
      </w:r>
    </w:p>
    <w:p w:rsidR="00A57036" w:rsidRPr="00002B6A" w:rsidRDefault="00A57036" w:rsidP="004B470D">
      <w:pPr>
        <w:autoSpaceDE w:val="0"/>
        <w:autoSpaceDN w:val="0"/>
        <w:adjustRightInd w:val="0"/>
        <w:spacing w:line="360" w:lineRule="auto"/>
        <w:jc w:val="both"/>
        <w:rPr>
          <w:sz w:val="22"/>
          <w:szCs w:val="22"/>
        </w:rPr>
      </w:pPr>
    </w:p>
    <w:p w:rsidR="004B470D" w:rsidRPr="000C4FC5" w:rsidRDefault="004B470D" w:rsidP="004B470D">
      <w:pPr>
        <w:autoSpaceDE w:val="0"/>
        <w:autoSpaceDN w:val="0"/>
        <w:adjustRightInd w:val="0"/>
        <w:spacing w:line="360" w:lineRule="auto"/>
        <w:jc w:val="both"/>
        <w:rPr>
          <w:rFonts w:ascii="TimesNewRoman" w:hAnsi="TimesNewRoman" w:cs="TimesNewRoman"/>
          <w:sz w:val="22"/>
          <w:szCs w:val="22"/>
          <w:u w:val="single"/>
        </w:rPr>
      </w:pPr>
      <w:r w:rsidRPr="000C4FC5">
        <w:rPr>
          <w:rFonts w:ascii="TimesNewRoman" w:hAnsi="TimesNewRoman" w:cs="TimesNewRoman"/>
          <w:sz w:val="22"/>
          <w:szCs w:val="22"/>
          <w:u w:val="single"/>
        </w:rPr>
        <w:t>Discretionary loan loss provisions</w:t>
      </w:r>
    </w:p>
    <w:p w:rsidR="00E74F8F" w:rsidRDefault="00F962BC" w:rsidP="00E74F8F">
      <w:pPr>
        <w:autoSpaceDE w:val="0"/>
        <w:autoSpaceDN w:val="0"/>
        <w:adjustRightInd w:val="0"/>
        <w:spacing w:line="360" w:lineRule="auto"/>
        <w:jc w:val="both"/>
        <w:rPr>
          <w:rFonts w:ascii="TimesNewRoman" w:hAnsi="TimesNewRoman" w:cs="TimesNewRoman"/>
          <w:sz w:val="22"/>
          <w:szCs w:val="22"/>
        </w:rPr>
      </w:pPr>
      <w:r>
        <w:rPr>
          <w:rFonts w:ascii="TimesNewRoman" w:hAnsi="TimesNewRoman" w:cs="TimesNewRoman"/>
          <w:sz w:val="22"/>
          <w:szCs w:val="22"/>
        </w:rPr>
        <w:t xml:space="preserve">To measure earnings management in the </w:t>
      </w:r>
      <w:r w:rsidR="004E2D7F">
        <w:rPr>
          <w:rFonts w:ascii="TimesNewRoman" w:hAnsi="TimesNewRoman" w:cs="TimesNewRoman"/>
          <w:sz w:val="22"/>
          <w:szCs w:val="22"/>
        </w:rPr>
        <w:t xml:space="preserve">banking industry I need to estimate </w:t>
      </w:r>
      <w:r>
        <w:rPr>
          <w:rFonts w:ascii="TimesNewRoman" w:hAnsi="TimesNewRoman" w:cs="TimesNewRoman"/>
          <w:sz w:val="22"/>
          <w:szCs w:val="22"/>
        </w:rPr>
        <w:t xml:space="preserve">the discretionary </w:t>
      </w:r>
      <w:r w:rsidR="004E2D7F">
        <w:rPr>
          <w:rFonts w:ascii="TimesNewRoman" w:hAnsi="TimesNewRoman" w:cs="TimesNewRoman"/>
          <w:sz w:val="22"/>
          <w:szCs w:val="22"/>
        </w:rPr>
        <w:t>component of loan loss provisions</w:t>
      </w:r>
      <w:r>
        <w:rPr>
          <w:rFonts w:ascii="TimesNewRoman" w:hAnsi="TimesNewRoman" w:cs="TimesNewRoman"/>
          <w:sz w:val="22"/>
          <w:szCs w:val="22"/>
        </w:rPr>
        <w:t>.</w:t>
      </w:r>
      <w:r w:rsidR="00967087">
        <w:rPr>
          <w:rFonts w:ascii="TimesNewRoman" w:hAnsi="TimesNewRoman" w:cs="TimesNewRoman"/>
          <w:sz w:val="22"/>
          <w:szCs w:val="22"/>
        </w:rPr>
        <w:t xml:space="preserve"> </w:t>
      </w:r>
      <w:r w:rsidR="004B470D">
        <w:rPr>
          <w:rFonts w:ascii="TimesNewRoman" w:hAnsi="TimesNewRoman" w:cs="TimesNewRoman"/>
          <w:sz w:val="22"/>
          <w:szCs w:val="22"/>
        </w:rPr>
        <w:t>Following Cheng et al. (2009) I will use the Beaver and Engel model to esti</w:t>
      </w:r>
      <w:r w:rsidR="005563BF">
        <w:rPr>
          <w:rFonts w:ascii="TimesNewRoman" w:hAnsi="TimesNewRoman" w:cs="TimesNewRoman"/>
          <w:sz w:val="22"/>
          <w:szCs w:val="22"/>
        </w:rPr>
        <w:t>mate</w:t>
      </w:r>
      <w:r w:rsidR="004B470D">
        <w:rPr>
          <w:rFonts w:ascii="TimesNewRoman" w:hAnsi="TimesNewRoman" w:cs="TimesNewRoman"/>
          <w:sz w:val="22"/>
          <w:szCs w:val="22"/>
        </w:rPr>
        <w:t xml:space="preserve"> discretionary </w:t>
      </w:r>
      <w:r w:rsidR="00DA1560">
        <w:rPr>
          <w:rFonts w:ascii="TimesNewRoman" w:hAnsi="TimesNewRoman" w:cs="TimesNewRoman"/>
          <w:sz w:val="22"/>
          <w:szCs w:val="22"/>
        </w:rPr>
        <w:t>loan loss provision</w:t>
      </w:r>
      <w:r>
        <w:rPr>
          <w:rFonts w:ascii="TimesNewRoman" w:hAnsi="TimesNewRoman" w:cs="TimesNewRoman"/>
          <w:sz w:val="22"/>
          <w:szCs w:val="22"/>
        </w:rPr>
        <w:t xml:space="preserve">. </w:t>
      </w:r>
      <w:r w:rsidR="005563BF">
        <w:rPr>
          <w:rFonts w:ascii="TimesNewRoman" w:hAnsi="TimesNewRoman" w:cs="TimesNewRoman"/>
          <w:sz w:val="22"/>
          <w:szCs w:val="22"/>
        </w:rPr>
        <w:t xml:space="preserve">Loan loss provisions consist of a discretionary </w:t>
      </w:r>
      <w:r w:rsidR="0094367E">
        <w:rPr>
          <w:rFonts w:ascii="TimesNewRoman" w:hAnsi="TimesNewRoman" w:cs="TimesNewRoman"/>
          <w:sz w:val="22"/>
          <w:szCs w:val="22"/>
        </w:rPr>
        <w:t>component and a nondiscretionary component. See equation (1) below:</w:t>
      </w:r>
    </w:p>
    <w:p w:rsidR="00E74F8F" w:rsidRDefault="00E74F8F" w:rsidP="00E74F8F">
      <w:pPr>
        <w:autoSpaceDE w:val="0"/>
        <w:autoSpaceDN w:val="0"/>
        <w:adjustRightInd w:val="0"/>
        <w:spacing w:line="360" w:lineRule="auto"/>
        <w:jc w:val="both"/>
        <w:rPr>
          <w:rFonts w:ascii="TimesNewRoman" w:hAnsi="TimesNewRoman" w:cs="TimesNewRoman"/>
          <w:sz w:val="22"/>
          <w:szCs w:val="22"/>
        </w:rPr>
      </w:pPr>
    </w:p>
    <w:p w:rsidR="0094367E" w:rsidRPr="00E74F8F" w:rsidRDefault="00536807" w:rsidP="00DA30B9">
      <w:pPr>
        <w:pStyle w:val="Lijstalinea"/>
        <w:numPr>
          <w:ilvl w:val="0"/>
          <w:numId w:val="7"/>
        </w:numPr>
        <w:autoSpaceDE w:val="0"/>
        <w:autoSpaceDN w:val="0"/>
        <w:adjustRightInd w:val="0"/>
        <w:spacing w:line="360" w:lineRule="auto"/>
        <w:jc w:val="both"/>
        <w:rPr>
          <w:rFonts w:ascii="TimesNewRoman" w:hAnsi="TimesNewRoman" w:cs="TimesNewRoman"/>
          <w:sz w:val="22"/>
          <w:szCs w:val="22"/>
        </w:rPr>
      </w:pPr>
      <m:oMath>
        <m:sSub>
          <m:sSubPr>
            <m:ctrlPr>
              <w:rPr>
                <w:rFonts w:ascii="Cambria Math" w:hAnsi="Cambria Math" w:cs="TimesNewRoman"/>
                <w:i/>
                <w:sz w:val="22"/>
                <w:szCs w:val="22"/>
              </w:rPr>
            </m:ctrlPr>
          </m:sSubPr>
          <m:e>
            <m:r>
              <w:rPr>
                <w:rFonts w:ascii="Cambria Math" w:hAnsi="Cambria Math" w:cs="TimesNewRoman"/>
                <w:sz w:val="22"/>
                <w:szCs w:val="22"/>
              </w:rPr>
              <m:t>LLP</m:t>
            </m:r>
          </m:e>
          <m:sub>
            <m:r>
              <w:rPr>
                <w:rFonts w:ascii="Cambria Math" w:hAnsi="Cambria Math" w:cs="TimesNewRoman"/>
                <w:sz w:val="22"/>
                <w:szCs w:val="22"/>
              </w:rPr>
              <m:t>i,t</m:t>
            </m:r>
          </m:sub>
        </m:sSub>
        <m:r>
          <w:rPr>
            <w:rFonts w:ascii="Cambria Math" w:hAnsi="Cambria Math" w:cs="TimesNewRoman"/>
            <w:sz w:val="22"/>
            <w:szCs w:val="22"/>
          </w:rPr>
          <m:t>=</m:t>
        </m:r>
        <m:sSub>
          <m:sSubPr>
            <m:ctrlPr>
              <w:rPr>
                <w:rFonts w:ascii="Cambria Math" w:hAnsi="Cambria Math" w:cs="TimesNewRoman"/>
                <w:i/>
                <w:sz w:val="22"/>
                <w:szCs w:val="22"/>
              </w:rPr>
            </m:ctrlPr>
          </m:sSubPr>
          <m:e>
            <m:r>
              <w:rPr>
                <w:rFonts w:ascii="Cambria Math" w:hAnsi="Cambria Math" w:cs="TimesNewRoman"/>
                <w:sz w:val="22"/>
                <w:szCs w:val="22"/>
              </w:rPr>
              <m:t>NLLP</m:t>
            </m:r>
          </m:e>
          <m:sub>
            <m:r>
              <w:rPr>
                <w:rFonts w:ascii="Cambria Math" w:hAnsi="Cambria Math" w:cs="TimesNewRoman"/>
                <w:sz w:val="22"/>
                <w:szCs w:val="22"/>
              </w:rPr>
              <m:t>i,t</m:t>
            </m:r>
          </m:sub>
        </m:sSub>
        <m:r>
          <w:rPr>
            <w:rFonts w:ascii="Cambria Math" w:hAnsi="Cambria Math" w:cs="TimesNewRoman"/>
            <w:sz w:val="22"/>
            <w:szCs w:val="22"/>
          </w:rPr>
          <m:t>+</m:t>
        </m:r>
        <m:sSub>
          <m:sSubPr>
            <m:ctrlPr>
              <w:rPr>
                <w:rFonts w:ascii="Cambria Math" w:hAnsi="Cambria Math" w:cs="TimesNewRoman"/>
                <w:i/>
                <w:sz w:val="22"/>
                <w:szCs w:val="22"/>
              </w:rPr>
            </m:ctrlPr>
          </m:sSubPr>
          <m:e>
            <m:r>
              <w:rPr>
                <w:rFonts w:ascii="Cambria Math" w:hAnsi="Cambria Math" w:cs="TimesNewRoman"/>
                <w:sz w:val="22"/>
                <w:szCs w:val="22"/>
              </w:rPr>
              <m:t>DLLP</m:t>
            </m:r>
          </m:e>
          <m:sub>
            <m:r>
              <w:rPr>
                <w:rFonts w:ascii="Cambria Math" w:hAnsi="Cambria Math" w:cs="TimesNewRoman"/>
                <w:sz w:val="22"/>
                <w:szCs w:val="22"/>
              </w:rPr>
              <m:t>i,t</m:t>
            </m:r>
          </m:sub>
        </m:sSub>
      </m:oMath>
    </w:p>
    <w:p w:rsidR="00E74F8F" w:rsidRDefault="00E74F8F" w:rsidP="00E74F8F">
      <w:pPr>
        <w:autoSpaceDE w:val="0"/>
        <w:autoSpaceDN w:val="0"/>
        <w:adjustRightInd w:val="0"/>
        <w:spacing w:line="360" w:lineRule="auto"/>
        <w:ind w:left="1065"/>
        <w:jc w:val="both"/>
        <w:rPr>
          <w:rFonts w:ascii="TimesNewRoman" w:hAnsi="TimesNewRoman" w:cs="TimesNewRoman"/>
          <w:sz w:val="22"/>
          <w:szCs w:val="22"/>
        </w:rPr>
      </w:pPr>
    </w:p>
    <w:p w:rsidR="00D32DA4" w:rsidRPr="00E74F8F" w:rsidRDefault="00D32DA4" w:rsidP="00E74F8F">
      <w:pPr>
        <w:autoSpaceDE w:val="0"/>
        <w:autoSpaceDN w:val="0"/>
        <w:adjustRightInd w:val="0"/>
        <w:spacing w:line="360" w:lineRule="auto"/>
        <w:ind w:left="1065"/>
        <w:jc w:val="both"/>
        <w:rPr>
          <w:rFonts w:ascii="TimesNewRoman" w:hAnsi="TimesNewRoman" w:cs="TimesNewRoman"/>
          <w:sz w:val="22"/>
          <w:szCs w:val="22"/>
        </w:rPr>
      </w:pPr>
    </w:p>
    <w:p w:rsidR="0094367E" w:rsidRDefault="00E74F8F" w:rsidP="004B470D">
      <w:pPr>
        <w:autoSpaceDE w:val="0"/>
        <w:autoSpaceDN w:val="0"/>
        <w:adjustRightInd w:val="0"/>
        <w:spacing w:line="360" w:lineRule="auto"/>
        <w:jc w:val="both"/>
        <w:rPr>
          <w:rFonts w:ascii="TimesNewRoman" w:hAnsi="TimesNewRoman" w:cs="TimesNewRoman"/>
          <w:sz w:val="22"/>
          <w:szCs w:val="22"/>
        </w:rPr>
      </w:pPr>
      <w:r>
        <w:rPr>
          <w:rFonts w:ascii="TimesNewRoman" w:hAnsi="TimesNewRoman" w:cs="TimesNewRoman"/>
          <w:sz w:val="22"/>
          <w:szCs w:val="22"/>
        </w:rPr>
        <w:lastRenderedPageBreak/>
        <w:t>Where:</w:t>
      </w:r>
    </w:p>
    <w:p w:rsidR="00E74F8F" w:rsidRDefault="00E74F8F" w:rsidP="00E74F8F">
      <w:pPr>
        <w:autoSpaceDE w:val="0"/>
        <w:autoSpaceDN w:val="0"/>
        <w:adjustRightInd w:val="0"/>
        <w:spacing w:line="360" w:lineRule="auto"/>
        <w:ind w:left="1416" w:hanging="1416"/>
        <w:jc w:val="both"/>
        <w:rPr>
          <w:rFonts w:ascii="TimesNewRoman" w:hAnsi="TimesNewRoman" w:cs="TimesNewRoman"/>
          <w:i/>
          <w:sz w:val="22"/>
          <w:szCs w:val="22"/>
        </w:rPr>
      </w:pPr>
      <w:proofErr w:type="spellStart"/>
      <w:r>
        <w:rPr>
          <w:rFonts w:ascii="TimesNewRoman" w:hAnsi="TimesNewRoman" w:cs="TimesNewRoman"/>
          <w:sz w:val="22"/>
          <w:szCs w:val="22"/>
        </w:rPr>
        <w:t>LLP</w:t>
      </w:r>
      <w:r>
        <w:rPr>
          <w:rFonts w:ascii="TimesNewRoman" w:hAnsi="TimesNewRoman" w:cs="TimesNewRoman"/>
          <w:sz w:val="22"/>
          <w:szCs w:val="22"/>
          <w:vertAlign w:val="subscript"/>
        </w:rPr>
        <w:t>i</w:t>
      </w:r>
      <w:proofErr w:type="gramStart"/>
      <w:r>
        <w:rPr>
          <w:rFonts w:ascii="TimesNewRoman" w:hAnsi="TimesNewRoman" w:cs="TimesNewRoman"/>
          <w:sz w:val="22"/>
          <w:szCs w:val="22"/>
          <w:vertAlign w:val="subscript"/>
        </w:rPr>
        <w:t>,t</w:t>
      </w:r>
      <w:proofErr w:type="spellEnd"/>
      <w:proofErr w:type="gramEnd"/>
      <w:r>
        <w:rPr>
          <w:rFonts w:ascii="TimesNewRoman" w:hAnsi="TimesNewRoman" w:cs="TimesNewRoman"/>
          <w:sz w:val="22"/>
          <w:szCs w:val="22"/>
        </w:rPr>
        <w:t xml:space="preserve"> </w:t>
      </w:r>
      <w:r>
        <w:rPr>
          <w:rFonts w:ascii="TimesNewRoman" w:hAnsi="TimesNewRoman" w:cs="TimesNewRoman"/>
          <w:sz w:val="22"/>
          <w:szCs w:val="22"/>
        </w:rPr>
        <w:tab/>
        <w:t xml:space="preserve">= Loan loss provisions for firm </w:t>
      </w:r>
      <w:proofErr w:type="spellStart"/>
      <w:r>
        <w:rPr>
          <w:rFonts w:ascii="TimesNewRoman" w:hAnsi="TimesNewRoman" w:cs="TimesNewRoman"/>
          <w:i/>
          <w:sz w:val="22"/>
          <w:szCs w:val="22"/>
        </w:rPr>
        <w:t>i</w:t>
      </w:r>
      <w:proofErr w:type="spellEnd"/>
      <w:r>
        <w:rPr>
          <w:rFonts w:ascii="TimesNewRoman" w:hAnsi="TimesNewRoman" w:cs="TimesNewRoman"/>
          <w:i/>
          <w:sz w:val="22"/>
          <w:szCs w:val="22"/>
        </w:rPr>
        <w:t xml:space="preserve"> </w:t>
      </w:r>
      <w:r>
        <w:rPr>
          <w:rFonts w:ascii="TimesNewRoman" w:hAnsi="TimesNewRoman" w:cs="TimesNewRoman"/>
          <w:sz w:val="22"/>
          <w:szCs w:val="22"/>
        </w:rPr>
        <w:t xml:space="preserve">in year </w:t>
      </w:r>
      <w:r>
        <w:rPr>
          <w:rFonts w:ascii="TimesNewRoman" w:hAnsi="TimesNewRoman" w:cs="TimesNewRoman"/>
          <w:i/>
          <w:sz w:val="22"/>
          <w:szCs w:val="22"/>
        </w:rPr>
        <w:t>t;</w:t>
      </w:r>
    </w:p>
    <w:p w:rsidR="00E74F8F" w:rsidRDefault="00E74F8F" w:rsidP="00E74F8F">
      <w:pPr>
        <w:autoSpaceDE w:val="0"/>
        <w:autoSpaceDN w:val="0"/>
        <w:adjustRightInd w:val="0"/>
        <w:spacing w:line="360" w:lineRule="auto"/>
        <w:ind w:left="1416" w:hanging="1416"/>
        <w:jc w:val="both"/>
        <w:rPr>
          <w:rFonts w:ascii="TimesNewRoman" w:hAnsi="TimesNewRoman" w:cs="TimesNewRoman"/>
          <w:i/>
          <w:sz w:val="22"/>
          <w:szCs w:val="22"/>
        </w:rPr>
      </w:pPr>
      <w:proofErr w:type="spellStart"/>
      <w:r>
        <w:rPr>
          <w:rFonts w:ascii="TimesNewRoman" w:hAnsi="TimesNewRoman" w:cs="TimesNewRoman"/>
          <w:sz w:val="22"/>
          <w:szCs w:val="22"/>
        </w:rPr>
        <w:t>NLLP</w:t>
      </w:r>
      <w:r>
        <w:rPr>
          <w:rFonts w:ascii="TimesNewRoman" w:hAnsi="TimesNewRoman" w:cs="TimesNewRoman"/>
          <w:sz w:val="22"/>
          <w:szCs w:val="22"/>
          <w:vertAlign w:val="subscript"/>
        </w:rPr>
        <w:t>i</w:t>
      </w:r>
      <w:proofErr w:type="gramStart"/>
      <w:r>
        <w:rPr>
          <w:rFonts w:ascii="TimesNewRoman" w:hAnsi="TimesNewRoman" w:cs="TimesNewRoman"/>
          <w:sz w:val="22"/>
          <w:szCs w:val="22"/>
          <w:vertAlign w:val="subscript"/>
        </w:rPr>
        <w:t>,t</w:t>
      </w:r>
      <w:proofErr w:type="spellEnd"/>
      <w:proofErr w:type="gramEnd"/>
      <w:r>
        <w:rPr>
          <w:rFonts w:ascii="TimesNewRoman" w:hAnsi="TimesNewRoman" w:cs="TimesNewRoman"/>
          <w:sz w:val="22"/>
          <w:szCs w:val="22"/>
        </w:rPr>
        <w:tab/>
        <w:t xml:space="preserve">= Nondiscretionary loan loss provisions for firm </w:t>
      </w:r>
      <w:proofErr w:type="spellStart"/>
      <w:r>
        <w:rPr>
          <w:rFonts w:ascii="TimesNewRoman" w:hAnsi="TimesNewRoman" w:cs="TimesNewRoman"/>
          <w:i/>
          <w:sz w:val="22"/>
          <w:szCs w:val="22"/>
        </w:rPr>
        <w:t>i</w:t>
      </w:r>
      <w:proofErr w:type="spellEnd"/>
      <w:r>
        <w:rPr>
          <w:rFonts w:ascii="TimesNewRoman" w:hAnsi="TimesNewRoman" w:cs="TimesNewRoman"/>
          <w:i/>
          <w:sz w:val="22"/>
          <w:szCs w:val="22"/>
        </w:rPr>
        <w:t xml:space="preserve"> </w:t>
      </w:r>
      <w:r>
        <w:rPr>
          <w:rFonts w:ascii="TimesNewRoman" w:hAnsi="TimesNewRoman" w:cs="TimesNewRoman"/>
          <w:sz w:val="22"/>
          <w:szCs w:val="22"/>
        </w:rPr>
        <w:t xml:space="preserve"> in year </w:t>
      </w:r>
      <w:r>
        <w:rPr>
          <w:rFonts w:ascii="TimesNewRoman" w:hAnsi="TimesNewRoman" w:cs="TimesNewRoman"/>
          <w:i/>
          <w:sz w:val="22"/>
          <w:szCs w:val="22"/>
        </w:rPr>
        <w:t>t;</w:t>
      </w:r>
    </w:p>
    <w:p w:rsidR="00E74F8F" w:rsidRDefault="00E74F8F" w:rsidP="00E74F8F">
      <w:pPr>
        <w:autoSpaceDE w:val="0"/>
        <w:autoSpaceDN w:val="0"/>
        <w:adjustRightInd w:val="0"/>
        <w:spacing w:line="360" w:lineRule="auto"/>
        <w:ind w:left="1416" w:hanging="1416"/>
        <w:jc w:val="both"/>
        <w:rPr>
          <w:rFonts w:ascii="TimesNewRoman" w:hAnsi="TimesNewRoman" w:cs="TimesNewRoman"/>
          <w:i/>
          <w:sz w:val="22"/>
          <w:szCs w:val="22"/>
        </w:rPr>
      </w:pPr>
      <w:proofErr w:type="spellStart"/>
      <w:r>
        <w:rPr>
          <w:rFonts w:ascii="TimesNewRoman" w:hAnsi="TimesNewRoman" w:cs="TimesNewRoman"/>
          <w:sz w:val="22"/>
          <w:szCs w:val="22"/>
        </w:rPr>
        <w:t>DLLP</w:t>
      </w:r>
      <w:r>
        <w:rPr>
          <w:rFonts w:ascii="TimesNewRoman" w:hAnsi="TimesNewRoman" w:cs="TimesNewRoman"/>
          <w:sz w:val="22"/>
          <w:szCs w:val="22"/>
          <w:vertAlign w:val="subscript"/>
        </w:rPr>
        <w:t>i</w:t>
      </w:r>
      <w:proofErr w:type="gramStart"/>
      <w:r>
        <w:rPr>
          <w:rFonts w:ascii="TimesNewRoman" w:hAnsi="TimesNewRoman" w:cs="TimesNewRoman"/>
          <w:sz w:val="22"/>
          <w:szCs w:val="22"/>
          <w:vertAlign w:val="subscript"/>
        </w:rPr>
        <w:t>,t</w:t>
      </w:r>
      <w:proofErr w:type="spellEnd"/>
      <w:proofErr w:type="gramEnd"/>
      <w:r>
        <w:rPr>
          <w:rFonts w:ascii="TimesNewRoman" w:hAnsi="TimesNewRoman" w:cs="TimesNewRoman"/>
          <w:sz w:val="22"/>
          <w:szCs w:val="22"/>
        </w:rPr>
        <w:tab/>
        <w:t xml:space="preserve">= Discretionary loan loss provisions for firm </w:t>
      </w:r>
      <w:proofErr w:type="spellStart"/>
      <w:r w:rsidRPr="00E74F8F">
        <w:rPr>
          <w:rFonts w:ascii="TimesNewRoman" w:hAnsi="TimesNewRoman" w:cs="TimesNewRoman"/>
          <w:i/>
          <w:sz w:val="22"/>
          <w:szCs w:val="22"/>
        </w:rPr>
        <w:t>i</w:t>
      </w:r>
      <w:proofErr w:type="spellEnd"/>
      <w:r>
        <w:rPr>
          <w:rFonts w:ascii="TimesNewRoman" w:hAnsi="TimesNewRoman" w:cs="TimesNewRoman"/>
          <w:sz w:val="22"/>
          <w:szCs w:val="22"/>
        </w:rPr>
        <w:t xml:space="preserve"> in year </w:t>
      </w:r>
      <w:r>
        <w:rPr>
          <w:rFonts w:ascii="TimesNewRoman" w:hAnsi="TimesNewRoman" w:cs="TimesNewRoman"/>
          <w:i/>
          <w:sz w:val="22"/>
          <w:szCs w:val="22"/>
        </w:rPr>
        <w:t>t.</w:t>
      </w:r>
    </w:p>
    <w:p w:rsidR="00E74F8F" w:rsidRPr="00E74F8F" w:rsidRDefault="00E74F8F" w:rsidP="00E74F8F">
      <w:pPr>
        <w:autoSpaceDE w:val="0"/>
        <w:autoSpaceDN w:val="0"/>
        <w:adjustRightInd w:val="0"/>
        <w:spacing w:line="360" w:lineRule="auto"/>
        <w:ind w:left="1416" w:hanging="1416"/>
        <w:jc w:val="both"/>
        <w:rPr>
          <w:rFonts w:ascii="TimesNewRoman" w:hAnsi="TimesNewRoman" w:cs="TimesNewRoman"/>
          <w:sz w:val="22"/>
          <w:szCs w:val="22"/>
        </w:rPr>
      </w:pPr>
    </w:p>
    <w:p w:rsidR="00F962BC" w:rsidRDefault="00EF5F38" w:rsidP="00E74F8F">
      <w:pPr>
        <w:autoSpaceDE w:val="0"/>
        <w:autoSpaceDN w:val="0"/>
        <w:adjustRightInd w:val="0"/>
        <w:spacing w:line="360" w:lineRule="auto"/>
        <w:jc w:val="both"/>
        <w:rPr>
          <w:rFonts w:ascii="TimesNewRoman" w:hAnsi="TimesNewRoman" w:cs="TimesNewRoman"/>
          <w:sz w:val="22"/>
          <w:szCs w:val="22"/>
        </w:rPr>
      </w:pPr>
      <w:r>
        <w:rPr>
          <w:rFonts w:ascii="TimesNewRoman" w:hAnsi="TimesNewRoman" w:cs="TimesNewRoman"/>
          <w:sz w:val="22"/>
          <w:szCs w:val="22"/>
        </w:rPr>
        <w:t>The l</w:t>
      </w:r>
      <w:r w:rsidR="00E74F8F">
        <w:rPr>
          <w:rFonts w:ascii="TimesNewRoman" w:hAnsi="TimesNewRoman" w:cs="TimesNewRoman"/>
          <w:sz w:val="22"/>
          <w:szCs w:val="22"/>
        </w:rPr>
        <w:t>oan los</w:t>
      </w:r>
      <w:r w:rsidR="0092235B">
        <w:rPr>
          <w:rFonts w:ascii="TimesNewRoman" w:hAnsi="TimesNewRoman" w:cs="TimesNewRoman"/>
          <w:sz w:val="22"/>
          <w:szCs w:val="22"/>
        </w:rPr>
        <w:t>s provision</w:t>
      </w:r>
      <w:r w:rsidR="00E74F8F">
        <w:rPr>
          <w:rFonts w:ascii="TimesNewRoman" w:hAnsi="TimesNewRoman" w:cs="TimesNewRoman"/>
          <w:sz w:val="22"/>
          <w:szCs w:val="22"/>
        </w:rPr>
        <w:t xml:space="preserve"> </w:t>
      </w:r>
      <w:r w:rsidR="0092235B">
        <w:rPr>
          <w:rFonts w:ascii="TimesNewRoman" w:hAnsi="TimesNewRoman" w:cs="TimesNewRoman"/>
          <w:sz w:val="22"/>
          <w:szCs w:val="22"/>
        </w:rPr>
        <w:t>is an income statement item.</w:t>
      </w:r>
      <w:r w:rsidR="00D47AA2">
        <w:rPr>
          <w:rFonts w:ascii="TimesNewRoman" w:hAnsi="TimesNewRoman" w:cs="TimesNewRoman"/>
          <w:sz w:val="22"/>
          <w:szCs w:val="22"/>
        </w:rPr>
        <w:t xml:space="preserve"> </w:t>
      </w:r>
      <w:r>
        <w:rPr>
          <w:rFonts w:ascii="TimesNewRoman" w:hAnsi="TimesNewRoman" w:cs="TimesNewRoman"/>
          <w:sz w:val="22"/>
          <w:szCs w:val="22"/>
        </w:rPr>
        <w:t>DLLP</w:t>
      </w:r>
      <w:r w:rsidR="00E5651B">
        <w:rPr>
          <w:rFonts w:ascii="TimesNewRoman" w:hAnsi="TimesNewRoman" w:cs="TimesNewRoman"/>
          <w:sz w:val="22"/>
          <w:szCs w:val="22"/>
        </w:rPr>
        <w:t xml:space="preserve">s are accruals directly managed by the manager. </w:t>
      </w:r>
      <w:r w:rsidR="00E74F8F">
        <w:rPr>
          <w:rFonts w:ascii="TimesNewRoman" w:hAnsi="TimesNewRoman" w:cs="TimesNewRoman"/>
          <w:sz w:val="22"/>
          <w:szCs w:val="22"/>
        </w:rPr>
        <w:t xml:space="preserve">NLLP cannot be observed directly and need to be estimated by regressing loan loss </w:t>
      </w:r>
      <w:r w:rsidR="00262D90">
        <w:rPr>
          <w:rFonts w:ascii="TimesNewRoman" w:hAnsi="TimesNewRoman" w:cs="TimesNewRoman"/>
          <w:sz w:val="22"/>
          <w:szCs w:val="22"/>
        </w:rPr>
        <w:t>provision</w:t>
      </w:r>
      <w:r w:rsidR="00E74F8F">
        <w:rPr>
          <w:rFonts w:ascii="TimesNewRoman" w:hAnsi="TimesNewRoman" w:cs="TimesNewRoman"/>
          <w:sz w:val="22"/>
          <w:szCs w:val="22"/>
        </w:rPr>
        <w:t xml:space="preserve"> on the explanatory variables. The formulation of the nondiscretionary part is:</w:t>
      </w:r>
    </w:p>
    <w:p w:rsidR="00E74F8F" w:rsidRDefault="00E74F8F" w:rsidP="004B470D">
      <w:pPr>
        <w:autoSpaceDE w:val="0"/>
        <w:autoSpaceDN w:val="0"/>
        <w:adjustRightInd w:val="0"/>
        <w:spacing w:line="360" w:lineRule="auto"/>
        <w:jc w:val="both"/>
        <w:rPr>
          <w:rFonts w:ascii="TimesNewRoman" w:hAnsi="TimesNewRoman" w:cs="TimesNewRoman"/>
          <w:sz w:val="22"/>
          <w:szCs w:val="22"/>
        </w:rPr>
      </w:pPr>
    </w:p>
    <w:p w:rsidR="00611A61" w:rsidRPr="00973425" w:rsidRDefault="00973425" w:rsidP="00DA30B9">
      <w:pPr>
        <w:pStyle w:val="Lijstalinea"/>
        <w:numPr>
          <w:ilvl w:val="0"/>
          <w:numId w:val="7"/>
        </w:numPr>
        <w:autoSpaceDE w:val="0"/>
        <w:autoSpaceDN w:val="0"/>
        <w:adjustRightInd w:val="0"/>
        <w:spacing w:line="360" w:lineRule="auto"/>
        <w:jc w:val="both"/>
        <w:rPr>
          <w:sz w:val="22"/>
          <w:szCs w:val="22"/>
        </w:rPr>
      </w:pPr>
      <m:oMath>
        <m:r>
          <w:rPr>
            <w:rFonts w:ascii="Cambria Math" w:hAnsi="Cambria Math"/>
            <w:sz w:val="22"/>
            <w:szCs w:val="22"/>
          </w:rPr>
          <m:t>N</m:t>
        </m:r>
        <m:sSub>
          <m:sSubPr>
            <m:ctrlPr>
              <w:rPr>
                <w:rFonts w:ascii="Cambria Math" w:hAnsi="Cambria Math"/>
                <w:i/>
                <w:sz w:val="22"/>
                <w:szCs w:val="22"/>
              </w:rPr>
            </m:ctrlPr>
          </m:sSubPr>
          <m:e>
            <m:r>
              <w:rPr>
                <w:rFonts w:ascii="Cambria Math" w:hAnsi="Cambria Math"/>
                <w:sz w:val="22"/>
                <w:szCs w:val="22"/>
              </w:rPr>
              <m:t>LLP</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0</m:t>
            </m:r>
          </m:sub>
        </m:sSub>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GBV</m:t>
                    </m:r>
                  </m:e>
                  <m:sub>
                    <m:r>
                      <w:rPr>
                        <w:rFonts w:ascii="Cambria Math" w:hAnsi="Cambria Math"/>
                        <w:sz w:val="22"/>
                        <w:szCs w:val="22"/>
                      </w:rPr>
                      <m:t>i,t</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r>
              <m:rPr>
                <m:sty m:val="p"/>
              </m:rPr>
              <w:rPr>
                <w:rFonts w:ascii="Cambria Math" w:hAnsi="Cambria Math"/>
                <w:sz w:val="22"/>
                <w:szCs w:val="22"/>
              </w:rPr>
              <m:t>Δ</m:t>
            </m:r>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ε</m:t>
            </m:r>
          </m:e>
          <m:sub>
            <m:r>
              <w:rPr>
                <w:rFonts w:ascii="Cambria Math" w:hAnsi="Cambria Math"/>
                <w:sz w:val="22"/>
                <w:szCs w:val="22"/>
              </w:rPr>
              <m:t>i,t</m:t>
            </m:r>
          </m:sub>
        </m:sSub>
      </m:oMath>
    </w:p>
    <w:p w:rsidR="00611A61" w:rsidRDefault="00611A61" w:rsidP="004B470D">
      <w:pPr>
        <w:autoSpaceDE w:val="0"/>
        <w:autoSpaceDN w:val="0"/>
        <w:adjustRightInd w:val="0"/>
        <w:spacing w:line="360" w:lineRule="auto"/>
        <w:jc w:val="both"/>
        <w:rPr>
          <w:rFonts w:ascii="TimesNewRoman" w:hAnsi="TimesNewRoman" w:cs="TimesNewRoman"/>
          <w:sz w:val="22"/>
          <w:szCs w:val="22"/>
        </w:rPr>
      </w:pPr>
    </w:p>
    <w:p w:rsidR="00FB2598" w:rsidRDefault="00103EF2" w:rsidP="00FB7E48">
      <w:pPr>
        <w:autoSpaceDE w:val="0"/>
        <w:autoSpaceDN w:val="0"/>
        <w:adjustRightInd w:val="0"/>
        <w:spacing w:line="360" w:lineRule="auto"/>
        <w:jc w:val="both"/>
        <w:rPr>
          <w:rFonts w:ascii="TimesNewRoman" w:hAnsi="TimesNewRoman" w:cs="TimesNewRoman"/>
          <w:sz w:val="22"/>
          <w:szCs w:val="22"/>
        </w:rPr>
      </w:pPr>
      <w:r>
        <w:rPr>
          <w:rFonts w:ascii="TimesNewRoman" w:hAnsi="TimesNewRoman" w:cs="TimesNewRoman"/>
          <w:sz w:val="22"/>
          <w:szCs w:val="22"/>
        </w:rPr>
        <w:t xml:space="preserve">Where: </w:t>
      </w:r>
    </w:p>
    <w:p w:rsidR="00F962BC" w:rsidRDefault="00F962BC" w:rsidP="00FB7E48">
      <w:pPr>
        <w:autoSpaceDE w:val="0"/>
        <w:autoSpaceDN w:val="0"/>
        <w:adjustRightInd w:val="0"/>
        <w:spacing w:line="360" w:lineRule="auto"/>
        <w:jc w:val="both"/>
        <w:rPr>
          <w:rFonts w:ascii="TimesNewRoman" w:hAnsi="TimesNewRoman" w:cs="TimesNewRoman"/>
          <w:sz w:val="22"/>
          <w:szCs w:val="22"/>
        </w:rPr>
      </w:pPr>
      <w:proofErr w:type="spellStart"/>
      <w:r w:rsidRPr="00C326A5">
        <w:rPr>
          <w:rFonts w:ascii="TimesNewRoman" w:hAnsi="TimesNewRoman" w:cs="TimesNewRoman"/>
          <w:i/>
          <w:sz w:val="22"/>
          <w:szCs w:val="22"/>
        </w:rPr>
        <w:t>NLLP</w:t>
      </w:r>
      <w:r w:rsidR="00C326A5">
        <w:rPr>
          <w:rFonts w:ascii="TimesNewRoman" w:hAnsi="TimesNewRoman" w:cs="TimesNewRoman"/>
          <w:i/>
          <w:sz w:val="22"/>
          <w:szCs w:val="22"/>
          <w:vertAlign w:val="subscript"/>
        </w:rPr>
        <w:t>i</w:t>
      </w:r>
      <w:proofErr w:type="gramStart"/>
      <w:r w:rsidR="00C326A5">
        <w:rPr>
          <w:rFonts w:ascii="TimesNewRoman" w:hAnsi="TimesNewRoman" w:cs="TimesNewRoman"/>
          <w:i/>
          <w:sz w:val="22"/>
          <w:szCs w:val="22"/>
          <w:vertAlign w:val="subscript"/>
        </w:rPr>
        <w:t>,</w:t>
      </w:r>
      <w:r w:rsidRPr="00C326A5">
        <w:rPr>
          <w:rFonts w:ascii="TimesNewRoman" w:hAnsi="TimesNewRoman" w:cs="TimesNewRoman"/>
          <w:i/>
          <w:sz w:val="22"/>
          <w:szCs w:val="22"/>
          <w:vertAlign w:val="subscript"/>
        </w:rPr>
        <w:t>t</w:t>
      </w:r>
      <w:proofErr w:type="spellEnd"/>
      <w:proofErr w:type="gramEnd"/>
      <w:r w:rsidRPr="008A419A">
        <w:rPr>
          <w:rFonts w:ascii="TimesNewRoman" w:hAnsi="TimesNewRoman" w:cs="TimesNewRoman"/>
          <w:i/>
          <w:sz w:val="22"/>
          <w:szCs w:val="22"/>
        </w:rPr>
        <w:tab/>
      </w:r>
      <w:r w:rsidR="008B676C">
        <w:rPr>
          <w:rFonts w:ascii="TimesNewRoman" w:hAnsi="TimesNewRoman" w:cs="TimesNewRoman"/>
          <w:i/>
          <w:sz w:val="22"/>
          <w:szCs w:val="22"/>
        </w:rPr>
        <w:tab/>
      </w:r>
      <w:r w:rsidR="008B676C">
        <w:rPr>
          <w:rFonts w:ascii="TimesNewRoman" w:hAnsi="TimesNewRoman" w:cs="TimesNewRoman"/>
          <w:sz w:val="22"/>
          <w:szCs w:val="22"/>
        </w:rPr>
        <w:t xml:space="preserve">= </w:t>
      </w:r>
      <w:r>
        <w:rPr>
          <w:rFonts w:ascii="TimesNewRoman" w:hAnsi="TimesNewRoman" w:cs="TimesNewRoman"/>
          <w:sz w:val="22"/>
          <w:szCs w:val="22"/>
        </w:rPr>
        <w:t>non-discretionary loan loss provisions</w:t>
      </w:r>
      <w:r w:rsidR="00C326A5">
        <w:rPr>
          <w:rFonts w:ascii="TimesNewRoman" w:hAnsi="TimesNewRoman" w:cs="TimesNewRoman"/>
          <w:sz w:val="22"/>
          <w:szCs w:val="22"/>
        </w:rPr>
        <w:t xml:space="preserve"> for firm </w:t>
      </w:r>
      <w:proofErr w:type="spellStart"/>
      <w:r w:rsidR="00C326A5">
        <w:rPr>
          <w:rFonts w:ascii="TimesNewRoman" w:hAnsi="TimesNewRoman" w:cs="TimesNewRoman"/>
          <w:i/>
          <w:sz w:val="22"/>
          <w:szCs w:val="22"/>
        </w:rPr>
        <w:t>i</w:t>
      </w:r>
      <w:proofErr w:type="spellEnd"/>
      <w:r w:rsidR="00FC7821">
        <w:rPr>
          <w:rFonts w:ascii="TimesNewRoman" w:hAnsi="TimesNewRoman" w:cs="TimesNewRoman"/>
          <w:sz w:val="22"/>
          <w:szCs w:val="22"/>
        </w:rPr>
        <w:t xml:space="preserve"> </w:t>
      </w:r>
      <w:r w:rsidR="00C326A5">
        <w:rPr>
          <w:rFonts w:ascii="TimesNewRoman" w:hAnsi="TimesNewRoman" w:cs="TimesNewRoman"/>
          <w:sz w:val="22"/>
          <w:szCs w:val="22"/>
        </w:rPr>
        <w:t>in</w:t>
      </w:r>
      <w:r w:rsidR="00FC7821">
        <w:rPr>
          <w:rFonts w:ascii="TimesNewRoman" w:hAnsi="TimesNewRoman" w:cs="TimesNewRoman"/>
          <w:sz w:val="22"/>
          <w:szCs w:val="22"/>
        </w:rPr>
        <w:t xml:space="preserve"> year </w:t>
      </w:r>
      <w:r w:rsidR="00C326A5">
        <w:rPr>
          <w:rFonts w:ascii="TimesNewRoman" w:hAnsi="TimesNewRoman" w:cs="TimesNewRoman"/>
          <w:i/>
          <w:sz w:val="22"/>
          <w:szCs w:val="22"/>
        </w:rPr>
        <w:t>t</w:t>
      </w:r>
      <w:r w:rsidR="00FC7821">
        <w:rPr>
          <w:rFonts w:ascii="TimesNewRoman" w:hAnsi="TimesNewRoman" w:cs="TimesNewRoman"/>
          <w:sz w:val="22"/>
          <w:szCs w:val="22"/>
        </w:rPr>
        <w:t>;</w:t>
      </w:r>
    </w:p>
    <w:p w:rsidR="00103EF2" w:rsidRPr="00C326A5" w:rsidRDefault="00103EF2" w:rsidP="00FB7E48">
      <w:pPr>
        <w:autoSpaceDE w:val="0"/>
        <w:autoSpaceDN w:val="0"/>
        <w:adjustRightInd w:val="0"/>
        <w:spacing w:line="360" w:lineRule="auto"/>
        <w:jc w:val="both"/>
        <w:rPr>
          <w:i/>
          <w:sz w:val="22"/>
          <w:szCs w:val="22"/>
        </w:rPr>
      </w:pPr>
      <w:proofErr w:type="spellStart"/>
      <w:r w:rsidRPr="00C326A5">
        <w:rPr>
          <w:i/>
          <w:sz w:val="22"/>
          <w:szCs w:val="22"/>
        </w:rPr>
        <w:t>GBV</w:t>
      </w:r>
      <w:r w:rsidR="00C326A5">
        <w:rPr>
          <w:i/>
          <w:sz w:val="22"/>
          <w:szCs w:val="22"/>
          <w:vertAlign w:val="subscript"/>
        </w:rPr>
        <w:t>i</w:t>
      </w:r>
      <w:proofErr w:type="gramStart"/>
      <w:r w:rsidR="00C326A5" w:rsidRPr="00C326A5">
        <w:rPr>
          <w:i/>
          <w:sz w:val="22"/>
          <w:szCs w:val="22"/>
          <w:vertAlign w:val="subscript"/>
        </w:rPr>
        <w:t>,</w:t>
      </w:r>
      <w:r w:rsidRPr="00C326A5">
        <w:rPr>
          <w:i/>
          <w:sz w:val="22"/>
          <w:szCs w:val="22"/>
          <w:vertAlign w:val="subscript"/>
        </w:rPr>
        <w:t>t</w:t>
      </w:r>
      <w:proofErr w:type="spellEnd"/>
      <w:proofErr w:type="gramEnd"/>
      <w:r w:rsidRPr="00C326A5">
        <w:rPr>
          <w:sz w:val="22"/>
          <w:szCs w:val="22"/>
          <w:vertAlign w:val="subscript"/>
        </w:rPr>
        <w:tab/>
      </w:r>
      <w:r w:rsidR="008B676C">
        <w:rPr>
          <w:sz w:val="22"/>
          <w:szCs w:val="22"/>
        </w:rPr>
        <w:tab/>
        <w:t xml:space="preserve">= </w:t>
      </w:r>
      <w:r w:rsidR="00C326A5">
        <w:rPr>
          <w:sz w:val="22"/>
          <w:szCs w:val="22"/>
        </w:rPr>
        <w:t xml:space="preserve">net </w:t>
      </w:r>
      <w:proofErr w:type="spellStart"/>
      <w:r w:rsidR="00C326A5">
        <w:rPr>
          <w:sz w:val="22"/>
          <w:szCs w:val="22"/>
        </w:rPr>
        <w:t>book</w:t>
      </w:r>
      <w:r w:rsidRPr="00103EF2">
        <w:rPr>
          <w:sz w:val="22"/>
          <w:szCs w:val="22"/>
        </w:rPr>
        <w:t>value</w:t>
      </w:r>
      <w:proofErr w:type="spellEnd"/>
      <w:r w:rsidRPr="00103EF2">
        <w:rPr>
          <w:sz w:val="22"/>
          <w:szCs w:val="22"/>
        </w:rPr>
        <w:t xml:space="preserve"> of common equity plus allowance for loan losses</w:t>
      </w:r>
      <w:r w:rsidR="00C326A5">
        <w:rPr>
          <w:sz w:val="22"/>
          <w:szCs w:val="22"/>
        </w:rPr>
        <w:t xml:space="preserve"> for firm </w:t>
      </w:r>
      <w:proofErr w:type="spellStart"/>
      <w:r w:rsidR="00C326A5">
        <w:rPr>
          <w:i/>
          <w:sz w:val="22"/>
          <w:szCs w:val="22"/>
        </w:rPr>
        <w:t>i</w:t>
      </w:r>
      <w:proofErr w:type="spellEnd"/>
      <w:r w:rsidR="00C326A5">
        <w:rPr>
          <w:sz w:val="22"/>
          <w:szCs w:val="22"/>
        </w:rPr>
        <w:t xml:space="preserve"> in year </w:t>
      </w:r>
      <w:r w:rsidR="00C326A5">
        <w:rPr>
          <w:i/>
          <w:sz w:val="22"/>
          <w:szCs w:val="22"/>
        </w:rPr>
        <w:t xml:space="preserve">t; </w:t>
      </w:r>
    </w:p>
    <w:p w:rsidR="00103EF2" w:rsidRPr="00103EF2" w:rsidRDefault="00103EF2" w:rsidP="00FB7E48">
      <w:pPr>
        <w:autoSpaceDE w:val="0"/>
        <w:autoSpaceDN w:val="0"/>
        <w:adjustRightInd w:val="0"/>
        <w:spacing w:line="360" w:lineRule="auto"/>
        <w:jc w:val="both"/>
        <w:rPr>
          <w:sz w:val="22"/>
          <w:szCs w:val="22"/>
        </w:rPr>
      </w:pPr>
      <w:proofErr w:type="spellStart"/>
      <w:r w:rsidRPr="008A419A">
        <w:rPr>
          <w:i/>
          <w:sz w:val="22"/>
          <w:szCs w:val="22"/>
        </w:rPr>
        <w:t>CO</w:t>
      </w:r>
      <w:r w:rsidR="00C326A5">
        <w:rPr>
          <w:i/>
          <w:sz w:val="22"/>
          <w:szCs w:val="22"/>
          <w:vertAlign w:val="subscript"/>
        </w:rPr>
        <w:t>i</w:t>
      </w:r>
      <w:proofErr w:type="gramStart"/>
      <w:r w:rsidR="00C326A5">
        <w:rPr>
          <w:i/>
          <w:sz w:val="22"/>
          <w:szCs w:val="22"/>
          <w:vertAlign w:val="subscript"/>
        </w:rPr>
        <w:t>,i</w:t>
      </w:r>
      <w:proofErr w:type="spellEnd"/>
      <w:proofErr w:type="gramEnd"/>
      <w:r w:rsidRPr="00103EF2">
        <w:rPr>
          <w:sz w:val="22"/>
          <w:szCs w:val="22"/>
        </w:rPr>
        <w:tab/>
      </w:r>
      <w:r w:rsidR="008B676C">
        <w:rPr>
          <w:sz w:val="22"/>
          <w:szCs w:val="22"/>
        </w:rPr>
        <w:tab/>
        <w:t xml:space="preserve">= </w:t>
      </w:r>
      <w:r w:rsidRPr="00103EF2">
        <w:rPr>
          <w:sz w:val="22"/>
          <w:szCs w:val="22"/>
        </w:rPr>
        <w:t>loan charge-offs</w:t>
      </w:r>
      <w:r w:rsidR="00DA1560">
        <w:rPr>
          <w:sz w:val="22"/>
          <w:szCs w:val="22"/>
        </w:rPr>
        <w:t xml:space="preserve"> </w:t>
      </w:r>
      <w:r w:rsidR="00C326A5">
        <w:rPr>
          <w:sz w:val="22"/>
          <w:szCs w:val="22"/>
        </w:rPr>
        <w:t xml:space="preserve">for firm </w:t>
      </w:r>
      <w:proofErr w:type="spellStart"/>
      <w:r w:rsidR="00C326A5">
        <w:rPr>
          <w:i/>
          <w:sz w:val="22"/>
          <w:szCs w:val="22"/>
        </w:rPr>
        <w:t>i</w:t>
      </w:r>
      <w:proofErr w:type="spellEnd"/>
      <w:r w:rsidR="00C326A5">
        <w:rPr>
          <w:sz w:val="22"/>
          <w:szCs w:val="22"/>
        </w:rPr>
        <w:t xml:space="preserve"> in</w:t>
      </w:r>
      <w:r w:rsidR="00FC7821">
        <w:rPr>
          <w:sz w:val="22"/>
          <w:szCs w:val="22"/>
        </w:rPr>
        <w:t xml:space="preserve"> year </w:t>
      </w:r>
      <w:r w:rsidR="00C326A5">
        <w:rPr>
          <w:i/>
          <w:sz w:val="22"/>
          <w:szCs w:val="22"/>
        </w:rPr>
        <w:t>t</w:t>
      </w:r>
      <w:r w:rsidR="00FC7821">
        <w:rPr>
          <w:sz w:val="22"/>
          <w:szCs w:val="22"/>
        </w:rPr>
        <w:t>;</w:t>
      </w:r>
    </w:p>
    <w:p w:rsidR="00103EF2" w:rsidRPr="00103EF2" w:rsidRDefault="00103EF2" w:rsidP="00FB7E48">
      <w:pPr>
        <w:autoSpaceDE w:val="0"/>
        <w:autoSpaceDN w:val="0"/>
        <w:adjustRightInd w:val="0"/>
        <w:spacing w:line="360" w:lineRule="auto"/>
        <w:jc w:val="both"/>
        <w:rPr>
          <w:rFonts w:ascii="TimesNewRoman" w:hAnsi="TimesNewRoman" w:cs="TimesNewRoman"/>
          <w:sz w:val="22"/>
          <w:szCs w:val="22"/>
        </w:rPr>
      </w:pPr>
      <w:r w:rsidRPr="008A419A">
        <w:rPr>
          <w:i/>
          <w:sz w:val="22"/>
          <w:szCs w:val="22"/>
          <w:lang w:val="nl-NL"/>
        </w:rPr>
        <w:t>Δ</w:t>
      </w:r>
      <w:proofErr w:type="spellStart"/>
      <w:r w:rsidRPr="008A419A">
        <w:rPr>
          <w:i/>
          <w:sz w:val="22"/>
          <w:szCs w:val="22"/>
        </w:rPr>
        <w:t>LOAN</w:t>
      </w:r>
      <w:r w:rsidR="00C326A5">
        <w:rPr>
          <w:i/>
          <w:sz w:val="22"/>
          <w:szCs w:val="22"/>
          <w:vertAlign w:val="subscript"/>
        </w:rPr>
        <w:t>i</w:t>
      </w:r>
      <w:proofErr w:type="gramStart"/>
      <w:r w:rsidR="00C326A5">
        <w:rPr>
          <w:i/>
          <w:sz w:val="22"/>
          <w:szCs w:val="22"/>
          <w:vertAlign w:val="subscript"/>
        </w:rPr>
        <w:t>,t</w:t>
      </w:r>
      <w:proofErr w:type="spellEnd"/>
      <w:proofErr w:type="gramEnd"/>
      <w:r w:rsidR="008B676C">
        <w:rPr>
          <w:sz w:val="22"/>
          <w:szCs w:val="22"/>
        </w:rPr>
        <w:t xml:space="preserve"> </w:t>
      </w:r>
      <w:r w:rsidR="008B676C">
        <w:rPr>
          <w:sz w:val="22"/>
          <w:szCs w:val="22"/>
        </w:rPr>
        <w:tab/>
        <w:t xml:space="preserve">= </w:t>
      </w:r>
      <w:r w:rsidRPr="00103EF2">
        <w:rPr>
          <w:sz w:val="22"/>
          <w:szCs w:val="22"/>
        </w:rPr>
        <w:t xml:space="preserve">change </w:t>
      </w:r>
      <w:r w:rsidRPr="00103EF2">
        <w:rPr>
          <w:rFonts w:ascii="TimesNewRoman" w:hAnsi="TimesNewRoman" w:cs="TimesNewRoman"/>
          <w:sz w:val="22"/>
          <w:szCs w:val="22"/>
        </w:rPr>
        <w:t>in total loans (</w:t>
      </w:r>
      <w:proofErr w:type="spellStart"/>
      <w:r w:rsidRPr="00103EF2">
        <w:rPr>
          <w:rFonts w:ascii="TimesNewRoman" w:hAnsi="TimesNewRoman" w:cs="TimesNewRoman"/>
          <w:sz w:val="22"/>
          <w:szCs w:val="22"/>
        </w:rPr>
        <w:t>LOAN</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LOAN</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sidR="00C326A5">
        <w:rPr>
          <w:rFonts w:ascii="TimesNewRoman" w:hAnsi="TimesNewRoman" w:cs="TimesNewRoman"/>
          <w:sz w:val="22"/>
          <w:szCs w:val="22"/>
        </w:rPr>
        <w:t xml:space="preserve"> for firm </w:t>
      </w:r>
      <w:proofErr w:type="spellStart"/>
      <w:r w:rsidR="00C326A5">
        <w:rPr>
          <w:rFonts w:ascii="TimesNewRoman" w:hAnsi="TimesNewRoman" w:cs="TimesNewRoman"/>
          <w:i/>
          <w:sz w:val="22"/>
          <w:szCs w:val="22"/>
        </w:rPr>
        <w:t>i</w:t>
      </w:r>
      <w:proofErr w:type="spellEnd"/>
      <w:r w:rsidR="00C326A5">
        <w:rPr>
          <w:rFonts w:ascii="TimesNewRoman" w:hAnsi="TimesNewRoman" w:cs="TimesNewRoman"/>
          <w:i/>
          <w:sz w:val="22"/>
          <w:szCs w:val="22"/>
        </w:rPr>
        <w:t xml:space="preserve"> </w:t>
      </w:r>
      <w:r w:rsidR="00C326A5">
        <w:rPr>
          <w:rFonts w:ascii="TimesNewRoman" w:hAnsi="TimesNewRoman" w:cs="TimesNewRoman"/>
          <w:sz w:val="22"/>
          <w:szCs w:val="22"/>
        </w:rPr>
        <w:t>in</w:t>
      </w:r>
      <w:r w:rsidR="00FC7821">
        <w:rPr>
          <w:rFonts w:ascii="TimesNewRoman" w:hAnsi="TimesNewRoman" w:cs="TimesNewRoman"/>
          <w:sz w:val="22"/>
          <w:szCs w:val="22"/>
        </w:rPr>
        <w:t xml:space="preserve"> year </w:t>
      </w:r>
      <w:r w:rsidR="00C326A5">
        <w:rPr>
          <w:rFonts w:ascii="TimesNewRoman" w:hAnsi="TimesNewRoman" w:cs="TimesNewRoman"/>
          <w:i/>
          <w:sz w:val="22"/>
          <w:szCs w:val="22"/>
        </w:rPr>
        <w:t>t</w:t>
      </w:r>
      <w:r w:rsidR="00FC7821">
        <w:rPr>
          <w:rFonts w:ascii="TimesNewRoman" w:hAnsi="TimesNewRoman" w:cs="TimesNewRoman"/>
          <w:sz w:val="22"/>
          <w:szCs w:val="22"/>
        </w:rPr>
        <w:t>;</w:t>
      </w:r>
    </w:p>
    <w:p w:rsidR="00103EF2" w:rsidRPr="00103EF2" w:rsidRDefault="00103EF2" w:rsidP="00FB7E48">
      <w:pPr>
        <w:autoSpaceDE w:val="0"/>
        <w:autoSpaceDN w:val="0"/>
        <w:adjustRightInd w:val="0"/>
        <w:spacing w:line="360" w:lineRule="auto"/>
        <w:jc w:val="both"/>
        <w:rPr>
          <w:rFonts w:ascii="TimesNewRoman" w:hAnsi="TimesNewRoman" w:cs="TimesNewRoman"/>
          <w:sz w:val="22"/>
          <w:szCs w:val="22"/>
        </w:rPr>
      </w:pPr>
      <w:r w:rsidRPr="008A419A">
        <w:rPr>
          <w:i/>
          <w:sz w:val="22"/>
          <w:szCs w:val="22"/>
          <w:lang w:val="nl-NL"/>
        </w:rPr>
        <w:t>Δ</w:t>
      </w:r>
      <w:proofErr w:type="spellStart"/>
      <w:r w:rsidRPr="008A419A">
        <w:rPr>
          <w:i/>
          <w:sz w:val="22"/>
          <w:szCs w:val="22"/>
        </w:rPr>
        <w:t>NPA</w:t>
      </w:r>
      <w:r w:rsidR="00C326A5">
        <w:rPr>
          <w:i/>
          <w:sz w:val="22"/>
          <w:szCs w:val="22"/>
          <w:vertAlign w:val="subscript"/>
        </w:rPr>
        <w:t>it</w:t>
      </w:r>
      <w:proofErr w:type="spellEnd"/>
      <w:r w:rsidR="00C326A5">
        <w:rPr>
          <w:i/>
          <w:sz w:val="22"/>
          <w:szCs w:val="22"/>
          <w:vertAlign w:val="subscript"/>
        </w:rPr>
        <w:tab/>
      </w:r>
      <w:r w:rsidR="008B676C">
        <w:rPr>
          <w:i/>
          <w:sz w:val="22"/>
          <w:szCs w:val="22"/>
          <w:vertAlign w:val="subscript"/>
        </w:rPr>
        <w:tab/>
      </w:r>
      <w:r w:rsidRPr="00103EF2">
        <w:rPr>
          <w:sz w:val="22"/>
          <w:szCs w:val="22"/>
        </w:rPr>
        <w:t>=</w:t>
      </w:r>
      <w:r w:rsidR="008B676C">
        <w:rPr>
          <w:sz w:val="22"/>
          <w:szCs w:val="22"/>
        </w:rPr>
        <w:t xml:space="preserve"> </w:t>
      </w:r>
      <w:r w:rsidRPr="00103EF2">
        <w:rPr>
          <w:rFonts w:ascii="TimesNewRoman" w:hAnsi="TimesNewRoman" w:cs="TimesNewRoman"/>
          <w:sz w:val="22"/>
          <w:szCs w:val="22"/>
        </w:rPr>
        <w:t>most recent change in nonperforming assets (</w:t>
      </w:r>
      <w:proofErr w:type="spellStart"/>
      <w:r w:rsidRPr="00103EF2">
        <w:rPr>
          <w:rFonts w:ascii="TimesNewRoman" w:hAnsi="TimesNewRoman" w:cs="TimesNewRoman"/>
          <w:sz w:val="22"/>
          <w:szCs w:val="22"/>
        </w:rPr>
        <w:t>NPA</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NPA</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sidR="00DA1560">
        <w:rPr>
          <w:rFonts w:ascii="TimesNewRoman" w:hAnsi="TimesNewRoman" w:cs="TimesNewRoman"/>
          <w:sz w:val="22"/>
          <w:szCs w:val="22"/>
        </w:rPr>
        <w:t xml:space="preserve"> </w:t>
      </w:r>
      <w:r w:rsidR="00C326A5">
        <w:rPr>
          <w:rFonts w:ascii="TimesNewRoman" w:hAnsi="TimesNewRoman" w:cs="TimesNewRoman"/>
          <w:sz w:val="22"/>
          <w:szCs w:val="22"/>
        </w:rPr>
        <w:t xml:space="preserve">for firm </w:t>
      </w:r>
      <w:proofErr w:type="spellStart"/>
      <w:r w:rsidR="00C326A5" w:rsidRPr="00C326A5">
        <w:rPr>
          <w:rFonts w:ascii="TimesNewRoman" w:hAnsi="TimesNewRoman" w:cs="TimesNewRoman"/>
          <w:i/>
          <w:sz w:val="22"/>
          <w:szCs w:val="22"/>
        </w:rPr>
        <w:t>i</w:t>
      </w:r>
      <w:proofErr w:type="spellEnd"/>
      <w:r w:rsidR="00C326A5">
        <w:rPr>
          <w:rFonts w:ascii="TimesNewRoman" w:hAnsi="TimesNewRoman" w:cs="TimesNewRoman"/>
          <w:sz w:val="22"/>
          <w:szCs w:val="22"/>
        </w:rPr>
        <w:t xml:space="preserve"> in</w:t>
      </w:r>
      <w:r w:rsidR="00FC7821">
        <w:rPr>
          <w:rFonts w:ascii="TimesNewRoman" w:hAnsi="TimesNewRoman" w:cs="TimesNewRoman"/>
          <w:sz w:val="22"/>
          <w:szCs w:val="22"/>
        </w:rPr>
        <w:t xml:space="preserve"> year </w:t>
      </w:r>
      <w:r w:rsidR="00FC7821" w:rsidRPr="00C326A5">
        <w:rPr>
          <w:rFonts w:ascii="TimesNewRoman" w:hAnsi="TimesNewRoman" w:cs="TimesNewRoman"/>
          <w:i/>
          <w:sz w:val="22"/>
          <w:szCs w:val="22"/>
        </w:rPr>
        <w:t>t</w:t>
      </w:r>
      <w:r w:rsidR="00FC7821">
        <w:rPr>
          <w:rFonts w:ascii="TimesNewRoman" w:hAnsi="TimesNewRoman" w:cs="TimesNewRoman"/>
          <w:sz w:val="22"/>
          <w:szCs w:val="22"/>
        </w:rPr>
        <w:t>;</w:t>
      </w:r>
    </w:p>
    <w:p w:rsidR="00103EF2" w:rsidRDefault="00103EF2" w:rsidP="00FB7E48">
      <w:pPr>
        <w:autoSpaceDE w:val="0"/>
        <w:autoSpaceDN w:val="0"/>
        <w:adjustRightInd w:val="0"/>
        <w:spacing w:line="360" w:lineRule="auto"/>
        <w:jc w:val="both"/>
        <w:rPr>
          <w:rFonts w:ascii="TimesNewRoman" w:hAnsi="TimesNewRoman" w:cs="TimesNewRoman"/>
          <w:sz w:val="22"/>
          <w:szCs w:val="22"/>
        </w:rPr>
      </w:pPr>
      <w:r w:rsidRPr="008A419A">
        <w:rPr>
          <w:i/>
          <w:sz w:val="22"/>
          <w:szCs w:val="22"/>
          <w:lang w:val="nl-NL"/>
        </w:rPr>
        <w:t>Δ</w:t>
      </w:r>
      <w:r w:rsidRPr="008A419A">
        <w:rPr>
          <w:i/>
          <w:sz w:val="22"/>
          <w:szCs w:val="22"/>
        </w:rPr>
        <w:t>NPA</w:t>
      </w:r>
      <w:r w:rsidR="00C326A5" w:rsidRPr="00C326A5">
        <w:rPr>
          <w:i/>
          <w:sz w:val="22"/>
          <w:szCs w:val="22"/>
          <w:vertAlign w:val="subscript"/>
        </w:rPr>
        <w:t>i</w:t>
      </w:r>
      <w:proofErr w:type="gramStart"/>
      <w:r w:rsidR="00C326A5" w:rsidRPr="00C326A5">
        <w:rPr>
          <w:i/>
          <w:sz w:val="22"/>
          <w:szCs w:val="22"/>
          <w:vertAlign w:val="subscript"/>
        </w:rPr>
        <w:t>,</w:t>
      </w:r>
      <w:r w:rsidRPr="008A419A">
        <w:rPr>
          <w:i/>
          <w:sz w:val="22"/>
          <w:szCs w:val="22"/>
          <w:vertAlign w:val="subscript"/>
        </w:rPr>
        <w:t>t</w:t>
      </w:r>
      <w:r w:rsidRPr="008A419A">
        <w:rPr>
          <w:i/>
          <w:sz w:val="22"/>
          <w:szCs w:val="22"/>
          <w:vertAlign w:val="subscript"/>
        </w:rPr>
        <w:softHyphen/>
        <w:t>+</w:t>
      </w:r>
      <w:proofErr w:type="gramEnd"/>
      <w:r w:rsidRPr="008A419A">
        <w:rPr>
          <w:i/>
          <w:sz w:val="22"/>
          <w:szCs w:val="22"/>
          <w:vertAlign w:val="subscript"/>
        </w:rPr>
        <w:t>1</w:t>
      </w:r>
      <w:r w:rsidR="008B676C">
        <w:rPr>
          <w:i/>
          <w:sz w:val="22"/>
          <w:szCs w:val="22"/>
          <w:vertAlign w:val="subscript"/>
        </w:rPr>
        <w:tab/>
      </w:r>
      <w:r w:rsidRPr="00103EF2">
        <w:rPr>
          <w:sz w:val="22"/>
          <w:szCs w:val="22"/>
        </w:rPr>
        <w:t>=</w:t>
      </w:r>
      <w:r w:rsidR="008B676C">
        <w:rPr>
          <w:sz w:val="22"/>
          <w:szCs w:val="22"/>
        </w:rPr>
        <w:t xml:space="preserve"> </w:t>
      </w:r>
      <w:r w:rsidRPr="00103EF2">
        <w:rPr>
          <w:rFonts w:ascii="TimesNewRoman" w:hAnsi="TimesNewRoman" w:cs="TimesNewRoman"/>
          <w:sz w:val="22"/>
          <w:szCs w:val="22"/>
        </w:rPr>
        <w:t>one-period-ahead change in nonperforming assets</w:t>
      </w:r>
      <w:r w:rsidR="00DA1560">
        <w:rPr>
          <w:rFonts w:ascii="TimesNewRoman" w:hAnsi="TimesNewRoman" w:cs="TimesNewRoman"/>
          <w:sz w:val="22"/>
          <w:szCs w:val="22"/>
        </w:rPr>
        <w:t xml:space="preserve"> </w:t>
      </w:r>
      <w:r w:rsidR="00FC7821">
        <w:rPr>
          <w:rFonts w:ascii="TimesNewRoman" w:hAnsi="TimesNewRoman" w:cs="TimesNewRoman"/>
          <w:sz w:val="22"/>
          <w:szCs w:val="22"/>
        </w:rPr>
        <w:t>for</w:t>
      </w:r>
      <w:r w:rsidR="00C326A5">
        <w:rPr>
          <w:rFonts w:ascii="TimesNewRoman" w:hAnsi="TimesNewRoman" w:cs="TimesNewRoman"/>
          <w:sz w:val="22"/>
          <w:szCs w:val="22"/>
        </w:rPr>
        <w:t xml:space="preserve"> firm </w:t>
      </w:r>
      <w:proofErr w:type="spellStart"/>
      <w:r w:rsidR="00C326A5" w:rsidRPr="00C326A5">
        <w:rPr>
          <w:rFonts w:ascii="TimesNewRoman" w:hAnsi="TimesNewRoman" w:cs="TimesNewRoman"/>
          <w:i/>
          <w:sz w:val="22"/>
          <w:szCs w:val="22"/>
        </w:rPr>
        <w:t>i</w:t>
      </w:r>
      <w:proofErr w:type="spellEnd"/>
      <w:r w:rsidR="00FC7821">
        <w:rPr>
          <w:rFonts w:ascii="TimesNewRoman" w:hAnsi="TimesNewRoman" w:cs="TimesNewRoman"/>
          <w:sz w:val="22"/>
          <w:szCs w:val="22"/>
        </w:rPr>
        <w:t xml:space="preserve"> </w:t>
      </w:r>
      <w:r w:rsidR="00CD36A3">
        <w:rPr>
          <w:rFonts w:ascii="TimesNewRoman" w:hAnsi="TimesNewRoman" w:cs="TimesNewRoman"/>
          <w:sz w:val="22"/>
          <w:szCs w:val="22"/>
        </w:rPr>
        <w:t xml:space="preserve">in </w:t>
      </w:r>
      <w:r w:rsidR="00FC7821">
        <w:rPr>
          <w:rFonts w:ascii="TimesNewRoman" w:hAnsi="TimesNewRoman" w:cs="TimesNewRoman"/>
          <w:sz w:val="22"/>
          <w:szCs w:val="22"/>
        </w:rPr>
        <w:t xml:space="preserve">year </w:t>
      </w:r>
      <w:r w:rsidR="00FC7821" w:rsidRPr="00C326A5">
        <w:rPr>
          <w:rFonts w:ascii="TimesNewRoman" w:hAnsi="TimesNewRoman" w:cs="TimesNewRoman"/>
          <w:i/>
          <w:sz w:val="22"/>
          <w:szCs w:val="22"/>
        </w:rPr>
        <w:t>t</w:t>
      </w:r>
      <w:r w:rsidR="00C326A5">
        <w:rPr>
          <w:rFonts w:ascii="TimesNewRoman" w:hAnsi="TimesNewRoman" w:cs="TimesNewRoman"/>
          <w:sz w:val="22"/>
          <w:szCs w:val="22"/>
        </w:rPr>
        <w:t>;</w:t>
      </w:r>
    </w:p>
    <w:p w:rsidR="00C326A5" w:rsidRPr="00C326A5" w:rsidRDefault="00C326A5" w:rsidP="00FB7E48">
      <w:pPr>
        <w:autoSpaceDE w:val="0"/>
        <w:autoSpaceDN w:val="0"/>
        <w:adjustRightInd w:val="0"/>
        <w:spacing w:line="360" w:lineRule="auto"/>
        <w:jc w:val="both"/>
        <w:rPr>
          <w:rFonts w:ascii="TimesNewRoman" w:hAnsi="TimesNewRoman" w:cs="TimesNewRoman"/>
          <w:sz w:val="22"/>
          <w:szCs w:val="22"/>
        </w:rPr>
      </w:pPr>
      <w:proofErr w:type="spellStart"/>
      <w:proofErr w:type="gramStart"/>
      <w:r>
        <w:rPr>
          <w:rFonts w:ascii="TimesNewRoman" w:hAnsi="TimesNewRoman" w:cs="TimesNewRoman"/>
          <w:sz w:val="22"/>
          <w:szCs w:val="22"/>
        </w:rPr>
        <w:t>ε</w:t>
      </w:r>
      <w:r>
        <w:rPr>
          <w:rFonts w:ascii="TimesNewRoman" w:hAnsi="TimesNewRoman" w:cs="TimesNewRoman"/>
          <w:sz w:val="22"/>
          <w:szCs w:val="22"/>
          <w:vertAlign w:val="subscript"/>
        </w:rPr>
        <w:t>i,</w:t>
      </w:r>
      <w:proofErr w:type="gramEnd"/>
      <w:r>
        <w:rPr>
          <w:rFonts w:ascii="TimesNewRoman" w:hAnsi="TimesNewRoman" w:cs="TimesNewRoman"/>
          <w:sz w:val="22"/>
          <w:szCs w:val="22"/>
          <w:vertAlign w:val="subscript"/>
        </w:rPr>
        <w:t>t</w:t>
      </w:r>
      <w:proofErr w:type="spellEnd"/>
      <w:r>
        <w:rPr>
          <w:rFonts w:ascii="TimesNewRoman" w:hAnsi="TimesNewRoman" w:cs="TimesNewRoman"/>
          <w:sz w:val="22"/>
          <w:szCs w:val="22"/>
          <w:vertAlign w:val="subscript"/>
        </w:rPr>
        <w:tab/>
      </w:r>
      <w:r>
        <w:rPr>
          <w:rFonts w:ascii="TimesNewRoman" w:hAnsi="TimesNewRoman" w:cs="TimesNewRoman"/>
          <w:sz w:val="22"/>
          <w:szCs w:val="22"/>
        </w:rPr>
        <w:tab/>
        <w:t xml:space="preserve">= error term for firm </w:t>
      </w:r>
      <w:proofErr w:type="spellStart"/>
      <w:r w:rsidRPr="00C326A5">
        <w:rPr>
          <w:rFonts w:ascii="TimesNewRoman" w:hAnsi="TimesNewRoman" w:cs="TimesNewRoman"/>
          <w:i/>
          <w:sz w:val="22"/>
          <w:szCs w:val="22"/>
        </w:rPr>
        <w:t>i</w:t>
      </w:r>
      <w:proofErr w:type="spellEnd"/>
      <w:r>
        <w:rPr>
          <w:rFonts w:ascii="TimesNewRoman" w:hAnsi="TimesNewRoman" w:cs="TimesNewRoman"/>
          <w:sz w:val="22"/>
          <w:szCs w:val="22"/>
        </w:rPr>
        <w:t xml:space="preserve"> in year </w:t>
      </w:r>
      <w:r w:rsidRPr="00C326A5">
        <w:rPr>
          <w:rFonts w:ascii="TimesNewRoman" w:hAnsi="TimesNewRoman" w:cs="TimesNewRoman"/>
          <w:i/>
          <w:sz w:val="22"/>
          <w:szCs w:val="22"/>
        </w:rPr>
        <w:t>t</w:t>
      </w:r>
      <w:r w:rsidR="00E00FAF">
        <w:rPr>
          <w:rFonts w:ascii="TimesNewRoman" w:hAnsi="TimesNewRoman" w:cs="TimesNewRoman"/>
          <w:i/>
          <w:sz w:val="22"/>
          <w:szCs w:val="22"/>
        </w:rPr>
        <w:t>;</w:t>
      </w:r>
    </w:p>
    <w:p w:rsidR="00103EF2" w:rsidRDefault="00120DD3" w:rsidP="00FB7E48">
      <w:pPr>
        <w:autoSpaceDE w:val="0"/>
        <w:autoSpaceDN w:val="0"/>
        <w:adjustRightInd w:val="0"/>
        <w:spacing w:line="360" w:lineRule="auto"/>
        <w:jc w:val="both"/>
        <w:rPr>
          <w:rFonts w:ascii="TimesNewRoman" w:hAnsi="TimesNewRoman" w:cs="TimesNewRoman"/>
          <w:sz w:val="22"/>
          <w:szCs w:val="22"/>
        </w:rPr>
      </w:pPr>
      <w:r w:rsidRPr="00120DD3">
        <w:rPr>
          <w:rFonts w:ascii="TimesNewRoman" w:hAnsi="TimesNewRoman" w:cs="TimesNewRoman"/>
          <w:sz w:val="22"/>
          <w:szCs w:val="22"/>
        </w:rPr>
        <w:t>β</w:t>
      </w:r>
      <w:r>
        <w:rPr>
          <w:rFonts w:ascii="TimesNewRoman" w:hAnsi="TimesNewRoman" w:cs="TimesNewRoman"/>
          <w:sz w:val="22"/>
          <w:szCs w:val="22"/>
          <w:vertAlign w:val="subscript"/>
        </w:rPr>
        <w:t>0</w:t>
      </w:r>
      <w:proofErr w:type="gramStart"/>
      <w:r>
        <w:rPr>
          <w:rFonts w:ascii="TimesNewRoman" w:hAnsi="TimesNewRoman" w:cs="TimesNewRoman"/>
          <w:sz w:val="22"/>
          <w:szCs w:val="22"/>
          <w:vertAlign w:val="subscript"/>
        </w:rPr>
        <w:t>,</w:t>
      </w:r>
      <w:r w:rsidRPr="00120DD3">
        <w:rPr>
          <w:rFonts w:ascii="TimesNewRoman" w:hAnsi="TimesNewRoman" w:cs="TimesNewRoman"/>
          <w:sz w:val="22"/>
          <w:szCs w:val="22"/>
        </w:rPr>
        <w:t>β</w:t>
      </w:r>
      <w:r>
        <w:rPr>
          <w:rFonts w:ascii="TimesNewRoman" w:hAnsi="TimesNewRoman" w:cs="TimesNewRoman"/>
          <w:sz w:val="22"/>
          <w:szCs w:val="22"/>
          <w:vertAlign w:val="subscript"/>
        </w:rPr>
        <w:t>1</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2</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3</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4</w:t>
      </w:r>
      <w:proofErr w:type="gramEnd"/>
      <w:r>
        <w:rPr>
          <w:rFonts w:ascii="TimesNewRoman" w:hAnsi="TimesNewRoman" w:cs="TimesNewRoman"/>
          <w:sz w:val="22"/>
          <w:szCs w:val="22"/>
        </w:rPr>
        <w:tab/>
        <w:t>= firm specific coefficients</w:t>
      </w:r>
      <w:r w:rsidR="00E00FAF">
        <w:rPr>
          <w:rFonts w:ascii="TimesNewRoman" w:hAnsi="TimesNewRoman" w:cs="TimesNewRoman"/>
          <w:sz w:val="22"/>
          <w:szCs w:val="22"/>
        </w:rPr>
        <w:t>.</w:t>
      </w:r>
    </w:p>
    <w:p w:rsidR="00120DD3" w:rsidRPr="00120DD3" w:rsidRDefault="00120DD3" w:rsidP="00FB7E48">
      <w:pPr>
        <w:autoSpaceDE w:val="0"/>
        <w:autoSpaceDN w:val="0"/>
        <w:adjustRightInd w:val="0"/>
        <w:spacing w:line="360" w:lineRule="auto"/>
        <w:jc w:val="both"/>
        <w:rPr>
          <w:rFonts w:ascii="TimesNewRoman" w:hAnsi="TimesNewRoman" w:cs="TimesNewRoman"/>
          <w:sz w:val="22"/>
          <w:szCs w:val="22"/>
        </w:rPr>
      </w:pPr>
    </w:p>
    <w:p w:rsidR="00967087" w:rsidRPr="00DA1560" w:rsidRDefault="00C326A5" w:rsidP="00967087">
      <w:pPr>
        <w:autoSpaceDE w:val="0"/>
        <w:autoSpaceDN w:val="0"/>
        <w:adjustRightInd w:val="0"/>
        <w:spacing w:line="360" w:lineRule="auto"/>
        <w:jc w:val="both"/>
        <w:rPr>
          <w:sz w:val="22"/>
          <w:szCs w:val="22"/>
        </w:rPr>
      </w:pPr>
      <w:r>
        <w:rPr>
          <w:sz w:val="22"/>
          <w:szCs w:val="22"/>
        </w:rPr>
        <w:t xml:space="preserve">All variables are scaled by </w:t>
      </w:r>
      <w:proofErr w:type="spellStart"/>
      <w:r w:rsidRPr="00C326A5">
        <w:rPr>
          <w:sz w:val="22"/>
          <w:szCs w:val="22"/>
        </w:rPr>
        <w:t>GBV</w:t>
      </w:r>
      <w:r>
        <w:rPr>
          <w:sz w:val="22"/>
          <w:szCs w:val="22"/>
          <w:vertAlign w:val="subscript"/>
        </w:rPr>
        <w:t>i</w:t>
      </w:r>
      <w:proofErr w:type="gramStart"/>
      <w:r w:rsidRPr="00C326A5">
        <w:rPr>
          <w:sz w:val="22"/>
          <w:szCs w:val="22"/>
          <w:vertAlign w:val="subscript"/>
        </w:rPr>
        <w:t>,t</w:t>
      </w:r>
      <w:proofErr w:type="spellEnd"/>
      <w:proofErr w:type="gramEnd"/>
      <w:r>
        <w:rPr>
          <w:sz w:val="22"/>
          <w:szCs w:val="22"/>
        </w:rPr>
        <w:t>.</w:t>
      </w:r>
      <w:r w:rsidR="00120DD3">
        <w:rPr>
          <w:sz w:val="22"/>
          <w:szCs w:val="22"/>
        </w:rPr>
        <w:t xml:space="preserve"> </w:t>
      </w:r>
      <w:r w:rsidR="008F49FF">
        <w:rPr>
          <w:sz w:val="22"/>
          <w:szCs w:val="22"/>
        </w:rPr>
        <w:t>T</w:t>
      </w:r>
      <w:r w:rsidR="00120DD3">
        <w:rPr>
          <w:sz w:val="22"/>
          <w:szCs w:val="22"/>
        </w:rPr>
        <w:t>he model assumes that in</w:t>
      </w:r>
      <w:r>
        <w:rPr>
          <w:sz w:val="22"/>
          <w:szCs w:val="22"/>
        </w:rPr>
        <w:t xml:space="preserve"> </w:t>
      </w:r>
      <w:r w:rsidR="00120DD3">
        <w:rPr>
          <w:sz w:val="22"/>
          <w:szCs w:val="22"/>
        </w:rPr>
        <w:t>equation (2</w:t>
      </w:r>
      <w:r w:rsidR="00120DD3" w:rsidRPr="00DA1560">
        <w:rPr>
          <w:sz w:val="22"/>
          <w:szCs w:val="22"/>
        </w:rPr>
        <w:t>)</w:t>
      </w:r>
      <w:r w:rsidR="00967087" w:rsidRPr="00DA1560">
        <w:rPr>
          <w:sz w:val="22"/>
          <w:szCs w:val="22"/>
        </w:rPr>
        <w:t xml:space="preserve"> </w:t>
      </w:r>
      <w:r w:rsidR="00120DD3">
        <w:rPr>
          <w:sz w:val="22"/>
          <w:szCs w:val="22"/>
        </w:rPr>
        <w:t>there is no</w:t>
      </w:r>
      <w:r w:rsidR="00967087" w:rsidRPr="00DA1560">
        <w:rPr>
          <w:sz w:val="22"/>
          <w:szCs w:val="22"/>
        </w:rPr>
        <w:t xml:space="preserve"> discretionary component and </w:t>
      </w:r>
      <w:r w:rsidR="00F6076E" w:rsidRPr="00DA1560">
        <w:rPr>
          <w:sz w:val="22"/>
          <w:szCs w:val="22"/>
        </w:rPr>
        <w:t>n</w:t>
      </w:r>
      <w:r w:rsidR="006151AB">
        <w:rPr>
          <w:sz w:val="22"/>
          <w:szCs w:val="22"/>
        </w:rPr>
        <w:t>either</w:t>
      </w:r>
      <w:r w:rsidR="00063DC6">
        <w:rPr>
          <w:sz w:val="22"/>
          <w:szCs w:val="22"/>
        </w:rPr>
        <w:t xml:space="preserve"> is there a</w:t>
      </w:r>
      <w:r w:rsidR="00967087" w:rsidRPr="00DA1560">
        <w:rPr>
          <w:sz w:val="22"/>
          <w:szCs w:val="22"/>
        </w:rPr>
        <w:t xml:space="preserve"> measurement error</w:t>
      </w:r>
      <w:r w:rsidR="00F6076E" w:rsidRPr="00DA1560">
        <w:rPr>
          <w:sz w:val="22"/>
          <w:szCs w:val="22"/>
        </w:rPr>
        <w:t xml:space="preserve"> </w:t>
      </w:r>
      <w:r w:rsidR="00E00FAF">
        <w:rPr>
          <w:sz w:val="22"/>
          <w:szCs w:val="22"/>
        </w:rPr>
        <w:t>(</w:t>
      </w:r>
      <w:proofErr w:type="spellStart"/>
      <w:r w:rsidR="00F6076E" w:rsidRPr="00DA1560">
        <w:rPr>
          <w:i/>
          <w:sz w:val="22"/>
          <w:szCs w:val="22"/>
        </w:rPr>
        <w:t>ε</w:t>
      </w:r>
      <w:r w:rsidR="00120DD3">
        <w:rPr>
          <w:i/>
          <w:sz w:val="22"/>
          <w:szCs w:val="22"/>
          <w:vertAlign w:val="subscript"/>
        </w:rPr>
        <w:t>i</w:t>
      </w:r>
      <w:proofErr w:type="gramStart"/>
      <w:r w:rsidR="00E00FAF">
        <w:rPr>
          <w:i/>
          <w:sz w:val="22"/>
          <w:szCs w:val="22"/>
          <w:vertAlign w:val="subscript"/>
        </w:rPr>
        <w:t>,</w:t>
      </w:r>
      <w:r w:rsidR="00120DD3">
        <w:rPr>
          <w:i/>
          <w:sz w:val="22"/>
          <w:szCs w:val="22"/>
          <w:vertAlign w:val="subscript"/>
        </w:rPr>
        <w:t>t</w:t>
      </w:r>
      <w:proofErr w:type="spellEnd"/>
      <w:proofErr w:type="gramEnd"/>
      <w:r w:rsidR="00E00FAF">
        <w:rPr>
          <w:i/>
          <w:sz w:val="22"/>
          <w:szCs w:val="22"/>
        </w:rPr>
        <w:t>)</w:t>
      </w:r>
      <w:r w:rsidR="00967087" w:rsidRPr="00DA1560">
        <w:rPr>
          <w:sz w:val="22"/>
          <w:szCs w:val="22"/>
        </w:rPr>
        <w:t xml:space="preserve">. </w:t>
      </w:r>
      <w:r w:rsidR="00120DD3">
        <w:rPr>
          <w:sz w:val="22"/>
          <w:szCs w:val="22"/>
        </w:rPr>
        <w:t>Therefore,</w:t>
      </w:r>
      <w:r w:rsidR="004D5347">
        <w:rPr>
          <w:sz w:val="22"/>
          <w:szCs w:val="22"/>
        </w:rPr>
        <w:t xml:space="preserve"> </w:t>
      </w:r>
      <w:r w:rsidR="00120DD3">
        <w:rPr>
          <w:sz w:val="22"/>
          <w:szCs w:val="22"/>
        </w:rPr>
        <w:t>in the</w:t>
      </w:r>
      <w:r w:rsidR="007F64A2" w:rsidRPr="00DA1560">
        <w:rPr>
          <w:sz w:val="22"/>
          <w:szCs w:val="22"/>
        </w:rPr>
        <w:t xml:space="preserve"> following </w:t>
      </w:r>
      <w:r w:rsidR="00967087" w:rsidRPr="00DA1560">
        <w:rPr>
          <w:sz w:val="22"/>
          <w:szCs w:val="22"/>
        </w:rPr>
        <w:t>equation</w:t>
      </w:r>
      <w:r w:rsidR="00120DD3">
        <w:rPr>
          <w:sz w:val="22"/>
          <w:szCs w:val="22"/>
        </w:rPr>
        <w:t xml:space="preserve"> (3), LLP contains the nondiscretionary and the residual is the discretionary components</w:t>
      </w:r>
      <w:r w:rsidR="00967087" w:rsidRPr="00DA1560">
        <w:rPr>
          <w:sz w:val="22"/>
          <w:szCs w:val="22"/>
        </w:rPr>
        <w:t>:</w:t>
      </w:r>
    </w:p>
    <w:p w:rsidR="00120DD3" w:rsidRPr="00120DD3" w:rsidRDefault="00536807" w:rsidP="00DA30B9">
      <w:pPr>
        <w:pStyle w:val="Lijstalinea"/>
        <w:numPr>
          <w:ilvl w:val="0"/>
          <w:numId w:val="7"/>
        </w:numPr>
        <w:spacing w:before="240" w:after="240" w:line="360" w:lineRule="auto"/>
        <w:jc w:val="both"/>
        <w:rPr>
          <w:i/>
          <w:sz w:val="22"/>
          <w:szCs w:val="22"/>
        </w:rPr>
      </w:pPr>
      <m:oMath>
        <m:sSub>
          <m:sSubPr>
            <m:ctrlPr>
              <w:rPr>
                <w:rFonts w:ascii="Cambria Math" w:hAnsi="Cambria Math"/>
                <w:i/>
                <w:sz w:val="22"/>
                <w:szCs w:val="22"/>
              </w:rPr>
            </m:ctrlPr>
          </m:sSubPr>
          <m:e>
            <m:r>
              <w:rPr>
                <w:rFonts w:ascii="Cambria Math" w:hAnsi="Cambria Math"/>
                <w:sz w:val="22"/>
                <w:szCs w:val="22"/>
              </w:rPr>
              <m:t>LLP</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0</m:t>
            </m:r>
          </m:sub>
        </m:sSub>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GBV</m:t>
                    </m:r>
                  </m:e>
                  <m:sub>
                    <m:r>
                      <w:rPr>
                        <w:rFonts w:ascii="Cambria Math" w:hAnsi="Cambria Math"/>
                        <w:sz w:val="22"/>
                        <w:szCs w:val="22"/>
                      </w:rPr>
                      <m:t>i,t</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r>
              <m:rPr>
                <m:sty m:val="p"/>
              </m:rPr>
              <w:rPr>
                <w:rFonts w:ascii="Cambria Math" w:hAnsi="Cambria Math"/>
                <w:sz w:val="22"/>
                <w:szCs w:val="22"/>
              </w:rPr>
              <m:t>Δ</m:t>
            </m:r>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i,t</m:t>
            </m:r>
          </m:sub>
        </m:sSub>
      </m:oMath>
    </w:p>
    <w:p w:rsidR="00DA1560" w:rsidRPr="00DA1560" w:rsidRDefault="00DA1560" w:rsidP="00DA1560">
      <w:pPr>
        <w:spacing w:line="360" w:lineRule="auto"/>
        <w:jc w:val="both"/>
        <w:rPr>
          <w:sz w:val="22"/>
          <w:szCs w:val="22"/>
        </w:rPr>
      </w:pPr>
      <w:r w:rsidRPr="00DA1560">
        <w:rPr>
          <w:sz w:val="22"/>
          <w:szCs w:val="22"/>
        </w:rPr>
        <w:t>Where:</w:t>
      </w:r>
    </w:p>
    <w:p w:rsidR="00DA1560" w:rsidRPr="00DA1560" w:rsidRDefault="00DA1560" w:rsidP="00DA1560">
      <w:pPr>
        <w:spacing w:line="360" w:lineRule="auto"/>
        <w:jc w:val="both"/>
        <w:rPr>
          <w:sz w:val="22"/>
          <w:szCs w:val="22"/>
        </w:rPr>
      </w:pPr>
      <w:r w:rsidRPr="008F49FF">
        <w:rPr>
          <w:sz w:val="22"/>
          <w:szCs w:val="22"/>
        </w:rPr>
        <w:t>LLP</w:t>
      </w:r>
      <w:r w:rsidRPr="00DA1560">
        <w:rPr>
          <w:i/>
          <w:sz w:val="22"/>
          <w:szCs w:val="22"/>
          <w:vertAlign w:val="subscript"/>
        </w:rPr>
        <w:t xml:space="preserve"> </w:t>
      </w:r>
      <w:proofErr w:type="spellStart"/>
      <w:r w:rsidR="00CD36A3">
        <w:rPr>
          <w:i/>
          <w:sz w:val="22"/>
          <w:szCs w:val="22"/>
          <w:vertAlign w:val="subscript"/>
        </w:rPr>
        <w:t>i</w:t>
      </w:r>
      <w:proofErr w:type="gramStart"/>
      <w:r w:rsidR="00CD36A3">
        <w:rPr>
          <w:i/>
          <w:sz w:val="22"/>
          <w:szCs w:val="22"/>
          <w:vertAlign w:val="subscript"/>
        </w:rPr>
        <w:t>,</w:t>
      </w:r>
      <w:r w:rsidRPr="00DA1560">
        <w:rPr>
          <w:i/>
          <w:sz w:val="22"/>
          <w:szCs w:val="22"/>
          <w:vertAlign w:val="subscript"/>
        </w:rPr>
        <w:t>t</w:t>
      </w:r>
      <w:proofErr w:type="spellEnd"/>
      <w:proofErr w:type="gramEnd"/>
      <w:r w:rsidR="00120DD3">
        <w:rPr>
          <w:i/>
          <w:sz w:val="22"/>
          <w:szCs w:val="22"/>
          <w:vertAlign w:val="subscript"/>
        </w:rPr>
        <w:tab/>
      </w:r>
      <w:r w:rsidR="00120DD3">
        <w:rPr>
          <w:i/>
          <w:sz w:val="22"/>
          <w:szCs w:val="22"/>
          <w:vertAlign w:val="subscript"/>
        </w:rPr>
        <w:tab/>
      </w:r>
      <w:r w:rsidRPr="00DA1560">
        <w:rPr>
          <w:sz w:val="22"/>
          <w:szCs w:val="22"/>
        </w:rPr>
        <w:t xml:space="preserve">= loan loss provisions (income statement) </w:t>
      </w:r>
      <w:r w:rsidR="00CD36A3">
        <w:rPr>
          <w:sz w:val="22"/>
          <w:szCs w:val="22"/>
        </w:rPr>
        <w:t xml:space="preserve">for firm </w:t>
      </w:r>
      <w:proofErr w:type="spellStart"/>
      <w:r w:rsidR="00CD36A3">
        <w:rPr>
          <w:i/>
          <w:sz w:val="22"/>
          <w:szCs w:val="22"/>
        </w:rPr>
        <w:t>i</w:t>
      </w:r>
      <w:proofErr w:type="spellEnd"/>
      <w:r w:rsidR="00CD36A3">
        <w:rPr>
          <w:sz w:val="22"/>
          <w:szCs w:val="22"/>
        </w:rPr>
        <w:t xml:space="preserve"> in year </w:t>
      </w:r>
      <w:r w:rsidR="00CD36A3">
        <w:rPr>
          <w:i/>
          <w:sz w:val="22"/>
          <w:szCs w:val="22"/>
        </w:rPr>
        <w:t>t</w:t>
      </w:r>
      <w:r w:rsidR="00FC7821">
        <w:rPr>
          <w:sz w:val="22"/>
          <w:szCs w:val="22"/>
        </w:rPr>
        <w:t>;</w:t>
      </w:r>
    </w:p>
    <w:p w:rsidR="00120DD3" w:rsidRPr="00C326A5" w:rsidRDefault="00120DD3" w:rsidP="00120DD3">
      <w:pPr>
        <w:autoSpaceDE w:val="0"/>
        <w:autoSpaceDN w:val="0"/>
        <w:adjustRightInd w:val="0"/>
        <w:spacing w:line="360" w:lineRule="auto"/>
        <w:jc w:val="both"/>
        <w:rPr>
          <w:i/>
          <w:sz w:val="22"/>
          <w:szCs w:val="22"/>
        </w:rPr>
      </w:pPr>
      <w:proofErr w:type="spellStart"/>
      <w:r w:rsidRPr="008F49FF">
        <w:rPr>
          <w:sz w:val="22"/>
          <w:szCs w:val="22"/>
        </w:rPr>
        <w:t>GBV</w:t>
      </w:r>
      <w:r>
        <w:rPr>
          <w:i/>
          <w:sz w:val="22"/>
          <w:szCs w:val="22"/>
          <w:vertAlign w:val="subscript"/>
        </w:rPr>
        <w:t>i</w:t>
      </w:r>
      <w:proofErr w:type="gramStart"/>
      <w:r w:rsidRPr="00C326A5">
        <w:rPr>
          <w:i/>
          <w:sz w:val="22"/>
          <w:szCs w:val="22"/>
          <w:vertAlign w:val="subscript"/>
        </w:rPr>
        <w:t>,t</w:t>
      </w:r>
      <w:proofErr w:type="spellEnd"/>
      <w:proofErr w:type="gramEnd"/>
      <w:r w:rsidRPr="00C326A5">
        <w:rPr>
          <w:sz w:val="22"/>
          <w:szCs w:val="22"/>
          <w:vertAlign w:val="subscript"/>
        </w:rPr>
        <w:tab/>
      </w:r>
      <w:r>
        <w:rPr>
          <w:sz w:val="22"/>
          <w:szCs w:val="22"/>
        </w:rPr>
        <w:tab/>
        <w:t xml:space="preserve">= net </w:t>
      </w:r>
      <w:proofErr w:type="spellStart"/>
      <w:r>
        <w:rPr>
          <w:sz w:val="22"/>
          <w:szCs w:val="22"/>
        </w:rPr>
        <w:t>book</w:t>
      </w:r>
      <w:r w:rsidRPr="00103EF2">
        <w:rPr>
          <w:sz w:val="22"/>
          <w:szCs w:val="22"/>
        </w:rPr>
        <w:t>value</w:t>
      </w:r>
      <w:proofErr w:type="spellEnd"/>
      <w:r w:rsidRPr="00103EF2">
        <w:rPr>
          <w:sz w:val="22"/>
          <w:szCs w:val="22"/>
        </w:rPr>
        <w:t xml:space="preserve"> of common equity plus allowance for loan losses</w:t>
      </w:r>
      <w:r>
        <w:rPr>
          <w:sz w:val="22"/>
          <w:szCs w:val="22"/>
        </w:rPr>
        <w:t xml:space="preserve"> for firm </w:t>
      </w:r>
      <w:proofErr w:type="spellStart"/>
      <w:r>
        <w:rPr>
          <w:i/>
          <w:sz w:val="22"/>
          <w:szCs w:val="22"/>
        </w:rPr>
        <w:t>i</w:t>
      </w:r>
      <w:proofErr w:type="spellEnd"/>
      <w:r>
        <w:rPr>
          <w:sz w:val="22"/>
          <w:szCs w:val="22"/>
        </w:rPr>
        <w:t xml:space="preserve"> in year </w:t>
      </w:r>
      <w:r>
        <w:rPr>
          <w:i/>
          <w:sz w:val="22"/>
          <w:szCs w:val="22"/>
        </w:rPr>
        <w:t xml:space="preserve">t; </w:t>
      </w:r>
    </w:p>
    <w:p w:rsidR="00120DD3" w:rsidRPr="00103EF2" w:rsidRDefault="00120DD3" w:rsidP="00120DD3">
      <w:pPr>
        <w:autoSpaceDE w:val="0"/>
        <w:autoSpaceDN w:val="0"/>
        <w:adjustRightInd w:val="0"/>
        <w:spacing w:line="360" w:lineRule="auto"/>
        <w:jc w:val="both"/>
        <w:rPr>
          <w:sz w:val="22"/>
          <w:szCs w:val="22"/>
        </w:rPr>
      </w:pPr>
      <w:proofErr w:type="spellStart"/>
      <w:r w:rsidRPr="008F49FF">
        <w:rPr>
          <w:sz w:val="22"/>
          <w:szCs w:val="22"/>
        </w:rPr>
        <w:t>CO</w:t>
      </w:r>
      <w:r>
        <w:rPr>
          <w:i/>
          <w:sz w:val="22"/>
          <w:szCs w:val="22"/>
          <w:vertAlign w:val="subscript"/>
        </w:rPr>
        <w:t>i</w:t>
      </w:r>
      <w:proofErr w:type="gramStart"/>
      <w:r>
        <w:rPr>
          <w:i/>
          <w:sz w:val="22"/>
          <w:szCs w:val="22"/>
          <w:vertAlign w:val="subscript"/>
        </w:rPr>
        <w:t>,i</w:t>
      </w:r>
      <w:proofErr w:type="spellEnd"/>
      <w:proofErr w:type="gramEnd"/>
      <w:r w:rsidRPr="00103EF2">
        <w:rPr>
          <w:sz w:val="22"/>
          <w:szCs w:val="22"/>
        </w:rPr>
        <w:tab/>
      </w:r>
      <w:r>
        <w:rPr>
          <w:sz w:val="22"/>
          <w:szCs w:val="22"/>
        </w:rPr>
        <w:tab/>
        <w:t xml:space="preserve">= </w:t>
      </w:r>
      <w:r w:rsidRPr="00103EF2">
        <w:rPr>
          <w:sz w:val="22"/>
          <w:szCs w:val="22"/>
        </w:rPr>
        <w:t>loan charge-offs</w:t>
      </w:r>
      <w:r>
        <w:rPr>
          <w:sz w:val="22"/>
          <w:szCs w:val="22"/>
        </w:rPr>
        <w:t xml:space="preserve"> for firm </w:t>
      </w:r>
      <w:proofErr w:type="spellStart"/>
      <w:r>
        <w:rPr>
          <w:i/>
          <w:sz w:val="22"/>
          <w:szCs w:val="22"/>
        </w:rPr>
        <w:t>i</w:t>
      </w:r>
      <w:proofErr w:type="spellEnd"/>
      <w:r>
        <w:rPr>
          <w:sz w:val="22"/>
          <w:szCs w:val="22"/>
        </w:rPr>
        <w:t xml:space="preserve"> in year </w:t>
      </w:r>
      <w:r>
        <w:rPr>
          <w:i/>
          <w:sz w:val="22"/>
          <w:szCs w:val="22"/>
        </w:rPr>
        <w:t>t</w:t>
      </w:r>
      <w:r>
        <w:rPr>
          <w:sz w:val="22"/>
          <w:szCs w:val="22"/>
        </w:rPr>
        <w:t>;</w:t>
      </w:r>
    </w:p>
    <w:p w:rsidR="00120DD3" w:rsidRPr="00103EF2" w:rsidRDefault="00120DD3" w:rsidP="00120DD3">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proofErr w:type="spellStart"/>
      <w:r w:rsidRPr="008F49FF">
        <w:rPr>
          <w:sz w:val="22"/>
          <w:szCs w:val="22"/>
        </w:rPr>
        <w:t>LOAN</w:t>
      </w:r>
      <w:r>
        <w:rPr>
          <w:i/>
          <w:sz w:val="22"/>
          <w:szCs w:val="22"/>
          <w:vertAlign w:val="subscript"/>
        </w:rPr>
        <w:t>i</w:t>
      </w:r>
      <w:proofErr w:type="gramStart"/>
      <w:r>
        <w:rPr>
          <w:i/>
          <w:sz w:val="22"/>
          <w:szCs w:val="22"/>
          <w:vertAlign w:val="subscript"/>
        </w:rPr>
        <w:t>,t</w:t>
      </w:r>
      <w:proofErr w:type="spellEnd"/>
      <w:proofErr w:type="gramEnd"/>
      <w:r>
        <w:rPr>
          <w:sz w:val="22"/>
          <w:szCs w:val="22"/>
        </w:rPr>
        <w:t xml:space="preserve"> </w:t>
      </w:r>
      <w:r>
        <w:rPr>
          <w:sz w:val="22"/>
          <w:szCs w:val="22"/>
        </w:rPr>
        <w:tab/>
        <w:t xml:space="preserve">= </w:t>
      </w:r>
      <w:r w:rsidRPr="00103EF2">
        <w:rPr>
          <w:sz w:val="22"/>
          <w:szCs w:val="22"/>
        </w:rPr>
        <w:t xml:space="preserve">change </w:t>
      </w:r>
      <w:r w:rsidRPr="00103EF2">
        <w:rPr>
          <w:rFonts w:ascii="TimesNewRoman" w:hAnsi="TimesNewRoman" w:cs="TimesNewRoman"/>
          <w:sz w:val="22"/>
          <w:szCs w:val="22"/>
        </w:rPr>
        <w:t>in total loans (</w:t>
      </w:r>
      <w:proofErr w:type="spellStart"/>
      <w:r w:rsidRPr="00103EF2">
        <w:rPr>
          <w:rFonts w:ascii="TimesNewRoman" w:hAnsi="TimesNewRoman" w:cs="TimesNewRoman"/>
          <w:sz w:val="22"/>
          <w:szCs w:val="22"/>
        </w:rPr>
        <w:t>LOAN</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LOAN</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Pr>
          <w:rFonts w:ascii="TimesNewRoman" w:hAnsi="TimesNewRoman" w:cs="TimesNewRoman"/>
          <w:sz w:val="22"/>
          <w:szCs w:val="22"/>
        </w:rPr>
        <w:t xml:space="preserve"> for firm </w:t>
      </w:r>
      <w:proofErr w:type="spellStart"/>
      <w:r>
        <w:rPr>
          <w:rFonts w:ascii="TimesNewRoman" w:hAnsi="TimesNewRoman" w:cs="TimesNewRoman"/>
          <w:i/>
          <w:sz w:val="22"/>
          <w:szCs w:val="22"/>
        </w:rPr>
        <w:t>i</w:t>
      </w:r>
      <w:proofErr w:type="spellEnd"/>
      <w:r>
        <w:rPr>
          <w:rFonts w:ascii="TimesNewRoman" w:hAnsi="TimesNewRoman" w:cs="TimesNewRoman"/>
          <w:i/>
          <w:sz w:val="22"/>
          <w:szCs w:val="22"/>
        </w:rPr>
        <w:t xml:space="preserve"> </w:t>
      </w:r>
      <w:r>
        <w:rPr>
          <w:rFonts w:ascii="TimesNewRoman" w:hAnsi="TimesNewRoman" w:cs="TimesNewRoman"/>
          <w:sz w:val="22"/>
          <w:szCs w:val="22"/>
        </w:rPr>
        <w:t xml:space="preserve">in year </w:t>
      </w:r>
      <w:r>
        <w:rPr>
          <w:rFonts w:ascii="TimesNewRoman" w:hAnsi="TimesNewRoman" w:cs="TimesNewRoman"/>
          <w:i/>
          <w:sz w:val="22"/>
          <w:szCs w:val="22"/>
        </w:rPr>
        <w:t>t</w:t>
      </w:r>
      <w:r>
        <w:rPr>
          <w:rFonts w:ascii="TimesNewRoman" w:hAnsi="TimesNewRoman" w:cs="TimesNewRoman"/>
          <w:sz w:val="22"/>
          <w:szCs w:val="22"/>
        </w:rPr>
        <w:t>;</w:t>
      </w:r>
    </w:p>
    <w:p w:rsidR="00120DD3" w:rsidRPr="00103EF2" w:rsidRDefault="00120DD3" w:rsidP="00120DD3">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proofErr w:type="spellStart"/>
      <w:r w:rsidRPr="008F49FF">
        <w:rPr>
          <w:sz w:val="22"/>
          <w:szCs w:val="22"/>
        </w:rPr>
        <w:t>NPA</w:t>
      </w:r>
      <w:r w:rsidRPr="008F49FF">
        <w:rPr>
          <w:i/>
          <w:sz w:val="22"/>
          <w:szCs w:val="22"/>
          <w:vertAlign w:val="subscript"/>
        </w:rPr>
        <w:t>it</w:t>
      </w:r>
      <w:proofErr w:type="spellEnd"/>
      <w:r>
        <w:rPr>
          <w:i/>
          <w:sz w:val="22"/>
          <w:szCs w:val="22"/>
          <w:vertAlign w:val="subscript"/>
        </w:rPr>
        <w:tab/>
      </w:r>
      <w:r>
        <w:rPr>
          <w:i/>
          <w:sz w:val="22"/>
          <w:szCs w:val="22"/>
          <w:vertAlign w:val="subscript"/>
        </w:rPr>
        <w:tab/>
      </w:r>
      <w:r w:rsidRPr="00103EF2">
        <w:rPr>
          <w:sz w:val="22"/>
          <w:szCs w:val="22"/>
        </w:rPr>
        <w:t>=</w:t>
      </w:r>
      <w:r>
        <w:rPr>
          <w:sz w:val="22"/>
          <w:szCs w:val="22"/>
        </w:rPr>
        <w:t xml:space="preserve"> </w:t>
      </w:r>
      <w:r w:rsidRPr="00103EF2">
        <w:rPr>
          <w:rFonts w:ascii="TimesNewRoman" w:hAnsi="TimesNewRoman" w:cs="TimesNewRoman"/>
          <w:sz w:val="22"/>
          <w:szCs w:val="22"/>
        </w:rPr>
        <w:t>most recent change in nonperforming assets (</w:t>
      </w:r>
      <w:proofErr w:type="spellStart"/>
      <w:r w:rsidRPr="00103EF2">
        <w:rPr>
          <w:rFonts w:ascii="TimesNewRoman" w:hAnsi="TimesNewRoman" w:cs="TimesNewRoman"/>
          <w:sz w:val="22"/>
          <w:szCs w:val="22"/>
        </w:rPr>
        <w:t>NPA</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NPA</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Pr>
          <w:rFonts w:ascii="TimesNewRoman" w:hAnsi="TimesNewRoman" w:cs="TimesNewRoman"/>
          <w:sz w:val="22"/>
          <w:szCs w:val="22"/>
        </w:rPr>
        <w:t xml:space="preserve"> for firm </w:t>
      </w:r>
      <w:proofErr w:type="spellStart"/>
      <w:r w:rsidRPr="00C326A5">
        <w:rPr>
          <w:rFonts w:ascii="TimesNewRoman" w:hAnsi="TimesNewRoman" w:cs="TimesNewRoman"/>
          <w:i/>
          <w:sz w:val="22"/>
          <w:szCs w:val="22"/>
        </w:rPr>
        <w:t>i</w:t>
      </w:r>
      <w:proofErr w:type="spellEnd"/>
      <w:r>
        <w:rPr>
          <w:rFonts w:ascii="TimesNewRoman" w:hAnsi="TimesNewRoman" w:cs="TimesNewRoman"/>
          <w:sz w:val="22"/>
          <w:szCs w:val="22"/>
        </w:rPr>
        <w:t xml:space="preserve"> in year </w:t>
      </w:r>
      <w:r w:rsidRPr="00C326A5">
        <w:rPr>
          <w:rFonts w:ascii="TimesNewRoman" w:hAnsi="TimesNewRoman" w:cs="TimesNewRoman"/>
          <w:i/>
          <w:sz w:val="22"/>
          <w:szCs w:val="22"/>
        </w:rPr>
        <w:t>t</w:t>
      </w:r>
      <w:r>
        <w:rPr>
          <w:rFonts w:ascii="TimesNewRoman" w:hAnsi="TimesNewRoman" w:cs="TimesNewRoman"/>
          <w:sz w:val="22"/>
          <w:szCs w:val="22"/>
        </w:rPr>
        <w:t>;</w:t>
      </w:r>
    </w:p>
    <w:p w:rsidR="00120DD3" w:rsidRDefault="00120DD3" w:rsidP="00120DD3">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r w:rsidRPr="008F49FF">
        <w:rPr>
          <w:sz w:val="22"/>
          <w:szCs w:val="22"/>
        </w:rPr>
        <w:t>NPA</w:t>
      </w:r>
      <w:r w:rsidRPr="00C326A5">
        <w:rPr>
          <w:i/>
          <w:sz w:val="22"/>
          <w:szCs w:val="22"/>
          <w:vertAlign w:val="subscript"/>
        </w:rPr>
        <w:t>i</w:t>
      </w:r>
      <w:proofErr w:type="gramStart"/>
      <w:r w:rsidRPr="00C326A5">
        <w:rPr>
          <w:i/>
          <w:sz w:val="22"/>
          <w:szCs w:val="22"/>
          <w:vertAlign w:val="subscript"/>
        </w:rPr>
        <w:t>,</w:t>
      </w:r>
      <w:r w:rsidRPr="008A419A">
        <w:rPr>
          <w:i/>
          <w:sz w:val="22"/>
          <w:szCs w:val="22"/>
          <w:vertAlign w:val="subscript"/>
        </w:rPr>
        <w:t>t</w:t>
      </w:r>
      <w:r w:rsidRPr="008A419A">
        <w:rPr>
          <w:i/>
          <w:sz w:val="22"/>
          <w:szCs w:val="22"/>
          <w:vertAlign w:val="subscript"/>
        </w:rPr>
        <w:softHyphen/>
        <w:t>+</w:t>
      </w:r>
      <w:proofErr w:type="gramEnd"/>
      <w:r w:rsidRPr="008A419A">
        <w:rPr>
          <w:i/>
          <w:sz w:val="22"/>
          <w:szCs w:val="22"/>
          <w:vertAlign w:val="subscript"/>
        </w:rPr>
        <w:t>1</w:t>
      </w:r>
      <w:r>
        <w:rPr>
          <w:i/>
          <w:sz w:val="22"/>
          <w:szCs w:val="22"/>
          <w:vertAlign w:val="subscript"/>
        </w:rPr>
        <w:tab/>
      </w:r>
      <w:r w:rsidRPr="00103EF2">
        <w:rPr>
          <w:sz w:val="22"/>
          <w:szCs w:val="22"/>
        </w:rPr>
        <w:t>=</w:t>
      </w:r>
      <w:r>
        <w:rPr>
          <w:sz w:val="22"/>
          <w:szCs w:val="22"/>
        </w:rPr>
        <w:t xml:space="preserve"> </w:t>
      </w:r>
      <w:r w:rsidRPr="00103EF2">
        <w:rPr>
          <w:rFonts w:ascii="TimesNewRoman" w:hAnsi="TimesNewRoman" w:cs="TimesNewRoman"/>
          <w:sz w:val="22"/>
          <w:szCs w:val="22"/>
        </w:rPr>
        <w:t>one-period-ahead change in nonperforming assets</w:t>
      </w:r>
      <w:r>
        <w:rPr>
          <w:rFonts w:ascii="TimesNewRoman" w:hAnsi="TimesNewRoman" w:cs="TimesNewRoman"/>
          <w:sz w:val="22"/>
          <w:szCs w:val="22"/>
        </w:rPr>
        <w:t xml:space="preserve"> for firm </w:t>
      </w:r>
      <w:proofErr w:type="spellStart"/>
      <w:r w:rsidRPr="00C326A5">
        <w:rPr>
          <w:rFonts w:ascii="TimesNewRoman" w:hAnsi="TimesNewRoman" w:cs="TimesNewRoman"/>
          <w:i/>
          <w:sz w:val="22"/>
          <w:szCs w:val="22"/>
        </w:rPr>
        <w:t>i</w:t>
      </w:r>
      <w:proofErr w:type="spellEnd"/>
      <w:r>
        <w:rPr>
          <w:rFonts w:ascii="TimesNewRoman" w:hAnsi="TimesNewRoman" w:cs="TimesNewRoman"/>
          <w:sz w:val="22"/>
          <w:szCs w:val="22"/>
        </w:rPr>
        <w:t xml:space="preserve"> </w:t>
      </w:r>
      <w:r w:rsidR="00CD36A3">
        <w:rPr>
          <w:rFonts w:ascii="TimesNewRoman" w:hAnsi="TimesNewRoman" w:cs="TimesNewRoman"/>
          <w:sz w:val="22"/>
          <w:szCs w:val="22"/>
        </w:rPr>
        <w:t xml:space="preserve">in </w:t>
      </w:r>
      <w:r>
        <w:rPr>
          <w:rFonts w:ascii="TimesNewRoman" w:hAnsi="TimesNewRoman" w:cs="TimesNewRoman"/>
          <w:sz w:val="22"/>
          <w:szCs w:val="22"/>
        </w:rPr>
        <w:t xml:space="preserve">year </w:t>
      </w:r>
      <w:r w:rsidRPr="00C326A5">
        <w:rPr>
          <w:rFonts w:ascii="TimesNewRoman" w:hAnsi="TimesNewRoman" w:cs="TimesNewRoman"/>
          <w:i/>
          <w:sz w:val="22"/>
          <w:szCs w:val="22"/>
        </w:rPr>
        <w:t>t</w:t>
      </w:r>
      <w:r>
        <w:rPr>
          <w:rFonts w:ascii="TimesNewRoman" w:hAnsi="TimesNewRoman" w:cs="TimesNewRoman"/>
          <w:sz w:val="22"/>
          <w:szCs w:val="22"/>
        </w:rPr>
        <w:t>;</w:t>
      </w:r>
    </w:p>
    <w:p w:rsidR="00120DD3" w:rsidRDefault="00120DD3" w:rsidP="00120DD3">
      <w:pPr>
        <w:autoSpaceDE w:val="0"/>
        <w:autoSpaceDN w:val="0"/>
        <w:adjustRightInd w:val="0"/>
        <w:spacing w:line="360" w:lineRule="auto"/>
        <w:jc w:val="both"/>
        <w:rPr>
          <w:rFonts w:ascii="TimesNewRoman" w:hAnsi="TimesNewRoman" w:cs="TimesNewRoman"/>
          <w:sz w:val="22"/>
          <w:szCs w:val="22"/>
        </w:rPr>
      </w:pPr>
      <w:r w:rsidRPr="00120DD3">
        <w:rPr>
          <w:rFonts w:ascii="TimesNewRoman" w:hAnsi="TimesNewRoman" w:cs="TimesNewRoman"/>
          <w:sz w:val="22"/>
          <w:szCs w:val="22"/>
        </w:rPr>
        <w:t>β</w:t>
      </w:r>
      <w:r>
        <w:rPr>
          <w:rFonts w:ascii="TimesNewRoman" w:hAnsi="TimesNewRoman" w:cs="TimesNewRoman"/>
          <w:sz w:val="22"/>
          <w:szCs w:val="22"/>
          <w:vertAlign w:val="subscript"/>
        </w:rPr>
        <w:t>0</w:t>
      </w:r>
      <w:proofErr w:type="gramStart"/>
      <w:r>
        <w:rPr>
          <w:rFonts w:ascii="TimesNewRoman" w:hAnsi="TimesNewRoman" w:cs="TimesNewRoman"/>
          <w:sz w:val="22"/>
          <w:szCs w:val="22"/>
          <w:vertAlign w:val="subscript"/>
        </w:rPr>
        <w:t>,</w:t>
      </w:r>
      <w:r w:rsidRPr="00120DD3">
        <w:rPr>
          <w:rFonts w:ascii="TimesNewRoman" w:hAnsi="TimesNewRoman" w:cs="TimesNewRoman"/>
          <w:sz w:val="22"/>
          <w:szCs w:val="22"/>
        </w:rPr>
        <w:t>β</w:t>
      </w:r>
      <w:r>
        <w:rPr>
          <w:rFonts w:ascii="TimesNewRoman" w:hAnsi="TimesNewRoman" w:cs="TimesNewRoman"/>
          <w:sz w:val="22"/>
          <w:szCs w:val="22"/>
          <w:vertAlign w:val="subscript"/>
        </w:rPr>
        <w:t>1</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2</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3</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4</w:t>
      </w:r>
      <w:proofErr w:type="gramEnd"/>
      <w:r>
        <w:rPr>
          <w:rFonts w:ascii="TimesNewRoman" w:hAnsi="TimesNewRoman" w:cs="TimesNewRoman"/>
          <w:sz w:val="22"/>
          <w:szCs w:val="22"/>
        </w:rPr>
        <w:tab/>
        <w:t>= firm specific coefficients</w:t>
      </w:r>
      <w:r w:rsidR="008F49FF">
        <w:rPr>
          <w:rFonts w:ascii="TimesNewRoman" w:hAnsi="TimesNewRoman" w:cs="TimesNewRoman"/>
          <w:sz w:val="22"/>
          <w:szCs w:val="22"/>
        </w:rPr>
        <w:t>;</w:t>
      </w:r>
    </w:p>
    <w:p w:rsidR="00DA1560" w:rsidRPr="00DA1560" w:rsidRDefault="005B2E78" w:rsidP="00DA1560">
      <w:pPr>
        <w:spacing w:line="360" w:lineRule="auto"/>
        <w:jc w:val="both"/>
        <w:rPr>
          <w:sz w:val="22"/>
          <w:szCs w:val="22"/>
        </w:rPr>
      </w:pPr>
      <w:proofErr w:type="spellStart"/>
      <w:proofErr w:type="gramStart"/>
      <w:r w:rsidRPr="008F49FF">
        <w:rPr>
          <w:sz w:val="22"/>
          <w:szCs w:val="22"/>
        </w:rPr>
        <w:t>z</w:t>
      </w:r>
      <w:r w:rsidR="008F49FF" w:rsidRPr="008F49FF">
        <w:rPr>
          <w:i/>
          <w:sz w:val="22"/>
          <w:szCs w:val="22"/>
          <w:vertAlign w:val="subscript"/>
        </w:rPr>
        <w:t>i,</w:t>
      </w:r>
      <w:proofErr w:type="gramEnd"/>
      <w:r w:rsidR="00DA1560" w:rsidRPr="008F49FF">
        <w:rPr>
          <w:i/>
          <w:sz w:val="22"/>
          <w:szCs w:val="22"/>
          <w:vertAlign w:val="subscript"/>
        </w:rPr>
        <w:t>t</w:t>
      </w:r>
      <w:proofErr w:type="spellEnd"/>
      <w:r w:rsidR="00120DD3">
        <w:rPr>
          <w:i/>
          <w:sz w:val="22"/>
          <w:szCs w:val="22"/>
          <w:vertAlign w:val="subscript"/>
        </w:rPr>
        <w:tab/>
      </w:r>
      <w:r w:rsidR="00120DD3">
        <w:rPr>
          <w:i/>
          <w:sz w:val="22"/>
          <w:szCs w:val="22"/>
          <w:vertAlign w:val="subscript"/>
        </w:rPr>
        <w:tab/>
      </w:r>
      <w:r w:rsidR="00DA1560" w:rsidRPr="00DA1560">
        <w:rPr>
          <w:i/>
          <w:sz w:val="22"/>
          <w:szCs w:val="22"/>
          <w:vertAlign w:val="subscript"/>
        </w:rPr>
        <w:t xml:space="preserve"> </w:t>
      </w:r>
      <w:r w:rsidR="00DA1560" w:rsidRPr="00DA1560">
        <w:rPr>
          <w:sz w:val="22"/>
          <w:szCs w:val="22"/>
        </w:rPr>
        <w:t xml:space="preserve">= </w:t>
      </w:r>
      <w:r w:rsidR="00120DD3">
        <w:rPr>
          <w:sz w:val="22"/>
          <w:szCs w:val="22"/>
        </w:rPr>
        <w:t>discretionary component</w:t>
      </w:r>
      <w:r w:rsidR="00DA1560">
        <w:rPr>
          <w:sz w:val="22"/>
          <w:szCs w:val="22"/>
        </w:rPr>
        <w:t xml:space="preserve"> of LLP</w:t>
      </w:r>
      <w:r w:rsidR="00FC7821">
        <w:rPr>
          <w:sz w:val="22"/>
          <w:szCs w:val="22"/>
        </w:rPr>
        <w:t xml:space="preserve"> for</w:t>
      </w:r>
      <w:r w:rsidR="00120DD3">
        <w:rPr>
          <w:sz w:val="22"/>
          <w:szCs w:val="22"/>
        </w:rPr>
        <w:t xml:space="preserve"> firm</w:t>
      </w:r>
      <w:r w:rsidR="008F49FF">
        <w:rPr>
          <w:sz w:val="22"/>
          <w:szCs w:val="22"/>
        </w:rPr>
        <w:t xml:space="preserve"> </w:t>
      </w:r>
      <w:proofErr w:type="spellStart"/>
      <w:r w:rsidR="008F49FF" w:rsidRPr="008F49FF">
        <w:rPr>
          <w:i/>
          <w:sz w:val="22"/>
          <w:szCs w:val="22"/>
        </w:rPr>
        <w:t>i</w:t>
      </w:r>
      <w:proofErr w:type="spellEnd"/>
      <w:r w:rsidR="008F49FF" w:rsidRPr="008F49FF">
        <w:rPr>
          <w:i/>
          <w:sz w:val="22"/>
          <w:szCs w:val="22"/>
        </w:rPr>
        <w:t xml:space="preserve"> </w:t>
      </w:r>
      <w:r w:rsidR="008F49FF">
        <w:rPr>
          <w:sz w:val="22"/>
          <w:szCs w:val="22"/>
        </w:rPr>
        <w:t>in</w:t>
      </w:r>
      <w:r w:rsidR="00FC7821">
        <w:rPr>
          <w:sz w:val="22"/>
          <w:szCs w:val="22"/>
        </w:rPr>
        <w:t xml:space="preserve"> year </w:t>
      </w:r>
      <w:r w:rsidR="00FC7821" w:rsidRPr="008F49FF">
        <w:rPr>
          <w:i/>
          <w:sz w:val="22"/>
          <w:szCs w:val="22"/>
        </w:rPr>
        <w:t>t</w:t>
      </w:r>
      <w:r w:rsidR="00FC7821">
        <w:rPr>
          <w:sz w:val="22"/>
          <w:szCs w:val="22"/>
        </w:rPr>
        <w:t>.</w:t>
      </w:r>
    </w:p>
    <w:p w:rsidR="00DA1560" w:rsidRDefault="00DA1560" w:rsidP="00DA1560">
      <w:pPr>
        <w:spacing w:line="360" w:lineRule="auto"/>
        <w:jc w:val="both"/>
        <w:rPr>
          <w:sz w:val="22"/>
          <w:szCs w:val="22"/>
        </w:rPr>
      </w:pPr>
    </w:p>
    <w:p w:rsidR="00F6076E" w:rsidRPr="00F6076E" w:rsidRDefault="008F49FF" w:rsidP="00F6076E">
      <w:pPr>
        <w:autoSpaceDE w:val="0"/>
        <w:autoSpaceDN w:val="0"/>
        <w:adjustRightInd w:val="0"/>
        <w:spacing w:line="360" w:lineRule="auto"/>
        <w:jc w:val="both"/>
        <w:rPr>
          <w:sz w:val="22"/>
          <w:szCs w:val="22"/>
        </w:rPr>
      </w:pPr>
      <w:r>
        <w:rPr>
          <w:sz w:val="22"/>
          <w:szCs w:val="22"/>
        </w:rPr>
        <w:t xml:space="preserve">All variables are scaled by </w:t>
      </w:r>
      <w:proofErr w:type="spellStart"/>
      <w:r w:rsidRPr="008F49FF">
        <w:rPr>
          <w:sz w:val="22"/>
          <w:szCs w:val="22"/>
        </w:rPr>
        <w:t>GBV</w:t>
      </w:r>
      <w:r>
        <w:rPr>
          <w:sz w:val="22"/>
          <w:szCs w:val="22"/>
          <w:vertAlign w:val="subscript"/>
        </w:rPr>
        <w:t>i</w:t>
      </w:r>
      <w:proofErr w:type="gramStart"/>
      <w:r>
        <w:rPr>
          <w:sz w:val="22"/>
          <w:szCs w:val="22"/>
          <w:vertAlign w:val="subscript"/>
        </w:rPr>
        <w:t>,t</w:t>
      </w:r>
      <w:proofErr w:type="spellEnd"/>
      <w:proofErr w:type="gramEnd"/>
      <w:r>
        <w:rPr>
          <w:sz w:val="22"/>
          <w:szCs w:val="22"/>
          <w:vertAlign w:val="subscript"/>
        </w:rPr>
        <w:t>,</w:t>
      </w:r>
      <w:r>
        <w:rPr>
          <w:sz w:val="22"/>
          <w:szCs w:val="22"/>
        </w:rPr>
        <w:t xml:space="preserve">. </w:t>
      </w:r>
      <w:r w:rsidR="00F6076E" w:rsidRPr="008F49FF">
        <w:rPr>
          <w:sz w:val="22"/>
          <w:szCs w:val="22"/>
        </w:rPr>
        <w:t>The</w:t>
      </w:r>
      <w:r w:rsidR="00F6076E" w:rsidRPr="00F6076E">
        <w:rPr>
          <w:sz w:val="22"/>
          <w:szCs w:val="22"/>
        </w:rPr>
        <w:t xml:space="preserve"> dis</w:t>
      </w:r>
      <w:r w:rsidR="00DA1560">
        <w:rPr>
          <w:sz w:val="22"/>
          <w:szCs w:val="22"/>
        </w:rPr>
        <w:t xml:space="preserve">cretionary part of the accrual </w:t>
      </w:r>
      <w:r w:rsidR="00F6076E" w:rsidRPr="00F6076E">
        <w:rPr>
          <w:sz w:val="22"/>
          <w:szCs w:val="22"/>
        </w:rPr>
        <w:t>is obtained by taking the residual</w:t>
      </w:r>
      <w:r w:rsidR="00026300" w:rsidRPr="00026300">
        <w:rPr>
          <w:sz w:val="22"/>
          <w:szCs w:val="22"/>
        </w:rPr>
        <w:t xml:space="preserve"> </w:t>
      </w:r>
      <w:r w:rsidR="00026300">
        <w:rPr>
          <w:sz w:val="22"/>
          <w:szCs w:val="22"/>
        </w:rPr>
        <w:t>(</w:t>
      </w:r>
      <w:r w:rsidR="00026300" w:rsidRPr="00F6076E">
        <w:rPr>
          <w:sz w:val="22"/>
          <w:szCs w:val="22"/>
        </w:rPr>
        <w:t>z</w:t>
      </w:r>
      <w:r w:rsidR="00026300" w:rsidRPr="00F6076E">
        <w:rPr>
          <w:sz w:val="22"/>
          <w:szCs w:val="22"/>
          <w:vertAlign w:val="subscript"/>
        </w:rPr>
        <w:t>it</w:t>
      </w:r>
      <w:r w:rsidR="00026300">
        <w:rPr>
          <w:sz w:val="22"/>
          <w:szCs w:val="22"/>
        </w:rPr>
        <w:t>)</w:t>
      </w:r>
      <w:r w:rsidR="00F6076E" w:rsidRPr="00F6076E">
        <w:rPr>
          <w:sz w:val="22"/>
          <w:szCs w:val="22"/>
        </w:rPr>
        <w:t xml:space="preserve"> from equation (</w:t>
      </w:r>
      <w:r>
        <w:rPr>
          <w:sz w:val="22"/>
          <w:szCs w:val="22"/>
        </w:rPr>
        <w:t>3</w:t>
      </w:r>
      <w:r w:rsidR="00F6076E" w:rsidRPr="00F6076E">
        <w:rPr>
          <w:sz w:val="22"/>
          <w:szCs w:val="22"/>
        </w:rPr>
        <w:t>). The estimation of DLLP will be included with</w:t>
      </w:r>
      <w:r w:rsidR="00F6076E">
        <w:rPr>
          <w:sz w:val="22"/>
          <w:szCs w:val="22"/>
        </w:rPr>
        <w:t xml:space="preserve"> an</w:t>
      </w:r>
      <w:r w:rsidR="00F6076E" w:rsidRPr="00F6076E">
        <w:rPr>
          <w:sz w:val="22"/>
          <w:szCs w:val="22"/>
        </w:rPr>
        <w:t xml:space="preserve"> error</w:t>
      </w:r>
      <w:r w:rsidR="00F6076E">
        <w:rPr>
          <w:sz w:val="22"/>
          <w:szCs w:val="22"/>
        </w:rPr>
        <w:t xml:space="preserve"> term </w:t>
      </w:r>
      <w:r w:rsidR="00026300">
        <w:rPr>
          <w:sz w:val="22"/>
          <w:szCs w:val="22"/>
        </w:rPr>
        <w:t>(</w:t>
      </w:r>
      <w:proofErr w:type="spellStart"/>
      <w:r w:rsidR="00F6076E" w:rsidRPr="00F6076E">
        <w:rPr>
          <w:i/>
          <w:sz w:val="22"/>
          <w:szCs w:val="22"/>
        </w:rPr>
        <w:t>ε</w:t>
      </w:r>
      <w:r w:rsidR="00F6076E" w:rsidRPr="00F6076E">
        <w:rPr>
          <w:sz w:val="22"/>
          <w:szCs w:val="22"/>
          <w:vertAlign w:val="subscript"/>
        </w:rPr>
        <w:t>it</w:t>
      </w:r>
      <w:proofErr w:type="spellEnd"/>
      <w:r w:rsidR="00026300">
        <w:rPr>
          <w:sz w:val="22"/>
          <w:szCs w:val="22"/>
        </w:rPr>
        <w:t>)</w:t>
      </w:r>
      <w:r w:rsidR="00F6076E">
        <w:rPr>
          <w:sz w:val="22"/>
          <w:szCs w:val="22"/>
        </w:rPr>
        <w:t>,</w:t>
      </w:r>
      <w:r w:rsidR="00F6076E" w:rsidRPr="00F6076E">
        <w:rPr>
          <w:sz w:val="22"/>
          <w:szCs w:val="22"/>
        </w:rPr>
        <w:t xml:space="preserve"> even though LLP in eq. (3) and NLLP in eq. (</w:t>
      </w:r>
      <w:r>
        <w:rPr>
          <w:sz w:val="22"/>
          <w:szCs w:val="22"/>
        </w:rPr>
        <w:t>2</w:t>
      </w:r>
      <w:r w:rsidR="00F6076E" w:rsidRPr="00F6076E">
        <w:rPr>
          <w:sz w:val="22"/>
          <w:szCs w:val="22"/>
        </w:rPr>
        <w:t>) are measured with no error. The discretionary component becomes a proxy for manipulation of LLP</w:t>
      </w:r>
      <w:r w:rsidR="00F6076E">
        <w:rPr>
          <w:sz w:val="22"/>
          <w:szCs w:val="22"/>
        </w:rPr>
        <w:t xml:space="preserve"> as in the equation:</w:t>
      </w:r>
      <w:r w:rsidR="00F6076E" w:rsidRPr="00F6076E">
        <w:rPr>
          <w:sz w:val="22"/>
          <w:szCs w:val="22"/>
        </w:rPr>
        <w:t xml:space="preserve"> </w:t>
      </w:r>
    </w:p>
    <w:p w:rsidR="00EB7694" w:rsidRPr="008F49FF" w:rsidRDefault="00536807" w:rsidP="00DA30B9">
      <w:pPr>
        <w:pStyle w:val="Lijstalinea"/>
        <w:numPr>
          <w:ilvl w:val="0"/>
          <w:numId w:val="7"/>
        </w:numPr>
        <w:spacing w:before="240" w:after="240" w:line="360" w:lineRule="auto"/>
        <w:jc w:val="both"/>
        <w:rPr>
          <w:i/>
          <w:sz w:val="22"/>
          <w:szCs w:val="22"/>
        </w:rPr>
      </w:pPr>
      <m:oMath>
        <m:sSub>
          <m:sSubPr>
            <m:ctrlPr>
              <w:rPr>
                <w:rFonts w:ascii="Cambria Math" w:hAnsi="Cambria Math"/>
                <w:i/>
                <w:sz w:val="22"/>
                <w:szCs w:val="22"/>
                <w:vertAlign w:val="subscript"/>
              </w:rPr>
            </m:ctrlPr>
          </m:sSubPr>
          <m:e>
            <m:r>
              <w:rPr>
                <w:rFonts w:ascii="Cambria Math" w:hAnsi="Cambria Math"/>
                <w:sz w:val="22"/>
                <w:szCs w:val="22"/>
                <w:vertAlign w:val="subscript"/>
              </w:rPr>
              <m:t>z</m:t>
            </m:r>
          </m:e>
          <m:sub>
            <m:r>
              <w:rPr>
                <w:rFonts w:ascii="Cambria Math" w:hAnsi="Cambria Math"/>
                <w:sz w:val="22"/>
                <w:szCs w:val="22"/>
                <w:vertAlign w:val="subscript"/>
              </w:rPr>
              <m:t>i,t</m:t>
            </m:r>
          </m:sub>
        </m:sSub>
        <m:r>
          <w:rPr>
            <w:rFonts w:ascii="Cambria Math" w:hAnsi="Cambria Math"/>
            <w:sz w:val="22"/>
            <w:szCs w:val="22"/>
            <w:vertAlign w:val="subscript"/>
          </w:rPr>
          <m:t>=</m:t>
        </m:r>
        <m:sSub>
          <m:sSubPr>
            <m:ctrlPr>
              <w:rPr>
                <w:rFonts w:ascii="Cambria Math" w:hAnsi="Cambria Math"/>
                <w:i/>
                <w:sz w:val="22"/>
                <w:szCs w:val="22"/>
                <w:vertAlign w:val="subscript"/>
              </w:rPr>
            </m:ctrlPr>
          </m:sSubPr>
          <m:e>
            <m:r>
              <w:rPr>
                <w:rFonts w:ascii="Cambria Math" w:hAnsi="Cambria Math"/>
                <w:sz w:val="22"/>
                <w:szCs w:val="22"/>
                <w:vertAlign w:val="subscript"/>
              </w:rPr>
              <m:t>DLLP</m:t>
            </m:r>
          </m:e>
          <m:sub>
            <m:r>
              <w:rPr>
                <w:rFonts w:ascii="Cambria Math" w:hAnsi="Cambria Math"/>
                <w:sz w:val="22"/>
                <w:szCs w:val="22"/>
                <w:vertAlign w:val="subscript"/>
              </w:rPr>
              <m:t>i,t</m:t>
            </m:r>
          </m:sub>
        </m:sSub>
        <m:r>
          <w:rPr>
            <w:rFonts w:ascii="Cambria Math" w:hAnsi="Cambria Math"/>
            <w:sz w:val="22"/>
            <w:szCs w:val="22"/>
            <w:vertAlign w:val="subscript"/>
          </w:rPr>
          <m:t>+</m:t>
        </m:r>
        <m:sSub>
          <m:sSubPr>
            <m:ctrlPr>
              <w:rPr>
                <w:rFonts w:ascii="Cambria Math" w:hAnsi="Cambria Math"/>
                <w:i/>
                <w:sz w:val="22"/>
                <w:szCs w:val="22"/>
                <w:vertAlign w:val="subscript"/>
              </w:rPr>
            </m:ctrlPr>
          </m:sSubPr>
          <m:e>
            <m:r>
              <w:rPr>
                <w:rFonts w:ascii="Cambria Math" w:hAnsi="Cambria Math"/>
                <w:sz w:val="22"/>
                <w:szCs w:val="22"/>
                <w:vertAlign w:val="subscript"/>
              </w:rPr>
              <m:t>ε</m:t>
            </m:r>
          </m:e>
          <m:sub>
            <m:r>
              <w:rPr>
                <w:rFonts w:ascii="Cambria Math" w:hAnsi="Cambria Math"/>
                <w:sz w:val="22"/>
                <w:szCs w:val="22"/>
                <w:vertAlign w:val="subscript"/>
              </w:rPr>
              <m:t>i,t</m:t>
            </m:r>
          </m:sub>
        </m:sSub>
      </m:oMath>
    </w:p>
    <w:p w:rsidR="008F49FF" w:rsidRDefault="008F49FF" w:rsidP="008F49FF">
      <w:pPr>
        <w:spacing w:line="360" w:lineRule="auto"/>
        <w:jc w:val="both"/>
        <w:rPr>
          <w:sz w:val="22"/>
          <w:szCs w:val="22"/>
        </w:rPr>
      </w:pPr>
      <w:r>
        <w:rPr>
          <w:sz w:val="22"/>
          <w:szCs w:val="22"/>
        </w:rPr>
        <w:t>Where:</w:t>
      </w:r>
    </w:p>
    <w:p w:rsidR="008F49FF" w:rsidRPr="008F49FF" w:rsidRDefault="008F49FF" w:rsidP="008F49FF">
      <w:pPr>
        <w:spacing w:line="360" w:lineRule="auto"/>
        <w:jc w:val="both"/>
        <w:rPr>
          <w:sz w:val="22"/>
          <w:szCs w:val="22"/>
        </w:rPr>
      </w:pPr>
      <w:proofErr w:type="gramStart"/>
      <w:r w:rsidRPr="00D32DA4">
        <w:rPr>
          <w:sz w:val="22"/>
          <w:szCs w:val="22"/>
          <w:lang w:val="en-GB"/>
        </w:rPr>
        <w:t>z</w:t>
      </w:r>
      <w:r w:rsidRPr="00D32DA4">
        <w:rPr>
          <w:sz w:val="22"/>
          <w:szCs w:val="22"/>
          <w:vertAlign w:val="subscript"/>
          <w:lang w:val="en-GB"/>
        </w:rPr>
        <w:t>it</w:t>
      </w:r>
      <w:proofErr w:type="gramEnd"/>
      <w:r>
        <w:rPr>
          <w:sz w:val="22"/>
          <w:szCs w:val="22"/>
        </w:rPr>
        <w:tab/>
      </w:r>
      <w:r>
        <w:rPr>
          <w:sz w:val="22"/>
          <w:szCs w:val="22"/>
        </w:rPr>
        <w:tab/>
        <w:t xml:space="preserve">= the residual from equation (3) for firm </w:t>
      </w:r>
      <w:proofErr w:type="spellStart"/>
      <w:r w:rsidRPr="008F49FF">
        <w:rPr>
          <w:i/>
          <w:sz w:val="22"/>
          <w:szCs w:val="22"/>
        </w:rPr>
        <w:t>i</w:t>
      </w:r>
      <w:proofErr w:type="spellEnd"/>
      <w:r>
        <w:rPr>
          <w:sz w:val="22"/>
          <w:szCs w:val="22"/>
        </w:rPr>
        <w:t xml:space="preserve"> in year </w:t>
      </w:r>
      <w:r w:rsidRPr="008F49FF">
        <w:rPr>
          <w:i/>
          <w:sz w:val="22"/>
          <w:szCs w:val="22"/>
        </w:rPr>
        <w:t>t</w:t>
      </w:r>
      <w:r>
        <w:rPr>
          <w:sz w:val="22"/>
          <w:szCs w:val="22"/>
        </w:rPr>
        <w:t>;</w:t>
      </w:r>
    </w:p>
    <w:p w:rsidR="00E1376E" w:rsidRPr="008F49FF" w:rsidRDefault="008F49FF" w:rsidP="00DA1560">
      <w:pPr>
        <w:spacing w:line="360" w:lineRule="auto"/>
        <w:jc w:val="both"/>
        <w:rPr>
          <w:sz w:val="22"/>
          <w:szCs w:val="22"/>
        </w:rPr>
      </w:pPr>
      <w:proofErr w:type="spellStart"/>
      <w:r>
        <w:rPr>
          <w:sz w:val="22"/>
          <w:szCs w:val="22"/>
        </w:rPr>
        <w:t>DLLP</w:t>
      </w:r>
      <w:r>
        <w:rPr>
          <w:i/>
          <w:sz w:val="22"/>
          <w:szCs w:val="22"/>
          <w:vertAlign w:val="subscript"/>
        </w:rPr>
        <w:t>it</w:t>
      </w:r>
      <w:proofErr w:type="spellEnd"/>
      <w:r>
        <w:rPr>
          <w:i/>
          <w:sz w:val="22"/>
          <w:szCs w:val="22"/>
          <w:vertAlign w:val="subscript"/>
        </w:rPr>
        <w:tab/>
      </w:r>
      <w:r>
        <w:rPr>
          <w:i/>
          <w:sz w:val="22"/>
          <w:szCs w:val="22"/>
          <w:vertAlign w:val="subscript"/>
        </w:rPr>
        <w:tab/>
      </w:r>
      <w:r>
        <w:rPr>
          <w:i/>
          <w:sz w:val="22"/>
          <w:szCs w:val="22"/>
        </w:rPr>
        <w:t xml:space="preserve">= </w:t>
      </w:r>
      <w:r>
        <w:rPr>
          <w:sz w:val="22"/>
          <w:szCs w:val="22"/>
        </w:rPr>
        <w:t>discretionary loan loss provision</w:t>
      </w:r>
      <w:r w:rsidRPr="008F49FF">
        <w:rPr>
          <w:sz w:val="22"/>
          <w:szCs w:val="22"/>
        </w:rPr>
        <w:t xml:space="preserve"> </w:t>
      </w:r>
      <w:r>
        <w:rPr>
          <w:sz w:val="22"/>
          <w:szCs w:val="22"/>
        </w:rPr>
        <w:t xml:space="preserve">for firm </w:t>
      </w:r>
      <w:proofErr w:type="spellStart"/>
      <w:r w:rsidRPr="008F49FF">
        <w:rPr>
          <w:i/>
          <w:sz w:val="22"/>
          <w:szCs w:val="22"/>
        </w:rPr>
        <w:t>i</w:t>
      </w:r>
      <w:proofErr w:type="spellEnd"/>
      <w:r>
        <w:rPr>
          <w:sz w:val="22"/>
          <w:szCs w:val="22"/>
        </w:rPr>
        <w:t xml:space="preserve"> in year </w:t>
      </w:r>
      <w:r w:rsidRPr="008F49FF">
        <w:rPr>
          <w:i/>
          <w:sz w:val="22"/>
          <w:szCs w:val="22"/>
        </w:rPr>
        <w:t>t</w:t>
      </w:r>
      <w:r>
        <w:rPr>
          <w:sz w:val="22"/>
          <w:szCs w:val="22"/>
        </w:rPr>
        <w:t>;</w:t>
      </w:r>
    </w:p>
    <w:p w:rsidR="008F49FF" w:rsidRPr="008F49FF" w:rsidRDefault="008F49FF" w:rsidP="008F49FF">
      <w:pPr>
        <w:spacing w:line="360" w:lineRule="auto"/>
        <w:jc w:val="both"/>
        <w:rPr>
          <w:b/>
          <w:sz w:val="22"/>
          <w:szCs w:val="22"/>
        </w:rPr>
      </w:pPr>
      <w:proofErr w:type="spellStart"/>
      <w:proofErr w:type="gramStart"/>
      <w:r w:rsidRPr="00967087">
        <w:rPr>
          <w:i/>
          <w:sz w:val="22"/>
          <w:szCs w:val="22"/>
        </w:rPr>
        <w:t>ε</w:t>
      </w:r>
      <w:r w:rsidRPr="0040092D">
        <w:rPr>
          <w:sz w:val="22"/>
          <w:szCs w:val="22"/>
          <w:vertAlign w:val="subscript"/>
        </w:rPr>
        <w:t>it</w:t>
      </w:r>
      <w:proofErr w:type="spellEnd"/>
      <w:proofErr w:type="gramEnd"/>
      <w:r>
        <w:rPr>
          <w:sz w:val="22"/>
          <w:szCs w:val="22"/>
          <w:vertAlign w:val="subscript"/>
        </w:rPr>
        <w:tab/>
      </w:r>
      <w:r>
        <w:rPr>
          <w:sz w:val="22"/>
          <w:szCs w:val="22"/>
          <w:vertAlign w:val="subscript"/>
        </w:rPr>
        <w:tab/>
      </w:r>
      <w:r>
        <w:rPr>
          <w:sz w:val="22"/>
          <w:szCs w:val="22"/>
        </w:rPr>
        <w:t>= error term</w:t>
      </w:r>
      <w:r w:rsidRPr="008F49FF">
        <w:rPr>
          <w:sz w:val="22"/>
          <w:szCs w:val="22"/>
        </w:rPr>
        <w:t xml:space="preserve"> </w:t>
      </w:r>
      <w:r>
        <w:rPr>
          <w:sz w:val="22"/>
          <w:szCs w:val="22"/>
        </w:rPr>
        <w:t xml:space="preserve">for firm </w:t>
      </w:r>
      <w:proofErr w:type="spellStart"/>
      <w:r w:rsidRPr="008F49FF">
        <w:rPr>
          <w:i/>
          <w:sz w:val="22"/>
          <w:szCs w:val="22"/>
        </w:rPr>
        <w:t>i</w:t>
      </w:r>
      <w:proofErr w:type="spellEnd"/>
      <w:r>
        <w:rPr>
          <w:sz w:val="22"/>
          <w:szCs w:val="22"/>
        </w:rPr>
        <w:t xml:space="preserve"> in year </w:t>
      </w:r>
      <w:r w:rsidRPr="008F49FF">
        <w:rPr>
          <w:i/>
          <w:sz w:val="22"/>
          <w:szCs w:val="22"/>
        </w:rPr>
        <w:t>t</w:t>
      </w:r>
      <w:r>
        <w:rPr>
          <w:sz w:val="22"/>
          <w:szCs w:val="22"/>
        </w:rPr>
        <w:t>.</w:t>
      </w:r>
    </w:p>
    <w:p w:rsidR="008F49FF" w:rsidRDefault="008F49FF" w:rsidP="00DA1560">
      <w:pPr>
        <w:spacing w:line="360" w:lineRule="auto"/>
        <w:jc w:val="both"/>
        <w:rPr>
          <w:b/>
          <w:sz w:val="22"/>
          <w:szCs w:val="22"/>
        </w:rPr>
      </w:pPr>
    </w:p>
    <w:p w:rsidR="00DA1560" w:rsidRDefault="00DA1560" w:rsidP="00DA1560">
      <w:pPr>
        <w:spacing w:line="360" w:lineRule="auto"/>
        <w:jc w:val="both"/>
        <w:rPr>
          <w:b/>
          <w:sz w:val="22"/>
          <w:szCs w:val="22"/>
        </w:rPr>
      </w:pPr>
      <w:r w:rsidRPr="00DA1560">
        <w:rPr>
          <w:b/>
          <w:sz w:val="22"/>
          <w:szCs w:val="22"/>
        </w:rPr>
        <w:t>Second stage</w:t>
      </w:r>
    </w:p>
    <w:p w:rsidR="004D5347" w:rsidRPr="00BA028A" w:rsidRDefault="004D5347" w:rsidP="004D5347">
      <w:pPr>
        <w:spacing w:line="360" w:lineRule="auto"/>
        <w:jc w:val="both"/>
        <w:rPr>
          <w:sz w:val="22"/>
          <w:szCs w:val="22"/>
          <w:u w:val="single"/>
        </w:rPr>
      </w:pPr>
      <w:r w:rsidRPr="00BA028A">
        <w:rPr>
          <w:sz w:val="22"/>
          <w:szCs w:val="22"/>
          <w:u w:val="single"/>
        </w:rPr>
        <w:t>Equity incentives and earnings management</w:t>
      </w:r>
    </w:p>
    <w:p w:rsidR="00DA1560" w:rsidRPr="00DA1560" w:rsidRDefault="00DA1560" w:rsidP="00DA1560">
      <w:pPr>
        <w:spacing w:line="360" w:lineRule="auto"/>
        <w:jc w:val="both"/>
        <w:rPr>
          <w:sz w:val="22"/>
          <w:szCs w:val="22"/>
        </w:rPr>
      </w:pPr>
      <w:r w:rsidRPr="00DA1560">
        <w:rPr>
          <w:sz w:val="22"/>
          <w:szCs w:val="22"/>
        </w:rPr>
        <w:t>The estimated equity incentives and DLLP will be regressed using income before tax and loan loss provision (</w:t>
      </w:r>
      <w:r w:rsidRPr="00DA1560">
        <w:rPr>
          <w:i/>
          <w:iCs/>
          <w:sz w:val="22"/>
          <w:szCs w:val="22"/>
        </w:rPr>
        <w:t>EBTP</w:t>
      </w:r>
      <w:r w:rsidRPr="00DA1560">
        <w:rPr>
          <w:sz w:val="22"/>
          <w:szCs w:val="22"/>
        </w:rPr>
        <w:t>), risk-adjusted tier-1 capital ratio (</w:t>
      </w:r>
      <w:r w:rsidRPr="00DA1560">
        <w:rPr>
          <w:i/>
          <w:iCs/>
          <w:sz w:val="22"/>
          <w:szCs w:val="22"/>
        </w:rPr>
        <w:t>CAP_Tier1</w:t>
      </w:r>
      <w:r w:rsidRPr="00DA1560">
        <w:rPr>
          <w:sz w:val="22"/>
          <w:szCs w:val="22"/>
        </w:rPr>
        <w:t>), firm size (</w:t>
      </w:r>
      <w:r w:rsidRPr="00DA1560">
        <w:rPr>
          <w:i/>
          <w:iCs/>
          <w:sz w:val="22"/>
          <w:szCs w:val="22"/>
        </w:rPr>
        <w:t>Size</w:t>
      </w:r>
      <w:r w:rsidRPr="00DA1560">
        <w:rPr>
          <w:sz w:val="22"/>
          <w:szCs w:val="22"/>
        </w:rPr>
        <w:t>), and tax (</w:t>
      </w:r>
      <w:r w:rsidRPr="00DA1560">
        <w:rPr>
          <w:i/>
          <w:sz w:val="22"/>
          <w:szCs w:val="22"/>
        </w:rPr>
        <w:t>Tax</w:t>
      </w:r>
      <w:r w:rsidRPr="00DA1560">
        <w:rPr>
          <w:sz w:val="22"/>
          <w:szCs w:val="22"/>
        </w:rPr>
        <w:t xml:space="preserve">) as control variables. These variables control incentives for discretionary behavior in loan loss provision like smoothing reported earnings, satisfying regulatory capital requirements, and minimizing taxes (Ahmed et al. 1999; Liu and Ryan 2006; Cheng et al. 2009). </w:t>
      </w:r>
      <w:r w:rsidR="008C6167">
        <w:rPr>
          <w:sz w:val="22"/>
          <w:szCs w:val="22"/>
        </w:rPr>
        <w:t>The following equation will be used to measure whether there is an association between equity incentives and earnings management:</w:t>
      </w:r>
    </w:p>
    <w:p w:rsidR="0039493E" w:rsidRDefault="0039493E" w:rsidP="00FB7E48">
      <w:pPr>
        <w:autoSpaceDE w:val="0"/>
        <w:autoSpaceDN w:val="0"/>
        <w:adjustRightInd w:val="0"/>
        <w:spacing w:line="360" w:lineRule="auto"/>
        <w:jc w:val="both"/>
        <w:rPr>
          <w:szCs w:val="22"/>
        </w:rPr>
      </w:pPr>
    </w:p>
    <w:p w:rsidR="008C6167" w:rsidRPr="008C6167" w:rsidRDefault="008C6167" w:rsidP="00FB7E48">
      <w:pPr>
        <w:autoSpaceDE w:val="0"/>
        <w:autoSpaceDN w:val="0"/>
        <w:adjustRightInd w:val="0"/>
        <w:spacing w:line="360" w:lineRule="auto"/>
        <w:jc w:val="both"/>
        <w:rPr>
          <w:szCs w:val="22"/>
        </w:rPr>
      </w:pPr>
      <w:r>
        <w:rPr>
          <w:szCs w:val="22"/>
        </w:rPr>
        <w:t>Equation (5):</w:t>
      </w:r>
    </w:p>
    <w:p w:rsidR="008A419A" w:rsidRPr="008C6167" w:rsidRDefault="00BD1791" w:rsidP="008C6167">
      <w:pPr>
        <w:autoSpaceDE w:val="0"/>
        <w:autoSpaceDN w:val="0"/>
        <w:adjustRightInd w:val="0"/>
        <w:spacing w:line="360" w:lineRule="auto"/>
        <w:jc w:val="both"/>
        <w:rPr>
          <w:rFonts w:ascii="TimesNewRoman" w:hAnsi="TimesNewRoman" w:cs="TimesNewRoman"/>
          <w:sz w:val="22"/>
          <w:szCs w:val="22"/>
        </w:rPr>
      </w:pPr>
      <m:oMathPara>
        <m:oMathParaPr>
          <m:jc m:val="left"/>
        </m:oMathParaPr>
        <m:oMath>
          <m:r>
            <w:rPr>
              <w:rFonts w:ascii="Cambria Math" w:hAnsi="Cambria Math" w:cs="TimesNewRoman"/>
              <w:sz w:val="22"/>
              <w:szCs w:val="22"/>
            </w:rPr>
            <m:t>DLLP</m:t>
          </m:r>
          <m:r>
            <m:rPr>
              <m:nor/>
            </m:rPr>
            <w:rPr>
              <w:rFonts w:ascii="Cambria Math" w:hAnsi="Cambria Math" w:cs="TimesNewRoman"/>
              <w:sz w:val="22"/>
              <w:szCs w:val="22"/>
              <w:vertAlign w:val="subscript"/>
            </w:rPr>
            <m:t>i,t</m:t>
          </m:r>
          <m:r>
            <w:rPr>
              <w:rFonts w:ascii="Cambria Math" w:hAnsi="Cambria Math" w:cs="TimesNewRoman"/>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0</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EI</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2</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EBTP</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CAP_Tier1</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4</m:t>
              </m:r>
            </m:sub>
          </m:sSub>
          <m:d>
            <m:dPr>
              <m:ctrlPr>
                <w:rPr>
                  <w:rFonts w:ascii="Cambria Math" w:hAnsi="Cambria Math"/>
                  <w:i/>
                  <w:sz w:val="22"/>
                  <w:szCs w:val="22"/>
                  <w:vertAlign w:val="subscript"/>
                </w:rPr>
              </m:ctrlPr>
            </m:dPr>
            <m:e>
              <m:sSub>
                <m:sSubPr>
                  <m:ctrlPr>
                    <w:rPr>
                      <w:rFonts w:ascii="Cambria Math" w:hAnsi="Cambria Math"/>
                      <w:i/>
                      <w:sz w:val="22"/>
                      <w:szCs w:val="22"/>
                      <w:vertAlign w:val="subscript"/>
                    </w:rPr>
                  </m:ctrlPr>
                </m:sSubPr>
                <m:e>
                  <m:r>
                    <w:rPr>
                      <w:rFonts w:ascii="Cambria Math" w:hAnsi="Cambria Math"/>
                      <w:sz w:val="22"/>
                      <w:szCs w:val="22"/>
                      <w:vertAlign w:val="subscript"/>
                    </w:rPr>
                    <m:t>Size</m:t>
                  </m:r>
                </m:e>
                <m:sub>
                  <m:r>
                    <w:rPr>
                      <w:rFonts w:ascii="Cambria Math" w:hAnsi="Cambria Math"/>
                      <w:sz w:val="22"/>
                      <w:szCs w:val="22"/>
                      <w:vertAlign w:val="subscript"/>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5</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Tax</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ε</m:t>
              </m:r>
            </m:e>
            <m:sub>
              <m:r>
                <w:rPr>
                  <w:rFonts w:ascii="Cambria Math" w:hAnsi="Cambria Math"/>
                  <w:sz w:val="22"/>
                  <w:szCs w:val="22"/>
                </w:rPr>
                <m:t>i,t</m:t>
              </m:r>
            </m:sub>
          </m:sSub>
          <m:r>
            <w:rPr>
              <w:rFonts w:ascii="Cambria Math"/>
              <w:sz w:val="22"/>
              <w:szCs w:val="22"/>
              <w:vertAlign w:val="subscript"/>
            </w:rPr>
            <m:t xml:space="preserve"> </m:t>
          </m:r>
        </m:oMath>
      </m:oMathPara>
    </w:p>
    <w:p w:rsidR="00967087" w:rsidRPr="00DA1560" w:rsidRDefault="00967087" w:rsidP="00FB7E48">
      <w:pPr>
        <w:autoSpaceDE w:val="0"/>
        <w:autoSpaceDN w:val="0"/>
        <w:adjustRightInd w:val="0"/>
        <w:spacing w:line="360" w:lineRule="auto"/>
        <w:jc w:val="both"/>
        <w:rPr>
          <w:rFonts w:ascii="TimesNewRoman" w:hAnsi="TimesNewRoman" w:cs="TimesNewRoman"/>
          <w:sz w:val="22"/>
          <w:szCs w:val="22"/>
        </w:rPr>
      </w:pPr>
    </w:p>
    <w:p w:rsidR="00A61D4A" w:rsidRPr="001029F2" w:rsidRDefault="00A61D4A" w:rsidP="00FB7E48">
      <w:pPr>
        <w:autoSpaceDE w:val="0"/>
        <w:autoSpaceDN w:val="0"/>
        <w:adjustRightInd w:val="0"/>
        <w:spacing w:line="360" w:lineRule="auto"/>
        <w:jc w:val="both"/>
        <w:rPr>
          <w:sz w:val="22"/>
          <w:szCs w:val="22"/>
        </w:rPr>
      </w:pPr>
      <w:r w:rsidRPr="001029F2">
        <w:rPr>
          <w:sz w:val="22"/>
          <w:szCs w:val="22"/>
        </w:rPr>
        <w:t>Where:</w:t>
      </w:r>
    </w:p>
    <w:p w:rsidR="00A61D4A" w:rsidRPr="001029F2" w:rsidRDefault="00A61D4A" w:rsidP="00FB7E48">
      <w:pPr>
        <w:autoSpaceDE w:val="0"/>
        <w:autoSpaceDN w:val="0"/>
        <w:adjustRightInd w:val="0"/>
        <w:spacing w:line="360" w:lineRule="auto"/>
        <w:jc w:val="both"/>
        <w:rPr>
          <w:sz w:val="22"/>
          <w:szCs w:val="22"/>
        </w:rPr>
      </w:pPr>
      <w:proofErr w:type="spellStart"/>
      <w:r w:rsidRPr="001029F2">
        <w:rPr>
          <w:sz w:val="22"/>
          <w:szCs w:val="22"/>
        </w:rPr>
        <w:t>DLLP</w:t>
      </w:r>
      <w:r w:rsidR="00E72728" w:rsidRPr="001029F2">
        <w:rPr>
          <w:i/>
          <w:sz w:val="22"/>
          <w:szCs w:val="22"/>
          <w:vertAlign w:val="subscript"/>
        </w:rPr>
        <w:t>i</w:t>
      </w:r>
      <w:proofErr w:type="gramStart"/>
      <w:r w:rsidR="00E72728" w:rsidRPr="001029F2">
        <w:rPr>
          <w:i/>
          <w:sz w:val="22"/>
          <w:szCs w:val="22"/>
          <w:vertAlign w:val="subscript"/>
        </w:rPr>
        <w:t>,t</w:t>
      </w:r>
      <w:proofErr w:type="spellEnd"/>
      <w:proofErr w:type="gramEnd"/>
      <w:r w:rsidRPr="001029F2">
        <w:rPr>
          <w:i/>
          <w:sz w:val="22"/>
          <w:szCs w:val="22"/>
        </w:rPr>
        <w:tab/>
      </w:r>
      <w:r w:rsidRPr="001029F2">
        <w:rPr>
          <w:i/>
          <w:sz w:val="22"/>
          <w:szCs w:val="22"/>
        </w:rPr>
        <w:tab/>
      </w:r>
      <w:r w:rsidRPr="001029F2">
        <w:rPr>
          <w:sz w:val="22"/>
          <w:szCs w:val="22"/>
        </w:rPr>
        <w:t>=</w:t>
      </w:r>
      <w:r w:rsidR="008B676C" w:rsidRPr="001029F2">
        <w:rPr>
          <w:i/>
          <w:sz w:val="22"/>
          <w:szCs w:val="22"/>
        </w:rPr>
        <w:t xml:space="preserve"> </w:t>
      </w:r>
      <w:r w:rsidRPr="001029F2">
        <w:rPr>
          <w:sz w:val="22"/>
          <w:szCs w:val="22"/>
        </w:rPr>
        <w:t>discretionary loan loss provisions</w:t>
      </w:r>
      <w:r w:rsidR="00FC7821" w:rsidRPr="001029F2">
        <w:rPr>
          <w:sz w:val="22"/>
          <w:szCs w:val="22"/>
        </w:rPr>
        <w:t xml:space="preserve"> for</w:t>
      </w:r>
      <w:r w:rsidR="00E72728" w:rsidRPr="001029F2">
        <w:rPr>
          <w:sz w:val="22"/>
          <w:szCs w:val="22"/>
        </w:rPr>
        <w:t xml:space="preserve"> firm </w:t>
      </w:r>
      <w:proofErr w:type="spellStart"/>
      <w:r w:rsidR="00E72728" w:rsidRPr="001029F2">
        <w:rPr>
          <w:i/>
          <w:sz w:val="22"/>
          <w:szCs w:val="22"/>
        </w:rPr>
        <w:t>i</w:t>
      </w:r>
      <w:proofErr w:type="spellEnd"/>
      <w:r w:rsidR="00FC7821" w:rsidRPr="001029F2">
        <w:rPr>
          <w:sz w:val="22"/>
          <w:szCs w:val="22"/>
        </w:rPr>
        <w:t xml:space="preserve"> year </w:t>
      </w:r>
      <w:r w:rsidR="00FC7821" w:rsidRPr="001029F2">
        <w:rPr>
          <w:i/>
          <w:sz w:val="22"/>
          <w:szCs w:val="22"/>
        </w:rPr>
        <w:t>t</w:t>
      </w:r>
      <w:r w:rsidR="00FC7821" w:rsidRPr="001029F2">
        <w:rPr>
          <w:sz w:val="22"/>
          <w:szCs w:val="22"/>
        </w:rPr>
        <w:t>;</w:t>
      </w:r>
    </w:p>
    <w:p w:rsidR="00A61D4A" w:rsidRPr="001029F2" w:rsidRDefault="00A61D4A" w:rsidP="00FB7E48">
      <w:pPr>
        <w:autoSpaceDE w:val="0"/>
        <w:autoSpaceDN w:val="0"/>
        <w:adjustRightInd w:val="0"/>
        <w:spacing w:line="360" w:lineRule="auto"/>
        <w:jc w:val="both"/>
        <w:rPr>
          <w:sz w:val="22"/>
          <w:szCs w:val="22"/>
        </w:rPr>
      </w:pPr>
      <w:proofErr w:type="spellStart"/>
      <w:r w:rsidRPr="001029F2">
        <w:rPr>
          <w:sz w:val="22"/>
          <w:szCs w:val="22"/>
        </w:rPr>
        <w:t>EI</w:t>
      </w:r>
      <w:r w:rsidR="00E72728" w:rsidRPr="001029F2">
        <w:rPr>
          <w:i/>
          <w:sz w:val="22"/>
          <w:szCs w:val="22"/>
          <w:vertAlign w:val="subscript"/>
        </w:rPr>
        <w:t>i</w:t>
      </w:r>
      <w:proofErr w:type="gramStart"/>
      <w:r w:rsidR="00E72728" w:rsidRPr="001029F2">
        <w:rPr>
          <w:i/>
          <w:sz w:val="22"/>
          <w:szCs w:val="22"/>
          <w:vertAlign w:val="subscript"/>
        </w:rPr>
        <w:t>,t</w:t>
      </w:r>
      <w:proofErr w:type="spellEnd"/>
      <w:proofErr w:type="gramEnd"/>
      <w:r w:rsidRPr="001029F2">
        <w:rPr>
          <w:sz w:val="22"/>
          <w:szCs w:val="22"/>
          <w:vertAlign w:val="subscript"/>
        </w:rPr>
        <w:t xml:space="preserve"> </w:t>
      </w:r>
      <w:r w:rsidRPr="001029F2">
        <w:rPr>
          <w:sz w:val="22"/>
          <w:szCs w:val="22"/>
        </w:rPr>
        <w:tab/>
      </w:r>
      <w:r w:rsidRPr="001029F2">
        <w:rPr>
          <w:i/>
          <w:sz w:val="22"/>
          <w:szCs w:val="22"/>
        </w:rPr>
        <w:tab/>
      </w:r>
      <w:r w:rsidRPr="001029F2">
        <w:rPr>
          <w:sz w:val="22"/>
          <w:szCs w:val="22"/>
        </w:rPr>
        <w:t>=</w:t>
      </w:r>
      <w:r w:rsidR="008B676C" w:rsidRPr="001029F2">
        <w:rPr>
          <w:sz w:val="22"/>
          <w:szCs w:val="22"/>
        </w:rPr>
        <w:t xml:space="preserve"> </w:t>
      </w:r>
      <w:r w:rsidRPr="001029F2">
        <w:rPr>
          <w:sz w:val="22"/>
          <w:szCs w:val="22"/>
        </w:rPr>
        <w:t>equity incentives</w:t>
      </w:r>
      <w:r w:rsidR="00FC7821" w:rsidRPr="001029F2">
        <w:rPr>
          <w:sz w:val="22"/>
          <w:szCs w:val="22"/>
        </w:rPr>
        <w:t xml:space="preserve"> </w:t>
      </w:r>
      <w:r w:rsidR="00E72728" w:rsidRPr="001029F2">
        <w:rPr>
          <w:sz w:val="22"/>
          <w:szCs w:val="22"/>
        </w:rPr>
        <w:t xml:space="preserve">for firm </w:t>
      </w:r>
      <w:proofErr w:type="spellStart"/>
      <w:r w:rsidR="00E72728" w:rsidRPr="001029F2">
        <w:rPr>
          <w:i/>
          <w:sz w:val="22"/>
          <w:szCs w:val="22"/>
        </w:rPr>
        <w:t>i</w:t>
      </w:r>
      <w:proofErr w:type="spellEnd"/>
      <w:r w:rsidR="00E72728" w:rsidRPr="001029F2">
        <w:rPr>
          <w:sz w:val="22"/>
          <w:szCs w:val="22"/>
        </w:rPr>
        <w:t xml:space="preserve"> </w:t>
      </w:r>
      <w:r w:rsidR="00CD36A3">
        <w:rPr>
          <w:sz w:val="22"/>
          <w:szCs w:val="22"/>
        </w:rPr>
        <w:t xml:space="preserve">in </w:t>
      </w:r>
      <w:r w:rsidR="00E72728" w:rsidRPr="001029F2">
        <w:rPr>
          <w:sz w:val="22"/>
          <w:szCs w:val="22"/>
        </w:rPr>
        <w:t xml:space="preserve">year </w:t>
      </w:r>
      <w:r w:rsidR="00E72728" w:rsidRPr="001029F2">
        <w:rPr>
          <w:i/>
          <w:sz w:val="22"/>
          <w:szCs w:val="22"/>
        </w:rPr>
        <w:t>t</w:t>
      </w:r>
      <w:r w:rsidR="00E72728" w:rsidRPr="001029F2">
        <w:rPr>
          <w:sz w:val="22"/>
          <w:szCs w:val="22"/>
        </w:rPr>
        <w:t>;</w:t>
      </w:r>
    </w:p>
    <w:p w:rsidR="00E72728" w:rsidRPr="001029F2" w:rsidRDefault="00A61D4A" w:rsidP="00A71D05">
      <w:pPr>
        <w:autoSpaceDE w:val="0"/>
        <w:autoSpaceDN w:val="0"/>
        <w:adjustRightInd w:val="0"/>
        <w:spacing w:line="360" w:lineRule="auto"/>
        <w:ind w:left="1410" w:hanging="1410"/>
        <w:jc w:val="both"/>
        <w:rPr>
          <w:sz w:val="22"/>
          <w:szCs w:val="22"/>
        </w:rPr>
      </w:pPr>
      <w:proofErr w:type="spellStart"/>
      <w:r w:rsidRPr="001029F2">
        <w:rPr>
          <w:sz w:val="22"/>
          <w:szCs w:val="22"/>
        </w:rPr>
        <w:t>EBTP</w:t>
      </w:r>
      <w:r w:rsidR="00E72728" w:rsidRPr="001029F2">
        <w:rPr>
          <w:i/>
          <w:sz w:val="22"/>
          <w:szCs w:val="22"/>
          <w:vertAlign w:val="subscript"/>
        </w:rPr>
        <w:t>i</w:t>
      </w:r>
      <w:proofErr w:type="gramStart"/>
      <w:r w:rsidR="00E72728" w:rsidRPr="001029F2">
        <w:rPr>
          <w:i/>
          <w:sz w:val="22"/>
          <w:szCs w:val="22"/>
          <w:vertAlign w:val="subscript"/>
        </w:rPr>
        <w:t>,</w:t>
      </w:r>
      <w:r w:rsidRPr="001029F2">
        <w:rPr>
          <w:i/>
          <w:sz w:val="22"/>
          <w:szCs w:val="22"/>
          <w:vertAlign w:val="subscript"/>
        </w:rPr>
        <w:t>t</w:t>
      </w:r>
      <w:proofErr w:type="spellEnd"/>
      <w:proofErr w:type="gramEnd"/>
      <w:r w:rsidR="008B676C" w:rsidRPr="001029F2">
        <w:rPr>
          <w:sz w:val="22"/>
          <w:szCs w:val="22"/>
          <w:vertAlign w:val="subscript"/>
        </w:rPr>
        <w:tab/>
      </w:r>
      <w:r w:rsidR="008B676C" w:rsidRPr="001029F2">
        <w:rPr>
          <w:i/>
          <w:sz w:val="22"/>
          <w:szCs w:val="22"/>
          <w:vertAlign w:val="subscript"/>
        </w:rPr>
        <w:tab/>
      </w:r>
      <w:r w:rsidRPr="001029F2">
        <w:rPr>
          <w:sz w:val="22"/>
          <w:szCs w:val="22"/>
        </w:rPr>
        <w:t>=</w:t>
      </w:r>
      <w:r w:rsidR="008B676C" w:rsidRPr="001029F2">
        <w:rPr>
          <w:sz w:val="22"/>
          <w:szCs w:val="22"/>
        </w:rPr>
        <w:t xml:space="preserve"> net income before tax and loan loss provisions</w:t>
      </w:r>
      <w:r w:rsidR="00E72728" w:rsidRPr="001029F2">
        <w:rPr>
          <w:sz w:val="22"/>
          <w:szCs w:val="22"/>
        </w:rPr>
        <w:t xml:space="preserve"> scaled by</w:t>
      </w:r>
      <w:r w:rsidR="008B676C" w:rsidRPr="001029F2">
        <w:rPr>
          <w:sz w:val="22"/>
          <w:szCs w:val="22"/>
        </w:rPr>
        <w:t xml:space="preserve"> net book value of common equity</w:t>
      </w:r>
      <w:r w:rsidR="00C00C06">
        <w:rPr>
          <w:sz w:val="22"/>
          <w:szCs w:val="22"/>
        </w:rPr>
        <w:t xml:space="preserve"> plus loan loss allowance</w:t>
      </w:r>
      <w:r w:rsidR="008B676C" w:rsidRPr="001029F2">
        <w:rPr>
          <w:sz w:val="22"/>
          <w:szCs w:val="22"/>
        </w:rPr>
        <w:t xml:space="preserve"> </w:t>
      </w:r>
      <w:r w:rsidR="00E72728" w:rsidRPr="001029F2">
        <w:rPr>
          <w:sz w:val="22"/>
          <w:szCs w:val="22"/>
        </w:rPr>
        <w:t xml:space="preserve">for firm </w:t>
      </w:r>
      <w:proofErr w:type="spellStart"/>
      <w:r w:rsidR="00E72728" w:rsidRPr="001029F2">
        <w:rPr>
          <w:i/>
          <w:sz w:val="22"/>
          <w:szCs w:val="22"/>
        </w:rPr>
        <w:t>i</w:t>
      </w:r>
      <w:proofErr w:type="spellEnd"/>
      <w:r w:rsidR="00E72728" w:rsidRPr="001029F2">
        <w:rPr>
          <w:sz w:val="22"/>
          <w:szCs w:val="22"/>
        </w:rPr>
        <w:t xml:space="preserve"> </w:t>
      </w:r>
      <w:r w:rsidR="00CD36A3">
        <w:rPr>
          <w:sz w:val="22"/>
          <w:szCs w:val="22"/>
        </w:rPr>
        <w:t xml:space="preserve">in </w:t>
      </w:r>
      <w:r w:rsidR="00E72728" w:rsidRPr="001029F2">
        <w:rPr>
          <w:sz w:val="22"/>
          <w:szCs w:val="22"/>
        </w:rPr>
        <w:t xml:space="preserve">year </w:t>
      </w:r>
      <w:r w:rsidR="00E72728" w:rsidRPr="001029F2">
        <w:rPr>
          <w:i/>
          <w:sz w:val="22"/>
          <w:szCs w:val="22"/>
        </w:rPr>
        <w:t>t</w:t>
      </w:r>
      <w:r w:rsidR="00E72728" w:rsidRPr="001029F2">
        <w:rPr>
          <w:sz w:val="22"/>
          <w:szCs w:val="22"/>
        </w:rPr>
        <w:t>;</w:t>
      </w:r>
    </w:p>
    <w:p w:rsidR="00DA1560" w:rsidRPr="001029F2" w:rsidRDefault="00A61D4A" w:rsidP="00DA1560">
      <w:pPr>
        <w:autoSpaceDE w:val="0"/>
        <w:autoSpaceDN w:val="0"/>
        <w:adjustRightInd w:val="0"/>
        <w:spacing w:line="360" w:lineRule="auto"/>
        <w:jc w:val="both"/>
        <w:rPr>
          <w:sz w:val="22"/>
          <w:szCs w:val="22"/>
        </w:rPr>
      </w:pPr>
      <w:r w:rsidRPr="001029F2">
        <w:rPr>
          <w:sz w:val="22"/>
          <w:szCs w:val="22"/>
        </w:rPr>
        <w:t>CAP_Tier1</w:t>
      </w:r>
      <w:r w:rsidR="00E72728" w:rsidRPr="001029F2">
        <w:rPr>
          <w:sz w:val="22"/>
          <w:szCs w:val="22"/>
          <w:vertAlign w:val="subscript"/>
        </w:rPr>
        <w:t>i</w:t>
      </w:r>
      <w:proofErr w:type="gramStart"/>
      <w:r w:rsidR="00E72728" w:rsidRPr="001029F2">
        <w:rPr>
          <w:i/>
          <w:sz w:val="22"/>
          <w:szCs w:val="22"/>
          <w:vertAlign w:val="subscript"/>
        </w:rPr>
        <w:t>,</w:t>
      </w:r>
      <w:r w:rsidRPr="001029F2">
        <w:rPr>
          <w:i/>
          <w:sz w:val="22"/>
          <w:szCs w:val="22"/>
          <w:vertAlign w:val="subscript"/>
        </w:rPr>
        <w:t>t</w:t>
      </w:r>
      <w:proofErr w:type="gramEnd"/>
      <w:r w:rsidRPr="001029F2">
        <w:rPr>
          <w:sz w:val="22"/>
          <w:szCs w:val="22"/>
        </w:rPr>
        <w:tab/>
        <w:t>=</w:t>
      </w:r>
      <w:r w:rsidR="008B676C" w:rsidRPr="001029F2">
        <w:rPr>
          <w:sz w:val="22"/>
          <w:szCs w:val="22"/>
        </w:rPr>
        <w:t xml:space="preserve"> </w:t>
      </w:r>
      <w:r w:rsidR="00DA1560" w:rsidRPr="001029F2">
        <w:rPr>
          <w:sz w:val="22"/>
          <w:szCs w:val="22"/>
        </w:rPr>
        <w:t>risk-adjusted capital – tier 1</w:t>
      </w:r>
      <w:r w:rsidR="00FC7821" w:rsidRPr="001029F2">
        <w:rPr>
          <w:sz w:val="22"/>
          <w:szCs w:val="22"/>
        </w:rPr>
        <w:t xml:space="preserve"> </w:t>
      </w:r>
      <w:r w:rsidR="00016E35" w:rsidRPr="001029F2">
        <w:rPr>
          <w:sz w:val="22"/>
          <w:szCs w:val="22"/>
        </w:rPr>
        <w:t>ratio</w:t>
      </w:r>
      <w:r w:rsidR="00E72728" w:rsidRPr="001029F2">
        <w:rPr>
          <w:sz w:val="22"/>
          <w:szCs w:val="22"/>
        </w:rPr>
        <w:t xml:space="preserve"> for firm </w:t>
      </w:r>
      <w:proofErr w:type="spellStart"/>
      <w:r w:rsidR="00E72728" w:rsidRPr="001029F2">
        <w:rPr>
          <w:i/>
          <w:sz w:val="22"/>
          <w:szCs w:val="22"/>
        </w:rPr>
        <w:t>i</w:t>
      </w:r>
      <w:proofErr w:type="spellEnd"/>
      <w:r w:rsidR="00E72728" w:rsidRPr="001029F2">
        <w:rPr>
          <w:sz w:val="22"/>
          <w:szCs w:val="22"/>
        </w:rPr>
        <w:t xml:space="preserve"> </w:t>
      </w:r>
      <w:r w:rsidR="00CD36A3">
        <w:rPr>
          <w:sz w:val="22"/>
          <w:szCs w:val="22"/>
        </w:rPr>
        <w:t xml:space="preserve">in </w:t>
      </w:r>
      <w:r w:rsidR="00E72728" w:rsidRPr="001029F2">
        <w:rPr>
          <w:sz w:val="22"/>
          <w:szCs w:val="22"/>
        </w:rPr>
        <w:t xml:space="preserve">year </w:t>
      </w:r>
      <w:r w:rsidR="00E72728" w:rsidRPr="001029F2">
        <w:rPr>
          <w:i/>
          <w:sz w:val="22"/>
          <w:szCs w:val="22"/>
        </w:rPr>
        <w:t>t</w:t>
      </w:r>
      <w:r w:rsidR="00E72728" w:rsidRPr="001029F2">
        <w:rPr>
          <w:sz w:val="22"/>
          <w:szCs w:val="22"/>
        </w:rPr>
        <w:t>;</w:t>
      </w:r>
    </w:p>
    <w:p w:rsidR="00DA1560" w:rsidRPr="001029F2" w:rsidRDefault="00A61D4A" w:rsidP="00DA1560">
      <w:pPr>
        <w:autoSpaceDE w:val="0"/>
        <w:autoSpaceDN w:val="0"/>
        <w:adjustRightInd w:val="0"/>
        <w:spacing w:line="360" w:lineRule="auto"/>
        <w:jc w:val="both"/>
        <w:rPr>
          <w:sz w:val="22"/>
          <w:szCs w:val="22"/>
        </w:rPr>
      </w:pPr>
      <w:proofErr w:type="spellStart"/>
      <w:r w:rsidRPr="001029F2">
        <w:rPr>
          <w:sz w:val="22"/>
          <w:szCs w:val="22"/>
        </w:rPr>
        <w:t>Size</w:t>
      </w:r>
      <w:r w:rsidR="00E72728" w:rsidRPr="001029F2">
        <w:rPr>
          <w:i/>
          <w:sz w:val="22"/>
          <w:szCs w:val="22"/>
          <w:vertAlign w:val="subscript"/>
        </w:rPr>
        <w:t>i</w:t>
      </w:r>
      <w:proofErr w:type="gramStart"/>
      <w:r w:rsidR="00E72728" w:rsidRPr="001029F2">
        <w:rPr>
          <w:i/>
          <w:sz w:val="22"/>
          <w:szCs w:val="22"/>
          <w:vertAlign w:val="subscript"/>
        </w:rPr>
        <w:t>,</w:t>
      </w:r>
      <w:r w:rsidRPr="001029F2">
        <w:rPr>
          <w:i/>
          <w:sz w:val="22"/>
          <w:szCs w:val="22"/>
          <w:vertAlign w:val="subscript"/>
        </w:rPr>
        <w:t>t</w:t>
      </w:r>
      <w:proofErr w:type="spellEnd"/>
      <w:proofErr w:type="gramEnd"/>
      <w:r w:rsidRPr="001029F2">
        <w:rPr>
          <w:sz w:val="22"/>
          <w:szCs w:val="22"/>
          <w:vertAlign w:val="subscript"/>
        </w:rPr>
        <w:tab/>
      </w:r>
      <w:r w:rsidRPr="001029F2">
        <w:rPr>
          <w:sz w:val="22"/>
          <w:szCs w:val="22"/>
        </w:rPr>
        <w:tab/>
        <w:t>=</w:t>
      </w:r>
      <w:r w:rsidR="008B676C" w:rsidRPr="001029F2">
        <w:rPr>
          <w:sz w:val="22"/>
          <w:szCs w:val="22"/>
        </w:rPr>
        <w:t xml:space="preserve"> </w:t>
      </w:r>
      <w:r w:rsidR="00DA1560" w:rsidRPr="001029F2">
        <w:rPr>
          <w:sz w:val="22"/>
          <w:szCs w:val="22"/>
        </w:rPr>
        <w:t>natural logarithm of market value (in million dollars)</w:t>
      </w:r>
      <w:r w:rsidR="00FC7821" w:rsidRPr="001029F2">
        <w:rPr>
          <w:sz w:val="22"/>
          <w:szCs w:val="22"/>
        </w:rPr>
        <w:t xml:space="preserve"> </w:t>
      </w:r>
      <w:r w:rsidR="00E72728" w:rsidRPr="001029F2">
        <w:rPr>
          <w:sz w:val="22"/>
          <w:szCs w:val="22"/>
        </w:rPr>
        <w:t xml:space="preserve">for firm </w:t>
      </w:r>
      <w:proofErr w:type="spellStart"/>
      <w:r w:rsidR="00E72728" w:rsidRPr="001029F2">
        <w:rPr>
          <w:i/>
          <w:sz w:val="22"/>
          <w:szCs w:val="22"/>
        </w:rPr>
        <w:t>i</w:t>
      </w:r>
      <w:proofErr w:type="spellEnd"/>
      <w:r w:rsidR="00E72728" w:rsidRPr="001029F2">
        <w:rPr>
          <w:sz w:val="22"/>
          <w:szCs w:val="22"/>
        </w:rPr>
        <w:t xml:space="preserve"> </w:t>
      </w:r>
      <w:r w:rsidR="00CD36A3">
        <w:rPr>
          <w:sz w:val="22"/>
          <w:szCs w:val="22"/>
        </w:rPr>
        <w:t xml:space="preserve">in </w:t>
      </w:r>
      <w:r w:rsidR="00E72728" w:rsidRPr="001029F2">
        <w:rPr>
          <w:sz w:val="22"/>
          <w:szCs w:val="22"/>
        </w:rPr>
        <w:t xml:space="preserve">year </w:t>
      </w:r>
      <w:r w:rsidR="00E72728" w:rsidRPr="001029F2">
        <w:rPr>
          <w:i/>
          <w:sz w:val="22"/>
          <w:szCs w:val="22"/>
        </w:rPr>
        <w:t>t</w:t>
      </w:r>
      <w:r w:rsidR="00E72728" w:rsidRPr="001029F2">
        <w:rPr>
          <w:sz w:val="22"/>
          <w:szCs w:val="22"/>
        </w:rPr>
        <w:t>;</w:t>
      </w:r>
    </w:p>
    <w:p w:rsidR="00DA1560" w:rsidRPr="001029F2" w:rsidRDefault="00A61D4A" w:rsidP="00DA1560">
      <w:pPr>
        <w:autoSpaceDE w:val="0"/>
        <w:autoSpaceDN w:val="0"/>
        <w:adjustRightInd w:val="0"/>
        <w:spacing w:line="360" w:lineRule="auto"/>
        <w:jc w:val="both"/>
        <w:rPr>
          <w:sz w:val="22"/>
          <w:szCs w:val="22"/>
        </w:rPr>
      </w:pPr>
      <w:proofErr w:type="spellStart"/>
      <w:r w:rsidRPr="001029F2">
        <w:rPr>
          <w:sz w:val="22"/>
          <w:szCs w:val="22"/>
        </w:rPr>
        <w:t>Tax</w:t>
      </w:r>
      <w:r w:rsidR="00E72728" w:rsidRPr="001029F2">
        <w:rPr>
          <w:i/>
          <w:sz w:val="22"/>
          <w:szCs w:val="22"/>
          <w:vertAlign w:val="subscript"/>
        </w:rPr>
        <w:t>i</w:t>
      </w:r>
      <w:proofErr w:type="gramStart"/>
      <w:r w:rsidR="00E72728" w:rsidRPr="001029F2">
        <w:rPr>
          <w:i/>
          <w:sz w:val="22"/>
          <w:szCs w:val="22"/>
          <w:vertAlign w:val="subscript"/>
        </w:rPr>
        <w:t>,</w:t>
      </w:r>
      <w:r w:rsidRPr="001029F2">
        <w:rPr>
          <w:i/>
          <w:sz w:val="22"/>
          <w:szCs w:val="22"/>
          <w:vertAlign w:val="subscript"/>
        </w:rPr>
        <w:t>t</w:t>
      </w:r>
      <w:proofErr w:type="spellEnd"/>
      <w:proofErr w:type="gramEnd"/>
      <w:r w:rsidRPr="001029F2">
        <w:rPr>
          <w:sz w:val="22"/>
          <w:szCs w:val="22"/>
        </w:rPr>
        <w:tab/>
      </w:r>
      <w:r w:rsidRPr="001029F2">
        <w:rPr>
          <w:sz w:val="22"/>
          <w:szCs w:val="22"/>
        </w:rPr>
        <w:tab/>
        <w:t>=</w:t>
      </w:r>
      <w:r w:rsidR="008B676C" w:rsidRPr="001029F2">
        <w:rPr>
          <w:sz w:val="22"/>
          <w:szCs w:val="22"/>
        </w:rPr>
        <w:t xml:space="preserve"> </w:t>
      </w:r>
      <w:r w:rsidR="00DA1560" w:rsidRPr="001029F2">
        <w:rPr>
          <w:sz w:val="22"/>
          <w:szCs w:val="22"/>
        </w:rPr>
        <w:t xml:space="preserve">income tax expense </w:t>
      </w:r>
      <w:r w:rsidR="00E72728" w:rsidRPr="001029F2">
        <w:rPr>
          <w:sz w:val="22"/>
          <w:szCs w:val="22"/>
        </w:rPr>
        <w:t>scaled by</w:t>
      </w:r>
      <w:r w:rsidR="00DA1560" w:rsidRPr="001029F2">
        <w:rPr>
          <w:sz w:val="22"/>
          <w:szCs w:val="22"/>
        </w:rPr>
        <w:t xml:space="preserve"> net income before tax</w:t>
      </w:r>
      <w:r w:rsidR="00FC7821" w:rsidRPr="001029F2">
        <w:rPr>
          <w:sz w:val="22"/>
          <w:szCs w:val="22"/>
        </w:rPr>
        <w:t xml:space="preserve"> </w:t>
      </w:r>
      <w:r w:rsidR="00E72728" w:rsidRPr="001029F2">
        <w:rPr>
          <w:sz w:val="22"/>
          <w:szCs w:val="22"/>
        </w:rPr>
        <w:t xml:space="preserve">for firm </w:t>
      </w:r>
      <w:proofErr w:type="spellStart"/>
      <w:r w:rsidR="00E72728" w:rsidRPr="001029F2">
        <w:rPr>
          <w:i/>
          <w:sz w:val="22"/>
          <w:szCs w:val="22"/>
        </w:rPr>
        <w:t>i</w:t>
      </w:r>
      <w:proofErr w:type="spellEnd"/>
      <w:r w:rsidR="00E72728" w:rsidRPr="001029F2">
        <w:rPr>
          <w:sz w:val="22"/>
          <w:szCs w:val="22"/>
        </w:rPr>
        <w:t xml:space="preserve"> </w:t>
      </w:r>
      <w:r w:rsidR="00CD36A3">
        <w:rPr>
          <w:sz w:val="22"/>
          <w:szCs w:val="22"/>
        </w:rPr>
        <w:t xml:space="preserve">in </w:t>
      </w:r>
      <w:r w:rsidR="00E72728" w:rsidRPr="001029F2">
        <w:rPr>
          <w:sz w:val="22"/>
          <w:szCs w:val="22"/>
        </w:rPr>
        <w:t xml:space="preserve">year </w:t>
      </w:r>
      <w:r w:rsidR="00E72728" w:rsidRPr="001029F2">
        <w:rPr>
          <w:i/>
          <w:sz w:val="22"/>
          <w:szCs w:val="22"/>
        </w:rPr>
        <w:t>t</w:t>
      </w:r>
      <w:r w:rsidR="00E72728" w:rsidRPr="001029F2">
        <w:rPr>
          <w:sz w:val="22"/>
          <w:szCs w:val="22"/>
        </w:rPr>
        <w:t>;</w:t>
      </w:r>
    </w:p>
    <w:p w:rsidR="008B676C" w:rsidRPr="001029F2" w:rsidRDefault="00E72728" w:rsidP="00E30B86">
      <w:pPr>
        <w:autoSpaceDE w:val="0"/>
        <w:autoSpaceDN w:val="0"/>
        <w:adjustRightInd w:val="0"/>
        <w:spacing w:line="360" w:lineRule="auto"/>
        <w:jc w:val="both"/>
        <w:rPr>
          <w:sz w:val="22"/>
          <w:szCs w:val="22"/>
        </w:rPr>
      </w:pPr>
      <w:proofErr w:type="spellStart"/>
      <w:proofErr w:type="gramStart"/>
      <w:r w:rsidRPr="001029F2">
        <w:rPr>
          <w:sz w:val="22"/>
          <w:szCs w:val="22"/>
        </w:rPr>
        <w:t>ε</w:t>
      </w:r>
      <w:r w:rsidRPr="001029F2">
        <w:rPr>
          <w:sz w:val="22"/>
          <w:szCs w:val="22"/>
          <w:vertAlign w:val="subscript"/>
        </w:rPr>
        <w:t>i,</w:t>
      </w:r>
      <w:proofErr w:type="gramEnd"/>
      <w:r w:rsidRPr="001029F2">
        <w:rPr>
          <w:sz w:val="22"/>
          <w:szCs w:val="22"/>
          <w:vertAlign w:val="subscript"/>
        </w:rPr>
        <w:t>t</w:t>
      </w:r>
      <w:proofErr w:type="spellEnd"/>
      <w:r w:rsidR="00AD707E">
        <w:rPr>
          <w:sz w:val="22"/>
          <w:szCs w:val="22"/>
        </w:rPr>
        <w:tab/>
      </w:r>
      <w:r w:rsidR="00AD707E">
        <w:rPr>
          <w:sz w:val="22"/>
          <w:szCs w:val="22"/>
        </w:rPr>
        <w:tab/>
        <w:t xml:space="preserve">= </w:t>
      </w:r>
      <w:r w:rsidR="008B676C" w:rsidRPr="001029F2">
        <w:rPr>
          <w:sz w:val="22"/>
          <w:szCs w:val="22"/>
        </w:rPr>
        <w:t>error term</w:t>
      </w:r>
      <w:r w:rsidR="00E30B86" w:rsidRPr="001029F2">
        <w:rPr>
          <w:sz w:val="22"/>
          <w:szCs w:val="22"/>
        </w:rPr>
        <w:t xml:space="preserve"> for </w:t>
      </w:r>
      <w:r w:rsidR="00CD36A3">
        <w:rPr>
          <w:sz w:val="22"/>
          <w:szCs w:val="22"/>
        </w:rPr>
        <w:t xml:space="preserve">firm </w:t>
      </w:r>
      <w:proofErr w:type="spellStart"/>
      <w:r w:rsidR="00CD36A3">
        <w:rPr>
          <w:i/>
          <w:sz w:val="22"/>
          <w:szCs w:val="22"/>
        </w:rPr>
        <w:t>i</w:t>
      </w:r>
      <w:proofErr w:type="spellEnd"/>
      <w:r w:rsidR="00CD36A3">
        <w:rPr>
          <w:sz w:val="22"/>
          <w:szCs w:val="22"/>
        </w:rPr>
        <w:t xml:space="preserve"> in year </w:t>
      </w:r>
      <w:r w:rsidR="00CD36A3">
        <w:rPr>
          <w:i/>
          <w:sz w:val="22"/>
          <w:szCs w:val="22"/>
        </w:rPr>
        <w:t>t</w:t>
      </w:r>
      <w:r w:rsidR="00E30B86" w:rsidRPr="001029F2">
        <w:rPr>
          <w:sz w:val="22"/>
          <w:szCs w:val="22"/>
        </w:rPr>
        <w:t>;</w:t>
      </w:r>
    </w:p>
    <w:p w:rsidR="00E30B86" w:rsidRPr="001029F2" w:rsidRDefault="00E30B86" w:rsidP="00E30B86">
      <w:pPr>
        <w:autoSpaceDE w:val="0"/>
        <w:autoSpaceDN w:val="0"/>
        <w:adjustRightInd w:val="0"/>
        <w:spacing w:line="360" w:lineRule="auto"/>
        <w:jc w:val="both"/>
        <w:rPr>
          <w:sz w:val="22"/>
          <w:szCs w:val="22"/>
        </w:rPr>
      </w:pPr>
      <w:r w:rsidRPr="001029F2">
        <w:rPr>
          <w:sz w:val="22"/>
          <w:szCs w:val="22"/>
        </w:rPr>
        <w:t>α</w:t>
      </w:r>
      <w:r w:rsidRPr="001029F2">
        <w:rPr>
          <w:sz w:val="22"/>
          <w:szCs w:val="22"/>
          <w:vertAlign w:val="subscript"/>
        </w:rPr>
        <w:t>0</w:t>
      </w:r>
      <w:proofErr w:type="gramStart"/>
      <w:r w:rsidRPr="001029F2">
        <w:rPr>
          <w:sz w:val="22"/>
          <w:szCs w:val="22"/>
        </w:rPr>
        <w:t>,α</w:t>
      </w:r>
      <w:r w:rsidRPr="001029F2">
        <w:rPr>
          <w:sz w:val="22"/>
          <w:szCs w:val="22"/>
          <w:vertAlign w:val="subscript"/>
        </w:rPr>
        <w:t>1</w:t>
      </w:r>
      <w:r w:rsidRPr="001029F2">
        <w:rPr>
          <w:sz w:val="22"/>
          <w:szCs w:val="22"/>
        </w:rPr>
        <w:t>,α</w:t>
      </w:r>
      <w:r w:rsidRPr="001029F2">
        <w:rPr>
          <w:sz w:val="22"/>
          <w:szCs w:val="22"/>
          <w:vertAlign w:val="subscript"/>
        </w:rPr>
        <w:t>2</w:t>
      </w:r>
      <w:r w:rsidRPr="001029F2">
        <w:rPr>
          <w:sz w:val="22"/>
          <w:szCs w:val="22"/>
        </w:rPr>
        <w:t>,α</w:t>
      </w:r>
      <w:r w:rsidRPr="001029F2">
        <w:rPr>
          <w:sz w:val="22"/>
          <w:szCs w:val="22"/>
          <w:vertAlign w:val="subscript"/>
        </w:rPr>
        <w:t>3</w:t>
      </w:r>
      <w:r w:rsidRPr="001029F2">
        <w:rPr>
          <w:sz w:val="22"/>
          <w:szCs w:val="22"/>
        </w:rPr>
        <w:t>,α</w:t>
      </w:r>
      <w:r w:rsidRPr="001029F2">
        <w:rPr>
          <w:sz w:val="22"/>
          <w:szCs w:val="22"/>
          <w:vertAlign w:val="subscript"/>
        </w:rPr>
        <w:t>4</w:t>
      </w:r>
      <w:r w:rsidRPr="001029F2">
        <w:rPr>
          <w:sz w:val="22"/>
          <w:szCs w:val="22"/>
        </w:rPr>
        <w:t>,α</w:t>
      </w:r>
      <w:r w:rsidRPr="001029F2">
        <w:rPr>
          <w:sz w:val="22"/>
          <w:szCs w:val="22"/>
          <w:vertAlign w:val="subscript"/>
        </w:rPr>
        <w:t>5</w:t>
      </w:r>
      <w:proofErr w:type="gramEnd"/>
      <w:r w:rsidRPr="001029F2">
        <w:rPr>
          <w:sz w:val="22"/>
          <w:szCs w:val="22"/>
          <w:vertAlign w:val="subscript"/>
        </w:rPr>
        <w:tab/>
        <w:t xml:space="preserve"> </w:t>
      </w:r>
      <w:r w:rsidRPr="001029F2">
        <w:rPr>
          <w:sz w:val="22"/>
          <w:szCs w:val="22"/>
        </w:rPr>
        <w:t>= firm specific coefficients</w:t>
      </w:r>
      <w:r w:rsidR="00AB107C" w:rsidRPr="001029F2">
        <w:rPr>
          <w:sz w:val="22"/>
          <w:szCs w:val="22"/>
        </w:rPr>
        <w:t>.</w:t>
      </w:r>
    </w:p>
    <w:p w:rsidR="009826BC" w:rsidRDefault="009826BC" w:rsidP="00FB7E48">
      <w:pPr>
        <w:autoSpaceDE w:val="0"/>
        <w:autoSpaceDN w:val="0"/>
        <w:adjustRightInd w:val="0"/>
        <w:spacing w:line="360" w:lineRule="auto"/>
        <w:jc w:val="both"/>
        <w:rPr>
          <w:rFonts w:ascii="TimesNewRoman" w:hAnsi="TimesNewRoman" w:cs="TimesNewRoman"/>
          <w:sz w:val="22"/>
          <w:szCs w:val="22"/>
        </w:rPr>
      </w:pPr>
    </w:p>
    <w:p w:rsidR="00492D36" w:rsidRDefault="008A419A" w:rsidP="00FB7E48">
      <w:pPr>
        <w:autoSpaceDE w:val="0"/>
        <w:autoSpaceDN w:val="0"/>
        <w:adjustRightInd w:val="0"/>
        <w:spacing w:line="360" w:lineRule="auto"/>
        <w:jc w:val="both"/>
        <w:rPr>
          <w:rFonts w:ascii="TimesNewRoman" w:hAnsi="TimesNewRoman" w:cs="TimesNewRoman"/>
          <w:sz w:val="22"/>
          <w:szCs w:val="22"/>
        </w:rPr>
      </w:pPr>
      <w:r>
        <w:rPr>
          <w:rFonts w:ascii="TimesNewRoman" w:hAnsi="TimesNewRoman" w:cs="TimesNewRoman"/>
          <w:sz w:val="22"/>
          <w:szCs w:val="22"/>
        </w:rPr>
        <w:lastRenderedPageBreak/>
        <w:t>A negative coefficient on equity incentives</w:t>
      </w:r>
      <w:r w:rsidR="00492D36">
        <w:rPr>
          <w:rFonts w:ascii="TimesNewRoman" w:hAnsi="TimesNewRoman" w:cs="TimesNewRoman"/>
          <w:sz w:val="22"/>
          <w:szCs w:val="22"/>
        </w:rPr>
        <w:t xml:space="preserve"> means</w:t>
      </w:r>
      <w:r>
        <w:rPr>
          <w:rFonts w:ascii="TimesNewRoman" w:hAnsi="TimesNewRoman" w:cs="TimesNewRoman"/>
          <w:sz w:val="22"/>
          <w:szCs w:val="22"/>
        </w:rPr>
        <w:t xml:space="preserve"> that </w:t>
      </w:r>
      <w:r w:rsidR="00492D36">
        <w:rPr>
          <w:rFonts w:ascii="TimesNewRoman" w:hAnsi="TimesNewRoman" w:cs="TimesNewRoman"/>
          <w:sz w:val="22"/>
          <w:szCs w:val="22"/>
        </w:rPr>
        <w:t>high equity incentive executives</w:t>
      </w:r>
      <w:r>
        <w:rPr>
          <w:rFonts w:ascii="TimesNewRoman" w:hAnsi="TimesNewRoman" w:cs="TimesNewRoman"/>
          <w:sz w:val="22"/>
          <w:szCs w:val="22"/>
        </w:rPr>
        <w:t xml:space="preserve"> use </w:t>
      </w:r>
      <w:r w:rsidR="00A61D4A">
        <w:rPr>
          <w:rFonts w:ascii="TimesNewRoman" w:hAnsi="TimesNewRoman" w:cs="TimesNewRoman"/>
          <w:sz w:val="22"/>
          <w:szCs w:val="22"/>
        </w:rPr>
        <w:t>upward earnings management</w:t>
      </w:r>
      <w:r w:rsidR="00492D36">
        <w:rPr>
          <w:rFonts w:ascii="TimesNewRoman" w:hAnsi="TimesNewRoman" w:cs="TimesNewRoman"/>
          <w:sz w:val="22"/>
          <w:szCs w:val="22"/>
        </w:rPr>
        <w:t xml:space="preserve"> by reducing LLP</w:t>
      </w:r>
      <w:r w:rsidR="00A61D4A">
        <w:rPr>
          <w:rFonts w:ascii="TimesNewRoman" w:hAnsi="TimesNewRoman" w:cs="TimesNewRoman"/>
          <w:sz w:val="22"/>
          <w:szCs w:val="22"/>
        </w:rPr>
        <w:t>. A positive equity incentive coefficient means that decreasing earnings management is used</w:t>
      </w:r>
      <w:r w:rsidR="00492D36">
        <w:rPr>
          <w:rFonts w:ascii="TimesNewRoman" w:hAnsi="TimesNewRoman" w:cs="TimesNewRoman"/>
          <w:sz w:val="22"/>
          <w:szCs w:val="22"/>
        </w:rPr>
        <w:t xml:space="preserve"> by increasing LLP</w:t>
      </w:r>
      <w:r w:rsidR="00A61D4A">
        <w:rPr>
          <w:rFonts w:ascii="TimesNewRoman" w:hAnsi="TimesNewRoman" w:cs="TimesNewRoman"/>
          <w:sz w:val="22"/>
          <w:szCs w:val="22"/>
        </w:rPr>
        <w:t xml:space="preserve">. </w:t>
      </w:r>
    </w:p>
    <w:p w:rsidR="00802C90" w:rsidRPr="008A419A" w:rsidRDefault="00802C90" w:rsidP="00FB7E48">
      <w:pPr>
        <w:autoSpaceDE w:val="0"/>
        <w:autoSpaceDN w:val="0"/>
        <w:adjustRightInd w:val="0"/>
        <w:spacing w:line="360" w:lineRule="auto"/>
        <w:jc w:val="both"/>
        <w:rPr>
          <w:rFonts w:ascii="TimesNewRoman" w:hAnsi="TimesNewRoman" w:cs="TimesNewRoman"/>
          <w:sz w:val="22"/>
          <w:szCs w:val="22"/>
        </w:rPr>
      </w:pPr>
    </w:p>
    <w:p w:rsidR="00D42703" w:rsidRDefault="00145921" w:rsidP="00533672">
      <w:pPr>
        <w:pStyle w:val="Kop2"/>
      </w:pPr>
      <w:bookmarkStart w:id="58" w:name="_Toc287614188"/>
      <w:r>
        <w:t>6</w:t>
      </w:r>
      <w:r w:rsidR="00481BDA">
        <w:t>.2</w:t>
      </w:r>
      <w:r w:rsidR="00F2024E">
        <w:t xml:space="preserve"> Data sample</w:t>
      </w:r>
      <w:bookmarkEnd w:id="58"/>
    </w:p>
    <w:p w:rsidR="003333E9" w:rsidRDefault="00E5393E" w:rsidP="00E5393E">
      <w:pPr>
        <w:spacing w:line="360" w:lineRule="auto"/>
        <w:jc w:val="both"/>
        <w:rPr>
          <w:sz w:val="22"/>
          <w:szCs w:val="22"/>
        </w:rPr>
      </w:pPr>
      <w:r>
        <w:rPr>
          <w:rFonts w:ascii="TimesNewRoman" w:hAnsi="TimesNewRoman" w:cs="TimesNewRoman"/>
          <w:sz w:val="22"/>
          <w:szCs w:val="22"/>
        </w:rPr>
        <w:t xml:space="preserve">The constraint of the sample period is determined by the availability of </w:t>
      </w:r>
      <w:r w:rsidR="002B3A80">
        <w:rPr>
          <w:rFonts w:ascii="TimesNewRoman" w:hAnsi="TimesNewRoman" w:cs="TimesNewRoman"/>
          <w:sz w:val="22"/>
          <w:szCs w:val="22"/>
        </w:rPr>
        <w:t xml:space="preserve">the current </w:t>
      </w:r>
      <w:r w:rsidR="00DD1905">
        <w:rPr>
          <w:rFonts w:ascii="TimesNewRoman" w:hAnsi="TimesNewRoman" w:cs="TimesNewRoman"/>
          <w:sz w:val="22"/>
          <w:szCs w:val="22"/>
        </w:rPr>
        <w:t xml:space="preserve">and next year’s </w:t>
      </w:r>
      <w:r w:rsidR="002B3A80">
        <w:rPr>
          <w:rFonts w:ascii="TimesNewRoman" w:hAnsi="TimesNewRoman" w:cs="TimesNewRoman"/>
          <w:sz w:val="22"/>
          <w:szCs w:val="22"/>
        </w:rPr>
        <w:t>change of nonperforming assets</w:t>
      </w:r>
      <w:r>
        <w:rPr>
          <w:rFonts w:ascii="TimesNewRoman" w:hAnsi="TimesNewRoman" w:cs="TimesNewRoman"/>
          <w:sz w:val="22"/>
          <w:szCs w:val="22"/>
        </w:rPr>
        <w:t xml:space="preserve"> (NPA), which</w:t>
      </w:r>
      <w:r w:rsidR="002B3A80">
        <w:rPr>
          <w:rFonts w:ascii="TimesNewRoman" w:hAnsi="TimesNewRoman" w:cs="TimesNewRoman"/>
          <w:sz w:val="22"/>
          <w:szCs w:val="22"/>
        </w:rPr>
        <w:t xml:space="preserve"> is needed</w:t>
      </w:r>
      <w:r>
        <w:rPr>
          <w:rFonts w:ascii="TimesNewRoman" w:hAnsi="TimesNewRoman" w:cs="TimesNewRoman"/>
          <w:sz w:val="22"/>
          <w:szCs w:val="22"/>
        </w:rPr>
        <w:t xml:space="preserve"> to calculate the discretionary loan loss provisions</w:t>
      </w:r>
      <w:r w:rsidR="002B3A80">
        <w:rPr>
          <w:rFonts w:ascii="TimesNewRoman" w:hAnsi="TimesNewRoman" w:cs="TimesNewRoman"/>
          <w:sz w:val="22"/>
          <w:szCs w:val="22"/>
        </w:rPr>
        <w:t>. NP</w:t>
      </w:r>
      <w:r w:rsidR="00DD1905">
        <w:rPr>
          <w:rFonts w:ascii="TimesNewRoman" w:hAnsi="TimesNewRoman" w:cs="TimesNewRoman"/>
          <w:sz w:val="22"/>
          <w:szCs w:val="22"/>
        </w:rPr>
        <w:t xml:space="preserve">A is </w:t>
      </w:r>
      <w:r w:rsidR="00CF2B02">
        <w:rPr>
          <w:rFonts w:ascii="TimesNewRoman" w:hAnsi="TimesNewRoman" w:cs="TimesNewRoman"/>
          <w:sz w:val="22"/>
          <w:szCs w:val="22"/>
        </w:rPr>
        <w:t>available from 1993 to 2009</w:t>
      </w:r>
      <w:r w:rsidR="00DD1905">
        <w:rPr>
          <w:rFonts w:ascii="TimesNewRoman" w:hAnsi="TimesNewRoman" w:cs="TimesNewRoman"/>
          <w:sz w:val="22"/>
          <w:szCs w:val="22"/>
        </w:rPr>
        <w:t xml:space="preserve">, so </w:t>
      </w:r>
      <w:r w:rsidR="003333E9">
        <w:rPr>
          <w:rFonts w:ascii="TimesNewRoman" w:hAnsi="TimesNewRoman" w:cs="TimesNewRoman"/>
          <w:sz w:val="22"/>
          <w:szCs w:val="22"/>
        </w:rPr>
        <w:t>the calculation for</w:t>
      </w:r>
      <w:r w:rsidR="00DD1905">
        <w:rPr>
          <w:rFonts w:ascii="TimesNewRoman" w:hAnsi="TimesNewRoman" w:cs="TimesNewRoman"/>
          <w:sz w:val="22"/>
          <w:szCs w:val="22"/>
        </w:rPr>
        <w:t xml:space="preserve"> the changes in NPA </w:t>
      </w:r>
      <w:r w:rsidR="003333E9">
        <w:rPr>
          <w:rFonts w:ascii="TimesNewRoman" w:hAnsi="TimesNewRoman" w:cs="TimesNewRoman"/>
          <w:sz w:val="22"/>
          <w:szCs w:val="22"/>
        </w:rPr>
        <w:t>is only possible for</w:t>
      </w:r>
      <w:r w:rsidR="00DD1905">
        <w:rPr>
          <w:rFonts w:ascii="TimesNewRoman" w:hAnsi="TimesNewRoman" w:cs="TimesNewRoman"/>
          <w:sz w:val="22"/>
          <w:szCs w:val="22"/>
        </w:rPr>
        <w:t xml:space="preserve"> the </w:t>
      </w:r>
      <w:r w:rsidR="00CF2B02">
        <w:rPr>
          <w:rFonts w:ascii="TimesNewRoman" w:hAnsi="TimesNewRoman" w:cs="TimesNewRoman"/>
          <w:sz w:val="22"/>
          <w:szCs w:val="22"/>
        </w:rPr>
        <w:t>period 1994-2008</w:t>
      </w:r>
      <w:r w:rsidR="00DD1905">
        <w:rPr>
          <w:rFonts w:ascii="TimesNewRoman" w:hAnsi="TimesNewRoman" w:cs="TimesNewRoman"/>
          <w:sz w:val="22"/>
          <w:szCs w:val="22"/>
        </w:rPr>
        <w:t xml:space="preserve">. </w:t>
      </w:r>
      <w:r w:rsidR="00240885">
        <w:rPr>
          <w:rFonts w:ascii="TimesNewRoman" w:hAnsi="TimesNewRoman" w:cs="TimesNewRoman"/>
          <w:sz w:val="22"/>
          <w:szCs w:val="22"/>
        </w:rPr>
        <w:t xml:space="preserve">After matching the data of executive compensation with the necessary bank variables only the sample period </w:t>
      </w:r>
      <w:r w:rsidR="007672C9">
        <w:rPr>
          <w:rFonts w:ascii="TimesNewRoman" w:hAnsi="TimesNewRoman" w:cs="TimesNewRoman"/>
          <w:sz w:val="22"/>
          <w:szCs w:val="22"/>
        </w:rPr>
        <w:t xml:space="preserve">from 1998 till </w:t>
      </w:r>
      <w:r w:rsidR="00240885">
        <w:rPr>
          <w:rFonts w:ascii="TimesNewRoman" w:hAnsi="TimesNewRoman" w:cs="TimesNewRoman"/>
          <w:sz w:val="22"/>
          <w:szCs w:val="22"/>
        </w:rPr>
        <w:t>2008</w:t>
      </w:r>
      <w:r w:rsidR="007672C9">
        <w:rPr>
          <w:rFonts w:ascii="TimesNewRoman" w:hAnsi="TimesNewRoman" w:cs="TimesNewRoman"/>
          <w:sz w:val="22"/>
          <w:szCs w:val="22"/>
        </w:rPr>
        <w:t xml:space="preserve"> remains</w:t>
      </w:r>
      <w:r w:rsidR="00240885">
        <w:rPr>
          <w:rFonts w:ascii="TimesNewRoman" w:hAnsi="TimesNewRoman" w:cs="TimesNewRoman"/>
          <w:sz w:val="22"/>
          <w:szCs w:val="22"/>
        </w:rPr>
        <w:t>.</w:t>
      </w:r>
      <w:r w:rsidR="00E1376E">
        <w:rPr>
          <w:rFonts w:ascii="TimesNewRoman" w:hAnsi="TimesNewRoman" w:cs="TimesNewRoman"/>
          <w:sz w:val="22"/>
          <w:szCs w:val="22"/>
        </w:rPr>
        <w:t xml:space="preserve"> </w:t>
      </w:r>
      <w:r w:rsidR="00E1376E">
        <w:rPr>
          <w:sz w:val="22"/>
          <w:szCs w:val="22"/>
        </w:rPr>
        <w:t>The table below shows the initial and final sample of bank years:</w:t>
      </w:r>
    </w:p>
    <w:p w:rsidR="00E91E43" w:rsidRDefault="00E91E43" w:rsidP="00E5393E">
      <w:pPr>
        <w:spacing w:line="360" w:lineRule="auto"/>
        <w:jc w:val="both"/>
        <w:rPr>
          <w:sz w:val="22"/>
          <w:szCs w:val="22"/>
        </w:rPr>
      </w:pPr>
    </w:p>
    <w:p w:rsidR="00E91E43" w:rsidRPr="00477217" w:rsidRDefault="00E91E43" w:rsidP="00E91E43">
      <w:pPr>
        <w:tabs>
          <w:tab w:val="left" w:pos="3555"/>
        </w:tabs>
        <w:jc w:val="center"/>
        <w:rPr>
          <w:b/>
          <w:sz w:val="22"/>
          <w:szCs w:val="22"/>
        </w:rPr>
      </w:pPr>
      <w:r w:rsidRPr="00477217">
        <w:rPr>
          <w:b/>
          <w:sz w:val="22"/>
          <w:szCs w:val="22"/>
        </w:rPr>
        <w:t>Table 1</w:t>
      </w:r>
    </w:p>
    <w:p w:rsidR="00E91E43" w:rsidRPr="00477217" w:rsidRDefault="00E91E43" w:rsidP="00E91E43">
      <w:pPr>
        <w:tabs>
          <w:tab w:val="left" w:pos="3555"/>
        </w:tabs>
        <w:jc w:val="center"/>
        <w:rPr>
          <w:sz w:val="20"/>
          <w:szCs w:val="20"/>
        </w:rPr>
      </w:pPr>
      <w:r w:rsidRPr="00477217">
        <w:rPr>
          <w:sz w:val="20"/>
          <w:szCs w:val="20"/>
        </w:rPr>
        <w:t>Sample selection</w:t>
      </w:r>
    </w:p>
    <w:tbl>
      <w:tblPr>
        <w:tblW w:w="9014" w:type="dxa"/>
        <w:tblCellMar>
          <w:left w:w="70" w:type="dxa"/>
          <w:right w:w="70" w:type="dxa"/>
        </w:tblCellMar>
        <w:tblLook w:val="04A0"/>
      </w:tblPr>
      <w:tblGrid>
        <w:gridCol w:w="6134"/>
        <w:gridCol w:w="960"/>
        <w:gridCol w:w="960"/>
        <w:gridCol w:w="960"/>
      </w:tblGrid>
      <w:tr w:rsidR="00E91E43" w:rsidRPr="00477217" w:rsidTr="008F7280">
        <w:trPr>
          <w:trHeight w:val="330"/>
        </w:trPr>
        <w:tc>
          <w:tcPr>
            <w:tcW w:w="6134" w:type="dxa"/>
            <w:tcBorders>
              <w:top w:val="double" w:sz="4" w:space="0" w:color="auto"/>
              <w:left w:val="nil"/>
              <w:bottom w:val="single" w:sz="4" w:space="0" w:color="auto"/>
              <w:right w:val="nil"/>
            </w:tcBorders>
            <w:shd w:val="clear" w:color="auto" w:fill="auto"/>
            <w:noWrap/>
            <w:vAlign w:val="bottom"/>
            <w:hideMark/>
          </w:tcPr>
          <w:p w:rsidR="00E91E43" w:rsidRPr="00E91E43" w:rsidRDefault="00E91E43" w:rsidP="008F7280">
            <w:pPr>
              <w:rPr>
                <w:color w:val="000000"/>
                <w:sz w:val="20"/>
                <w:szCs w:val="20"/>
              </w:rPr>
            </w:pPr>
            <w:r w:rsidRPr="00E91E43">
              <w:rPr>
                <w:color w:val="000000"/>
                <w:sz w:val="20"/>
                <w:szCs w:val="20"/>
              </w:rPr>
              <w:t> </w:t>
            </w:r>
          </w:p>
        </w:tc>
        <w:tc>
          <w:tcPr>
            <w:tcW w:w="960" w:type="dxa"/>
            <w:tcBorders>
              <w:top w:val="double" w:sz="4" w:space="0" w:color="auto"/>
              <w:left w:val="nil"/>
              <w:bottom w:val="single" w:sz="4" w:space="0" w:color="auto"/>
              <w:right w:val="nil"/>
            </w:tcBorders>
            <w:shd w:val="clear" w:color="auto" w:fill="auto"/>
            <w:noWrap/>
            <w:vAlign w:val="bottom"/>
            <w:hideMark/>
          </w:tcPr>
          <w:p w:rsidR="00E91E43" w:rsidRPr="00E91E43" w:rsidRDefault="00E91E43" w:rsidP="008F7280">
            <w:pPr>
              <w:rPr>
                <w:color w:val="000000"/>
                <w:sz w:val="20"/>
                <w:szCs w:val="20"/>
              </w:rPr>
            </w:pPr>
            <w:r w:rsidRPr="00E91E43">
              <w:rPr>
                <w:color w:val="000000"/>
                <w:sz w:val="20"/>
                <w:szCs w:val="20"/>
              </w:rPr>
              <w:t> </w:t>
            </w:r>
          </w:p>
        </w:tc>
        <w:tc>
          <w:tcPr>
            <w:tcW w:w="1920" w:type="dxa"/>
            <w:gridSpan w:val="2"/>
            <w:tcBorders>
              <w:top w:val="double" w:sz="6" w:space="0" w:color="auto"/>
              <w:left w:val="nil"/>
              <w:bottom w:val="single" w:sz="4" w:space="0" w:color="auto"/>
              <w:right w:val="nil"/>
            </w:tcBorders>
            <w:shd w:val="clear" w:color="auto" w:fill="auto"/>
            <w:vAlign w:val="bottom"/>
            <w:hideMark/>
          </w:tcPr>
          <w:p w:rsidR="00E91E43" w:rsidRPr="00477217" w:rsidRDefault="00E91E43" w:rsidP="008F7280">
            <w:pPr>
              <w:jc w:val="center"/>
              <w:rPr>
                <w:i/>
                <w:iCs/>
                <w:color w:val="000000"/>
                <w:sz w:val="20"/>
                <w:szCs w:val="20"/>
              </w:rPr>
            </w:pPr>
            <w:r w:rsidRPr="00477217">
              <w:rPr>
                <w:i/>
                <w:iCs/>
                <w:color w:val="000000"/>
                <w:sz w:val="20"/>
                <w:szCs w:val="20"/>
              </w:rPr>
              <w:t>Number of bank years</w:t>
            </w:r>
          </w:p>
        </w:tc>
      </w:tr>
      <w:tr w:rsidR="00E91E43" w:rsidRPr="00477217" w:rsidTr="008F7280">
        <w:trPr>
          <w:trHeight w:val="390"/>
        </w:trPr>
        <w:tc>
          <w:tcPr>
            <w:tcW w:w="6134" w:type="dxa"/>
            <w:tcBorders>
              <w:top w:val="nil"/>
              <w:left w:val="nil"/>
              <w:bottom w:val="nil"/>
              <w:right w:val="nil"/>
            </w:tcBorders>
            <w:shd w:val="clear" w:color="auto" w:fill="auto"/>
            <w:vAlign w:val="bottom"/>
            <w:hideMark/>
          </w:tcPr>
          <w:p w:rsidR="00E91E43" w:rsidRPr="00477217" w:rsidRDefault="00E91E43" w:rsidP="008F7280">
            <w:pPr>
              <w:rPr>
                <w:color w:val="000000"/>
                <w:sz w:val="20"/>
                <w:szCs w:val="20"/>
              </w:rPr>
            </w:pPr>
            <w:r w:rsidRPr="00477217">
              <w:rPr>
                <w:color w:val="000000"/>
                <w:sz w:val="20"/>
                <w:szCs w:val="20"/>
              </w:rPr>
              <w:t>Initial sample of compensation data with SIC codes 6020 6035 6036</w:t>
            </w:r>
            <w:r>
              <w:rPr>
                <w:color w:val="000000"/>
                <w:sz w:val="20"/>
                <w:szCs w:val="20"/>
              </w:rPr>
              <w:t>:</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jc w:val="right"/>
              <w:rPr>
                <w:color w:val="000000"/>
                <w:sz w:val="20"/>
                <w:szCs w:val="20"/>
                <w:u w:val="single"/>
                <w:lang w:val="nl-NL"/>
              </w:rPr>
            </w:pPr>
            <w:r w:rsidRPr="00477217">
              <w:rPr>
                <w:color w:val="000000"/>
                <w:sz w:val="20"/>
                <w:szCs w:val="20"/>
                <w:u w:val="single"/>
                <w:lang w:val="nl-NL"/>
              </w:rPr>
              <w:t>1647</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420"/>
        </w:trPr>
        <w:tc>
          <w:tcPr>
            <w:tcW w:w="6134" w:type="dxa"/>
            <w:tcBorders>
              <w:top w:val="nil"/>
              <w:left w:val="nil"/>
              <w:bottom w:val="nil"/>
              <w:right w:val="nil"/>
            </w:tcBorders>
            <w:shd w:val="clear" w:color="auto" w:fill="auto"/>
            <w:vAlign w:val="bottom"/>
            <w:hideMark/>
          </w:tcPr>
          <w:p w:rsidR="00E91E43" w:rsidRPr="00477217" w:rsidRDefault="00E91E43" w:rsidP="008F7280">
            <w:pPr>
              <w:rPr>
                <w:color w:val="000000"/>
                <w:sz w:val="20"/>
                <w:szCs w:val="20"/>
              </w:rPr>
            </w:pPr>
            <w:r>
              <w:rPr>
                <w:color w:val="000000"/>
                <w:sz w:val="20"/>
                <w:szCs w:val="20"/>
              </w:rPr>
              <w:t>Remaining s</w:t>
            </w:r>
            <w:r w:rsidRPr="00477217">
              <w:rPr>
                <w:color w:val="000000"/>
                <w:sz w:val="20"/>
                <w:szCs w:val="20"/>
              </w:rPr>
              <w:t>ample of bank-years covering both CEO and CFO data</w:t>
            </w:r>
            <w:r>
              <w:rPr>
                <w:color w:val="000000"/>
                <w:sz w:val="20"/>
                <w:szCs w:val="20"/>
              </w:rPr>
              <w:t>:</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jc w:val="right"/>
              <w:rPr>
                <w:color w:val="000000"/>
                <w:sz w:val="20"/>
                <w:szCs w:val="20"/>
                <w:u w:val="single"/>
                <w:lang w:val="nl-NL"/>
              </w:rPr>
            </w:pPr>
            <w:r w:rsidRPr="00477217">
              <w:rPr>
                <w:color w:val="000000"/>
                <w:sz w:val="20"/>
                <w:szCs w:val="20"/>
                <w:u w:val="single"/>
                <w:lang w:val="nl-NL"/>
              </w:rPr>
              <w:t>1049</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285"/>
        </w:trPr>
        <w:tc>
          <w:tcPr>
            <w:tcW w:w="6134"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430"/>
        </w:trPr>
        <w:tc>
          <w:tcPr>
            <w:tcW w:w="6134" w:type="dxa"/>
            <w:tcBorders>
              <w:top w:val="nil"/>
              <w:left w:val="nil"/>
              <w:bottom w:val="nil"/>
              <w:right w:val="nil"/>
            </w:tcBorders>
            <w:shd w:val="clear" w:color="auto" w:fill="auto"/>
            <w:vAlign w:val="bottom"/>
            <w:hideMark/>
          </w:tcPr>
          <w:p w:rsidR="00E91E43" w:rsidRPr="00477217" w:rsidRDefault="00E91E43" w:rsidP="008F7280">
            <w:pPr>
              <w:rPr>
                <w:color w:val="000000"/>
                <w:sz w:val="20"/>
                <w:szCs w:val="20"/>
              </w:rPr>
            </w:pPr>
            <w:r w:rsidRPr="00477217">
              <w:rPr>
                <w:color w:val="000000"/>
                <w:sz w:val="20"/>
                <w:szCs w:val="20"/>
              </w:rPr>
              <w:t>Initial sample of bank variables found with TIC code from salary data</w:t>
            </w:r>
            <w:r>
              <w:rPr>
                <w:color w:val="000000"/>
                <w:sz w:val="20"/>
                <w:szCs w:val="20"/>
              </w:rPr>
              <w:t>:</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jc w:val="right"/>
              <w:rPr>
                <w:color w:val="000000"/>
                <w:sz w:val="20"/>
                <w:szCs w:val="20"/>
                <w:u w:val="single"/>
                <w:lang w:val="nl-NL"/>
              </w:rPr>
            </w:pPr>
            <w:r w:rsidRPr="00477217">
              <w:rPr>
                <w:color w:val="000000"/>
                <w:sz w:val="20"/>
                <w:szCs w:val="20"/>
                <w:u w:val="single"/>
                <w:lang w:val="nl-NL"/>
              </w:rPr>
              <w:t>2107</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600"/>
        </w:trPr>
        <w:tc>
          <w:tcPr>
            <w:tcW w:w="6134" w:type="dxa"/>
            <w:tcBorders>
              <w:top w:val="nil"/>
              <w:left w:val="nil"/>
              <w:bottom w:val="nil"/>
              <w:right w:val="nil"/>
            </w:tcBorders>
            <w:shd w:val="clear" w:color="auto" w:fill="auto"/>
            <w:vAlign w:val="bottom"/>
            <w:hideMark/>
          </w:tcPr>
          <w:p w:rsidR="00E91E43" w:rsidRPr="00477217" w:rsidRDefault="00E91E43" w:rsidP="008F7280">
            <w:pPr>
              <w:rPr>
                <w:color w:val="000000"/>
                <w:sz w:val="20"/>
                <w:szCs w:val="20"/>
              </w:rPr>
            </w:pPr>
            <w:r w:rsidRPr="00477217">
              <w:rPr>
                <w:color w:val="000000"/>
                <w:sz w:val="20"/>
                <w:szCs w:val="20"/>
              </w:rPr>
              <w:t>Sample with necessary data for estimating discretionary loan loss provisions and control variables</w:t>
            </w:r>
            <w:r>
              <w:rPr>
                <w:color w:val="000000"/>
                <w:sz w:val="20"/>
                <w:szCs w:val="20"/>
              </w:rPr>
              <w:t>:</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jc w:val="right"/>
              <w:rPr>
                <w:color w:val="000000"/>
                <w:sz w:val="20"/>
                <w:szCs w:val="20"/>
                <w:u w:val="single"/>
                <w:lang w:val="nl-NL"/>
              </w:rPr>
            </w:pPr>
            <w:r>
              <w:rPr>
                <w:color w:val="000000"/>
                <w:sz w:val="20"/>
                <w:szCs w:val="20"/>
                <w:u w:val="single"/>
                <w:lang w:val="nl-NL"/>
              </w:rPr>
              <w:t>1702</w:t>
            </w: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270"/>
        </w:trPr>
        <w:tc>
          <w:tcPr>
            <w:tcW w:w="6134"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c>
          <w:tcPr>
            <w:tcW w:w="960" w:type="dxa"/>
            <w:tcBorders>
              <w:top w:val="nil"/>
              <w:left w:val="nil"/>
              <w:bottom w:val="nil"/>
              <w:right w:val="nil"/>
            </w:tcBorders>
            <w:shd w:val="clear" w:color="auto" w:fill="auto"/>
            <w:noWrap/>
            <w:vAlign w:val="bottom"/>
            <w:hideMark/>
          </w:tcPr>
          <w:p w:rsidR="00E91E43" w:rsidRPr="00477217" w:rsidRDefault="00E91E43" w:rsidP="008F7280">
            <w:pPr>
              <w:rPr>
                <w:color w:val="000000"/>
                <w:sz w:val="20"/>
                <w:szCs w:val="20"/>
                <w:lang w:val="nl-NL"/>
              </w:rPr>
            </w:pPr>
          </w:p>
        </w:tc>
      </w:tr>
      <w:tr w:rsidR="00E91E43" w:rsidRPr="00477217" w:rsidTr="008F7280">
        <w:trPr>
          <w:trHeight w:val="547"/>
        </w:trPr>
        <w:tc>
          <w:tcPr>
            <w:tcW w:w="6134" w:type="dxa"/>
            <w:tcBorders>
              <w:top w:val="nil"/>
              <w:left w:val="nil"/>
              <w:bottom w:val="double" w:sz="6" w:space="0" w:color="auto"/>
              <w:right w:val="nil"/>
            </w:tcBorders>
            <w:shd w:val="clear" w:color="auto" w:fill="auto"/>
            <w:noWrap/>
            <w:vAlign w:val="bottom"/>
            <w:hideMark/>
          </w:tcPr>
          <w:p w:rsidR="00E91E43" w:rsidRPr="00477217" w:rsidRDefault="00E91E43" w:rsidP="008F7280">
            <w:pPr>
              <w:jc w:val="both"/>
              <w:rPr>
                <w:color w:val="000000"/>
                <w:sz w:val="20"/>
                <w:szCs w:val="20"/>
              </w:rPr>
            </w:pPr>
            <w:r w:rsidRPr="00477217">
              <w:rPr>
                <w:color w:val="000000"/>
                <w:sz w:val="20"/>
                <w:szCs w:val="20"/>
              </w:rPr>
              <w:t>Final sample containing both bank variables and executive equity incentives</w:t>
            </w:r>
            <w:r>
              <w:rPr>
                <w:color w:val="000000"/>
                <w:sz w:val="20"/>
                <w:szCs w:val="20"/>
              </w:rPr>
              <w:t>:</w:t>
            </w:r>
          </w:p>
        </w:tc>
        <w:tc>
          <w:tcPr>
            <w:tcW w:w="960" w:type="dxa"/>
            <w:tcBorders>
              <w:top w:val="nil"/>
              <w:left w:val="nil"/>
              <w:bottom w:val="double" w:sz="6" w:space="0" w:color="auto"/>
              <w:right w:val="nil"/>
            </w:tcBorders>
            <w:shd w:val="clear" w:color="auto" w:fill="auto"/>
            <w:noWrap/>
            <w:vAlign w:val="bottom"/>
            <w:hideMark/>
          </w:tcPr>
          <w:p w:rsidR="00E91E43" w:rsidRPr="00477217" w:rsidRDefault="00E91E43" w:rsidP="008F7280">
            <w:pPr>
              <w:rPr>
                <w:color w:val="000000"/>
                <w:sz w:val="20"/>
                <w:szCs w:val="20"/>
              </w:rPr>
            </w:pPr>
            <w:r w:rsidRPr="00477217">
              <w:rPr>
                <w:color w:val="000000"/>
                <w:sz w:val="20"/>
                <w:szCs w:val="20"/>
              </w:rPr>
              <w:t> </w:t>
            </w:r>
          </w:p>
        </w:tc>
        <w:tc>
          <w:tcPr>
            <w:tcW w:w="960" w:type="dxa"/>
            <w:tcBorders>
              <w:top w:val="nil"/>
              <w:left w:val="nil"/>
              <w:bottom w:val="double" w:sz="6" w:space="0" w:color="auto"/>
              <w:right w:val="nil"/>
            </w:tcBorders>
            <w:shd w:val="clear" w:color="auto" w:fill="auto"/>
            <w:noWrap/>
            <w:vAlign w:val="bottom"/>
            <w:hideMark/>
          </w:tcPr>
          <w:p w:rsidR="00E91E43" w:rsidRPr="00477217" w:rsidRDefault="00E91E43" w:rsidP="008F7280">
            <w:pPr>
              <w:rPr>
                <w:color w:val="000000"/>
                <w:sz w:val="20"/>
                <w:szCs w:val="20"/>
              </w:rPr>
            </w:pPr>
            <w:r w:rsidRPr="00477217">
              <w:rPr>
                <w:color w:val="000000"/>
                <w:sz w:val="20"/>
                <w:szCs w:val="20"/>
              </w:rPr>
              <w:t> </w:t>
            </w:r>
          </w:p>
        </w:tc>
        <w:tc>
          <w:tcPr>
            <w:tcW w:w="960" w:type="dxa"/>
            <w:tcBorders>
              <w:top w:val="nil"/>
              <w:left w:val="nil"/>
              <w:bottom w:val="double" w:sz="6" w:space="0" w:color="auto"/>
              <w:right w:val="nil"/>
            </w:tcBorders>
            <w:shd w:val="clear" w:color="auto" w:fill="auto"/>
            <w:noWrap/>
            <w:vAlign w:val="bottom"/>
            <w:hideMark/>
          </w:tcPr>
          <w:p w:rsidR="00E91E43" w:rsidRPr="00477217" w:rsidRDefault="00E91E43" w:rsidP="008F7280">
            <w:pPr>
              <w:jc w:val="right"/>
              <w:rPr>
                <w:b/>
                <w:color w:val="000000"/>
                <w:sz w:val="20"/>
                <w:szCs w:val="20"/>
                <w:lang w:val="nl-NL"/>
              </w:rPr>
            </w:pPr>
            <w:r w:rsidRPr="00477217">
              <w:rPr>
                <w:b/>
                <w:color w:val="000000"/>
                <w:sz w:val="20"/>
                <w:szCs w:val="20"/>
                <w:lang w:val="nl-NL"/>
              </w:rPr>
              <w:t>736</w:t>
            </w:r>
          </w:p>
        </w:tc>
      </w:tr>
    </w:tbl>
    <w:p w:rsidR="00E72728" w:rsidRDefault="00E72728" w:rsidP="00E5393E">
      <w:pPr>
        <w:spacing w:line="360" w:lineRule="auto"/>
        <w:jc w:val="both"/>
        <w:rPr>
          <w:rFonts w:ascii="TimesNewRoman" w:hAnsi="TimesNewRoman" w:cs="TimesNewRoman"/>
          <w:sz w:val="22"/>
          <w:szCs w:val="22"/>
        </w:rPr>
      </w:pPr>
    </w:p>
    <w:p w:rsidR="000072DC" w:rsidRDefault="000072DC" w:rsidP="00E5393E">
      <w:pPr>
        <w:spacing w:line="360" w:lineRule="auto"/>
        <w:jc w:val="both"/>
        <w:rPr>
          <w:rFonts w:ascii="TimesNewRoman" w:hAnsi="TimesNewRoman" w:cs="TimesNewRoman"/>
          <w:sz w:val="22"/>
          <w:szCs w:val="22"/>
        </w:rPr>
      </w:pPr>
    </w:p>
    <w:p w:rsidR="00993EFA" w:rsidRDefault="00F35766" w:rsidP="00E5393E">
      <w:pPr>
        <w:spacing w:line="360" w:lineRule="auto"/>
        <w:jc w:val="both"/>
        <w:rPr>
          <w:sz w:val="22"/>
          <w:szCs w:val="22"/>
        </w:rPr>
      </w:pPr>
      <w:r>
        <w:rPr>
          <w:rFonts w:ascii="TimesNewRoman" w:hAnsi="TimesNewRoman" w:cs="TimesNewRoman"/>
          <w:sz w:val="22"/>
          <w:szCs w:val="22"/>
        </w:rPr>
        <w:t xml:space="preserve">The sample selection </w:t>
      </w:r>
      <w:r w:rsidR="00467BB9">
        <w:rPr>
          <w:rFonts w:ascii="TimesNewRoman" w:hAnsi="TimesNewRoman" w:cs="TimesNewRoman"/>
          <w:sz w:val="22"/>
          <w:szCs w:val="22"/>
        </w:rPr>
        <w:t>begins</w:t>
      </w:r>
      <w:r w:rsidR="00E91E43">
        <w:rPr>
          <w:rFonts w:ascii="TimesNewRoman" w:hAnsi="TimesNewRoman" w:cs="TimesNewRoman"/>
          <w:sz w:val="22"/>
          <w:szCs w:val="22"/>
        </w:rPr>
        <w:t xml:space="preserve"> with collecting compensation data of both CEO and CFO for the period 1994-2008 from the </w:t>
      </w:r>
      <w:proofErr w:type="spellStart"/>
      <w:r w:rsidR="00E91E43">
        <w:rPr>
          <w:rFonts w:ascii="TimesNewRoman" w:hAnsi="TimesNewRoman" w:cs="TimesNewRoman"/>
          <w:sz w:val="22"/>
          <w:szCs w:val="22"/>
        </w:rPr>
        <w:t>Execucomp</w:t>
      </w:r>
      <w:proofErr w:type="spellEnd"/>
      <w:r w:rsidR="00E91E43">
        <w:rPr>
          <w:rFonts w:ascii="TimesNewRoman" w:hAnsi="TimesNewRoman" w:cs="TimesNewRoman"/>
          <w:sz w:val="22"/>
          <w:szCs w:val="22"/>
        </w:rPr>
        <w:t xml:space="preserve"> database using the SIC codes 6020, 6035 and 6036. </w:t>
      </w:r>
      <w:r w:rsidR="00E14394">
        <w:rPr>
          <w:rFonts w:ascii="TimesNewRoman" w:hAnsi="TimesNewRoman" w:cs="TimesNewRoman"/>
          <w:sz w:val="22"/>
          <w:szCs w:val="22"/>
        </w:rPr>
        <w:t xml:space="preserve">Initially </w:t>
      </w:r>
      <w:r w:rsidR="0055608E">
        <w:rPr>
          <w:rFonts w:ascii="TimesNewRoman" w:hAnsi="TimesNewRoman" w:cs="TimesNewRoman"/>
          <w:sz w:val="22"/>
          <w:szCs w:val="22"/>
        </w:rPr>
        <w:t>the</w:t>
      </w:r>
      <w:r w:rsidR="003333E9">
        <w:rPr>
          <w:rFonts w:ascii="TimesNewRoman" w:hAnsi="TimesNewRoman" w:cs="TimesNewRoman"/>
          <w:sz w:val="22"/>
          <w:szCs w:val="22"/>
        </w:rPr>
        <w:t xml:space="preserve"> SIC codes 6021 and 6022</w:t>
      </w:r>
      <w:r w:rsidR="00E14394">
        <w:rPr>
          <w:rFonts w:ascii="TimesNewRoman" w:hAnsi="TimesNewRoman" w:cs="TimesNewRoman"/>
          <w:sz w:val="22"/>
          <w:szCs w:val="22"/>
        </w:rPr>
        <w:t xml:space="preserve"> were also included, but </w:t>
      </w:r>
      <w:proofErr w:type="spellStart"/>
      <w:r w:rsidR="00E14394">
        <w:rPr>
          <w:rFonts w:ascii="TimesNewRoman" w:hAnsi="TimesNewRoman" w:cs="TimesNewRoman"/>
          <w:sz w:val="22"/>
          <w:szCs w:val="22"/>
        </w:rPr>
        <w:t>Execucomp</w:t>
      </w:r>
      <w:proofErr w:type="spellEnd"/>
      <w:r w:rsidR="00E14394">
        <w:rPr>
          <w:rFonts w:ascii="TimesNewRoman" w:hAnsi="TimesNewRoman" w:cs="TimesNewRoman"/>
          <w:sz w:val="22"/>
          <w:szCs w:val="22"/>
        </w:rPr>
        <w:t xml:space="preserve"> doesn’t </w:t>
      </w:r>
      <w:r w:rsidR="005916A3">
        <w:rPr>
          <w:rFonts w:ascii="TimesNewRoman" w:hAnsi="TimesNewRoman" w:cs="TimesNewRoman"/>
          <w:sz w:val="22"/>
          <w:szCs w:val="22"/>
        </w:rPr>
        <w:t>provide</w:t>
      </w:r>
      <w:r w:rsidR="00240885">
        <w:rPr>
          <w:rFonts w:ascii="TimesNewRoman" w:hAnsi="TimesNewRoman" w:cs="TimesNewRoman"/>
          <w:sz w:val="22"/>
          <w:szCs w:val="22"/>
        </w:rPr>
        <w:t xml:space="preserve"> information</w:t>
      </w:r>
      <w:r w:rsidR="00E14394">
        <w:rPr>
          <w:rFonts w:ascii="TimesNewRoman" w:hAnsi="TimesNewRoman" w:cs="TimesNewRoman"/>
          <w:sz w:val="22"/>
          <w:szCs w:val="22"/>
        </w:rPr>
        <w:t xml:space="preserve"> </w:t>
      </w:r>
      <w:r w:rsidR="005916A3">
        <w:rPr>
          <w:rFonts w:ascii="TimesNewRoman" w:hAnsi="TimesNewRoman" w:cs="TimesNewRoman"/>
          <w:sz w:val="22"/>
          <w:szCs w:val="22"/>
        </w:rPr>
        <w:t>for</w:t>
      </w:r>
      <w:r w:rsidR="00E14394">
        <w:rPr>
          <w:rFonts w:ascii="TimesNewRoman" w:hAnsi="TimesNewRoman" w:cs="TimesNewRoman"/>
          <w:sz w:val="22"/>
          <w:szCs w:val="22"/>
        </w:rPr>
        <w:t xml:space="preserve"> these firms</w:t>
      </w:r>
      <w:r w:rsidR="0055608E">
        <w:rPr>
          <w:rFonts w:ascii="TimesNewRoman" w:hAnsi="TimesNewRoman" w:cs="TimesNewRoman"/>
          <w:sz w:val="22"/>
          <w:szCs w:val="22"/>
        </w:rPr>
        <w:t>.</w:t>
      </w:r>
      <w:r w:rsidR="00E14394">
        <w:rPr>
          <w:rFonts w:ascii="TimesNewRoman" w:hAnsi="TimesNewRoman" w:cs="TimesNewRoman"/>
          <w:sz w:val="22"/>
          <w:szCs w:val="22"/>
        </w:rPr>
        <w:t xml:space="preserve"> </w:t>
      </w:r>
      <w:r w:rsidR="00DD1905">
        <w:rPr>
          <w:rFonts w:ascii="TimesNewRoman" w:hAnsi="TimesNewRoman" w:cs="TimesNewRoman"/>
          <w:sz w:val="22"/>
          <w:szCs w:val="22"/>
        </w:rPr>
        <w:t>CEOs</w:t>
      </w:r>
      <w:r>
        <w:rPr>
          <w:rFonts w:ascii="TimesNewRoman" w:hAnsi="TimesNewRoman" w:cs="TimesNewRoman"/>
          <w:sz w:val="22"/>
          <w:szCs w:val="22"/>
        </w:rPr>
        <w:t xml:space="preserve"> are identified with</w:t>
      </w:r>
      <w:r w:rsidR="005916A3">
        <w:rPr>
          <w:rFonts w:ascii="TimesNewRoman" w:hAnsi="TimesNewRoman" w:cs="TimesNewRoman"/>
          <w:sz w:val="22"/>
          <w:szCs w:val="22"/>
        </w:rPr>
        <w:t xml:space="preserve"> </w:t>
      </w:r>
      <w:r w:rsidR="00EE7E94">
        <w:rPr>
          <w:rFonts w:ascii="TimesNewRoman" w:hAnsi="TimesNewRoman" w:cs="TimesNewRoman"/>
          <w:sz w:val="22"/>
          <w:szCs w:val="22"/>
        </w:rPr>
        <w:t>the</w:t>
      </w:r>
      <w:r w:rsidR="00DD1905">
        <w:rPr>
          <w:rFonts w:ascii="TimesNewRoman" w:hAnsi="TimesNewRoman" w:cs="TimesNewRoman"/>
          <w:sz w:val="22"/>
          <w:szCs w:val="22"/>
        </w:rPr>
        <w:t xml:space="preserve"> data items </w:t>
      </w:r>
      <w:r w:rsidR="006C0ED2">
        <w:rPr>
          <w:rFonts w:ascii="TimesNewRoman" w:hAnsi="TimesNewRoman" w:cs="TimesNewRoman"/>
          <w:sz w:val="22"/>
          <w:szCs w:val="22"/>
        </w:rPr>
        <w:t>“</w:t>
      </w:r>
      <w:r w:rsidR="00240885">
        <w:rPr>
          <w:rFonts w:ascii="TimesNewRoman" w:hAnsi="TimesNewRoman" w:cs="TimesNewRoman"/>
          <w:sz w:val="22"/>
          <w:szCs w:val="22"/>
        </w:rPr>
        <w:t>CEOANN</w:t>
      </w:r>
      <w:r w:rsidR="006C0ED2">
        <w:rPr>
          <w:rFonts w:ascii="TimesNewRoman" w:hAnsi="TimesNewRoman" w:cs="TimesNewRoman"/>
          <w:sz w:val="22"/>
          <w:szCs w:val="22"/>
        </w:rPr>
        <w:t>”</w:t>
      </w:r>
      <w:r w:rsidR="005916A3">
        <w:rPr>
          <w:rFonts w:ascii="TimesNewRoman" w:hAnsi="TimesNewRoman" w:cs="TimesNewRoman"/>
          <w:sz w:val="22"/>
          <w:szCs w:val="22"/>
        </w:rPr>
        <w:t xml:space="preserve"> </w:t>
      </w:r>
      <w:r w:rsidR="006C0ED2">
        <w:rPr>
          <w:rFonts w:ascii="TimesNewRoman" w:hAnsi="TimesNewRoman" w:cs="TimesNewRoman"/>
          <w:sz w:val="22"/>
          <w:szCs w:val="22"/>
        </w:rPr>
        <w:t>and “</w:t>
      </w:r>
      <w:proofErr w:type="spellStart"/>
      <w:r w:rsidR="00DD1905">
        <w:rPr>
          <w:rFonts w:ascii="TimesNewRoman" w:hAnsi="TimesNewRoman" w:cs="TimesNewRoman"/>
          <w:sz w:val="22"/>
          <w:szCs w:val="22"/>
        </w:rPr>
        <w:t>CurrentCEO</w:t>
      </w:r>
      <w:proofErr w:type="spellEnd"/>
      <w:r w:rsidR="006C0ED2">
        <w:rPr>
          <w:rFonts w:ascii="TimesNewRoman" w:hAnsi="TimesNewRoman" w:cs="TimesNewRoman"/>
          <w:sz w:val="22"/>
          <w:szCs w:val="22"/>
        </w:rPr>
        <w:t>”</w:t>
      </w:r>
      <w:r w:rsidR="00DD1905">
        <w:rPr>
          <w:rFonts w:ascii="TimesNewRoman" w:hAnsi="TimesNewRoman" w:cs="TimesNewRoman"/>
          <w:sz w:val="22"/>
          <w:szCs w:val="22"/>
        </w:rPr>
        <w:t>.</w:t>
      </w:r>
      <w:r w:rsidR="005916A3">
        <w:rPr>
          <w:rFonts w:ascii="TimesNewRoman" w:hAnsi="TimesNewRoman" w:cs="TimesNewRoman"/>
          <w:sz w:val="22"/>
          <w:szCs w:val="22"/>
        </w:rPr>
        <w:t xml:space="preserve"> </w:t>
      </w:r>
      <w:r w:rsidR="006C0ED2">
        <w:rPr>
          <w:rFonts w:ascii="TimesNewRoman" w:hAnsi="TimesNewRoman" w:cs="TimesNewRoman"/>
          <w:sz w:val="22"/>
          <w:szCs w:val="22"/>
        </w:rPr>
        <w:t>To</w:t>
      </w:r>
      <w:r w:rsidR="002C7ACE">
        <w:rPr>
          <w:rFonts w:ascii="TimesNewRoman" w:hAnsi="TimesNewRoman" w:cs="TimesNewRoman"/>
          <w:sz w:val="22"/>
          <w:szCs w:val="22"/>
        </w:rPr>
        <w:t xml:space="preserve"> identify </w:t>
      </w:r>
      <w:r w:rsidR="00923B41">
        <w:rPr>
          <w:rFonts w:ascii="TimesNewRoman" w:hAnsi="TimesNewRoman" w:cs="TimesNewRoman"/>
          <w:sz w:val="22"/>
          <w:szCs w:val="22"/>
        </w:rPr>
        <w:t>CFOs</w:t>
      </w:r>
      <w:r w:rsidR="0055608E">
        <w:rPr>
          <w:rFonts w:ascii="TimesNewRoman" w:hAnsi="TimesNewRoman" w:cs="TimesNewRoman"/>
          <w:sz w:val="22"/>
          <w:szCs w:val="22"/>
        </w:rPr>
        <w:t xml:space="preserve">, </w:t>
      </w:r>
      <w:r w:rsidR="00EE7E94">
        <w:rPr>
          <w:rFonts w:ascii="TimesNewRoman" w:hAnsi="TimesNewRoman" w:cs="TimesNewRoman"/>
          <w:sz w:val="22"/>
          <w:szCs w:val="22"/>
        </w:rPr>
        <w:t xml:space="preserve">the </w:t>
      </w:r>
      <w:r w:rsidR="00E72728">
        <w:rPr>
          <w:rFonts w:ascii="TimesNewRoman" w:hAnsi="TimesNewRoman" w:cs="TimesNewRoman"/>
          <w:sz w:val="22"/>
          <w:szCs w:val="22"/>
        </w:rPr>
        <w:t xml:space="preserve">following </w:t>
      </w:r>
      <w:r w:rsidR="00E5393E">
        <w:rPr>
          <w:rFonts w:ascii="TimesNewRoman" w:hAnsi="TimesNewRoman" w:cs="TimesNewRoman"/>
          <w:sz w:val="22"/>
          <w:szCs w:val="22"/>
        </w:rPr>
        <w:t>data items</w:t>
      </w:r>
      <w:r w:rsidR="00E72728">
        <w:rPr>
          <w:rFonts w:ascii="TimesNewRoman" w:hAnsi="TimesNewRoman" w:cs="TimesNewRoman"/>
          <w:sz w:val="22"/>
          <w:szCs w:val="22"/>
        </w:rPr>
        <w:t xml:space="preserve"> are used:</w:t>
      </w:r>
      <w:r w:rsidR="00E5393E">
        <w:rPr>
          <w:rFonts w:ascii="TimesNewRoman" w:hAnsi="TimesNewRoman" w:cs="TimesNewRoman"/>
          <w:sz w:val="22"/>
          <w:szCs w:val="22"/>
        </w:rPr>
        <w:t xml:space="preserve"> </w:t>
      </w:r>
      <w:r w:rsidR="006C0ED2">
        <w:rPr>
          <w:rFonts w:ascii="TimesNewRoman" w:hAnsi="TimesNewRoman" w:cs="TimesNewRoman"/>
          <w:sz w:val="22"/>
          <w:szCs w:val="22"/>
        </w:rPr>
        <w:t>“Annual CFO Flag”, “</w:t>
      </w:r>
      <w:proofErr w:type="spellStart"/>
      <w:r w:rsidR="00E5393E">
        <w:rPr>
          <w:rFonts w:ascii="TimesNewRoman" w:hAnsi="TimesNewRoman" w:cs="TimesNewRoman"/>
          <w:sz w:val="22"/>
          <w:szCs w:val="22"/>
        </w:rPr>
        <w:t>CurrentCFO</w:t>
      </w:r>
      <w:proofErr w:type="spellEnd"/>
      <w:r w:rsidR="006C0ED2">
        <w:rPr>
          <w:rFonts w:ascii="TimesNewRoman" w:hAnsi="TimesNewRoman" w:cs="TimesNewRoman"/>
          <w:sz w:val="22"/>
          <w:szCs w:val="22"/>
        </w:rPr>
        <w:t>”</w:t>
      </w:r>
      <w:r w:rsidR="00E5393E">
        <w:rPr>
          <w:rFonts w:ascii="TimesNewRoman" w:hAnsi="TimesNewRoman" w:cs="TimesNewRoman"/>
          <w:sz w:val="22"/>
          <w:szCs w:val="22"/>
        </w:rPr>
        <w:t xml:space="preserve"> and </w:t>
      </w:r>
      <w:r w:rsidR="0055608E">
        <w:rPr>
          <w:rFonts w:ascii="TimesNewRoman" w:hAnsi="TimesNewRoman" w:cs="TimesNewRoman"/>
          <w:sz w:val="22"/>
          <w:szCs w:val="22"/>
        </w:rPr>
        <w:t>“</w:t>
      </w:r>
      <w:proofErr w:type="spellStart"/>
      <w:r w:rsidR="0055608E">
        <w:rPr>
          <w:rFonts w:ascii="TimesNewRoman" w:hAnsi="TimesNewRoman" w:cs="TimesNewRoman"/>
          <w:sz w:val="22"/>
          <w:szCs w:val="22"/>
        </w:rPr>
        <w:t>Titleann</w:t>
      </w:r>
      <w:proofErr w:type="spellEnd"/>
      <w:r w:rsidR="0055608E">
        <w:rPr>
          <w:rFonts w:ascii="TimesNewRoman" w:hAnsi="TimesNewRoman" w:cs="TimesNewRoman"/>
          <w:sz w:val="22"/>
          <w:szCs w:val="22"/>
        </w:rPr>
        <w:t xml:space="preserve">” </w:t>
      </w:r>
      <w:r w:rsidR="00D563E5">
        <w:rPr>
          <w:rFonts w:ascii="TimesNewRoman" w:hAnsi="TimesNewRoman" w:cs="TimesNewRoman"/>
          <w:sz w:val="22"/>
          <w:szCs w:val="22"/>
        </w:rPr>
        <w:t>with</w:t>
      </w:r>
      <w:r w:rsidR="00E5393E">
        <w:rPr>
          <w:rFonts w:ascii="TimesNewRoman" w:hAnsi="TimesNewRoman" w:cs="TimesNewRoman"/>
          <w:sz w:val="22"/>
          <w:szCs w:val="22"/>
        </w:rPr>
        <w:t xml:space="preserve"> </w:t>
      </w:r>
      <w:r w:rsidR="00D563E5">
        <w:rPr>
          <w:rFonts w:ascii="TimesNewRoman" w:hAnsi="TimesNewRoman" w:cs="TimesNewRoman"/>
          <w:sz w:val="22"/>
          <w:szCs w:val="22"/>
        </w:rPr>
        <w:t xml:space="preserve">the </w:t>
      </w:r>
      <w:r w:rsidR="0055608E">
        <w:rPr>
          <w:rFonts w:ascii="TimesNewRoman" w:hAnsi="TimesNewRoman" w:cs="TimesNewRoman"/>
          <w:sz w:val="22"/>
          <w:szCs w:val="22"/>
        </w:rPr>
        <w:t>titles</w:t>
      </w:r>
      <w:r w:rsidR="00E5393E">
        <w:rPr>
          <w:rFonts w:ascii="TimesNewRoman" w:hAnsi="TimesNewRoman" w:cs="TimesNewRoman"/>
          <w:sz w:val="22"/>
          <w:szCs w:val="22"/>
        </w:rPr>
        <w:t xml:space="preserve">: </w:t>
      </w:r>
      <w:r w:rsidR="00E5393E" w:rsidRPr="00E5393E">
        <w:rPr>
          <w:sz w:val="22"/>
          <w:szCs w:val="22"/>
        </w:rPr>
        <w:t>CFO, chief financial officer, treasurer, controller, finance, and vice president-finance</w:t>
      </w:r>
      <w:r w:rsidR="00281BD9">
        <w:rPr>
          <w:sz w:val="22"/>
          <w:szCs w:val="22"/>
        </w:rPr>
        <w:t xml:space="preserve"> (Jiang et al 2010)</w:t>
      </w:r>
      <w:r w:rsidR="00E5393E">
        <w:rPr>
          <w:sz w:val="22"/>
          <w:szCs w:val="22"/>
        </w:rPr>
        <w:t>.</w:t>
      </w:r>
      <w:r w:rsidR="000D7255">
        <w:rPr>
          <w:sz w:val="22"/>
          <w:szCs w:val="22"/>
        </w:rPr>
        <w:t xml:space="preserve"> </w:t>
      </w:r>
      <w:r>
        <w:rPr>
          <w:sz w:val="22"/>
          <w:szCs w:val="22"/>
        </w:rPr>
        <w:t xml:space="preserve">Only </w:t>
      </w:r>
      <w:r w:rsidR="00C97BFD">
        <w:rPr>
          <w:sz w:val="22"/>
          <w:szCs w:val="22"/>
        </w:rPr>
        <w:t>b</w:t>
      </w:r>
      <w:r w:rsidR="00C97BFD">
        <w:rPr>
          <w:rFonts w:ascii="TimesNewRoman" w:hAnsi="TimesNewRoman" w:cs="TimesNewRoman"/>
          <w:sz w:val="22"/>
          <w:szCs w:val="22"/>
        </w:rPr>
        <w:t xml:space="preserve">ank years </w:t>
      </w:r>
      <w:r>
        <w:rPr>
          <w:rFonts w:ascii="TimesNewRoman" w:hAnsi="TimesNewRoman" w:cs="TimesNewRoman"/>
          <w:sz w:val="22"/>
          <w:szCs w:val="22"/>
        </w:rPr>
        <w:t>covering both</w:t>
      </w:r>
      <w:r w:rsidR="00C97BFD">
        <w:rPr>
          <w:rFonts w:ascii="TimesNewRoman" w:hAnsi="TimesNewRoman" w:cs="TimesNewRoman"/>
          <w:sz w:val="22"/>
          <w:szCs w:val="22"/>
        </w:rPr>
        <w:t xml:space="preserve"> CEO </w:t>
      </w:r>
      <w:r>
        <w:rPr>
          <w:rFonts w:ascii="TimesNewRoman" w:hAnsi="TimesNewRoman" w:cs="TimesNewRoman"/>
          <w:sz w:val="22"/>
          <w:szCs w:val="22"/>
        </w:rPr>
        <w:t xml:space="preserve">and </w:t>
      </w:r>
      <w:r w:rsidR="00C97BFD">
        <w:rPr>
          <w:rFonts w:ascii="TimesNewRoman" w:hAnsi="TimesNewRoman" w:cs="TimesNewRoman"/>
          <w:sz w:val="22"/>
          <w:szCs w:val="22"/>
        </w:rPr>
        <w:t xml:space="preserve">CFO compensation are </w:t>
      </w:r>
      <w:r>
        <w:rPr>
          <w:rFonts w:ascii="TimesNewRoman" w:hAnsi="TimesNewRoman" w:cs="TimesNewRoman"/>
          <w:sz w:val="22"/>
          <w:szCs w:val="22"/>
        </w:rPr>
        <w:t>used</w:t>
      </w:r>
      <w:r w:rsidR="00C97BFD">
        <w:rPr>
          <w:rFonts w:ascii="TimesNewRoman" w:hAnsi="TimesNewRoman" w:cs="TimesNewRoman"/>
          <w:sz w:val="22"/>
          <w:szCs w:val="22"/>
        </w:rPr>
        <w:t xml:space="preserve">, resulting in </w:t>
      </w:r>
      <w:r w:rsidR="00FB6628">
        <w:rPr>
          <w:sz w:val="22"/>
          <w:szCs w:val="22"/>
        </w:rPr>
        <w:t>1</w:t>
      </w:r>
      <w:r w:rsidR="00817DC3">
        <w:rPr>
          <w:sz w:val="22"/>
          <w:szCs w:val="22"/>
        </w:rPr>
        <w:t>04</w:t>
      </w:r>
      <w:r w:rsidR="00E91E43">
        <w:rPr>
          <w:sz w:val="22"/>
          <w:szCs w:val="22"/>
        </w:rPr>
        <w:t>9</w:t>
      </w:r>
      <w:r>
        <w:rPr>
          <w:sz w:val="22"/>
          <w:szCs w:val="22"/>
        </w:rPr>
        <w:t xml:space="preserve"> bank-years</w:t>
      </w:r>
      <w:r w:rsidR="00C97BFD">
        <w:rPr>
          <w:sz w:val="22"/>
          <w:szCs w:val="22"/>
        </w:rPr>
        <w:t>.</w:t>
      </w:r>
    </w:p>
    <w:p w:rsidR="00993EFA" w:rsidRDefault="00993EFA" w:rsidP="00E5393E">
      <w:pPr>
        <w:spacing w:line="360" w:lineRule="auto"/>
        <w:jc w:val="both"/>
        <w:rPr>
          <w:sz w:val="22"/>
          <w:szCs w:val="22"/>
        </w:rPr>
      </w:pPr>
    </w:p>
    <w:p w:rsidR="008B0E8D" w:rsidRDefault="008A4913" w:rsidP="00E5393E">
      <w:pPr>
        <w:spacing w:line="360" w:lineRule="auto"/>
        <w:jc w:val="both"/>
        <w:rPr>
          <w:sz w:val="22"/>
          <w:szCs w:val="22"/>
        </w:rPr>
      </w:pPr>
      <w:r>
        <w:rPr>
          <w:sz w:val="22"/>
          <w:szCs w:val="22"/>
        </w:rPr>
        <w:t>After that</w:t>
      </w:r>
      <w:r w:rsidR="00993EFA">
        <w:rPr>
          <w:sz w:val="22"/>
          <w:szCs w:val="22"/>
        </w:rPr>
        <w:t>,</w:t>
      </w:r>
      <w:r w:rsidR="00C97BFD">
        <w:rPr>
          <w:rFonts w:ascii="TimesNewRoman" w:hAnsi="TimesNewRoman" w:cs="TimesNewRoman"/>
          <w:sz w:val="22"/>
          <w:szCs w:val="22"/>
        </w:rPr>
        <w:t xml:space="preserve"> </w:t>
      </w:r>
      <w:r w:rsidR="00942CDF">
        <w:rPr>
          <w:rFonts w:ascii="TimesNewRoman" w:hAnsi="TimesNewRoman" w:cs="TimesNewRoman"/>
          <w:sz w:val="22"/>
          <w:szCs w:val="22"/>
        </w:rPr>
        <w:t>the TICKER symbol</w:t>
      </w:r>
      <w:r w:rsidR="00E91E43">
        <w:rPr>
          <w:rFonts w:ascii="TimesNewRoman" w:hAnsi="TimesNewRoman" w:cs="TimesNewRoman"/>
          <w:sz w:val="22"/>
          <w:szCs w:val="22"/>
        </w:rPr>
        <w:t xml:space="preserve"> from </w:t>
      </w:r>
      <w:r w:rsidR="00C97BFD">
        <w:rPr>
          <w:rFonts w:ascii="TimesNewRoman" w:hAnsi="TimesNewRoman" w:cs="TimesNewRoman"/>
          <w:sz w:val="22"/>
          <w:szCs w:val="22"/>
        </w:rPr>
        <w:t xml:space="preserve">the compensation </w:t>
      </w:r>
      <w:r>
        <w:rPr>
          <w:rFonts w:ascii="TimesNewRoman" w:hAnsi="TimesNewRoman" w:cs="TimesNewRoman"/>
          <w:sz w:val="22"/>
          <w:szCs w:val="22"/>
        </w:rPr>
        <w:t xml:space="preserve">sample is used </w:t>
      </w:r>
      <w:r w:rsidR="00C97BFD">
        <w:rPr>
          <w:rFonts w:ascii="TimesNewRoman" w:hAnsi="TimesNewRoman" w:cs="TimesNewRoman"/>
          <w:sz w:val="22"/>
          <w:szCs w:val="22"/>
        </w:rPr>
        <w:t>to find the banks variables in the period 1993-200</w:t>
      </w:r>
      <w:r>
        <w:rPr>
          <w:rFonts w:ascii="TimesNewRoman" w:hAnsi="TimesNewRoman" w:cs="TimesNewRoman"/>
          <w:sz w:val="22"/>
          <w:szCs w:val="22"/>
        </w:rPr>
        <w:t>9</w:t>
      </w:r>
      <w:r w:rsidR="00C97BFD">
        <w:rPr>
          <w:rFonts w:ascii="TimesNewRoman" w:hAnsi="TimesNewRoman" w:cs="TimesNewRoman"/>
          <w:sz w:val="22"/>
          <w:szCs w:val="22"/>
        </w:rPr>
        <w:t xml:space="preserve">. </w:t>
      </w:r>
      <w:r w:rsidR="00240885">
        <w:rPr>
          <w:rFonts w:ascii="TimesNewRoman" w:hAnsi="TimesNewRoman" w:cs="TimesNewRoman"/>
          <w:sz w:val="22"/>
          <w:szCs w:val="22"/>
        </w:rPr>
        <w:t xml:space="preserve">The bank data are obtained from </w:t>
      </w:r>
      <w:proofErr w:type="spellStart"/>
      <w:r w:rsidR="00240885">
        <w:rPr>
          <w:rFonts w:ascii="TimesNewRoman" w:hAnsi="TimesNewRoman" w:cs="TimesNewRoman"/>
          <w:sz w:val="22"/>
          <w:szCs w:val="22"/>
        </w:rPr>
        <w:t>Compustat</w:t>
      </w:r>
      <w:proofErr w:type="spellEnd"/>
      <w:r w:rsidR="00240885">
        <w:rPr>
          <w:rFonts w:ascii="TimesNewRoman" w:hAnsi="TimesNewRoman" w:cs="TimesNewRoman"/>
          <w:sz w:val="22"/>
          <w:szCs w:val="22"/>
        </w:rPr>
        <w:t xml:space="preserve"> Banks and North America. </w:t>
      </w:r>
      <w:r w:rsidR="00E91E43">
        <w:rPr>
          <w:rFonts w:ascii="TimesNewRoman" w:hAnsi="TimesNewRoman" w:cs="TimesNewRoman"/>
          <w:sz w:val="22"/>
          <w:szCs w:val="22"/>
        </w:rPr>
        <w:t xml:space="preserve">The sample of bank data for estimating discretionary loan loss provisions and control variables contains </w:t>
      </w:r>
      <w:r w:rsidR="00E91E43">
        <w:rPr>
          <w:rFonts w:ascii="TimesNewRoman" w:hAnsi="TimesNewRoman" w:cs="TimesNewRoman"/>
          <w:sz w:val="22"/>
          <w:szCs w:val="22"/>
        </w:rPr>
        <w:lastRenderedPageBreak/>
        <w:t>1702</w:t>
      </w:r>
      <w:r w:rsidR="00F0586F">
        <w:rPr>
          <w:rFonts w:ascii="TimesNewRoman" w:hAnsi="TimesNewRoman" w:cs="TimesNewRoman"/>
          <w:sz w:val="22"/>
          <w:szCs w:val="22"/>
        </w:rPr>
        <w:t xml:space="preserve"> bank years and a</w:t>
      </w:r>
      <w:r w:rsidR="0055608E">
        <w:rPr>
          <w:sz w:val="22"/>
          <w:szCs w:val="22"/>
        </w:rPr>
        <w:t xml:space="preserve">fter </w:t>
      </w:r>
      <w:r w:rsidR="00DB5315">
        <w:rPr>
          <w:sz w:val="22"/>
          <w:szCs w:val="22"/>
        </w:rPr>
        <w:t>matching</w:t>
      </w:r>
      <w:r w:rsidR="00942CDF">
        <w:rPr>
          <w:sz w:val="22"/>
          <w:szCs w:val="22"/>
        </w:rPr>
        <w:t xml:space="preserve"> </w:t>
      </w:r>
      <w:r w:rsidR="00F0586F">
        <w:rPr>
          <w:sz w:val="22"/>
          <w:szCs w:val="22"/>
        </w:rPr>
        <w:t xml:space="preserve">with </w:t>
      </w:r>
      <w:r w:rsidR="00942CDF">
        <w:rPr>
          <w:sz w:val="22"/>
          <w:szCs w:val="22"/>
        </w:rPr>
        <w:t>CEO and CFO compensation</w:t>
      </w:r>
      <w:r w:rsidR="00EF4F8B">
        <w:rPr>
          <w:sz w:val="22"/>
          <w:szCs w:val="22"/>
        </w:rPr>
        <w:t xml:space="preserve"> </w:t>
      </w:r>
      <w:r w:rsidR="00D563E5">
        <w:rPr>
          <w:sz w:val="22"/>
          <w:szCs w:val="22"/>
        </w:rPr>
        <w:t>the sample contains</w:t>
      </w:r>
      <w:r w:rsidR="00706942">
        <w:rPr>
          <w:sz w:val="22"/>
          <w:szCs w:val="22"/>
        </w:rPr>
        <w:t xml:space="preserve"> </w:t>
      </w:r>
      <w:r w:rsidR="00193A09">
        <w:rPr>
          <w:sz w:val="22"/>
          <w:szCs w:val="22"/>
        </w:rPr>
        <w:t>673</w:t>
      </w:r>
      <w:r w:rsidR="00D563E5">
        <w:rPr>
          <w:sz w:val="22"/>
          <w:szCs w:val="22"/>
        </w:rPr>
        <w:t xml:space="preserve"> bank </w:t>
      </w:r>
      <w:r w:rsidR="0055608E">
        <w:rPr>
          <w:sz w:val="22"/>
          <w:szCs w:val="22"/>
        </w:rPr>
        <w:t xml:space="preserve">years. </w:t>
      </w:r>
      <w:r w:rsidR="00F0586F">
        <w:rPr>
          <w:sz w:val="22"/>
          <w:szCs w:val="22"/>
        </w:rPr>
        <w:t>By using</w:t>
      </w:r>
      <w:r w:rsidR="00193A09">
        <w:rPr>
          <w:sz w:val="22"/>
          <w:szCs w:val="22"/>
        </w:rPr>
        <w:t xml:space="preserve"> the </w:t>
      </w:r>
      <w:proofErr w:type="spellStart"/>
      <w:r w:rsidR="00193A09">
        <w:rPr>
          <w:rFonts w:ascii="TimesNewRoman" w:hAnsi="TimesNewRoman" w:cs="TimesNewRoman"/>
          <w:sz w:val="22"/>
          <w:szCs w:val="22"/>
        </w:rPr>
        <w:t>Bankscope</w:t>
      </w:r>
      <w:proofErr w:type="spellEnd"/>
      <w:r w:rsidR="00193A09">
        <w:rPr>
          <w:rFonts w:ascii="TimesNewRoman" w:hAnsi="TimesNewRoman" w:cs="TimesNewRoman"/>
          <w:sz w:val="22"/>
          <w:szCs w:val="22"/>
        </w:rPr>
        <w:t xml:space="preserve"> (Bureau van </w:t>
      </w:r>
      <w:proofErr w:type="spellStart"/>
      <w:r w:rsidR="00193A09">
        <w:rPr>
          <w:rFonts w:ascii="TimesNewRoman" w:hAnsi="TimesNewRoman" w:cs="TimesNewRoman"/>
          <w:sz w:val="22"/>
          <w:szCs w:val="22"/>
        </w:rPr>
        <w:t>Dijk</w:t>
      </w:r>
      <w:proofErr w:type="spellEnd"/>
      <w:r w:rsidR="00193A09">
        <w:rPr>
          <w:rFonts w:ascii="TimesNewRoman" w:hAnsi="TimesNewRoman" w:cs="TimesNewRoman"/>
          <w:sz w:val="22"/>
          <w:szCs w:val="22"/>
        </w:rPr>
        <w:t>) database</w:t>
      </w:r>
      <w:r w:rsidR="00193A09">
        <w:rPr>
          <w:sz w:val="22"/>
          <w:szCs w:val="22"/>
        </w:rPr>
        <w:t>, s</w:t>
      </w:r>
      <w:r w:rsidR="00193A09">
        <w:rPr>
          <w:rFonts w:ascii="TimesNewRoman" w:hAnsi="TimesNewRoman" w:cs="TimesNewRoman"/>
          <w:sz w:val="22"/>
          <w:szCs w:val="22"/>
        </w:rPr>
        <w:t xml:space="preserve">ome missing bank values </w:t>
      </w:r>
      <w:r w:rsidR="00F0586F">
        <w:rPr>
          <w:rFonts w:ascii="TimesNewRoman" w:hAnsi="TimesNewRoman" w:cs="TimesNewRoman"/>
          <w:sz w:val="22"/>
          <w:szCs w:val="22"/>
        </w:rPr>
        <w:t>were</w:t>
      </w:r>
      <w:r w:rsidR="00193A09">
        <w:rPr>
          <w:rFonts w:ascii="TimesNewRoman" w:hAnsi="TimesNewRoman" w:cs="TimesNewRoman"/>
          <w:sz w:val="22"/>
          <w:szCs w:val="22"/>
        </w:rPr>
        <w:t xml:space="preserve"> added where possible. The final sample contains 736 bank years</w:t>
      </w:r>
      <w:r w:rsidR="00193A09" w:rsidRPr="00193A09">
        <w:rPr>
          <w:sz w:val="22"/>
          <w:szCs w:val="22"/>
        </w:rPr>
        <w:t xml:space="preserve"> </w:t>
      </w:r>
      <w:r w:rsidR="00193A09">
        <w:rPr>
          <w:sz w:val="22"/>
          <w:szCs w:val="22"/>
        </w:rPr>
        <w:t>for the period 1998-2008</w:t>
      </w:r>
      <w:r w:rsidR="00193A09">
        <w:rPr>
          <w:rFonts w:ascii="TimesNewRoman" w:hAnsi="TimesNewRoman" w:cs="TimesNewRoman"/>
          <w:sz w:val="22"/>
          <w:szCs w:val="22"/>
        </w:rPr>
        <w:t xml:space="preserve">. </w:t>
      </w:r>
      <w:r w:rsidR="008B0E8D">
        <w:rPr>
          <w:sz w:val="22"/>
          <w:szCs w:val="22"/>
        </w:rPr>
        <w:t>This sample will be divided into a pre</w:t>
      </w:r>
      <w:r w:rsidR="00193A09">
        <w:rPr>
          <w:sz w:val="22"/>
          <w:szCs w:val="22"/>
        </w:rPr>
        <w:t>-SOX period (1998-2001)</w:t>
      </w:r>
      <w:r w:rsidR="008B0E8D">
        <w:rPr>
          <w:sz w:val="22"/>
          <w:szCs w:val="22"/>
        </w:rPr>
        <w:t xml:space="preserve"> and </w:t>
      </w:r>
      <w:r w:rsidR="00193A09">
        <w:rPr>
          <w:sz w:val="22"/>
          <w:szCs w:val="22"/>
        </w:rPr>
        <w:t xml:space="preserve">a </w:t>
      </w:r>
      <w:r w:rsidR="008B0E8D">
        <w:rPr>
          <w:sz w:val="22"/>
          <w:szCs w:val="22"/>
        </w:rPr>
        <w:t>post SOX period</w:t>
      </w:r>
      <w:r w:rsidR="00193A09">
        <w:rPr>
          <w:sz w:val="22"/>
          <w:szCs w:val="22"/>
        </w:rPr>
        <w:t xml:space="preserve"> (2002-2008)</w:t>
      </w:r>
      <w:r w:rsidR="008B0E8D">
        <w:rPr>
          <w:sz w:val="22"/>
          <w:szCs w:val="22"/>
        </w:rPr>
        <w:t>.</w:t>
      </w:r>
      <w:r w:rsidR="00193A09">
        <w:rPr>
          <w:sz w:val="22"/>
          <w:szCs w:val="22"/>
        </w:rPr>
        <w:t xml:space="preserve"> Regulators expect that </w:t>
      </w:r>
      <w:r w:rsidR="008B0E8D">
        <w:rPr>
          <w:sz w:val="22"/>
          <w:szCs w:val="22"/>
        </w:rPr>
        <w:t>SOX has</w:t>
      </w:r>
      <w:r w:rsidR="00193A09">
        <w:rPr>
          <w:sz w:val="22"/>
          <w:szCs w:val="22"/>
        </w:rPr>
        <w:t xml:space="preserve"> a mitigating effect on earnings management. Th</w:t>
      </w:r>
      <w:r w:rsidR="008B0E8D">
        <w:rPr>
          <w:sz w:val="22"/>
          <w:szCs w:val="22"/>
        </w:rPr>
        <w:t>at’s why</w:t>
      </w:r>
      <w:r w:rsidR="00193A09">
        <w:rPr>
          <w:sz w:val="22"/>
          <w:szCs w:val="22"/>
        </w:rPr>
        <w:t xml:space="preserve"> it is interesting to investigate whether the discretionary loan loss provisions, as proxy for ea</w:t>
      </w:r>
      <w:r w:rsidR="00A93EAD">
        <w:rPr>
          <w:sz w:val="22"/>
          <w:szCs w:val="22"/>
        </w:rPr>
        <w:t>rnings management, is lower in</w:t>
      </w:r>
      <w:r w:rsidR="00201403">
        <w:rPr>
          <w:sz w:val="22"/>
          <w:szCs w:val="22"/>
        </w:rPr>
        <w:t xml:space="preserve"> the</w:t>
      </w:r>
      <w:r w:rsidR="00A93EAD">
        <w:rPr>
          <w:sz w:val="22"/>
          <w:szCs w:val="22"/>
        </w:rPr>
        <w:t xml:space="preserve"> post-SOX</w:t>
      </w:r>
      <w:r w:rsidR="00201403">
        <w:rPr>
          <w:sz w:val="22"/>
          <w:szCs w:val="22"/>
        </w:rPr>
        <w:t xml:space="preserve"> period</w:t>
      </w:r>
      <w:r w:rsidR="00193A09">
        <w:rPr>
          <w:sz w:val="22"/>
          <w:szCs w:val="22"/>
        </w:rPr>
        <w:t>.</w:t>
      </w:r>
    </w:p>
    <w:p w:rsidR="00193A09" w:rsidRDefault="00193A09" w:rsidP="00E5393E">
      <w:pPr>
        <w:spacing w:line="360" w:lineRule="auto"/>
        <w:jc w:val="both"/>
        <w:rPr>
          <w:sz w:val="22"/>
          <w:szCs w:val="22"/>
        </w:rPr>
      </w:pPr>
    </w:p>
    <w:p w:rsidR="00D563E5" w:rsidRDefault="00D563E5" w:rsidP="00E5393E">
      <w:pPr>
        <w:spacing w:line="360" w:lineRule="auto"/>
        <w:jc w:val="both"/>
        <w:rPr>
          <w:sz w:val="22"/>
          <w:szCs w:val="22"/>
        </w:rPr>
      </w:pPr>
      <w:r>
        <w:rPr>
          <w:sz w:val="22"/>
          <w:szCs w:val="22"/>
        </w:rPr>
        <w:t>In the next chapter the</w:t>
      </w:r>
      <w:r w:rsidR="00C60106">
        <w:rPr>
          <w:sz w:val="22"/>
          <w:szCs w:val="22"/>
        </w:rPr>
        <w:t xml:space="preserve"> data analysis and</w:t>
      </w:r>
      <w:r>
        <w:rPr>
          <w:sz w:val="22"/>
          <w:szCs w:val="22"/>
        </w:rPr>
        <w:t xml:space="preserve"> results </w:t>
      </w:r>
      <w:r w:rsidR="00CD4353">
        <w:rPr>
          <w:sz w:val="22"/>
          <w:szCs w:val="22"/>
        </w:rPr>
        <w:t>are</w:t>
      </w:r>
      <w:r>
        <w:rPr>
          <w:sz w:val="22"/>
          <w:szCs w:val="22"/>
        </w:rPr>
        <w:t xml:space="preserve"> discussed.</w:t>
      </w:r>
    </w:p>
    <w:p w:rsidR="0055608E" w:rsidRDefault="0055608E" w:rsidP="00E5393E">
      <w:pPr>
        <w:spacing w:line="360" w:lineRule="auto"/>
        <w:jc w:val="both"/>
        <w:rPr>
          <w:sz w:val="22"/>
          <w:szCs w:val="22"/>
        </w:rPr>
      </w:pPr>
    </w:p>
    <w:p w:rsidR="00993EFA" w:rsidRPr="00E5393E" w:rsidRDefault="00993EFA" w:rsidP="00E5393E">
      <w:pPr>
        <w:spacing w:line="360" w:lineRule="auto"/>
        <w:jc w:val="both"/>
        <w:rPr>
          <w:sz w:val="22"/>
          <w:szCs w:val="22"/>
        </w:rPr>
      </w:pPr>
    </w:p>
    <w:p w:rsidR="00BB1B67" w:rsidRDefault="00BB1B67"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145921" w:rsidRDefault="00145921"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D563E5" w:rsidRDefault="00D563E5" w:rsidP="00E5393E">
      <w:pPr>
        <w:autoSpaceDE w:val="0"/>
        <w:autoSpaceDN w:val="0"/>
        <w:adjustRightInd w:val="0"/>
        <w:spacing w:line="360" w:lineRule="auto"/>
        <w:jc w:val="both"/>
        <w:rPr>
          <w:rFonts w:ascii="TimesNewRoman" w:hAnsi="TimesNewRoman" w:cs="TimesNewRoman"/>
          <w:sz w:val="22"/>
          <w:szCs w:val="22"/>
        </w:rPr>
      </w:pPr>
    </w:p>
    <w:p w:rsidR="00F0586F" w:rsidRDefault="00F0586F" w:rsidP="00E5393E">
      <w:pPr>
        <w:autoSpaceDE w:val="0"/>
        <w:autoSpaceDN w:val="0"/>
        <w:adjustRightInd w:val="0"/>
        <w:spacing w:line="360" w:lineRule="auto"/>
        <w:jc w:val="both"/>
        <w:rPr>
          <w:rFonts w:ascii="TimesNewRoman" w:hAnsi="TimesNewRoman" w:cs="TimesNewRoman"/>
          <w:sz w:val="22"/>
          <w:szCs w:val="22"/>
        </w:rPr>
      </w:pPr>
    </w:p>
    <w:p w:rsidR="002B0EE1" w:rsidRDefault="002B0EE1" w:rsidP="00E5393E">
      <w:pPr>
        <w:autoSpaceDE w:val="0"/>
        <w:autoSpaceDN w:val="0"/>
        <w:adjustRightInd w:val="0"/>
        <w:spacing w:line="360" w:lineRule="auto"/>
        <w:jc w:val="both"/>
        <w:rPr>
          <w:rFonts w:ascii="TimesNewRoman" w:hAnsi="TimesNewRoman" w:cs="TimesNewRoman"/>
          <w:sz w:val="22"/>
          <w:szCs w:val="22"/>
        </w:rPr>
      </w:pPr>
    </w:p>
    <w:p w:rsidR="002B0EE1" w:rsidRDefault="002B0EE1" w:rsidP="00E5393E">
      <w:pPr>
        <w:autoSpaceDE w:val="0"/>
        <w:autoSpaceDN w:val="0"/>
        <w:adjustRightInd w:val="0"/>
        <w:spacing w:line="360" w:lineRule="auto"/>
        <w:jc w:val="both"/>
        <w:rPr>
          <w:rFonts w:ascii="TimesNewRoman" w:hAnsi="TimesNewRoman" w:cs="TimesNewRoman"/>
          <w:sz w:val="22"/>
          <w:szCs w:val="22"/>
        </w:rPr>
      </w:pPr>
    </w:p>
    <w:p w:rsidR="002B0EE1" w:rsidRDefault="002B0EE1" w:rsidP="00E5393E">
      <w:pPr>
        <w:autoSpaceDE w:val="0"/>
        <w:autoSpaceDN w:val="0"/>
        <w:adjustRightInd w:val="0"/>
        <w:spacing w:line="360" w:lineRule="auto"/>
        <w:jc w:val="both"/>
        <w:rPr>
          <w:rFonts w:ascii="TimesNewRoman" w:hAnsi="TimesNewRoman" w:cs="TimesNewRoman"/>
          <w:sz w:val="22"/>
          <w:szCs w:val="22"/>
        </w:rPr>
      </w:pPr>
    </w:p>
    <w:p w:rsidR="00503D92" w:rsidRDefault="00503D92" w:rsidP="00E5393E">
      <w:pPr>
        <w:autoSpaceDE w:val="0"/>
        <w:autoSpaceDN w:val="0"/>
        <w:adjustRightInd w:val="0"/>
        <w:spacing w:line="360" w:lineRule="auto"/>
        <w:jc w:val="both"/>
        <w:rPr>
          <w:rFonts w:ascii="TimesNewRoman" w:hAnsi="TimesNewRoman" w:cs="TimesNewRoman"/>
          <w:sz w:val="22"/>
          <w:szCs w:val="22"/>
        </w:rPr>
      </w:pPr>
    </w:p>
    <w:p w:rsidR="00503D92" w:rsidRDefault="00503D92" w:rsidP="00E5393E">
      <w:pPr>
        <w:autoSpaceDE w:val="0"/>
        <w:autoSpaceDN w:val="0"/>
        <w:adjustRightInd w:val="0"/>
        <w:spacing w:line="360" w:lineRule="auto"/>
        <w:jc w:val="both"/>
        <w:rPr>
          <w:rFonts w:ascii="TimesNewRoman" w:hAnsi="TimesNewRoman" w:cs="TimesNewRoman"/>
          <w:sz w:val="22"/>
          <w:szCs w:val="22"/>
        </w:rPr>
      </w:pPr>
    </w:p>
    <w:p w:rsidR="00503D92" w:rsidRDefault="00503D92" w:rsidP="00E5393E">
      <w:pPr>
        <w:autoSpaceDE w:val="0"/>
        <w:autoSpaceDN w:val="0"/>
        <w:adjustRightInd w:val="0"/>
        <w:spacing w:line="360" w:lineRule="auto"/>
        <w:jc w:val="both"/>
        <w:rPr>
          <w:rFonts w:ascii="TimesNewRoman" w:hAnsi="TimesNewRoman" w:cs="TimesNewRoman"/>
          <w:sz w:val="22"/>
          <w:szCs w:val="22"/>
        </w:rPr>
      </w:pPr>
    </w:p>
    <w:p w:rsidR="00D723E2" w:rsidRDefault="00145921" w:rsidP="00BB1B67">
      <w:pPr>
        <w:pStyle w:val="Kop1"/>
        <w:jc w:val="center"/>
      </w:pPr>
      <w:bookmarkStart w:id="59" w:name="_Toc282736962"/>
      <w:bookmarkStart w:id="60" w:name="_Toc287614189"/>
      <w:r>
        <w:lastRenderedPageBreak/>
        <w:t>7</w:t>
      </w:r>
      <w:r w:rsidR="00D723E2" w:rsidRPr="00B95664">
        <w:t xml:space="preserve">. </w:t>
      </w:r>
      <w:bookmarkEnd w:id="59"/>
      <w:r w:rsidR="00D741BD">
        <w:t>DATA</w:t>
      </w:r>
      <w:r w:rsidR="00BB1B67">
        <w:t xml:space="preserve"> ANALYSIS</w:t>
      </w:r>
      <w:r w:rsidR="00D741BD">
        <w:t xml:space="preserve"> </w:t>
      </w:r>
      <w:r w:rsidR="0017094A">
        <w:t>AND</w:t>
      </w:r>
      <w:r w:rsidR="00D741BD">
        <w:t xml:space="preserve"> RESULTS</w:t>
      </w:r>
      <w:bookmarkEnd w:id="60"/>
    </w:p>
    <w:p w:rsidR="00BB1B67" w:rsidRDefault="00BB1B67" w:rsidP="00BB1B67">
      <w:pPr>
        <w:rPr>
          <w:sz w:val="22"/>
          <w:szCs w:val="22"/>
        </w:rPr>
      </w:pPr>
    </w:p>
    <w:p w:rsidR="00BB1B67" w:rsidRPr="00BB1B67" w:rsidRDefault="00BB1B67" w:rsidP="00660609">
      <w:pPr>
        <w:spacing w:line="360" w:lineRule="auto"/>
        <w:jc w:val="both"/>
        <w:rPr>
          <w:sz w:val="22"/>
          <w:szCs w:val="22"/>
        </w:rPr>
      </w:pPr>
      <w:r>
        <w:rPr>
          <w:sz w:val="22"/>
          <w:szCs w:val="22"/>
        </w:rPr>
        <w:t xml:space="preserve">In the previous chapter the model description and sample selection was presented.  </w:t>
      </w:r>
      <w:r w:rsidR="00660609">
        <w:rPr>
          <w:sz w:val="22"/>
          <w:szCs w:val="22"/>
        </w:rPr>
        <w:t xml:space="preserve">This chapter </w:t>
      </w:r>
      <w:r w:rsidR="00977CE8">
        <w:rPr>
          <w:sz w:val="22"/>
          <w:szCs w:val="22"/>
        </w:rPr>
        <w:t>tests the hypotheses with</w:t>
      </w:r>
      <w:r w:rsidR="00660609">
        <w:rPr>
          <w:sz w:val="22"/>
          <w:szCs w:val="22"/>
        </w:rPr>
        <w:t xml:space="preserve"> the summary statistic results and the interpretation of the data. </w:t>
      </w:r>
      <w:r w:rsidR="0020411E">
        <w:rPr>
          <w:sz w:val="22"/>
          <w:szCs w:val="22"/>
        </w:rPr>
        <w:t>In the first stage the equity incentives and discretionary loan loss provisions will be estimated.</w:t>
      </w:r>
      <w:r w:rsidR="00DC0CBA">
        <w:rPr>
          <w:sz w:val="22"/>
          <w:szCs w:val="22"/>
        </w:rPr>
        <w:t xml:space="preserve"> </w:t>
      </w:r>
      <w:r w:rsidR="00D32DA4">
        <w:rPr>
          <w:sz w:val="22"/>
          <w:szCs w:val="22"/>
        </w:rPr>
        <w:t>In the second stage t</w:t>
      </w:r>
      <w:r w:rsidR="00DC0CBA">
        <w:rPr>
          <w:sz w:val="22"/>
          <w:szCs w:val="22"/>
        </w:rPr>
        <w:t xml:space="preserve">he estimated </w:t>
      </w:r>
      <w:r w:rsidR="002067C6">
        <w:rPr>
          <w:sz w:val="22"/>
          <w:szCs w:val="22"/>
        </w:rPr>
        <w:t>DLLP</w:t>
      </w:r>
      <w:r w:rsidR="00DC0CBA">
        <w:rPr>
          <w:sz w:val="22"/>
          <w:szCs w:val="22"/>
        </w:rPr>
        <w:t xml:space="preserve"> will be used </w:t>
      </w:r>
      <w:r w:rsidR="002067C6">
        <w:rPr>
          <w:sz w:val="22"/>
          <w:szCs w:val="22"/>
        </w:rPr>
        <w:t>in the regression with</w:t>
      </w:r>
      <w:r w:rsidR="00DC0CBA">
        <w:rPr>
          <w:sz w:val="22"/>
          <w:szCs w:val="22"/>
        </w:rPr>
        <w:t xml:space="preserve"> equity incentives </w:t>
      </w:r>
      <w:r w:rsidR="007107F4">
        <w:rPr>
          <w:sz w:val="22"/>
          <w:szCs w:val="22"/>
        </w:rPr>
        <w:t xml:space="preserve">and other </w:t>
      </w:r>
      <w:r w:rsidR="002067C6">
        <w:rPr>
          <w:sz w:val="22"/>
          <w:szCs w:val="22"/>
        </w:rPr>
        <w:t>control variables</w:t>
      </w:r>
      <w:r w:rsidR="00DC0CBA">
        <w:rPr>
          <w:sz w:val="22"/>
          <w:szCs w:val="22"/>
        </w:rPr>
        <w:t>.</w:t>
      </w:r>
      <w:r w:rsidR="0020411E">
        <w:rPr>
          <w:sz w:val="22"/>
          <w:szCs w:val="22"/>
        </w:rPr>
        <w:t xml:space="preserve"> </w:t>
      </w:r>
    </w:p>
    <w:p w:rsidR="00BB1B67" w:rsidRPr="00706942" w:rsidRDefault="00BB1B67" w:rsidP="00BB1B67">
      <w:pPr>
        <w:rPr>
          <w:sz w:val="22"/>
          <w:szCs w:val="22"/>
        </w:rPr>
      </w:pPr>
    </w:p>
    <w:p w:rsidR="008039B0" w:rsidRDefault="00145921" w:rsidP="008039B0">
      <w:pPr>
        <w:pStyle w:val="Kop2"/>
        <w:jc w:val="left"/>
      </w:pPr>
      <w:bookmarkStart w:id="61" w:name="_Toc287614190"/>
      <w:r>
        <w:t>7</w:t>
      </w:r>
      <w:r w:rsidR="008039B0">
        <w:t xml:space="preserve">.1 CEO and CFO equity </w:t>
      </w:r>
      <w:r w:rsidR="007E70DA">
        <w:t>compensation</w:t>
      </w:r>
      <w:bookmarkEnd w:id="61"/>
    </w:p>
    <w:p w:rsidR="008039B0" w:rsidRDefault="00706942" w:rsidP="00F97259">
      <w:pPr>
        <w:spacing w:line="360" w:lineRule="auto"/>
        <w:jc w:val="both"/>
        <w:rPr>
          <w:sz w:val="22"/>
          <w:szCs w:val="22"/>
        </w:rPr>
      </w:pPr>
      <w:r>
        <w:rPr>
          <w:sz w:val="22"/>
          <w:szCs w:val="22"/>
        </w:rPr>
        <w:t xml:space="preserve">The table below presents the summary statistics of CEO and CFO equity incentives. </w:t>
      </w:r>
      <w:r w:rsidR="003F3607">
        <w:rPr>
          <w:sz w:val="22"/>
          <w:szCs w:val="22"/>
        </w:rPr>
        <w:t>E</w:t>
      </w:r>
      <w:r w:rsidR="008F70C0">
        <w:rPr>
          <w:sz w:val="22"/>
          <w:szCs w:val="22"/>
        </w:rPr>
        <w:t>quity-based compensation</w:t>
      </w:r>
      <w:r w:rsidR="003F3607">
        <w:rPr>
          <w:sz w:val="22"/>
          <w:szCs w:val="22"/>
        </w:rPr>
        <w:t xml:space="preserve"> is comprised of</w:t>
      </w:r>
      <w:r w:rsidR="008F70C0">
        <w:rPr>
          <w:sz w:val="22"/>
          <w:szCs w:val="22"/>
        </w:rPr>
        <w:t xml:space="preserve">: option grants, unexercised exercisable options, unexercised </w:t>
      </w:r>
      <w:proofErr w:type="spellStart"/>
      <w:r w:rsidR="008F70C0">
        <w:rPr>
          <w:sz w:val="22"/>
          <w:szCs w:val="22"/>
        </w:rPr>
        <w:t>unexercisable</w:t>
      </w:r>
      <w:proofErr w:type="spellEnd"/>
      <w:r w:rsidR="008F70C0">
        <w:rPr>
          <w:sz w:val="22"/>
          <w:szCs w:val="22"/>
        </w:rPr>
        <w:t xml:space="preserve"> options, stock ownership and restricted stock grants. Options are taken as shares’ equivalents and are measured in shares.</w:t>
      </w:r>
      <w:r w:rsidR="009E2A51">
        <w:rPr>
          <w:sz w:val="22"/>
          <w:szCs w:val="22"/>
        </w:rPr>
        <w:t xml:space="preserve"> These compensation elements are divided </w:t>
      </w:r>
      <w:r w:rsidR="0034414E">
        <w:rPr>
          <w:sz w:val="22"/>
          <w:szCs w:val="22"/>
        </w:rPr>
        <w:t>with the number of total outstanding shares and the aggregated value is the total equity incentive.</w:t>
      </w:r>
    </w:p>
    <w:p w:rsidR="00E675DF" w:rsidRPr="001340C8" w:rsidRDefault="00E675DF" w:rsidP="00E675DF">
      <w:pPr>
        <w:spacing w:line="360" w:lineRule="auto"/>
        <w:jc w:val="center"/>
        <w:rPr>
          <w:sz w:val="20"/>
          <w:szCs w:val="20"/>
        </w:rPr>
      </w:pPr>
    </w:p>
    <w:p w:rsidR="00E675DF" w:rsidRPr="007A69EB" w:rsidRDefault="0034414E" w:rsidP="00E675DF">
      <w:pPr>
        <w:spacing w:line="360" w:lineRule="auto"/>
        <w:jc w:val="center"/>
        <w:rPr>
          <w:b/>
          <w:sz w:val="22"/>
          <w:szCs w:val="22"/>
        </w:rPr>
      </w:pPr>
      <w:r w:rsidRPr="007A69EB">
        <w:rPr>
          <w:b/>
          <w:sz w:val="22"/>
          <w:szCs w:val="22"/>
        </w:rPr>
        <w:t xml:space="preserve">Table </w:t>
      </w:r>
      <w:r w:rsidR="00E91E43">
        <w:rPr>
          <w:b/>
          <w:sz w:val="22"/>
          <w:szCs w:val="22"/>
        </w:rPr>
        <w:t>2</w:t>
      </w:r>
    </w:p>
    <w:p w:rsidR="00E675DF" w:rsidRPr="005611CF" w:rsidRDefault="00E675DF" w:rsidP="00E675DF">
      <w:pPr>
        <w:spacing w:line="360" w:lineRule="auto"/>
        <w:jc w:val="center"/>
        <w:rPr>
          <w:sz w:val="22"/>
          <w:szCs w:val="22"/>
        </w:rPr>
      </w:pPr>
      <w:r w:rsidRPr="005611CF">
        <w:rPr>
          <w:sz w:val="22"/>
          <w:szCs w:val="22"/>
        </w:rPr>
        <w:t>Summery statistics CEO and CFO compensation</w:t>
      </w:r>
      <w:r w:rsidR="00293C6E">
        <w:rPr>
          <w:sz w:val="22"/>
          <w:szCs w:val="22"/>
        </w:rPr>
        <w:t xml:space="preserve"> (1998-2008)</w:t>
      </w:r>
    </w:p>
    <w:tbl>
      <w:tblPr>
        <w:tblpPr w:leftFromText="141" w:rightFromText="141" w:vertAnchor="text" w:horzAnchor="margin" w:tblpY="29"/>
        <w:tblW w:w="9142" w:type="dxa"/>
        <w:tblCellMar>
          <w:left w:w="70" w:type="dxa"/>
          <w:right w:w="70" w:type="dxa"/>
        </w:tblCellMar>
        <w:tblLook w:val="04A0"/>
      </w:tblPr>
      <w:tblGrid>
        <w:gridCol w:w="1256"/>
        <w:gridCol w:w="1649"/>
        <w:gridCol w:w="1418"/>
        <w:gridCol w:w="1276"/>
        <w:gridCol w:w="1275"/>
        <w:gridCol w:w="1347"/>
        <w:gridCol w:w="921"/>
      </w:tblGrid>
      <w:tr w:rsidR="00E675DF" w:rsidRPr="00E675DF" w:rsidTr="007A69EB">
        <w:trPr>
          <w:trHeight w:val="315"/>
        </w:trPr>
        <w:tc>
          <w:tcPr>
            <w:tcW w:w="1256" w:type="dxa"/>
            <w:tcBorders>
              <w:top w:val="double" w:sz="6" w:space="0" w:color="auto"/>
              <w:left w:val="nil"/>
              <w:bottom w:val="single" w:sz="4" w:space="0" w:color="auto"/>
              <w:right w:val="nil"/>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Variables</w:t>
            </w:r>
          </w:p>
        </w:tc>
        <w:tc>
          <w:tcPr>
            <w:tcW w:w="1649" w:type="dxa"/>
            <w:tcBorders>
              <w:top w:val="double" w:sz="6" w:space="0" w:color="auto"/>
              <w:left w:val="nil"/>
              <w:bottom w:val="single" w:sz="4" w:space="0" w:color="auto"/>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 </w:t>
            </w:r>
          </w:p>
        </w:tc>
        <w:tc>
          <w:tcPr>
            <w:tcW w:w="1418" w:type="dxa"/>
            <w:tcBorders>
              <w:top w:val="double" w:sz="6" w:space="0" w:color="auto"/>
              <w:left w:val="single" w:sz="4" w:space="0" w:color="auto"/>
              <w:bottom w:val="single" w:sz="4" w:space="0" w:color="auto"/>
              <w:right w:val="nil"/>
            </w:tcBorders>
            <w:shd w:val="clear" w:color="auto" w:fill="auto"/>
            <w:noWrap/>
            <w:vAlign w:val="bottom"/>
            <w:hideMark/>
          </w:tcPr>
          <w:p w:rsidR="00E675DF" w:rsidRPr="007A69EB" w:rsidRDefault="00E675DF" w:rsidP="00E675DF">
            <w:pPr>
              <w:jc w:val="center"/>
              <w:rPr>
                <w:color w:val="000000"/>
                <w:sz w:val="20"/>
                <w:szCs w:val="20"/>
                <w:lang w:val="nl-NL"/>
              </w:rPr>
            </w:pPr>
            <w:r w:rsidRPr="007A69EB">
              <w:rPr>
                <w:color w:val="000000"/>
                <w:sz w:val="20"/>
                <w:szCs w:val="20"/>
              </w:rPr>
              <w:t>Mean</w:t>
            </w:r>
          </w:p>
        </w:tc>
        <w:tc>
          <w:tcPr>
            <w:tcW w:w="1276" w:type="dxa"/>
            <w:tcBorders>
              <w:top w:val="double" w:sz="6" w:space="0" w:color="auto"/>
              <w:left w:val="nil"/>
              <w:bottom w:val="single" w:sz="4" w:space="0" w:color="auto"/>
              <w:right w:val="nil"/>
            </w:tcBorders>
            <w:shd w:val="clear" w:color="auto" w:fill="auto"/>
            <w:noWrap/>
            <w:vAlign w:val="bottom"/>
            <w:hideMark/>
          </w:tcPr>
          <w:p w:rsidR="00E675DF" w:rsidRPr="007A69EB" w:rsidRDefault="00E675DF" w:rsidP="00E675DF">
            <w:pPr>
              <w:jc w:val="center"/>
              <w:rPr>
                <w:color w:val="000000"/>
                <w:sz w:val="20"/>
                <w:szCs w:val="20"/>
                <w:lang w:val="nl-NL"/>
              </w:rPr>
            </w:pPr>
            <w:r w:rsidRPr="007A69EB">
              <w:rPr>
                <w:color w:val="000000"/>
                <w:sz w:val="20"/>
                <w:szCs w:val="20"/>
              </w:rPr>
              <w:t xml:space="preserve">Median </w:t>
            </w:r>
          </w:p>
        </w:tc>
        <w:tc>
          <w:tcPr>
            <w:tcW w:w="1275" w:type="dxa"/>
            <w:tcBorders>
              <w:top w:val="double" w:sz="6" w:space="0" w:color="auto"/>
              <w:left w:val="nil"/>
              <w:bottom w:val="single" w:sz="4" w:space="0" w:color="auto"/>
              <w:right w:val="nil"/>
            </w:tcBorders>
            <w:shd w:val="clear" w:color="auto" w:fill="auto"/>
            <w:noWrap/>
            <w:vAlign w:val="bottom"/>
            <w:hideMark/>
          </w:tcPr>
          <w:p w:rsidR="00E675DF" w:rsidRPr="007A69EB" w:rsidRDefault="00E675DF" w:rsidP="00E675DF">
            <w:pPr>
              <w:jc w:val="center"/>
              <w:rPr>
                <w:color w:val="000000"/>
                <w:sz w:val="20"/>
                <w:szCs w:val="20"/>
                <w:lang w:val="nl-NL"/>
              </w:rPr>
            </w:pPr>
            <w:proofErr w:type="spellStart"/>
            <w:r w:rsidRPr="007A69EB">
              <w:rPr>
                <w:color w:val="000000"/>
                <w:sz w:val="20"/>
                <w:szCs w:val="20"/>
                <w:lang w:val="nl-NL"/>
              </w:rPr>
              <w:t>Std</w:t>
            </w:r>
            <w:proofErr w:type="spellEnd"/>
            <w:r w:rsidRPr="007A69EB">
              <w:rPr>
                <w:color w:val="000000"/>
                <w:sz w:val="20"/>
                <w:szCs w:val="20"/>
                <w:lang w:val="nl-NL"/>
              </w:rPr>
              <w:t xml:space="preserve">. </w:t>
            </w:r>
            <w:proofErr w:type="spellStart"/>
            <w:r w:rsidRPr="007A69EB">
              <w:rPr>
                <w:color w:val="000000"/>
                <w:sz w:val="20"/>
                <w:szCs w:val="20"/>
                <w:lang w:val="nl-NL"/>
              </w:rPr>
              <w:t>dev</w:t>
            </w:r>
            <w:proofErr w:type="spellEnd"/>
            <w:r w:rsidRPr="007A69EB">
              <w:rPr>
                <w:color w:val="000000"/>
                <w:sz w:val="20"/>
                <w:szCs w:val="20"/>
                <w:lang w:val="nl-NL"/>
              </w:rPr>
              <w:t>.</w:t>
            </w:r>
          </w:p>
        </w:tc>
        <w:tc>
          <w:tcPr>
            <w:tcW w:w="1347" w:type="dxa"/>
            <w:tcBorders>
              <w:top w:val="double" w:sz="6" w:space="0" w:color="auto"/>
              <w:left w:val="nil"/>
              <w:bottom w:val="single" w:sz="4" w:space="0" w:color="auto"/>
              <w:right w:val="nil"/>
            </w:tcBorders>
            <w:shd w:val="clear" w:color="auto" w:fill="auto"/>
            <w:noWrap/>
            <w:vAlign w:val="bottom"/>
            <w:hideMark/>
          </w:tcPr>
          <w:p w:rsidR="00E675DF" w:rsidRPr="007A69EB" w:rsidRDefault="00E675DF" w:rsidP="00E675DF">
            <w:pPr>
              <w:jc w:val="center"/>
              <w:rPr>
                <w:color w:val="000000"/>
                <w:sz w:val="20"/>
                <w:szCs w:val="20"/>
                <w:lang w:val="nl-NL"/>
              </w:rPr>
            </w:pPr>
            <w:r w:rsidRPr="007A69EB">
              <w:rPr>
                <w:color w:val="000000"/>
                <w:sz w:val="20"/>
                <w:szCs w:val="20"/>
                <w:lang w:val="nl-NL"/>
              </w:rPr>
              <w:t>Q1</w:t>
            </w:r>
          </w:p>
        </w:tc>
        <w:tc>
          <w:tcPr>
            <w:tcW w:w="921" w:type="dxa"/>
            <w:tcBorders>
              <w:top w:val="double" w:sz="6" w:space="0" w:color="auto"/>
              <w:left w:val="nil"/>
              <w:bottom w:val="single" w:sz="4" w:space="0" w:color="auto"/>
              <w:right w:val="nil"/>
            </w:tcBorders>
            <w:shd w:val="clear" w:color="auto" w:fill="auto"/>
            <w:noWrap/>
            <w:vAlign w:val="bottom"/>
            <w:hideMark/>
          </w:tcPr>
          <w:p w:rsidR="00E675DF" w:rsidRPr="007A69EB" w:rsidRDefault="00E675DF" w:rsidP="00E675DF">
            <w:pPr>
              <w:jc w:val="center"/>
              <w:rPr>
                <w:color w:val="000000"/>
                <w:sz w:val="20"/>
                <w:szCs w:val="20"/>
                <w:lang w:val="nl-NL"/>
              </w:rPr>
            </w:pPr>
            <w:r w:rsidRPr="007A69EB">
              <w:rPr>
                <w:color w:val="000000"/>
                <w:sz w:val="20"/>
                <w:szCs w:val="20"/>
                <w:lang w:val="nl-NL"/>
              </w:rPr>
              <w:t>Q3</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Option grants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0,133</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0,069</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0,23</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color w:val="000000"/>
                <w:sz w:val="20"/>
                <w:szCs w:val="20"/>
                <w:lang w:val="nl-NL"/>
              </w:rPr>
            </w:pPr>
            <w:r w:rsidRPr="007A69EB">
              <w:rPr>
                <w:color w:val="000000"/>
                <w:sz w:val="20"/>
                <w:szCs w:val="20"/>
                <w:lang w:val="nl-NL"/>
              </w:rPr>
              <w:t>0</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0,144</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Option grants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0,04</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0,023</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0,062</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0,004</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0,049</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Exercisable options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0,665</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0,383</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0,871</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0,14</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0,77</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Exercisable options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0,144</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0,076</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0,226</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0,025</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0,175</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proofErr w:type="spellStart"/>
            <w:r w:rsidRPr="007A69EB">
              <w:rPr>
                <w:color w:val="000000"/>
                <w:sz w:val="20"/>
                <w:szCs w:val="20"/>
              </w:rPr>
              <w:t>Unexercisable</w:t>
            </w:r>
            <w:proofErr w:type="spellEnd"/>
            <w:r w:rsidRPr="007A69EB">
              <w:rPr>
                <w:color w:val="000000"/>
                <w:sz w:val="20"/>
                <w:szCs w:val="20"/>
              </w:rPr>
              <w:t xml:space="preserve"> options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0,272</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0,151</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0,401</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0,054</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0,326</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proofErr w:type="spellStart"/>
            <w:r w:rsidRPr="007A69EB">
              <w:rPr>
                <w:color w:val="000000"/>
                <w:sz w:val="20"/>
                <w:szCs w:val="20"/>
              </w:rPr>
              <w:t>Unexercisable</w:t>
            </w:r>
            <w:proofErr w:type="spellEnd"/>
            <w:r w:rsidRPr="007A69EB">
              <w:rPr>
                <w:color w:val="000000"/>
                <w:sz w:val="20"/>
                <w:szCs w:val="20"/>
              </w:rPr>
              <w:t xml:space="preserve"> options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0,102</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0,05</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0,463</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0,021</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0,104</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Stock ownership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1,405</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0,462</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2,703</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0,16</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1,31</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Stock ownership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0,147</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0,052</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0,256</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0,018</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0,157</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Restricted stock grants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0,048</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0,111</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0,045</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Restricted stock grants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0,013</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0,001</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0,035</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0,014</w:t>
            </w:r>
          </w:p>
        </w:tc>
      </w:tr>
      <w:tr w:rsidR="00E675DF" w:rsidRPr="00E675DF" w:rsidTr="007A69EB">
        <w:trPr>
          <w:trHeight w:val="300"/>
        </w:trPr>
        <w:tc>
          <w:tcPr>
            <w:tcW w:w="1256" w:type="dxa"/>
            <w:tcBorders>
              <w:top w:val="nil"/>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1649" w:type="dxa"/>
            <w:tcBorders>
              <w:top w:val="nil"/>
              <w:left w:val="nil"/>
              <w:bottom w:val="nil"/>
              <w:right w:val="single" w:sz="4" w:space="0" w:color="auto"/>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1276" w:type="dxa"/>
            <w:tcBorders>
              <w:top w:val="nil"/>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1275" w:type="dxa"/>
            <w:tcBorders>
              <w:top w:val="nil"/>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1347" w:type="dxa"/>
            <w:tcBorders>
              <w:top w:val="nil"/>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c>
          <w:tcPr>
            <w:tcW w:w="921" w:type="dxa"/>
            <w:tcBorders>
              <w:top w:val="nil"/>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Total equity incentives CEO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2,523</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1,402</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3,168</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0,693</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3,124</w:t>
            </w:r>
          </w:p>
        </w:tc>
      </w:tr>
      <w:tr w:rsidR="00E675DF" w:rsidRPr="00E675DF" w:rsidTr="007A69EB">
        <w:trPr>
          <w:trHeight w:val="300"/>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lang w:val="nl-NL"/>
              </w:rPr>
            </w:pPr>
            <w:r w:rsidRPr="007A69EB">
              <w:rPr>
                <w:color w:val="000000"/>
                <w:sz w:val="20"/>
                <w:szCs w:val="20"/>
              </w:rPr>
              <w:t>Total equity incentives CFO (%)</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0,446</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0,271</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0,707</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0,148</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0,51</w:t>
            </w:r>
          </w:p>
        </w:tc>
      </w:tr>
      <w:tr w:rsidR="00E675DF" w:rsidRPr="00E675DF" w:rsidTr="007A69EB">
        <w:trPr>
          <w:trHeight w:val="315"/>
        </w:trPr>
        <w:tc>
          <w:tcPr>
            <w:tcW w:w="2905" w:type="dxa"/>
            <w:gridSpan w:val="2"/>
            <w:tcBorders>
              <w:top w:val="nil"/>
              <w:left w:val="nil"/>
              <w:bottom w:val="nil"/>
              <w:right w:val="single" w:sz="4" w:space="0" w:color="auto"/>
            </w:tcBorders>
            <w:shd w:val="clear" w:color="auto" w:fill="auto"/>
            <w:noWrap/>
            <w:vAlign w:val="bottom"/>
            <w:hideMark/>
          </w:tcPr>
          <w:p w:rsidR="00E675DF" w:rsidRPr="007A69EB" w:rsidRDefault="00E675DF" w:rsidP="00E675DF">
            <w:pPr>
              <w:rPr>
                <w:color w:val="000000"/>
                <w:sz w:val="20"/>
                <w:szCs w:val="20"/>
              </w:rPr>
            </w:pPr>
            <w:r w:rsidRPr="007A69EB">
              <w:rPr>
                <w:color w:val="000000"/>
                <w:sz w:val="20"/>
                <w:szCs w:val="20"/>
              </w:rPr>
              <w:t>Equity incentives CFO/equity incentives CEO</w:t>
            </w:r>
          </w:p>
        </w:tc>
        <w:tc>
          <w:tcPr>
            <w:tcW w:w="1418" w:type="dxa"/>
            <w:tcBorders>
              <w:top w:val="nil"/>
              <w:left w:val="single" w:sz="4" w:space="0" w:color="auto"/>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0,282</w:t>
            </w:r>
          </w:p>
        </w:tc>
        <w:tc>
          <w:tcPr>
            <w:tcW w:w="1276"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0,21</w:t>
            </w:r>
          </w:p>
        </w:tc>
        <w:tc>
          <w:tcPr>
            <w:tcW w:w="1275"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0,556</w:t>
            </w:r>
          </w:p>
        </w:tc>
        <w:tc>
          <w:tcPr>
            <w:tcW w:w="1347"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0,108</w:t>
            </w:r>
          </w:p>
        </w:tc>
        <w:tc>
          <w:tcPr>
            <w:tcW w:w="921" w:type="dxa"/>
            <w:tcBorders>
              <w:top w:val="nil"/>
              <w:left w:val="nil"/>
              <w:bottom w:val="nil"/>
              <w:right w:val="nil"/>
            </w:tcBorders>
            <w:shd w:val="clear" w:color="auto" w:fill="auto"/>
            <w:noWrap/>
            <w:vAlign w:val="bottom"/>
            <w:hideMark/>
          </w:tcPr>
          <w:p w:rsidR="00E675DF" w:rsidRPr="007A69EB" w:rsidRDefault="00E675DF" w:rsidP="00E675DF">
            <w:pPr>
              <w:jc w:val="center"/>
              <w:rPr>
                <w:rFonts w:ascii="Calibri" w:hAnsi="Calibri" w:cs="Calibri"/>
                <w:color w:val="000000"/>
                <w:sz w:val="20"/>
                <w:szCs w:val="20"/>
                <w:lang w:val="nl-NL"/>
              </w:rPr>
            </w:pPr>
            <w:r w:rsidRPr="007A69EB">
              <w:rPr>
                <w:rFonts w:ascii="Calibri" w:hAnsi="Calibri" w:cs="Calibri"/>
                <w:color w:val="000000"/>
                <w:sz w:val="20"/>
                <w:szCs w:val="20"/>
                <w:lang w:val="nl-NL"/>
              </w:rPr>
              <w:t>0,332</w:t>
            </w:r>
          </w:p>
        </w:tc>
      </w:tr>
      <w:tr w:rsidR="00E675DF" w:rsidRPr="00E675DF" w:rsidTr="007A69EB">
        <w:trPr>
          <w:trHeight w:val="315"/>
        </w:trPr>
        <w:tc>
          <w:tcPr>
            <w:tcW w:w="1256"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1649"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1418"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1276"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1275"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1347"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c>
          <w:tcPr>
            <w:tcW w:w="921" w:type="dxa"/>
            <w:tcBorders>
              <w:top w:val="double" w:sz="6" w:space="0" w:color="auto"/>
              <w:left w:val="nil"/>
              <w:bottom w:val="nil"/>
              <w:right w:val="nil"/>
            </w:tcBorders>
            <w:shd w:val="clear" w:color="auto" w:fill="auto"/>
            <w:noWrap/>
            <w:vAlign w:val="bottom"/>
            <w:hideMark/>
          </w:tcPr>
          <w:p w:rsidR="00E675DF" w:rsidRPr="007A69EB" w:rsidRDefault="00E675DF" w:rsidP="00E675DF">
            <w:pPr>
              <w:rPr>
                <w:rFonts w:ascii="Calibri" w:hAnsi="Calibri" w:cs="Calibri"/>
                <w:color w:val="000000"/>
                <w:sz w:val="20"/>
                <w:szCs w:val="20"/>
                <w:lang w:val="nl-NL"/>
              </w:rPr>
            </w:pPr>
            <w:r w:rsidRPr="007A69EB">
              <w:rPr>
                <w:rFonts w:ascii="Calibri" w:hAnsi="Calibri" w:cs="Calibri"/>
                <w:color w:val="000000"/>
                <w:sz w:val="20"/>
                <w:szCs w:val="20"/>
                <w:lang w:val="nl-NL"/>
              </w:rPr>
              <w:t> </w:t>
            </w:r>
          </w:p>
        </w:tc>
      </w:tr>
    </w:tbl>
    <w:p w:rsidR="00327872" w:rsidRDefault="00327872" w:rsidP="00327872"/>
    <w:p w:rsidR="00327872" w:rsidRDefault="00264BDE" w:rsidP="005D7E2C">
      <w:pPr>
        <w:spacing w:line="360" w:lineRule="auto"/>
        <w:jc w:val="both"/>
        <w:rPr>
          <w:sz w:val="22"/>
          <w:szCs w:val="22"/>
        </w:rPr>
      </w:pPr>
      <w:r>
        <w:rPr>
          <w:sz w:val="22"/>
          <w:szCs w:val="22"/>
        </w:rPr>
        <w:t>Table 2</w:t>
      </w:r>
      <w:r w:rsidR="00F97259">
        <w:rPr>
          <w:sz w:val="22"/>
          <w:szCs w:val="22"/>
        </w:rPr>
        <w:t xml:space="preserve"> shows that </w:t>
      </w:r>
      <w:r w:rsidR="00B56A42">
        <w:rPr>
          <w:sz w:val="22"/>
          <w:szCs w:val="22"/>
        </w:rPr>
        <w:t>CEOs are</w:t>
      </w:r>
      <w:r w:rsidR="001B0456">
        <w:rPr>
          <w:sz w:val="22"/>
          <w:szCs w:val="22"/>
        </w:rPr>
        <w:t>,</w:t>
      </w:r>
      <w:r w:rsidR="00B56A42">
        <w:rPr>
          <w:sz w:val="22"/>
          <w:szCs w:val="22"/>
        </w:rPr>
        <w:t xml:space="preserve"> on average</w:t>
      </w:r>
      <w:r w:rsidR="001B0456">
        <w:rPr>
          <w:sz w:val="22"/>
          <w:szCs w:val="22"/>
        </w:rPr>
        <w:t>,</w:t>
      </w:r>
      <w:r w:rsidR="00B56A42">
        <w:rPr>
          <w:sz w:val="22"/>
          <w:szCs w:val="22"/>
        </w:rPr>
        <w:t xml:space="preserve"> </w:t>
      </w:r>
      <w:r w:rsidR="008335D5">
        <w:rPr>
          <w:sz w:val="22"/>
          <w:szCs w:val="22"/>
        </w:rPr>
        <w:t xml:space="preserve">rewarded </w:t>
      </w:r>
      <w:r w:rsidR="00B56A42">
        <w:rPr>
          <w:sz w:val="22"/>
          <w:szCs w:val="22"/>
        </w:rPr>
        <w:t xml:space="preserve">five times more </w:t>
      </w:r>
      <w:r w:rsidR="008335D5">
        <w:rPr>
          <w:sz w:val="22"/>
          <w:szCs w:val="22"/>
        </w:rPr>
        <w:t>w</w:t>
      </w:r>
      <w:r w:rsidR="00B56A42">
        <w:rPr>
          <w:sz w:val="22"/>
          <w:szCs w:val="22"/>
        </w:rPr>
        <w:t xml:space="preserve">ith equity based compensation </w:t>
      </w:r>
      <w:r w:rsidR="007E70DA">
        <w:rPr>
          <w:sz w:val="22"/>
          <w:szCs w:val="22"/>
        </w:rPr>
        <w:t>than</w:t>
      </w:r>
      <w:r w:rsidR="00B56A42">
        <w:rPr>
          <w:sz w:val="22"/>
          <w:szCs w:val="22"/>
        </w:rPr>
        <w:t xml:space="preserve"> CFOs.</w:t>
      </w:r>
      <w:r w:rsidR="008335D5">
        <w:rPr>
          <w:sz w:val="22"/>
          <w:szCs w:val="22"/>
        </w:rPr>
        <w:t xml:space="preserve"> </w:t>
      </w:r>
      <w:r w:rsidR="007A745A">
        <w:rPr>
          <w:sz w:val="22"/>
          <w:szCs w:val="22"/>
        </w:rPr>
        <w:t>A</w:t>
      </w:r>
      <w:r w:rsidR="008335D5">
        <w:rPr>
          <w:sz w:val="22"/>
          <w:szCs w:val="22"/>
        </w:rPr>
        <w:t xml:space="preserve"> large difference</w:t>
      </w:r>
      <w:r w:rsidR="00A1103A">
        <w:rPr>
          <w:sz w:val="22"/>
          <w:szCs w:val="22"/>
        </w:rPr>
        <w:t xml:space="preserve"> in </w:t>
      </w:r>
      <w:r w:rsidR="008335D5">
        <w:rPr>
          <w:sz w:val="22"/>
          <w:szCs w:val="22"/>
        </w:rPr>
        <w:t>stock ownership</w:t>
      </w:r>
      <w:r w:rsidR="007A745A">
        <w:rPr>
          <w:sz w:val="22"/>
          <w:szCs w:val="22"/>
        </w:rPr>
        <w:t xml:space="preserve"> can be observed</w:t>
      </w:r>
      <w:r w:rsidR="00A1103A">
        <w:rPr>
          <w:sz w:val="22"/>
          <w:szCs w:val="22"/>
        </w:rPr>
        <w:t xml:space="preserve">, where CEOs own much more shares than CFOs. </w:t>
      </w:r>
      <w:r w:rsidR="00C27580">
        <w:rPr>
          <w:sz w:val="22"/>
          <w:szCs w:val="22"/>
        </w:rPr>
        <w:t>S</w:t>
      </w:r>
      <w:r w:rsidR="00A1103A">
        <w:rPr>
          <w:sz w:val="22"/>
          <w:szCs w:val="22"/>
        </w:rPr>
        <w:t xml:space="preserve">ince CEOs have more </w:t>
      </w:r>
      <w:r w:rsidR="00C27580">
        <w:rPr>
          <w:sz w:val="22"/>
          <w:szCs w:val="22"/>
        </w:rPr>
        <w:t>responsibilities, they are</w:t>
      </w:r>
      <w:r w:rsidR="00A1103A">
        <w:rPr>
          <w:sz w:val="22"/>
          <w:szCs w:val="22"/>
        </w:rPr>
        <w:t xml:space="preserve"> better </w:t>
      </w:r>
      <w:r w:rsidR="00C27580">
        <w:rPr>
          <w:sz w:val="22"/>
          <w:szCs w:val="22"/>
        </w:rPr>
        <w:t>aligned with the interests of shareholders and have a higher compensation</w:t>
      </w:r>
      <w:r w:rsidR="00A1103A">
        <w:rPr>
          <w:sz w:val="22"/>
          <w:szCs w:val="22"/>
        </w:rPr>
        <w:t xml:space="preserve">. The CEO statistics are more or less similar </w:t>
      </w:r>
      <w:r w:rsidR="00C638C0">
        <w:rPr>
          <w:sz w:val="22"/>
          <w:szCs w:val="22"/>
        </w:rPr>
        <w:t xml:space="preserve">to that of Cheng et al. (2009). </w:t>
      </w:r>
      <w:r w:rsidR="00C27580">
        <w:rPr>
          <w:sz w:val="22"/>
          <w:szCs w:val="22"/>
        </w:rPr>
        <w:t>However, t</w:t>
      </w:r>
      <w:r w:rsidR="00C638C0">
        <w:rPr>
          <w:sz w:val="22"/>
          <w:szCs w:val="22"/>
        </w:rPr>
        <w:t>hey f</w:t>
      </w:r>
      <w:r w:rsidR="00F16099">
        <w:rPr>
          <w:sz w:val="22"/>
          <w:szCs w:val="22"/>
        </w:rPr>
        <w:t>ou</w:t>
      </w:r>
      <w:r w:rsidR="00C638C0">
        <w:rPr>
          <w:sz w:val="22"/>
          <w:szCs w:val="22"/>
        </w:rPr>
        <w:t xml:space="preserve">nd </w:t>
      </w:r>
      <w:r w:rsidR="00F16099">
        <w:rPr>
          <w:sz w:val="22"/>
          <w:szCs w:val="22"/>
        </w:rPr>
        <w:t>1</w:t>
      </w:r>
      <w:proofErr w:type="gramStart"/>
      <w:r w:rsidR="00F16099">
        <w:rPr>
          <w:sz w:val="22"/>
          <w:szCs w:val="22"/>
        </w:rPr>
        <w:t>,96</w:t>
      </w:r>
      <w:proofErr w:type="gramEnd"/>
      <w:r w:rsidR="00F16099">
        <w:rPr>
          <w:sz w:val="22"/>
          <w:szCs w:val="22"/>
        </w:rPr>
        <w:t xml:space="preserve">% </w:t>
      </w:r>
      <w:r w:rsidR="00C638C0">
        <w:rPr>
          <w:sz w:val="22"/>
          <w:szCs w:val="22"/>
        </w:rPr>
        <w:t xml:space="preserve">for total CEO equity incentive, while the result above shows a 2,52% for the same variable. A possible explanation is that </w:t>
      </w:r>
      <w:r w:rsidR="00C27580">
        <w:rPr>
          <w:sz w:val="22"/>
          <w:szCs w:val="22"/>
        </w:rPr>
        <w:t xml:space="preserve">the sample period of </w:t>
      </w:r>
      <w:r w:rsidR="00C638C0">
        <w:rPr>
          <w:sz w:val="22"/>
          <w:szCs w:val="22"/>
        </w:rPr>
        <w:t>Cheng et al. (2009) started from 1994, while the sample period of this paper starts from 1998. The use of equity-</w:t>
      </w:r>
      <w:r w:rsidR="00C638C0">
        <w:rPr>
          <w:sz w:val="22"/>
          <w:szCs w:val="22"/>
        </w:rPr>
        <w:lastRenderedPageBreak/>
        <w:t xml:space="preserve">based compensation </w:t>
      </w:r>
      <w:r w:rsidR="004D1436">
        <w:rPr>
          <w:sz w:val="22"/>
          <w:szCs w:val="22"/>
        </w:rPr>
        <w:t xml:space="preserve">has </w:t>
      </w:r>
      <w:r w:rsidR="00C638C0">
        <w:rPr>
          <w:sz w:val="22"/>
          <w:szCs w:val="22"/>
        </w:rPr>
        <w:t xml:space="preserve">increased over the years, hence the higher average CEO equity incentive is found in this paper. </w:t>
      </w:r>
      <w:r w:rsidR="00F0026D">
        <w:rPr>
          <w:sz w:val="22"/>
          <w:szCs w:val="22"/>
        </w:rPr>
        <w:t xml:space="preserve">The last row presents the ratio of equity incentives of the CFO relative to the CEO. It shows that CFO equity incentives range from 11% (Q1) to 33% (Q2) of CEO equity incentives. If the manager’s equity based incentives reflects his importance of the firm, then the importance of CFOs doesn’t </w:t>
      </w:r>
      <w:r w:rsidR="00C541BF">
        <w:rPr>
          <w:sz w:val="22"/>
          <w:szCs w:val="22"/>
        </w:rPr>
        <w:t xml:space="preserve">differ much </w:t>
      </w:r>
      <w:r w:rsidR="00F0026D">
        <w:rPr>
          <w:sz w:val="22"/>
          <w:szCs w:val="22"/>
        </w:rPr>
        <w:t>in banks.</w:t>
      </w:r>
      <w:r w:rsidR="00C541BF">
        <w:rPr>
          <w:sz w:val="22"/>
          <w:szCs w:val="22"/>
        </w:rPr>
        <w:t xml:space="preserve"> Compared to nonbanks Jiang et al. (2010) f</w:t>
      </w:r>
      <w:r w:rsidR="004D1436">
        <w:rPr>
          <w:sz w:val="22"/>
          <w:szCs w:val="22"/>
        </w:rPr>
        <w:t>ou</w:t>
      </w:r>
      <w:r w:rsidR="00C541BF">
        <w:rPr>
          <w:sz w:val="22"/>
          <w:szCs w:val="22"/>
        </w:rPr>
        <w:t xml:space="preserve">nd </w:t>
      </w:r>
      <w:r w:rsidR="004D1436">
        <w:rPr>
          <w:sz w:val="22"/>
          <w:szCs w:val="22"/>
        </w:rPr>
        <w:t>the distribution of</w:t>
      </w:r>
      <w:r w:rsidR="00C541BF">
        <w:rPr>
          <w:sz w:val="22"/>
          <w:szCs w:val="22"/>
        </w:rPr>
        <w:t xml:space="preserve"> </w:t>
      </w:r>
      <w:r w:rsidR="004D1436">
        <w:rPr>
          <w:sz w:val="22"/>
          <w:szCs w:val="22"/>
        </w:rPr>
        <w:t xml:space="preserve">the </w:t>
      </w:r>
      <w:r w:rsidR="00C541BF">
        <w:rPr>
          <w:sz w:val="22"/>
          <w:szCs w:val="22"/>
        </w:rPr>
        <w:t xml:space="preserve">ratio </w:t>
      </w:r>
      <w:r w:rsidR="004D1436">
        <w:rPr>
          <w:sz w:val="22"/>
          <w:szCs w:val="22"/>
        </w:rPr>
        <w:t>going</w:t>
      </w:r>
      <w:r w:rsidR="00C541BF">
        <w:rPr>
          <w:sz w:val="22"/>
          <w:szCs w:val="22"/>
        </w:rPr>
        <w:t xml:space="preserve"> from 28% (Q1) to 81% (Q2), meaning that the import</w:t>
      </w:r>
      <w:r w:rsidR="004D1436">
        <w:rPr>
          <w:sz w:val="22"/>
          <w:szCs w:val="22"/>
        </w:rPr>
        <w:t>ance of CFOs varies more in the industrial firms than banks</w:t>
      </w:r>
      <w:r w:rsidR="00C541BF">
        <w:rPr>
          <w:sz w:val="22"/>
          <w:szCs w:val="22"/>
        </w:rPr>
        <w:t>.</w:t>
      </w:r>
      <w:r w:rsidR="00270E42">
        <w:rPr>
          <w:sz w:val="22"/>
          <w:szCs w:val="22"/>
        </w:rPr>
        <w:t xml:space="preserve"> </w:t>
      </w:r>
      <w:r w:rsidR="0034414E">
        <w:rPr>
          <w:sz w:val="22"/>
          <w:szCs w:val="22"/>
        </w:rPr>
        <w:t>In the next table, the correlation between the CEO and CFO compensation elements are presented.</w:t>
      </w:r>
      <w:r w:rsidR="00C541BF">
        <w:rPr>
          <w:sz w:val="22"/>
          <w:szCs w:val="22"/>
        </w:rPr>
        <w:t xml:space="preserve"> </w:t>
      </w:r>
    </w:p>
    <w:p w:rsidR="0020411E" w:rsidRPr="001340C8" w:rsidRDefault="0020411E" w:rsidP="005D7E2C">
      <w:pPr>
        <w:spacing w:line="360" w:lineRule="auto"/>
        <w:jc w:val="both"/>
        <w:rPr>
          <w:sz w:val="20"/>
          <w:szCs w:val="20"/>
        </w:rPr>
      </w:pPr>
    </w:p>
    <w:tbl>
      <w:tblPr>
        <w:tblW w:w="9087" w:type="dxa"/>
        <w:tblInd w:w="55" w:type="dxa"/>
        <w:tblCellMar>
          <w:left w:w="70" w:type="dxa"/>
          <w:right w:w="70" w:type="dxa"/>
        </w:tblCellMar>
        <w:tblLook w:val="04A0"/>
      </w:tblPr>
      <w:tblGrid>
        <w:gridCol w:w="2142"/>
        <w:gridCol w:w="1134"/>
        <w:gridCol w:w="1134"/>
        <w:gridCol w:w="1275"/>
        <w:gridCol w:w="1134"/>
        <w:gridCol w:w="142"/>
        <w:gridCol w:w="992"/>
        <w:gridCol w:w="1134"/>
      </w:tblGrid>
      <w:tr w:rsidR="0034414E" w:rsidRPr="001340C8" w:rsidTr="00514B83">
        <w:trPr>
          <w:trHeight w:val="315"/>
        </w:trPr>
        <w:tc>
          <w:tcPr>
            <w:tcW w:w="9087" w:type="dxa"/>
            <w:gridSpan w:val="8"/>
            <w:tcBorders>
              <w:top w:val="nil"/>
              <w:left w:val="nil"/>
              <w:bottom w:val="double" w:sz="6" w:space="0" w:color="auto"/>
              <w:right w:val="nil"/>
            </w:tcBorders>
            <w:shd w:val="clear" w:color="auto" w:fill="auto"/>
            <w:noWrap/>
            <w:vAlign w:val="bottom"/>
            <w:hideMark/>
          </w:tcPr>
          <w:p w:rsidR="0034414E" w:rsidRPr="00017FF5" w:rsidRDefault="00E91E43" w:rsidP="0034414E">
            <w:pPr>
              <w:jc w:val="center"/>
              <w:rPr>
                <w:b/>
                <w:color w:val="000000"/>
                <w:sz w:val="22"/>
                <w:szCs w:val="22"/>
              </w:rPr>
            </w:pPr>
            <w:r>
              <w:rPr>
                <w:b/>
                <w:color w:val="000000"/>
                <w:sz w:val="22"/>
                <w:szCs w:val="22"/>
              </w:rPr>
              <w:t>Table 3</w:t>
            </w:r>
          </w:p>
          <w:p w:rsidR="00D741BD" w:rsidRPr="005611CF" w:rsidRDefault="00D741BD" w:rsidP="007A69EB">
            <w:pPr>
              <w:jc w:val="center"/>
              <w:rPr>
                <w:rFonts w:ascii="Calibri" w:hAnsi="Calibri" w:cs="Calibri"/>
                <w:color w:val="000000"/>
                <w:sz w:val="22"/>
                <w:szCs w:val="22"/>
                <w:lang w:val="nl-NL"/>
              </w:rPr>
            </w:pPr>
            <w:r w:rsidRPr="005611CF">
              <w:rPr>
                <w:color w:val="000000"/>
                <w:sz w:val="22"/>
                <w:szCs w:val="22"/>
              </w:rPr>
              <w:t xml:space="preserve">Pearson </w:t>
            </w:r>
            <w:r w:rsidR="007A69EB" w:rsidRPr="005611CF">
              <w:rPr>
                <w:color w:val="000000"/>
                <w:sz w:val="22"/>
                <w:szCs w:val="22"/>
              </w:rPr>
              <w:t>C</w:t>
            </w:r>
            <w:r w:rsidRPr="005611CF">
              <w:rPr>
                <w:color w:val="000000"/>
                <w:sz w:val="22"/>
                <w:szCs w:val="22"/>
              </w:rPr>
              <w:t>orrelation</w:t>
            </w:r>
            <w:r w:rsidR="000D3392" w:rsidRPr="005611CF">
              <w:rPr>
                <w:color w:val="000000"/>
                <w:sz w:val="22"/>
                <w:szCs w:val="22"/>
              </w:rPr>
              <w:t xml:space="preserve"> </w:t>
            </w:r>
            <w:r w:rsidR="007A69EB" w:rsidRPr="005611CF">
              <w:rPr>
                <w:color w:val="000000"/>
                <w:sz w:val="22"/>
                <w:szCs w:val="22"/>
              </w:rPr>
              <w:t>C</w:t>
            </w:r>
            <w:r w:rsidR="000D3392" w:rsidRPr="005611CF">
              <w:rPr>
                <w:color w:val="000000"/>
                <w:sz w:val="22"/>
                <w:szCs w:val="22"/>
              </w:rPr>
              <w:t>oefficient</w:t>
            </w:r>
            <w:r w:rsidR="00293C6E">
              <w:rPr>
                <w:color w:val="000000"/>
                <w:sz w:val="22"/>
                <w:szCs w:val="22"/>
              </w:rPr>
              <w:t xml:space="preserve"> (1998-2008)</w:t>
            </w:r>
          </w:p>
        </w:tc>
      </w:tr>
      <w:tr w:rsidR="00DA16B1" w:rsidRPr="00DA16B1" w:rsidTr="00514B83">
        <w:trPr>
          <w:trHeight w:val="345"/>
        </w:trPr>
        <w:tc>
          <w:tcPr>
            <w:tcW w:w="2142" w:type="dxa"/>
            <w:tcBorders>
              <w:top w:val="double" w:sz="6" w:space="0" w:color="auto"/>
              <w:left w:val="nil"/>
              <w:bottom w:val="single" w:sz="8" w:space="0" w:color="auto"/>
              <w:right w:val="single" w:sz="4" w:space="0" w:color="000000"/>
            </w:tcBorders>
            <w:shd w:val="clear" w:color="auto" w:fill="auto"/>
            <w:noWrap/>
            <w:vAlign w:val="bottom"/>
            <w:hideMark/>
          </w:tcPr>
          <w:p w:rsidR="00DA16B1" w:rsidRPr="007A69EB" w:rsidRDefault="00DA16B1" w:rsidP="00DA16B1">
            <w:pPr>
              <w:rPr>
                <w:color w:val="000000"/>
                <w:sz w:val="20"/>
                <w:szCs w:val="20"/>
                <w:lang w:val="nl-NL"/>
              </w:rPr>
            </w:pPr>
            <w:r w:rsidRPr="007A69EB">
              <w:rPr>
                <w:color w:val="000000"/>
                <w:sz w:val="20"/>
                <w:szCs w:val="20"/>
              </w:rPr>
              <w:t>Variables</w:t>
            </w:r>
          </w:p>
        </w:tc>
        <w:tc>
          <w:tcPr>
            <w:tcW w:w="1134" w:type="dxa"/>
            <w:tcBorders>
              <w:top w:val="nil"/>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r w:rsidRPr="00DA16B1">
              <w:rPr>
                <w:color w:val="000000"/>
                <w:sz w:val="18"/>
                <w:szCs w:val="18"/>
              </w:rPr>
              <w:t>Option grants CEO</w:t>
            </w:r>
          </w:p>
        </w:tc>
        <w:tc>
          <w:tcPr>
            <w:tcW w:w="1134" w:type="dxa"/>
            <w:tcBorders>
              <w:top w:val="nil"/>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r w:rsidRPr="00DA16B1">
              <w:rPr>
                <w:color w:val="000000"/>
                <w:sz w:val="18"/>
                <w:szCs w:val="18"/>
              </w:rPr>
              <w:t>Exercisable options CEO</w:t>
            </w:r>
          </w:p>
        </w:tc>
        <w:tc>
          <w:tcPr>
            <w:tcW w:w="1275" w:type="dxa"/>
            <w:tcBorders>
              <w:top w:val="double" w:sz="6" w:space="0" w:color="auto"/>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proofErr w:type="spellStart"/>
            <w:r w:rsidRPr="00DA16B1">
              <w:rPr>
                <w:color w:val="000000"/>
                <w:sz w:val="18"/>
                <w:szCs w:val="18"/>
              </w:rPr>
              <w:t>Unexercisable</w:t>
            </w:r>
            <w:proofErr w:type="spellEnd"/>
            <w:r w:rsidRPr="00DA16B1">
              <w:rPr>
                <w:color w:val="000000"/>
                <w:sz w:val="18"/>
                <w:szCs w:val="18"/>
              </w:rPr>
              <w:t xml:space="preserve"> options CEO</w:t>
            </w:r>
          </w:p>
        </w:tc>
        <w:tc>
          <w:tcPr>
            <w:tcW w:w="1134" w:type="dxa"/>
            <w:tcBorders>
              <w:top w:val="double" w:sz="6" w:space="0" w:color="auto"/>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r w:rsidRPr="00DA16B1">
              <w:rPr>
                <w:color w:val="000000"/>
                <w:sz w:val="18"/>
                <w:szCs w:val="18"/>
              </w:rPr>
              <w:t>Stock ownership CEO</w:t>
            </w:r>
          </w:p>
        </w:tc>
        <w:tc>
          <w:tcPr>
            <w:tcW w:w="1134" w:type="dxa"/>
            <w:gridSpan w:val="2"/>
            <w:tcBorders>
              <w:top w:val="double" w:sz="6" w:space="0" w:color="auto"/>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r w:rsidRPr="00DA16B1">
              <w:rPr>
                <w:color w:val="000000"/>
                <w:sz w:val="18"/>
                <w:szCs w:val="18"/>
              </w:rPr>
              <w:t>Restricted stock grants CEO</w:t>
            </w:r>
          </w:p>
        </w:tc>
        <w:tc>
          <w:tcPr>
            <w:tcW w:w="1134" w:type="dxa"/>
            <w:tcBorders>
              <w:top w:val="double" w:sz="6" w:space="0" w:color="auto"/>
              <w:left w:val="nil"/>
              <w:bottom w:val="single" w:sz="8" w:space="0" w:color="auto"/>
              <w:right w:val="nil"/>
            </w:tcBorders>
            <w:shd w:val="clear" w:color="auto" w:fill="auto"/>
            <w:noWrap/>
            <w:vAlign w:val="bottom"/>
            <w:hideMark/>
          </w:tcPr>
          <w:p w:rsidR="00DA16B1" w:rsidRPr="00DA16B1" w:rsidRDefault="00DA16B1" w:rsidP="007A69EB">
            <w:pPr>
              <w:jc w:val="center"/>
              <w:rPr>
                <w:color w:val="000000"/>
                <w:sz w:val="18"/>
                <w:szCs w:val="18"/>
                <w:lang w:val="nl-NL"/>
              </w:rPr>
            </w:pPr>
            <w:r w:rsidRPr="00DA16B1">
              <w:rPr>
                <w:color w:val="000000"/>
                <w:sz w:val="18"/>
                <w:szCs w:val="18"/>
              </w:rPr>
              <w:t>Total equity incentive CEO</w:t>
            </w:r>
          </w:p>
        </w:tc>
      </w:tr>
      <w:tr w:rsidR="00DA16B1" w:rsidRPr="00DA16B1" w:rsidTr="00514B83">
        <w:trPr>
          <w:trHeight w:val="315"/>
        </w:trPr>
        <w:tc>
          <w:tcPr>
            <w:tcW w:w="2142" w:type="dxa"/>
            <w:tcBorders>
              <w:top w:val="single" w:sz="8" w:space="0" w:color="auto"/>
              <w:left w:val="nil"/>
              <w:bottom w:val="nil"/>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r w:rsidRPr="00DA16B1">
              <w:rPr>
                <w:color w:val="000000"/>
                <w:sz w:val="18"/>
                <w:szCs w:val="18"/>
              </w:rPr>
              <w:t>Option grants CFO</w:t>
            </w:r>
          </w:p>
        </w:tc>
        <w:tc>
          <w:tcPr>
            <w:tcW w:w="1134" w:type="dxa"/>
            <w:tcBorders>
              <w:top w:val="nil"/>
              <w:left w:val="nil"/>
              <w:bottom w:val="nil"/>
              <w:right w:val="nil"/>
            </w:tcBorders>
            <w:shd w:val="clear" w:color="auto" w:fill="auto"/>
            <w:noWrap/>
            <w:vAlign w:val="bottom"/>
            <w:hideMark/>
          </w:tcPr>
          <w:p w:rsidR="00DA16B1" w:rsidRPr="007A69EB" w:rsidRDefault="00DA16B1" w:rsidP="00514B83">
            <w:pPr>
              <w:jc w:val="center"/>
              <w:rPr>
                <w:color w:val="000000"/>
                <w:sz w:val="20"/>
                <w:szCs w:val="20"/>
                <w:lang w:val="nl-NL"/>
              </w:rPr>
            </w:pPr>
            <w:r w:rsidRPr="007A69EB">
              <w:rPr>
                <w:color w:val="000000"/>
                <w:sz w:val="20"/>
                <w:szCs w:val="20"/>
              </w:rPr>
              <w:t>0,617</w:t>
            </w:r>
            <w:r w:rsidR="00514B83">
              <w:rPr>
                <w:color w:val="000000"/>
                <w:sz w:val="20"/>
                <w:szCs w:val="20"/>
              </w:rPr>
              <w:t>*</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5"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6" w:type="dxa"/>
            <w:gridSpan w:val="2"/>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992"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r>
      <w:tr w:rsidR="00DA16B1" w:rsidRPr="00DA16B1" w:rsidTr="00514B83">
        <w:trPr>
          <w:trHeight w:val="315"/>
        </w:trPr>
        <w:tc>
          <w:tcPr>
            <w:tcW w:w="2142" w:type="dxa"/>
            <w:tcBorders>
              <w:top w:val="nil"/>
              <w:left w:val="nil"/>
              <w:bottom w:val="nil"/>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r w:rsidRPr="00DA16B1">
              <w:rPr>
                <w:color w:val="000000"/>
                <w:sz w:val="18"/>
                <w:szCs w:val="18"/>
              </w:rPr>
              <w:t>Exercisable options CFO</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r w:rsidRPr="007A69EB">
              <w:rPr>
                <w:color w:val="000000"/>
                <w:sz w:val="20"/>
                <w:szCs w:val="20"/>
              </w:rPr>
              <w:t>0,418</w:t>
            </w:r>
            <w:r w:rsidR="00514B83">
              <w:rPr>
                <w:color w:val="000000"/>
                <w:sz w:val="20"/>
                <w:szCs w:val="20"/>
              </w:rPr>
              <w:t>*</w:t>
            </w:r>
          </w:p>
        </w:tc>
        <w:tc>
          <w:tcPr>
            <w:tcW w:w="1275"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6" w:type="dxa"/>
            <w:gridSpan w:val="2"/>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992"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r>
      <w:tr w:rsidR="00DA16B1" w:rsidRPr="00DA16B1" w:rsidTr="00514B83">
        <w:trPr>
          <w:trHeight w:val="315"/>
        </w:trPr>
        <w:tc>
          <w:tcPr>
            <w:tcW w:w="2142" w:type="dxa"/>
            <w:tcBorders>
              <w:top w:val="nil"/>
              <w:left w:val="nil"/>
              <w:bottom w:val="nil"/>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proofErr w:type="spellStart"/>
            <w:r w:rsidRPr="00DA16B1">
              <w:rPr>
                <w:color w:val="000000"/>
                <w:sz w:val="18"/>
                <w:szCs w:val="18"/>
              </w:rPr>
              <w:t>Unexercisable</w:t>
            </w:r>
            <w:proofErr w:type="spellEnd"/>
            <w:r w:rsidRPr="00DA16B1">
              <w:rPr>
                <w:color w:val="000000"/>
                <w:sz w:val="18"/>
                <w:szCs w:val="18"/>
              </w:rPr>
              <w:t xml:space="preserve"> options CFO</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5" w:type="dxa"/>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r w:rsidRPr="007A69EB">
              <w:rPr>
                <w:color w:val="000000"/>
                <w:sz w:val="20"/>
                <w:szCs w:val="20"/>
              </w:rPr>
              <w:t>0,144</w:t>
            </w:r>
            <w:r w:rsidR="00514B83">
              <w:rPr>
                <w:color w:val="000000"/>
                <w:sz w:val="20"/>
                <w:szCs w:val="20"/>
              </w:rPr>
              <w:t>*</w:t>
            </w:r>
          </w:p>
        </w:tc>
        <w:tc>
          <w:tcPr>
            <w:tcW w:w="1276" w:type="dxa"/>
            <w:gridSpan w:val="2"/>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992"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r>
      <w:tr w:rsidR="00DA16B1" w:rsidRPr="00DA16B1" w:rsidTr="00514B83">
        <w:trPr>
          <w:trHeight w:val="315"/>
        </w:trPr>
        <w:tc>
          <w:tcPr>
            <w:tcW w:w="2142" w:type="dxa"/>
            <w:tcBorders>
              <w:top w:val="nil"/>
              <w:left w:val="nil"/>
              <w:bottom w:val="nil"/>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r w:rsidRPr="00DA16B1">
              <w:rPr>
                <w:color w:val="000000"/>
                <w:sz w:val="18"/>
                <w:szCs w:val="18"/>
              </w:rPr>
              <w:t>Stock ownership CFO</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5"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6" w:type="dxa"/>
            <w:gridSpan w:val="2"/>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r w:rsidRPr="007A69EB">
              <w:rPr>
                <w:color w:val="000000"/>
                <w:sz w:val="20"/>
                <w:szCs w:val="20"/>
              </w:rPr>
              <w:t>0,262</w:t>
            </w:r>
            <w:r w:rsidR="00514B83">
              <w:rPr>
                <w:color w:val="000000"/>
                <w:sz w:val="20"/>
                <w:szCs w:val="20"/>
              </w:rPr>
              <w:t>*</w:t>
            </w:r>
          </w:p>
        </w:tc>
        <w:tc>
          <w:tcPr>
            <w:tcW w:w="992"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r>
      <w:tr w:rsidR="00DA16B1" w:rsidRPr="00DA16B1" w:rsidTr="00514B83">
        <w:trPr>
          <w:trHeight w:val="480"/>
        </w:trPr>
        <w:tc>
          <w:tcPr>
            <w:tcW w:w="2142" w:type="dxa"/>
            <w:tcBorders>
              <w:top w:val="nil"/>
              <w:left w:val="nil"/>
              <w:bottom w:val="nil"/>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r w:rsidRPr="00DA16B1">
              <w:rPr>
                <w:color w:val="000000"/>
                <w:sz w:val="18"/>
                <w:szCs w:val="18"/>
              </w:rPr>
              <w:t>Restricted stock grants CFO</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5"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1276" w:type="dxa"/>
            <w:gridSpan w:val="2"/>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c>
          <w:tcPr>
            <w:tcW w:w="992" w:type="dxa"/>
            <w:tcBorders>
              <w:top w:val="nil"/>
              <w:left w:val="nil"/>
              <w:bottom w:val="nil"/>
              <w:right w:val="nil"/>
            </w:tcBorders>
            <w:shd w:val="clear" w:color="auto" w:fill="auto"/>
            <w:noWrap/>
            <w:vAlign w:val="bottom"/>
            <w:hideMark/>
          </w:tcPr>
          <w:p w:rsidR="00DA16B1" w:rsidRPr="007A69EB" w:rsidRDefault="00DA16B1" w:rsidP="007A69EB">
            <w:pPr>
              <w:jc w:val="center"/>
              <w:rPr>
                <w:color w:val="000000"/>
                <w:sz w:val="20"/>
                <w:szCs w:val="20"/>
                <w:lang w:val="nl-NL"/>
              </w:rPr>
            </w:pPr>
            <w:r w:rsidRPr="007A69EB">
              <w:rPr>
                <w:color w:val="000000"/>
                <w:sz w:val="20"/>
                <w:szCs w:val="20"/>
              </w:rPr>
              <w:t>0,787</w:t>
            </w:r>
            <w:r w:rsidR="00514B83">
              <w:rPr>
                <w:color w:val="000000"/>
                <w:sz w:val="20"/>
                <w:szCs w:val="20"/>
              </w:rPr>
              <w:t>*</w:t>
            </w:r>
          </w:p>
        </w:tc>
        <w:tc>
          <w:tcPr>
            <w:tcW w:w="1134" w:type="dxa"/>
            <w:tcBorders>
              <w:top w:val="nil"/>
              <w:left w:val="nil"/>
              <w:bottom w:val="nil"/>
              <w:right w:val="nil"/>
            </w:tcBorders>
            <w:shd w:val="clear" w:color="auto" w:fill="auto"/>
            <w:noWrap/>
            <w:vAlign w:val="bottom"/>
            <w:hideMark/>
          </w:tcPr>
          <w:p w:rsidR="00DA16B1" w:rsidRPr="007A69EB" w:rsidRDefault="00DA16B1" w:rsidP="007A69EB">
            <w:pPr>
              <w:jc w:val="center"/>
              <w:rPr>
                <w:rFonts w:ascii="Calibri" w:hAnsi="Calibri" w:cs="Calibri"/>
                <w:color w:val="000000"/>
                <w:sz w:val="20"/>
                <w:szCs w:val="20"/>
                <w:lang w:val="nl-NL"/>
              </w:rPr>
            </w:pPr>
          </w:p>
        </w:tc>
      </w:tr>
      <w:tr w:rsidR="00DA16B1" w:rsidRPr="00DA16B1" w:rsidTr="00514B83">
        <w:trPr>
          <w:trHeight w:val="330"/>
        </w:trPr>
        <w:tc>
          <w:tcPr>
            <w:tcW w:w="2142" w:type="dxa"/>
            <w:tcBorders>
              <w:top w:val="nil"/>
              <w:left w:val="nil"/>
              <w:bottom w:val="double" w:sz="6" w:space="0" w:color="auto"/>
              <w:right w:val="single" w:sz="4" w:space="0" w:color="000000"/>
            </w:tcBorders>
            <w:shd w:val="clear" w:color="auto" w:fill="auto"/>
            <w:noWrap/>
            <w:vAlign w:val="bottom"/>
            <w:hideMark/>
          </w:tcPr>
          <w:p w:rsidR="00DA16B1" w:rsidRPr="00DA16B1" w:rsidRDefault="00DA16B1" w:rsidP="00DA16B1">
            <w:pPr>
              <w:rPr>
                <w:color w:val="000000"/>
                <w:sz w:val="18"/>
                <w:szCs w:val="18"/>
                <w:lang w:val="nl-NL"/>
              </w:rPr>
            </w:pPr>
            <w:r w:rsidRPr="00DA16B1">
              <w:rPr>
                <w:color w:val="000000"/>
                <w:sz w:val="18"/>
                <w:szCs w:val="18"/>
              </w:rPr>
              <w:t>Total equity incentive CFO</w:t>
            </w:r>
          </w:p>
        </w:tc>
        <w:tc>
          <w:tcPr>
            <w:tcW w:w="1134" w:type="dxa"/>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134" w:type="dxa"/>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275" w:type="dxa"/>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276" w:type="dxa"/>
            <w:gridSpan w:val="2"/>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992" w:type="dxa"/>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p>
        </w:tc>
        <w:tc>
          <w:tcPr>
            <w:tcW w:w="1134" w:type="dxa"/>
            <w:tcBorders>
              <w:top w:val="nil"/>
              <w:left w:val="nil"/>
              <w:bottom w:val="double" w:sz="6" w:space="0" w:color="auto"/>
              <w:right w:val="nil"/>
            </w:tcBorders>
            <w:shd w:val="clear" w:color="auto" w:fill="auto"/>
            <w:noWrap/>
            <w:vAlign w:val="bottom"/>
            <w:hideMark/>
          </w:tcPr>
          <w:p w:rsidR="00DA16B1" w:rsidRPr="007A69EB" w:rsidRDefault="00DA16B1" w:rsidP="007A69EB">
            <w:pPr>
              <w:jc w:val="center"/>
              <w:rPr>
                <w:color w:val="000000"/>
                <w:sz w:val="20"/>
                <w:szCs w:val="20"/>
                <w:lang w:val="nl-NL"/>
              </w:rPr>
            </w:pPr>
            <w:r w:rsidRPr="007A69EB">
              <w:rPr>
                <w:color w:val="000000"/>
                <w:sz w:val="20"/>
                <w:szCs w:val="20"/>
              </w:rPr>
              <w:t>0,305</w:t>
            </w:r>
            <w:r w:rsidR="00514B83">
              <w:rPr>
                <w:color w:val="000000"/>
                <w:sz w:val="20"/>
                <w:szCs w:val="20"/>
              </w:rPr>
              <w:t>*</w:t>
            </w:r>
          </w:p>
        </w:tc>
      </w:tr>
    </w:tbl>
    <w:p w:rsidR="009A18A5" w:rsidRPr="00016E35" w:rsidRDefault="00514B83" w:rsidP="005611CF">
      <w:pPr>
        <w:pBdr>
          <w:bottom w:val="single" w:sz="4" w:space="1" w:color="auto"/>
        </w:pBdr>
        <w:spacing w:before="120" w:line="360" w:lineRule="auto"/>
        <w:jc w:val="both"/>
        <w:rPr>
          <w:sz w:val="18"/>
          <w:szCs w:val="18"/>
        </w:rPr>
      </w:pPr>
      <w:r w:rsidRPr="00016E35">
        <w:rPr>
          <w:sz w:val="18"/>
          <w:szCs w:val="18"/>
        </w:rPr>
        <w:t>* = Corr</w:t>
      </w:r>
      <w:r w:rsidR="00666522">
        <w:rPr>
          <w:sz w:val="18"/>
          <w:szCs w:val="18"/>
        </w:rPr>
        <w:t>elation is significant at the 0</w:t>
      </w:r>
      <w:proofErr w:type="gramStart"/>
      <w:r w:rsidR="00666522">
        <w:rPr>
          <w:sz w:val="18"/>
          <w:szCs w:val="18"/>
        </w:rPr>
        <w:t>,</w:t>
      </w:r>
      <w:r w:rsidRPr="00016E35">
        <w:rPr>
          <w:sz w:val="18"/>
          <w:szCs w:val="18"/>
        </w:rPr>
        <w:t>01</w:t>
      </w:r>
      <w:proofErr w:type="gramEnd"/>
      <w:r w:rsidRPr="00016E35">
        <w:rPr>
          <w:sz w:val="18"/>
          <w:szCs w:val="18"/>
        </w:rPr>
        <w:t xml:space="preserve"> level (2-tailed).</w:t>
      </w:r>
    </w:p>
    <w:p w:rsidR="00514B83" w:rsidRPr="005D7E2C" w:rsidRDefault="00514B83" w:rsidP="005D7E2C">
      <w:pPr>
        <w:spacing w:line="360" w:lineRule="auto"/>
        <w:jc w:val="both"/>
        <w:rPr>
          <w:sz w:val="22"/>
          <w:szCs w:val="22"/>
        </w:rPr>
      </w:pPr>
    </w:p>
    <w:p w:rsidR="0020411E" w:rsidRDefault="0020411E" w:rsidP="009A18A5">
      <w:pPr>
        <w:spacing w:line="360" w:lineRule="auto"/>
        <w:jc w:val="both"/>
        <w:rPr>
          <w:sz w:val="22"/>
          <w:szCs w:val="22"/>
        </w:rPr>
      </w:pPr>
      <w:r>
        <w:rPr>
          <w:sz w:val="22"/>
          <w:szCs w:val="22"/>
        </w:rPr>
        <w:t xml:space="preserve">The </w:t>
      </w:r>
      <w:r w:rsidR="00557B0E">
        <w:rPr>
          <w:sz w:val="22"/>
          <w:szCs w:val="22"/>
        </w:rPr>
        <w:t>Pearson correlation coefficient</w:t>
      </w:r>
      <w:r>
        <w:rPr>
          <w:sz w:val="22"/>
          <w:szCs w:val="22"/>
        </w:rPr>
        <w:t xml:space="preserve"> </w:t>
      </w:r>
      <w:r w:rsidR="00557B0E">
        <w:rPr>
          <w:sz w:val="22"/>
          <w:szCs w:val="22"/>
        </w:rPr>
        <w:t>is</w:t>
      </w:r>
      <w:r>
        <w:rPr>
          <w:sz w:val="22"/>
          <w:szCs w:val="22"/>
        </w:rPr>
        <w:t xml:space="preserve"> used to measure the effect of a relationship. The </w:t>
      </w:r>
      <w:r w:rsidR="00851A2A">
        <w:rPr>
          <w:sz w:val="22"/>
          <w:szCs w:val="22"/>
        </w:rPr>
        <w:t>Pearson’s r</w:t>
      </w:r>
      <w:r w:rsidRPr="00851A2A">
        <w:rPr>
          <w:sz w:val="22"/>
          <w:szCs w:val="22"/>
        </w:rPr>
        <w:t xml:space="preserve"> </w:t>
      </w:r>
      <w:r w:rsidR="00851A2A">
        <w:rPr>
          <w:sz w:val="22"/>
          <w:szCs w:val="22"/>
        </w:rPr>
        <w:t xml:space="preserve">lies between -1 and +1. A positive correlation indicates that if one variable increases the other increases too. A negative correlation indicates that when one variable increases the other variable decreases. If the correlation is zero, then there is no relationship between the two variables. </w:t>
      </w:r>
      <w:r>
        <w:rPr>
          <w:sz w:val="22"/>
          <w:szCs w:val="22"/>
        </w:rPr>
        <w:t>The values are commonly interpreted as</w:t>
      </w:r>
      <w:r w:rsidR="00B104CB">
        <w:rPr>
          <w:sz w:val="22"/>
          <w:szCs w:val="22"/>
        </w:rPr>
        <w:t xml:space="preserve"> (Field, 2005)</w:t>
      </w:r>
      <w:r>
        <w:rPr>
          <w:sz w:val="22"/>
          <w:szCs w:val="22"/>
        </w:rPr>
        <w:t>:</w:t>
      </w:r>
    </w:p>
    <w:p w:rsidR="0020411E" w:rsidRDefault="0020411E" w:rsidP="009A18A5">
      <w:pPr>
        <w:spacing w:line="360" w:lineRule="auto"/>
        <w:jc w:val="both"/>
        <w:rPr>
          <w:sz w:val="22"/>
          <w:szCs w:val="22"/>
        </w:rPr>
      </w:pPr>
    </w:p>
    <w:p w:rsidR="0020411E" w:rsidRDefault="0020411E" w:rsidP="00DA30B9">
      <w:pPr>
        <w:pStyle w:val="Lijstalinea"/>
        <w:numPr>
          <w:ilvl w:val="0"/>
          <w:numId w:val="8"/>
        </w:numPr>
        <w:spacing w:line="360" w:lineRule="auto"/>
        <w:jc w:val="both"/>
        <w:rPr>
          <w:sz w:val="22"/>
          <w:szCs w:val="22"/>
        </w:rPr>
      </w:pPr>
      <w:r w:rsidRPr="0020411E">
        <w:rPr>
          <w:sz w:val="22"/>
          <w:szCs w:val="22"/>
        </w:rPr>
        <w:t>0,10 – 0,30 = small effect</w:t>
      </w:r>
    </w:p>
    <w:p w:rsidR="0020411E" w:rsidRDefault="0020411E" w:rsidP="00DA30B9">
      <w:pPr>
        <w:pStyle w:val="Lijstalinea"/>
        <w:numPr>
          <w:ilvl w:val="0"/>
          <w:numId w:val="8"/>
        </w:numPr>
        <w:spacing w:line="360" w:lineRule="auto"/>
        <w:jc w:val="both"/>
        <w:rPr>
          <w:sz w:val="22"/>
          <w:szCs w:val="22"/>
        </w:rPr>
      </w:pPr>
      <w:r>
        <w:rPr>
          <w:sz w:val="22"/>
          <w:szCs w:val="22"/>
        </w:rPr>
        <w:t>0,30 – 0,50 = medium effect</w:t>
      </w:r>
    </w:p>
    <w:p w:rsidR="0020411E" w:rsidRDefault="0020411E" w:rsidP="00DA30B9">
      <w:pPr>
        <w:pStyle w:val="Lijstalinea"/>
        <w:numPr>
          <w:ilvl w:val="0"/>
          <w:numId w:val="8"/>
        </w:numPr>
        <w:spacing w:line="360" w:lineRule="auto"/>
        <w:jc w:val="both"/>
        <w:rPr>
          <w:sz w:val="22"/>
          <w:szCs w:val="22"/>
        </w:rPr>
      </w:pPr>
      <w:r>
        <w:rPr>
          <w:sz w:val="22"/>
          <w:szCs w:val="22"/>
        </w:rPr>
        <w:t>&gt; 0,50</w:t>
      </w:r>
      <w:r>
        <w:rPr>
          <w:sz w:val="22"/>
          <w:szCs w:val="22"/>
        </w:rPr>
        <w:tab/>
        <w:t>= large effect</w:t>
      </w:r>
    </w:p>
    <w:p w:rsidR="0020411E" w:rsidRDefault="0020411E" w:rsidP="009A18A5">
      <w:pPr>
        <w:spacing w:line="360" w:lineRule="auto"/>
        <w:jc w:val="both"/>
        <w:rPr>
          <w:sz w:val="22"/>
          <w:szCs w:val="22"/>
        </w:rPr>
      </w:pPr>
    </w:p>
    <w:p w:rsidR="006A353B" w:rsidRDefault="009A18A5" w:rsidP="00DC0CBA">
      <w:pPr>
        <w:spacing w:line="360" w:lineRule="auto"/>
        <w:jc w:val="both"/>
        <w:rPr>
          <w:sz w:val="22"/>
          <w:szCs w:val="22"/>
        </w:rPr>
      </w:pPr>
      <w:r>
        <w:rPr>
          <w:sz w:val="22"/>
          <w:szCs w:val="22"/>
        </w:rPr>
        <w:t>A high correlation can be found for option grants</w:t>
      </w:r>
      <w:r w:rsidR="006D7E14">
        <w:rPr>
          <w:sz w:val="22"/>
          <w:szCs w:val="22"/>
        </w:rPr>
        <w:t xml:space="preserve"> (62%)</w:t>
      </w:r>
      <w:r>
        <w:rPr>
          <w:sz w:val="22"/>
          <w:szCs w:val="22"/>
        </w:rPr>
        <w:t xml:space="preserve"> and restricted stock grants</w:t>
      </w:r>
      <w:r w:rsidR="006D7E14">
        <w:rPr>
          <w:sz w:val="22"/>
          <w:szCs w:val="22"/>
        </w:rPr>
        <w:t xml:space="preserve"> (79%)</w:t>
      </w:r>
      <w:r>
        <w:rPr>
          <w:sz w:val="22"/>
          <w:szCs w:val="22"/>
        </w:rPr>
        <w:t>.</w:t>
      </w:r>
      <w:r w:rsidR="006D7E14">
        <w:rPr>
          <w:sz w:val="22"/>
          <w:szCs w:val="22"/>
        </w:rPr>
        <w:t xml:space="preserve"> There is a low correlation found for </w:t>
      </w:r>
      <w:proofErr w:type="spellStart"/>
      <w:r w:rsidR="006D7E14">
        <w:rPr>
          <w:sz w:val="22"/>
          <w:szCs w:val="22"/>
        </w:rPr>
        <w:t>unexercisable</w:t>
      </w:r>
      <w:proofErr w:type="spellEnd"/>
      <w:r w:rsidR="006D7E14">
        <w:rPr>
          <w:sz w:val="22"/>
          <w:szCs w:val="22"/>
        </w:rPr>
        <w:t xml:space="preserve"> options (14%) and stock ownership (26%).</w:t>
      </w:r>
      <w:r>
        <w:rPr>
          <w:sz w:val="22"/>
          <w:szCs w:val="22"/>
        </w:rPr>
        <w:t xml:space="preserve"> </w:t>
      </w:r>
      <w:r w:rsidR="006D7E14">
        <w:rPr>
          <w:sz w:val="22"/>
          <w:szCs w:val="22"/>
        </w:rPr>
        <w:t>The correlation between total equity incentives o</w:t>
      </w:r>
      <w:r w:rsidR="0020411E">
        <w:rPr>
          <w:sz w:val="22"/>
          <w:szCs w:val="22"/>
        </w:rPr>
        <w:t>f CEO and CFO is 30%. This medium</w:t>
      </w:r>
      <w:r w:rsidR="006D7E14">
        <w:rPr>
          <w:sz w:val="22"/>
          <w:szCs w:val="22"/>
        </w:rPr>
        <w:t xml:space="preserve"> effect shows that CFO might act independently when engaging earnings management practices.</w:t>
      </w:r>
      <w:r w:rsidR="004C43FB">
        <w:rPr>
          <w:sz w:val="22"/>
          <w:szCs w:val="22"/>
        </w:rPr>
        <w:t xml:space="preserve"> </w:t>
      </w:r>
      <w:r w:rsidR="00483C76">
        <w:rPr>
          <w:sz w:val="22"/>
          <w:szCs w:val="22"/>
        </w:rPr>
        <w:t xml:space="preserve">The significance of the correlation </w:t>
      </w:r>
      <w:r w:rsidR="00B4318D">
        <w:rPr>
          <w:sz w:val="22"/>
          <w:szCs w:val="22"/>
        </w:rPr>
        <w:t xml:space="preserve">suggests the confidence level of the test and </w:t>
      </w:r>
      <w:r w:rsidR="00483C76">
        <w:rPr>
          <w:sz w:val="22"/>
          <w:szCs w:val="22"/>
        </w:rPr>
        <w:t xml:space="preserve">is determined by the t-statistics. A t value of .01 is considered highly significant; between </w:t>
      </w:r>
      <w:r w:rsidR="00666522">
        <w:rPr>
          <w:sz w:val="22"/>
          <w:szCs w:val="22"/>
        </w:rPr>
        <w:t>0</w:t>
      </w:r>
      <w:proofErr w:type="gramStart"/>
      <w:r w:rsidR="00666522">
        <w:rPr>
          <w:sz w:val="22"/>
          <w:szCs w:val="22"/>
        </w:rPr>
        <w:t>,</w:t>
      </w:r>
      <w:r w:rsidR="00483C76">
        <w:rPr>
          <w:sz w:val="22"/>
          <w:szCs w:val="22"/>
        </w:rPr>
        <w:t>01</w:t>
      </w:r>
      <w:proofErr w:type="gramEnd"/>
      <w:r w:rsidR="00483C76">
        <w:rPr>
          <w:sz w:val="22"/>
          <w:szCs w:val="22"/>
        </w:rPr>
        <w:t xml:space="preserve"> and </w:t>
      </w:r>
      <w:r w:rsidR="00666522">
        <w:rPr>
          <w:sz w:val="22"/>
          <w:szCs w:val="22"/>
        </w:rPr>
        <w:t>0,</w:t>
      </w:r>
      <w:r w:rsidR="00483C76">
        <w:rPr>
          <w:sz w:val="22"/>
          <w:szCs w:val="22"/>
        </w:rPr>
        <w:t xml:space="preserve">05 is significant; between </w:t>
      </w:r>
      <w:r w:rsidR="00666522">
        <w:rPr>
          <w:sz w:val="22"/>
          <w:szCs w:val="22"/>
        </w:rPr>
        <w:t>0,</w:t>
      </w:r>
      <w:r w:rsidR="00483C76">
        <w:rPr>
          <w:sz w:val="22"/>
          <w:szCs w:val="22"/>
        </w:rPr>
        <w:t xml:space="preserve">05 and </w:t>
      </w:r>
      <w:r w:rsidR="00666522">
        <w:rPr>
          <w:sz w:val="22"/>
          <w:szCs w:val="22"/>
        </w:rPr>
        <w:t>0,</w:t>
      </w:r>
      <w:r w:rsidR="00483C76">
        <w:rPr>
          <w:sz w:val="22"/>
          <w:szCs w:val="22"/>
        </w:rPr>
        <w:t>10 is less signif</w:t>
      </w:r>
      <w:r w:rsidR="00666522">
        <w:rPr>
          <w:sz w:val="22"/>
          <w:szCs w:val="22"/>
        </w:rPr>
        <w:t>icant; and results higher than 0,</w:t>
      </w:r>
      <w:r w:rsidR="00483C76">
        <w:rPr>
          <w:sz w:val="22"/>
          <w:szCs w:val="22"/>
        </w:rPr>
        <w:t xml:space="preserve">10 </w:t>
      </w:r>
      <w:r w:rsidR="00B4318D">
        <w:rPr>
          <w:sz w:val="22"/>
          <w:szCs w:val="22"/>
        </w:rPr>
        <w:t>is insignificant.</w:t>
      </w:r>
      <w:r w:rsidR="00E835B1">
        <w:rPr>
          <w:sz w:val="22"/>
          <w:szCs w:val="22"/>
        </w:rPr>
        <w:t xml:space="preserve"> The correlations are all found to be highly </w:t>
      </w:r>
      <w:r w:rsidR="00E835B1">
        <w:rPr>
          <w:sz w:val="22"/>
          <w:szCs w:val="22"/>
        </w:rPr>
        <w:lastRenderedPageBreak/>
        <w:t xml:space="preserve">significant (p&lt;0.01). A two-tailed test is used, because the direction of the relationship has not been predicted. </w:t>
      </w:r>
    </w:p>
    <w:p w:rsidR="0040078D" w:rsidRDefault="0040078D" w:rsidP="00DC0CBA">
      <w:pPr>
        <w:spacing w:line="360" w:lineRule="auto"/>
        <w:jc w:val="both"/>
        <w:rPr>
          <w:sz w:val="22"/>
          <w:szCs w:val="22"/>
        </w:rPr>
      </w:pPr>
    </w:p>
    <w:p w:rsidR="0040078D" w:rsidRDefault="00145921" w:rsidP="0040078D">
      <w:pPr>
        <w:pStyle w:val="Kop2"/>
      </w:pPr>
      <w:bookmarkStart w:id="62" w:name="_Toc287614191"/>
      <w:r>
        <w:t>7</w:t>
      </w:r>
      <w:r w:rsidR="0040078D">
        <w:t>.2 Evidence o</w:t>
      </w:r>
      <w:r w:rsidR="00B235D1">
        <w:t>f</w:t>
      </w:r>
      <w:r w:rsidR="0040078D">
        <w:t xml:space="preserve"> earnings management using LLP</w:t>
      </w:r>
      <w:r w:rsidR="00B235D1" w:rsidRPr="00B235D1">
        <w:t xml:space="preserve"> </w:t>
      </w:r>
      <w:r w:rsidR="00B235D1">
        <w:t>in pre-SOX</w:t>
      </w:r>
      <w:bookmarkEnd w:id="62"/>
    </w:p>
    <w:p w:rsidR="00646B95" w:rsidRPr="00805521" w:rsidRDefault="00805521" w:rsidP="00DC0CBA">
      <w:pPr>
        <w:spacing w:line="360" w:lineRule="auto"/>
        <w:jc w:val="both"/>
        <w:rPr>
          <w:sz w:val="22"/>
          <w:szCs w:val="22"/>
        </w:rPr>
      </w:pPr>
      <w:r w:rsidRPr="00805521">
        <w:rPr>
          <w:sz w:val="22"/>
          <w:szCs w:val="22"/>
        </w:rPr>
        <w:t xml:space="preserve">Previously, in </w:t>
      </w:r>
      <w:r w:rsidR="00E04F02" w:rsidRPr="00805521">
        <w:rPr>
          <w:sz w:val="22"/>
          <w:szCs w:val="22"/>
        </w:rPr>
        <w:t xml:space="preserve">paragraph 1.3 </w:t>
      </w:r>
      <w:r w:rsidR="00BB348C">
        <w:rPr>
          <w:sz w:val="22"/>
          <w:szCs w:val="22"/>
        </w:rPr>
        <w:t>was</w:t>
      </w:r>
      <w:r w:rsidR="00E04F02" w:rsidRPr="00805521">
        <w:rPr>
          <w:sz w:val="22"/>
          <w:szCs w:val="22"/>
        </w:rPr>
        <w:t xml:space="preserve"> stated that LLPs are relatively large accruals and have significant influence on earnings. To </w:t>
      </w:r>
      <w:r w:rsidR="00FD0E42" w:rsidRPr="00805521">
        <w:rPr>
          <w:sz w:val="22"/>
          <w:szCs w:val="22"/>
        </w:rPr>
        <w:t>give an indication about</w:t>
      </w:r>
      <w:r w:rsidR="00E04F02" w:rsidRPr="00805521">
        <w:rPr>
          <w:sz w:val="22"/>
          <w:szCs w:val="22"/>
        </w:rPr>
        <w:t xml:space="preserve"> the size of LLPs</w:t>
      </w:r>
      <w:r w:rsidR="00FD0E42" w:rsidRPr="00805521">
        <w:rPr>
          <w:sz w:val="22"/>
          <w:szCs w:val="22"/>
        </w:rPr>
        <w:t>,</w:t>
      </w:r>
      <w:r w:rsidR="00E04F02" w:rsidRPr="00805521">
        <w:rPr>
          <w:sz w:val="22"/>
          <w:szCs w:val="22"/>
        </w:rPr>
        <w:t xml:space="preserve"> a comparison is made between LLPs and net income before tax. The results are presented in the table below:</w:t>
      </w:r>
    </w:p>
    <w:p w:rsidR="00E04F02" w:rsidRDefault="00E04F02" w:rsidP="00DC0CBA">
      <w:pPr>
        <w:spacing w:line="360" w:lineRule="auto"/>
        <w:jc w:val="both"/>
        <w:rPr>
          <w:color w:val="FF0000"/>
          <w:sz w:val="22"/>
          <w:szCs w:val="22"/>
        </w:rPr>
      </w:pPr>
    </w:p>
    <w:p w:rsidR="00646B95" w:rsidRPr="00646B95" w:rsidRDefault="00646B95" w:rsidP="00E04F02">
      <w:pPr>
        <w:jc w:val="center"/>
        <w:rPr>
          <w:b/>
          <w:sz w:val="22"/>
          <w:szCs w:val="22"/>
        </w:rPr>
      </w:pPr>
      <w:r w:rsidRPr="00646B95">
        <w:rPr>
          <w:b/>
          <w:sz w:val="22"/>
          <w:szCs w:val="22"/>
        </w:rPr>
        <w:t>Table 4</w:t>
      </w:r>
    </w:p>
    <w:p w:rsidR="00646B95" w:rsidRDefault="00646B95" w:rsidP="00E04F02">
      <w:pPr>
        <w:jc w:val="center"/>
        <w:rPr>
          <w:sz w:val="22"/>
          <w:szCs w:val="22"/>
        </w:rPr>
      </w:pPr>
      <w:r>
        <w:rPr>
          <w:sz w:val="22"/>
          <w:szCs w:val="22"/>
        </w:rPr>
        <w:t>LLP and EBT ratio</w:t>
      </w:r>
      <w:r w:rsidR="00B235D1">
        <w:rPr>
          <w:sz w:val="22"/>
          <w:szCs w:val="22"/>
        </w:rPr>
        <w:t xml:space="preserve"> (199</w:t>
      </w:r>
      <w:r w:rsidR="00DD035B">
        <w:rPr>
          <w:sz w:val="22"/>
          <w:szCs w:val="22"/>
        </w:rPr>
        <w:t>4</w:t>
      </w:r>
      <w:r w:rsidR="00B235D1">
        <w:rPr>
          <w:sz w:val="22"/>
          <w:szCs w:val="22"/>
        </w:rPr>
        <w:t>-2008)</w:t>
      </w:r>
    </w:p>
    <w:tbl>
      <w:tblPr>
        <w:tblW w:w="9072" w:type="dxa"/>
        <w:tblInd w:w="70" w:type="dxa"/>
        <w:tblCellMar>
          <w:left w:w="70" w:type="dxa"/>
          <w:right w:w="70" w:type="dxa"/>
        </w:tblCellMar>
        <w:tblLook w:val="04A0"/>
      </w:tblPr>
      <w:tblGrid>
        <w:gridCol w:w="1560"/>
        <w:gridCol w:w="1417"/>
        <w:gridCol w:w="1276"/>
        <w:gridCol w:w="1202"/>
        <w:gridCol w:w="1208"/>
        <w:gridCol w:w="1134"/>
        <w:gridCol w:w="1275"/>
      </w:tblGrid>
      <w:tr w:rsidR="00646B95" w:rsidRPr="00646B95" w:rsidTr="00E04F02">
        <w:trPr>
          <w:trHeight w:val="315"/>
        </w:trPr>
        <w:tc>
          <w:tcPr>
            <w:tcW w:w="1560" w:type="dxa"/>
            <w:tcBorders>
              <w:top w:val="double" w:sz="6" w:space="0" w:color="auto"/>
              <w:left w:val="nil"/>
              <w:bottom w:val="single" w:sz="4" w:space="0" w:color="auto"/>
              <w:right w:val="single" w:sz="4" w:space="0" w:color="auto"/>
            </w:tcBorders>
            <w:shd w:val="clear" w:color="auto" w:fill="auto"/>
            <w:noWrap/>
            <w:vAlign w:val="bottom"/>
            <w:hideMark/>
          </w:tcPr>
          <w:p w:rsidR="00646B95" w:rsidRPr="00C0122B" w:rsidRDefault="00646B95" w:rsidP="00646B95">
            <w:pPr>
              <w:rPr>
                <w:color w:val="000000"/>
                <w:sz w:val="20"/>
                <w:szCs w:val="20"/>
              </w:rPr>
            </w:pPr>
            <w:r w:rsidRPr="00C0122B">
              <w:rPr>
                <w:color w:val="000000"/>
                <w:sz w:val="20"/>
                <w:szCs w:val="20"/>
              </w:rPr>
              <w:t> </w:t>
            </w:r>
            <w:r w:rsidR="00E04F02">
              <w:rPr>
                <w:color w:val="000000"/>
                <w:sz w:val="20"/>
                <w:szCs w:val="20"/>
              </w:rPr>
              <w:t>Variables</w:t>
            </w:r>
          </w:p>
        </w:tc>
        <w:tc>
          <w:tcPr>
            <w:tcW w:w="1417"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r w:rsidRPr="00646B95">
              <w:rPr>
                <w:color w:val="000000"/>
                <w:sz w:val="20"/>
                <w:szCs w:val="20"/>
                <w:lang w:val="nl-NL"/>
              </w:rPr>
              <w:t>N</w:t>
            </w:r>
          </w:p>
        </w:tc>
        <w:tc>
          <w:tcPr>
            <w:tcW w:w="1276"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proofErr w:type="spellStart"/>
            <w:r w:rsidRPr="00646B95">
              <w:rPr>
                <w:color w:val="000000"/>
                <w:sz w:val="20"/>
                <w:szCs w:val="20"/>
                <w:lang w:val="nl-NL"/>
              </w:rPr>
              <w:t>Mean</w:t>
            </w:r>
            <w:proofErr w:type="spellEnd"/>
          </w:p>
        </w:tc>
        <w:tc>
          <w:tcPr>
            <w:tcW w:w="1202"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proofErr w:type="spellStart"/>
            <w:r w:rsidRPr="00646B95">
              <w:rPr>
                <w:color w:val="000000"/>
                <w:sz w:val="20"/>
                <w:szCs w:val="20"/>
                <w:lang w:val="nl-NL"/>
              </w:rPr>
              <w:t>Median</w:t>
            </w:r>
            <w:proofErr w:type="spellEnd"/>
            <w:r w:rsidRPr="00646B95">
              <w:rPr>
                <w:color w:val="000000"/>
                <w:sz w:val="20"/>
                <w:szCs w:val="20"/>
                <w:lang w:val="nl-NL"/>
              </w:rPr>
              <w:t xml:space="preserve"> </w:t>
            </w:r>
          </w:p>
        </w:tc>
        <w:tc>
          <w:tcPr>
            <w:tcW w:w="1208"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proofErr w:type="spellStart"/>
            <w:r w:rsidRPr="00646B95">
              <w:rPr>
                <w:color w:val="000000"/>
                <w:sz w:val="20"/>
                <w:szCs w:val="20"/>
                <w:lang w:val="nl-NL"/>
              </w:rPr>
              <w:t>Std</w:t>
            </w:r>
            <w:proofErr w:type="spellEnd"/>
            <w:r w:rsidRPr="00646B95">
              <w:rPr>
                <w:color w:val="000000"/>
                <w:sz w:val="20"/>
                <w:szCs w:val="20"/>
                <w:lang w:val="nl-NL"/>
              </w:rPr>
              <w:t xml:space="preserve">. </w:t>
            </w:r>
            <w:proofErr w:type="spellStart"/>
            <w:r w:rsidRPr="00646B95">
              <w:rPr>
                <w:color w:val="000000"/>
                <w:sz w:val="20"/>
                <w:szCs w:val="20"/>
                <w:lang w:val="nl-NL"/>
              </w:rPr>
              <w:t>Dev</w:t>
            </w:r>
            <w:proofErr w:type="spellEnd"/>
            <w:r w:rsidRPr="00646B95">
              <w:rPr>
                <w:color w:val="000000"/>
                <w:sz w:val="20"/>
                <w:szCs w:val="20"/>
                <w:lang w:val="nl-NL"/>
              </w:rPr>
              <w:t>.</w:t>
            </w:r>
          </w:p>
        </w:tc>
        <w:tc>
          <w:tcPr>
            <w:tcW w:w="1134"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r w:rsidRPr="00646B95">
              <w:rPr>
                <w:color w:val="000000"/>
                <w:sz w:val="20"/>
                <w:szCs w:val="20"/>
                <w:lang w:val="nl-NL"/>
              </w:rPr>
              <w:t>Q1</w:t>
            </w:r>
          </w:p>
        </w:tc>
        <w:tc>
          <w:tcPr>
            <w:tcW w:w="1275" w:type="dxa"/>
            <w:tcBorders>
              <w:top w:val="double" w:sz="6" w:space="0" w:color="auto"/>
              <w:left w:val="nil"/>
              <w:bottom w:val="single" w:sz="4" w:space="0" w:color="auto"/>
              <w:right w:val="nil"/>
            </w:tcBorders>
            <w:shd w:val="clear" w:color="auto" w:fill="auto"/>
            <w:noWrap/>
            <w:vAlign w:val="bottom"/>
            <w:hideMark/>
          </w:tcPr>
          <w:p w:rsidR="00646B95" w:rsidRPr="00646B95" w:rsidRDefault="00646B95" w:rsidP="00646B95">
            <w:pPr>
              <w:jc w:val="center"/>
              <w:rPr>
                <w:color w:val="000000"/>
                <w:sz w:val="20"/>
                <w:szCs w:val="20"/>
                <w:lang w:val="nl-NL"/>
              </w:rPr>
            </w:pPr>
            <w:r w:rsidRPr="00646B95">
              <w:rPr>
                <w:color w:val="000000"/>
                <w:sz w:val="20"/>
                <w:szCs w:val="20"/>
                <w:lang w:val="nl-NL"/>
              </w:rPr>
              <w:t>Q3</w:t>
            </w:r>
          </w:p>
        </w:tc>
      </w:tr>
      <w:tr w:rsidR="00646B95" w:rsidRPr="00646B95" w:rsidTr="00E04F02">
        <w:trPr>
          <w:trHeight w:val="495"/>
        </w:trPr>
        <w:tc>
          <w:tcPr>
            <w:tcW w:w="1560" w:type="dxa"/>
            <w:tcBorders>
              <w:top w:val="nil"/>
              <w:left w:val="nil"/>
              <w:bottom w:val="nil"/>
              <w:right w:val="single" w:sz="4" w:space="0" w:color="auto"/>
            </w:tcBorders>
            <w:shd w:val="clear" w:color="auto" w:fill="auto"/>
            <w:vAlign w:val="bottom"/>
            <w:hideMark/>
          </w:tcPr>
          <w:p w:rsidR="00646B95" w:rsidRPr="00646B95" w:rsidRDefault="00646B95" w:rsidP="00646B95">
            <w:pPr>
              <w:rPr>
                <w:color w:val="000000"/>
                <w:sz w:val="20"/>
                <w:szCs w:val="20"/>
                <w:lang w:val="nl-NL"/>
              </w:rPr>
            </w:pPr>
            <w:r w:rsidRPr="00646B95">
              <w:rPr>
                <w:color w:val="000000"/>
                <w:sz w:val="20"/>
                <w:szCs w:val="20"/>
                <w:lang w:val="nl-NL"/>
              </w:rPr>
              <w:t>LLP</w:t>
            </w:r>
          </w:p>
        </w:tc>
        <w:tc>
          <w:tcPr>
            <w:tcW w:w="1417" w:type="dxa"/>
            <w:tcBorders>
              <w:top w:val="nil"/>
              <w:left w:val="nil"/>
              <w:bottom w:val="nil"/>
              <w:right w:val="nil"/>
            </w:tcBorders>
            <w:shd w:val="clear" w:color="auto" w:fill="auto"/>
            <w:vAlign w:val="bottom"/>
            <w:hideMark/>
          </w:tcPr>
          <w:p w:rsidR="00646B95" w:rsidRPr="00646B95" w:rsidRDefault="0018468E" w:rsidP="00646B95">
            <w:pPr>
              <w:jc w:val="center"/>
              <w:rPr>
                <w:color w:val="000000"/>
                <w:sz w:val="20"/>
                <w:szCs w:val="20"/>
                <w:lang w:val="nl-NL"/>
              </w:rPr>
            </w:pPr>
            <w:r>
              <w:rPr>
                <w:color w:val="000000"/>
                <w:sz w:val="20"/>
                <w:szCs w:val="20"/>
                <w:lang w:val="nl-NL"/>
              </w:rPr>
              <w:t>1551</w:t>
            </w:r>
          </w:p>
        </w:tc>
        <w:tc>
          <w:tcPr>
            <w:tcW w:w="1276"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169,039</w:t>
            </w:r>
          </w:p>
        </w:tc>
        <w:tc>
          <w:tcPr>
            <w:tcW w:w="1202" w:type="dxa"/>
            <w:tcBorders>
              <w:top w:val="nil"/>
              <w:left w:val="nil"/>
              <w:bottom w:val="nil"/>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1</w:t>
            </w:r>
            <w:r w:rsidR="0018468E">
              <w:rPr>
                <w:color w:val="000000"/>
                <w:sz w:val="20"/>
                <w:szCs w:val="20"/>
                <w:lang w:val="nl-NL"/>
              </w:rPr>
              <w:t>1</w:t>
            </w:r>
            <w:r w:rsidRPr="00646B95">
              <w:rPr>
                <w:color w:val="000000"/>
                <w:sz w:val="20"/>
                <w:szCs w:val="20"/>
                <w:lang w:val="nl-NL"/>
              </w:rPr>
              <w:t>,</w:t>
            </w:r>
            <w:r w:rsidR="0018468E">
              <w:rPr>
                <w:color w:val="000000"/>
                <w:sz w:val="20"/>
                <w:szCs w:val="20"/>
                <w:lang w:val="nl-NL"/>
              </w:rPr>
              <w:t>495</w:t>
            </w:r>
          </w:p>
        </w:tc>
        <w:tc>
          <w:tcPr>
            <w:tcW w:w="1208" w:type="dxa"/>
            <w:tcBorders>
              <w:top w:val="nil"/>
              <w:left w:val="nil"/>
              <w:bottom w:val="nil"/>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1</w:t>
            </w:r>
            <w:r w:rsidR="0018468E">
              <w:rPr>
                <w:color w:val="000000"/>
                <w:sz w:val="20"/>
                <w:szCs w:val="20"/>
                <w:lang w:val="nl-NL"/>
              </w:rPr>
              <w:t>077</w:t>
            </w:r>
            <w:r w:rsidRPr="00646B95">
              <w:rPr>
                <w:color w:val="000000"/>
                <w:sz w:val="20"/>
                <w:szCs w:val="20"/>
                <w:lang w:val="nl-NL"/>
              </w:rPr>
              <w:t>,</w:t>
            </w:r>
            <w:r w:rsidR="0018468E">
              <w:rPr>
                <w:color w:val="000000"/>
                <w:sz w:val="20"/>
                <w:szCs w:val="20"/>
                <w:lang w:val="nl-NL"/>
              </w:rPr>
              <w:t>563</w:t>
            </w:r>
          </w:p>
        </w:tc>
        <w:tc>
          <w:tcPr>
            <w:tcW w:w="1134"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4,014</w:t>
            </w:r>
          </w:p>
        </w:tc>
        <w:tc>
          <w:tcPr>
            <w:tcW w:w="1275"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46,828</w:t>
            </w:r>
          </w:p>
        </w:tc>
      </w:tr>
      <w:tr w:rsidR="00646B95" w:rsidRPr="00646B95" w:rsidTr="00E04F02">
        <w:trPr>
          <w:trHeight w:val="372"/>
        </w:trPr>
        <w:tc>
          <w:tcPr>
            <w:tcW w:w="1560" w:type="dxa"/>
            <w:tcBorders>
              <w:top w:val="nil"/>
              <w:left w:val="nil"/>
              <w:bottom w:val="nil"/>
              <w:right w:val="single" w:sz="4" w:space="0" w:color="auto"/>
            </w:tcBorders>
            <w:shd w:val="clear" w:color="auto" w:fill="auto"/>
            <w:noWrap/>
            <w:vAlign w:val="bottom"/>
            <w:hideMark/>
          </w:tcPr>
          <w:p w:rsidR="00646B95" w:rsidRPr="00646B95" w:rsidRDefault="00646B95" w:rsidP="00646B95">
            <w:pPr>
              <w:rPr>
                <w:color w:val="000000"/>
                <w:sz w:val="20"/>
                <w:szCs w:val="20"/>
                <w:lang w:val="nl-NL"/>
              </w:rPr>
            </w:pPr>
            <w:proofErr w:type="gramStart"/>
            <w:r w:rsidRPr="00646B95">
              <w:rPr>
                <w:color w:val="000000"/>
                <w:sz w:val="20"/>
                <w:szCs w:val="20"/>
                <w:lang w:val="nl-NL"/>
              </w:rPr>
              <w:t>EBT</w:t>
            </w:r>
            <w:proofErr w:type="gramEnd"/>
          </w:p>
        </w:tc>
        <w:tc>
          <w:tcPr>
            <w:tcW w:w="1417"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1551</w:t>
            </w:r>
          </w:p>
        </w:tc>
        <w:tc>
          <w:tcPr>
            <w:tcW w:w="1276"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613,970</w:t>
            </w:r>
          </w:p>
        </w:tc>
        <w:tc>
          <w:tcPr>
            <w:tcW w:w="1202"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106,237</w:t>
            </w:r>
          </w:p>
        </w:tc>
        <w:tc>
          <w:tcPr>
            <w:tcW w:w="1208" w:type="dxa"/>
            <w:tcBorders>
              <w:top w:val="nil"/>
              <w:left w:val="nil"/>
              <w:bottom w:val="nil"/>
              <w:right w:val="nil"/>
            </w:tcBorders>
            <w:shd w:val="clear" w:color="auto" w:fill="auto"/>
            <w:noWrap/>
            <w:vAlign w:val="bottom"/>
            <w:hideMark/>
          </w:tcPr>
          <w:p w:rsidR="00646B95" w:rsidRPr="00646B95" w:rsidRDefault="0018468E" w:rsidP="0018468E">
            <w:pPr>
              <w:jc w:val="center"/>
              <w:rPr>
                <w:color w:val="000000"/>
                <w:sz w:val="20"/>
                <w:szCs w:val="20"/>
                <w:lang w:val="nl-NL"/>
              </w:rPr>
            </w:pPr>
            <w:r>
              <w:rPr>
                <w:color w:val="000000"/>
                <w:sz w:val="20"/>
                <w:szCs w:val="20"/>
                <w:lang w:val="nl-NL"/>
              </w:rPr>
              <w:t>2038</w:t>
            </w:r>
            <w:r w:rsidR="00646B95" w:rsidRPr="00646B95">
              <w:rPr>
                <w:color w:val="000000"/>
                <w:sz w:val="20"/>
                <w:szCs w:val="20"/>
                <w:lang w:val="nl-NL"/>
              </w:rPr>
              <w:t>,</w:t>
            </w:r>
            <w:r>
              <w:rPr>
                <w:color w:val="000000"/>
                <w:sz w:val="20"/>
                <w:szCs w:val="20"/>
                <w:lang w:val="nl-NL"/>
              </w:rPr>
              <w:t>424</w:t>
            </w:r>
          </w:p>
        </w:tc>
        <w:tc>
          <w:tcPr>
            <w:tcW w:w="1134" w:type="dxa"/>
            <w:tcBorders>
              <w:top w:val="nil"/>
              <w:left w:val="nil"/>
              <w:bottom w:val="nil"/>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40,979</w:t>
            </w:r>
          </w:p>
        </w:tc>
        <w:tc>
          <w:tcPr>
            <w:tcW w:w="1275" w:type="dxa"/>
            <w:tcBorders>
              <w:top w:val="nil"/>
              <w:left w:val="nil"/>
              <w:bottom w:val="nil"/>
              <w:right w:val="nil"/>
            </w:tcBorders>
            <w:shd w:val="clear" w:color="auto" w:fill="auto"/>
            <w:noWrap/>
            <w:vAlign w:val="bottom"/>
            <w:hideMark/>
          </w:tcPr>
          <w:p w:rsidR="00646B95" w:rsidRPr="00646B95" w:rsidRDefault="0018468E" w:rsidP="0018468E">
            <w:pPr>
              <w:jc w:val="center"/>
              <w:rPr>
                <w:color w:val="000000"/>
                <w:sz w:val="20"/>
                <w:szCs w:val="20"/>
                <w:lang w:val="nl-NL"/>
              </w:rPr>
            </w:pPr>
            <w:r>
              <w:rPr>
                <w:color w:val="000000"/>
                <w:sz w:val="20"/>
                <w:szCs w:val="20"/>
                <w:lang w:val="nl-NL"/>
              </w:rPr>
              <w:t>337,250</w:t>
            </w:r>
          </w:p>
        </w:tc>
      </w:tr>
      <w:tr w:rsidR="00646B95" w:rsidRPr="00646B95" w:rsidTr="00E04F02">
        <w:trPr>
          <w:trHeight w:val="420"/>
        </w:trPr>
        <w:tc>
          <w:tcPr>
            <w:tcW w:w="1560" w:type="dxa"/>
            <w:tcBorders>
              <w:top w:val="nil"/>
              <w:left w:val="nil"/>
              <w:bottom w:val="double" w:sz="6" w:space="0" w:color="auto"/>
              <w:right w:val="nil"/>
            </w:tcBorders>
            <w:shd w:val="clear" w:color="auto" w:fill="auto"/>
            <w:noWrap/>
            <w:vAlign w:val="bottom"/>
            <w:hideMark/>
          </w:tcPr>
          <w:p w:rsidR="00646B95" w:rsidRPr="00646B95" w:rsidRDefault="00646B95" w:rsidP="00646B95">
            <w:pPr>
              <w:rPr>
                <w:color w:val="000000"/>
                <w:sz w:val="20"/>
                <w:szCs w:val="20"/>
                <w:lang w:val="nl-NL"/>
              </w:rPr>
            </w:pPr>
            <w:r w:rsidRPr="00646B95">
              <w:rPr>
                <w:color w:val="000000"/>
                <w:sz w:val="20"/>
                <w:szCs w:val="20"/>
                <w:lang w:val="nl-NL"/>
              </w:rPr>
              <w:t>LLP / EBT</w:t>
            </w:r>
          </w:p>
        </w:tc>
        <w:tc>
          <w:tcPr>
            <w:tcW w:w="1417" w:type="dxa"/>
            <w:tcBorders>
              <w:top w:val="nil"/>
              <w:left w:val="single" w:sz="4" w:space="0" w:color="auto"/>
              <w:bottom w:val="double" w:sz="6" w:space="0" w:color="auto"/>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1551</w:t>
            </w:r>
          </w:p>
        </w:tc>
        <w:tc>
          <w:tcPr>
            <w:tcW w:w="1276" w:type="dxa"/>
            <w:tcBorders>
              <w:top w:val="nil"/>
              <w:left w:val="nil"/>
              <w:bottom w:val="double" w:sz="6" w:space="0" w:color="auto"/>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0</w:t>
            </w:r>
            <w:r w:rsidR="0018468E">
              <w:rPr>
                <w:color w:val="000000"/>
                <w:sz w:val="20"/>
                <w:szCs w:val="20"/>
                <w:lang w:val="nl-NL"/>
              </w:rPr>
              <w:t>,322</w:t>
            </w:r>
          </w:p>
        </w:tc>
        <w:tc>
          <w:tcPr>
            <w:tcW w:w="1202" w:type="dxa"/>
            <w:tcBorders>
              <w:top w:val="nil"/>
              <w:left w:val="nil"/>
              <w:bottom w:val="double" w:sz="6" w:space="0" w:color="auto"/>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0,</w:t>
            </w:r>
            <w:r w:rsidR="0018468E">
              <w:rPr>
                <w:color w:val="000000"/>
                <w:sz w:val="20"/>
                <w:szCs w:val="20"/>
                <w:lang w:val="nl-NL"/>
              </w:rPr>
              <w:t>123</w:t>
            </w:r>
          </w:p>
        </w:tc>
        <w:tc>
          <w:tcPr>
            <w:tcW w:w="1208" w:type="dxa"/>
            <w:tcBorders>
              <w:top w:val="nil"/>
              <w:left w:val="nil"/>
              <w:bottom w:val="double" w:sz="6" w:space="0" w:color="auto"/>
              <w:right w:val="nil"/>
            </w:tcBorders>
            <w:shd w:val="clear" w:color="auto" w:fill="auto"/>
            <w:noWrap/>
            <w:vAlign w:val="bottom"/>
            <w:hideMark/>
          </w:tcPr>
          <w:p w:rsidR="00646B95" w:rsidRPr="00646B95" w:rsidRDefault="0018468E" w:rsidP="00646B95">
            <w:pPr>
              <w:jc w:val="center"/>
              <w:rPr>
                <w:color w:val="000000"/>
                <w:sz w:val="20"/>
                <w:szCs w:val="20"/>
                <w:lang w:val="nl-NL"/>
              </w:rPr>
            </w:pPr>
            <w:r>
              <w:rPr>
                <w:color w:val="000000"/>
                <w:sz w:val="20"/>
                <w:szCs w:val="20"/>
                <w:lang w:val="nl-NL"/>
              </w:rPr>
              <w:t>1,555</w:t>
            </w:r>
            <w:r w:rsidR="00646B95" w:rsidRPr="00646B95">
              <w:rPr>
                <w:color w:val="000000"/>
                <w:sz w:val="20"/>
                <w:szCs w:val="20"/>
                <w:lang w:val="nl-NL"/>
              </w:rPr>
              <w:t> </w:t>
            </w:r>
          </w:p>
        </w:tc>
        <w:tc>
          <w:tcPr>
            <w:tcW w:w="1134" w:type="dxa"/>
            <w:tcBorders>
              <w:top w:val="nil"/>
              <w:left w:val="nil"/>
              <w:bottom w:val="double" w:sz="6" w:space="0" w:color="auto"/>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0,0</w:t>
            </w:r>
            <w:r w:rsidR="0018468E">
              <w:rPr>
                <w:color w:val="000000"/>
                <w:sz w:val="20"/>
                <w:szCs w:val="20"/>
                <w:lang w:val="nl-NL"/>
              </w:rPr>
              <w:t>65</w:t>
            </w:r>
          </w:p>
        </w:tc>
        <w:tc>
          <w:tcPr>
            <w:tcW w:w="1275" w:type="dxa"/>
            <w:tcBorders>
              <w:top w:val="nil"/>
              <w:left w:val="nil"/>
              <w:bottom w:val="double" w:sz="6" w:space="0" w:color="auto"/>
              <w:right w:val="nil"/>
            </w:tcBorders>
            <w:shd w:val="clear" w:color="auto" w:fill="auto"/>
            <w:noWrap/>
            <w:vAlign w:val="bottom"/>
            <w:hideMark/>
          </w:tcPr>
          <w:p w:rsidR="00646B95" w:rsidRPr="00646B95" w:rsidRDefault="00646B95" w:rsidP="0018468E">
            <w:pPr>
              <w:jc w:val="center"/>
              <w:rPr>
                <w:color w:val="000000"/>
                <w:sz w:val="20"/>
                <w:szCs w:val="20"/>
                <w:lang w:val="nl-NL"/>
              </w:rPr>
            </w:pPr>
            <w:r w:rsidRPr="00646B95">
              <w:rPr>
                <w:color w:val="000000"/>
                <w:sz w:val="20"/>
                <w:szCs w:val="20"/>
                <w:lang w:val="nl-NL"/>
              </w:rPr>
              <w:t>0,</w:t>
            </w:r>
            <w:r w:rsidR="0018468E">
              <w:rPr>
                <w:color w:val="000000"/>
                <w:sz w:val="20"/>
                <w:szCs w:val="20"/>
                <w:lang w:val="nl-NL"/>
              </w:rPr>
              <w:t>226</w:t>
            </w:r>
          </w:p>
        </w:tc>
      </w:tr>
      <w:tr w:rsidR="00646B95" w:rsidRPr="00646B95" w:rsidTr="00E04F02">
        <w:trPr>
          <w:trHeight w:val="240"/>
        </w:trPr>
        <w:tc>
          <w:tcPr>
            <w:tcW w:w="5455" w:type="dxa"/>
            <w:gridSpan w:val="4"/>
            <w:tcBorders>
              <w:top w:val="double" w:sz="6" w:space="0" w:color="auto"/>
              <w:left w:val="nil"/>
              <w:bottom w:val="nil"/>
              <w:right w:val="nil"/>
            </w:tcBorders>
            <w:shd w:val="clear" w:color="auto" w:fill="auto"/>
            <w:noWrap/>
            <w:vAlign w:val="bottom"/>
            <w:hideMark/>
          </w:tcPr>
          <w:p w:rsidR="00646B95" w:rsidRPr="00646B95" w:rsidRDefault="00646B95" w:rsidP="00646B95">
            <w:pPr>
              <w:rPr>
                <w:color w:val="000000"/>
                <w:sz w:val="20"/>
                <w:szCs w:val="20"/>
              </w:rPr>
            </w:pPr>
            <w:r w:rsidRPr="00646B95">
              <w:rPr>
                <w:color w:val="000000"/>
                <w:sz w:val="20"/>
                <w:szCs w:val="20"/>
              </w:rPr>
              <w:t xml:space="preserve">LLP = loan loss provisions (income statement, in </w:t>
            </w:r>
            <w:proofErr w:type="spellStart"/>
            <w:r w:rsidRPr="00646B95">
              <w:rPr>
                <w:color w:val="000000"/>
                <w:sz w:val="20"/>
                <w:szCs w:val="20"/>
              </w:rPr>
              <w:t>mln</w:t>
            </w:r>
            <w:proofErr w:type="spellEnd"/>
            <w:r w:rsidRPr="00646B95">
              <w:rPr>
                <w:color w:val="000000"/>
                <w:sz w:val="20"/>
                <w:szCs w:val="20"/>
              </w:rPr>
              <w:t>)</w:t>
            </w:r>
          </w:p>
        </w:tc>
        <w:tc>
          <w:tcPr>
            <w:tcW w:w="1208" w:type="dxa"/>
            <w:tcBorders>
              <w:top w:val="nil"/>
              <w:left w:val="nil"/>
              <w:bottom w:val="nil"/>
              <w:right w:val="nil"/>
            </w:tcBorders>
            <w:shd w:val="clear" w:color="auto" w:fill="auto"/>
            <w:noWrap/>
            <w:vAlign w:val="bottom"/>
            <w:hideMark/>
          </w:tcPr>
          <w:p w:rsidR="00646B95" w:rsidRPr="00646B95" w:rsidRDefault="00646B95" w:rsidP="00646B95">
            <w:pPr>
              <w:rPr>
                <w:color w:val="000000"/>
                <w:sz w:val="20"/>
                <w:szCs w:val="20"/>
              </w:rPr>
            </w:pPr>
          </w:p>
        </w:tc>
        <w:tc>
          <w:tcPr>
            <w:tcW w:w="1134" w:type="dxa"/>
            <w:tcBorders>
              <w:top w:val="nil"/>
              <w:left w:val="nil"/>
              <w:bottom w:val="nil"/>
              <w:right w:val="nil"/>
            </w:tcBorders>
            <w:shd w:val="clear" w:color="auto" w:fill="auto"/>
            <w:noWrap/>
            <w:vAlign w:val="bottom"/>
            <w:hideMark/>
          </w:tcPr>
          <w:p w:rsidR="00646B95" w:rsidRPr="00646B95" w:rsidRDefault="00646B95" w:rsidP="00646B95">
            <w:pPr>
              <w:rPr>
                <w:color w:val="000000"/>
                <w:sz w:val="20"/>
                <w:szCs w:val="20"/>
              </w:rPr>
            </w:pPr>
          </w:p>
        </w:tc>
        <w:tc>
          <w:tcPr>
            <w:tcW w:w="1275" w:type="dxa"/>
            <w:tcBorders>
              <w:top w:val="nil"/>
              <w:left w:val="nil"/>
              <w:bottom w:val="nil"/>
              <w:right w:val="nil"/>
            </w:tcBorders>
            <w:shd w:val="clear" w:color="auto" w:fill="auto"/>
            <w:noWrap/>
            <w:vAlign w:val="bottom"/>
            <w:hideMark/>
          </w:tcPr>
          <w:p w:rsidR="00646B95" w:rsidRPr="00646B95" w:rsidRDefault="00646B95" w:rsidP="00646B95">
            <w:pPr>
              <w:rPr>
                <w:color w:val="000000"/>
                <w:sz w:val="20"/>
                <w:szCs w:val="20"/>
              </w:rPr>
            </w:pPr>
          </w:p>
        </w:tc>
      </w:tr>
      <w:tr w:rsidR="00646B95" w:rsidRPr="00646B95" w:rsidTr="00E04F02">
        <w:trPr>
          <w:trHeight w:val="300"/>
        </w:trPr>
        <w:tc>
          <w:tcPr>
            <w:tcW w:w="5455" w:type="dxa"/>
            <w:gridSpan w:val="4"/>
            <w:tcBorders>
              <w:top w:val="nil"/>
              <w:left w:val="nil"/>
              <w:bottom w:val="single" w:sz="4" w:space="0" w:color="auto"/>
              <w:right w:val="nil"/>
            </w:tcBorders>
            <w:shd w:val="clear" w:color="auto" w:fill="auto"/>
            <w:noWrap/>
            <w:vAlign w:val="bottom"/>
            <w:hideMark/>
          </w:tcPr>
          <w:p w:rsidR="00646B95" w:rsidRPr="00646B95" w:rsidRDefault="00646B95" w:rsidP="00646B95">
            <w:pPr>
              <w:rPr>
                <w:color w:val="000000"/>
                <w:sz w:val="20"/>
                <w:szCs w:val="20"/>
              </w:rPr>
            </w:pPr>
            <w:r w:rsidRPr="00646B95">
              <w:rPr>
                <w:color w:val="000000"/>
                <w:sz w:val="20"/>
                <w:szCs w:val="20"/>
              </w:rPr>
              <w:t xml:space="preserve">EBT = earnings before tax (in </w:t>
            </w:r>
            <w:proofErr w:type="spellStart"/>
            <w:r w:rsidRPr="00646B95">
              <w:rPr>
                <w:color w:val="000000"/>
                <w:sz w:val="20"/>
                <w:szCs w:val="20"/>
              </w:rPr>
              <w:t>mln</w:t>
            </w:r>
            <w:proofErr w:type="spellEnd"/>
            <w:r w:rsidRPr="00646B95">
              <w:rPr>
                <w:color w:val="000000"/>
                <w:sz w:val="20"/>
                <w:szCs w:val="20"/>
              </w:rPr>
              <w:t>)</w:t>
            </w:r>
          </w:p>
        </w:tc>
        <w:tc>
          <w:tcPr>
            <w:tcW w:w="1208" w:type="dxa"/>
            <w:tcBorders>
              <w:top w:val="nil"/>
              <w:left w:val="nil"/>
              <w:bottom w:val="single" w:sz="4" w:space="0" w:color="auto"/>
              <w:right w:val="nil"/>
            </w:tcBorders>
            <w:shd w:val="clear" w:color="auto" w:fill="auto"/>
            <w:noWrap/>
            <w:vAlign w:val="bottom"/>
            <w:hideMark/>
          </w:tcPr>
          <w:p w:rsidR="00646B95" w:rsidRPr="00646B95" w:rsidRDefault="00646B95" w:rsidP="00646B95">
            <w:pPr>
              <w:rPr>
                <w:color w:val="000000"/>
                <w:sz w:val="20"/>
                <w:szCs w:val="20"/>
              </w:rPr>
            </w:pPr>
            <w:r w:rsidRPr="00646B95">
              <w:rPr>
                <w:color w:val="000000"/>
                <w:sz w:val="20"/>
                <w:szCs w:val="20"/>
              </w:rPr>
              <w:t> </w:t>
            </w:r>
          </w:p>
        </w:tc>
        <w:tc>
          <w:tcPr>
            <w:tcW w:w="1134" w:type="dxa"/>
            <w:tcBorders>
              <w:top w:val="nil"/>
              <w:left w:val="nil"/>
              <w:bottom w:val="single" w:sz="4" w:space="0" w:color="auto"/>
              <w:right w:val="nil"/>
            </w:tcBorders>
            <w:shd w:val="clear" w:color="auto" w:fill="auto"/>
            <w:noWrap/>
            <w:vAlign w:val="bottom"/>
            <w:hideMark/>
          </w:tcPr>
          <w:p w:rsidR="00646B95" w:rsidRPr="00646B95" w:rsidRDefault="00646B95" w:rsidP="00646B95">
            <w:pPr>
              <w:rPr>
                <w:color w:val="000000"/>
                <w:sz w:val="20"/>
                <w:szCs w:val="20"/>
              </w:rPr>
            </w:pPr>
            <w:r w:rsidRPr="00646B95">
              <w:rPr>
                <w:color w:val="000000"/>
                <w:sz w:val="20"/>
                <w:szCs w:val="20"/>
              </w:rPr>
              <w:t> </w:t>
            </w:r>
          </w:p>
        </w:tc>
        <w:tc>
          <w:tcPr>
            <w:tcW w:w="1275" w:type="dxa"/>
            <w:tcBorders>
              <w:top w:val="nil"/>
              <w:left w:val="nil"/>
              <w:bottom w:val="single" w:sz="4" w:space="0" w:color="auto"/>
              <w:right w:val="nil"/>
            </w:tcBorders>
            <w:shd w:val="clear" w:color="auto" w:fill="auto"/>
            <w:noWrap/>
            <w:vAlign w:val="bottom"/>
            <w:hideMark/>
          </w:tcPr>
          <w:p w:rsidR="00646B95" w:rsidRPr="00646B95" w:rsidRDefault="00646B95" w:rsidP="00646B95">
            <w:pPr>
              <w:rPr>
                <w:color w:val="000000"/>
                <w:sz w:val="20"/>
                <w:szCs w:val="20"/>
              </w:rPr>
            </w:pPr>
            <w:r w:rsidRPr="00646B95">
              <w:rPr>
                <w:color w:val="000000"/>
                <w:sz w:val="20"/>
                <w:szCs w:val="20"/>
              </w:rPr>
              <w:t> </w:t>
            </w:r>
          </w:p>
        </w:tc>
      </w:tr>
    </w:tbl>
    <w:p w:rsidR="00646B95" w:rsidRDefault="00646B95" w:rsidP="00646B95">
      <w:pPr>
        <w:spacing w:line="360" w:lineRule="auto"/>
        <w:jc w:val="center"/>
        <w:rPr>
          <w:sz w:val="22"/>
          <w:szCs w:val="22"/>
        </w:rPr>
      </w:pPr>
    </w:p>
    <w:p w:rsidR="004C6C2D" w:rsidRDefault="00E04F02" w:rsidP="00DC0CBA">
      <w:pPr>
        <w:spacing w:line="360" w:lineRule="auto"/>
        <w:jc w:val="both"/>
        <w:rPr>
          <w:sz w:val="22"/>
          <w:szCs w:val="22"/>
        </w:rPr>
      </w:pPr>
      <w:r>
        <w:rPr>
          <w:sz w:val="22"/>
          <w:szCs w:val="22"/>
        </w:rPr>
        <w:t xml:space="preserve">In table 4 </w:t>
      </w:r>
      <w:r w:rsidR="00270E42">
        <w:rPr>
          <w:sz w:val="22"/>
          <w:szCs w:val="22"/>
        </w:rPr>
        <w:t>shows</w:t>
      </w:r>
      <w:r>
        <w:rPr>
          <w:sz w:val="22"/>
          <w:szCs w:val="22"/>
        </w:rPr>
        <w:t xml:space="preserve"> that, on average, LLPs are </w:t>
      </w:r>
      <w:r w:rsidR="0018468E">
        <w:rPr>
          <w:sz w:val="22"/>
          <w:szCs w:val="22"/>
        </w:rPr>
        <w:t>32</w:t>
      </w:r>
      <w:r w:rsidR="00FD0E42">
        <w:rPr>
          <w:sz w:val="22"/>
          <w:szCs w:val="22"/>
        </w:rPr>
        <w:t>%</w:t>
      </w:r>
      <w:r>
        <w:rPr>
          <w:sz w:val="22"/>
          <w:szCs w:val="22"/>
        </w:rPr>
        <w:t xml:space="preserve"> of net income before tax. </w:t>
      </w:r>
      <w:r w:rsidR="00FD0E42">
        <w:rPr>
          <w:sz w:val="22"/>
          <w:szCs w:val="22"/>
        </w:rPr>
        <w:t>T</w:t>
      </w:r>
      <w:r>
        <w:rPr>
          <w:sz w:val="22"/>
          <w:szCs w:val="22"/>
        </w:rPr>
        <w:t>he distribution of the LLP and net income before tax ratio</w:t>
      </w:r>
      <w:r w:rsidR="0018468E">
        <w:rPr>
          <w:sz w:val="22"/>
          <w:szCs w:val="22"/>
        </w:rPr>
        <w:t xml:space="preserve"> is spread</w:t>
      </w:r>
      <w:r w:rsidR="00FD0E42">
        <w:rPr>
          <w:sz w:val="22"/>
          <w:szCs w:val="22"/>
        </w:rPr>
        <w:t xml:space="preserve"> from </w:t>
      </w:r>
      <w:r w:rsidR="0018468E">
        <w:rPr>
          <w:sz w:val="22"/>
          <w:szCs w:val="22"/>
        </w:rPr>
        <w:t>7</w:t>
      </w:r>
      <w:r w:rsidR="00FD0E42">
        <w:rPr>
          <w:sz w:val="22"/>
          <w:szCs w:val="22"/>
        </w:rPr>
        <w:t xml:space="preserve">% in the lower quartile to </w:t>
      </w:r>
      <w:r w:rsidR="0018468E">
        <w:rPr>
          <w:sz w:val="22"/>
          <w:szCs w:val="22"/>
        </w:rPr>
        <w:t>23</w:t>
      </w:r>
      <w:r w:rsidR="00FD0E42">
        <w:rPr>
          <w:sz w:val="22"/>
          <w:szCs w:val="22"/>
        </w:rPr>
        <w:t xml:space="preserve">% in the upper quartile. </w:t>
      </w:r>
      <w:r w:rsidR="0018468E">
        <w:rPr>
          <w:sz w:val="22"/>
          <w:szCs w:val="22"/>
        </w:rPr>
        <w:t>To avoid summing up problems, only positive LLPs and net income before tax are used.</w:t>
      </w:r>
    </w:p>
    <w:p w:rsidR="004C6C2D" w:rsidRDefault="004C6C2D" w:rsidP="00DC0CBA">
      <w:pPr>
        <w:spacing w:line="360" w:lineRule="auto"/>
        <w:jc w:val="both"/>
        <w:rPr>
          <w:sz w:val="22"/>
          <w:szCs w:val="22"/>
        </w:rPr>
      </w:pPr>
    </w:p>
    <w:p w:rsidR="005061D7" w:rsidRDefault="004C43FB" w:rsidP="00DC0CBA">
      <w:pPr>
        <w:spacing w:line="360" w:lineRule="auto"/>
        <w:jc w:val="both"/>
        <w:rPr>
          <w:sz w:val="22"/>
          <w:szCs w:val="22"/>
        </w:rPr>
      </w:pPr>
      <w:r>
        <w:rPr>
          <w:sz w:val="22"/>
          <w:szCs w:val="22"/>
        </w:rPr>
        <w:t>Next</w:t>
      </w:r>
      <w:r w:rsidR="005061D7">
        <w:rPr>
          <w:sz w:val="22"/>
          <w:szCs w:val="22"/>
        </w:rPr>
        <w:t xml:space="preserve">, </w:t>
      </w:r>
      <w:r w:rsidR="00270E42">
        <w:rPr>
          <w:sz w:val="22"/>
          <w:szCs w:val="22"/>
        </w:rPr>
        <w:t xml:space="preserve">the Beaver and Engel model is used </w:t>
      </w:r>
      <w:r w:rsidR="0018468E">
        <w:rPr>
          <w:sz w:val="22"/>
          <w:szCs w:val="22"/>
        </w:rPr>
        <w:t xml:space="preserve">to estimate discretionary loan loss provision. The formulation is described </w:t>
      </w:r>
      <w:r w:rsidR="001029F2">
        <w:rPr>
          <w:sz w:val="22"/>
          <w:szCs w:val="22"/>
        </w:rPr>
        <w:t xml:space="preserve">as </w:t>
      </w:r>
      <w:r w:rsidR="0018468E">
        <w:rPr>
          <w:sz w:val="22"/>
          <w:szCs w:val="22"/>
        </w:rPr>
        <w:t xml:space="preserve">equation (3) </w:t>
      </w:r>
      <w:r w:rsidR="005061D7">
        <w:rPr>
          <w:sz w:val="22"/>
          <w:szCs w:val="22"/>
        </w:rPr>
        <w:t>on page 31</w:t>
      </w:r>
      <w:r w:rsidR="0018468E">
        <w:rPr>
          <w:sz w:val="22"/>
          <w:szCs w:val="22"/>
        </w:rPr>
        <w:t xml:space="preserve">, which </w:t>
      </w:r>
      <w:r w:rsidR="00D47618">
        <w:rPr>
          <w:sz w:val="22"/>
          <w:szCs w:val="22"/>
        </w:rPr>
        <w:t>is:</w:t>
      </w:r>
    </w:p>
    <w:p w:rsidR="00D47618" w:rsidRDefault="00D47618" w:rsidP="00DC0CBA">
      <w:pPr>
        <w:spacing w:line="360" w:lineRule="auto"/>
        <w:jc w:val="both"/>
        <w:rPr>
          <w:sz w:val="22"/>
          <w:szCs w:val="22"/>
        </w:rPr>
      </w:pPr>
    </w:p>
    <w:p w:rsidR="005061D7" w:rsidRDefault="00536807" w:rsidP="00DC0CBA">
      <w:pPr>
        <w:spacing w:line="360" w:lineRule="auto"/>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LLP</m:t>
              </m:r>
            </m:e>
            <m:sub>
              <m:r>
                <w:rPr>
                  <w:rFonts w:ascii="Cambria Math" w:hAnsi="Cambria Math"/>
                  <w:sz w:val="22"/>
                  <w:szCs w:val="22"/>
                </w:rPr>
                <m:t>i,t</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0</m:t>
              </m:r>
            </m:sub>
          </m:sSub>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GBV</m:t>
                      </m:r>
                    </m:e>
                    <m:sub>
                      <m:r>
                        <w:rPr>
                          <w:rFonts w:ascii="Cambria Math" w:hAnsi="Cambria Math"/>
                          <w:sz w:val="22"/>
                          <w:szCs w:val="22"/>
                        </w:rPr>
                        <m:t>i,t</m:t>
                      </m:r>
                    </m:sub>
                  </m:sSub>
                </m:den>
              </m:f>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CO</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2</m:t>
              </m:r>
            </m:sub>
          </m:sSub>
          <m:d>
            <m:dPr>
              <m:ctrlPr>
                <w:rPr>
                  <w:rFonts w:ascii="Cambria Math" w:hAnsi="Cambria Math"/>
                  <w:i/>
                  <w:sz w:val="22"/>
                  <w:szCs w:val="22"/>
                </w:rPr>
              </m:ctrlPr>
            </m:dPr>
            <m:e>
              <m:r>
                <m:rPr>
                  <m:sty m:val="p"/>
                </m:rPr>
                <w:rPr>
                  <w:rFonts w:ascii="Cambria Math" w:hAnsi="Cambria Math"/>
                  <w:sz w:val="22"/>
                  <w:szCs w:val="22"/>
                </w:rPr>
                <m:t>Δ</m:t>
              </m:r>
              <m:sSub>
                <m:sSubPr>
                  <m:ctrlPr>
                    <w:rPr>
                      <w:rFonts w:ascii="Cambria Math" w:hAnsi="Cambria Math"/>
                      <w:i/>
                      <w:sz w:val="22"/>
                      <w:szCs w:val="22"/>
                    </w:rPr>
                  </m:ctrlPr>
                </m:sSubPr>
                <m:e>
                  <m:r>
                    <w:rPr>
                      <w:rFonts w:ascii="Cambria Math" w:hAnsi="Cambria Math"/>
                      <w:sz w:val="22"/>
                      <w:szCs w:val="22"/>
                    </w:rPr>
                    <m:t>LOAN</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4</m:t>
              </m:r>
            </m:sub>
          </m:sSub>
          <m:d>
            <m:dPr>
              <m:ctrlPr>
                <w:rPr>
                  <w:rFonts w:ascii="Cambria Math" w:hAnsi="Cambria Math"/>
                  <w:i/>
                  <w:sz w:val="22"/>
                  <w:szCs w:val="22"/>
                </w:rPr>
              </m:ctrlPr>
            </m:dPr>
            <m:e>
              <m:sSub>
                <m:sSubPr>
                  <m:ctrlPr>
                    <w:rPr>
                      <w:rFonts w:ascii="Cambria Math" w:hAnsi="Cambria Math"/>
                      <w:i/>
                      <w:sz w:val="22"/>
                      <w:szCs w:val="22"/>
                    </w:rPr>
                  </m:ctrlPr>
                </m:sSubPr>
                <m:e>
                  <m:r>
                    <m:rPr>
                      <m:sty m:val="p"/>
                    </m:rPr>
                    <w:rPr>
                      <w:rFonts w:ascii="Cambria Math" w:hAnsi="Cambria Math"/>
                      <w:sz w:val="22"/>
                      <w:szCs w:val="22"/>
                    </w:rPr>
                    <m:t>Δ</m:t>
                  </m:r>
                  <m:r>
                    <w:rPr>
                      <w:rFonts w:ascii="Cambria Math" w:hAnsi="Cambria Math"/>
                      <w:sz w:val="22"/>
                      <w:szCs w:val="22"/>
                    </w:rPr>
                    <m:t>NPA</m:t>
                  </m:r>
                </m:e>
                <m:sub>
                  <m:r>
                    <w:rPr>
                      <w:rFonts w:ascii="Cambria Math" w:hAnsi="Cambria Math"/>
                      <w:sz w:val="22"/>
                      <w:szCs w:val="22"/>
                    </w:rPr>
                    <m:t>i,t+1</m:t>
                  </m:r>
                </m:sub>
              </m:sSub>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i,t</m:t>
              </m:r>
            </m:sub>
          </m:sSub>
        </m:oMath>
      </m:oMathPara>
    </w:p>
    <w:p w:rsidR="005061D7" w:rsidRDefault="005061D7" w:rsidP="00DC0CBA">
      <w:pPr>
        <w:spacing w:line="360" w:lineRule="auto"/>
        <w:jc w:val="both"/>
        <w:rPr>
          <w:sz w:val="22"/>
          <w:szCs w:val="22"/>
        </w:rPr>
      </w:pPr>
    </w:p>
    <w:p w:rsidR="005061D7" w:rsidRPr="00DA1560" w:rsidRDefault="005061D7" w:rsidP="005061D7">
      <w:pPr>
        <w:spacing w:line="360" w:lineRule="auto"/>
        <w:jc w:val="both"/>
        <w:rPr>
          <w:sz w:val="22"/>
          <w:szCs w:val="22"/>
        </w:rPr>
      </w:pPr>
      <w:r w:rsidRPr="00DA1560">
        <w:rPr>
          <w:sz w:val="22"/>
          <w:szCs w:val="22"/>
        </w:rPr>
        <w:t>Where:</w:t>
      </w:r>
    </w:p>
    <w:p w:rsidR="005061D7" w:rsidRPr="00DA1560" w:rsidRDefault="005061D7" w:rsidP="005061D7">
      <w:pPr>
        <w:spacing w:line="360" w:lineRule="auto"/>
        <w:jc w:val="both"/>
        <w:rPr>
          <w:sz w:val="22"/>
          <w:szCs w:val="22"/>
        </w:rPr>
      </w:pPr>
      <w:r w:rsidRPr="008F49FF">
        <w:rPr>
          <w:sz w:val="22"/>
          <w:szCs w:val="22"/>
        </w:rPr>
        <w:t>LLP</w:t>
      </w:r>
      <w:r w:rsidRPr="00DA1560">
        <w:rPr>
          <w:i/>
          <w:sz w:val="22"/>
          <w:szCs w:val="22"/>
          <w:vertAlign w:val="subscript"/>
        </w:rPr>
        <w:t xml:space="preserve"> </w:t>
      </w:r>
      <w:proofErr w:type="spellStart"/>
      <w:r w:rsidR="00CD36A3">
        <w:rPr>
          <w:i/>
          <w:sz w:val="22"/>
          <w:szCs w:val="22"/>
          <w:vertAlign w:val="subscript"/>
        </w:rPr>
        <w:t>i</w:t>
      </w:r>
      <w:proofErr w:type="gramStart"/>
      <w:r w:rsidR="00CD36A3">
        <w:rPr>
          <w:i/>
          <w:sz w:val="22"/>
          <w:szCs w:val="22"/>
          <w:vertAlign w:val="subscript"/>
        </w:rPr>
        <w:t>,</w:t>
      </w:r>
      <w:r w:rsidRPr="00DA1560">
        <w:rPr>
          <w:i/>
          <w:sz w:val="22"/>
          <w:szCs w:val="22"/>
          <w:vertAlign w:val="subscript"/>
        </w:rPr>
        <w:t>t</w:t>
      </w:r>
      <w:proofErr w:type="spellEnd"/>
      <w:proofErr w:type="gramEnd"/>
      <w:r>
        <w:rPr>
          <w:i/>
          <w:sz w:val="22"/>
          <w:szCs w:val="22"/>
          <w:vertAlign w:val="subscript"/>
        </w:rPr>
        <w:tab/>
      </w:r>
      <w:r>
        <w:rPr>
          <w:i/>
          <w:sz w:val="22"/>
          <w:szCs w:val="22"/>
          <w:vertAlign w:val="subscript"/>
        </w:rPr>
        <w:tab/>
      </w:r>
      <w:r w:rsidRPr="00DA1560">
        <w:rPr>
          <w:sz w:val="22"/>
          <w:szCs w:val="22"/>
        </w:rPr>
        <w:t>= loan loss provisions (income statement)</w:t>
      </w:r>
      <w:r w:rsidR="00CD36A3" w:rsidRPr="00CD36A3">
        <w:rPr>
          <w:sz w:val="22"/>
          <w:szCs w:val="22"/>
        </w:rPr>
        <w:t xml:space="preserve"> </w:t>
      </w:r>
      <w:r w:rsidR="00CD36A3">
        <w:rPr>
          <w:sz w:val="22"/>
          <w:szCs w:val="22"/>
        </w:rPr>
        <w:t xml:space="preserve">for firm </w:t>
      </w:r>
      <w:proofErr w:type="spellStart"/>
      <w:r w:rsidR="00CD36A3">
        <w:rPr>
          <w:i/>
          <w:sz w:val="22"/>
          <w:szCs w:val="22"/>
        </w:rPr>
        <w:t>i</w:t>
      </w:r>
      <w:proofErr w:type="spellEnd"/>
      <w:r w:rsidR="00CD36A3">
        <w:rPr>
          <w:sz w:val="22"/>
          <w:szCs w:val="22"/>
        </w:rPr>
        <w:t xml:space="preserve"> in year </w:t>
      </w:r>
      <w:r w:rsidR="00CD36A3">
        <w:rPr>
          <w:i/>
          <w:sz w:val="22"/>
          <w:szCs w:val="22"/>
        </w:rPr>
        <w:t>t</w:t>
      </w:r>
      <w:r>
        <w:rPr>
          <w:sz w:val="22"/>
          <w:szCs w:val="22"/>
        </w:rPr>
        <w:t>;</w:t>
      </w:r>
    </w:p>
    <w:p w:rsidR="005061D7" w:rsidRPr="00C326A5" w:rsidRDefault="005061D7" w:rsidP="005061D7">
      <w:pPr>
        <w:autoSpaceDE w:val="0"/>
        <w:autoSpaceDN w:val="0"/>
        <w:adjustRightInd w:val="0"/>
        <w:spacing w:line="360" w:lineRule="auto"/>
        <w:jc w:val="both"/>
        <w:rPr>
          <w:i/>
          <w:sz w:val="22"/>
          <w:szCs w:val="22"/>
        </w:rPr>
      </w:pPr>
      <w:proofErr w:type="spellStart"/>
      <w:r w:rsidRPr="008F49FF">
        <w:rPr>
          <w:sz w:val="22"/>
          <w:szCs w:val="22"/>
        </w:rPr>
        <w:t>GBV</w:t>
      </w:r>
      <w:r>
        <w:rPr>
          <w:i/>
          <w:sz w:val="22"/>
          <w:szCs w:val="22"/>
          <w:vertAlign w:val="subscript"/>
        </w:rPr>
        <w:t>i</w:t>
      </w:r>
      <w:proofErr w:type="gramStart"/>
      <w:r w:rsidRPr="00C326A5">
        <w:rPr>
          <w:i/>
          <w:sz w:val="22"/>
          <w:szCs w:val="22"/>
          <w:vertAlign w:val="subscript"/>
        </w:rPr>
        <w:t>,t</w:t>
      </w:r>
      <w:proofErr w:type="spellEnd"/>
      <w:proofErr w:type="gramEnd"/>
      <w:r w:rsidRPr="00C326A5">
        <w:rPr>
          <w:sz w:val="22"/>
          <w:szCs w:val="22"/>
          <w:vertAlign w:val="subscript"/>
        </w:rPr>
        <w:tab/>
      </w:r>
      <w:r>
        <w:rPr>
          <w:sz w:val="22"/>
          <w:szCs w:val="22"/>
        </w:rPr>
        <w:tab/>
        <w:t xml:space="preserve">= net </w:t>
      </w:r>
      <w:proofErr w:type="spellStart"/>
      <w:r>
        <w:rPr>
          <w:sz w:val="22"/>
          <w:szCs w:val="22"/>
        </w:rPr>
        <w:t>book</w:t>
      </w:r>
      <w:r w:rsidRPr="00103EF2">
        <w:rPr>
          <w:sz w:val="22"/>
          <w:szCs w:val="22"/>
        </w:rPr>
        <w:t>value</w:t>
      </w:r>
      <w:proofErr w:type="spellEnd"/>
      <w:r w:rsidRPr="00103EF2">
        <w:rPr>
          <w:sz w:val="22"/>
          <w:szCs w:val="22"/>
        </w:rPr>
        <w:t xml:space="preserve"> of common equity plus allowance for loan losses</w:t>
      </w:r>
      <w:r>
        <w:rPr>
          <w:sz w:val="22"/>
          <w:szCs w:val="22"/>
        </w:rPr>
        <w:t xml:space="preserve"> for firm </w:t>
      </w:r>
      <w:proofErr w:type="spellStart"/>
      <w:r>
        <w:rPr>
          <w:i/>
          <w:sz w:val="22"/>
          <w:szCs w:val="22"/>
        </w:rPr>
        <w:t>i</w:t>
      </w:r>
      <w:proofErr w:type="spellEnd"/>
      <w:r>
        <w:rPr>
          <w:sz w:val="22"/>
          <w:szCs w:val="22"/>
        </w:rPr>
        <w:t xml:space="preserve"> in year </w:t>
      </w:r>
      <w:r>
        <w:rPr>
          <w:i/>
          <w:sz w:val="22"/>
          <w:szCs w:val="22"/>
        </w:rPr>
        <w:t xml:space="preserve">t; </w:t>
      </w:r>
    </w:p>
    <w:p w:rsidR="005061D7" w:rsidRPr="00103EF2" w:rsidRDefault="005061D7" w:rsidP="005061D7">
      <w:pPr>
        <w:autoSpaceDE w:val="0"/>
        <w:autoSpaceDN w:val="0"/>
        <w:adjustRightInd w:val="0"/>
        <w:spacing w:line="360" w:lineRule="auto"/>
        <w:jc w:val="both"/>
        <w:rPr>
          <w:sz w:val="22"/>
          <w:szCs w:val="22"/>
        </w:rPr>
      </w:pPr>
      <w:proofErr w:type="spellStart"/>
      <w:r w:rsidRPr="008F49FF">
        <w:rPr>
          <w:sz w:val="22"/>
          <w:szCs w:val="22"/>
        </w:rPr>
        <w:t>CO</w:t>
      </w:r>
      <w:r>
        <w:rPr>
          <w:i/>
          <w:sz w:val="22"/>
          <w:szCs w:val="22"/>
          <w:vertAlign w:val="subscript"/>
        </w:rPr>
        <w:t>i</w:t>
      </w:r>
      <w:proofErr w:type="gramStart"/>
      <w:r>
        <w:rPr>
          <w:i/>
          <w:sz w:val="22"/>
          <w:szCs w:val="22"/>
          <w:vertAlign w:val="subscript"/>
        </w:rPr>
        <w:t>,i</w:t>
      </w:r>
      <w:proofErr w:type="spellEnd"/>
      <w:proofErr w:type="gramEnd"/>
      <w:r w:rsidRPr="00103EF2">
        <w:rPr>
          <w:sz w:val="22"/>
          <w:szCs w:val="22"/>
        </w:rPr>
        <w:tab/>
      </w:r>
      <w:r>
        <w:rPr>
          <w:sz w:val="22"/>
          <w:szCs w:val="22"/>
        </w:rPr>
        <w:tab/>
        <w:t xml:space="preserve">= </w:t>
      </w:r>
      <w:r w:rsidRPr="00103EF2">
        <w:rPr>
          <w:sz w:val="22"/>
          <w:szCs w:val="22"/>
        </w:rPr>
        <w:t>loan charge-offs</w:t>
      </w:r>
      <w:r>
        <w:rPr>
          <w:sz w:val="22"/>
          <w:szCs w:val="22"/>
        </w:rPr>
        <w:t xml:space="preserve"> for firm </w:t>
      </w:r>
      <w:proofErr w:type="spellStart"/>
      <w:r>
        <w:rPr>
          <w:i/>
          <w:sz w:val="22"/>
          <w:szCs w:val="22"/>
        </w:rPr>
        <w:t>i</w:t>
      </w:r>
      <w:proofErr w:type="spellEnd"/>
      <w:r>
        <w:rPr>
          <w:sz w:val="22"/>
          <w:szCs w:val="22"/>
        </w:rPr>
        <w:t xml:space="preserve"> in year </w:t>
      </w:r>
      <w:r>
        <w:rPr>
          <w:i/>
          <w:sz w:val="22"/>
          <w:szCs w:val="22"/>
        </w:rPr>
        <w:t>t</w:t>
      </w:r>
      <w:r>
        <w:rPr>
          <w:sz w:val="22"/>
          <w:szCs w:val="22"/>
        </w:rPr>
        <w:t>;</w:t>
      </w:r>
    </w:p>
    <w:p w:rsidR="005061D7" w:rsidRPr="00103EF2" w:rsidRDefault="005061D7" w:rsidP="005061D7">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proofErr w:type="spellStart"/>
      <w:r w:rsidRPr="008F49FF">
        <w:rPr>
          <w:sz w:val="22"/>
          <w:szCs w:val="22"/>
        </w:rPr>
        <w:t>LOAN</w:t>
      </w:r>
      <w:r>
        <w:rPr>
          <w:i/>
          <w:sz w:val="22"/>
          <w:szCs w:val="22"/>
          <w:vertAlign w:val="subscript"/>
        </w:rPr>
        <w:t>i</w:t>
      </w:r>
      <w:proofErr w:type="gramStart"/>
      <w:r>
        <w:rPr>
          <w:i/>
          <w:sz w:val="22"/>
          <w:szCs w:val="22"/>
          <w:vertAlign w:val="subscript"/>
        </w:rPr>
        <w:t>,t</w:t>
      </w:r>
      <w:proofErr w:type="spellEnd"/>
      <w:proofErr w:type="gramEnd"/>
      <w:r>
        <w:rPr>
          <w:sz w:val="22"/>
          <w:szCs w:val="22"/>
        </w:rPr>
        <w:t xml:space="preserve"> </w:t>
      </w:r>
      <w:r>
        <w:rPr>
          <w:sz w:val="22"/>
          <w:szCs w:val="22"/>
        </w:rPr>
        <w:tab/>
        <w:t xml:space="preserve">= </w:t>
      </w:r>
      <w:r w:rsidRPr="00103EF2">
        <w:rPr>
          <w:sz w:val="22"/>
          <w:szCs w:val="22"/>
        </w:rPr>
        <w:t xml:space="preserve">change </w:t>
      </w:r>
      <w:r w:rsidRPr="00103EF2">
        <w:rPr>
          <w:rFonts w:ascii="TimesNewRoman" w:hAnsi="TimesNewRoman" w:cs="TimesNewRoman"/>
          <w:sz w:val="22"/>
          <w:szCs w:val="22"/>
        </w:rPr>
        <w:t>in total loans (</w:t>
      </w:r>
      <w:proofErr w:type="spellStart"/>
      <w:r w:rsidRPr="00103EF2">
        <w:rPr>
          <w:rFonts w:ascii="TimesNewRoman" w:hAnsi="TimesNewRoman" w:cs="TimesNewRoman"/>
          <w:sz w:val="22"/>
          <w:szCs w:val="22"/>
        </w:rPr>
        <w:t>LOAN</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LOAN</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Pr>
          <w:rFonts w:ascii="TimesNewRoman" w:hAnsi="TimesNewRoman" w:cs="TimesNewRoman"/>
          <w:sz w:val="22"/>
          <w:szCs w:val="22"/>
        </w:rPr>
        <w:t xml:space="preserve"> for firm </w:t>
      </w:r>
      <w:proofErr w:type="spellStart"/>
      <w:r>
        <w:rPr>
          <w:rFonts w:ascii="TimesNewRoman" w:hAnsi="TimesNewRoman" w:cs="TimesNewRoman"/>
          <w:i/>
          <w:sz w:val="22"/>
          <w:szCs w:val="22"/>
        </w:rPr>
        <w:t>i</w:t>
      </w:r>
      <w:proofErr w:type="spellEnd"/>
      <w:r>
        <w:rPr>
          <w:rFonts w:ascii="TimesNewRoman" w:hAnsi="TimesNewRoman" w:cs="TimesNewRoman"/>
          <w:i/>
          <w:sz w:val="22"/>
          <w:szCs w:val="22"/>
        </w:rPr>
        <w:t xml:space="preserve"> </w:t>
      </w:r>
      <w:r>
        <w:rPr>
          <w:rFonts w:ascii="TimesNewRoman" w:hAnsi="TimesNewRoman" w:cs="TimesNewRoman"/>
          <w:sz w:val="22"/>
          <w:szCs w:val="22"/>
        </w:rPr>
        <w:t xml:space="preserve">in year </w:t>
      </w:r>
      <w:r>
        <w:rPr>
          <w:rFonts w:ascii="TimesNewRoman" w:hAnsi="TimesNewRoman" w:cs="TimesNewRoman"/>
          <w:i/>
          <w:sz w:val="22"/>
          <w:szCs w:val="22"/>
        </w:rPr>
        <w:t>t</w:t>
      </w:r>
      <w:r>
        <w:rPr>
          <w:rFonts w:ascii="TimesNewRoman" w:hAnsi="TimesNewRoman" w:cs="TimesNewRoman"/>
          <w:sz w:val="22"/>
          <w:szCs w:val="22"/>
        </w:rPr>
        <w:t>;</w:t>
      </w:r>
    </w:p>
    <w:p w:rsidR="005061D7" w:rsidRPr="00103EF2" w:rsidRDefault="005061D7" w:rsidP="005061D7">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proofErr w:type="spellStart"/>
      <w:r w:rsidRPr="008F49FF">
        <w:rPr>
          <w:sz w:val="22"/>
          <w:szCs w:val="22"/>
        </w:rPr>
        <w:t>NPA</w:t>
      </w:r>
      <w:r w:rsidRPr="008F49FF">
        <w:rPr>
          <w:i/>
          <w:sz w:val="22"/>
          <w:szCs w:val="22"/>
          <w:vertAlign w:val="subscript"/>
        </w:rPr>
        <w:t>it</w:t>
      </w:r>
      <w:proofErr w:type="spellEnd"/>
      <w:r>
        <w:rPr>
          <w:i/>
          <w:sz w:val="22"/>
          <w:szCs w:val="22"/>
          <w:vertAlign w:val="subscript"/>
        </w:rPr>
        <w:tab/>
      </w:r>
      <w:r>
        <w:rPr>
          <w:i/>
          <w:sz w:val="22"/>
          <w:szCs w:val="22"/>
          <w:vertAlign w:val="subscript"/>
        </w:rPr>
        <w:tab/>
      </w:r>
      <w:r w:rsidRPr="00103EF2">
        <w:rPr>
          <w:sz w:val="22"/>
          <w:szCs w:val="22"/>
        </w:rPr>
        <w:t>=</w:t>
      </w:r>
      <w:r>
        <w:rPr>
          <w:sz w:val="22"/>
          <w:szCs w:val="22"/>
        </w:rPr>
        <w:t xml:space="preserve"> </w:t>
      </w:r>
      <w:r w:rsidRPr="00103EF2">
        <w:rPr>
          <w:rFonts w:ascii="TimesNewRoman" w:hAnsi="TimesNewRoman" w:cs="TimesNewRoman"/>
          <w:sz w:val="22"/>
          <w:szCs w:val="22"/>
        </w:rPr>
        <w:t>most recent change in nonperforming assets (</w:t>
      </w:r>
      <w:proofErr w:type="spellStart"/>
      <w:r w:rsidRPr="00103EF2">
        <w:rPr>
          <w:rFonts w:ascii="TimesNewRoman" w:hAnsi="TimesNewRoman" w:cs="TimesNewRoman"/>
          <w:sz w:val="22"/>
          <w:szCs w:val="22"/>
        </w:rPr>
        <w:t>NPA</w:t>
      </w:r>
      <w:r w:rsidRPr="00103EF2">
        <w:rPr>
          <w:rFonts w:ascii="TimesNewRoman" w:hAnsi="TimesNewRoman" w:cs="TimesNewRoman"/>
          <w:sz w:val="22"/>
          <w:szCs w:val="22"/>
          <w:vertAlign w:val="subscript"/>
        </w:rPr>
        <w:t>t</w:t>
      </w:r>
      <w:proofErr w:type="spellEnd"/>
      <w:r w:rsidRPr="00103EF2">
        <w:rPr>
          <w:rFonts w:ascii="TimesNewRoman" w:hAnsi="TimesNewRoman" w:cs="TimesNewRoman"/>
          <w:sz w:val="22"/>
          <w:szCs w:val="22"/>
        </w:rPr>
        <w:t xml:space="preserve"> – NPA</w:t>
      </w:r>
      <w:r w:rsidRPr="00103EF2">
        <w:rPr>
          <w:rFonts w:ascii="TimesNewRoman" w:hAnsi="TimesNewRoman" w:cs="TimesNewRoman"/>
          <w:sz w:val="22"/>
          <w:szCs w:val="22"/>
          <w:vertAlign w:val="subscript"/>
        </w:rPr>
        <w:t>t-1</w:t>
      </w:r>
      <w:r w:rsidRPr="00103EF2">
        <w:rPr>
          <w:rFonts w:ascii="TimesNewRoman" w:hAnsi="TimesNewRoman" w:cs="TimesNewRoman"/>
          <w:sz w:val="22"/>
          <w:szCs w:val="22"/>
        </w:rPr>
        <w:t>)</w:t>
      </w:r>
      <w:r>
        <w:rPr>
          <w:rFonts w:ascii="TimesNewRoman" w:hAnsi="TimesNewRoman" w:cs="TimesNewRoman"/>
          <w:sz w:val="22"/>
          <w:szCs w:val="22"/>
        </w:rPr>
        <w:t xml:space="preserve"> for firm </w:t>
      </w:r>
      <w:proofErr w:type="spellStart"/>
      <w:r w:rsidRPr="00C326A5">
        <w:rPr>
          <w:rFonts w:ascii="TimesNewRoman" w:hAnsi="TimesNewRoman" w:cs="TimesNewRoman"/>
          <w:i/>
          <w:sz w:val="22"/>
          <w:szCs w:val="22"/>
        </w:rPr>
        <w:t>i</w:t>
      </w:r>
      <w:proofErr w:type="spellEnd"/>
      <w:r>
        <w:rPr>
          <w:rFonts w:ascii="TimesNewRoman" w:hAnsi="TimesNewRoman" w:cs="TimesNewRoman"/>
          <w:sz w:val="22"/>
          <w:szCs w:val="22"/>
        </w:rPr>
        <w:t xml:space="preserve"> in year </w:t>
      </w:r>
      <w:r w:rsidRPr="00C326A5">
        <w:rPr>
          <w:rFonts w:ascii="TimesNewRoman" w:hAnsi="TimesNewRoman" w:cs="TimesNewRoman"/>
          <w:i/>
          <w:sz w:val="22"/>
          <w:szCs w:val="22"/>
        </w:rPr>
        <w:t>t</w:t>
      </w:r>
      <w:r>
        <w:rPr>
          <w:rFonts w:ascii="TimesNewRoman" w:hAnsi="TimesNewRoman" w:cs="TimesNewRoman"/>
          <w:sz w:val="22"/>
          <w:szCs w:val="22"/>
        </w:rPr>
        <w:t>;</w:t>
      </w:r>
    </w:p>
    <w:p w:rsidR="005061D7" w:rsidRDefault="005061D7" w:rsidP="005061D7">
      <w:pPr>
        <w:autoSpaceDE w:val="0"/>
        <w:autoSpaceDN w:val="0"/>
        <w:adjustRightInd w:val="0"/>
        <w:spacing w:line="360" w:lineRule="auto"/>
        <w:jc w:val="both"/>
        <w:rPr>
          <w:rFonts w:ascii="TimesNewRoman" w:hAnsi="TimesNewRoman" w:cs="TimesNewRoman"/>
          <w:sz w:val="22"/>
          <w:szCs w:val="22"/>
        </w:rPr>
      </w:pPr>
      <w:r w:rsidRPr="008F49FF">
        <w:rPr>
          <w:sz w:val="22"/>
          <w:szCs w:val="22"/>
          <w:lang w:val="nl-NL"/>
        </w:rPr>
        <w:t>Δ</w:t>
      </w:r>
      <w:r w:rsidRPr="008F49FF">
        <w:rPr>
          <w:sz w:val="22"/>
          <w:szCs w:val="22"/>
        </w:rPr>
        <w:t>NPA</w:t>
      </w:r>
      <w:r w:rsidRPr="00C326A5">
        <w:rPr>
          <w:i/>
          <w:sz w:val="22"/>
          <w:szCs w:val="22"/>
          <w:vertAlign w:val="subscript"/>
        </w:rPr>
        <w:t>i</w:t>
      </w:r>
      <w:proofErr w:type="gramStart"/>
      <w:r w:rsidRPr="00C326A5">
        <w:rPr>
          <w:i/>
          <w:sz w:val="22"/>
          <w:szCs w:val="22"/>
          <w:vertAlign w:val="subscript"/>
        </w:rPr>
        <w:t>,</w:t>
      </w:r>
      <w:r w:rsidRPr="008A419A">
        <w:rPr>
          <w:i/>
          <w:sz w:val="22"/>
          <w:szCs w:val="22"/>
          <w:vertAlign w:val="subscript"/>
        </w:rPr>
        <w:t>t</w:t>
      </w:r>
      <w:r w:rsidRPr="008A419A">
        <w:rPr>
          <w:i/>
          <w:sz w:val="22"/>
          <w:szCs w:val="22"/>
          <w:vertAlign w:val="subscript"/>
        </w:rPr>
        <w:softHyphen/>
        <w:t>+</w:t>
      </w:r>
      <w:proofErr w:type="gramEnd"/>
      <w:r w:rsidRPr="008A419A">
        <w:rPr>
          <w:i/>
          <w:sz w:val="22"/>
          <w:szCs w:val="22"/>
          <w:vertAlign w:val="subscript"/>
        </w:rPr>
        <w:t>1</w:t>
      </w:r>
      <w:r>
        <w:rPr>
          <w:i/>
          <w:sz w:val="22"/>
          <w:szCs w:val="22"/>
          <w:vertAlign w:val="subscript"/>
        </w:rPr>
        <w:tab/>
      </w:r>
      <w:r w:rsidRPr="00103EF2">
        <w:rPr>
          <w:sz w:val="22"/>
          <w:szCs w:val="22"/>
        </w:rPr>
        <w:t>=</w:t>
      </w:r>
      <w:r>
        <w:rPr>
          <w:sz w:val="22"/>
          <w:szCs w:val="22"/>
        </w:rPr>
        <w:t xml:space="preserve"> </w:t>
      </w:r>
      <w:r w:rsidRPr="00103EF2">
        <w:rPr>
          <w:rFonts w:ascii="TimesNewRoman" w:hAnsi="TimesNewRoman" w:cs="TimesNewRoman"/>
          <w:sz w:val="22"/>
          <w:szCs w:val="22"/>
        </w:rPr>
        <w:t>one-period-ahead change in nonperforming assets</w:t>
      </w:r>
      <w:r>
        <w:rPr>
          <w:rFonts w:ascii="TimesNewRoman" w:hAnsi="TimesNewRoman" w:cs="TimesNewRoman"/>
          <w:sz w:val="22"/>
          <w:szCs w:val="22"/>
        </w:rPr>
        <w:t xml:space="preserve"> for firm </w:t>
      </w:r>
      <w:proofErr w:type="spellStart"/>
      <w:r w:rsidRPr="00C326A5">
        <w:rPr>
          <w:rFonts w:ascii="TimesNewRoman" w:hAnsi="TimesNewRoman" w:cs="TimesNewRoman"/>
          <w:i/>
          <w:sz w:val="22"/>
          <w:szCs w:val="22"/>
        </w:rPr>
        <w:t>i</w:t>
      </w:r>
      <w:proofErr w:type="spellEnd"/>
      <w:r>
        <w:rPr>
          <w:rFonts w:ascii="TimesNewRoman" w:hAnsi="TimesNewRoman" w:cs="TimesNewRoman"/>
          <w:sz w:val="22"/>
          <w:szCs w:val="22"/>
        </w:rPr>
        <w:t xml:space="preserve"> </w:t>
      </w:r>
      <w:r w:rsidR="00CD36A3">
        <w:rPr>
          <w:rFonts w:ascii="TimesNewRoman" w:hAnsi="TimesNewRoman" w:cs="TimesNewRoman"/>
          <w:sz w:val="22"/>
          <w:szCs w:val="22"/>
        </w:rPr>
        <w:t xml:space="preserve">in </w:t>
      </w:r>
      <w:r>
        <w:rPr>
          <w:rFonts w:ascii="TimesNewRoman" w:hAnsi="TimesNewRoman" w:cs="TimesNewRoman"/>
          <w:sz w:val="22"/>
          <w:szCs w:val="22"/>
        </w:rPr>
        <w:t xml:space="preserve">year </w:t>
      </w:r>
      <w:r w:rsidRPr="00C326A5">
        <w:rPr>
          <w:rFonts w:ascii="TimesNewRoman" w:hAnsi="TimesNewRoman" w:cs="TimesNewRoman"/>
          <w:i/>
          <w:sz w:val="22"/>
          <w:szCs w:val="22"/>
        </w:rPr>
        <w:t>t</w:t>
      </w:r>
      <w:r>
        <w:rPr>
          <w:rFonts w:ascii="TimesNewRoman" w:hAnsi="TimesNewRoman" w:cs="TimesNewRoman"/>
          <w:sz w:val="22"/>
          <w:szCs w:val="22"/>
        </w:rPr>
        <w:t>;</w:t>
      </w:r>
    </w:p>
    <w:p w:rsidR="005061D7" w:rsidRDefault="005061D7" w:rsidP="005061D7">
      <w:pPr>
        <w:autoSpaceDE w:val="0"/>
        <w:autoSpaceDN w:val="0"/>
        <w:adjustRightInd w:val="0"/>
        <w:spacing w:line="360" w:lineRule="auto"/>
        <w:jc w:val="both"/>
        <w:rPr>
          <w:rFonts w:ascii="TimesNewRoman" w:hAnsi="TimesNewRoman" w:cs="TimesNewRoman"/>
          <w:sz w:val="22"/>
          <w:szCs w:val="22"/>
        </w:rPr>
      </w:pPr>
      <w:r w:rsidRPr="00120DD3">
        <w:rPr>
          <w:rFonts w:ascii="TimesNewRoman" w:hAnsi="TimesNewRoman" w:cs="TimesNewRoman"/>
          <w:sz w:val="22"/>
          <w:szCs w:val="22"/>
        </w:rPr>
        <w:t>β</w:t>
      </w:r>
      <w:r>
        <w:rPr>
          <w:rFonts w:ascii="TimesNewRoman" w:hAnsi="TimesNewRoman" w:cs="TimesNewRoman"/>
          <w:sz w:val="22"/>
          <w:szCs w:val="22"/>
          <w:vertAlign w:val="subscript"/>
        </w:rPr>
        <w:t>0</w:t>
      </w:r>
      <w:proofErr w:type="gramStart"/>
      <w:r>
        <w:rPr>
          <w:rFonts w:ascii="TimesNewRoman" w:hAnsi="TimesNewRoman" w:cs="TimesNewRoman"/>
          <w:sz w:val="22"/>
          <w:szCs w:val="22"/>
          <w:vertAlign w:val="subscript"/>
        </w:rPr>
        <w:t>,</w:t>
      </w:r>
      <w:r w:rsidRPr="00120DD3">
        <w:rPr>
          <w:rFonts w:ascii="TimesNewRoman" w:hAnsi="TimesNewRoman" w:cs="TimesNewRoman"/>
          <w:sz w:val="22"/>
          <w:szCs w:val="22"/>
        </w:rPr>
        <w:t>β</w:t>
      </w:r>
      <w:r>
        <w:rPr>
          <w:rFonts w:ascii="TimesNewRoman" w:hAnsi="TimesNewRoman" w:cs="TimesNewRoman"/>
          <w:sz w:val="22"/>
          <w:szCs w:val="22"/>
          <w:vertAlign w:val="subscript"/>
        </w:rPr>
        <w:t>1</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2</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3</w:t>
      </w:r>
      <w:r>
        <w:rPr>
          <w:rFonts w:ascii="TimesNewRoman" w:hAnsi="TimesNewRoman" w:cs="TimesNewRoman"/>
          <w:sz w:val="22"/>
          <w:szCs w:val="22"/>
        </w:rPr>
        <w:t>,</w:t>
      </w:r>
      <w:r w:rsidRPr="00120DD3">
        <w:rPr>
          <w:rFonts w:ascii="TimesNewRoman" w:hAnsi="TimesNewRoman" w:cs="TimesNewRoman"/>
          <w:sz w:val="22"/>
          <w:szCs w:val="22"/>
        </w:rPr>
        <w:t>β</w:t>
      </w:r>
      <w:r>
        <w:rPr>
          <w:rFonts w:ascii="TimesNewRoman" w:hAnsi="TimesNewRoman" w:cs="TimesNewRoman"/>
          <w:sz w:val="22"/>
          <w:szCs w:val="22"/>
          <w:vertAlign w:val="subscript"/>
        </w:rPr>
        <w:t>4</w:t>
      </w:r>
      <w:proofErr w:type="gramEnd"/>
      <w:r>
        <w:rPr>
          <w:rFonts w:ascii="TimesNewRoman" w:hAnsi="TimesNewRoman" w:cs="TimesNewRoman"/>
          <w:sz w:val="22"/>
          <w:szCs w:val="22"/>
        </w:rPr>
        <w:tab/>
        <w:t>= firm specific coefficients;</w:t>
      </w:r>
    </w:p>
    <w:p w:rsidR="005061D7" w:rsidRPr="00DA1560" w:rsidRDefault="005061D7" w:rsidP="005061D7">
      <w:pPr>
        <w:spacing w:line="360" w:lineRule="auto"/>
        <w:jc w:val="both"/>
        <w:rPr>
          <w:sz w:val="22"/>
          <w:szCs w:val="22"/>
        </w:rPr>
      </w:pPr>
      <w:proofErr w:type="spellStart"/>
      <w:proofErr w:type="gramStart"/>
      <w:r w:rsidRPr="008F49FF">
        <w:rPr>
          <w:sz w:val="22"/>
          <w:szCs w:val="22"/>
        </w:rPr>
        <w:t>z</w:t>
      </w:r>
      <w:r w:rsidRPr="008F49FF">
        <w:rPr>
          <w:i/>
          <w:sz w:val="22"/>
          <w:szCs w:val="22"/>
          <w:vertAlign w:val="subscript"/>
        </w:rPr>
        <w:t>i,</w:t>
      </w:r>
      <w:proofErr w:type="gramEnd"/>
      <w:r w:rsidRPr="008F49FF">
        <w:rPr>
          <w:i/>
          <w:sz w:val="22"/>
          <w:szCs w:val="22"/>
          <w:vertAlign w:val="subscript"/>
        </w:rPr>
        <w:t>t</w:t>
      </w:r>
      <w:proofErr w:type="spellEnd"/>
      <w:r>
        <w:rPr>
          <w:i/>
          <w:sz w:val="22"/>
          <w:szCs w:val="22"/>
          <w:vertAlign w:val="subscript"/>
        </w:rPr>
        <w:tab/>
      </w:r>
      <w:r>
        <w:rPr>
          <w:i/>
          <w:sz w:val="22"/>
          <w:szCs w:val="22"/>
          <w:vertAlign w:val="subscript"/>
        </w:rPr>
        <w:tab/>
      </w:r>
      <w:r w:rsidRPr="00DA1560">
        <w:rPr>
          <w:i/>
          <w:sz w:val="22"/>
          <w:szCs w:val="22"/>
          <w:vertAlign w:val="subscript"/>
        </w:rPr>
        <w:t xml:space="preserve"> </w:t>
      </w:r>
      <w:r w:rsidRPr="00DA1560">
        <w:rPr>
          <w:sz w:val="22"/>
          <w:szCs w:val="22"/>
        </w:rPr>
        <w:t xml:space="preserve">= </w:t>
      </w:r>
      <w:r>
        <w:rPr>
          <w:sz w:val="22"/>
          <w:szCs w:val="22"/>
        </w:rPr>
        <w:t xml:space="preserve">estimated discretionary component of LLP for firm </w:t>
      </w:r>
      <w:proofErr w:type="spellStart"/>
      <w:r w:rsidRPr="008F49FF">
        <w:rPr>
          <w:i/>
          <w:sz w:val="22"/>
          <w:szCs w:val="22"/>
        </w:rPr>
        <w:t>i</w:t>
      </w:r>
      <w:proofErr w:type="spellEnd"/>
      <w:r w:rsidRPr="008F49FF">
        <w:rPr>
          <w:i/>
          <w:sz w:val="22"/>
          <w:szCs w:val="22"/>
        </w:rPr>
        <w:t xml:space="preserve"> </w:t>
      </w:r>
      <w:r>
        <w:rPr>
          <w:sz w:val="22"/>
          <w:szCs w:val="22"/>
        </w:rPr>
        <w:t xml:space="preserve">in year </w:t>
      </w:r>
      <w:r w:rsidRPr="008F49FF">
        <w:rPr>
          <w:i/>
          <w:sz w:val="22"/>
          <w:szCs w:val="22"/>
        </w:rPr>
        <w:t>t</w:t>
      </w:r>
      <w:r>
        <w:rPr>
          <w:sz w:val="22"/>
          <w:szCs w:val="22"/>
        </w:rPr>
        <w:t>.</w:t>
      </w:r>
    </w:p>
    <w:p w:rsidR="005061D7" w:rsidRDefault="005061D7" w:rsidP="00DC0CBA">
      <w:pPr>
        <w:spacing w:line="360" w:lineRule="auto"/>
        <w:jc w:val="both"/>
        <w:rPr>
          <w:sz w:val="22"/>
          <w:szCs w:val="22"/>
        </w:rPr>
      </w:pPr>
    </w:p>
    <w:p w:rsidR="00DC0CBA" w:rsidRPr="00336F6E" w:rsidRDefault="00EB0595" w:rsidP="00DC0CBA">
      <w:pPr>
        <w:spacing w:line="360" w:lineRule="auto"/>
        <w:jc w:val="both"/>
        <w:rPr>
          <w:sz w:val="22"/>
          <w:szCs w:val="22"/>
        </w:rPr>
      </w:pPr>
      <w:r>
        <w:rPr>
          <w:sz w:val="22"/>
          <w:szCs w:val="22"/>
        </w:rPr>
        <w:lastRenderedPageBreak/>
        <w:t xml:space="preserve">All the variables are scaled by GBV, except GBV itself. </w:t>
      </w:r>
      <w:r w:rsidR="00DC0CBA">
        <w:rPr>
          <w:sz w:val="22"/>
          <w:szCs w:val="22"/>
        </w:rPr>
        <w:t xml:space="preserve">The regression is estimated using </w:t>
      </w:r>
      <w:r w:rsidR="0018468E">
        <w:rPr>
          <w:sz w:val="22"/>
          <w:szCs w:val="22"/>
        </w:rPr>
        <w:t>212</w:t>
      </w:r>
      <w:r w:rsidR="002563D7">
        <w:rPr>
          <w:sz w:val="22"/>
          <w:szCs w:val="22"/>
        </w:rPr>
        <w:t xml:space="preserve"> bank-</w:t>
      </w:r>
      <w:r w:rsidR="00DC0CBA">
        <w:rPr>
          <w:sz w:val="22"/>
          <w:szCs w:val="22"/>
        </w:rPr>
        <w:t>years in the period 1998-200</w:t>
      </w:r>
      <w:r w:rsidR="0018468E">
        <w:rPr>
          <w:sz w:val="22"/>
          <w:szCs w:val="22"/>
        </w:rPr>
        <w:t>1</w:t>
      </w:r>
      <w:r w:rsidR="00DC0CBA">
        <w:rPr>
          <w:sz w:val="22"/>
          <w:szCs w:val="22"/>
        </w:rPr>
        <w:t xml:space="preserve">.  </w:t>
      </w:r>
      <w:r w:rsidR="00C9380E">
        <w:rPr>
          <w:sz w:val="22"/>
          <w:szCs w:val="22"/>
        </w:rPr>
        <w:t>The table below reports the regression’s coefficients:</w:t>
      </w:r>
    </w:p>
    <w:p w:rsidR="00DC0CBA" w:rsidRDefault="00DC0CBA" w:rsidP="009A18A5">
      <w:pPr>
        <w:spacing w:line="360" w:lineRule="auto"/>
        <w:jc w:val="both"/>
        <w:rPr>
          <w:sz w:val="22"/>
          <w:szCs w:val="22"/>
        </w:rPr>
      </w:pPr>
    </w:p>
    <w:tbl>
      <w:tblPr>
        <w:tblpPr w:leftFromText="141" w:rightFromText="141" w:vertAnchor="text" w:horzAnchor="margin" w:tblpXSpec="center" w:tblpY="-65"/>
        <w:tblW w:w="7669" w:type="dxa"/>
        <w:tblCellMar>
          <w:left w:w="70" w:type="dxa"/>
          <w:right w:w="70" w:type="dxa"/>
        </w:tblCellMar>
        <w:tblLook w:val="04A0"/>
      </w:tblPr>
      <w:tblGrid>
        <w:gridCol w:w="1886"/>
        <w:gridCol w:w="383"/>
        <w:gridCol w:w="1276"/>
        <w:gridCol w:w="141"/>
        <w:gridCol w:w="1418"/>
        <w:gridCol w:w="533"/>
        <w:gridCol w:w="244"/>
        <w:gridCol w:w="371"/>
        <w:gridCol w:w="1417"/>
      </w:tblGrid>
      <w:tr w:rsidR="00DC0CBA" w:rsidRPr="008E455B" w:rsidTr="001340C8">
        <w:trPr>
          <w:trHeight w:val="300"/>
        </w:trPr>
        <w:tc>
          <w:tcPr>
            <w:tcW w:w="1886" w:type="dxa"/>
            <w:tcBorders>
              <w:top w:val="nil"/>
              <w:left w:val="nil"/>
              <w:bottom w:val="nil"/>
              <w:right w:val="nil"/>
            </w:tcBorders>
            <w:shd w:val="clear" w:color="auto" w:fill="auto"/>
            <w:noWrap/>
            <w:vAlign w:val="bottom"/>
            <w:hideMark/>
          </w:tcPr>
          <w:p w:rsidR="00DC0CBA" w:rsidRPr="008E455B" w:rsidRDefault="00DC0CBA" w:rsidP="00DC0CBA">
            <w:pPr>
              <w:rPr>
                <w:color w:val="000000"/>
                <w:sz w:val="18"/>
                <w:szCs w:val="18"/>
              </w:rPr>
            </w:pPr>
          </w:p>
        </w:tc>
        <w:tc>
          <w:tcPr>
            <w:tcW w:w="3751" w:type="dxa"/>
            <w:gridSpan w:val="5"/>
            <w:tcBorders>
              <w:top w:val="nil"/>
              <w:left w:val="nil"/>
              <w:bottom w:val="nil"/>
              <w:right w:val="nil"/>
            </w:tcBorders>
            <w:shd w:val="clear" w:color="auto" w:fill="auto"/>
            <w:noWrap/>
            <w:vAlign w:val="bottom"/>
            <w:hideMark/>
          </w:tcPr>
          <w:p w:rsidR="00DC0CBA" w:rsidRPr="00017FF5" w:rsidRDefault="00C9380E" w:rsidP="00CE2CDE">
            <w:pPr>
              <w:jc w:val="center"/>
              <w:rPr>
                <w:b/>
                <w:bCs/>
                <w:color w:val="000000"/>
                <w:sz w:val="22"/>
                <w:szCs w:val="22"/>
              </w:rPr>
            </w:pPr>
            <w:r w:rsidRPr="00017FF5">
              <w:rPr>
                <w:b/>
                <w:bCs/>
                <w:color w:val="000000"/>
                <w:sz w:val="22"/>
                <w:szCs w:val="22"/>
              </w:rPr>
              <w:t xml:space="preserve">Table </w:t>
            </w:r>
            <w:r w:rsidR="00CE2CDE">
              <w:rPr>
                <w:b/>
                <w:bCs/>
                <w:color w:val="000000"/>
                <w:sz w:val="22"/>
                <w:szCs w:val="22"/>
              </w:rPr>
              <w:t>5</w:t>
            </w:r>
          </w:p>
        </w:tc>
        <w:tc>
          <w:tcPr>
            <w:tcW w:w="2032" w:type="dxa"/>
            <w:gridSpan w:val="3"/>
            <w:tcBorders>
              <w:top w:val="nil"/>
              <w:left w:val="nil"/>
              <w:bottom w:val="nil"/>
              <w:right w:val="nil"/>
            </w:tcBorders>
            <w:shd w:val="clear" w:color="auto" w:fill="auto"/>
            <w:noWrap/>
            <w:vAlign w:val="bottom"/>
            <w:hideMark/>
          </w:tcPr>
          <w:p w:rsidR="00DC0CBA" w:rsidRPr="008E455B" w:rsidRDefault="00DC0CBA" w:rsidP="00DC0CBA">
            <w:pPr>
              <w:rPr>
                <w:color w:val="000000"/>
                <w:sz w:val="18"/>
                <w:szCs w:val="18"/>
              </w:rPr>
            </w:pPr>
          </w:p>
        </w:tc>
      </w:tr>
      <w:tr w:rsidR="00DC0CBA" w:rsidRPr="008E455B" w:rsidTr="001340C8">
        <w:trPr>
          <w:trHeight w:val="315"/>
        </w:trPr>
        <w:tc>
          <w:tcPr>
            <w:tcW w:w="7669" w:type="dxa"/>
            <w:gridSpan w:val="9"/>
            <w:tcBorders>
              <w:top w:val="nil"/>
              <w:left w:val="nil"/>
              <w:bottom w:val="double" w:sz="6" w:space="0" w:color="auto"/>
              <w:right w:val="nil"/>
            </w:tcBorders>
            <w:shd w:val="clear" w:color="auto" w:fill="auto"/>
            <w:noWrap/>
            <w:vAlign w:val="bottom"/>
            <w:hideMark/>
          </w:tcPr>
          <w:p w:rsidR="00DC0CBA" w:rsidRPr="005611CF" w:rsidRDefault="007A69EB" w:rsidP="007D69F0">
            <w:pPr>
              <w:jc w:val="center"/>
              <w:rPr>
                <w:bCs/>
                <w:color w:val="000000"/>
                <w:sz w:val="22"/>
                <w:szCs w:val="22"/>
              </w:rPr>
            </w:pPr>
            <w:r w:rsidRPr="005611CF">
              <w:rPr>
                <w:bCs/>
                <w:color w:val="000000"/>
                <w:sz w:val="22"/>
                <w:szCs w:val="22"/>
              </w:rPr>
              <w:t>Estimation of D</w:t>
            </w:r>
            <w:r w:rsidR="00DC0CBA" w:rsidRPr="005611CF">
              <w:rPr>
                <w:bCs/>
                <w:color w:val="000000"/>
                <w:sz w:val="22"/>
                <w:szCs w:val="22"/>
              </w:rPr>
              <w:t xml:space="preserve">iscretionary </w:t>
            </w:r>
            <w:r w:rsidRPr="005611CF">
              <w:rPr>
                <w:bCs/>
                <w:color w:val="000000"/>
                <w:sz w:val="22"/>
                <w:szCs w:val="22"/>
              </w:rPr>
              <w:t>L</w:t>
            </w:r>
            <w:r w:rsidR="00DC0CBA" w:rsidRPr="005611CF">
              <w:rPr>
                <w:bCs/>
                <w:color w:val="000000"/>
                <w:sz w:val="22"/>
                <w:szCs w:val="22"/>
              </w:rPr>
              <w:t xml:space="preserve">oan </w:t>
            </w:r>
            <w:r w:rsidRPr="005611CF">
              <w:rPr>
                <w:bCs/>
                <w:color w:val="000000"/>
                <w:sz w:val="22"/>
                <w:szCs w:val="22"/>
              </w:rPr>
              <w:t>L</w:t>
            </w:r>
            <w:r w:rsidR="00DC0CBA" w:rsidRPr="005611CF">
              <w:rPr>
                <w:bCs/>
                <w:color w:val="000000"/>
                <w:sz w:val="22"/>
                <w:szCs w:val="22"/>
              </w:rPr>
              <w:t xml:space="preserve">oss </w:t>
            </w:r>
            <w:r w:rsidRPr="005611CF">
              <w:rPr>
                <w:bCs/>
                <w:color w:val="000000"/>
                <w:sz w:val="22"/>
                <w:szCs w:val="22"/>
              </w:rPr>
              <w:t>P</w:t>
            </w:r>
            <w:r w:rsidR="00DC0CBA" w:rsidRPr="005611CF">
              <w:rPr>
                <w:bCs/>
                <w:color w:val="000000"/>
                <w:sz w:val="22"/>
                <w:szCs w:val="22"/>
              </w:rPr>
              <w:t>rovisions (</w:t>
            </w:r>
            <w:r w:rsidR="007D69F0">
              <w:rPr>
                <w:bCs/>
                <w:color w:val="000000"/>
                <w:sz w:val="22"/>
                <w:szCs w:val="22"/>
              </w:rPr>
              <w:t>pre-SOX</w:t>
            </w:r>
            <w:r w:rsidR="00DC0CBA" w:rsidRPr="005611CF">
              <w:rPr>
                <w:bCs/>
                <w:color w:val="000000"/>
                <w:sz w:val="22"/>
                <w:szCs w:val="22"/>
              </w:rPr>
              <w:t>)</w:t>
            </w:r>
          </w:p>
        </w:tc>
      </w:tr>
      <w:tr w:rsidR="00DC0CBA" w:rsidRPr="008E455B" w:rsidTr="001340C8">
        <w:trPr>
          <w:trHeight w:val="315"/>
        </w:trPr>
        <w:tc>
          <w:tcPr>
            <w:tcW w:w="2269" w:type="dxa"/>
            <w:gridSpan w:val="2"/>
            <w:tcBorders>
              <w:top w:val="double" w:sz="6" w:space="0" w:color="auto"/>
              <w:left w:val="nil"/>
              <w:bottom w:val="single" w:sz="4" w:space="0" w:color="auto"/>
              <w:right w:val="single" w:sz="4" w:space="0" w:color="auto"/>
            </w:tcBorders>
            <w:shd w:val="clear" w:color="auto" w:fill="auto"/>
            <w:noWrap/>
            <w:vAlign w:val="bottom"/>
            <w:hideMark/>
          </w:tcPr>
          <w:p w:rsidR="00DC0CBA" w:rsidRPr="00017FF5" w:rsidRDefault="00DC0CBA" w:rsidP="00DC0CBA">
            <w:pPr>
              <w:rPr>
                <w:color w:val="000000"/>
                <w:sz w:val="20"/>
                <w:szCs w:val="20"/>
              </w:rPr>
            </w:pPr>
            <w:r w:rsidRPr="00017FF5">
              <w:rPr>
                <w:color w:val="000000"/>
                <w:sz w:val="20"/>
                <w:szCs w:val="20"/>
              </w:rPr>
              <w:t> </w:t>
            </w:r>
            <w:r w:rsidR="00B95370">
              <w:rPr>
                <w:color w:val="000000"/>
                <w:sz w:val="20"/>
                <w:szCs w:val="20"/>
              </w:rPr>
              <w:t>Variables</w:t>
            </w:r>
          </w:p>
        </w:tc>
        <w:tc>
          <w:tcPr>
            <w:tcW w:w="1417" w:type="dxa"/>
            <w:gridSpan w:val="2"/>
            <w:tcBorders>
              <w:top w:val="double" w:sz="6" w:space="0" w:color="auto"/>
              <w:left w:val="single" w:sz="4" w:space="0" w:color="auto"/>
              <w:bottom w:val="single" w:sz="4" w:space="0" w:color="auto"/>
              <w:right w:val="nil"/>
            </w:tcBorders>
            <w:shd w:val="clear" w:color="auto" w:fill="auto"/>
            <w:noWrap/>
            <w:vAlign w:val="bottom"/>
            <w:hideMark/>
          </w:tcPr>
          <w:p w:rsidR="00DC0CBA" w:rsidRPr="00017FF5" w:rsidRDefault="005061D7" w:rsidP="00DC0CBA">
            <w:pPr>
              <w:jc w:val="center"/>
              <w:rPr>
                <w:color w:val="000000"/>
                <w:sz w:val="20"/>
                <w:szCs w:val="20"/>
              </w:rPr>
            </w:pPr>
            <w:proofErr w:type="spellStart"/>
            <w:r w:rsidRPr="00017FF5">
              <w:rPr>
                <w:color w:val="000000"/>
                <w:sz w:val="20"/>
                <w:szCs w:val="20"/>
              </w:rPr>
              <w:t>Unstandardized</w:t>
            </w:r>
            <w:proofErr w:type="spellEnd"/>
            <w:r w:rsidRPr="00017FF5">
              <w:rPr>
                <w:color w:val="000000"/>
                <w:sz w:val="20"/>
                <w:szCs w:val="20"/>
              </w:rPr>
              <w:t xml:space="preserve"> c</w:t>
            </w:r>
            <w:r w:rsidR="00DC0CBA" w:rsidRPr="00017FF5">
              <w:rPr>
                <w:color w:val="000000"/>
                <w:sz w:val="20"/>
                <w:szCs w:val="20"/>
              </w:rPr>
              <w:t>oefficients</w:t>
            </w:r>
            <w:r w:rsidR="00C12789" w:rsidRPr="00017FF5">
              <w:rPr>
                <w:color w:val="000000"/>
                <w:sz w:val="20"/>
                <w:szCs w:val="20"/>
              </w:rPr>
              <w:t xml:space="preserve"> </w:t>
            </w:r>
            <w:r w:rsidR="00270E42">
              <w:rPr>
                <w:color w:val="000000"/>
                <w:sz w:val="20"/>
                <w:szCs w:val="20"/>
              </w:rPr>
              <w:t>(b</w:t>
            </w:r>
            <w:r w:rsidRPr="00017FF5">
              <w:rPr>
                <w:color w:val="000000"/>
                <w:sz w:val="20"/>
                <w:szCs w:val="20"/>
              </w:rPr>
              <w:t>)</w:t>
            </w:r>
          </w:p>
        </w:tc>
        <w:tc>
          <w:tcPr>
            <w:tcW w:w="1418" w:type="dxa"/>
            <w:tcBorders>
              <w:top w:val="double" w:sz="6" w:space="0" w:color="auto"/>
              <w:left w:val="nil"/>
              <w:bottom w:val="single" w:sz="4" w:space="0" w:color="auto"/>
              <w:right w:val="nil"/>
            </w:tcBorders>
            <w:shd w:val="clear" w:color="auto" w:fill="auto"/>
            <w:noWrap/>
            <w:vAlign w:val="bottom"/>
            <w:hideMark/>
          </w:tcPr>
          <w:p w:rsidR="00DC0CBA" w:rsidRPr="00017FF5" w:rsidRDefault="00DC0CBA" w:rsidP="00DC0CBA">
            <w:pPr>
              <w:jc w:val="center"/>
              <w:rPr>
                <w:color w:val="000000"/>
                <w:sz w:val="20"/>
                <w:szCs w:val="20"/>
              </w:rPr>
            </w:pPr>
            <w:r w:rsidRPr="00017FF5">
              <w:rPr>
                <w:color w:val="000000"/>
                <w:sz w:val="20"/>
                <w:szCs w:val="20"/>
              </w:rPr>
              <w:t>Std. Error</w:t>
            </w:r>
          </w:p>
        </w:tc>
        <w:tc>
          <w:tcPr>
            <w:tcW w:w="1148" w:type="dxa"/>
            <w:gridSpan w:val="3"/>
            <w:tcBorders>
              <w:top w:val="double" w:sz="6" w:space="0" w:color="auto"/>
              <w:left w:val="nil"/>
              <w:bottom w:val="single" w:sz="4" w:space="0" w:color="auto"/>
              <w:right w:val="nil"/>
            </w:tcBorders>
            <w:shd w:val="clear" w:color="auto" w:fill="auto"/>
            <w:noWrap/>
            <w:vAlign w:val="bottom"/>
            <w:hideMark/>
          </w:tcPr>
          <w:p w:rsidR="00DC0CBA" w:rsidRPr="00017FF5" w:rsidRDefault="00DC0CBA" w:rsidP="001340C8">
            <w:pPr>
              <w:rPr>
                <w:color w:val="000000"/>
                <w:sz w:val="20"/>
                <w:szCs w:val="20"/>
              </w:rPr>
            </w:pPr>
            <w:r w:rsidRPr="00017FF5">
              <w:rPr>
                <w:color w:val="000000"/>
                <w:sz w:val="20"/>
                <w:szCs w:val="20"/>
              </w:rPr>
              <w:t>t-statistics</w:t>
            </w:r>
          </w:p>
        </w:tc>
        <w:tc>
          <w:tcPr>
            <w:tcW w:w="1417" w:type="dxa"/>
            <w:tcBorders>
              <w:top w:val="double" w:sz="6" w:space="0" w:color="auto"/>
              <w:left w:val="nil"/>
              <w:bottom w:val="single" w:sz="4" w:space="0" w:color="auto"/>
              <w:right w:val="nil"/>
            </w:tcBorders>
            <w:shd w:val="clear" w:color="auto" w:fill="auto"/>
            <w:noWrap/>
            <w:vAlign w:val="bottom"/>
            <w:hideMark/>
          </w:tcPr>
          <w:p w:rsidR="00DC0CBA" w:rsidRPr="00017FF5" w:rsidRDefault="001340C8" w:rsidP="001340C8">
            <w:pPr>
              <w:rPr>
                <w:color w:val="000000"/>
                <w:sz w:val="20"/>
                <w:szCs w:val="20"/>
              </w:rPr>
            </w:pPr>
            <w:r w:rsidRPr="00017FF5">
              <w:rPr>
                <w:color w:val="000000"/>
                <w:sz w:val="20"/>
                <w:szCs w:val="20"/>
              </w:rPr>
              <w:t xml:space="preserve">       </w:t>
            </w:r>
            <w:r w:rsidR="00DC0CBA" w:rsidRPr="00017FF5">
              <w:rPr>
                <w:color w:val="000000"/>
                <w:sz w:val="20"/>
                <w:szCs w:val="20"/>
              </w:rPr>
              <w:t>sig.</w:t>
            </w:r>
          </w:p>
        </w:tc>
      </w:tr>
      <w:tr w:rsidR="00DC0CBA" w:rsidRPr="008E455B" w:rsidTr="001340C8">
        <w:trPr>
          <w:trHeight w:val="300"/>
        </w:trPr>
        <w:tc>
          <w:tcPr>
            <w:tcW w:w="2269" w:type="dxa"/>
            <w:gridSpan w:val="2"/>
            <w:tcBorders>
              <w:top w:val="nil"/>
              <w:left w:val="nil"/>
              <w:bottom w:val="nil"/>
              <w:right w:val="single" w:sz="4" w:space="0" w:color="auto"/>
            </w:tcBorders>
            <w:shd w:val="clear" w:color="auto" w:fill="auto"/>
            <w:noWrap/>
            <w:vAlign w:val="bottom"/>
            <w:hideMark/>
          </w:tcPr>
          <w:p w:rsidR="00DC0CBA" w:rsidRPr="00017FF5" w:rsidRDefault="00DC0CBA" w:rsidP="00DC0CBA">
            <w:pPr>
              <w:rPr>
                <w:iCs/>
                <w:color w:val="000000"/>
                <w:sz w:val="20"/>
                <w:szCs w:val="20"/>
              </w:rPr>
            </w:pPr>
            <w:r w:rsidRPr="00017FF5">
              <w:rPr>
                <w:iCs/>
                <w:color w:val="000000"/>
                <w:sz w:val="20"/>
                <w:szCs w:val="20"/>
              </w:rPr>
              <w:t>1/</w:t>
            </w:r>
            <w:proofErr w:type="spellStart"/>
            <w:r w:rsidRPr="00017FF5">
              <w:rPr>
                <w:iCs/>
                <w:color w:val="000000"/>
                <w:sz w:val="20"/>
                <w:szCs w:val="20"/>
              </w:rPr>
              <w:t>GBV</w:t>
            </w:r>
            <w:r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2</w:t>
            </w:r>
            <w:r w:rsidR="009B0A44">
              <w:rPr>
                <w:color w:val="000000"/>
                <w:sz w:val="20"/>
                <w:szCs w:val="20"/>
              </w:rPr>
              <w:t>,</w:t>
            </w:r>
            <w:r>
              <w:rPr>
                <w:color w:val="000000"/>
                <w:sz w:val="20"/>
                <w:szCs w:val="20"/>
              </w:rPr>
              <w:t>550</w:t>
            </w:r>
          </w:p>
        </w:tc>
        <w:tc>
          <w:tcPr>
            <w:tcW w:w="1418" w:type="dxa"/>
            <w:tcBorders>
              <w:top w:val="nil"/>
              <w:left w:val="nil"/>
              <w:bottom w:val="nil"/>
              <w:right w:val="nil"/>
            </w:tcBorders>
            <w:shd w:val="clear" w:color="auto" w:fill="auto"/>
            <w:noWrap/>
            <w:vAlign w:val="bottom"/>
            <w:hideMark/>
          </w:tcPr>
          <w:p w:rsidR="00DC0CBA" w:rsidRPr="00017FF5" w:rsidRDefault="009B0A44" w:rsidP="008E1C4F">
            <w:pPr>
              <w:jc w:val="center"/>
              <w:rPr>
                <w:color w:val="000000"/>
                <w:sz w:val="20"/>
                <w:szCs w:val="20"/>
              </w:rPr>
            </w:pPr>
            <w:r>
              <w:rPr>
                <w:color w:val="000000"/>
                <w:sz w:val="20"/>
                <w:szCs w:val="20"/>
              </w:rPr>
              <w:t>0,</w:t>
            </w:r>
            <w:r w:rsidR="008E1C4F">
              <w:rPr>
                <w:color w:val="000000"/>
                <w:sz w:val="20"/>
                <w:szCs w:val="20"/>
              </w:rPr>
              <w:t>720</w:t>
            </w:r>
          </w:p>
        </w:tc>
        <w:tc>
          <w:tcPr>
            <w:tcW w:w="777" w:type="dxa"/>
            <w:gridSpan w:val="2"/>
            <w:tcBorders>
              <w:top w:val="nil"/>
              <w:left w:val="nil"/>
              <w:bottom w:val="nil"/>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3</w:t>
            </w:r>
            <w:r w:rsidR="009B0A44">
              <w:rPr>
                <w:color w:val="000000"/>
                <w:sz w:val="20"/>
                <w:szCs w:val="20"/>
              </w:rPr>
              <w:t>,</w:t>
            </w:r>
            <w:r>
              <w:rPr>
                <w:color w:val="000000"/>
                <w:sz w:val="20"/>
                <w:szCs w:val="20"/>
              </w:rPr>
              <w:t>542</w:t>
            </w:r>
          </w:p>
        </w:tc>
        <w:tc>
          <w:tcPr>
            <w:tcW w:w="1788" w:type="dxa"/>
            <w:gridSpan w:val="2"/>
            <w:tcBorders>
              <w:top w:val="nil"/>
              <w:left w:val="nil"/>
              <w:bottom w:val="nil"/>
              <w:right w:val="nil"/>
            </w:tcBorders>
            <w:shd w:val="clear" w:color="auto" w:fill="auto"/>
            <w:noWrap/>
            <w:vAlign w:val="bottom"/>
            <w:hideMark/>
          </w:tcPr>
          <w:p w:rsidR="00DC0CBA" w:rsidRPr="00017FF5" w:rsidRDefault="009B0A44" w:rsidP="008E1C4F">
            <w:pPr>
              <w:jc w:val="center"/>
              <w:rPr>
                <w:color w:val="000000"/>
                <w:sz w:val="20"/>
                <w:szCs w:val="20"/>
              </w:rPr>
            </w:pPr>
            <w:r>
              <w:rPr>
                <w:color w:val="000000"/>
                <w:sz w:val="20"/>
                <w:szCs w:val="20"/>
              </w:rPr>
              <w:t>0,0</w:t>
            </w:r>
            <w:r w:rsidR="008E1C4F">
              <w:rPr>
                <w:color w:val="000000"/>
                <w:sz w:val="20"/>
                <w:szCs w:val="20"/>
              </w:rPr>
              <w:t>00</w:t>
            </w:r>
          </w:p>
        </w:tc>
      </w:tr>
      <w:tr w:rsidR="00DC0CBA" w:rsidRPr="008E455B" w:rsidTr="001340C8">
        <w:trPr>
          <w:trHeight w:val="300"/>
        </w:trPr>
        <w:tc>
          <w:tcPr>
            <w:tcW w:w="2269" w:type="dxa"/>
            <w:gridSpan w:val="2"/>
            <w:tcBorders>
              <w:top w:val="nil"/>
              <w:left w:val="nil"/>
              <w:bottom w:val="nil"/>
              <w:right w:val="single" w:sz="4" w:space="0" w:color="auto"/>
            </w:tcBorders>
            <w:shd w:val="clear" w:color="auto" w:fill="auto"/>
            <w:noWrap/>
            <w:vAlign w:val="bottom"/>
            <w:hideMark/>
          </w:tcPr>
          <w:p w:rsidR="00DC0CBA" w:rsidRPr="00EB0595" w:rsidRDefault="00DC0CBA" w:rsidP="00DC0CBA">
            <w:pPr>
              <w:rPr>
                <w:iCs/>
                <w:color w:val="000000"/>
                <w:sz w:val="20"/>
                <w:szCs w:val="20"/>
              </w:rPr>
            </w:pPr>
            <w:proofErr w:type="spellStart"/>
            <w:r w:rsidRPr="00017FF5">
              <w:rPr>
                <w:iCs/>
                <w:color w:val="000000"/>
                <w:sz w:val="20"/>
                <w:szCs w:val="20"/>
              </w:rPr>
              <w:t>CO</w:t>
            </w:r>
            <w:r w:rsidRPr="00017FF5">
              <w:rPr>
                <w:iCs/>
                <w:color w:val="000000"/>
                <w:sz w:val="20"/>
                <w:szCs w:val="20"/>
                <w:vertAlign w:val="subscript"/>
              </w:rPr>
              <w:t>t</w:t>
            </w:r>
            <w:proofErr w:type="spellEnd"/>
            <w:r w:rsidR="00EB0595">
              <w:rPr>
                <w:iCs/>
                <w:color w:val="000000"/>
                <w:sz w:val="20"/>
                <w:szCs w:val="20"/>
                <w:vertAlign w:val="subscript"/>
              </w:rPr>
              <w:t xml:space="preserve"> </w:t>
            </w:r>
            <w:r w:rsidR="00EB0595">
              <w:rPr>
                <w:iCs/>
                <w:color w:val="000000"/>
                <w:sz w:val="20"/>
                <w:szCs w:val="20"/>
              </w:rPr>
              <w:t xml:space="preserve">/ </w:t>
            </w:r>
            <w:proofErr w:type="spellStart"/>
            <w:r w:rsidR="00EB0595" w:rsidRPr="00017FF5">
              <w:rPr>
                <w:iCs/>
                <w:color w:val="000000"/>
                <w:sz w:val="20"/>
                <w:szCs w:val="20"/>
              </w:rPr>
              <w:t>GBV</w:t>
            </w:r>
            <w:r w:rsidR="00EB0595"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DC0CBA" w:rsidRPr="00017FF5" w:rsidRDefault="009B0A44" w:rsidP="00DC0CBA">
            <w:pPr>
              <w:jc w:val="center"/>
              <w:rPr>
                <w:color w:val="000000"/>
                <w:sz w:val="20"/>
                <w:szCs w:val="20"/>
              </w:rPr>
            </w:pPr>
            <w:r>
              <w:rPr>
                <w:color w:val="000000"/>
                <w:sz w:val="20"/>
                <w:szCs w:val="20"/>
              </w:rPr>
              <w:t>1,30</w:t>
            </w:r>
            <w:r w:rsidR="008E1C4F">
              <w:rPr>
                <w:color w:val="000000"/>
                <w:sz w:val="20"/>
                <w:szCs w:val="20"/>
              </w:rPr>
              <w:t>2</w:t>
            </w:r>
          </w:p>
        </w:tc>
        <w:tc>
          <w:tcPr>
            <w:tcW w:w="1418" w:type="dxa"/>
            <w:tcBorders>
              <w:top w:val="nil"/>
              <w:left w:val="nil"/>
              <w:bottom w:val="nil"/>
              <w:right w:val="nil"/>
            </w:tcBorders>
            <w:shd w:val="clear" w:color="auto" w:fill="auto"/>
            <w:noWrap/>
            <w:vAlign w:val="bottom"/>
            <w:hideMark/>
          </w:tcPr>
          <w:p w:rsidR="00DC0CBA" w:rsidRPr="00017FF5" w:rsidRDefault="009B0A44" w:rsidP="00DC0CBA">
            <w:pPr>
              <w:jc w:val="center"/>
              <w:rPr>
                <w:color w:val="000000"/>
                <w:sz w:val="20"/>
                <w:szCs w:val="20"/>
              </w:rPr>
            </w:pPr>
            <w:r>
              <w:rPr>
                <w:color w:val="000000"/>
                <w:sz w:val="20"/>
                <w:szCs w:val="20"/>
              </w:rPr>
              <w:t>0,0</w:t>
            </w:r>
            <w:r w:rsidR="008E1C4F">
              <w:rPr>
                <w:color w:val="000000"/>
                <w:sz w:val="20"/>
                <w:szCs w:val="20"/>
              </w:rPr>
              <w:t>33</w:t>
            </w:r>
          </w:p>
        </w:tc>
        <w:tc>
          <w:tcPr>
            <w:tcW w:w="777" w:type="dxa"/>
            <w:gridSpan w:val="2"/>
            <w:tcBorders>
              <w:top w:val="nil"/>
              <w:left w:val="nil"/>
              <w:bottom w:val="nil"/>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39</w:t>
            </w:r>
            <w:r w:rsidR="00DC0CBA" w:rsidRPr="00017FF5">
              <w:rPr>
                <w:color w:val="000000"/>
                <w:sz w:val="20"/>
                <w:szCs w:val="20"/>
              </w:rPr>
              <w:t>,</w:t>
            </w:r>
            <w:r>
              <w:rPr>
                <w:color w:val="000000"/>
                <w:sz w:val="20"/>
                <w:szCs w:val="20"/>
              </w:rPr>
              <w:t>360</w:t>
            </w:r>
          </w:p>
        </w:tc>
        <w:tc>
          <w:tcPr>
            <w:tcW w:w="1788" w:type="dxa"/>
            <w:gridSpan w:val="2"/>
            <w:tcBorders>
              <w:top w:val="nil"/>
              <w:left w:val="nil"/>
              <w:bottom w:val="nil"/>
              <w:right w:val="nil"/>
            </w:tcBorders>
            <w:shd w:val="clear" w:color="auto" w:fill="auto"/>
            <w:noWrap/>
            <w:vAlign w:val="bottom"/>
            <w:hideMark/>
          </w:tcPr>
          <w:p w:rsidR="00DC0CBA" w:rsidRPr="00017FF5" w:rsidRDefault="00DC0CBA" w:rsidP="00D741BD">
            <w:pPr>
              <w:jc w:val="center"/>
              <w:rPr>
                <w:color w:val="000000"/>
                <w:sz w:val="20"/>
                <w:szCs w:val="20"/>
              </w:rPr>
            </w:pPr>
            <w:r w:rsidRPr="00017FF5">
              <w:rPr>
                <w:color w:val="000000"/>
                <w:sz w:val="20"/>
                <w:szCs w:val="20"/>
              </w:rPr>
              <w:t>0,000</w:t>
            </w:r>
          </w:p>
        </w:tc>
      </w:tr>
      <w:tr w:rsidR="00DC0CBA" w:rsidRPr="008E455B" w:rsidTr="001340C8">
        <w:trPr>
          <w:trHeight w:val="300"/>
        </w:trPr>
        <w:tc>
          <w:tcPr>
            <w:tcW w:w="2269" w:type="dxa"/>
            <w:gridSpan w:val="2"/>
            <w:tcBorders>
              <w:top w:val="nil"/>
              <w:left w:val="nil"/>
              <w:bottom w:val="nil"/>
              <w:right w:val="single" w:sz="4" w:space="0" w:color="auto"/>
            </w:tcBorders>
            <w:shd w:val="clear" w:color="auto" w:fill="auto"/>
            <w:noWrap/>
            <w:vAlign w:val="bottom"/>
            <w:hideMark/>
          </w:tcPr>
          <w:p w:rsidR="00DC0CBA" w:rsidRPr="00017FF5" w:rsidRDefault="00DC0CBA" w:rsidP="00DC0CBA">
            <w:pPr>
              <w:rPr>
                <w:iCs/>
                <w:color w:val="000000"/>
                <w:sz w:val="20"/>
                <w:szCs w:val="20"/>
              </w:rPr>
            </w:pPr>
            <w:proofErr w:type="spellStart"/>
            <w:r w:rsidRPr="00017FF5">
              <w:rPr>
                <w:iCs/>
                <w:color w:val="000000"/>
                <w:sz w:val="20"/>
                <w:szCs w:val="20"/>
              </w:rPr>
              <w:t>ΔLOAN</w:t>
            </w:r>
            <w:r w:rsidRPr="00017FF5">
              <w:rPr>
                <w:iCs/>
                <w:color w:val="000000"/>
                <w:sz w:val="20"/>
                <w:szCs w:val="20"/>
                <w:vertAlign w:val="subscript"/>
              </w:rPr>
              <w:t>t</w:t>
            </w:r>
            <w:proofErr w:type="spellEnd"/>
            <w:r w:rsidR="00EB0595">
              <w:rPr>
                <w:iCs/>
                <w:color w:val="000000"/>
                <w:sz w:val="20"/>
                <w:szCs w:val="20"/>
              </w:rPr>
              <w:t xml:space="preserve"> / </w:t>
            </w:r>
            <w:proofErr w:type="spellStart"/>
            <w:r w:rsidR="00EB0595" w:rsidRPr="00017FF5">
              <w:rPr>
                <w:iCs/>
                <w:color w:val="000000"/>
                <w:sz w:val="20"/>
                <w:szCs w:val="20"/>
              </w:rPr>
              <w:t>GBV</w:t>
            </w:r>
            <w:r w:rsidR="00EB0595" w:rsidRPr="00017FF5">
              <w:rPr>
                <w:iCs/>
                <w:color w:val="000000"/>
                <w:sz w:val="20"/>
                <w:szCs w:val="20"/>
                <w:vertAlign w:val="subscript"/>
              </w:rPr>
              <w:t>t</w:t>
            </w:r>
            <w:proofErr w:type="spellEnd"/>
            <w:r w:rsidR="00EB0595" w:rsidRPr="00017FF5">
              <w:rPr>
                <w:iCs/>
                <w:color w:val="000000"/>
                <w:sz w:val="20"/>
                <w:szCs w:val="20"/>
                <w:vertAlign w:val="subscript"/>
              </w:rPr>
              <w:t xml:space="preserve"> </w:t>
            </w:r>
            <w:r w:rsidRPr="00017FF5">
              <w:rPr>
                <w:iCs/>
                <w:color w:val="000000"/>
                <w:sz w:val="20"/>
                <w:szCs w:val="20"/>
                <w:vertAlign w:val="subscript"/>
              </w:rPr>
              <w:t xml:space="preserve"> </w:t>
            </w:r>
          </w:p>
        </w:tc>
        <w:tc>
          <w:tcPr>
            <w:tcW w:w="1417" w:type="dxa"/>
            <w:gridSpan w:val="2"/>
            <w:tcBorders>
              <w:top w:val="nil"/>
              <w:left w:val="single" w:sz="4" w:space="0" w:color="auto"/>
              <w:bottom w:val="nil"/>
              <w:right w:val="nil"/>
            </w:tcBorders>
            <w:shd w:val="clear" w:color="auto" w:fill="auto"/>
            <w:noWrap/>
            <w:vAlign w:val="bottom"/>
            <w:hideMark/>
          </w:tcPr>
          <w:p w:rsidR="00DC0CBA" w:rsidRPr="00017FF5" w:rsidRDefault="009B0A44" w:rsidP="00DC0CBA">
            <w:pPr>
              <w:jc w:val="center"/>
              <w:rPr>
                <w:color w:val="000000"/>
                <w:sz w:val="20"/>
                <w:szCs w:val="20"/>
              </w:rPr>
            </w:pPr>
            <w:r>
              <w:rPr>
                <w:color w:val="000000"/>
                <w:sz w:val="20"/>
                <w:szCs w:val="20"/>
              </w:rPr>
              <w:t>0,00</w:t>
            </w:r>
            <w:r w:rsidR="008E1C4F">
              <w:rPr>
                <w:color w:val="000000"/>
                <w:sz w:val="20"/>
                <w:szCs w:val="20"/>
              </w:rPr>
              <w:t>2</w:t>
            </w:r>
          </w:p>
        </w:tc>
        <w:tc>
          <w:tcPr>
            <w:tcW w:w="1418" w:type="dxa"/>
            <w:tcBorders>
              <w:top w:val="nil"/>
              <w:left w:val="nil"/>
              <w:bottom w:val="nil"/>
              <w:right w:val="nil"/>
            </w:tcBorders>
            <w:shd w:val="clear" w:color="auto" w:fill="auto"/>
            <w:noWrap/>
            <w:vAlign w:val="bottom"/>
            <w:hideMark/>
          </w:tcPr>
          <w:p w:rsidR="00DC0CBA" w:rsidRPr="00017FF5" w:rsidRDefault="00DC0CBA" w:rsidP="00DC0CBA">
            <w:pPr>
              <w:jc w:val="center"/>
              <w:rPr>
                <w:color w:val="000000"/>
                <w:sz w:val="20"/>
                <w:szCs w:val="20"/>
              </w:rPr>
            </w:pPr>
            <w:r w:rsidRPr="00017FF5">
              <w:rPr>
                <w:color w:val="000000"/>
                <w:sz w:val="20"/>
                <w:szCs w:val="20"/>
              </w:rPr>
              <w:t>0,001</w:t>
            </w:r>
          </w:p>
        </w:tc>
        <w:tc>
          <w:tcPr>
            <w:tcW w:w="777" w:type="dxa"/>
            <w:gridSpan w:val="2"/>
            <w:tcBorders>
              <w:top w:val="nil"/>
              <w:left w:val="nil"/>
              <w:bottom w:val="nil"/>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2</w:t>
            </w:r>
            <w:r w:rsidR="009B0A44">
              <w:rPr>
                <w:color w:val="000000"/>
                <w:sz w:val="20"/>
                <w:szCs w:val="20"/>
              </w:rPr>
              <w:t>,</w:t>
            </w:r>
            <w:r>
              <w:rPr>
                <w:color w:val="000000"/>
                <w:sz w:val="20"/>
                <w:szCs w:val="20"/>
              </w:rPr>
              <w:t>219</w:t>
            </w:r>
          </w:p>
        </w:tc>
        <w:tc>
          <w:tcPr>
            <w:tcW w:w="1788" w:type="dxa"/>
            <w:gridSpan w:val="2"/>
            <w:tcBorders>
              <w:top w:val="nil"/>
              <w:left w:val="nil"/>
              <w:bottom w:val="nil"/>
              <w:right w:val="nil"/>
            </w:tcBorders>
            <w:shd w:val="clear" w:color="auto" w:fill="auto"/>
            <w:noWrap/>
            <w:vAlign w:val="bottom"/>
            <w:hideMark/>
          </w:tcPr>
          <w:p w:rsidR="00DC0CBA" w:rsidRPr="00017FF5" w:rsidRDefault="008E1C4F" w:rsidP="00D741BD">
            <w:pPr>
              <w:jc w:val="center"/>
              <w:rPr>
                <w:color w:val="000000"/>
                <w:sz w:val="20"/>
                <w:szCs w:val="20"/>
              </w:rPr>
            </w:pPr>
            <w:r>
              <w:rPr>
                <w:color w:val="000000"/>
                <w:sz w:val="20"/>
                <w:szCs w:val="20"/>
              </w:rPr>
              <w:t>0,028</w:t>
            </w:r>
          </w:p>
        </w:tc>
      </w:tr>
      <w:tr w:rsidR="00DC0CBA" w:rsidRPr="008E455B" w:rsidTr="001340C8">
        <w:trPr>
          <w:trHeight w:val="300"/>
        </w:trPr>
        <w:tc>
          <w:tcPr>
            <w:tcW w:w="2269" w:type="dxa"/>
            <w:gridSpan w:val="2"/>
            <w:tcBorders>
              <w:top w:val="nil"/>
              <w:left w:val="nil"/>
              <w:bottom w:val="nil"/>
              <w:right w:val="single" w:sz="4" w:space="0" w:color="auto"/>
            </w:tcBorders>
            <w:shd w:val="clear" w:color="auto" w:fill="auto"/>
            <w:noWrap/>
            <w:vAlign w:val="bottom"/>
            <w:hideMark/>
          </w:tcPr>
          <w:p w:rsidR="00DC0CBA" w:rsidRPr="00EB0595" w:rsidRDefault="00DC0CBA" w:rsidP="00DC0CBA">
            <w:pPr>
              <w:rPr>
                <w:color w:val="000000"/>
                <w:sz w:val="20"/>
                <w:szCs w:val="20"/>
              </w:rPr>
            </w:pPr>
            <w:proofErr w:type="spellStart"/>
            <w:r w:rsidRPr="00017FF5">
              <w:rPr>
                <w:color w:val="000000"/>
                <w:sz w:val="20"/>
                <w:szCs w:val="20"/>
              </w:rPr>
              <w:t>Δ</w:t>
            </w:r>
            <w:r w:rsidRPr="00017FF5">
              <w:rPr>
                <w:iCs/>
                <w:color w:val="000000"/>
                <w:sz w:val="20"/>
                <w:szCs w:val="20"/>
              </w:rPr>
              <w:t>NPA</w:t>
            </w:r>
            <w:r w:rsidRPr="00017FF5">
              <w:rPr>
                <w:iCs/>
                <w:color w:val="000000"/>
                <w:sz w:val="20"/>
                <w:szCs w:val="20"/>
                <w:vertAlign w:val="subscript"/>
              </w:rPr>
              <w:t>t</w:t>
            </w:r>
            <w:proofErr w:type="spellEnd"/>
            <w:r w:rsidR="00EB0595">
              <w:rPr>
                <w:iCs/>
                <w:color w:val="000000"/>
                <w:sz w:val="20"/>
                <w:szCs w:val="20"/>
                <w:vertAlign w:val="subscript"/>
              </w:rPr>
              <w:t xml:space="preserve"> </w:t>
            </w:r>
            <w:r w:rsidR="00EB0595">
              <w:rPr>
                <w:iCs/>
                <w:color w:val="000000"/>
                <w:sz w:val="20"/>
                <w:szCs w:val="20"/>
              </w:rPr>
              <w:t>/</w:t>
            </w:r>
            <w:r w:rsidR="00EB0595" w:rsidRPr="00017FF5">
              <w:rPr>
                <w:iCs/>
                <w:color w:val="000000"/>
                <w:sz w:val="20"/>
                <w:szCs w:val="20"/>
              </w:rPr>
              <w:t xml:space="preserve"> </w:t>
            </w:r>
            <w:proofErr w:type="spellStart"/>
            <w:r w:rsidR="00EB0595" w:rsidRPr="00017FF5">
              <w:rPr>
                <w:iCs/>
                <w:color w:val="000000"/>
                <w:sz w:val="20"/>
                <w:szCs w:val="20"/>
              </w:rPr>
              <w:t>GBV</w:t>
            </w:r>
            <w:r w:rsidR="00EB0595"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DC0CBA" w:rsidRPr="00017FF5" w:rsidRDefault="009B0A44" w:rsidP="00DC0CBA">
            <w:pPr>
              <w:jc w:val="center"/>
              <w:rPr>
                <w:color w:val="000000"/>
                <w:sz w:val="20"/>
                <w:szCs w:val="20"/>
              </w:rPr>
            </w:pPr>
            <w:r>
              <w:rPr>
                <w:color w:val="000000"/>
                <w:sz w:val="20"/>
                <w:szCs w:val="20"/>
              </w:rPr>
              <w:t>0,</w:t>
            </w:r>
            <w:r w:rsidR="008E1C4F">
              <w:rPr>
                <w:color w:val="000000"/>
                <w:sz w:val="20"/>
                <w:szCs w:val="20"/>
              </w:rPr>
              <w:t>227</w:t>
            </w:r>
          </w:p>
        </w:tc>
        <w:tc>
          <w:tcPr>
            <w:tcW w:w="1418" w:type="dxa"/>
            <w:tcBorders>
              <w:top w:val="nil"/>
              <w:left w:val="nil"/>
              <w:bottom w:val="nil"/>
              <w:right w:val="nil"/>
            </w:tcBorders>
            <w:shd w:val="clear" w:color="auto" w:fill="auto"/>
            <w:noWrap/>
            <w:vAlign w:val="bottom"/>
            <w:hideMark/>
          </w:tcPr>
          <w:p w:rsidR="00DC0CBA" w:rsidRPr="00017FF5" w:rsidRDefault="00DC0CBA" w:rsidP="008E1C4F">
            <w:pPr>
              <w:jc w:val="center"/>
              <w:rPr>
                <w:color w:val="000000"/>
                <w:sz w:val="20"/>
                <w:szCs w:val="20"/>
              </w:rPr>
            </w:pPr>
            <w:r w:rsidRPr="00017FF5">
              <w:rPr>
                <w:color w:val="000000"/>
                <w:sz w:val="20"/>
                <w:szCs w:val="20"/>
              </w:rPr>
              <w:t>0,0</w:t>
            </w:r>
            <w:r w:rsidR="008E1C4F">
              <w:rPr>
                <w:color w:val="000000"/>
                <w:sz w:val="20"/>
                <w:szCs w:val="20"/>
              </w:rPr>
              <w:t>49</w:t>
            </w:r>
          </w:p>
        </w:tc>
        <w:tc>
          <w:tcPr>
            <w:tcW w:w="777" w:type="dxa"/>
            <w:gridSpan w:val="2"/>
            <w:tcBorders>
              <w:top w:val="nil"/>
              <w:left w:val="nil"/>
              <w:bottom w:val="nil"/>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4</w:t>
            </w:r>
            <w:r w:rsidR="009B0A44">
              <w:rPr>
                <w:color w:val="000000"/>
                <w:sz w:val="20"/>
                <w:szCs w:val="20"/>
              </w:rPr>
              <w:t>,</w:t>
            </w:r>
            <w:r>
              <w:rPr>
                <w:color w:val="000000"/>
                <w:sz w:val="20"/>
                <w:szCs w:val="20"/>
              </w:rPr>
              <w:t>676</w:t>
            </w:r>
          </w:p>
        </w:tc>
        <w:tc>
          <w:tcPr>
            <w:tcW w:w="1788" w:type="dxa"/>
            <w:gridSpan w:val="2"/>
            <w:tcBorders>
              <w:top w:val="nil"/>
              <w:left w:val="nil"/>
              <w:bottom w:val="nil"/>
              <w:right w:val="nil"/>
            </w:tcBorders>
            <w:shd w:val="clear" w:color="auto" w:fill="auto"/>
            <w:noWrap/>
            <w:vAlign w:val="bottom"/>
            <w:hideMark/>
          </w:tcPr>
          <w:p w:rsidR="00DC0CBA" w:rsidRPr="00017FF5" w:rsidRDefault="00DC0CBA" w:rsidP="00D741BD">
            <w:pPr>
              <w:jc w:val="center"/>
              <w:rPr>
                <w:color w:val="000000"/>
                <w:sz w:val="20"/>
                <w:szCs w:val="20"/>
              </w:rPr>
            </w:pPr>
            <w:r w:rsidRPr="00017FF5">
              <w:rPr>
                <w:color w:val="000000"/>
                <w:sz w:val="20"/>
                <w:szCs w:val="20"/>
              </w:rPr>
              <w:t>0,000</w:t>
            </w:r>
          </w:p>
        </w:tc>
      </w:tr>
      <w:tr w:rsidR="00DC0CBA" w:rsidRPr="008E455B" w:rsidTr="001340C8">
        <w:trPr>
          <w:trHeight w:val="315"/>
        </w:trPr>
        <w:tc>
          <w:tcPr>
            <w:tcW w:w="2269" w:type="dxa"/>
            <w:gridSpan w:val="2"/>
            <w:tcBorders>
              <w:top w:val="nil"/>
              <w:left w:val="nil"/>
              <w:bottom w:val="double" w:sz="6" w:space="0" w:color="auto"/>
              <w:right w:val="single" w:sz="4" w:space="0" w:color="auto"/>
            </w:tcBorders>
            <w:shd w:val="clear" w:color="auto" w:fill="auto"/>
            <w:noWrap/>
            <w:vAlign w:val="bottom"/>
            <w:hideMark/>
          </w:tcPr>
          <w:p w:rsidR="00DC0CBA" w:rsidRPr="00017FF5" w:rsidRDefault="00DC0CBA" w:rsidP="00DC0CBA">
            <w:pPr>
              <w:rPr>
                <w:color w:val="000000"/>
                <w:sz w:val="20"/>
                <w:szCs w:val="20"/>
              </w:rPr>
            </w:pPr>
            <w:r w:rsidRPr="00017FF5">
              <w:rPr>
                <w:color w:val="000000"/>
                <w:sz w:val="20"/>
                <w:szCs w:val="20"/>
              </w:rPr>
              <w:t>Δ</w:t>
            </w:r>
            <w:r w:rsidRPr="00017FF5">
              <w:rPr>
                <w:iCs/>
                <w:color w:val="000000"/>
                <w:sz w:val="20"/>
                <w:szCs w:val="20"/>
              </w:rPr>
              <w:t>NPA</w:t>
            </w:r>
            <w:r w:rsidRPr="00017FF5">
              <w:rPr>
                <w:iCs/>
                <w:color w:val="000000"/>
                <w:sz w:val="20"/>
                <w:szCs w:val="20"/>
                <w:vertAlign w:val="subscript"/>
              </w:rPr>
              <w:t>t+1</w:t>
            </w:r>
            <w:r w:rsidRPr="00017FF5">
              <w:rPr>
                <w:iCs/>
                <w:color w:val="000000"/>
                <w:sz w:val="20"/>
                <w:szCs w:val="20"/>
              </w:rPr>
              <w:t xml:space="preserve"> </w:t>
            </w:r>
            <w:r w:rsidR="00EB0595">
              <w:rPr>
                <w:iCs/>
                <w:color w:val="000000"/>
                <w:sz w:val="20"/>
                <w:szCs w:val="20"/>
              </w:rPr>
              <w:t xml:space="preserve">/ </w:t>
            </w:r>
            <w:proofErr w:type="spellStart"/>
            <w:r w:rsidR="00EB0595" w:rsidRPr="00017FF5">
              <w:rPr>
                <w:iCs/>
                <w:color w:val="000000"/>
                <w:sz w:val="20"/>
                <w:szCs w:val="20"/>
              </w:rPr>
              <w:t>GBV</w:t>
            </w:r>
            <w:r w:rsidR="00EB0595" w:rsidRPr="00017FF5">
              <w:rPr>
                <w:iCs/>
                <w:color w:val="000000"/>
                <w:sz w:val="20"/>
                <w:szCs w:val="20"/>
                <w:vertAlign w:val="subscript"/>
              </w:rPr>
              <w:t>t</w:t>
            </w:r>
            <w:proofErr w:type="spellEnd"/>
          </w:p>
        </w:tc>
        <w:tc>
          <w:tcPr>
            <w:tcW w:w="1417" w:type="dxa"/>
            <w:gridSpan w:val="2"/>
            <w:tcBorders>
              <w:top w:val="nil"/>
              <w:left w:val="single" w:sz="4" w:space="0" w:color="auto"/>
              <w:bottom w:val="double" w:sz="6" w:space="0" w:color="auto"/>
              <w:right w:val="nil"/>
            </w:tcBorders>
            <w:shd w:val="clear" w:color="auto" w:fill="auto"/>
            <w:noWrap/>
            <w:vAlign w:val="bottom"/>
            <w:hideMark/>
          </w:tcPr>
          <w:p w:rsidR="00DC0CBA" w:rsidRPr="00017FF5" w:rsidRDefault="009B0A44" w:rsidP="00DC0CBA">
            <w:pPr>
              <w:jc w:val="center"/>
              <w:rPr>
                <w:color w:val="000000"/>
                <w:sz w:val="20"/>
                <w:szCs w:val="20"/>
              </w:rPr>
            </w:pPr>
            <w:r>
              <w:rPr>
                <w:color w:val="000000"/>
                <w:sz w:val="20"/>
                <w:szCs w:val="20"/>
              </w:rPr>
              <w:t>0,</w:t>
            </w:r>
            <w:r w:rsidR="008E1C4F">
              <w:rPr>
                <w:color w:val="000000"/>
                <w:sz w:val="20"/>
                <w:szCs w:val="20"/>
              </w:rPr>
              <w:t>215</w:t>
            </w:r>
          </w:p>
        </w:tc>
        <w:tc>
          <w:tcPr>
            <w:tcW w:w="1418" w:type="dxa"/>
            <w:tcBorders>
              <w:top w:val="nil"/>
              <w:left w:val="nil"/>
              <w:bottom w:val="double" w:sz="6" w:space="0" w:color="auto"/>
              <w:right w:val="nil"/>
            </w:tcBorders>
            <w:shd w:val="clear" w:color="auto" w:fill="auto"/>
            <w:noWrap/>
            <w:vAlign w:val="bottom"/>
            <w:hideMark/>
          </w:tcPr>
          <w:p w:rsidR="00DC0CBA" w:rsidRPr="00017FF5" w:rsidRDefault="008E1C4F" w:rsidP="008E1C4F">
            <w:pPr>
              <w:jc w:val="center"/>
              <w:rPr>
                <w:color w:val="000000"/>
                <w:sz w:val="20"/>
                <w:szCs w:val="20"/>
              </w:rPr>
            </w:pPr>
            <w:r>
              <w:rPr>
                <w:color w:val="000000"/>
                <w:sz w:val="20"/>
                <w:szCs w:val="20"/>
              </w:rPr>
              <w:t>0,044</w:t>
            </w:r>
          </w:p>
        </w:tc>
        <w:tc>
          <w:tcPr>
            <w:tcW w:w="777" w:type="dxa"/>
            <w:gridSpan w:val="2"/>
            <w:tcBorders>
              <w:top w:val="nil"/>
              <w:left w:val="nil"/>
              <w:bottom w:val="double" w:sz="6" w:space="0" w:color="auto"/>
              <w:right w:val="nil"/>
            </w:tcBorders>
            <w:shd w:val="clear" w:color="auto" w:fill="auto"/>
            <w:noWrap/>
            <w:vAlign w:val="bottom"/>
            <w:hideMark/>
          </w:tcPr>
          <w:p w:rsidR="00DC0CBA" w:rsidRPr="00017FF5" w:rsidRDefault="008E1C4F" w:rsidP="009B0A44">
            <w:pPr>
              <w:jc w:val="center"/>
              <w:rPr>
                <w:color w:val="000000"/>
                <w:sz w:val="20"/>
                <w:szCs w:val="20"/>
              </w:rPr>
            </w:pPr>
            <w:r>
              <w:rPr>
                <w:color w:val="000000"/>
                <w:sz w:val="20"/>
                <w:szCs w:val="20"/>
              </w:rPr>
              <w:t>4</w:t>
            </w:r>
            <w:r w:rsidR="00DC0CBA" w:rsidRPr="00017FF5">
              <w:rPr>
                <w:color w:val="000000"/>
                <w:sz w:val="20"/>
                <w:szCs w:val="20"/>
              </w:rPr>
              <w:t>,8</w:t>
            </w:r>
            <w:r>
              <w:rPr>
                <w:color w:val="000000"/>
                <w:sz w:val="20"/>
                <w:szCs w:val="20"/>
              </w:rPr>
              <w:t>88</w:t>
            </w:r>
          </w:p>
        </w:tc>
        <w:tc>
          <w:tcPr>
            <w:tcW w:w="1788" w:type="dxa"/>
            <w:gridSpan w:val="2"/>
            <w:tcBorders>
              <w:top w:val="nil"/>
              <w:left w:val="nil"/>
              <w:bottom w:val="double" w:sz="6" w:space="0" w:color="auto"/>
              <w:right w:val="nil"/>
            </w:tcBorders>
            <w:shd w:val="clear" w:color="auto" w:fill="auto"/>
            <w:noWrap/>
            <w:vAlign w:val="bottom"/>
            <w:hideMark/>
          </w:tcPr>
          <w:p w:rsidR="00DC0CBA" w:rsidRPr="00017FF5" w:rsidRDefault="009B0A44" w:rsidP="009B0A44">
            <w:pPr>
              <w:jc w:val="center"/>
              <w:rPr>
                <w:color w:val="000000"/>
                <w:sz w:val="20"/>
                <w:szCs w:val="20"/>
              </w:rPr>
            </w:pPr>
            <w:r>
              <w:rPr>
                <w:color w:val="000000"/>
                <w:sz w:val="20"/>
                <w:szCs w:val="20"/>
              </w:rPr>
              <w:t>0,00</w:t>
            </w:r>
            <w:r w:rsidR="008E1C4F">
              <w:rPr>
                <w:color w:val="000000"/>
                <w:sz w:val="20"/>
                <w:szCs w:val="20"/>
              </w:rPr>
              <w:t>0</w:t>
            </w:r>
          </w:p>
        </w:tc>
      </w:tr>
      <w:tr w:rsidR="00DC0CBA" w:rsidRPr="008E455B" w:rsidTr="001340C8">
        <w:trPr>
          <w:trHeight w:val="300"/>
        </w:trPr>
        <w:tc>
          <w:tcPr>
            <w:tcW w:w="5104" w:type="dxa"/>
            <w:gridSpan w:val="5"/>
            <w:tcBorders>
              <w:top w:val="nil"/>
              <w:left w:val="nil"/>
              <w:bottom w:val="nil"/>
              <w:right w:val="nil"/>
            </w:tcBorders>
            <w:shd w:val="clear" w:color="auto" w:fill="auto"/>
            <w:noWrap/>
            <w:vAlign w:val="bottom"/>
            <w:hideMark/>
          </w:tcPr>
          <w:p w:rsidR="00DC0CBA" w:rsidRPr="00017FF5" w:rsidRDefault="008E1C4F" w:rsidP="00DC0CBA">
            <w:pPr>
              <w:rPr>
                <w:color w:val="000000"/>
                <w:sz w:val="20"/>
                <w:szCs w:val="20"/>
              </w:rPr>
            </w:pPr>
            <w:r>
              <w:rPr>
                <w:color w:val="000000"/>
                <w:sz w:val="20"/>
                <w:szCs w:val="20"/>
              </w:rPr>
              <w:t>R = 0,948</w:t>
            </w:r>
          </w:p>
        </w:tc>
        <w:tc>
          <w:tcPr>
            <w:tcW w:w="777" w:type="dxa"/>
            <w:gridSpan w:val="2"/>
            <w:tcBorders>
              <w:top w:val="nil"/>
              <w:left w:val="nil"/>
              <w:bottom w:val="nil"/>
              <w:right w:val="nil"/>
            </w:tcBorders>
            <w:shd w:val="clear" w:color="auto" w:fill="auto"/>
            <w:noWrap/>
            <w:vAlign w:val="bottom"/>
            <w:hideMark/>
          </w:tcPr>
          <w:p w:rsidR="00DC0CBA" w:rsidRPr="00017FF5" w:rsidRDefault="00DC0CBA" w:rsidP="00DC0CBA">
            <w:pPr>
              <w:rPr>
                <w:color w:val="000000"/>
                <w:sz w:val="20"/>
                <w:szCs w:val="20"/>
              </w:rPr>
            </w:pPr>
          </w:p>
        </w:tc>
        <w:tc>
          <w:tcPr>
            <w:tcW w:w="1788" w:type="dxa"/>
            <w:gridSpan w:val="2"/>
            <w:tcBorders>
              <w:top w:val="nil"/>
              <w:left w:val="nil"/>
              <w:bottom w:val="nil"/>
              <w:right w:val="nil"/>
            </w:tcBorders>
            <w:shd w:val="clear" w:color="auto" w:fill="auto"/>
            <w:noWrap/>
            <w:vAlign w:val="bottom"/>
            <w:hideMark/>
          </w:tcPr>
          <w:p w:rsidR="00DC0CBA" w:rsidRPr="00017FF5" w:rsidRDefault="00DC0CBA" w:rsidP="00DC0CBA">
            <w:pPr>
              <w:rPr>
                <w:color w:val="000000"/>
                <w:sz w:val="20"/>
                <w:szCs w:val="20"/>
              </w:rPr>
            </w:pPr>
          </w:p>
        </w:tc>
      </w:tr>
      <w:tr w:rsidR="00DC0CBA" w:rsidRPr="008E455B" w:rsidTr="001340C8">
        <w:trPr>
          <w:trHeight w:val="300"/>
        </w:trPr>
        <w:tc>
          <w:tcPr>
            <w:tcW w:w="3545" w:type="dxa"/>
            <w:gridSpan w:val="3"/>
            <w:tcBorders>
              <w:top w:val="nil"/>
              <w:left w:val="nil"/>
              <w:bottom w:val="single" w:sz="4" w:space="0" w:color="auto"/>
              <w:right w:val="nil"/>
            </w:tcBorders>
            <w:shd w:val="clear" w:color="auto" w:fill="auto"/>
            <w:noWrap/>
            <w:vAlign w:val="bottom"/>
            <w:hideMark/>
          </w:tcPr>
          <w:p w:rsidR="00DC0CBA" w:rsidRDefault="009B0A44" w:rsidP="00DC0CBA">
            <w:pPr>
              <w:rPr>
                <w:color w:val="000000"/>
                <w:sz w:val="20"/>
                <w:szCs w:val="20"/>
              </w:rPr>
            </w:pPr>
            <w:r>
              <w:rPr>
                <w:color w:val="000000"/>
                <w:sz w:val="20"/>
                <w:szCs w:val="20"/>
              </w:rPr>
              <w:t>R-square = 0,</w:t>
            </w:r>
            <w:r w:rsidR="008E1C4F">
              <w:rPr>
                <w:color w:val="000000"/>
                <w:sz w:val="20"/>
                <w:szCs w:val="20"/>
              </w:rPr>
              <w:t>898</w:t>
            </w:r>
          </w:p>
          <w:p w:rsidR="008E1C4F" w:rsidRPr="00017FF5" w:rsidRDefault="008E1C4F" w:rsidP="008E1C4F">
            <w:pPr>
              <w:rPr>
                <w:color w:val="000000"/>
                <w:sz w:val="20"/>
                <w:szCs w:val="20"/>
              </w:rPr>
            </w:pPr>
            <w:r>
              <w:rPr>
                <w:color w:val="000000"/>
                <w:sz w:val="20"/>
                <w:szCs w:val="20"/>
              </w:rPr>
              <w:t>Adjusted R-square = 0,896</w:t>
            </w:r>
          </w:p>
        </w:tc>
        <w:tc>
          <w:tcPr>
            <w:tcW w:w="1559" w:type="dxa"/>
            <w:gridSpan w:val="2"/>
            <w:tcBorders>
              <w:top w:val="nil"/>
              <w:left w:val="nil"/>
              <w:bottom w:val="single" w:sz="4" w:space="0" w:color="auto"/>
              <w:right w:val="nil"/>
            </w:tcBorders>
            <w:shd w:val="clear" w:color="auto" w:fill="auto"/>
            <w:noWrap/>
            <w:vAlign w:val="bottom"/>
            <w:hideMark/>
          </w:tcPr>
          <w:p w:rsidR="00DC0CBA" w:rsidRPr="00017FF5" w:rsidRDefault="00DC0CBA" w:rsidP="00DC0CBA">
            <w:pPr>
              <w:rPr>
                <w:color w:val="000000"/>
                <w:sz w:val="20"/>
                <w:szCs w:val="20"/>
              </w:rPr>
            </w:pPr>
            <w:r w:rsidRPr="00017FF5">
              <w:rPr>
                <w:color w:val="000000"/>
                <w:sz w:val="20"/>
                <w:szCs w:val="20"/>
              </w:rPr>
              <w:t> </w:t>
            </w:r>
          </w:p>
        </w:tc>
        <w:tc>
          <w:tcPr>
            <w:tcW w:w="777" w:type="dxa"/>
            <w:gridSpan w:val="2"/>
            <w:tcBorders>
              <w:top w:val="nil"/>
              <w:left w:val="nil"/>
              <w:bottom w:val="single" w:sz="4" w:space="0" w:color="auto"/>
              <w:right w:val="nil"/>
            </w:tcBorders>
            <w:shd w:val="clear" w:color="auto" w:fill="auto"/>
            <w:noWrap/>
            <w:vAlign w:val="bottom"/>
            <w:hideMark/>
          </w:tcPr>
          <w:p w:rsidR="00DC0CBA" w:rsidRPr="00017FF5" w:rsidRDefault="00DC0CBA" w:rsidP="00DC0CBA">
            <w:pPr>
              <w:rPr>
                <w:color w:val="000000"/>
                <w:sz w:val="20"/>
                <w:szCs w:val="20"/>
              </w:rPr>
            </w:pPr>
            <w:r w:rsidRPr="00017FF5">
              <w:rPr>
                <w:color w:val="000000"/>
                <w:sz w:val="20"/>
                <w:szCs w:val="20"/>
              </w:rPr>
              <w:t> </w:t>
            </w:r>
          </w:p>
        </w:tc>
        <w:tc>
          <w:tcPr>
            <w:tcW w:w="1788" w:type="dxa"/>
            <w:gridSpan w:val="2"/>
            <w:tcBorders>
              <w:top w:val="nil"/>
              <w:left w:val="nil"/>
              <w:bottom w:val="single" w:sz="4" w:space="0" w:color="auto"/>
              <w:right w:val="nil"/>
            </w:tcBorders>
            <w:shd w:val="clear" w:color="auto" w:fill="auto"/>
            <w:noWrap/>
            <w:vAlign w:val="bottom"/>
            <w:hideMark/>
          </w:tcPr>
          <w:p w:rsidR="00DC0CBA" w:rsidRPr="00017FF5" w:rsidRDefault="00DC0CBA" w:rsidP="00DC0CBA">
            <w:pPr>
              <w:rPr>
                <w:color w:val="000000"/>
                <w:sz w:val="20"/>
                <w:szCs w:val="20"/>
              </w:rPr>
            </w:pPr>
            <w:r w:rsidRPr="00017FF5">
              <w:rPr>
                <w:color w:val="000000"/>
                <w:sz w:val="20"/>
                <w:szCs w:val="20"/>
              </w:rPr>
              <w:t> </w:t>
            </w:r>
          </w:p>
        </w:tc>
      </w:tr>
    </w:tbl>
    <w:p w:rsidR="00327872" w:rsidRDefault="00327872" w:rsidP="009A18A5">
      <w:pPr>
        <w:spacing w:line="360" w:lineRule="auto"/>
        <w:jc w:val="both"/>
      </w:pPr>
    </w:p>
    <w:p w:rsidR="00336F6E" w:rsidRPr="00336F6E" w:rsidRDefault="00336F6E" w:rsidP="00336F6E">
      <w:pPr>
        <w:jc w:val="center"/>
        <w:rPr>
          <w:b/>
          <w:sz w:val="18"/>
          <w:szCs w:val="18"/>
        </w:rPr>
      </w:pPr>
    </w:p>
    <w:p w:rsidR="00327872" w:rsidRPr="008E455B" w:rsidRDefault="00327872" w:rsidP="00327872"/>
    <w:p w:rsidR="00EE273D" w:rsidRDefault="00EE273D" w:rsidP="00327872"/>
    <w:p w:rsidR="00EE273D" w:rsidRDefault="00EE273D" w:rsidP="00327872"/>
    <w:p w:rsidR="00EE273D" w:rsidRDefault="00EE273D" w:rsidP="0008490F">
      <w:pPr>
        <w:spacing w:line="360" w:lineRule="auto"/>
        <w:jc w:val="both"/>
      </w:pPr>
    </w:p>
    <w:p w:rsidR="00EE273D" w:rsidRDefault="00EE273D" w:rsidP="0008490F">
      <w:pPr>
        <w:spacing w:line="360" w:lineRule="auto"/>
        <w:jc w:val="both"/>
      </w:pPr>
    </w:p>
    <w:p w:rsidR="00EE273D" w:rsidRDefault="00EE273D" w:rsidP="0008490F">
      <w:pPr>
        <w:spacing w:line="360" w:lineRule="auto"/>
        <w:jc w:val="both"/>
      </w:pPr>
    </w:p>
    <w:p w:rsidR="00EE273D" w:rsidRDefault="00EE273D" w:rsidP="0008490F">
      <w:pPr>
        <w:spacing w:line="360" w:lineRule="auto"/>
        <w:jc w:val="both"/>
      </w:pPr>
    </w:p>
    <w:p w:rsidR="00EE273D" w:rsidRDefault="00EE273D" w:rsidP="0008490F">
      <w:pPr>
        <w:spacing w:line="360" w:lineRule="auto"/>
        <w:jc w:val="both"/>
      </w:pPr>
    </w:p>
    <w:p w:rsidR="00BD1791" w:rsidRDefault="00BD1791" w:rsidP="0008490F">
      <w:pPr>
        <w:spacing w:line="360" w:lineRule="auto"/>
        <w:jc w:val="both"/>
      </w:pPr>
    </w:p>
    <w:p w:rsidR="00016E35" w:rsidRPr="00D129E0" w:rsidRDefault="00016E35" w:rsidP="006A353B">
      <w:pPr>
        <w:spacing w:line="360" w:lineRule="auto"/>
        <w:jc w:val="both"/>
        <w:rPr>
          <w:sz w:val="22"/>
          <w:szCs w:val="22"/>
        </w:rPr>
      </w:pPr>
      <w:r w:rsidRPr="00D129E0">
        <w:rPr>
          <w:sz w:val="22"/>
          <w:szCs w:val="22"/>
        </w:rPr>
        <w:t>T</w:t>
      </w:r>
      <w:r w:rsidR="00DC0CBA" w:rsidRPr="00D129E0">
        <w:rPr>
          <w:sz w:val="22"/>
          <w:szCs w:val="22"/>
        </w:rPr>
        <w:t>he n</w:t>
      </w:r>
      <w:r w:rsidR="0031432C" w:rsidRPr="00D129E0">
        <w:rPr>
          <w:sz w:val="22"/>
          <w:szCs w:val="22"/>
        </w:rPr>
        <w:t>et loan charge-offs show a large positive in</w:t>
      </w:r>
      <w:r w:rsidR="00A71D05">
        <w:rPr>
          <w:sz w:val="22"/>
          <w:szCs w:val="22"/>
        </w:rPr>
        <w:t>fluence on loan loss provisions</w:t>
      </w:r>
      <w:r w:rsidR="00270E42">
        <w:rPr>
          <w:sz w:val="22"/>
          <w:szCs w:val="22"/>
        </w:rPr>
        <w:t xml:space="preserve"> and t</w:t>
      </w:r>
      <w:r w:rsidR="00035AAE">
        <w:rPr>
          <w:sz w:val="22"/>
          <w:szCs w:val="22"/>
        </w:rPr>
        <w:t>he other non-discretionary variables</w:t>
      </w:r>
      <w:r w:rsidR="0031432C" w:rsidRPr="00D129E0">
        <w:rPr>
          <w:sz w:val="22"/>
          <w:szCs w:val="22"/>
        </w:rPr>
        <w:t xml:space="preserve"> are also</w:t>
      </w:r>
      <w:r w:rsidR="00035AAE">
        <w:rPr>
          <w:sz w:val="22"/>
          <w:szCs w:val="22"/>
        </w:rPr>
        <w:t xml:space="preserve"> positive and significant</w:t>
      </w:r>
      <w:r w:rsidR="0031432C" w:rsidRPr="00D129E0">
        <w:rPr>
          <w:sz w:val="22"/>
          <w:szCs w:val="22"/>
        </w:rPr>
        <w:t xml:space="preserve">. </w:t>
      </w:r>
      <w:r w:rsidR="00270E42">
        <w:rPr>
          <w:sz w:val="22"/>
          <w:szCs w:val="22"/>
        </w:rPr>
        <w:t>The t-statistic measures whether the b-value is making a significant contribution to the model (Field, 2005)</w:t>
      </w:r>
      <w:r w:rsidR="0008490F" w:rsidRPr="00D129E0">
        <w:rPr>
          <w:sz w:val="22"/>
          <w:szCs w:val="22"/>
        </w:rPr>
        <w:t>.</w:t>
      </w:r>
      <w:r w:rsidR="00026300" w:rsidRPr="00D129E0">
        <w:rPr>
          <w:sz w:val="22"/>
          <w:szCs w:val="22"/>
        </w:rPr>
        <w:t xml:space="preserve"> </w:t>
      </w:r>
      <w:r w:rsidR="00C22EB6" w:rsidRPr="00D129E0">
        <w:rPr>
          <w:sz w:val="22"/>
          <w:szCs w:val="22"/>
        </w:rPr>
        <w:t xml:space="preserve">If the t-value is close to zero, then the variable has low prediction value. </w:t>
      </w:r>
      <w:r w:rsidR="00DC0CBA" w:rsidRPr="00D129E0">
        <w:rPr>
          <w:sz w:val="22"/>
          <w:szCs w:val="22"/>
        </w:rPr>
        <w:t xml:space="preserve">When t-statistic is significantly not zero, it </w:t>
      </w:r>
      <w:r w:rsidR="00026300" w:rsidRPr="00D129E0">
        <w:rPr>
          <w:sz w:val="22"/>
          <w:szCs w:val="22"/>
        </w:rPr>
        <w:t xml:space="preserve">means that the explanatory variable contributes to the estimation of the </w:t>
      </w:r>
      <w:r w:rsidR="00065D74" w:rsidRPr="00D129E0">
        <w:rPr>
          <w:sz w:val="22"/>
          <w:szCs w:val="22"/>
        </w:rPr>
        <w:t>discret</w:t>
      </w:r>
      <w:r w:rsidR="00065D74">
        <w:rPr>
          <w:sz w:val="22"/>
          <w:szCs w:val="22"/>
        </w:rPr>
        <w:t xml:space="preserve">ionary loan loss provision. Overall, the t-statistics are not zero. </w:t>
      </w:r>
      <w:r w:rsidR="00594E43">
        <w:rPr>
          <w:sz w:val="22"/>
          <w:szCs w:val="22"/>
        </w:rPr>
        <w:t xml:space="preserve">The R value (0,948) shows that there is a high correlation between the dependant variable and the explanatory variables. </w:t>
      </w:r>
      <w:r w:rsidR="00C9464B" w:rsidRPr="00D129E0">
        <w:rPr>
          <w:sz w:val="22"/>
          <w:szCs w:val="22"/>
        </w:rPr>
        <w:t xml:space="preserve">The </w:t>
      </w:r>
      <w:r w:rsidR="00026300" w:rsidRPr="00D129E0">
        <w:rPr>
          <w:sz w:val="22"/>
          <w:szCs w:val="22"/>
        </w:rPr>
        <w:t>R</w:t>
      </w:r>
      <w:r w:rsidR="00026300" w:rsidRPr="00D129E0">
        <w:rPr>
          <w:sz w:val="22"/>
          <w:szCs w:val="22"/>
          <w:vertAlign w:val="superscript"/>
        </w:rPr>
        <w:t>2</w:t>
      </w:r>
      <w:r w:rsidR="00C9464B" w:rsidRPr="00D129E0">
        <w:rPr>
          <w:sz w:val="22"/>
          <w:szCs w:val="22"/>
        </w:rPr>
        <w:t xml:space="preserve"> measures how much of the variability in the outcome is accounted for by the explanatory variables.</w:t>
      </w:r>
      <w:r w:rsidR="00026300" w:rsidRPr="00D129E0">
        <w:rPr>
          <w:sz w:val="22"/>
          <w:szCs w:val="22"/>
          <w:vertAlign w:val="superscript"/>
        </w:rPr>
        <w:t xml:space="preserve"> </w:t>
      </w:r>
      <w:r w:rsidR="00035AAE">
        <w:rPr>
          <w:sz w:val="22"/>
          <w:szCs w:val="22"/>
        </w:rPr>
        <w:t>The results show a value of 0,</w:t>
      </w:r>
      <w:r w:rsidR="00594E43">
        <w:rPr>
          <w:sz w:val="22"/>
          <w:szCs w:val="22"/>
        </w:rPr>
        <w:t>89</w:t>
      </w:r>
      <w:r w:rsidR="00035AAE">
        <w:rPr>
          <w:sz w:val="22"/>
          <w:szCs w:val="22"/>
        </w:rPr>
        <w:t>8</w:t>
      </w:r>
      <w:r w:rsidR="00C9464B" w:rsidRPr="00D129E0">
        <w:rPr>
          <w:sz w:val="22"/>
          <w:szCs w:val="22"/>
        </w:rPr>
        <w:t xml:space="preserve"> which means that explanatory variables account for </w:t>
      </w:r>
      <w:r w:rsidR="00594E43">
        <w:rPr>
          <w:sz w:val="22"/>
          <w:szCs w:val="22"/>
        </w:rPr>
        <w:t>89</w:t>
      </w:r>
      <w:proofErr w:type="gramStart"/>
      <w:r w:rsidR="00666522">
        <w:rPr>
          <w:sz w:val="22"/>
          <w:szCs w:val="22"/>
        </w:rPr>
        <w:t>,</w:t>
      </w:r>
      <w:r w:rsidR="00035AAE">
        <w:rPr>
          <w:sz w:val="22"/>
          <w:szCs w:val="22"/>
        </w:rPr>
        <w:t>8</w:t>
      </w:r>
      <w:proofErr w:type="gramEnd"/>
      <w:r w:rsidR="00C9464B" w:rsidRPr="00D129E0">
        <w:rPr>
          <w:sz w:val="22"/>
          <w:szCs w:val="22"/>
        </w:rPr>
        <w:t>% of the variation in</w:t>
      </w:r>
      <w:r w:rsidR="00C12789" w:rsidRPr="00D129E0">
        <w:rPr>
          <w:sz w:val="22"/>
          <w:szCs w:val="22"/>
        </w:rPr>
        <w:t xml:space="preserve"> discretionary loan loss provisions. The adjusted</w:t>
      </w:r>
      <w:r w:rsidR="0008490F" w:rsidRPr="00D129E0">
        <w:rPr>
          <w:sz w:val="22"/>
          <w:szCs w:val="22"/>
        </w:rPr>
        <w:t xml:space="preserve"> R</w:t>
      </w:r>
      <w:r w:rsidR="0008490F" w:rsidRPr="00D129E0">
        <w:rPr>
          <w:sz w:val="22"/>
          <w:szCs w:val="22"/>
          <w:vertAlign w:val="superscript"/>
        </w:rPr>
        <w:t>2</w:t>
      </w:r>
      <w:r w:rsidR="00C12789" w:rsidRPr="00D129E0">
        <w:rPr>
          <w:sz w:val="22"/>
          <w:szCs w:val="22"/>
          <w:vertAlign w:val="superscript"/>
        </w:rPr>
        <w:t xml:space="preserve"> </w:t>
      </w:r>
      <w:r w:rsidR="0008490F" w:rsidRPr="00D129E0">
        <w:rPr>
          <w:sz w:val="22"/>
          <w:szCs w:val="22"/>
        </w:rPr>
        <w:t xml:space="preserve">shows </w:t>
      </w:r>
      <w:r w:rsidR="00035AAE">
        <w:rPr>
          <w:sz w:val="22"/>
          <w:szCs w:val="22"/>
        </w:rPr>
        <w:t>almost the</w:t>
      </w:r>
      <w:r w:rsidR="00C12789" w:rsidRPr="00D129E0">
        <w:rPr>
          <w:sz w:val="22"/>
          <w:szCs w:val="22"/>
        </w:rPr>
        <w:t xml:space="preserve"> same value</w:t>
      </w:r>
      <w:r w:rsidR="00594E43">
        <w:rPr>
          <w:sz w:val="22"/>
          <w:szCs w:val="22"/>
        </w:rPr>
        <w:t xml:space="preserve"> (0,896)</w:t>
      </w:r>
      <w:r w:rsidR="00C12789" w:rsidRPr="00D129E0">
        <w:rPr>
          <w:sz w:val="22"/>
          <w:szCs w:val="22"/>
        </w:rPr>
        <w:t xml:space="preserve">, meaning that there is </w:t>
      </w:r>
      <w:r w:rsidR="0008490F" w:rsidRPr="00D129E0">
        <w:rPr>
          <w:sz w:val="22"/>
          <w:szCs w:val="22"/>
        </w:rPr>
        <w:t xml:space="preserve">no </w:t>
      </w:r>
      <w:r w:rsidR="00035AAE">
        <w:rPr>
          <w:sz w:val="22"/>
          <w:szCs w:val="22"/>
        </w:rPr>
        <w:t>loss of predictive</w:t>
      </w:r>
      <w:r w:rsidR="00D463A2" w:rsidRPr="00D129E0">
        <w:rPr>
          <w:sz w:val="22"/>
          <w:szCs w:val="22"/>
        </w:rPr>
        <w:t xml:space="preserve"> power</w:t>
      </w:r>
      <w:r w:rsidR="00F005D7" w:rsidRPr="00D129E0">
        <w:rPr>
          <w:sz w:val="22"/>
          <w:szCs w:val="22"/>
        </w:rPr>
        <w:t>.</w:t>
      </w:r>
      <w:r w:rsidRPr="00D129E0">
        <w:rPr>
          <w:sz w:val="22"/>
          <w:szCs w:val="22"/>
        </w:rPr>
        <w:t xml:space="preserve"> </w:t>
      </w:r>
    </w:p>
    <w:p w:rsidR="00016E35" w:rsidRDefault="00016E35" w:rsidP="006A353B">
      <w:pPr>
        <w:spacing w:line="360" w:lineRule="auto"/>
        <w:jc w:val="both"/>
        <w:rPr>
          <w:sz w:val="22"/>
          <w:szCs w:val="22"/>
        </w:rPr>
      </w:pPr>
    </w:p>
    <w:p w:rsidR="00016E35" w:rsidRPr="00D129E0" w:rsidRDefault="00016E35" w:rsidP="006A353B">
      <w:pPr>
        <w:spacing w:line="360" w:lineRule="auto"/>
        <w:jc w:val="both"/>
        <w:rPr>
          <w:sz w:val="22"/>
          <w:szCs w:val="22"/>
        </w:rPr>
      </w:pPr>
      <w:r w:rsidRPr="00D129E0">
        <w:rPr>
          <w:sz w:val="22"/>
          <w:szCs w:val="22"/>
        </w:rPr>
        <w:t>Now that the necessary equity incentives and discretionary loan loss provisions are estimated in the first stage, the relationship</w:t>
      </w:r>
      <w:r w:rsidR="00160C02" w:rsidRPr="00D129E0">
        <w:rPr>
          <w:sz w:val="22"/>
          <w:szCs w:val="22"/>
        </w:rPr>
        <w:t xml:space="preserve"> can be tested in the second stage using equation (5) </w:t>
      </w:r>
      <w:r w:rsidR="001029F2">
        <w:rPr>
          <w:sz w:val="22"/>
          <w:szCs w:val="22"/>
        </w:rPr>
        <w:t xml:space="preserve">as described </w:t>
      </w:r>
      <w:r w:rsidR="00160C02" w:rsidRPr="00D129E0">
        <w:rPr>
          <w:sz w:val="22"/>
          <w:szCs w:val="22"/>
        </w:rPr>
        <w:t>on page 31. The formulation is:</w:t>
      </w:r>
    </w:p>
    <w:p w:rsidR="00160C02" w:rsidRPr="00D129E0" w:rsidRDefault="00160C02" w:rsidP="006A353B">
      <w:pPr>
        <w:spacing w:line="360" w:lineRule="auto"/>
        <w:jc w:val="both"/>
        <w:rPr>
          <w:sz w:val="22"/>
          <w:szCs w:val="22"/>
        </w:rPr>
      </w:pPr>
    </w:p>
    <w:p w:rsidR="00160C02" w:rsidRPr="008C6167" w:rsidRDefault="00160C02" w:rsidP="00160C02">
      <w:pPr>
        <w:autoSpaceDE w:val="0"/>
        <w:autoSpaceDN w:val="0"/>
        <w:adjustRightInd w:val="0"/>
        <w:spacing w:line="360" w:lineRule="auto"/>
        <w:jc w:val="both"/>
        <w:rPr>
          <w:rFonts w:ascii="TimesNewRoman" w:hAnsi="TimesNewRoman" w:cs="TimesNewRoman"/>
          <w:sz w:val="22"/>
          <w:szCs w:val="22"/>
        </w:rPr>
      </w:pPr>
      <m:oMathPara>
        <m:oMathParaPr>
          <m:jc m:val="left"/>
        </m:oMathParaPr>
        <m:oMath>
          <m:r>
            <w:rPr>
              <w:rFonts w:ascii="Cambria Math" w:hAnsi="Cambria Math" w:cs="TimesNewRoman"/>
              <w:sz w:val="22"/>
              <w:szCs w:val="22"/>
            </w:rPr>
            <m:t>DLLP</m:t>
          </m:r>
          <m:r>
            <m:rPr>
              <m:nor/>
            </m:rPr>
            <w:rPr>
              <w:rFonts w:ascii="Cambria Math" w:hAnsi="Cambria Math" w:cs="TimesNewRoman"/>
              <w:sz w:val="22"/>
              <w:szCs w:val="22"/>
              <w:vertAlign w:val="subscript"/>
            </w:rPr>
            <m:t>i,t</m:t>
          </m:r>
          <m:r>
            <w:rPr>
              <w:rFonts w:ascii="Cambria Math" w:hAnsi="Cambria Math" w:cs="TimesNewRoman"/>
              <w:sz w:val="22"/>
              <w:szCs w:val="22"/>
            </w:rPr>
            <m:t xml:space="preserve">= </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0</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EI</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2</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EBTP</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3</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CAP_Tier1</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4</m:t>
              </m:r>
            </m:sub>
          </m:sSub>
          <m:d>
            <m:dPr>
              <m:ctrlPr>
                <w:rPr>
                  <w:rFonts w:ascii="Cambria Math" w:hAnsi="Cambria Math"/>
                  <w:i/>
                  <w:sz w:val="22"/>
                  <w:szCs w:val="22"/>
                  <w:vertAlign w:val="subscript"/>
                </w:rPr>
              </m:ctrlPr>
            </m:dPr>
            <m:e>
              <m:sSub>
                <m:sSubPr>
                  <m:ctrlPr>
                    <w:rPr>
                      <w:rFonts w:ascii="Cambria Math" w:hAnsi="Cambria Math"/>
                      <w:i/>
                      <w:sz w:val="22"/>
                      <w:szCs w:val="22"/>
                      <w:vertAlign w:val="subscript"/>
                    </w:rPr>
                  </m:ctrlPr>
                </m:sSubPr>
                <m:e>
                  <m:r>
                    <w:rPr>
                      <w:rFonts w:ascii="Cambria Math" w:hAnsi="Cambria Math"/>
                      <w:sz w:val="22"/>
                      <w:szCs w:val="22"/>
                      <w:vertAlign w:val="subscript"/>
                    </w:rPr>
                    <m:t>Size</m:t>
                  </m:r>
                </m:e>
                <m:sub>
                  <m:r>
                    <w:rPr>
                      <w:rFonts w:ascii="Cambria Math" w:hAnsi="Cambria Math"/>
                      <w:sz w:val="22"/>
                      <w:szCs w:val="22"/>
                      <w:vertAlign w:val="subscript"/>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5</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Tax</m:t>
                  </m:r>
                </m:e>
                <m:sub>
                  <m:r>
                    <w:rPr>
                      <w:rFonts w:ascii="Cambria Math" w:hAnsi="Cambria Math"/>
                      <w:sz w:val="22"/>
                      <w:szCs w:val="22"/>
                    </w:rPr>
                    <m:t>i,t</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ε</m:t>
              </m:r>
            </m:e>
            <m:sub>
              <m:r>
                <w:rPr>
                  <w:rFonts w:ascii="Cambria Math" w:hAnsi="Cambria Math"/>
                  <w:sz w:val="22"/>
                  <w:szCs w:val="22"/>
                </w:rPr>
                <m:t>i,t</m:t>
              </m:r>
            </m:sub>
          </m:sSub>
          <m:r>
            <w:rPr>
              <w:rFonts w:ascii="Cambria Math"/>
              <w:sz w:val="22"/>
              <w:szCs w:val="22"/>
              <w:vertAlign w:val="subscript"/>
            </w:rPr>
            <m:t xml:space="preserve"> </m:t>
          </m:r>
        </m:oMath>
      </m:oMathPara>
    </w:p>
    <w:p w:rsidR="00160C02" w:rsidRPr="00A71D05" w:rsidRDefault="00160C02" w:rsidP="00160C02">
      <w:pPr>
        <w:autoSpaceDE w:val="0"/>
        <w:autoSpaceDN w:val="0"/>
        <w:adjustRightInd w:val="0"/>
        <w:spacing w:line="360" w:lineRule="auto"/>
        <w:jc w:val="both"/>
        <w:rPr>
          <w:rFonts w:ascii="TimesNewRoman" w:hAnsi="TimesNewRoman" w:cs="TimesNewRoman"/>
          <w:sz w:val="22"/>
          <w:szCs w:val="22"/>
        </w:rPr>
      </w:pPr>
    </w:p>
    <w:p w:rsidR="00160C02" w:rsidRPr="00A71D05" w:rsidRDefault="00160C02" w:rsidP="00160C02">
      <w:pPr>
        <w:autoSpaceDE w:val="0"/>
        <w:autoSpaceDN w:val="0"/>
        <w:adjustRightInd w:val="0"/>
        <w:spacing w:line="360" w:lineRule="auto"/>
        <w:jc w:val="both"/>
        <w:rPr>
          <w:sz w:val="22"/>
          <w:szCs w:val="22"/>
        </w:rPr>
      </w:pPr>
      <w:r w:rsidRPr="00A71D05">
        <w:rPr>
          <w:sz w:val="22"/>
          <w:szCs w:val="22"/>
        </w:rPr>
        <w:t>Where:</w:t>
      </w:r>
    </w:p>
    <w:p w:rsidR="00160C02" w:rsidRPr="00A71D05" w:rsidRDefault="00160C02" w:rsidP="00160C02">
      <w:pPr>
        <w:autoSpaceDE w:val="0"/>
        <w:autoSpaceDN w:val="0"/>
        <w:adjustRightInd w:val="0"/>
        <w:spacing w:line="360" w:lineRule="auto"/>
        <w:jc w:val="both"/>
        <w:rPr>
          <w:sz w:val="22"/>
          <w:szCs w:val="22"/>
        </w:rPr>
      </w:pPr>
      <w:proofErr w:type="spellStart"/>
      <w:r w:rsidRPr="00A71D05">
        <w:rPr>
          <w:sz w:val="22"/>
          <w:szCs w:val="22"/>
        </w:rPr>
        <w:t>DLLP</w:t>
      </w:r>
      <w:r w:rsidRPr="00A71D05">
        <w:rPr>
          <w:i/>
          <w:sz w:val="22"/>
          <w:szCs w:val="22"/>
          <w:vertAlign w:val="subscript"/>
        </w:rPr>
        <w:t>i</w:t>
      </w:r>
      <w:proofErr w:type="gramStart"/>
      <w:r w:rsidRPr="00A71D05">
        <w:rPr>
          <w:i/>
          <w:sz w:val="22"/>
          <w:szCs w:val="22"/>
          <w:vertAlign w:val="subscript"/>
        </w:rPr>
        <w:t>,t</w:t>
      </w:r>
      <w:proofErr w:type="spellEnd"/>
      <w:proofErr w:type="gramEnd"/>
      <w:r w:rsidRPr="00A71D05">
        <w:rPr>
          <w:i/>
          <w:sz w:val="22"/>
          <w:szCs w:val="22"/>
        </w:rPr>
        <w:tab/>
      </w:r>
      <w:r w:rsidRPr="00A71D05">
        <w:rPr>
          <w:i/>
          <w:sz w:val="22"/>
          <w:szCs w:val="22"/>
        </w:rPr>
        <w:tab/>
      </w:r>
      <w:r w:rsidRPr="00A71D05">
        <w:rPr>
          <w:sz w:val="22"/>
          <w:szCs w:val="22"/>
        </w:rPr>
        <w:t>=</w:t>
      </w:r>
      <w:r w:rsidRPr="00A71D05">
        <w:rPr>
          <w:i/>
          <w:sz w:val="22"/>
          <w:szCs w:val="22"/>
        </w:rPr>
        <w:t xml:space="preserve"> </w:t>
      </w:r>
      <w:r w:rsidRPr="00A71D05">
        <w:rPr>
          <w:sz w:val="22"/>
          <w:szCs w:val="22"/>
        </w:rPr>
        <w:t xml:space="preserve">discretionary loan loss provisions 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160C02">
      <w:pPr>
        <w:autoSpaceDE w:val="0"/>
        <w:autoSpaceDN w:val="0"/>
        <w:adjustRightInd w:val="0"/>
        <w:spacing w:line="360" w:lineRule="auto"/>
        <w:jc w:val="both"/>
        <w:rPr>
          <w:sz w:val="22"/>
          <w:szCs w:val="22"/>
        </w:rPr>
      </w:pPr>
      <w:proofErr w:type="spellStart"/>
      <w:r w:rsidRPr="00A71D05">
        <w:rPr>
          <w:sz w:val="22"/>
          <w:szCs w:val="22"/>
        </w:rPr>
        <w:t>EI</w:t>
      </w:r>
      <w:r w:rsidRPr="00A71D05">
        <w:rPr>
          <w:i/>
          <w:sz w:val="22"/>
          <w:szCs w:val="22"/>
          <w:vertAlign w:val="subscript"/>
        </w:rPr>
        <w:t>i</w:t>
      </w:r>
      <w:proofErr w:type="gramStart"/>
      <w:r w:rsidRPr="00A71D05">
        <w:rPr>
          <w:i/>
          <w:sz w:val="22"/>
          <w:szCs w:val="22"/>
          <w:vertAlign w:val="subscript"/>
        </w:rPr>
        <w:t>,t</w:t>
      </w:r>
      <w:proofErr w:type="spellEnd"/>
      <w:proofErr w:type="gramEnd"/>
      <w:r w:rsidRPr="00A71D05">
        <w:rPr>
          <w:sz w:val="22"/>
          <w:szCs w:val="22"/>
          <w:vertAlign w:val="subscript"/>
        </w:rPr>
        <w:t xml:space="preserve"> </w:t>
      </w:r>
      <w:r w:rsidRPr="00A71D05">
        <w:rPr>
          <w:sz w:val="22"/>
          <w:szCs w:val="22"/>
        </w:rPr>
        <w:tab/>
      </w:r>
      <w:r w:rsidRPr="00A71D05">
        <w:rPr>
          <w:i/>
          <w:sz w:val="22"/>
          <w:szCs w:val="22"/>
        </w:rPr>
        <w:tab/>
      </w:r>
      <w:r w:rsidRPr="00A71D05">
        <w:rPr>
          <w:sz w:val="22"/>
          <w:szCs w:val="22"/>
        </w:rPr>
        <w:t xml:space="preserve">= equity incentives 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A71D05">
      <w:pPr>
        <w:autoSpaceDE w:val="0"/>
        <w:autoSpaceDN w:val="0"/>
        <w:adjustRightInd w:val="0"/>
        <w:spacing w:line="360" w:lineRule="auto"/>
        <w:ind w:left="1410" w:hanging="1410"/>
        <w:jc w:val="both"/>
        <w:rPr>
          <w:sz w:val="22"/>
          <w:szCs w:val="22"/>
        </w:rPr>
      </w:pPr>
      <w:proofErr w:type="spellStart"/>
      <w:r w:rsidRPr="00A71D05">
        <w:rPr>
          <w:sz w:val="22"/>
          <w:szCs w:val="22"/>
        </w:rPr>
        <w:t>EBTP</w:t>
      </w:r>
      <w:r w:rsidRPr="00A71D05">
        <w:rPr>
          <w:i/>
          <w:sz w:val="22"/>
          <w:szCs w:val="22"/>
          <w:vertAlign w:val="subscript"/>
        </w:rPr>
        <w:t>i</w:t>
      </w:r>
      <w:proofErr w:type="gramStart"/>
      <w:r w:rsidRPr="00A71D05">
        <w:rPr>
          <w:i/>
          <w:sz w:val="22"/>
          <w:szCs w:val="22"/>
          <w:vertAlign w:val="subscript"/>
        </w:rPr>
        <w:t>,t</w:t>
      </w:r>
      <w:proofErr w:type="spellEnd"/>
      <w:proofErr w:type="gramEnd"/>
      <w:r w:rsidRPr="00A71D05">
        <w:rPr>
          <w:sz w:val="22"/>
          <w:szCs w:val="22"/>
          <w:vertAlign w:val="subscript"/>
        </w:rPr>
        <w:tab/>
      </w:r>
      <w:r w:rsidRPr="00A71D05">
        <w:rPr>
          <w:i/>
          <w:sz w:val="22"/>
          <w:szCs w:val="22"/>
          <w:vertAlign w:val="subscript"/>
        </w:rPr>
        <w:tab/>
      </w:r>
      <w:r w:rsidRPr="00A71D05">
        <w:rPr>
          <w:sz w:val="22"/>
          <w:szCs w:val="22"/>
        </w:rPr>
        <w:t xml:space="preserve">= net income before tax and loan loss provisions scaled by net book value of common </w:t>
      </w:r>
      <w:r w:rsidR="00A71D05">
        <w:rPr>
          <w:sz w:val="22"/>
          <w:szCs w:val="22"/>
        </w:rPr>
        <w:t xml:space="preserve">  </w:t>
      </w:r>
      <w:r w:rsidRPr="00A71D05">
        <w:rPr>
          <w:sz w:val="22"/>
          <w:szCs w:val="22"/>
        </w:rPr>
        <w:t xml:space="preserve">equity </w:t>
      </w:r>
      <w:r w:rsidR="00C00C06">
        <w:rPr>
          <w:sz w:val="22"/>
          <w:szCs w:val="22"/>
        </w:rPr>
        <w:t xml:space="preserve">plus loan loss allowance </w:t>
      </w:r>
      <w:r w:rsidRPr="00A71D05">
        <w:rPr>
          <w:sz w:val="22"/>
          <w:szCs w:val="22"/>
        </w:rPr>
        <w:t xml:space="preserve">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160C02">
      <w:pPr>
        <w:autoSpaceDE w:val="0"/>
        <w:autoSpaceDN w:val="0"/>
        <w:adjustRightInd w:val="0"/>
        <w:spacing w:line="360" w:lineRule="auto"/>
        <w:jc w:val="both"/>
        <w:rPr>
          <w:sz w:val="22"/>
          <w:szCs w:val="22"/>
        </w:rPr>
      </w:pPr>
      <w:r w:rsidRPr="00A71D05">
        <w:rPr>
          <w:sz w:val="22"/>
          <w:szCs w:val="22"/>
        </w:rPr>
        <w:t>CAP_Tier1</w:t>
      </w:r>
      <w:r w:rsidRPr="00A71D05">
        <w:rPr>
          <w:sz w:val="22"/>
          <w:szCs w:val="22"/>
          <w:vertAlign w:val="subscript"/>
        </w:rPr>
        <w:t>i</w:t>
      </w:r>
      <w:proofErr w:type="gramStart"/>
      <w:r w:rsidRPr="00A71D05">
        <w:rPr>
          <w:i/>
          <w:sz w:val="22"/>
          <w:szCs w:val="22"/>
          <w:vertAlign w:val="subscript"/>
        </w:rPr>
        <w:t>,t</w:t>
      </w:r>
      <w:proofErr w:type="gramEnd"/>
      <w:r w:rsidRPr="00A71D05">
        <w:rPr>
          <w:sz w:val="22"/>
          <w:szCs w:val="22"/>
        </w:rPr>
        <w:tab/>
        <w:t xml:space="preserve">= risk-adjusted capital – tier 1 ratio 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160C02">
      <w:pPr>
        <w:autoSpaceDE w:val="0"/>
        <w:autoSpaceDN w:val="0"/>
        <w:adjustRightInd w:val="0"/>
        <w:spacing w:line="360" w:lineRule="auto"/>
        <w:jc w:val="both"/>
        <w:rPr>
          <w:sz w:val="22"/>
          <w:szCs w:val="22"/>
        </w:rPr>
      </w:pPr>
      <w:proofErr w:type="spellStart"/>
      <w:r w:rsidRPr="00A71D05">
        <w:rPr>
          <w:sz w:val="22"/>
          <w:szCs w:val="22"/>
        </w:rPr>
        <w:lastRenderedPageBreak/>
        <w:t>Size</w:t>
      </w:r>
      <w:r w:rsidRPr="00A71D05">
        <w:rPr>
          <w:i/>
          <w:sz w:val="22"/>
          <w:szCs w:val="22"/>
          <w:vertAlign w:val="subscript"/>
        </w:rPr>
        <w:t>i</w:t>
      </w:r>
      <w:proofErr w:type="gramStart"/>
      <w:r w:rsidRPr="00A71D05">
        <w:rPr>
          <w:i/>
          <w:sz w:val="22"/>
          <w:szCs w:val="22"/>
          <w:vertAlign w:val="subscript"/>
        </w:rPr>
        <w:t>,t</w:t>
      </w:r>
      <w:proofErr w:type="spellEnd"/>
      <w:proofErr w:type="gramEnd"/>
      <w:r w:rsidRPr="00A71D05">
        <w:rPr>
          <w:sz w:val="22"/>
          <w:szCs w:val="22"/>
          <w:vertAlign w:val="subscript"/>
        </w:rPr>
        <w:tab/>
      </w:r>
      <w:r w:rsidRPr="00A71D05">
        <w:rPr>
          <w:sz w:val="22"/>
          <w:szCs w:val="22"/>
        </w:rPr>
        <w:tab/>
        <w:t xml:space="preserve">= natural logarithm of market value (in million dollars) 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160C02">
      <w:pPr>
        <w:autoSpaceDE w:val="0"/>
        <w:autoSpaceDN w:val="0"/>
        <w:adjustRightInd w:val="0"/>
        <w:spacing w:line="360" w:lineRule="auto"/>
        <w:jc w:val="both"/>
        <w:rPr>
          <w:sz w:val="22"/>
          <w:szCs w:val="22"/>
        </w:rPr>
      </w:pPr>
      <w:proofErr w:type="spellStart"/>
      <w:r w:rsidRPr="00A71D05">
        <w:rPr>
          <w:sz w:val="22"/>
          <w:szCs w:val="22"/>
        </w:rPr>
        <w:t>Tax</w:t>
      </w:r>
      <w:r w:rsidRPr="00A71D05">
        <w:rPr>
          <w:i/>
          <w:sz w:val="22"/>
          <w:szCs w:val="22"/>
          <w:vertAlign w:val="subscript"/>
        </w:rPr>
        <w:t>i</w:t>
      </w:r>
      <w:proofErr w:type="gramStart"/>
      <w:r w:rsidRPr="00A71D05">
        <w:rPr>
          <w:i/>
          <w:sz w:val="22"/>
          <w:szCs w:val="22"/>
          <w:vertAlign w:val="subscript"/>
        </w:rPr>
        <w:t>,t</w:t>
      </w:r>
      <w:proofErr w:type="spellEnd"/>
      <w:proofErr w:type="gramEnd"/>
      <w:r w:rsidRPr="00A71D05">
        <w:rPr>
          <w:sz w:val="22"/>
          <w:szCs w:val="22"/>
        </w:rPr>
        <w:tab/>
      </w:r>
      <w:r w:rsidRPr="00A71D05">
        <w:rPr>
          <w:sz w:val="22"/>
          <w:szCs w:val="22"/>
        </w:rPr>
        <w:tab/>
        <w:t xml:space="preserve">= income tax expense scaled by net income before tax for firm </w:t>
      </w:r>
      <w:proofErr w:type="spellStart"/>
      <w:r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 xml:space="preserve">year </w:t>
      </w:r>
      <w:r w:rsidRPr="00A71D05">
        <w:rPr>
          <w:i/>
          <w:sz w:val="22"/>
          <w:szCs w:val="22"/>
        </w:rPr>
        <w:t>t</w:t>
      </w:r>
      <w:r w:rsidRPr="00A71D05">
        <w:rPr>
          <w:sz w:val="22"/>
          <w:szCs w:val="22"/>
        </w:rPr>
        <w:t>;</w:t>
      </w:r>
    </w:p>
    <w:p w:rsidR="00160C02" w:rsidRPr="00A71D05" w:rsidRDefault="00160C02" w:rsidP="00160C02">
      <w:pPr>
        <w:autoSpaceDE w:val="0"/>
        <w:autoSpaceDN w:val="0"/>
        <w:adjustRightInd w:val="0"/>
        <w:spacing w:line="360" w:lineRule="auto"/>
        <w:jc w:val="both"/>
        <w:rPr>
          <w:sz w:val="22"/>
          <w:szCs w:val="22"/>
        </w:rPr>
      </w:pPr>
      <w:proofErr w:type="spellStart"/>
      <w:proofErr w:type="gramStart"/>
      <w:r w:rsidRPr="00A71D05">
        <w:rPr>
          <w:sz w:val="22"/>
          <w:szCs w:val="22"/>
        </w:rPr>
        <w:t>ε</w:t>
      </w:r>
      <w:r w:rsidRPr="00AB1D84">
        <w:rPr>
          <w:i/>
          <w:sz w:val="22"/>
          <w:szCs w:val="22"/>
          <w:vertAlign w:val="subscript"/>
        </w:rPr>
        <w:t>i,</w:t>
      </w:r>
      <w:proofErr w:type="gramEnd"/>
      <w:r w:rsidRPr="00AB1D84">
        <w:rPr>
          <w:i/>
          <w:sz w:val="22"/>
          <w:szCs w:val="22"/>
          <w:vertAlign w:val="subscript"/>
        </w:rPr>
        <w:t>t</w:t>
      </w:r>
      <w:proofErr w:type="spellEnd"/>
      <w:r w:rsidR="00F043E8">
        <w:rPr>
          <w:sz w:val="22"/>
          <w:szCs w:val="22"/>
        </w:rPr>
        <w:tab/>
      </w:r>
      <w:r w:rsidR="00F043E8">
        <w:rPr>
          <w:sz w:val="22"/>
          <w:szCs w:val="22"/>
        </w:rPr>
        <w:tab/>
        <w:t xml:space="preserve">= </w:t>
      </w:r>
      <w:r w:rsidRPr="00A71D05">
        <w:rPr>
          <w:sz w:val="22"/>
          <w:szCs w:val="22"/>
        </w:rPr>
        <w:t>error term for</w:t>
      </w:r>
      <w:r w:rsidR="00CD36A3" w:rsidRPr="00CD36A3">
        <w:rPr>
          <w:sz w:val="22"/>
          <w:szCs w:val="22"/>
        </w:rPr>
        <w:t xml:space="preserve"> </w:t>
      </w:r>
      <w:r w:rsidR="00CD36A3" w:rsidRPr="00A71D05">
        <w:rPr>
          <w:sz w:val="22"/>
          <w:szCs w:val="22"/>
        </w:rPr>
        <w:t xml:space="preserve">firm </w:t>
      </w:r>
      <w:proofErr w:type="spellStart"/>
      <w:r w:rsidR="00CD36A3" w:rsidRPr="00A71D05">
        <w:rPr>
          <w:i/>
          <w:sz w:val="22"/>
          <w:szCs w:val="22"/>
        </w:rPr>
        <w:t>i</w:t>
      </w:r>
      <w:proofErr w:type="spellEnd"/>
      <w:r w:rsidRPr="00A71D05">
        <w:rPr>
          <w:sz w:val="22"/>
          <w:szCs w:val="22"/>
        </w:rPr>
        <w:t xml:space="preserve"> </w:t>
      </w:r>
      <w:r w:rsidR="00CD36A3">
        <w:rPr>
          <w:sz w:val="22"/>
          <w:szCs w:val="22"/>
        </w:rPr>
        <w:t xml:space="preserve">in </w:t>
      </w:r>
      <w:r w:rsidRPr="00A71D05">
        <w:rPr>
          <w:sz w:val="22"/>
          <w:szCs w:val="22"/>
        </w:rPr>
        <w:t>year t;</w:t>
      </w:r>
    </w:p>
    <w:p w:rsidR="00160C02" w:rsidRPr="00A71D05" w:rsidRDefault="00160C02" w:rsidP="00160C02">
      <w:pPr>
        <w:autoSpaceDE w:val="0"/>
        <w:autoSpaceDN w:val="0"/>
        <w:adjustRightInd w:val="0"/>
        <w:spacing w:line="360" w:lineRule="auto"/>
        <w:jc w:val="both"/>
        <w:rPr>
          <w:sz w:val="22"/>
          <w:szCs w:val="22"/>
        </w:rPr>
      </w:pPr>
      <w:r w:rsidRPr="00A71D05">
        <w:rPr>
          <w:sz w:val="22"/>
          <w:szCs w:val="22"/>
        </w:rPr>
        <w:t>α</w:t>
      </w:r>
      <w:r w:rsidRPr="00A71D05">
        <w:rPr>
          <w:sz w:val="22"/>
          <w:szCs w:val="22"/>
          <w:vertAlign w:val="subscript"/>
        </w:rPr>
        <w:t>0</w:t>
      </w:r>
      <w:proofErr w:type="gramStart"/>
      <w:r w:rsidRPr="00A71D05">
        <w:rPr>
          <w:sz w:val="22"/>
          <w:szCs w:val="22"/>
        </w:rPr>
        <w:t>,α</w:t>
      </w:r>
      <w:r w:rsidRPr="00A71D05">
        <w:rPr>
          <w:sz w:val="22"/>
          <w:szCs w:val="22"/>
          <w:vertAlign w:val="subscript"/>
        </w:rPr>
        <w:t>1</w:t>
      </w:r>
      <w:r w:rsidRPr="00A71D05">
        <w:rPr>
          <w:sz w:val="22"/>
          <w:szCs w:val="22"/>
        </w:rPr>
        <w:t>,α</w:t>
      </w:r>
      <w:r w:rsidRPr="00A71D05">
        <w:rPr>
          <w:sz w:val="22"/>
          <w:szCs w:val="22"/>
          <w:vertAlign w:val="subscript"/>
        </w:rPr>
        <w:t>2</w:t>
      </w:r>
      <w:r w:rsidRPr="00A71D05">
        <w:rPr>
          <w:sz w:val="22"/>
          <w:szCs w:val="22"/>
        </w:rPr>
        <w:t>,α</w:t>
      </w:r>
      <w:r w:rsidRPr="00A71D05">
        <w:rPr>
          <w:sz w:val="22"/>
          <w:szCs w:val="22"/>
          <w:vertAlign w:val="subscript"/>
        </w:rPr>
        <w:t>3</w:t>
      </w:r>
      <w:r w:rsidRPr="00A71D05">
        <w:rPr>
          <w:sz w:val="22"/>
          <w:szCs w:val="22"/>
        </w:rPr>
        <w:t>,α</w:t>
      </w:r>
      <w:r w:rsidRPr="00A71D05">
        <w:rPr>
          <w:sz w:val="22"/>
          <w:szCs w:val="22"/>
          <w:vertAlign w:val="subscript"/>
        </w:rPr>
        <w:t>4</w:t>
      </w:r>
      <w:r w:rsidRPr="00A71D05">
        <w:rPr>
          <w:sz w:val="22"/>
          <w:szCs w:val="22"/>
        </w:rPr>
        <w:t>,α</w:t>
      </w:r>
      <w:r w:rsidRPr="00A71D05">
        <w:rPr>
          <w:sz w:val="22"/>
          <w:szCs w:val="22"/>
          <w:vertAlign w:val="subscript"/>
        </w:rPr>
        <w:t>5</w:t>
      </w:r>
      <w:proofErr w:type="gramEnd"/>
      <w:r w:rsidRPr="00A71D05">
        <w:rPr>
          <w:sz w:val="22"/>
          <w:szCs w:val="22"/>
          <w:vertAlign w:val="subscript"/>
        </w:rPr>
        <w:tab/>
        <w:t xml:space="preserve"> </w:t>
      </w:r>
      <w:r w:rsidRPr="00A71D05">
        <w:rPr>
          <w:sz w:val="22"/>
          <w:szCs w:val="22"/>
        </w:rPr>
        <w:t>= firm specific coefficients.</w:t>
      </w:r>
    </w:p>
    <w:p w:rsidR="00160C02" w:rsidRDefault="00160C02" w:rsidP="006A353B">
      <w:pPr>
        <w:spacing w:line="360" w:lineRule="auto"/>
        <w:jc w:val="both"/>
      </w:pPr>
    </w:p>
    <w:p w:rsidR="00327872" w:rsidRPr="00D6665F" w:rsidRDefault="009F282A" w:rsidP="006A353B">
      <w:pPr>
        <w:spacing w:line="360" w:lineRule="auto"/>
        <w:jc w:val="both"/>
        <w:rPr>
          <w:sz w:val="22"/>
          <w:szCs w:val="22"/>
        </w:rPr>
      </w:pPr>
      <w:r w:rsidRPr="00D6665F">
        <w:rPr>
          <w:sz w:val="22"/>
          <w:szCs w:val="22"/>
        </w:rPr>
        <w:t>When management decreases (increases</w:t>
      </w:r>
      <w:r w:rsidR="001029F2" w:rsidRPr="00D6665F">
        <w:rPr>
          <w:sz w:val="22"/>
          <w:szCs w:val="22"/>
        </w:rPr>
        <w:t>) loan loss provisions</w:t>
      </w:r>
      <w:r w:rsidRPr="00D6665F">
        <w:rPr>
          <w:sz w:val="22"/>
          <w:szCs w:val="22"/>
        </w:rPr>
        <w:t>, then earnings will be increased (decreased)</w:t>
      </w:r>
      <w:r w:rsidR="001029F2" w:rsidRPr="00D6665F">
        <w:rPr>
          <w:sz w:val="22"/>
          <w:szCs w:val="22"/>
        </w:rPr>
        <w:t xml:space="preserve">. </w:t>
      </w:r>
      <w:r w:rsidR="00676E0E" w:rsidRPr="00D6665F">
        <w:rPr>
          <w:sz w:val="22"/>
          <w:szCs w:val="22"/>
        </w:rPr>
        <w:t>So a</w:t>
      </w:r>
      <w:r w:rsidR="00D42CCC" w:rsidRPr="00D6665F">
        <w:rPr>
          <w:sz w:val="22"/>
          <w:szCs w:val="22"/>
        </w:rPr>
        <w:t xml:space="preserve"> </w:t>
      </w:r>
      <w:r w:rsidR="001029F2" w:rsidRPr="00D6665F">
        <w:rPr>
          <w:sz w:val="22"/>
          <w:szCs w:val="22"/>
        </w:rPr>
        <w:t xml:space="preserve">negative equity incentive coefficient implies that management uses upward earnings </w:t>
      </w:r>
      <w:r w:rsidR="00D42CCC" w:rsidRPr="00D6665F">
        <w:rPr>
          <w:sz w:val="22"/>
          <w:szCs w:val="22"/>
        </w:rPr>
        <w:t>manipulation</w:t>
      </w:r>
      <w:r w:rsidR="001029F2" w:rsidRPr="00D6665F">
        <w:rPr>
          <w:sz w:val="22"/>
          <w:szCs w:val="22"/>
        </w:rPr>
        <w:t>. A positive equity incentive</w:t>
      </w:r>
      <w:r w:rsidR="00D42CCC" w:rsidRPr="00D6665F">
        <w:rPr>
          <w:sz w:val="22"/>
          <w:szCs w:val="22"/>
        </w:rPr>
        <w:t xml:space="preserve"> coefficient</w:t>
      </w:r>
      <w:r w:rsidR="001029F2" w:rsidRPr="00D6665F">
        <w:rPr>
          <w:sz w:val="22"/>
          <w:szCs w:val="22"/>
        </w:rPr>
        <w:t xml:space="preserve"> </w:t>
      </w:r>
      <w:r w:rsidR="00D42CCC" w:rsidRPr="00D6665F">
        <w:rPr>
          <w:sz w:val="22"/>
          <w:szCs w:val="22"/>
        </w:rPr>
        <w:t>means</w:t>
      </w:r>
      <w:r w:rsidR="001029F2" w:rsidRPr="00D6665F">
        <w:rPr>
          <w:sz w:val="22"/>
          <w:szCs w:val="22"/>
        </w:rPr>
        <w:t xml:space="preserve"> that downward earnings m</w:t>
      </w:r>
      <w:r w:rsidR="00676E0E" w:rsidRPr="00D6665F">
        <w:rPr>
          <w:sz w:val="22"/>
          <w:szCs w:val="22"/>
        </w:rPr>
        <w:t>anipulation</w:t>
      </w:r>
      <w:r w:rsidR="001029F2" w:rsidRPr="00D6665F">
        <w:rPr>
          <w:sz w:val="22"/>
          <w:szCs w:val="22"/>
        </w:rPr>
        <w:t xml:space="preserve"> is used.</w:t>
      </w:r>
      <w:r w:rsidR="00CE2CDE">
        <w:rPr>
          <w:sz w:val="22"/>
          <w:szCs w:val="22"/>
        </w:rPr>
        <w:t xml:space="preserve"> Following, t</w:t>
      </w:r>
      <w:r w:rsidR="005061D7" w:rsidRPr="00D6665F">
        <w:rPr>
          <w:sz w:val="22"/>
          <w:szCs w:val="22"/>
        </w:rPr>
        <w:t>he estimated discretionary loan loss provi</w:t>
      </w:r>
      <w:r w:rsidR="006A353B" w:rsidRPr="00D6665F">
        <w:rPr>
          <w:sz w:val="22"/>
          <w:szCs w:val="22"/>
        </w:rPr>
        <w:t>sions and the control variables</w:t>
      </w:r>
      <w:r w:rsidR="00D741BD" w:rsidRPr="00D6665F">
        <w:rPr>
          <w:sz w:val="22"/>
          <w:szCs w:val="22"/>
        </w:rPr>
        <w:t xml:space="preserve"> are analyzed using descriptive statistics</w:t>
      </w:r>
      <w:r w:rsidR="006A353B" w:rsidRPr="00D6665F">
        <w:rPr>
          <w:sz w:val="22"/>
          <w:szCs w:val="22"/>
        </w:rPr>
        <w:t>.</w:t>
      </w:r>
      <w:r w:rsidR="00160C02" w:rsidRPr="00D6665F">
        <w:rPr>
          <w:sz w:val="22"/>
          <w:szCs w:val="22"/>
        </w:rPr>
        <w:t xml:space="preserve"> </w:t>
      </w:r>
      <w:r w:rsidR="00E2230B" w:rsidRPr="00D6665F">
        <w:rPr>
          <w:sz w:val="22"/>
          <w:szCs w:val="22"/>
        </w:rPr>
        <w:t xml:space="preserve">Also, the correlation between the variables is tested. </w:t>
      </w:r>
      <w:r w:rsidR="00676E0E" w:rsidRPr="00D6665F">
        <w:rPr>
          <w:sz w:val="22"/>
          <w:szCs w:val="22"/>
        </w:rPr>
        <w:t>The result</w:t>
      </w:r>
      <w:r w:rsidR="00CE2CDE">
        <w:rPr>
          <w:sz w:val="22"/>
          <w:szCs w:val="22"/>
        </w:rPr>
        <w:t>s</w:t>
      </w:r>
      <w:r w:rsidR="00D741BD" w:rsidRPr="00D6665F">
        <w:rPr>
          <w:sz w:val="22"/>
          <w:szCs w:val="22"/>
        </w:rPr>
        <w:t xml:space="preserve"> </w:t>
      </w:r>
      <w:r w:rsidR="00CE2CDE">
        <w:rPr>
          <w:sz w:val="22"/>
          <w:szCs w:val="22"/>
        </w:rPr>
        <w:t>are</w:t>
      </w:r>
      <w:r w:rsidR="00D741BD" w:rsidRPr="00D6665F">
        <w:rPr>
          <w:sz w:val="22"/>
          <w:szCs w:val="22"/>
        </w:rPr>
        <w:t xml:space="preserve"> shown </w:t>
      </w:r>
      <w:r w:rsidR="00E2230B" w:rsidRPr="00D6665F">
        <w:rPr>
          <w:sz w:val="22"/>
          <w:szCs w:val="22"/>
        </w:rPr>
        <w:t xml:space="preserve">below </w:t>
      </w:r>
      <w:r w:rsidR="00D741BD" w:rsidRPr="00D6665F">
        <w:rPr>
          <w:sz w:val="22"/>
          <w:szCs w:val="22"/>
        </w:rPr>
        <w:t>in table</w:t>
      </w:r>
      <w:r w:rsidR="002C23C1" w:rsidRPr="00D6665F">
        <w:rPr>
          <w:sz w:val="22"/>
          <w:szCs w:val="22"/>
        </w:rPr>
        <w:t xml:space="preserve"> </w:t>
      </w:r>
      <w:r w:rsidR="00CE2CDE">
        <w:rPr>
          <w:sz w:val="22"/>
          <w:szCs w:val="22"/>
        </w:rPr>
        <w:t>6</w:t>
      </w:r>
      <w:r w:rsidR="00D741BD" w:rsidRPr="00D6665F">
        <w:rPr>
          <w:sz w:val="22"/>
          <w:szCs w:val="22"/>
        </w:rPr>
        <w:t>:</w:t>
      </w:r>
      <w:r w:rsidR="006A353B" w:rsidRPr="00D6665F">
        <w:rPr>
          <w:sz w:val="22"/>
          <w:szCs w:val="22"/>
        </w:rPr>
        <w:t xml:space="preserve"> </w:t>
      </w:r>
    </w:p>
    <w:p w:rsidR="00160C02" w:rsidRDefault="00160C02" w:rsidP="006A353B">
      <w:pPr>
        <w:spacing w:line="360" w:lineRule="auto"/>
        <w:jc w:val="both"/>
      </w:pPr>
    </w:p>
    <w:p w:rsidR="00327872" w:rsidRPr="00017FF5" w:rsidRDefault="00CE2CDE" w:rsidP="001340C8">
      <w:pPr>
        <w:jc w:val="center"/>
        <w:rPr>
          <w:b/>
          <w:sz w:val="22"/>
          <w:szCs w:val="22"/>
        </w:rPr>
      </w:pPr>
      <w:r>
        <w:rPr>
          <w:b/>
          <w:sz w:val="22"/>
          <w:szCs w:val="22"/>
        </w:rPr>
        <w:t>Table 6</w:t>
      </w:r>
    </w:p>
    <w:p w:rsidR="00017FF5" w:rsidRPr="005611CF" w:rsidRDefault="00017FF5" w:rsidP="00017FF5">
      <w:pPr>
        <w:pBdr>
          <w:bottom w:val="single" w:sz="4" w:space="0" w:color="auto"/>
        </w:pBdr>
        <w:jc w:val="center"/>
        <w:rPr>
          <w:sz w:val="22"/>
          <w:szCs w:val="22"/>
        </w:rPr>
      </w:pPr>
      <w:r w:rsidRPr="005611CF">
        <w:rPr>
          <w:sz w:val="22"/>
          <w:szCs w:val="22"/>
        </w:rPr>
        <w:t>Summary statistics of DLLP and control variables</w:t>
      </w:r>
      <w:r w:rsidR="00CE2CDE">
        <w:rPr>
          <w:sz w:val="22"/>
          <w:szCs w:val="22"/>
        </w:rPr>
        <w:t xml:space="preserve"> pre-SOX</w:t>
      </w:r>
      <w:r w:rsidR="00195DD2">
        <w:rPr>
          <w:sz w:val="22"/>
          <w:szCs w:val="22"/>
        </w:rPr>
        <w:t xml:space="preserve"> (N=212)</w:t>
      </w:r>
    </w:p>
    <w:p w:rsidR="00327872" w:rsidRPr="00017FF5" w:rsidRDefault="000D3392" w:rsidP="00226EAD">
      <w:pPr>
        <w:spacing w:before="120"/>
        <w:rPr>
          <w:sz w:val="20"/>
          <w:szCs w:val="20"/>
        </w:rPr>
      </w:pPr>
      <w:r w:rsidRPr="00017FF5">
        <w:rPr>
          <w:sz w:val="20"/>
          <w:szCs w:val="20"/>
        </w:rPr>
        <w:t xml:space="preserve">Panel A: </w:t>
      </w:r>
      <w:r w:rsidR="001340C8" w:rsidRPr="00017FF5">
        <w:rPr>
          <w:sz w:val="20"/>
          <w:szCs w:val="20"/>
        </w:rPr>
        <w:t xml:space="preserve">Descriptive </w:t>
      </w:r>
      <w:r w:rsidR="007A69EB">
        <w:rPr>
          <w:sz w:val="20"/>
          <w:szCs w:val="20"/>
        </w:rPr>
        <w:t>S</w:t>
      </w:r>
      <w:r w:rsidR="001340C8" w:rsidRPr="00017FF5">
        <w:rPr>
          <w:sz w:val="20"/>
          <w:szCs w:val="20"/>
        </w:rPr>
        <w:t xml:space="preserve">tatistics </w:t>
      </w:r>
    </w:p>
    <w:tbl>
      <w:tblPr>
        <w:tblW w:w="9087" w:type="dxa"/>
        <w:tblInd w:w="55" w:type="dxa"/>
        <w:tblCellMar>
          <w:left w:w="70" w:type="dxa"/>
          <w:right w:w="70" w:type="dxa"/>
        </w:tblCellMar>
        <w:tblLook w:val="04A0"/>
      </w:tblPr>
      <w:tblGrid>
        <w:gridCol w:w="2283"/>
        <w:gridCol w:w="1560"/>
        <w:gridCol w:w="1275"/>
        <w:gridCol w:w="1418"/>
        <w:gridCol w:w="992"/>
        <w:gridCol w:w="1559"/>
      </w:tblGrid>
      <w:tr w:rsidR="00C9380E" w:rsidRPr="00C9380E" w:rsidTr="00F904FD">
        <w:trPr>
          <w:trHeight w:val="315"/>
        </w:trPr>
        <w:tc>
          <w:tcPr>
            <w:tcW w:w="2283" w:type="dxa"/>
            <w:tcBorders>
              <w:top w:val="double" w:sz="6" w:space="0" w:color="auto"/>
              <w:left w:val="nil"/>
              <w:bottom w:val="nil"/>
              <w:right w:val="single" w:sz="4" w:space="0" w:color="auto"/>
            </w:tcBorders>
            <w:shd w:val="clear" w:color="auto" w:fill="auto"/>
            <w:noWrap/>
            <w:vAlign w:val="bottom"/>
            <w:hideMark/>
          </w:tcPr>
          <w:p w:rsidR="00C9380E" w:rsidRPr="00C9380E" w:rsidRDefault="00C9380E" w:rsidP="00C9380E">
            <w:pPr>
              <w:rPr>
                <w:color w:val="000000"/>
                <w:sz w:val="20"/>
                <w:szCs w:val="20"/>
              </w:rPr>
            </w:pPr>
            <w:r w:rsidRPr="00C9380E">
              <w:rPr>
                <w:color w:val="000000"/>
                <w:sz w:val="20"/>
                <w:szCs w:val="20"/>
              </w:rPr>
              <w:t>Variables</w:t>
            </w:r>
          </w:p>
        </w:tc>
        <w:tc>
          <w:tcPr>
            <w:tcW w:w="1560" w:type="dxa"/>
            <w:tcBorders>
              <w:top w:val="double" w:sz="6"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Mean</w:t>
            </w:r>
          </w:p>
        </w:tc>
        <w:tc>
          <w:tcPr>
            <w:tcW w:w="1275" w:type="dxa"/>
            <w:tcBorders>
              <w:top w:val="double" w:sz="6"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Median</w:t>
            </w:r>
          </w:p>
        </w:tc>
        <w:tc>
          <w:tcPr>
            <w:tcW w:w="1418" w:type="dxa"/>
            <w:tcBorders>
              <w:top w:val="double" w:sz="6"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Std. dev.</w:t>
            </w:r>
          </w:p>
        </w:tc>
        <w:tc>
          <w:tcPr>
            <w:tcW w:w="992" w:type="dxa"/>
            <w:tcBorders>
              <w:top w:val="double" w:sz="6"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Q1</w:t>
            </w:r>
          </w:p>
        </w:tc>
        <w:tc>
          <w:tcPr>
            <w:tcW w:w="1559" w:type="dxa"/>
            <w:tcBorders>
              <w:top w:val="double" w:sz="6"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Q3</w:t>
            </w:r>
          </w:p>
        </w:tc>
      </w:tr>
      <w:tr w:rsidR="00C9380E" w:rsidRPr="00C9380E" w:rsidTr="00F904FD">
        <w:trPr>
          <w:trHeight w:val="300"/>
        </w:trPr>
        <w:tc>
          <w:tcPr>
            <w:tcW w:w="2283" w:type="dxa"/>
            <w:tcBorders>
              <w:top w:val="single" w:sz="4" w:space="0" w:color="auto"/>
              <w:left w:val="nil"/>
              <w:bottom w:val="nil"/>
              <w:right w:val="single" w:sz="4" w:space="0" w:color="auto"/>
            </w:tcBorders>
            <w:shd w:val="clear" w:color="auto" w:fill="auto"/>
            <w:noWrap/>
            <w:vAlign w:val="bottom"/>
            <w:hideMark/>
          </w:tcPr>
          <w:p w:rsidR="00C9380E" w:rsidRPr="00C9380E" w:rsidRDefault="00C9380E" w:rsidP="00C9380E">
            <w:pPr>
              <w:rPr>
                <w:color w:val="000000"/>
                <w:sz w:val="20"/>
                <w:szCs w:val="20"/>
              </w:rPr>
            </w:pPr>
            <w:r w:rsidRPr="00C9380E">
              <w:rPr>
                <w:color w:val="000000"/>
                <w:sz w:val="20"/>
                <w:szCs w:val="20"/>
              </w:rPr>
              <w:t>DLLP</w:t>
            </w:r>
            <w:r w:rsidR="001340C8" w:rsidRPr="00017FF5">
              <w:rPr>
                <w:color w:val="000000"/>
                <w:sz w:val="20"/>
                <w:szCs w:val="20"/>
              </w:rPr>
              <w:t xml:space="preserve"> (%)</w:t>
            </w:r>
          </w:p>
        </w:tc>
        <w:tc>
          <w:tcPr>
            <w:tcW w:w="1560" w:type="dxa"/>
            <w:tcBorders>
              <w:top w:val="single" w:sz="4" w:space="0" w:color="auto"/>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0,000</w:t>
            </w:r>
          </w:p>
        </w:tc>
        <w:tc>
          <w:tcPr>
            <w:tcW w:w="1275" w:type="dxa"/>
            <w:tcBorders>
              <w:top w:val="single" w:sz="4" w:space="0" w:color="auto"/>
              <w:left w:val="nil"/>
              <w:bottom w:val="nil"/>
              <w:right w:val="nil"/>
            </w:tcBorders>
            <w:shd w:val="clear" w:color="auto" w:fill="auto"/>
            <w:noWrap/>
            <w:vAlign w:val="bottom"/>
            <w:hideMark/>
          </w:tcPr>
          <w:p w:rsidR="00C9380E" w:rsidRPr="00C9380E" w:rsidRDefault="00C9380E" w:rsidP="00195DD2">
            <w:pPr>
              <w:jc w:val="center"/>
              <w:rPr>
                <w:color w:val="000000"/>
                <w:sz w:val="20"/>
                <w:szCs w:val="20"/>
              </w:rPr>
            </w:pPr>
            <w:r w:rsidRPr="00C9380E">
              <w:rPr>
                <w:color w:val="000000"/>
                <w:sz w:val="20"/>
                <w:szCs w:val="20"/>
              </w:rPr>
              <w:t>0,0</w:t>
            </w:r>
            <w:r w:rsidR="00195DD2">
              <w:rPr>
                <w:color w:val="000000"/>
                <w:sz w:val="20"/>
                <w:szCs w:val="20"/>
              </w:rPr>
              <w:t>24</w:t>
            </w:r>
          </w:p>
        </w:tc>
        <w:tc>
          <w:tcPr>
            <w:tcW w:w="1418" w:type="dxa"/>
            <w:tcBorders>
              <w:top w:val="single" w:sz="4" w:space="0" w:color="auto"/>
              <w:left w:val="nil"/>
              <w:bottom w:val="nil"/>
              <w:right w:val="nil"/>
            </w:tcBorders>
            <w:shd w:val="clear" w:color="auto" w:fill="auto"/>
            <w:noWrap/>
            <w:vAlign w:val="bottom"/>
            <w:hideMark/>
          </w:tcPr>
          <w:p w:rsidR="00C9380E" w:rsidRPr="00C9380E" w:rsidRDefault="002A59A5" w:rsidP="00195DD2">
            <w:pPr>
              <w:jc w:val="center"/>
              <w:rPr>
                <w:color w:val="000000"/>
                <w:sz w:val="20"/>
                <w:szCs w:val="20"/>
              </w:rPr>
            </w:pPr>
            <w:r>
              <w:rPr>
                <w:color w:val="000000"/>
                <w:sz w:val="20"/>
                <w:szCs w:val="20"/>
              </w:rPr>
              <w:t>1</w:t>
            </w:r>
            <w:r w:rsidR="00C9380E" w:rsidRPr="00C9380E">
              <w:rPr>
                <w:color w:val="000000"/>
                <w:sz w:val="20"/>
                <w:szCs w:val="20"/>
              </w:rPr>
              <w:t>,</w:t>
            </w:r>
            <w:r w:rsidR="00195DD2">
              <w:rPr>
                <w:color w:val="000000"/>
                <w:sz w:val="20"/>
                <w:szCs w:val="20"/>
              </w:rPr>
              <w:t>7</w:t>
            </w:r>
            <w:r>
              <w:rPr>
                <w:color w:val="000000"/>
                <w:sz w:val="20"/>
                <w:szCs w:val="20"/>
              </w:rPr>
              <w:t>30</w:t>
            </w:r>
          </w:p>
        </w:tc>
        <w:tc>
          <w:tcPr>
            <w:tcW w:w="992" w:type="dxa"/>
            <w:tcBorders>
              <w:top w:val="single" w:sz="4" w:space="0" w:color="auto"/>
              <w:left w:val="nil"/>
              <w:bottom w:val="nil"/>
              <w:right w:val="nil"/>
            </w:tcBorders>
            <w:shd w:val="clear" w:color="auto" w:fill="auto"/>
            <w:noWrap/>
            <w:vAlign w:val="bottom"/>
            <w:hideMark/>
          </w:tcPr>
          <w:p w:rsidR="00C9380E" w:rsidRPr="00C9380E" w:rsidRDefault="00C9380E" w:rsidP="00195DD2">
            <w:pPr>
              <w:jc w:val="center"/>
              <w:rPr>
                <w:color w:val="000000"/>
                <w:sz w:val="20"/>
                <w:szCs w:val="20"/>
              </w:rPr>
            </w:pPr>
            <w:r w:rsidRPr="00C9380E">
              <w:rPr>
                <w:color w:val="000000"/>
                <w:sz w:val="20"/>
                <w:szCs w:val="20"/>
              </w:rPr>
              <w:t>-0,</w:t>
            </w:r>
            <w:r w:rsidR="00195DD2">
              <w:rPr>
                <w:color w:val="000000"/>
                <w:sz w:val="20"/>
                <w:szCs w:val="20"/>
              </w:rPr>
              <w:t>809</w:t>
            </w:r>
          </w:p>
        </w:tc>
        <w:tc>
          <w:tcPr>
            <w:tcW w:w="1559" w:type="dxa"/>
            <w:tcBorders>
              <w:top w:val="single" w:sz="4" w:space="0" w:color="auto"/>
              <w:left w:val="nil"/>
              <w:bottom w:val="nil"/>
              <w:right w:val="nil"/>
            </w:tcBorders>
            <w:shd w:val="clear" w:color="auto" w:fill="auto"/>
            <w:noWrap/>
            <w:vAlign w:val="bottom"/>
            <w:hideMark/>
          </w:tcPr>
          <w:p w:rsidR="00C9380E" w:rsidRPr="00C9380E" w:rsidRDefault="00C9380E" w:rsidP="00195DD2">
            <w:pPr>
              <w:jc w:val="center"/>
              <w:rPr>
                <w:color w:val="000000"/>
                <w:sz w:val="20"/>
                <w:szCs w:val="20"/>
              </w:rPr>
            </w:pPr>
            <w:r w:rsidRPr="00C9380E">
              <w:rPr>
                <w:color w:val="000000"/>
                <w:sz w:val="20"/>
                <w:szCs w:val="20"/>
              </w:rPr>
              <w:t>0,</w:t>
            </w:r>
            <w:r w:rsidR="00195DD2">
              <w:rPr>
                <w:color w:val="000000"/>
                <w:sz w:val="20"/>
                <w:szCs w:val="20"/>
              </w:rPr>
              <w:t>616</w:t>
            </w:r>
          </w:p>
        </w:tc>
      </w:tr>
      <w:tr w:rsidR="00C9380E" w:rsidRPr="00C9380E" w:rsidTr="00F904FD">
        <w:trPr>
          <w:trHeight w:val="300"/>
        </w:trPr>
        <w:tc>
          <w:tcPr>
            <w:tcW w:w="2283" w:type="dxa"/>
            <w:tcBorders>
              <w:top w:val="nil"/>
              <w:left w:val="nil"/>
              <w:bottom w:val="nil"/>
              <w:right w:val="single" w:sz="4" w:space="0" w:color="auto"/>
            </w:tcBorders>
            <w:shd w:val="clear" w:color="auto" w:fill="auto"/>
            <w:noWrap/>
            <w:vAlign w:val="bottom"/>
            <w:hideMark/>
          </w:tcPr>
          <w:p w:rsidR="00C9380E" w:rsidRPr="00C9380E" w:rsidRDefault="00C9380E" w:rsidP="00C9380E">
            <w:pPr>
              <w:rPr>
                <w:color w:val="000000"/>
                <w:sz w:val="20"/>
                <w:szCs w:val="20"/>
              </w:rPr>
            </w:pPr>
            <w:r w:rsidRPr="00C9380E">
              <w:rPr>
                <w:color w:val="000000"/>
                <w:sz w:val="20"/>
                <w:szCs w:val="20"/>
              </w:rPr>
              <w:t>EBTP</w:t>
            </w:r>
          </w:p>
        </w:tc>
        <w:tc>
          <w:tcPr>
            <w:tcW w:w="1560" w:type="dxa"/>
            <w:tcBorders>
              <w:top w:val="nil"/>
              <w:left w:val="nil"/>
              <w:bottom w:val="nil"/>
              <w:right w:val="nil"/>
            </w:tcBorders>
            <w:shd w:val="clear" w:color="auto" w:fill="auto"/>
            <w:noWrap/>
            <w:vAlign w:val="bottom"/>
            <w:hideMark/>
          </w:tcPr>
          <w:p w:rsidR="00C9380E" w:rsidRPr="00C9380E" w:rsidRDefault="00995558" w:rsidP="00BF2FC9">
            <w:pPr>
              <w:jc w:val="center"/>
              <w:rPr>
                <w:color w:val="000000"/>
                <w:sz w:val="20"/>
                <w:szCs w:val="20"/>
              </w:rPr>
            </w:pPr>
            <w:r>
              <w:rPr>
                <w:color w:val="000000"/>
                <w:sz w:val="20"/>
                <w:szCs w:val="20"/>
              </w:rPr>
              <w:t>0,</w:t>
            </w:r>
            <w:r w:rsidR="00BF2FC9">
              <w:rPr>
                <w:color w:val="000000"/>
                <w:sz w:val="20"/>
                <w:szCs w:val="20"/>
              </w:rPr>
              <w:t>215</w:t>
            </w:r>
          </w:p>
        </w:tc>
        <w:tc>
          <w:tcPr>
            <w:tcW w:w="1275" w:type="dxa"/>
            <w:tcBorders>
              <w:top w:val="nil"/>
              <w:left w:val="nil"/>
              <w:bottom w:val="nil"/>
              <w:right w:val="nil"/>
            </w:tcBorders>
            <w:shd w:val="clear" w:color="auto" w:fill="auto"/>
            <w:noWrap/>
            <w:vAlign w:val="bottom"/>
            <w:hideMark/>
          </w:tcPr>
          <w:p w:rsidR="00C9380E" w:rsidRPr="00C9380E" w:rsidRDefault="00995558" w:rsidP="00BF2FC9">
            <w:pPr>
              <w:jc w:val="center"/>
              <w:rPr>
                <w:color w:val="000000"/>
                <w:sz w:val="20"/>
                <w:szCs w:val="20"/>
              </w:rPr>
            </w:pPr>
            <w:r>
              <w:rPr>
                <w:color w:val="000000"/>
                <w:sz w:val="20"/>
                <w:szCs w:val="20"/>
              </w:rPr>
              <w:t>0,</w:t>
            </w:r>
            <w:r w:rsidR="00BF2FC9">
              <w:rPr>
                <w:color w:val="000000"/>
                <w:sz w:val="20"/>
                <w:szCs w:val="20"/>
              </w:rPr>
              <w:t>242</w:t>
            </w:r>
          </w:p>
        </w:tc>
        <w:tc>
          <w:tcPr>
            <w:tcW w:w="1418" w:type="dxa"/>
            <w:tcBorders>
              <w:top w:val="nil"/>
              <w:left w:val="nil"/>
              <w:bottom w:val="nil"/>
              <w:right w:val="nil"/>
            </w:tcBorders>
            <w:shd w:val="clear" w:color="auto" w:fill="auto"/>
            <w:noWrap/>
            <w:vAlign w:val="bottom"/>
            <w:hideMark/>
          </w:tcPr>
          <w:p w:rsidR="00C9380E" w:rsidRPr="00C9380E" w:rsidRDefault="00995558" w:rsidP="00BF2FC9">
            <w:pPr>
              <w:jc w:val="center"/>
              <w:rPr>
                <w:color w:val="000000"/>
                <w:sz w:val="20"/>
                <w:szCs w:val="20"/>
              </w:rPr>
            </w:pPr>
            <w:r>
              <w:rPr>
                <w:color w:val="000000"/>
                <w:sz w:val="20"/>
                <w:szCs w:val="20"/>
              </w:rPr>
              <w:t>0,</w:t>
            </w:r>
            <w:r w:rsidR="00BF2FC9">
              <w:rPr>
                <w:color w:val="000000"/>
                <w:sz w:val="20"/>
                <w:szCs w:val="20"/>
              </w:rPr>
              <w:t>093</w:t>
            </w:r>
          </w:p>
        </w:tc>
        <w:tc>
          <w:tcPr>
            <w:tcW w:w="992" w:type="dxa"/>
            <w:tcBorders>
              <w:top w:val="nil"/>
              <w:left w:val="nil"/>
              <w:bottom w:val="nil"/>
              <w:right w:val="nil"/>
            </w:tcBorders>
            <w:shd w:val="clear" w:color="auto" w:fill="auto"/>
            <w:noWrap/>
            <w:vAlign w:val="bottom"/>
            <w:hideMark/>
          </w:tcPr>
          <w:p w:rsidR="00C9380E" w:rsidRPr="00C9380E" w:rsidRDefault="00995558" w:rsidP="00BF2FC9">
            <w:pPr>
              <w:jc w:val="center"/>
              <w:rPr>
                <w:color w:val="000000"/>
                <w:sz w:val="20"/>
                <w:szCs w:val="20"/>
              </w:rPr>
            </w:pPr>
            <w:r>
              <w:rPr>
                <w:color w:val="000000"/>
                <w:sz w:val="20"/>
                <w:szCs w:val="20"/>
              </w:rPr>
              <w:t>0,</w:t>
            </w:r>
            <w:r w:rsidR="00BF2FC9">
              <w:rPr>
                <w:color w:val="000000"/>
                <w:sz w:val="20"/>
                <w:szCs w:val="20"/>
              </w:rPr>
              <w:t>207</w:t>
            </w:r>
          </w:p>
        </w:tc>
        <w:tc>
          <w:tcPr>
            <w:tcW w:w="1559" w:type="dxa"/>
            <w:tcBorders>
              <w:top w:val="nil"/>
              <w:left w:val="nil"/>
              <w:bottom w:val="nil"/>
              <w:right w:val="nil"/>
            </w:tcBorders>
            <w:shd w:val="clear" w:color="auto" w:fill="auto"/>
            <w:noWrap/>
            <w:vAlign w:val="bottom"/>
            <w:hideMark/>
          </w:tcPr>
          <w:p w:rsidR="00C9380E" w:rsidRPr="00C9380E" w:rsidRDefault="00995558" w:rsidP="002A59A5">
            <w:pPr>
              <w:jc w:val="center"/>
              <w:rPr>
                <w:color w:val="000000"/>
                <w:sz w:val="20"/>
                <w:szCs w:val="20"/>
              </w:rPr>
            </w:pPr>
            <w:r>
              <w:rPr>
                <w:color w:val="000000"/>
                <w:sz w:val="20"/>
                <w:szCs w:val="20"/>
              </w:rPr>
              <w:t>0,2</w:t>
            </w:r>
            <w:r w:rsidR="00195DD2">
              <w:rPr>
                <w:color w:val="000000"/>
                <w:sz w:val="20"/>
                <w:szCs w:val="20"/>
              </w:rPr>
              <w:t>83</w:t>
            </w:r>
          </w:p>
        </w:tc>
      </w:tr>
      <w:tr w:rsidR="00C9380E" w:rsidRPr="00C9380E" w:rsidTr="00F904FD">
        <w:trPr>
          <w:trHeight w:val="300"/>
        </w:trPr>
        <w:tc>
          <w:tcPr>
            <w:tcW w:w="2283" w:type="dxa"/>
            <w:tcBorders>
              <w:top w:val="nil"/>
              <w:left w:val="nil"/>
              <w:bottom w:val="nil"/>
              <w:right w:val="single" w:sz="4" w:space="0" w:color="auto"/>
            </w:tcBorders>
            <w:shd w:val="clear" w:color="auto" w:fill="auto"/>
            <w:noWrap/>
            <w:vAlign w:val="bottom"/>
            <w:hideMark/>
          </w:tcPr>
          <w:p w:rsidR="00C9380E" w:rsidRPr="00C9380E" w:rsidRDefault="00C9380E" w:rsidP="00C9380E">
            <w:pPr>
              <w:rPr>
                <w:color w:val="000000"/>
                <w:sz w:val="20"/>
                <w:szCs w:val="20"/>
              </w:rPr>
            </w:pPr>
            <w:r w:rsidRPr="00C9380E">
              <w:rPr>
                <w:color w:val="000000"/>
                <w:sz w:val="20"/>
                <w:szCs w:val="20"/>
              </w:rPr>
              <w:t>Cap_Tier1</w:t>
            </w:r>
            <w:r w:rsidR="001340C8" w:rsidRPr="00017FF5">
              <w:rPr>
                <w:color w:val="000000"/>
                <w:sz w:val="20"/>
                <w:szCs w:val="20"/>
              </w:rPr>
              <w:t xml:space="preserve"> (%)</w:t>
            </w:r>
          </w:p>
        </w:tc>
        <w:tc>
          <w:tcPr>
            <w:tcW w:w="1560"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9,</w:t>
            </w:r>
            <w:r w:rsidR="00BF2FC9">
              <w:rPr>
                <w:color w:val="000000"/>
                <w:sz w:val="20"/>
                <w:szCs w:val="20"/>
              </w:rPr>
              <w:t>493</w:t>
            </w:r>
          </w:p>
        </w:tc>
        <w:tc>
          <w:tcPr>
            <w:tcW w:w="1275"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9,</w:t>
            </w:r>
            <w:r w:rsidR="00BF2FC9">
              <w:rPr>
                <w:color w:val="000000"/>
                <w:sz w:val="20"/>
                <w:szCs w:val="20"/>
              </w:rPr>
              <w:t>180</w:t>
            </w:r>
          </w:p>
        </w:tc>
        <w:tc>
          <w:tcPr>
            <w:tcW w:w="1418"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3</w:t>
            </w:r>
            <w:r w:rsidR="00C9380E" w:rsidRPr="00C9380E">
              <w:rPr>
                <w:color w:val="000000"/>
                <w:sz w:val="20"/>
                <w:szCs w:val="20"/>
              </w:rPr>
              <w:t>,</w:t>
            </w:r>
            <w:r>
              <w:rPr>
                <w:color w:val="000000"/>
                <w:sz w:val="20"/>
                <w:szCs w:val="20"/>
              </w:rPr>
              <w:t>058</w:t>
            </w:r>
          </w:p>
        </w:tc>
        <w:tc>
          <w:tcPr>
            <w:tcW w:w="992"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7</w:t>
            </w:r>
            <w:r w:rsidR="00C9380E" w:rsidRPr="00C9380E">
              <w:rPr>
                <w:color w:val="000000"/>
                <w:sz w:val="20"/>
                <w:szCs w:val="20"/>
              </w:rPr>
              <w:t>,</w:t>
            </w:r>
            <w:r>
              <w:rPr>
                <w:color w:val="000000"/>
                <w:sz w:val="20"/>
                <w:szCs w:val="20"/>
              </w:rPr>
              <w:t>370</w:t>
            </w:r>
          </w:p>
        </w:tc>
        <w:tc>
          <w:tcPr>
            <w:tcW w:w="1559" w:type="dxa"/>
            <w:tcBorders>
              <w:top w:val="nil"/>
              <w:left w:val="nil"/>
              <w:bottom w:val="nil"/>
              <w:right w:val="nil"/>
            </w:tcBorders>
            <w:shd w:val="clear" w:color="auto" w:fill="auto"/>
            <w:noWrap/>
            <w:vAlign w:val="bottom"/>
            <w:hideMark/>
          </w:tcPr>
          <w:p w:rsidR="00C9380E" w:rsidRPr="00C9380E" w:rsidRDefault="00C9380E" w:rsidP="00195DD2">
            <w:pPr>
              <w:jc w:val="center"/>
              <w:rPr>
                <w:color w:val="000000"/>
                <w:sz w:val="20"/>
                <w:szCs w:val="20"/>
              </w:rPr>
            </w:pPr>
            <w:r w:rsidRPr="00C9380E">
              <w:rPr>
                <w:color w:val="000000"/>
                <w:sz w:val="20"/>
                <w:szCs w:val="20"/>
              </w:rPr>
              <w:t>1</w:t>
            </w:r>
            <w:r w:rsidR="00195DD2">
              <w:rPr>
                <w:color w:val="000000"/>
                <w:sz w:val="20"/>
                <w:szCs w:val="20"/>
              </w:rPr>
              <w:t>0</w:t>
            </w:r>
            <w:r w:rsidRPr="00C9380E">
              <w:rPr>
                <w:color w:val="000000"/>
                <w:sz w:val="20"/>
                <w:szCs w:val="20"/>
              </w:rPr>
              <w:t>,</w:t>
            </w:r>
            <w:r w:rsidR="00195DD2">
              <w:rPr>
                <w:color w:val="000000"/>
                <w:sz w:val="20"/>
                <w:szCs w:val="20"/>
              </w:rPr>
              <w:t>700</w:t>
            </w:r>
          </w:p>
        </w:tc>
      </w:tr>
      <w:tr w:rsidR="00C9380E" w:rsidRPr="00C9380E" w:rsidTr="00F904FD">
        <w:trPr>
          <w:trHeight w:val="300"/>
        </w:trPr>
        <w:tc>
          <w:tcPr>
            <w:tcW w:w="2283" w:type="dxa"/>
            <w:tcBorders>
              <w:top w:val="nil"/>
              <w:left w:val="nil"/>
              <w:bottom w:val="nil"/>
              <w:right w:val="single" w:sz="4" w:space="0" w:color="auto"/>
            </w:tcBorders>
            <w:shd w:val="clear" w:color="auto" w:fill="auto"/>
            <w:noWrap/>
            <w:vAlign w:val="bottom"/>
            <w:hideMark/>
          </w:tcPr>
          <w:p w:rsidR="00C9380E" w:rsidRPr="00C9380E" w:rsidRDefault="00C9380E" w:rsidP="00F904FD">
            <w:pPr>
              <w:rPr>
                <w:color w:val="000000"/>
                <w:sz w:val="20"/>
                <w:szCs w:val="20"/>
              </w:rPr>
            </w:pPr>
            <w:r w:rsidRPr="00C9380E">
              <w:rPr>
                <w:color w:val="000000"/>
                <w:sz w:val="20"/>
                <w:szCs w:val="20"/>
              </w:rPr>
              <w:t xml:space="preserve">M V </w:t>
            </w:r>
            <w:r w:rsidR="001340C8" w:rsidRPr="00017FF5">
              <w:rPr>
                <w:color w:val="000000"/>
                <w:sz w:val="20"/>
                <w:szCs w:val="20"/>
              </w:rPr>
              <w:t>(</w:t>
            </w:r>
            <w:r w:rsidRPr="00C9380E">
              <w:rPr>
                <w:color w:val="000000"/>
                <w:sz w:val="20"/>
                <w:szCs w:val="20"/>
              </w:rPr>
              <w:t>in millions</w:t>
            </w:r>
            <w:r w:rsidR="001340C8" w:rsidRPr="00017FF5">
              <w:rPr>
                <w:color w:val="000000"/>
                <w:sz w:val="20"/>
                <w:szCs w:val="20"/>
              </w:rPr>
              <w:t>)</w:t>
            </w:r>
          </w:p>
        </w:tc>
        <w:tc>
          <w:tcPr>
            <w:tcW w:w="1560"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8720</w:t>
            </w:r>
            <w:r w:rsidR="00C9380E" w:rsidRPr="00C9380E">
              <w:rPr>
                <w:color w:val="000000"/>
                <w:sz w:val="20"/>
                <w:szCs w:val="20"/>
              </w:rPr>
              <w:t>,</w:t>
            </w:r>
            <w:r>
              <w:rPr>
                <w:color w:val="000000"/>
                <w:sz w:val="20"/>
                <w:szCs w:val="20"/>
              </w:rPr>
              <w:t>999</w:t>
            </w:r>
          </w:p>
        </w:tc>
        <w:tc>
          <w:tcPr>
            <w:tcW w:w="1275"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2263</w:t>
            </w:r>
            <w:r w:rsidR="00C9380E" w:rsidRPr="00C9380E">
              <w:rPr>
                <w:color w:val="000000"/>
                <w:sz w:val="20"/>
                <w:szCs w:val="20"/>
              </w:rPr>
              <w:t>,</w:t>
            </w:r>
            <w:r>
              <w:rPr>
                <w:color w:val="000000"/>
                <w:sz w:val="20"/>
                <w:szCs w:val="20"/>
              </w:rPr>
              <w:t>872</w:t>
            </w:r>
          </w:p>
        </w:tc>
        <w:tc>
          <w:tcPr>
            <w:tcW w:w="1418"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17339</w:t>
            </w:r>
            <w:r w:rsidR="00C9380E" w:rsidRPr="00C9380E">
              <w:rPr>
                <w:color w:val="000000"/>
                <w:sz w:val="20"/>
                <w:szCs w:val="20"/>
              </w:rPr>
              <w:t>,</w:t>
            </w:r>
            <w:r>
              <w:rPr>
                <w:color w:val="000000"/>
                <w:sz w:val="20"/>
                <w:szCs w:val="20"/>
              </w:rPr>
              <w:t>060</w:t>
            </w:r>
          </w:p>
        </w:tc>
        <w:tc>
          <w:tcPr>
            <w:tcW w:w="992" w:type="dxa"/>
            <w:tcBorders>
              <w:top w:val="nil"/>
              <w:left w:val="nil"/>
              <w:bottom w:val="nil"/>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1034</w:t>
            </w:r>
            <w:r w:rsidR="00C9380E" w:rsidRPr="00C9380E">
              <w:rPr>
                <w:color w:val="000000"/>
                <w:sz w:val="20"/>
                <w:szCs w:val="20"/>
              </w:rPr>
              <w:t>,</w:t>
            </w:r>
            <w:r>
              <w:rPr>
                <w:color w:val="000000"/>
                <w:sz w:val="20"/>
                <w:szCs w:val="20"/>
              </w:rPr>
              <w:t>982</w:t>
            </w:r>
          </w:p>
        </w:tc>
        <w:tc>
          <w:tcPr>
            <w:tcW w:w="1559"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6</w:t>
            </w:r>
            <w:r w:rsidR="00BF2FC9">
              <w:rPr>
                <w:color w:val="000000"/>
                <w:sz w:val="20"/>
                <w:szCs w:val="20"/>
              </w:rPr>
              <w:t>629</w:t>
            </w:r>
            <w:r w:rsidRPr="00C9380E">
              <w:rPr>
                <w:color w:val="000000"/>
                <w:sz w:val="20"/>
                <w:szCs w:val="20"/>
              </w:rPr>
              <w:t>,</w:t>
            </w:r>
            <w:r w:rsidR="00BF2FC9">
              <w:rPr>
                <w:color w:val="000000"/>
                <w:sz w:val="20"/>
                <w:szCs w:val="20"/>
              </w:rPr>
              <w:t>399</w:t>
            </w:r>
          </w:p>
        </w:tc>
      </w:tr>
      <w:tr w:rsidR="00C9380E" w:rsidRPr="00C9380E" w:rsidTr="00F904FD">
        <w:trPr>
          <w:trHeight w:val="300"/>
        </w:trPr>
        <w:tc>
          <w:tcPr>
            <w:tcW w:w="2283" w:type="dxa"/>
            <w:tcBorders>
              <w:top w:val="nil"/>
              <w:left w:val="nil"/>
              <w:bottom w:val="nil"/>
              <w:right w:val="single" w:sz="4" w:space="0" w:color="auto"/>
            </w:tcBorders>
            <w:shd w:val="clear" w:color="auto" w:fill="auto"/>
            <w:noWrap/>
            <w:vAlign w:val="bottom"/>
            <w:hideMark/>
          </w:tcPr>
          <w:p w:rsidR="00C9380E" w:rsidRPr="00C9380E" w:rsidRDefault="00C9380E" w:rsidP="00F904FD">
            <w:pPr>
              <w:rPr>
                <w:color w:val="000000"/>
                <w:sz w:val="20"/>
                <w:szCs w:val="20"/>
              </w:rPr>
            </w:pPr>
            <w:r w:rsidRPr="00C9380E">
              <w:rPr>
                <w:color w:val="000000"/>
                <w:sz w:val="20"/>
                <w:szCs w:val="20"/>
              </w:rPr>
              <w:t>Size</w:t>
            </w:r>
            <w:r w:rsidR="001340C8" w:rsidRPr="00017FF5">
              <w:rPr>
                <w:color w:val="000000"/>
                <w:sz w:val="20"/>
                <w:szCs w:val="20"/>
              </w:rPr>
              <w:t xml:space="preserve"> (log of </w:t>
            </w:r>
            <w:r w:rsidR="00F904FD">
              <w:rPr>
                <w:color w:val="000000"/>
                <w:sz w:val="20"/>
                <w:szCs w:val="20"/>
              </w:rPr>
              <w:t>MV</w:t>
            </w:r>
            <w:r w:rsidR="001340C8" w:rsidRPr="00017FF5">
              <w:rPr>
                <w:color w:val="000000"/>
                <w:sz w:val="20"/>
                <w:szCs w:val="20"/>
              </w:rPr>
              <w:t>)</w:t>
            </w:r>
          </w:p>
        </w:tc>
        <w:tc>
          <w:tcPr>
            <w:tcW w:w="1560"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7,</w:t>
            </w:r>
            <w:r w:rsidR="00BF2FC9">
              <w:rPr>
                <w:color w:val="000000"/>
                <w:sz w:val="20"/>
                <w:szCs w:val="20"/>
              </w:rPr>
              <w:t>949</w:t>
            </w:r>
          </w:p>
        </w:tc>
        <w:tc>
          <w:tcPr>
            <w:tcW w:w="1275"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7,</w:t>
            </w:r>
            <w:r w:rsidR="00BF2FC9">
              <w:rPr>
                <w:color w:val="000000"/>
                <w:sz w:val="20"/>
                <w:szCs w:val="20"/>
              </w:rPr>
              <w:t>725</w:t>
            </w:r>
          </w:p>
        </w:tc>
        <w:tc>
          <w:tcPr>
            <w:tcW w:w="1418" w:type="dxa"/>
            <w:tcBorders>
              <w:top w:val="nil"/>
              <w:left w:val="nil"/>
              <w:bottom w:val="nil"/>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1,4</w:t>
            </w:r>
            <w:r w:rsidR="00BF2FC9">
              <w:rPr>
                <w:color w:val="000000"/>
                <w:sz w:val="20"/>
                <w:szCs w:val="20"/>
              </w:rPr>
              <w:t>33</w:t>
            </w:r>
          </w:p>
        </w:tc>
        <w:tc>
          <w:tcPr>
            <w:tcW w:w="992" w:type="dxa"/>
            <w:tcBorders>
              <w:top w:val="nil"/>
              <w:left w:val="nil"/>
              <w:bottom w:val="nil"/>
              <w:right w:val="nil"/>
            </w:tcBorders>
            <w:shd w:val="clear" w:color="auto" w:fill="auto"/>
            <w:noWrap/>
            <w:vAlign w:val="bottom"/>
            <w:hideMark/>
          </w:tcPr>
          <w:p w:rsidR="00C9380E" w:rsidRPr="00C9380E" w:rsidRDefault="00BF2FC9" w:rsidP="00C9380E">
            <w:pPr>
              <w:jc w:val="center"/>
              <w:rPr>
                <w:color w:val="000000"/>
                <w:sz w:val="20"/>
                <w:szCs w:val="20"/>
              </w:rPr>
            </w:pPr>
            <w:r>
              <w:rPr>
                <w:color w:val="000000"/>
                <w:sz w:val="20"/>
                <w:szCs w:val="20"/>
              </w:rPr>
              <w:t>6,942</w:t>
            </w:r>
          </w:p>
        </w:tc>
        <w:tc>
          <w:tcPr>
            <w:tcW w:w="1559" w:type="dxa"/>
            <w:tcBorders>
              <w:top w:val="nil"/>
              <w:left w:val="nil"/>
              <w:bottom w:val="nil"/>
              <w:right w:val="nil"/>
            </w:tcBorders>
            <w:shd w:val="clear" w:color="auto" w:fill="auto"/>
            <w:noWrap/>
            <w:vAlign w:val="bottom"/>
            <w:hideMark/>
          </w:tcPr>
          <w:p w:rsidR="00C9380E" w:rsidRPr="00C9380E" w:rsidRDefault="00C9380E" w:rsidP="00C9380E">
            <w:pPr>
              <w:jc w:val="center"/>
              <w:rPr>
                <w:color w:val="000000"/>
                <w:sz w:val="20"/>
                <w:szCs w:val="20"/>
              </w:rPr>
            </w:pPr>
            <w:r w:rsidRPr="00C9380E">
              <w:rPr>
                <w:color w:val="000000"/>
                <w:sz w:val="20"/>
                <w:szCs w:val="20"/>
              </w:rPr>
              <w:t>8</w:t>
            </w:r>
            <w:r w:rsidR="00195DD2">
              <w:rPr>
                <w:color w:val="000000"/>
                <w:sz w:val="20"/>
                <w:szCs w:val="20"/>
              </w:rPr>
              <w:t>,799</w:t>
            </w:r>
          </w:p>
        </w:tc>
      </w:tr>
      <w:tr w:rsidR="00C9380E" w:rsidRPr="00C9380E" w:rsidTr="00F904FD">
        <w:trPr>
          <w:trHeight w:val="315"/>
        </w:trPr>
        <w:tc>
          <w:tcPr>
            <w:tcW w:w="2283" w:type="dxa"/>
            <w:tcBorders>
              <w:top w:val="nil"/>
              <w:left w:val="nil"/>
              <w:bottom w:val="double" w:sz="6" w:space="0" w:color="auto"/>
              <w:right w:val="single" w:sz="4" w:space="0" w:color="auto"/>
            </w:tcBorders>
            <w:shd w:val="clear" w:color="auto" w:fill="auto"/>
            <w:noWrap/>
            <w:vAlign w:val="bottom"/>
            <w:hideMark/>
          </w:tcPr>
          <w:p w:rsidR="00C9380E" w:rsidRPr="00C9380E" w:rsidRDefault="00C9380E" w:rsidP="00C9380E">
            <w:pPr>
              <w:rPr>
                <w:color w:val="000000"/>
                <w:sz w:val="20"/>
                <w:szCs w:val="20"/>
              </w:rPr>
            </w:pPr>
            <w:r w:rsidRPr="00C9380E">
              <w:rPr>
                <w:color w:val="000000"/>
                <w:sz w:val="20"/>
                <w:szCs w:val="20"/>
              </w:rPr>
              <w:t>Tax</w:t>
            </w:r>
          </w:p>
        </w:tc>
        <w:tc>
          <w:tcPr>
            <w:tcW w:w="1560" w:type="dxa"/>
            <w:tcBorders>
              <w:top w:val="nil"/>
              <w:left w:val="nil"/>
              <w:bottom w:val="double" w:sz="6" w:space="0" w:color="auto"/>
              <w:right w:val="nil"/>
            </w:tcBorders>
            <w:shd w:val="clear" w:color="auto" w:fill="auto"/>
            <w:noWrap/>
            <w:vAlign w:val="bottom"/>
            <w:hideMark/>
          </w:tcPr>
          <w:p w:rsidR="00C9380E" w:rsidRPr="00C9380E" w:rsidRDefault="00BF2FC9" w:rsidP="00BF2FC9">
            <w:pPr>
              <w:jc w:val="center"/>
              <w:rPr>
                <w:color w:val="000000"/>
                <w:sz w:val="20"/>
                <w:szCs w:val="20"/>
              </w:rPr>
            </w:pPr>
            <w:r>
              <w:rPr>
                <w:color w:val="000000"/>
                <w:sz w:val="20"/>
                <w:szCs w:val="20"/>
              </w:rPr>
              <w:t>0,352</w:t>
            </w:r>
          </w:p>
        </w:tc>
        <w:tc>
          <w:tcPr>
            <w:tcW w:w="1275" w:type="dxa"/>
            <w:tcBorders>
              <w:top w:val="nil"/>
              <w:left w:val="nil"/>
              <w:bottom w:val="double" w:sz="6" w:space="0" w:color="auto"/>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0,</w:t>
            </w:r>
            <w:r w:rsidR="00BF2FC9">
              <w:rPr>
                <w:color w:val="000000"/>
                <w:sz w:val="20"/>
                <w:szCs w:val="20"/>
              </w:rPr>
              <w:t>348</w:t>
            </w:r>
          </w:p>
        </w:tc>
        <w:tc>
          <w:tcPr>
            <w:tcW w:w="1418" w:type="dxa"/>
            <w:tcBorders>
              <w:top w:val="nil"/>
              <w:left w:val="nil"/>
              <w:bottom w:val="double" w:sz="6" w:space="0" w:color="auto"/>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0,</w:t>
            </w:r>
            <w:r w:rsidR="00BF2FC9">
              <w:rPr>
                <w:color w:val="000000"/>
                <w:sz w:val="20"/>
                <w:szCs w:val="20"/>
              </w:rPr>
              <w:t>092</w:t>
            </w:r>
          </w:p>
        </w:tc>
        <w:tc>
          <w:tcPr>
            <w:tcW w:w="992" w:type="dxa"/>
            <w:tcBorders>
              <w:top w:val="nil"/>
              <w:left w:val="nil"/>
              <w:bottom w:val="double" w:sz="6" w:space="0" w:color="auto"/>
              <w:right w:val="nil"/>
            </w:tcBorders>
            <w:shd w:val="clear" w:color="auto" w:fill="auto"/>
            <w:noWrap/>
            <w:vAlign w:val="bottom"/>
            <w:hideMark/>
          </w:tcPr>
          <w:p w:rsidR="00C9380E" w:rsidRPr="00C9380E" w:rsidRDefault="00C9380E" w:rsidP="00BF2FC9">
            <w:pPr>
              <w:jc w:val="center"/>
              <w:rPr>
                <w:color w:val="000000"/>
                <w:sz w:val="20"/>
                <w:szCs w:val="20"/>
              </w:rPr>
            </w:pPr>
            <w:r w:rsidRPr="00C9380E">
              <w:rPr>
                <w:color w:val="000000"/>
                <w:sz w:val="20"/>
                <w:szCs w:val="20"/>
              </w:rPr>
              <w:t>0,3</w:t>
            </w:r>
            <w:r w:rsidR="00BF2FC9">
              <w:rPr>
                <w:color w:val="000000"/>
                <w:sz w:val="20"/>
                <w:szCs w:val="20"/>
              </w:rPr>
              <w:t>26</w:t>
            </w:r>
          </w:p>
        </w:tc>
        <w:tc>
          <w:tcPr>
            <w:tcW w:w="1559" w:type="dxa"/>
            <w:tcBorders>
              <w:top w:val="nil"/>
              <w:left w:val="nil"/>
              <w:bottom w:val="double" w:sz="6" w:space="0" w:color="auto"/>
              <w:right w:val="nil"/>
            </w:tcBorders>
            <w:shd w:val="clear" w:color="auto" w:fill="auto"/>
            <w:noWrap/>
            <w:vAlign w:val="bottom"/>
            <w:hideMark/>
          </w:tcPr>
          <w:p w:rsidR="00C9380E" w:rsidRPr="00C9380E" w:rsidRDefault="00195DD2" w:rsidP="00C9380E">
            <w:pPr>
              <w:jc w:val="center"/>
              <w:rPr>
                <w:color w:val="000000"/>
                <w:sz w:val="20"/>
                <w:szCs w:val="20"/>
              </w:rPr>
            </w:pPr>
            <w:r>
              <w:rPr>
                <w:color w:val="000000"/>
                <w:sz w:val="20"/>
                <w:szCs w:val="20"/>
              </w:rPr>
              <w:t>0,371</w:t>
            </w:r>
          </w:p>
        </w:tc>
      </w:tr>
    </w:tbl>
    <w:p w:rsidR="00327872" w:rsidRDefault="006B5327" w:rsidP="00F904FD">
      <w:pPr>
        <w:spacing w:line="360" w:lineRule="auto"/>
        <w:rPr>
          <w:sz w:val="18"/>
          <w:szCs w:val="18"/>
        </w:rPr>
      </w:pPr>
      <w:r w:rsidRPr="006B5327">
        <w:rPr>
          <w:sz w:val="18"/>
          <w:szCs w:val="18"/>
        </w:rPr>
        <w:t>DLLP</w:t>
      </w:r>
      <w:r>
        <w:rPr>
          <w:sz w:val="18"/>
          <w:szCs w:val="18"/>
        </w:rPr>
        <w:t xml:space="preserve"> </w:t>
      </w:r>
      <w:r w:rsidRPr="006B5327">
        <w:rPr>
          <w:sz w:val="18"/>
          <w:szCs w:val="18"/>
        </w:rPr>
        <w:t>=</w:t>
      </w:r>
      <w:r>
        <w:rPr>
          <w:sz w:val="18"/>
          <w:szCs w:val="18"/>
        </w:rPr>
        <w:tab/>
        <w:t xml:space="preserve">Discretionary loan loss provisions </w:t>
      </w:r>
      <w:r w:rsidR="00AB107C">
        <w:rPr>
          <w:sz w:val="18"/>
          <w:szCs w:val="18"/>
        </w:rPr>
        <w:t>as a percentage of net book value of common equity plus allowance of loan loss</w:t>
      </w:r>
      <w:r w:rsidR="00F904FD">
        <w:rPr>
          <w:sz w:val="18"/>
          <w:szCs w:val="18"/>
        </w:rPr>
        <w:t>.</w:t>
      </w:r>
    </w:p>
    <w:p w:rsidR="00AB107C" w:rsidRDefault="00AB107C" w:rsidP="00F904FD">
      <w:pPr>
        <w:spacing w:line="360" w:lineRule="auto"/>
        <w:rPr>
          <w:sz w:val="18"/>
          <w:szCs w:val="18"/>
        </w:rPr>
      </w:pPr>
      <w:r>
        <w:rPr>
          <w:sz w:val="18"/>
          <w:szCs w:val="18"/>
        </w:rPr>
        <w:t>EBTP = Earnings before tax and provisions</w:t>
      </w:r>
      <w:r w:rsidR="00251157">
        <w:rPr>
          <w:sz w:val="18"/>
          <w:szCs w:val="18"/>
        </w:rPr>
        <w:t>, scaled by net book value of common equity</w:t>
      </w:r>
      <w:r w:rsidR="00C00C06">
        <w:rPr>
          <w:sz w:val="18"/>
          <w:szCs w:val="18"/>
        </w:rPr>
        <w:t xml:space="preserve"> plus loan loss allowance</w:t>
      </w:r>
      <w:r w:rsidR="00F904FD">
        <w:rPr>
          <w:sz w:val="18"/>
          <w:szCs w:val="18"/>
        </w:rPr>
        <w:t>.</w:t>
      </w:r>
    </w:p>
    <w:p w:rsidR="00E835B1" w:rsidRDefault="00AB107C" w:rsidP="00F904FD">
      <w:pPr>
        <w:spacing w:line="360" w:lineRule="auto"/>
        <w:rPr>
          <w:sz w:val="18"/>
          <w:szCs w:val="18"/>
        </w:rPr>
      </w:pPr>
      <w:r>
        <w:rPr>
          <w:sz w:val="18"/>
          <w:szCs w:val="18"/>
        </w:rPr>
        <w:t xml:space="preserve">Cap_Tier1 = </w:t>
      </w:r>
      <w:r w:rsidR="00251157">
        <w:rPr>
          <w:sz w:val="18"/>
          <w:szCs w:val="18"/>
        </w:rPr>
        <w:t>Risk adjusted capital Tier 1</w:t>
      </w:r>
      <w:r w:rsidR="00F904FD">
        <w:rPr>
          <w:sz w:val="18"/>
          <w:szCs w:val="18"/>
        </w:rPr>
        <w:t xml:space="preserve"> ratio.</w:t>
      </w:r>
    </w:p>
    <w:p w:rsidR="00F904FD" w:rsidRDefault="00251157" w:rsidP="00F904FD">
      <w:pPr>
        <w:spacing w:line="360" w:lineRule="auto"/>
        <w:rPr>
          <w:sz w:val="18"/>
          <w:szCs w:val="18"/>
        </w:rPr>
      </w:pPr>
      <w:r>
        <w:rPr>
          <w:sz w:val="18"/>
          <w:szCs w:val="18"/>
        </w:rPr>
        <w:t xml:space="preserve">Market Value = </w:t>
      </w:r>
      <w:r w:rsidR="00F904FD">
        <w:rPr>
          <w:sz w:val="18"/>
          <w:szCs w:val="18"/>
        </w:rPr>
        <w:t>Market value of common outstanding shares (in millions</w:t>
      </w:r>
      <w:r w:rsidR="00C9462E">
        <w:rPr>
          <w:sz w:val="18"/>
          <w:szCs w:val="18"/>
        </w:rPr>
        <w:t xml:space="preserve"> of dollars</w:t>
      </w:r>
      <w:r w:rsidR="00F904FD">
        <w:rPr>
          <w:sz w:val="18"/>
          <w:szCs w:val="18"/>
        </w:rPr>
        <w:t>).</w:t>
      </w:r>
    </w:p>
    <w:p w:rsidR="00F904FD" w:rsidRDefault="00F904FD" w:rsidP="00F904FD">
      <w:pPr>
        <w:spacing w:line="360" w:lineRule="auto"/>
        <w:rPr>
          <w:sz w:val="18"/>
          <w:szCs w:val="18"/>
        </w:rPr>
      </w:pPr>
      <w:r>
        <w:rPr>
          <w:sz w:val="18"/>
          <w:szCs w:val="18"/>
        </w:rPr>
        <w:t>Size = Natural logarithm of market value (in millions of dollars).</w:t>
      </w:r>
    </w:p>
    <w:p w:rsidR="00F904FD" w:rsidRPr="00251157" w:rsidRDefault="00F904FD" w:rsidP="00F904FD">
      <w:pPr>
        <w:spacing w:line="360" w:lineRule="auto"/>
        <w:rPr>
          <w:sz w:val="18"/>
          <w:szCs w:val="18"/>
        </w:rPr>
      </w:pPr>
      <w:r>
        <w:rPr>
          <w:sz w:val="18"/>
          <w:szCs w:val="18"/>
        </w:rPr>
        <w:t>Tax = I</w:t>
      </w:r>
      <w:r w:rsidRPr="00F904FD">
        <w:rPr>
          <w:sz w:val="18"/>
          <w:szCs w:val="18"/>
        </w:rPr>
        <w:t>ncome tax expense scaled by net income before tax</w:t>
      </w:r>
      <w:r>
        <w:rPr>
          <w:sz w:val="18"/>
          <w:szCs w:val="18"/>
        </w:rPr>
        <w:t>.</w:t>
      </w:r>
    </w:p>
    <w:p w:rsidR="00327872" w:rsidRPr="00017FF5" w:rsidRDefault="002B420B" w:rsidP="00226EAD">
      <w:pPr>
        <w:spacing w:before="120"/>
        <w:rPr>
          <w:sz w:val="20"/>
          <w:szCs w:val="20"/>
        </w:rPr>
      </w:pPr>
      <w:r w:rsidRPr="00017FF5">
        <w:rPr>
          <w:sz w:val="20"/>
          <w:szCs w:val="20"/>
        </w:rPr>
        <w:t>Panel</w:t>
      </w:r>
      <w:r w:rsidR="00017FF5" w:rsidRPr="00017FF5">
        <w:rPr>
          <w:sz w:val="20"/>
          <w:szCs w:val="20"/>
        </w:rPr>
        <w:t xml:space="preserve"> B: </w:t>
      </w:r>
      <w:r w:rsidR="00017FF5">
        <w:rPr>
          <w:sz w:val="20"/>
          <w:szCs w:val="20"/>
        </w:rPr>
        <w:t xml:space="preserve">Pearson </w:t>
      </w:r>
      <w:r w:rsidR="007A69EB">
        <w:rPr>
          <w:sz w:val="20"/>
          <w:szCs w:val="20"/>
        </w:rPr>
        <w:t>C</w:t>
      </w:r>
      <w:r w:rsidR="00017FF5">
        <w:rPr>
          <w:sz w:val="20"/>
          <w:szCs w:val="20"/>
        </w:rPr>
        <w:t>orrelation</w:t>
      </w:r>
    </w:p>
    <w:tbl>
      <w:tblPr>
        <w:tblW w:w="9157" w:type="dxa"/>
        <w:tblInd w:w="55" w:type="dxa"/>
        <w:tblCellMar>
          <w:left w:w="70" w:type="dxa"/>
          <w:right w:w="70" w:type="dxa"/>
        </w:tblCellMar>
        <w:tblLook w:val="04A0"/>
      </w:tblPr>
      <w:tblGrid>
        <w:gridCol w:w="2283"/>
        <w:gridCol w:w="1017"/>
        <w:gridCol w:w="1251"/>
        <w:gridCol w:w="1276"/>
        <w:gridCol w:w="851"/>
        <w:gridCol w:w="1134"/>
        <w:gridCol w:w="708"/>
        <w:gridCol w:w="637"/>
      </w:tblGrid>
      <w:tr w:rsidR="00017FF5" w:rsidRPr="002B420B" w:rsidTr="00F904FD">
        <w:trPr>
          <w:trHeight w:val="315"/>
        </w:trPr>
        <w:tc>
          <w:tcPr>
            <w:tcW w:w="2283" w:type="dxa"/>
            <w:tcBorders>
              <w:top w:val="double" w:sz="6" w:space="0" w:color="auto"/>
              <w:left w:val="nil"/>
              <w:bottom w:val="nil"/>
              <w:right w:val="single" w:sz="4" w:space="0" w:color="auto"/>
            </w:tcBorders>
            <w:shd w:val="clear" w:color="auto" w:fill="auto"/>
            <w:noWrap/>
            <w:vAlign w:val="bottom"/>
            <w:hideMark/>
          </w:tcPr>
          <w:p w:rsidR="002B420B" w:rsidRPr="00C436D9" w:rsidRDefault="00B95370" w:rsidP="002B420B">
            <w:pPr>
              <w:rPr>
                <w:color w:val="000000"/>
                <w:sz w:val="20"/>
                <w:szCs w:val="20"/>
              </w:rPr>
            </w:pPr>
            <w:r w:rsidRPr="00C436D9">
              <w:rPr>
                <w:color w:val="000000"/>
                <w:sz w:val="20"/>
                <w:szCs w:val="20"/>
              </w:rPr>
              <w:t>Variables</w:t>
            </w:r>
          </w:p>
        </w:tc>
        <w:tc>
          <w:tcPr>
            <w:tcW w:w="1017"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DLLP</w:t>
            </w:r>
          </w:p>
        </w:tc>
        <w:tc>
          <w:tcPr>
            <w:tcW w:w="1251"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Equity incentive CEO</w:t>
            </w:r>
          </w:p>
        </w:tc>
        <w:tc>
          <w:tcPr>
            <w:tcW w:w="1276" w:type="dxa"/>
            <w:tcBorders>
              <w:top w:val="double" w:sz="6" w:space="0" w:color="auto"/>
              <w:left w:val="nil"/>
              <w:bottom w:val="nil"/>
              <w:right w:val="nil"/>
            </w:tcBorders>
            <w:shd w:val="clear" w:color="auto" w:fill="auto"/>
            <w:noWrap/>
            <w:vAlign w:val="bottom"/>
            <w:hideMark/>
          </w:tcPr>
          <w:p w:rsidR="002B420B" w:rsidRPr="00C436D9" w:rsidRDefault="00017FF5" w:rsidP="002B420B">
            <w:pPr>
              <w:jc w:val="center"/>
              <w:rPr>
                <w:color w:val="000000"/>
                <w:sz w:val="20"/>
                <w:szCs w:val="20"/>
              </w:rPr>
            </w:pPr>
            <w:r w:rsidRPr="00C436D9">
              <w:rPr>
                <w:color w:val="000000"/>
                <w:sz w:val="20"/>
                <w:szCs w:val="20"/>
              </w:rPr>
              <w:t>E</w:t>
            </w:r>
            <w:r w:rsidR="002B420B" w:rsidRPr="00C436D9">
              <w:rPr>
                <w:color w:val="000000"/>
                <w:sz w:val="20"/>
                <w:szCs w:val="20"/>
              </w:rPr>
              <w:t>quity incentive CFO</w:t>
            </w:r>
          </w:p>
        </w:tc>
        <w:tc>
          <w:tcPr>
            <w:tcW w:w="851"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EBTP</w:t>
            </w:r>
          </w:p>
        </w:tc>
        <w:tc>
          <w:tcPr>
            <w:tcW w:w="1134"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CAP Tier 1</w:t>
            </w:r>
          </w:p>
        </w:tc>
        <w:tc>
          <w:tcPr>
            <w:tcW w:w="708"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Size</w:t>
            </w:r>
          </w:p>
        </w:tc>
        <w:tc>
          <w:tcPr>
            <w:tcW w:w="637" w:type="dxa"/>
            <w:tcBorders>
              <w:top w:val="double" w:sz="6"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Tax</w:t>
            </w:r>
          </w:p>
        </w:tc>
      </w:tr>
      <w:tr w:rsidR="00017FF5" w:rsidRPr="002B420B" w:rsidTr="00F904FD">
        <w:trPr>
          <w:trHeight w:val="300"/>
        </w:trPr>
        <w:tc>
          <w:tcPr>
            <w:tcW w:w="2283" w:type="dxa"/>
            <w:tcBorders>
              <w:top w:val="single" w:sz="4" w:space="0" w:color="auto"/>
              <w:left w:val="nil"/>
              <w:bottom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DLLP</w:t>
            </w:r>
          </w:p>
        </w:tc>
        <w:tc>
          <w:tcPr>
            <w:tcW w:w="1017"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1251"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c>
          <w:tcPr>
            <w:tcW w:w="1276"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c>
          <w:tcPr>
            <w:tcW w:w="851"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c>
          <w:tcPr>
            <w:tcW w:w="1134"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c>
          <w:tcPr>
            <w:tcW w:w="708"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c>
          <w:tcPr>
            <w:tcW w:w="637" w:type="dxa"/>
            <w:tcBorders>
              <w:top w:val="single" w:sz="4" w:space="0" w:color="auto"/>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 </w:t>
            </w:r>
          </w:p>
        </w:tc>
      </w:tr>
      <w:tr w:rsidR="00017FF5" w:rsidRPr="002B420B" w:rsidTr="00F904FD">
        <w:trPr>
          <w:trHeight w:val="300"/>
        </w:trPr>
        <w:tc>
          <w:tcPr>
            <w:tcW w:w="2283" w:type="dxa"/>
            <w:tcBorders>
              <w:top w:val="nil"/>
              <w:left w:val="nil"/>
              <w:bottom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Equity incentive CEO</w:t>
            </w:r>
          </w:p>
        </w:tc>
        <w:tc>
          <w:tcPr>
            <w:tcW w:w="1017" w:type="dxa"/>
            <w:tcBorders>
              <w:top w:val="nil"/>
              <w:left w:val="nil"/>
              <w:bottom w:val="nil"/>
              <w:right w:val="nil"/>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C00C06" w:rsidRPr="00C436D9">
              <w:rPr>
                <w:color w:val="000000"/>
                <w:sz w:val="20"/>
                <w:szCs w:val="20"/>
              </w:rPr>
              <w:t>,0</w:t>
            </w:r>
            <w:r>
              <w:rPr>
                <w:color w:val="000000"/>
                <w:sz w:val="20"/>
                <w:szCs w:val="20"/>
              </w:rPr>
              <w:t>61</w:t>
            </w:r>
          </w:p>
        </w:tc>
        <w:tc>
          <w:tcPr>
            <w:tcW w:w="1251"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1276"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851"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1134"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r>
      <w:tr w:rsidR="00017FF5" w:rsidRPr="002B420B" w:rsidTr="00F904FD">
        <w:trPr>
          <w:trHeight w:val="300"/>
        </w:trPr>
        <w:tc>
          <w:tcPr>
            <w:tcW w:w="2283" w:type="dxa"/>
            <w:tcBorders>
              <w:top w:val="nil"/>
              <w:left w:val="nil"/>
              <w:bottom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Equity incentive CFO</w:t>
            </w:r>
          </w:p>
        </w:tc>
        <w:tc>
          <w:tcPr>
            <w:tcW w:w="1017" w:type="dxa"/>
            <w:tcBorders>
              <w:top w:val="nil"/>
              <w:left w:val="nil"/>
              <w:bottom w:val="nil"/>
              <w:right w:val="nil"/>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C00C06" w:rsidRPr="00C436D9">
              <w:rPr>
                <w:color w:val="000000"/>
                <w:sz w:val="20"/>
                <w:szCs w:val="20"/>
              </w:rPr>
              <w:t>,0</w:t>
            </w:r>
            <w:r>
              <w:rPr>
                <w:color w:val="000000"/>
                <w:sz w:val="20"/>
                <w:szCs w:val="20"/>
              </w:rPr>
              <w:t>63</w:t>
            </w:r>
          </w:p>
        </w:tc>
        <w:tc>
          <w:tcPr>
            <w:tcW w:w="1251" w:type="dxa"/>
            <w:tcBorders>
              <w:top w:val="nil"/>
              <w:left w:val="nil"/>
              <w:bottom w:val="nil"/>
              <w:right w:val="nil"/>
            </w:tcBorders>
            <w:shd w:val="clear" w:color="auto" w:fill="auto"/>
            <w:noWrap/>
            <w:vAlign w:val="bottom"/>
            <w:hideMark/>
          </w:tcPr>
          <w:p w:rsidR="002B420B" w:rsidRPr="00C436D9" w:rsidRDefault="002B420B" w:rsidP="00D83BEF">
            <w:pPr>
              <w:jc w:val="center"/>
              <w:rPr>
                <w:color w:val="000000"/>
                <w:sz w:val="20"/>
                <w:szCs w:val="20"/>
              </w:rPr>
            </w:pPr>
            <w:r w:rsidRPr="00C436D9">
              <w:rPr>
                <w:color w:val="000000"/>
                <w:sz w:val="20"/>
                <w:szCs w:val="20"/>
              </w:rPr>
              <w:t>,</w:t>
            </w:r>
            <w:r w:rsidR="00D83BEF">
              <w:rPr>
                <w:color w:val="000000"/>
                <w:sz w:val="20"/>
                <w:szCs w:val="20"/>
              </w:rPr>
              <w:t>553</w:t>
            </w:r>
            <w:r w:rsidRPr="00C436D9">
              <w:rPr>
                <w:color w:val="000000"/>
                <w:sz w:val="20"/>
                <w:szCs w:val="20"/>
              </w:rPr>
              <w:t>**</w:t>
            </w:r>
          </w:p>
        </w:tc>
        <w:tc>
          <w:tcPr>
            <w:tcW w:w="1276"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851"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1134"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r>
      <w:tr w:rsidR="00017FF5" w:rsidRPr="002B420B" w:rsidTr="00F904FD">
        <w:trPr>
          <w:trHeight w:val="300"/>
        </w:trPr>
        <w:tc>
          <w:tcPr>
            <w:tcW w:w="2283" w:type="dxa"/>
            <w:tcBorders>
              <w:top w:val="nil"/>
              <w:left w:val="nil"/>
              <w:bottom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EBTP</w:t>
            </w:r>
          </w:p>
        </w:tc>
        <w:tc>
          <w:tcPr>
            <w:tcW w:w="1017" w:type="dxa"/>
            <w:tcBorders>
              <w:top w:val="nil"/>
              <w:left w:val="nil"/>
              <w:bottom w:val="nil"/>
              <w:right w:val="nil"/>
            </w:tcBorders>
            <w:shd w:val="clear" w:color="auto" w:fill="auto"/>
            <w:noWrap/>
            <w:vAlign w:val="bottom"/>
            <w:hideMark/>
          </w:tcPr>
          <w:p w:rsidR="002B420B" w:rsidRPr="00C436D9" w:rsidRDefault="00BF2FC9" w:rsidP="002B420B">
            <w:pPr>
              <w:jc w:val="center"/>
              <w:rPr>
                <w:color w:val="000000"/>
                <w:sz w:val="20"/>
                <w:szCs w:val="20"/>
              </w:rPr>
            </w:pPr>
            <w:r>
              <w:rPr>
                <w:color w:val="000000"/>
                <w:sz w:val="20"/>
                <w:szCs w:val="20"/>
              </w:rPr>
              <w:t>,216</w:t>
            </w:r>
            <w:r w:rsidR="002B420B" w:rsidRPr="00C436D9">
              <w:rPr>
                <w:color w:val="000000"/>
                <w:sz w:val="20"/>
                <w:szCs w:val="20"/>
              </w:rPr>
              <w:t>*</w:t>
            </w:r>
            <w:r>
              <w:rPr>
                <w:color w:val="000000"/>
                <w:sz w:val="20"/>
                <w:szCs w:val="20"/>
              </w:rPr>
              <w:t>*</w:t>
            </w:r>
          </w:p>
        </w:tc>
        <w:tc>
          <w:tcPr>
            <w:tcW w:w="1251" w:type="dxa"/>
            <w:tcBorders>
              <w:top w:val="nil"/>
              <w:left w:val="nil"/>
              <w:bottom w:val="nil"/>
              <w:right w:val="nil"/>
            </w:tcBorders>
            <w:shd w:val="clear" w:color="auto" w:fill="auto"/>
            <w:noWrap/>
            <w:vAlign w:val="bottom"/>
            <w:hideMark/>
          </w:tcPr>
          <w:p w:rsidR="002B420B" w:rsidRPr="00C436D9" w:rsidRDefault="002B420B" w:rsidP="00D83BEF">
            <w:pPr>
              <w:jc w:val="center"/>
              <w:rPr>
                <w:color w:val="000000"/>
                <w:sz w:val="20"/>
                <w:szCs w:val="20"/>
              </w:rPr>
            </w:pPr>
            <w:r w:rsidRPr="00C436D9">
              <w:rPr>
                <w:color w:val="000000"/>
                <w:sz w:val="20"/>
                <w:szCs w:val="20"/>
              </w:rPr>
              <w:t>,</w:t>
            </w:r>
            <w:r w:rsidR="00D83BEF">
              <w:rPr>
                <w:color w:val="000000"/>
                <w:sz w:val="20"/>
                <w:szCs w:val="20"/>
              </w:rPr>
              <w:t>219**</w:t>
            </w:r>
          </w:p>
        </w:tc>
        <w:tc>
          <w:tcPr>
            <w:tcW w:w="1276" w:type="dxa"/>
            <w:tcBorders>
              <w:top w:val="nil"/>
              <w:left w:val="nil"/>
              <w:bottom w:val="nil"/>
              <w:right w:val="nil"/>
            </w:tcBorders>
            <w:shd w:val="clear" w:color="auto" w:fill="auto"/>
            <w:noWrap/>
            <w:vAlign w:val="bottom"/>
            <w:hideMark/>
          </w:tcPr>
          <w:p w:rsidR="002B420B" w:rsidRPr="00C436D9" w:rsidRDefault="00243535" w:rsidP="00D83BEF">
            <w:pPr>
              <w:jc w:val="center"/>
              <w:rPr>
                <w:color w:val="000000"/>
                <w:sz w:val="20"/>
                <w:szCs w:val="20"/>
              </w:rPr>
            </w:pPr>
            <w:r w:rsidRPr="00C436D9">
              <w:rPr>
                <w:color w:val="000000"/>
                <w:sz w:val="20"/>
                <w:szCs w:val="20"/>
              </w:rPr>
              <w:t>,0</w:t>
            </w:r>
            <w:r w:rsidR="00D83BEF">
              <w:rPr>
                <w:color w:val="000000"/>
                <w:sz w:val="20"/>
                <w:szCs w:val="20"/>
              </w:rPr>
              <w:t>33</w:t>
            </w:r>
          </w:p>
        </w:tc>
        <w:tc>
          <w:tcPr>
            <w:tcW w:w="851"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1134"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r>
      <w:tr w:rsidR="00017FF5" w:rsidRPr="002B420B" w:rsidTr="00F904FD">
        <w:trPr>
          <w:trHeight w:val="300"/>
        </w:trPr>
        <w:tc>
          <w:tcPr>
            <w:tcW w:w="2283" w:type="dxa"/>
            <w:tcBorders>
              <w:top w:val="nil"/>
              <w:left w:val="nil"/>
              <w:bottom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CAP Tier 1</w:t>
            </w:r>
          </w:p>
        </w:tc>
        <w:tc>
          <w:tcPr>
            <w:tcW w:w="1017" w:type="dxa"/>
            <w:tcBorders>
              <w:top w:val="nil"/>
              <w:left w:val="nil"/>
              <w:bottom w:val="nil"/>
              <w:right w:val="nil"/>
            </w:tcBorders>
            <w:shd w:val="clear" w:color="auto" w:fill="auto"/>
            <w:noWrap/>
            <w:vAlign w:val="bottom"/>
            <w:hideMark/>
          </w:tcPr>
          <w:p w:rsidR="002B420B" w:rsidRPr="00C436D9" w:rsidRDefault="00C00C06" w:rsidP="002B420B">
            <w:pPr>
              <w:jc w:val="center"/>
              <w:rPr>
                <w:color w:val="000000"/>
                <w:sz w:val="20"/>
                <w:szCs w:val="20"/>
              </w:rPr>
            </w:pPr>
            <w:r w:rsidRPr="00C436D9">
              <w:rPr>
                <w:color w:val="000000"/>
                <w:sz w:val="20"/>
                <w:szCs w:val="20"/>
              </w:rPr>
              <w:t>,</w:t>
            </w:r>
            <w:r w:rsidR="00BF2FC9">
              <w:rPr>
                <w:color w:val="000000"/>
                <w:sz w:val="20"/>
                <w:szCs w:val="20"/>
              </w:rPr>
              <w:t>024</w:t>
            </w:r>
          </w:p>
        </w:tc>
        <w:tc>
          <w:tcPr>
            <w:tcW w:w="1251" w:type="dxa"/>
            <w:tcBorders>
              <w:top w:val="nil"/>
              <w:left w:val="nil"/>
              <w:bottom w:val="nil"/>
              <w:right w:val="nil"/>
            </w:tcBorders>
            <w:shd w:val="clear" w:color="auto" w:fill="auto"/>
            <w:noWrap/>
            <w:vAlign w:val="bottom"/>
            <w:hideMark/>
          </w:tcPr>
          <w:p w:rsidR="002B420B" w:rsidRPr="00C436D9" w:rsidRDefault="002B420B" w:rsidP="00D83BEF">
            <w:pPr>
              <w:jc w:val="center"/>
              <w:rPr>
                <w:color w:val="000000"/>
                <w:sz w:val="20"/>
                <w:szCs w:val="20"/>
              </w:rPr>
            </w:pPr>
            <w:r w:rsidRPr="00C436D9">
              <w:rPr>
                <w:color w:val="000000"/>
                <w:sz w:val="20"/>
                <w:szCs w:val="20"/>
              </w:rPr>
              <w:t>,</w:t>
            </w:r>
            <w:r w:rsidR="00D83BEF">
              <w:rPr>
                <w:color w:val="000000"/>
                <w:sz w:val="20"/>
                <w:szCs w:val="20"/>
              </w:rPr>
              <w:t>228</w:t>
            </w:r>
            <w:r w:rsidRPr="00C436D9">
              <w:rPr>
                <w:color w:val="000000"/>
                <w:sz w:val="20"/>
                <w:szCs w:val="20"/>
              </w:rPr>
              <w:t>*</w:t>
            </w:r>
            <w:r w:rsidR="00D83BEF">
              <w:rPr>
                <w:color w:val="000000"/>
                <w:sz w:val="20"/>
                <w:szCs w:val="20"/>
              </w:rPr>
              <w:t>*</w:t>
            </w:r>
          </w:p>
        </w:tc>
        <w:tc>
          <w:tcPr>
            <w:tcW w:w="1276" w:type="dxa"/>
            <w:tcBorders>
              <w:top w:val="nil"/>
              <w:left w:val="nil"/>
              <w:bottom w:val="nil"/>
              <w:right w:val="nil"/>
            </w:tcBorders>
            <w:shd w:val="clear" w:color="auto" w:fill="auto"/>
            <w:noWrap/>
            <w:vAlign w:val="bottom"/>
            <w:hideMark/>
          </w:tcPr>
          <w:p w:rsidR="002B420B" w:rsidRPr="00C436D9" w:rsidRDefault="00D83BEF" w:rsidP="002B420B">
            <w:pPr>
              <w:jc w:val="center"/>
              <w:rPr>
                <w:color w:val="000000"/>
                <w:sz w:val="20"/>
                <w:szCs w:val="20"/>
              </w:rPr>
            </w:pPr>
            <w:r>
              <w:rPr>
                <w:color w:val="000000"/>
                <w:sz w:val="20"/>
                <w:szCs w:val="20"/>
              </w:rPr>
              <w:t>,192</w:t>
            </w:r>
            <w:r w:rsidR="002B420B" w:rsidRPr="00C436D9">
              <w:rPr>
                <w:color w:val="000000"/>
                <w:sz w:val="20"/>
                <w:szCs w:val="20"/>
              </w:rPr>
              <w:t>*</w:t>
            </w:r>
            <w:r>
              <w:rPr>
                <w:color w:val="000000"/>
                <w:sz w:val="20"/>
                <w:szCs w:val="20"/>
              </w:rPr>
              <w:t>*</w:t>
            </w:r>
          </w:p>
        </w:tc>
        <w:tc>
          <w:tcPr>
            <w:tcW w:w="851" w:type="dxa"/>
            <w:tcBorders>
              <w:top w:val="nil"/>
              <w:left w:val="nil"/>
              <w:bottom w:val="nil"/>
              <w:right w:val="nil"/>
            </w:tcBorders>
            <w:shd w:val="clear" w:color="auto" w:fill="auto"/>
            <w:noWrap/>
            <w:vAlign w:val="bottom"/>
            <w:hideMark/>
          </w:tcPr>
          <w:p w:rsidR="002B420B" w:rsidRPr="00C436D9" w:rsidRDefault="00C00C06" w:rsidP="00D83BEF">
            <w:pPr>
              <w:jc w:val="center"/>
              <w:rPr>
                <w:color w:val="000000"/>
                <w:sz w:val="20"/>
                <w:szCs w:val="20"/>
              </w:rPr>
            </w:pPr>
            <w:r w:rsidRPr="00C436D9">
              <w:rPr>
                <w:color w:val="000000"/>
                <w:sz w:val="20"/>
                <w:szCs w:val="20"/>
              </w:rPr>
              <w:t>,0</w:t>
            </w:r>
            <w:r w:rsidR="00D83BEF">
              <w:rPr>
                <w:color w:val="000000"/>
                <w:sz w:val="20"/>
                <w:szCs w:val="20"/>
              </w:rPr>
              <w:t>41</w:t>
            </w:r>
          </w:p>
        </w:tc>
        <w:tc>
          <w:tcPr>
            <w:tcW w:w="1134"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708"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2B420B" w:rsidRPr="00C436D9" w:rsidRDefault="002B420B" w:rsidP="002B420B">
            <w:pPr>
              <w:jc w:val="center"/>
              <w:rPr>
                <w:color w:val="000000"/>
                <w:sz w:val="20"/>
                <w:szCs w:val="20"/>
              </w:rPr>
            </w:pPr>
          </w:p>
        </w:tc>
      </w:tr>
      <w:tr w:rsidR="00017FF5" w:rsidRPr="002B420B" w:rsidTr="00CE2CDE">
        <w:trPr>
          <w:trHeight w:val="300"/>
        </w:trPr>
        <w:tc>
          <w:tcPr>
            <w:tcW w:w="2283" w:type="dxa"/>
            <w:tcBorders>
              <w:top w:val="nil"/>
              <w:left w:val="nil"/>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Size</w:t>
            </w:r>
          </w:p>
        </w:tc>
        <w:tc>
          <w:tcPr>
            <w:tcW w:w="1017" w:type="dxa"/>
            <w:tcBorders>
              <w:top w:val="nil"/>
              <w:left w:val="nil"/>
              <w:right w:val="nil"/>
            </w:tcBorders>
            <w:shd w:val="clear" w:color="auto" w:fill="auto"/>
            <w:noWrap/>
            <w:vAlign w:val="bottom"/>
            <w:hideMark/>
          </w:tcPr>
          <w:p w:rsidR="002B420B" w:rsidRPr="00C436D9" w:rsidRDefault="00C00C06" w:rsidP="00BF2FC9">
            <w:pPr>
              <w:jc w:val="center"/>
              <w:rPr>
                <w:color w:val="000000"/>
                <w:sz w:val="20"/>
                <w:szCs w:val="20"/>
              </w:rPr>
            </w:pPr>
            <w:r w:rsidRPr="00C436D9">
              <w:rPr>
                <w:color w:val="000000"/>
                <w:sz w:val="20"/>
                <w:szCs w:val="20"/>
              </w:rPr>
              <w:t>-,0</w:t>
            </w:r>
            <w:r w:rsidR="00BF2FC9">
              <w:rPr>
                <w:color w:val="000000"/>
                <w:sz w:val="20"/>
                <w:szCs w:val="20"/>
              </w:rPr>
              <w:t>32</w:t>
            </w:r>
          </w:p>
        </w:tc>
        <w:tc>
          <w:tcPr>
            <w:tcW w:w="1251" w:type="dxa"/>
            <w:tcBorders>
              <w:top w:val="nil"/>
              <w:left w:val="nil"/>
              <w:right w:val="nil"/>
            </w:tcBorders>
            <w:shd w:val="clear" w:color="auto" w:fill="auto"/>
            <w:noWrap/>
            <w:vAlign w:val="bottom"/>
            <w:hideMark/>
          </w:tcPr>
          <w:p w:rsidR="002B420B" w:rsidRPr="00C436D9" w:rsidRDefault="00D83BEF" w:rsidP="00D83BEF">
            <w:pPr>
              <w:jc w:val="center"/>
              <w:rPr>
                <w:color w:val="000000"/>
                <w:sz w:val="20"/>
                <w:szCs w:val="20"/>
              </w:rPr>
            </w:pPr>
            <w:r>
              <w:rPr>
                <w:color w:val="000000"/>
                <w:sz w:val="20"/>
                <w:szCs w:val="20"/>
              </w:rPr>
              <w:t>-</w:t>
            </w:r>
            <w:r w:rsidR="002B420B" w:rsidRPr="00C436D9">
              <w:rPr>
                <w:color w:val="000000"/>
                <w:sz w:val="20"/>
                <w:szCs w:val="20"/>
              </w:rPr>
              <w:t>,2</w:t>
            </w:r>
            <w:r>
              <w:rPr>
                <w:color w:val="000000"/>
                <w:sz w:val="20"/>
                <w:szCs w:val="20"/>
              </w:rPr>
              <w:t>69</w:t>
            </w:r>
            <w:r w:rsidR="002B420B" w:rsidRPr="00C436D9">
              <w:rPr>
                <w:color w:val="000000"/>
                <w:sz w:val="20"/>
                <w:szCs w:val="20"/>
              </w:rPr>
              <w:t>**</w:t>
            </w:r>
          </w:p>
        </w:tc>
        <w:tc>
          <w:tcPr>
            <w:tcW w:w="1276" w:type="dxa"/>
            <w:tcBorders>
              <w:top w:val="nil"/>
              <w:left w:val="nil"/>
              <w:right w:val="nil"/>
            </w:tcBorders>
            <w:shd w:val="clear" w:color="auto" w:fill="auto"/>
            <w:noWrap/>
            <w:vAlign w:val="bottom"/>
            <w:hideMark/>
          </w:tcPr>
          <w:p w:rsidR="002B420B" w:rsidRPr="00C436D9" w:rsidRDefault="002B420B" w:rsidP="00D83BEF">
            <w:pPr>
              <w:jc w:val="center"/>
              <w:rPr>
                <w:color w:val="000000"/>
                <w:sz w:val="20"/>
                <w:szCs w:val="20"/>
              </w:rPr>
            </w:pPr>
            <w:r w:rsidRPr="00C436D9">
              <w:rPr>
                <w:color w:val="000000"/>
                <w:sz w:val="20"/>
                <w:szCs w:val="20"/>
              </w:rPr>
              <w:t>-</w:t>
            </w:r>
            <w:r w:rsidR="00D83BEF">
              <w:rPr>
                <w:color w:val="000000"/>
                <w:sz w:val="20"/>
                <w:szCs w:val="20"/>
              </w:rPr>
              <w:t>,475</w:t>
            </w:r>
            <w:r w:rsidRPr="00C436D9">
              <w:rPr>
                <w:color w:val="000000"/>
                <w:sz w:val="20"/>
                <w:szCs w:val="20"/>
              </w:rPr>
              <w:t>**</w:t>
            </w:r>
          </w:p>
        </w:tc>
        <w:tc>
          <w:tcPr>
            <w:tcW w:w="851" w:type="dxa"/>
            <w:tcBorders>
              <w:top w:val="nil"/>
              <w:left w:val="nil"/>
              <w:right w:val="nil"/>
            </w:tcBorders>
            <w:shd w:val="clear" w:color="auto" w:fill="auto"/>
            <w:noWrap/>
            <w:vAlign w:val="bottom"/>
            <w:hideMark/>
          </w:tcPr>
          <w:p w:rsidR="002B420B" w:rsidRPr="00C436D9" w:rsidRDefault="00D83BEF" w:rsidP="002B420B">
            <w:pPr>
              <w:jc w:val="center"/>
              <w:rPr>
                <w:color w:val="000000"/>
                <w:sz w:val="20"/>
                <w:szCs w:val="20"/>
              </w:rPr>
            </w:pPr>
            <w:r>
              <w:rPr>
                <w:color w:val="000000"/>
                <w:sz w:val="20"/>
                <w:szCs w:val="20"/>
              </w:rPr>
              <w:t>,263</w:t>
            </w:r>
            <w:r w:rsidR="002B420B" w:rsidRPr="00C436D9">
              <w:rPr>
                <w:color w:val="000000"/>
                <w:sz w:val="20"/>
                <w:szCs w:val="20"/>
              </w:rPr>
              <w:t>**</w:t>
            </w:r>
          </w:p>
        </w:tc>
        <w:tc>
          <w:tcPr>
            <w:tcW w:w="1134" w:type="dxa"/>
            <w:tcBorders>
              <w:top w:val="nil"/>
              <w:left w:val="nil"/>
              <w:right w:val="nil"/>
            </w:tcBorders>
            <w:shd w:val="clear" w:color="auto" w:fill="auto"/>
            <w:noWrap/>
            <w:vAlign w:val="bottom"/>
            <w:hideMark/>
          </w:tcPr>
          <w:p w:rsidR="002B420B" w:rsidRPr="00C436D9" w:rsidRDefault="002B420B" w:rsidP="00D83BEF">
            <w:pPr>
              <w:jc w:val="center"/>
              <w:rPr>
                <w:color w:val="000000"/>
                <w:sz w:val="20"/>
                <w:szCs w:val="20"/>
              </w:rPr>
            </w:pPr>
            <w:r w:rsidRPr="00C436D9">
              <w:rPr>
                <w:color w:val="000000"/>
                <w:sz w:val="20"/>
                <w:szCs w:val="20"/>
              </w:rPr>
              <w:t>-,</w:t>
            </w:r>
            <w:r w:rsidR="00D83BEF">
              <w:rPr>
                <w:color w:val="000000"/>
                <w:sz w:val="20"/>
                <w:szCs w:val="20"/>
              </w:rPr>
              <w:t>100</w:t>
            </w:r>
          </w:p>
        </w:tc>
        <w:tc>
          <w:tcPr>
            <w:tcW w:w="708" w:type="dxa"/>
            <w:tcBorders>
              <w:top w:val="nil"/>
              <w:left w:val="nil"/>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c>
          <w:tcPr>
            <w:tcW w:w="637" w:type="dxa"/>
            <w:tcBorders>
              <w:top w:val="nil"/>
              <w:left w:val="nil"/>
              <w:right w:val="nil"/>
            </w:tcBorders>
            <w:shd w:val="clear" w:color="auto" w:fill="auto"/>
            <w:noWrap/>
            <w:vAlign w:val="bottom"/>
            <w:hideMark/>
          </w:tcPr>
          <w:p w:rsidR="002B420B" w:rsidRPr="00C436D9" w:rsidRDefault="002B420B" w:rsidP="002B420B">
            <w:pPr>
              <w:jc w:val="center"/>
              <w:rPr>
                <w:color w:val="000000"/>
                <w:sz w:val="20"/>
                <w:szCs w:val="20"/>
              </w:rPr>
            </w:pPr>
          </w:p>
        </w:tc>
      </w:tr>
      <w:tr w:rsidR="00017FF5" w:rsidRPr="002B420B" w:rsidTr="00CE2CDE">
        <w:trPr>
          <w:trHeight w:val="315"/>
        </w:trPr>
        <w:tc>
          <w:tcPr>
            <w:tcW w:w="2283" w:type="dxa"/>
            <w:tcBorders>
              <w:top w:val="nil"/>
              <w:left w:val="nil"/>
              <w:bottom w:val="double" w:sz="4" w:space="0" w:color="auto"/>
              <w:right w:val="single" w:sz="4" w:space="0" w:color="auto"/>
            </w:tcBorders>
            <w:shd w:val="clear" w:color="auto" w:fill="auto"/>
            <w:noWrap/>
            <w:vAlign w:val="bottom"/>
            <w:hideMark/>
          </w:tcPr>
          <w:p w:rsidR="002B420B" w:rsidRPr="00C436D9" w:rsidRDefault="002B420B" w:rsidP="002B420B">
            <w:pPr>
              <w:rPr>
                <w:color w:val="000000"/>
                <w:sz w:val="20"/>
                <w:szCs w:val="20"/>
              </w:rPr>
            </w:pPr>
            <w:r w:rsidRPr="00C436D9">
              <w:rPr>
                <w:color w:val="000000"/>
                <w:sz w:val="20"/>
                <w:szCs w:val="20"/>
              </w:rPr>
              <w:t>Tax</w:t>
            </w:r>
          </w:p>
        </w:tc>
        <w:tc>
          <w:tcPr>
            <w:tcW w:w="1017" w:type="dxa"/>
            <w:tcBorders>
              <w:top w:val="nil"/>
              <w:left w:val="single" w:sz="4" w:space="0" w:color="auto"/>
              <w:bottom w:val="double" w:sz="4" w:space="0" w:color="auto"/>
            </w:tcBorders>
            <w:shd w:val="clear" w:color="auto" w:fill="auto"/>
            <w:noWrap/>
            <w:vAlign w:val="bottom"/>
            <w:hideMark/>
          </w:tcPr>
          <w:p w:rsidR="002B420B" w:rsidRPr="00C436D9" w:rsidRDefault="00C00C06" w:rsidP="00BF2FC9">
            <w:pPr>
              <w:jc w:val="center"/>
              <w:rPr>
                <w:color w:val="000000"/>
                <w:sz w:val="20"/>
                <w:szCs w:val="20"/>
              </w:rPr>
            </w:pPr>
            <w:r w:rsidRPr="00C436D9">
              <w:rPr>
                <w:color w:val="000000"/>
                <w:sz w:val="20"/>
                <w:szCs w:val="20"/>
              </w:rPr>
              <w:t>,0</w:t>
            </w:r>
            <w:r w:rsidR="00BF2FC9">
              <w:rPr>
                <w:color w:val="000000"/>
                <w:sz w:val="20"/>
                <w:szCs w:val="20"/>
              </w:rPr>
              <w:t>33</w:t>
            </w:r>
          </w:p>
        </w:tc>
        <w:tc>
          <w:tcPr>
            <w:tcW w:w="1251" w:type="dxa"/>
            <w:tcBorders>
              <w:top w:val="nil"/>
              <w:bottom w:val="double" w:sz="4" w:space="0" w:color="auto"/>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2B420B" w:rsidRPr="00C436D9">
              <w:rPr>
                <w:color w:val="000000"/>
                <w:sz w:val="20"/>
                <w:szCs w:val="20"/>
              </w:rPr>
              <w:t>,0</w:t>
            </w:r>
            <w:r>
              <w:rPr>
                <w:color w:val="000000"/>
                <w:sz w:val="20"/>
                <w:szCs w:val="20"/>
              </w:rPr>
              <w:t>12</w:t>
            </w:r>
          </w:p>
        </w:tc>
        <w:tc>
          <w:tcPr>
            <w:tcW w:w="1276" w:type="dxa"/>
            <w:tcBorders>
              <w:top w:val="nil"/>
              <w:bottom w:val="double" w:sz="4" w:space="0" w:color="auto"/>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2B420B" w:rsidRPr="00C436D9">
              <w:rPr>
                <w:color w:val="000000"/>
                <w:sz w:val="20"/>
                <w:szCs w:val="20"/>
              </w:rPr>
              <w:t>,</w:t>
            </w:r>
            <w:r>
              <w:rPr>
                <w:color w:val="000000"/>
                <w:sz w:val="20"/>
                <w:szCs w:val="20"/>
              </w:rPr>
              <w:t>106</w:t>
            </w:r>
          </w:p>
        </w:tc>
        <w:tc>
          <w:tcPr>
            <w:tcW w:w="851" w:type="dxa"/>
            <w:tcBorders>
              <w:top w:val="nil"/>
              <w:bottom w:val="double" w:sz="4" w:space="0" w:color="auto"/>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243535" w:rsidRPr="00C436D9">
              <w:rPr>
                <w:color w:val="000000"/>
                <w:sz w:val="20"/>
                <w:szCs w:val="20"/>
              </w:rPr>
              <w:t>,</w:t>
            </w:r>
            <w:r>
              <w:rPr>
                <w:color w:val="000000"/>
                <w:sz w:val="20"/>
                <w:szCs w:val="20"/>
              </w:rPr>
              <w:t>224</w:t>
            </w:r>
            <w:r w:rsidR="002B420B" w:rsidRPr="00C436D9">
              <w:rPr>
                <w:color w:val="000000"/>
                <w:sz w:val="20"/>
                <w:szCs w:val="20"/>
              </w:rPr>
              <w:t>**</w:t>
            </w:r>
          </w:p>
        </w:tc>
        <w:tc>
          <w:tcPr>
            <w:tcW w:w="1134" w:type="dxa"/>
            <w:tcBorders>
              <w:top w:val="nil"/>
              <w:bottom w:val="double" w:sz="4" w:space="0" w:color="auto"/>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2B420B" w:rsidRPr="00C436D9">
              <w:rPr>
                <w:color w:val="000000"/>
                <w:sz w:val="20"/>
                <w:szCs w:val="20"/>
              </w:rPr>
              <w:t>,0</w:t>
            </w:r>
            <w:r>
              <w:rPr>
                <w:color w:val="000000"/>
                <w:sz w:val="20"/>
                <w:szCs w:val="20"/>
              </w:rPr>
              <w:t>86</w:t>
            </w:r>
          </w:p>
        </w:tc>
        <w:tc>
          <w:tcPr>
            <w:tcW w:w="708" w:type="dxa"/>
            <w:tcBorders>
              <w:top w:val="nil"/>
              <w:bottom w:val="double" w:sz="4" w:space="0" w:color="auto"/>
            </w:tcBorders>
            <w:shd w:val="clear" w:color="auto" w:fill="auto"/>
            <w:noWrap/>
            <w:vAlign w:val="bottom"/>
            <w:hideMark/>
          </w:tcPr>
          <w:p w:rsidR="002B420B" w:rsidRPr="00C436D9" w:rsidRDefault="00BF2FC9" w:rsidP="00BF2FC9">
            <w:pPr>
              <w:jc w:val="center"/>
              <w:rPr>
                <w:color w:val="000000"/>
                <w:sz w:val="20"/>
                <w:szCs w:val="20"/>
              </w:rPr>
            </w:pPr>
            <w:r>
              <w:rPr>
                <w:color w:val="000000"/>
                <w:sz w:val="20"/>
                <w:szCs w:val="20"/>
              </w:rPr>
              <w:t>-</w:t>
            </w:r>
            <w:r w:rsidR="002B420B" w:rsidRPr="00C436D9">
              <w:rPr>
                <w:color w:val="000000"/>
                <w:sz w:val="20"/>
                <w:szCs w:val="20"/>
              </w:rPr>
              <w:t>,0</w:t>
            </w:r>
            <w:r>
              <w:rPr>
                <w:color w:val="000000"/>
                <w:sz w:val="20"/>
                <w:szCs w:val="20"/>
              </w:rPr>
              <w:t>66</w:t>
            </w:r>
          </w:p>
        </w:tc>
        <w:tc>
          <w:tcPr>
            <w:tcW w:w="637" w:type="dxa"/>
            <w:tcBorders>
              <w:top w:val="nil"/>
              <w:bottom w:val="double" w:sz="4" w:space="0" w:color="auto"/>
              <w:right w:val="nil"/>
            </w:tcBorders>
            <w:shd w:val="clear" w:color="auto" w:fill="auto"/>
            <w:noWrap/>
            <w:vAlign w:val="bottom"/>
            <w:hideMark/>
          </w:tcPr>
          <w:p w:rsidR="002B420B" w:rsidRPr="00C436D9" w:rsidRDefault="002B420B" w:rsidP="002B420B">
            <w:pPr>
              <w:jc w:val="center"/>
              <w:rPr>
                <w:color w:val="000000"/>
                <w:sz w:val="20"/>
                <w:szCs w:val="20"/>
              </w:rPr>
            </w:pPr>
            <w:r w:rsidRPr="00C436D9">
              <w:rPr>
                <w:color w:val="000000"/>
                <w:sz w:val="20"/>
                <w:szCs w:val="20"/>
              </w:rPr>
              <w:t>1</w:t>
            </w:r>
          </w:p>
        </w:tc>
      </w:tr>
      <w:tr w:rsidR="00017FF5" w:rsidRPr="002B420B" w:rsidTr="00CE2CDE">
        <w:trPr>
          <w:trHeight w:val="50"/>
        </w:trPr>
        <w:tc>
          <w:tcPr>
            <w:tcW w:w="9157" w:type="dxa"/>
            <w:gridSpan w:val="8"/>
            <w:tcBorders>
              <w:top w:val="double" w:sz="4" w:space="0" w:color="auto"/>
              <w:left w:val="nil"/>
              <w:bottom w:val="single" w:sz="4" w:space="0" w:color="auto"/>
              <w:right w:val="nil"/>
            </w:tcBorders>
            <w:shd w:val="clear" w:color="auto" w:fill="auto"/>
            <w:noWrap/>
            <w:vAlign w:val="bottom"/>
            <w:hideMark/>
          </w:tcPr>
          <w:p w:rsidR="00CE2CDE" w:rsidRDefault="00CE2CDE" w:rsidP="002B420B">
            <w:pPr>
              <w:rPr>
                <w:color w:val="000000"/>
                <w:sz w:val="18"/>
                <w:szCs w:val="18"/>
              </w:rPr>
            </w:pPr>
          </w:p>
          <w:p w:rsidR="00017FF5" w:rsidRPr="00C436D9" w:rsidRDefault="00017FF5" w:rsidP="002B420B">
            <w:pPr>
              <w:rPr>
                <w:color w:val="000000"/>
                <w:sz w:val="18"/>
                <w:szCs w:val="18"/>
              </w:rPr>
            </w:pPr>
            <w:r w:rsidRPr="00C436D9">
              <w:rPr>
                <w:color w:val="000000"/>
                <w:sz w:val="18"/>
                <w:szCs w:val="18"/>
              </w:rPr>
              <w:t>** = Correlation is significant at the 0.01 level (1-tailed).</w:t>
            </w:r>
          </w:p>
        </w:tc>
      </w:tr>
    </w:tbl>
    <w:p w:rsidR="00327872" w:rsidRDefault="00327872" w:rsidP="00327872"/>
    <w:p w:rsidR="004754F0" w:rsidRDefault="00E57192" w:rsidP="00E57192">
      <w:pPr>
        <w:spacing w:line="360" w:lineRule="auto"/>
        <w:jc w:val="both"/>
        <w:rPr>
          <w:sz w:val="22"/>
          <w:szCs w:val="22"/>
        </w:rPr>
      </w:pPr>
      <w:r w:rsidRPr="00E57192">
        <w:rPr>
          <w:sz w:val="22"/>
          <w:szCs w:val="22"/>
        </w:rPr>
        <w:lastRenderedPageBreak/>
        <w:t>Panel A shows the descriptive statistics of DLLP</w:t>
      </w:r>
      <w:r w:rsidR="00E2230B">
        <w:rPr>
          <w:sz w:val="22"/>
          <w:szCs w:val="22"/>
        </w:rPr>
        <w:t xml:space="preserve"> and control variables</w:t>
      </w:r>
      <w:r w:rsidR="00F54918">
        <w:rPr>
          <w:sz w:val="22"/>
          <w:szCs w:val="22"/>
        </w:rPr>
        <w:t xml:space="preserve"> for the pre-SOX period</w:t>
      </w:r>
      <w:r w:rsidRPr="00E57192">
        <w:rPr>
          <w:sz w:val="22"/>
          <w:szCs w:val="22"/>
        </w:rPr>
        <w:t xml:space="preserve">. </w:t>
      </w:r>
      <w:r>
        <w:rPr>
          <w:sz w:val="22"/>
          <w:szCs w:val="22"/>
        </w:rPr>
        <w:t xml:space="preserve">The mean and median of DLLP are close to zero, but there is </w:t>
      </w:r>
      <w:r w:rsidR="004754F0">
        <w:rPr>
          <w:sz w:val="22"/>
          <w:szCs w:val="22"/>
        </w:rPr>
        <w:t xml:space="preserve">a substantial difference between </w:t>
      </w:r>
      <w:r>
        <w:rPr>
          <w:sz w:val="22"/>
          <w:szCs w:val="22"/>
        </w:rPr>
        <w:t>the lower quartile</w:t>
      </w:r>
      <w:r w:rsidR="00BE5C81">
        <w:rPr>
          <w:sz w:val="22"/>
          <w:szCs w:val="22"/>
        </w:rPr>
        <w:t xml:space="preserve"> -0,809</w:t>
      </w:r>
      <w:r w:rsidR="001906A4">
        <w:rPr>
          <w:sz w:val="22"/>
          <w:szCs w:val="22"/>
        </w:rPr>
        <w:t xml:space="preserve"> to +0,</w:t>
      </w:r>
      <w:r w:rsidR="00BE5C81">
        <w:rPr>
          <w:sz w:val="22"/>
          <w:szCs w:val="22"/>
        </w:rPr>
        <w:t>616</w:t>
      </w:r>
      <w:r w:rsidR="004754F0">
        <w:rPr>
          <w:sz w:val="22"/>
          <w:szCs w:val="22"/>
        </w:rPr>
        <w:t xml:space="preserve"> in the upper quartile.</w:t>
      </w:r>
      <w:r w:rsidR="00F54918" w:rsidRPr="00F54918">
        <w:rPr>
          <w:sz w:val="22"/>
          <w:szCs w:val="22"/>
        </w:rPr>
        <w:t xml:space="preserve"> </w:t>
      </w:r>
      <w:r w:rsidR="00F54918">
        <w:rPr>
          <w:sz w:val="22"/>
          <w:szCs w:val="22"/>
        </w:rPr>
        <w:t>Negative DLLP implies that earnings are managed upwards and positive DLLP implies downward earnings management</w:t>
      </w:r>
      <w:r w:rsidR="00F54918" w:rsidRPr="00E57192">
        <w:rPr>
          <w:sz w:val="22"/>
          <w:szCs w:val="22"/>
        </w:rPr>
        <w:t xml:space="preserve">. </w:t>
      </w:r>
      <w:r w:rsidR="000270B6">
        <w:rPr>
          <w:sz w:val="22"/>
          <w:szCs w:val="22"/>
        </w:rPr>
        <w:t xml:space="preserve">On average, the sample of bank-years shows that earnings </w:t>
      </w:r>
      <w:r w:rsidR="00BE5C81">
        <w:rPr>
          <w:sz w:val="22"/>
          <w:szCs w:val="22"/>
        </w:rPr>
        <w:t>before tax and provisions are 21</w:t>
      </w:r>
      <w:r w:rsidR="00666522">
        <w:rPr>
          <w:sz w:val="22"/>
          <w:szCs w:val="22"/>
        </w:rPr>
        <w:t>,</w:t>
      </w:r>
      <w:r w:rsidR="00B752B9">
        <w:rPr>
          <w:sz w:val="22"/>
          <w:szCs w:val="22"/>
        </w:rPr>
        <w:t>5</w:t>
      </w:r>
      <w:r w:rsidR="00CA1A36">
        <w:rPr>
          <w:sz w:val="22"/>
          <w:szCs w:val="22"/>
        </w:rPr>
        <w:t xml:space="preserve"> percent</w:t>
      </w:r>
      <w:r w:rsidR="000270B6">
        <w:rPr>
          <w:sz w:val="22"/>
          <w:szCs w:val="22"/>
        </w:rPr>
        <w:t xml:space="preserve"> of book value of equity; </w:t>
      </w:r>
      <w:r w:rsidR="00666522">
        <w:rPr>
          <w:sz w:val="22"/>
          <w:szCs w:val="22"/>
        </w:rPr>
        <w:t>Tier 1 capital is 9,</w:t>
      </w:r>
      <w:r w:rsidR="00BE5C81">
        <w:rPr>
          <w:sz w:val="22"/>
          <w:szCs w:val="22"/>
        </w:rPr>
        <w:t>493</w:t>
      </w:r>
      <w:r w:rsidR="00CA1A36">
        <w:rPr>
          <w:sz w:val="22"/>
          <w:szCs w:val="22"/>
        </w:rPr>
        <w:t xml:space="preserve"> percent of total assets; market value </w:t>
      </w:r>
      <w:r w:rsidR="00E2230B">
        <w:rPr>
          <w:sz w:val="22"/>
          <w:szCs w:val="22"/>
        </w:rPr>
        <w:t>is $</w:t>
      </w:r>
      <w:r w:rsidR="00BE5C81">
        <w:rPr>
          <w:sz w:val="22"/>
          <w:szCs w:val="22"/>
        </w:rPr>
        <w:t>8</w:t>
      </w:r>
      <w:r w:rsidR="00666522">
        <w:rPr>
          <w:sz w:val="22"/>
          <w:szCs w:val="22"/>
        </w:rPr>
        <w:t>,</w:t>
      </w:r>
      <w:r w:rsidR="00BE5C81">
        <w:rPr>
          <w:sz w:val="22"/>
          <w:szCs w:val="22"/>
        </w:rPr>
        <w:t>7</w:t>
      </w:r>
      <w:r w:rsidR="00666522">
        <w:rPr>
          <w:sz w:val="22"/>
          <w:szCs w:val="22"/>
        </w:rPr>
        <w:t xml:space="preserve"> billion with a median of $</w:t>
      </w:r>
      <w:r w:rsidR="00BE5C81">
        <w:rPr>
          <w:sz w:val="22"/>
          <w:szCs w:val="22"/>
        </w:rPr>
        <w:t>2</w:t>
      </w:r>
      <w:r w:rsidR="00666522">
        <w:rPr>
          <w:sz w:val="22"/>
          <w:szCs w:val="22"/>
        </w:rPr>
        <w:t>,</w:t>
      </w:r>
      <w:r w:rsidR="00BE5C81">
        <w:rPr>
          <w:sz w:val="22"/>
          <w:szCs w:val="22"/>
        </w:rPr>
        <w:t>2</w:t>
      </w:r>
      <w:r w:rsidR="004F0A0D">
        <w:rPr>
          <w:sz w:val="22"/>
          <w:szCs w:val="22"/>
        </w:rPr>
        <w:t xml:space="preserve"> billion</w:t>
      </w:r>
      <w:r w:rsidR="00CA1A36">
        <w:rPr>
          <w:sz w:val="22"/>
          <w:szCs w:val="22"/>
        </w:rPr>
        <w:t xml:space="preserve">; and the average tax rate is </w:t>
      </w:r>
      <w:r w:rsidR="00BE5C81">
        <w:rPr>
          <w:sz w:val="22"/>
          <w:szCs w:val="22"/>
        </w:rPr>
        <w:t>35</w:t>
      </w:r>
      <w:r w:rsidR="00666522">
        <w:rPr>
          <w:sz w:val="22"/>
          <w:szCs w:val="22"/>
        </w:rPr>
        <w:t>,</w:t>
      </w:r>
      <w:r w:rsidR="00BE5C81">
        <w:rPr>
          <w:sz w:val="22"/>
          <w:szCs w:val="22"/>
        </w:rPr>
        <w:t>2</w:t>
      </w:r>
      <w:r w:rsidR="00CA1A36">
        <w:rPr>
          <w:sz w:val="22"/>
          <w:szCs w:val="22"/>
        </w:rPr>
        <w:t>%.</w:t>
      </w:r>
    </w:p>
    <w:p w:rsidR="004754F0" w:rsidRDefault="004754F0" w:rsidP="00E57192">
      <w:pPr>
        <w:spacing w:line="360" w:lineRule="auto"/>
        <w:jc w:val="both"/>
        <w:rPr>
          <w:sz w:val="22"/>
          <w:szCs w:val="22"/>
        </w:rPr>
      </w:pPr>
    </w:p>
    <w:p w:rsidR="007E3DD5" w:rsidRDefault="00CE2CDE" w:rsidP="00E57192">
      <w:pPr>
        <w:spacing w:line="360" w:lineRule="auto"/>
        <w:jc w:val="both"/>
        <w:rPr>
          <w:sz w:val="22"/>
          <w:szCs w:val="22"/>
        </w:rPr>
      </w:pPr>
      <w:r>
        <w:rPr>
          <w:sz w:val="22"/>
          <w:szCs w:val="22"/>
        </w:rPr>
        <w:t>Panel B of table 6</w:t>
      </w:r>
      <w:r w:rsidR="004754F0">
        <w:rPr>
          <w:sz w:val="22"/>
          <w:szCs w:val="22"/>
        </w:rPr>
        <w:t xml:space="preserve"> reports the Pearson</w:t>
      </w:r>
      <w:r w:rsidR="00245A1F">
        <w:rPr>
          <w:sz w:val="22"/>
          <w:szCs w:val="22"/>
        </w:rPr>
        <w:t xml:space="preserve"> correlation coefficients </w:t>
      </w:r>
      <w:r w:rsidR="00CA1A36">
        <w:rPr>
          <w:sz w:val="22"/>
          <w:szCs w:val="22"/>
        </w:rPr>
        <w:t>between</w:t>
      </w:r>
      <w:r w:rsidR="00245A1F">
        <w:rPr>
          <w:sz w:val="22"/>
          <w:szCs w:val="22"/>
        </w:rPr>
        <w:t xml:space="preserve"> DLLP</w:t>
      </w:r>
      <w:r w:rsidR="00CA1A36">
        <w:rPr>
          <w:sz w:val="22"/>
          <w:szCs w:val="22"/>
        </w:rPr>
        <w:t>, equity incentives</w:t>
      </w:r>
      <w:r w:rsidR="00EE3A6B">
        <w:rPr>
          <w:sz w:val="22"/>
          <w:szCs w:val="22"/>
        </w:rPr>
        <w:t xml:space="preserve"> and the control variables. </w:t>
      </w:r>
      <w:r w:rsidR="00F54918">
        <w:rPr>
          <w:sz w:val="22"/>
          <w:szCs w:val="22"/>
        </w:rPr>
        <w:t xml:space="preserve">CEO equity incentives as well as CFO equity incentives </w:t>
      </w:r>
      <w:r w:rsidR="00B752B9">
        <w:rPr>
          <w:sz w:val="22"/>
          <w:szCs w:val="22"/>
        </w:rPr>
        <w:t>a</w:t>
      </w:r>
      <w:r w:rsidR="00F54918">
        <w:rPr>
          <w:sz w:val="22"/>
          <w:szCs w:val="22"/>
        </w:rPr>
        <w:t>re</w:t>
      </w:r>
      <w:r w:rsidR="00B752B9">
        <w:rPr>
          <w:sz w:val="22"/>
          <w:szCs w:val="22"/>
        </w:rPr>
        <w:t xml:space="preserve"> </w:t>
      </w:r>
      <w:r w:rsidR="00BE5C81">
        <w:rPr>
          <w:sz w:val="22"/>
          <w:szCs w:val="22"/>
        </w:rPr>
        <w:t>negative</w:t>
      </w:r>
      <w:r w:rsidR="00F54918">
        <w:rPr>
          <w:sz w:val="22"/>
          <w:szCs w:val="22"/>
        </w:rPr>
        <w:t>ly</w:t>
      </w:r>
      <w:r w:rsidR="00D6665F">
        <w:rPr>
          <w:sz w:val="22"/>
          <w:szCs w:val="22"/>
        </w:rPr>
        <w:t xml:space="preserve"> correlated </w:t>
      </w:r>
      <w:r w:rsidR="00F54918">
        <w:rPr>
          <w:sz w:val="22"/>
          <w:szCs w:val="22"/>
        </w:rPr>
        <w:t xml:space="preserve">with DLLP, but </w:t>
      </w:r>
      <w:r w:rsidR="00B752B9">
        <w:rPr>
          <w:sz w:val="22"/>
          <w:szCs w:val="22"/>
        </w:rPr>
        <w:t>t</w:t>
      </w:r>
      <w:r w:rsidR="00D6665F">
        <w:rPr>
          <w:sz w:val="22"/>
          <w:szCs w:val="22"/>
        </w:rPr>
        <w:t xml:space="preserve">he test results are </w:t>
      </w:r>
      <w:r w:rsidR="00B752B9">
        <w:rPr>
          <w:sz w:val="22"/>
          <w:szCs w:val="22"/>
        </w:rPr>
        <w:t xml:space="preserve">found </w:t>
      </w:r>
      <w:r w:rsidR="00D6665F">
        <w:rPr>
          <w:sz w:val="22"/>
          <w:szCs w:val="22"/>
        </w:rPr>
        <w:t>insignificant</w:t>
      </w:r>
      <w:r w:rsidR="00F54918">
        <w:rPr>
          <w:sz w:val="22"/>
          <w:szCs w:val="22"/>
        </w:rPr>
        <w:t xml:space="preserve"> with a</w:t>
      </w:r>
      <w:r w:rsidR="00D6665F">
        <w:rPr>
          <w:sz w:val="22"/>
          <w:szCs w:val="22"/>
        </w:rPr>
        <w:t xml:space="preserve"> p-valu</w:t>
      </w:r>
      <w:r w:rsidR="00666522">
        <w:rPr>
          <w:sz w:val="22"/>
          <w:szCs w:val="22"/>
        </w:rPr>
        <w:t xml:space="preserve">e </w:t>
      </w:r>
      <w:r w:rsidR="00F54918">
        <w:rPr>
          <w:sz w:val="22"/>
          <w:szCs w:val="22"/>
        </w:rPr>
        <w:t xml:space="preserve">of </w:t>
      </w:r>
      <w:r w:rsidR="00F54918" w:rsidRPr="00666522">
        <w:rPr>
          <w:sz w:val="22"/>
          <w:szCs w:val="22"/>
        </w:rPr>
        <w:t>0,</w:t>
      </w:r>
      <w:r w:rsidR="00F54918">
        <w:rPr>
          <w:sz w:val="22"/>
          <w:szCs w:val="22"/>
        </w:rPr>
        <w:t>189 for CEO equity incentive</w:t>
      </w:r>
      <w:r w:rsidR="00666522">
        <w:rPr>
          <w:sz w:val="22"/>
          <w:szCs w:val="22"/>
        </w:rPr>
        <w:t xml:space="preserve"> and 0,</w:t>
      </w:r>
      <w:r w:rsidR="00BE5C81">
        <w:rPr>
          <w:sz w:val="22"/>
          <w:szCs w:val="22"/>
        </w:rPr>
        <w:t>182</w:t>
      </w:r>
      <w:r w:rsidR="00D6665F">
        <w:rPr>
          <w:sz w:val="22"/>
          <w:szCs w:val="22"/>
        </w:rPr>
        <w:t xml:space="preserve"> for CFO equity incentive. </w:t>
      </w:r>
      <w:r w:rsidR="00BE5C81">
        <w:rPr>
          <w:sz w:val="22"/>
          <w:szCs w:val="22"/>
        </w:rPr>
        <w:t>Next to it</w:t>
      </w:r>
      <w:r w:rsidR="00D6665F">
        <w:rPr>
          <w:sz w:val="22"/>
          <w:szCs w:val="22"/>
        </w:rPr>
        <w:t xml:space="preserve">, </w:t>
      </w:r>
      <w:r w:rsidR="00B752B9">
        <w:rPr>
          <w:sz w:val="22"/>
          <w:szCs w:val="22"/>
        </w:rPr>
        <w:t>DLLP</w:t>
      </w:r>
      <w:r w:rsidR="00C436D9">
        <w:rPr>
          <w:sz w:val="22"/>
          <w:szCs w:val="22"/>
        </w:rPr>
        <w:t xml:space="preserve"> is positively correlated to </w:t>
      </w:r>
      <w:r w:rsidR="00AF6EF2">
        <w:rPr>
          <w:sz w:val="22"/>
          <w:szCs w:val="22"/>
        </w:rPr>
        <w:t>performance</w:t>
      </w:r>
      <w:r w:rsidR="005E51A4">
        <w:rPr>
          <w:sz w:val="22"/>
          <w:szCs w:val="22"/>
        </w:rPr>
        <w:t>, capital ratio</w:t>
      </w:r>
      <w:r w:rsidR="00AF6EF2">
        <w:rPr>
          <w:sz w:val="22"/>
          <w:szCs w:val="22"/>
        </w:rPr>
        <w:t xml:space="preserve"> and tax. A</w:t>
      </w:r>
      <w:r w:rsidR="00CA1A36">
        <w:rPr>
          <w:sz w:val="22"/>
          <w:szCs w:val="22"/>
        </w:rPr>
        <w:t xml:space="preserve"> negative</w:t>
      </w:r>
      <w:r w:rsidR="00483C76">
        <w:rPr>
          <w:sz w:val="22"/>
          <w:szCs w:val="22"/>
        </w:rPr>
        <w:t xml:space="preserve"> </w:t>
      </w:r>
      <w:r w:rsidR="00CA1A36">
        <w:rPr>
          <w:sz w:val="22"/>
          <w:szCs w:val="22"/>
        </w:rPr>
        <w:t>correlation</w:t>
      </w:r>
      <w:r w:rsidR="00245A1F">
        <w:rPr>
          <w:sz w:val="22"/>
          <w:szCs w:val="22"/>
        </w:rPr>
        <w:t xml:space="preserve"> </w:t>
      </w:r>
      <w:r w:rsidR="00AF6EF2">
        <w:rPr>
          <w:sz w:val="22"/>
          <w:szCs w:val="22"/>
        </w:rPr>
        <w:t>is found between DLLP and firm size.</w:t>
      </w:r>
      <w:r w:rsidR="00EE3A6B">
        <w:rPr>
          <w:sz w:val="22"/>
          <w:szCs w:val="22"/>
        </w:rPr>
        <w:t xml:space="preserve"> </w:t>
      </w:r>
      <w:r w:rsidR="00E727A2">
        <w:rPr>
          <w:sz w:val="22"/>
          <w:szCs w:val="22"/>
        </w:rPr>
        <w:t xml:space="preserve">The correlation test is performed one-tailed, because the predicted relationship in the hypotheses is directional (positive or negative). </w:t>
      </w:r>
      <w:r w:rsidR="00151D6F">
        <w:rPr>
          <w:sz w:val="22"/>
          <w:szCs w:val="22"/>
        </w:rPr>
        <w:t>Nevertheless, caution must be taken in the interpretation of the correlation coefficients, because the</w:t>
      </w:r>
      <w:r w:rsidR="00C436D9">
        <w:rPr>
          <w:sz w:val="22"/>
          <w:szCs w:val="22"/>
        </w:rPr>
        <w:t xml:space="preserve"> variables</w:t>
      </w:r>
      <w:r w:rsidR="00151D6F">
        <w:rPr>
          <w:sz w:val="22"/>
          <w:szCs w:val="22"/>
        </w:rPr>
        <w:t xml:space="preserve"> give only an indication of a linear relationship and not the direction of causality. We can only conclude (in an example of variables A and B) that A goes up as B goes down, but cannot say that A causes B to go down.</w:t>
      </w:r>
      <w:r w:rsidR="007E3DD5">
        <w:rPr>
          <w:sz w:val="22"/>
          <w:szCs w:val="22"/>
        </w:rPr>
        <w:t xml:space="preserve"> </w:t>
      </w:r>
    </w:p>
    <w:p w:rsidR="007E3DD5" w:rsidRDefault="007E3DD5" w:rsidP="00E57192">
      <w:pPr>
        <w:spacing w:line="360" w:lineRule="auto"/>
        <w:jc w:val="both"/>
        <w:rPr>
          <w:sz w:val="22"/>
          <w:szCs w:val="22"/>
        </w:rPr>
      </w:pPr>
    </w:p>
    <w:p w:rsidR="00D6665F" w:rsidRDefault="007E3DD5" w:rsidP="00E57192">
      <w:pPr>
        <w:spacing w:line="360" w:lineRule="auto"/>
        <w:jc w:val="both"/>
        <w:rPr>
          <w:sz w:val="22"/>
          <w:szCs w:val="22"/>
        </w:rPr>
      </w:pPr>
      <w:r>
        <w:rPr>
          <w:sz w:val="22"/>
          <w:szCs w:val="22"/>
        </w:rPr>
        <w:t>In the second stage of the research, a regression is performed where DLLP is a function of equity incentives and the control variables. The results are presented in the table below:</w:t>
      </w:r>
    </w:p>
    <w:p w:rsidR="007E3DD5" w:rsidRDefault="007E3DD5" w:rsidP="00E57192">
      <w:pPr>
        <w:spacing w:line="360" w:lineRule="auto"/>
        <w:jc w:val="both"/>
        <w:rPr>
          <w:sz w:val="22"/>
          <w:szCs w:val="22"/>
        </w:rPr>
      </w:pPr>
    </w:p>
    <w:p w:rsidR="005611CF" w:rsidRPr="005611CF" w:rsidRDefault="00154A43" w:rsidP="007E3DD5">
      <w:pPr>
        <w:jc w:val="center"/>
        <w:rPr>
          <w:b/>
          <w:sz w:val="22"/>
          <w:szCs w:val="22"/>
        </w:rPr>
      </w:pPr>
      <w:r>
        <w:rPr>
          <w:b/>
          <w:sz w:val="22"/>
          <w:szCs w:val="22"/>
        </w:rPr>
        <w:t>Table 7</w:t>
      </w:r>
    </w:p>
    <w:p w:rsidR="005611CF" w:rsidRDefault="005611CF" w:rsidP="007E3DD5">
      <w:pPr>
        <w:jc w:val="center"/>
        <w:rPr>
          <w:sz w:val="22"/>
          <w:szCs w:val="22"/>
        </w:rPr>
      </w:pPr>
      <w:r>
        <w:rPr>
          <w:sz w:val="22"/>
          <w:szCs w:val="22"/>
        </w:rPr>
        <w:t>Regression analysis of DLLP and equity incentives</w:t>
      </w:r>
      <w:r w:rsidR="005971E5">
        <w:rPr>
          <w:sz w:val="22"/>
          <w:szCs w:val="22"/>
        </w:rPr>
        <w:t xml:space="preserve"> pre-SOX</w:t>
      </w:r>
      <w:r w:rsidR="00226EAD">
        <w:rPr>
          <w:sz w:val="22"/>
          <w:szCs w:val="22"/>
        </w:rPr>
        <w:t xml:space="preserve"> (N=212)</w:t>
      </w:r>
    </w:p>
    <w:tbl>
      <w:tblPr>
        <w:tblW w:w="8262" w:type="dxa"/>
        <w:jc w:val="center"/>
        <w:tblInd w:w="-1054" w:type="dxa"/>
        <w:tblCellMar>
          <w:left w:w="70" w:type="dxa"/>
          <w:right w:w="70" w:type="dxa"/>
        </w:tblCellMar>
        <w:tblLook w:val="04A0"/>
      </w:tblPr>
      <w:tblGrid>
        <w:gridCol w:w="2580"/>
        <w:gridCol w:w="1835"/>
        <w:gridCol w:w="2005"/>
        <w:gridCol w:w="1842"/>
      </w:tblGrid>
      <w:tr w:rsidR="009653B4" w:rsidRPr="009653B4" w:rsidTr="00512A62">
        <w:trPr>
          <w:trHeight w:val="330"/>
          <w:jc w:val="center"/>
        </w:trPr>
        <w:tc>
          <w:tcPr>
            <w:tcW w:w="2580" w:type="dxa"/>
            <w:tcBorders>
              <w:top w:val="double" w:sz="6" w:space="0" w:color="auto"/>
              <w:left w:val="nil"/>
              <w:bottom w:val="single" w:sz="8" w:space="0" w:color="auto"/>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Variables</w:t>
            </w:r>
          </w:p>
        </w:tc>
        <w:tc>
          <w:tcPr>
            <w:tcW w:w="1835" w:type="dxa"/>
            <w:tcBorders>
              <w:top w:val="double" w:sz="6" w:space="0" w:color="auto"/>
              <w:left w:val="nil"/>
              <w:bottom w:val="single" w:sz="8" w:space="0" w:color="auto"/>
              <w:right w:val="nil"/>
            </w:tcBorders>
            <w:shd w:val="clear" w:color="auto" w:fill="auto"/>
            <w:noWrap/>
            <w:vAlign w:val="bottom"/>
            <w:hideMark/>
          </w:tcPr>
          <w:p w:rsidR="009653B4" w:rsidRPr="009653B4" w:rsidRDefault="009653B4" w:rsidP="009653B4">
            <w:pPr>
              <w:jc w:val="center"/>
              <w:rPr>
                <w:color w:val="000000"/>
                <w:sz w:val="20"/>
                <w:szCs w:val="20"/>
                <w:lang w:val="nl-NL"/>
              </w:rPr>
            </w:pPr>
            <w:r w:rsidRPr="009653B4">
              <w:rPr>
                <w:color w:val="000000"/>
                <w:sz w:val="20"/>
                <w:szCs w:val="20"/>
              </w:rPr>
              <w:t>(1)</w:t>
            </w:r>
          </w:p>
        </w:tc>
        <w:tc>
          <w:tcPr>
            <w:tcW w:w="2005" w:type="dxa"/>
            <w:tcBorders>
              <w:top w:val="double" w:sz="6" w:space="0" w:color="auto"/>
              <w:left w:val="nil"/>
              <w:bottom w:val="single" w:sz="8" w:space="0" w:color="auto"/>
              <w:right w:val="nil"/>
            </w:tcBorders>
            <w:shd w:val="clear" w:color="auto" w:fill="auto"/>
            <w:noWrap/>
            <w:vAlign w:val="bottom"/>
            <w:hideMark/>
          </w:tcPr>
          <w:p w:rsidR="009653B4" w:rsidRPr="009653B4" w:rsidRDefault="009653B4" w:rsidP="009653B4">
            <w:pPr>
              <w:jc w:val="center"/>
              <w:rPr>
                <w:color w:val="000000"/>
                <w:sz w:val="20"/>
                <w:szCs w:val="20"/>
                <w:lang w:val="nl-NL"/>
              </w:rPr>
            </w:pPr>
            <w:r w:rsidRPr="009653B4">
              <w:rPr>
                <w:color w:val="000000"/>
                <w:sz w:val="20"/>
                <w:szCs w:val="20"/>
              </w:rPr>
              <w:t>(2)</w:t>
            </w:r>
          </w:p>
        </w:tc>
        <w:tc>
          <w:tcPr>
            <w:tcW w:w="1842" w:type="dxa"/>
            <w:tcBorders>
              <w:top w:val="double" w:sz="6" w:space="0" w:color="auto"/>
              <w:left w:val="nil"/>
              <w:bottom w:val="single" w:sz="8" w:space="0" w:color="auto"/>
              <w:right w:val="nil"/>
            </w:tcBorders>
            <w:shd w:val="clear" w:color="auto" w:fill="auto"/>
            <w:noWrap/>
            <w:vAlign w:val="bottom"/>
            <w:hideMark/>
          </w:tcPr>
          <w:p w:rsidR="009653B4" w:rsidRPr="009653B4" w:rsidRDefault="009653B4" w:rsidP="009653B4">
            <w:pPr>
              <w:jc w:val="center"/>
              <w:rPr>
                <w:color w:val="000000"/>
                <w:sz w:val="20"/>
                <w:szCs w:val="20"/>
                <w:lang w:val="nl-NL"/>
              </w:rPr>
            </w:pPr>
            <w:r w:rsidRPr="009653B4">
              <w:rPr>
                <w:color w:val="000000"/>
                <w:sz w:val="20"/>
                <w:szCs w:val="20"/>
              </w:rPr>
              <w:t>(3)</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Equity incentive CEO</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-0,107</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 </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-0,086</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,016</w:t>
            </w:r>
            <w:r>
              <w:rPr>
                <w:rFonts w:ascii="Calibri" w:hAnsi="Calibri" w:cs="Calibri"/>
                <w:color w:val="000000"/>
                <w:sz w:val="22"/>
                <w:szCs w:val="22"/>
                <w:lang w:val="nl-NL"/>
              </w:rPr>
              <w:t>)</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,087</w:t>
            </w:r>
            <w:r>
              <w:rPr>
                <w:rFonts w:ascii="Calibri" w:hAnsi="Calibri" w:cs="Calibri"/>
                <w:color w:val="000000"/>
                <w:sz w:val="22"/>
                <w:szCs w:val="22"/>
                <w:lang w:val="nl-NL"/>
              </w:rPr>
              <w:t>)</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Equity incentive CFO</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-0,488</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-0,257</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,057</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,372</w:t>
            </w:r>
            <w:r>
              <w:rPr>
                <w:rFonts w:ascii="Calibri" w:hAnsi="Calibri" w:cs="Calibri"/>
                <w:color w:val="000000"/>
                <w:sz w:val="22"/>
                <w:szCs w:val="22"/>
                <w:lang w:val="nl-NL"/>
              </w:rPr>
              <w:t>)</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EBTP</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5,896</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5,248</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5,899</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,000</w:t>
            </w:r>
            <w:r>
              <w:rPr>
                <w:rFonts w:ascii="Calibri" w:hAnsi="Calibri" w:cs="Calibri"/>
                <w:color w:val="000000"/>
                <w:sz w:val="22"/>
                <w:szCs w:val="22"/>
                <w:lang w:val="nl-NL"/>
              </w:rPr>
              <w:t>)</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,000</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,000</w:t>
            </w:r>
            <w:r>
              <w:rPr>
                <w:rFonts w:ascii="Calibri" w:hAnsi="Calibri" w:cs="Calibri"/>
                <w:color w:val="000000"/>
                <w:sz w:val="22"/>
                <w:szCs w:val="22"/>
                <w:lang w:val="nl-NL"/>
              </w:rPr>
              <w:t>)</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CAP Tier 1</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0,025</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0,017</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0,027</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,513</w:t>
            </w:r>
            <w:r>
              <w:rPr>
                <w:rFonts w:ascii="Calibri" w:hAnsi="Calibri" w:cs="Calibri"/>
                <w:color w:val="000000"/>
                <w:sz w:val="22"/>
                <w:szCs w:val="22"/>
                <w:lang w:val="nl-NL"/>
              </w:rPr>
              <w:t>)</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,656</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,482</w:t>
            </w:r>
            <w:r>
              <w:rPr>
                <w:rFonts w:ascii="Calibri" w:hAnsi="Calibri" w:cs="Calibri"/>
                <w:color w:val="000000"/>
                <w:sz w:val="22"/>
                <w:szCs w:val="22"/>
                <w:lang w:val="nl-NL"/>
              </w:rPr>
              <w:t>)</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Size</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-0,184</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-0,205</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-0,219</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,039</w:t>
            </w:r>
            <w:r>
              <w:rPr>
                <w:rFonts w:ascii="Calibri" w:hAnsi="Calibri" w:cs="Calibri"/>
                <w:color w:val="000000"/>
                <w:sz w:val="22"/>
                <w:szCs w:val="22"/>
                <w:lang w:val="nl-NL"/>
              </w:rPr>
              <w:t>)</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,036</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9653B4" w:rsidRPr="009653B4" w:rsidRDefault="007507BD"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009653B4" w:rsidRPr="009653B4">
              <w:rPr>
                <w:rFonts w:ascii="Calibri" w:hAnsi="Calibri" w:cs="Calibri"/>
                <w:color w:val="000000"/>
                <w:sz w:val="22"/>
                <w:szCs w:val="22"/>
                <w:lang w:val="nl-NL"/>
              </w:rPr>
              <w:t>,025</w:t>
            </w:r>
            <w:r>
              <w:rPr>
                <w:rFonts w:ascii="Calibri" w:hAnsi="Calibri" w:cs="Calibri"/>
                <w:color w:val="000000"/>
                <w:sz w:val="22"/>
                <w:szCs w:val="22"/>
                <w:lang w:val="nl-NL"/>
              </w:rPr>
              <w:t>)</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Tax</w:t>
            </w:r>
          </w:p>
        </w:tc>
        <w:tc>
          <w:tcPr>
            <w:tcW w:w="183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1,803</w:t>
            </w:r>
          </w:p>
        </w:tc>
        <w:tc>
          <w:tcPr>
            <w:tcW w:w="2005"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1,352</w:t>
            </w:r>
          </w:p>
        </w:tc>
        <w:tc>
          <w:tcPr>
            <w:tcW w:w="1842" w:type="dxa"/>
            <w:tcBorders>
              <w:top w:val="nil"/>
              <w:left w:val="nil"/>
              <w:bottom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1,623</w:t>
            </w:r>
          </w:p>
        </w:tc>
      </w:tr>
      <w:tr w:rsidR="009653B4" w:rsidRPr="009653B4" w:rsidTr="00512A62">
        <w:trPr>
          <w:trHeight w:val="300"/>
          <w:jc w:val="center"/>
        </w:trPr>
        <w:tc>
          <w:tcPr>
            <w:tcW w:w="2580" w:type="dxa"/>
            <w:tcBorders>
              <w:top w:val="nil"/>
              <w:left w:val="nil"/>
              <w:bottom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9653B4" w:rsidRPr="009653B4" w:rsidRDefault="007507BD" w:rsidP="007507BD">
            <w:pPr>
              <w:jc w:val="center"/>
              <w:rPr>
                <w:rFonts w:ascii="Calibri" w:hAnsi="Calibri" w:cs="Calibri"/>
                <w:color w:val="000000"/>
                <w:sz w:val="22"/>
                <w:szCs w:val="22"/>
                <w:lang w:val="nl-NL"/>
              </w:rPr>
            </w:pPr>
            <w:r>
              <w:rPr>
                <w:rFonts w:ascii="Calibri" w:hAnsi="Calibri" w:cs="Calibri"/>
                <w:color w:val="000000"/>
                <w:sz w:val="22"/>
                <w:szCs w:val="22"/>
                <w:lang w:val="nl-NL"/>
              </w:rPr>
              <w:t>(,</w:t>
            </w:r>
            <w:r w:rsidR="009653B4" w:rsidRPr="009653B4">
              <w:rPr>
                <w:rFonts w:ascii="Calibri" w:hAnsi="Calibri" w:cs="Calibri"/>
                <w:color w:val="000000"/>
                <w:sz w:val="22"/>
                <w:szCs w:val="22"/>
                <w:lang w:val="nl-NL"/>
              </w:rPr>
              <w:t>165</w:t>
            </w:r>
            <w:r>
              <w:rPr>
                <w:rFonts w:ascii="Calibri" w:hAnsi="Calibri" w:cs="Calibri"/>
                <w:color w:val="000000"/>
                <w:sz w:val="22"/>
                <w:szCs w:val="22"/>
                <w:lang w:val="nl-NL"/>
              </w:rPr>
              <w:t>)</w:t>
            </w:r>
          </w:p>
        </w:tc>
        <w:tc>
          <w:tcPr>
            <w:tcW w:w="2005" w:type="dxa"/>
            <w:tcBorders>
              <w:top w:val="nil"/>
              <w:left w:val="nil"/>
              <w:bottom w:val="nil"/>
              <w:right w:val="nil"/>
            </w:tcBorders>
            <w:shd w:val="clear" w:color="auto" w:fill="auto"/>
            <w:noWrap/>
            <w:vAlign w:val="bottom"/>
            <w:hideMark/>
          </w:tcPr>
          <w:p w:rsidR="009653B4" w:rsidRPr="009653B4" w:rsidRDefault="007507BD"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009653B4" w:rsidRPr="009653B4">
              <w:rPr>
                <w:rFonts w:ascii="Calibri" w:hAnsi="Calibri" w:cs="Calibri"/>
                <w:color w:val="000000"/>
                <w:sz w:val="22"/>
                <w:szCs w:val="22"/>
                <w:lang w:val="nl-NL"/>
              </w:rPr>
              <w:t>,303</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9653B4" w:rsidRPr="009653B4" w:rsidRDefault="007507BD" w:rsidP="009653B4">
            <w:pPr>
              <w:jc w:val="center"/>
              <w:rPr>
                <w:rFonts w:ascii="Calibri" w:hAnsi="Calibri" w:cs="Calibri"/>
                <w:color w:val="000000"/>
                <w:sz w:val="22"/>
                <w:szCs w:val="22"/>
                <w:lang w:val="nl-NL"/>
              </w:rPr>
            </w:pPr>
            <w:r>
              <w:rPr>
                <w:rFonts w:ascii="Calibri" w:hAnsi="Calibri" w:cs="Calibri"/>
                <w:color w:val="000000"/>
                <w:sz w:val="22"/>
                <w:szCs w:val="22"/>
                <w:lang w:val="nl-NL"/>
              </w:rPr>
              <w:t>(</w:t>
            </w:r>
            <w:r w:rsidR="009653B4" w:rsidRPr="009653B4">
              <w:rPr>
                <w:rFonts w:ascii="Calibri" w:hAnsi="Calibri" w:cs="Calibri"/>
                <w:color w:val="000000"/>
                <w:sz w:val="22"/>
                <w:szCs w:val="22"/>
                <w:lang w:val="nl-NL"/>
              </w:rPr>
              <w:t>,217</w:t>
            </w:r>
            <w:r>
              <w:rPr>
                <w:rFonts w:ascii="Calibri" w:hAnsi="Calibri" w:cs="Calibri"/>
                <w:color w:val="000000"/>
                <w:sz w:val="22"/>
                <w:szCs w:val="22"/>
                <w:lang w:val="nl-NL"/>
              </w:rPr>
              <w:t>)</w:t>
            </w:r>
          </w:p>
        </w:tc>
      </w:tr>
      <w:tr w:rsidR="009653B4" w:rsidRPr="009653B4" w:rsidTr="000412AD">
        <w:trPr>
          <w:trHeight w:val="618"/>
          <w:jc w:val="center"/>
        </w:trPr>
        <w:tc>
          <w:tcPr>
            <w:tcW w:w="2580" w:type="dxa"/>
            <w:tcBorders>
              <w:top w:val="nil"/>
              <w:left w:val="nil"/>
              <w:right w:val="single" w:sz="8"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R-square</w:t>
            </w:r>
          </w:p>
        </w:tc>
        <w:tc>
          <w:tcPr>
            <w:tcW w:w="1835" w:type="dxa"/>
            <w:tcBorders>
              <w:top w:val="nil"/>
              <w:left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0,088</w:t>
            </w:r>
          </w:p>
        </w:tc>
        <w:tc>
          <w:tcPr>
            <w:tcW w:w="2005" w:type="dxa"/>
            <w:tcBorders>
              <w:top w:val="nil"/>
              <w:left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0,079</w:t>
            </w:r>
          </w:p>
        </w:tc>
        <w:tc>
          <w:tcPr>
            <w:tcW w:w="1842" w:type="dxa"/>
            <w:tcBorders>
              <w:top w:val="nil"/>
              <w:left w:val="nil"/>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0,092</w:t>
            </w:r>
          </w:p>
        </w:tc>
      </w:tr>
      <w:tr w:rsidR="009653B4" w:rsidRPr="009653B4" w:rsidTr="000412AD">
        <w:trPr>
          <w:trHeight w:val="284"/>
          <w:jc w:val="center"/>
        </w:trPr>
        <w:tc>
          <w:tcPr>
            <w:tcW w:w="2580" w:type="dxa"/>
            <w:tcBorders>
              <w:top w:val="nil"/>
              <w:left w:val="nil"/>
              <w:bottom w:val="double" w:sz="4" w:space="0" w:color="auto"/>
              <w:right w:val="single" w:sz="4" w:space="0" w:color="auto"/>
            </w:tcBorders>
            <w:shd w:val="clear" w:color="auto" w:fill="auto"/>
            <w:noWrap/>
            <w:vAlign w:val="bottom"/>
            <w:hideMark/>
          </w:tcPr>
          <w:p w:rsidR="009653B4" w:rsidRPr="009653B4" w:rsidRDefault="009653B4" w:rsidP="009653B4">
            <w:pPr>
              <w:rPr>
                <w:color w:val="000000"/>
                <w:sz w:val="20"/>
                <w:szCs w:val="20"/>
                <w:lang w:val="nl-NL"/>
              </w:rPr>
            </w:pPr>
            <w:r w:rsidRPr="009653B4">
              <w:rPr>
                <w:color w:val="000000"/>
                <w:sz w:val="20"/>
                <w:szCs w:val="20"/>
              </w:rPr>
              <w:t>Adjusted R-square</w:t>
            </w:r>
          </w:p>
        </w:tc>
        <w:tc>
          <w:tcPr>
            <w:tcW w:w="1835" w:type="dxa"/>
            <w:tcBorders>
              <w:top w:val="nil"/>
              <w:left w:val="single" w:sz="4" w:space="0" w:color="auto"/>
              <w:bottom w:val="double" w:sz="4" w:space="0" w:color="auto"/>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0,066</w:t>
            </w:r>
          </w:p>
        </w:tc>
        <w:tc>
          <w:tcPr>
            <w:tcW w:w="2005" w:type="dxa"/>
            <w:tcBorders>
              <w:top w:val="nil"/>
              <w:bottom w:val="double" w:sz="4" w:space="0" w:color="auto"/>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0,056</w:t>
            </w:r>
          </w:p>
        </w:tc>
        <w:tc>
          <w:tcPr>
            <w:tcW w:w="1842" w:type="dxa"/>
            <w:tcBorders>
              <w:top w:val="nil"/>
              <w:bottom w:val="double" w:sz="4" w:space="0" w:color="auto"/>
              <w:right w:val="nil"/>
            </w:tcBorders>
            <w:shd w:val="clear" w:color="auto" w:fill="auto"/>
            <w:noWrap/>
            <w:vAlign w:val="bottom"/>
            <w:hideMark/>
          </w:tcPr>
          <w:p w:rsidR="009653B4" w:rsidRPr="009653B4" w:rsidRDefault="009653B4" w:rsidP="009653B4">
            <w:pPr>
              <w:jc w:val="center"/>
              <w:rPr>
                <w:rFonts w:ascii="Calibri" w:hAnsi="Calibri" w:cs="Calibri"/>
                <w:color w:val="000000"/>
                <w:sz w:val="22"/>
                <w:szCs w:val="22"/>
                <w:lang w:val="nl-NL"/>
              </w:rPr>
            </w:pPr>
            <w:r w:rsidRPr="009653B4">
              <w:rPr>
                <w:rFonts w:ascii="Calibri" w:hAnsi="Calibri" w:cs="Calibri"/>
                <w:color w:val="000000"/>
                <w:sz w:val="22"/>
                <w:szCs w:val="22"/>
                <w:lang w:val="nl-NL"/>
              </w:rPr>
              <w:t>0,065</w:t>
            </w:r>
          </w:p>
        </w:tc>
      </w:tr>
    </w:tbl>
    <w:p w:rsidR="007E3DD5" w:rsidRDefault="00154A43" w:rsidP="007E3DD5">
      <w:pPr>
        <w:spacing w:line="360" w:lineRule="auto"/>
        <w:jc w:val="both"/>
        <w:rPr>
          <w:sz w:val="22"/>
          <w:szCs w:val="22"/>
        </w:rPr>
      </w:pPr>
      <w:r>
        <w:rPr>
          <w:sz w:val="22"/>
          <w:szCs w:val="22"/>
        </w:rPr>
        <w:lastRenderedPageBreak/>
        <w:t>Table 7</w:t>
      </w:r>
      <w:r w:rsidR="007E3DD5">
        <w:rPr>
          <w:sz w:val="22"/>
          <w:szCs w:val="22"/>
        </w:rPr>
        <w:t xml:space="preserve"> presents the </w:t>
      </w:r>
      <w:r w:rsidR="00646849">
        <w:rPr>
          <w:sz w:val="22"/>
          <w:szCs w:val="22"/>
        </w:rPr>
        <w:t xml:space="preserve">results of </w:t>
      </w:r>
      <w:r w:rsidR="007E3DD5">
        <w:rPr>
          <w:sz w:val="22"/>
          <w:szCs w:val="22"/>
        </w:rPr>
        <w:t>regression coefficients for the pre-SOX period.</w:t>
      </w:r>
      <w:r w:rsidR="007E3DD5" w:rsidRPr="00F16099">
        <w:rPr>
          <w:sz w:val="22"/>
          <w:szCs w:val="22"/>
        </w:rPr>
        <w:t xml:space="preserve"> </w:t>
      </w:r>
      <w:r w:rsidR="007E3DD5">
        <w:rPr>
          <w:sz w:val="22"/>
          <w:szCs w:val="22"/>
        </w:rPr>
        <w:t>Columns (1) and (2) show that both CEO and CFO equity incentive ratios are significant negatively associated with discretio</w:t>
      </w:r>
      <w:r w:rsidR="00A93EAD">
        <w:rPr>
          <w:sz w:val="22"/>
          <w:szCs w:val="22"/>
        </w:rPr>
        <w:t>nary loan loss provisions in</w:t>
      </w:r>
      <w:r w:rsidR="007E3DD5">
        <w:rPr>
          <w:sz w:val="22"/>
          <w:szCs w:val="22"/>
        </w:rPr>
        <w:t xml:space="preserve"> pre-SOX. This implies that a higher equity incentive ratios leads to lower DLLP and thus increase earnings. Interestingly, the CFO coefficient is four times larger than that of the CEO. In column (3) the CEO and CFO equity incentives are jointly included in the regression. </w:t>
      </w:r>
      <w:r w:rsidR="00646849">
        <w:rPr>
          <w:sz w:val="22"/>
          <w:szCs w:val="22"/>
        </w:rPr>
        <w:t>It shows that</w:t>
      </w:r>
      <w:r w:rsidR="007E3DD5">
        <w:rPr>
          <w:sz w:val="22"/>
          <w:szCs w:val="22"/>
        </w:rPr>
        <w:t xml:space="preserve"> CFO equity incentive is three times as large as the CEO equity incentive</w:t>
      </w:r>
      <w:r w:rsidR="00646849">
        <w:rPr>
          <w:sz w:val="22"/>
          <w:szCs w:val="22"/>
        </w:rPr>
        <w:t>, but the results of equity incentive coefficients are found insignificant.</w:t>
      </w:r>
      <w:r w:rsidR="007E3DD5">
        <w:rPr>
          <w:sz w:val="22"/>
          <w:szCs w:val="22"/>
        </w:rPr>
        <w:t xml:space="preserve"> Furthermore,</w:t>
      </w:r>
      <w:r w:rsidR="00646849">
        <w:rPr>
          <w:sz w:val="22"/>
          <w:szCs w:val="22"/>
        </w:rPr>
        <w:t xml:space="preserve"> the overall finding is that</w:t>
      </w:r>
      <w:r w:rsidR="007E3DD5">
        <w:rPr>
          <w:sz w:val="22"/>
          <w:szCs w:val="22"/>
        </w:rPr>
        <w:t xml:space="preserve"> banks with more earnings before tax and provisions tend to overstate loan loss provisions. The capital ratio and tax paid are also found positively correlated with DLLP, but are not significant. Larger banks are associated with lower DLLPs. With these findings we can test hypotheses</w:t>
      </w:r>
      <w:r w:rsidR="00B235D1">
        <w:rPr>
          <w:sz w:val="22"/>
          <w:szCs w:val="22"/>
        </w:rPr>
        <w:t xml:space="preserve"> </w:t>
      </w:r>
      <w:r w:rsidR="00646849">
        <w:rPr>
          <w:sz w:val="22"/>
          <w:szCs w:val="22"/>
        </w:rPr>
        <w:t xml:space="preserve">1 and </w:t>
      </w:r>
      <w:r w:rsidR="0092697E">
        <w:rPr>
          <w:sz w:val="22"/>
          <w:szCs w:val="22"/>
        </w:rPr>
        <w:t>2</w:t>
      </w:r>
      <w:r w:rsidR="00646849">
        <w:rPr>
          <w:sz w:val="22"/>
          <w:szCs w:val="22"/>
        </w:rPr>
        <w:t xml:space="preserve"> for the pre-SOX period, which </w:t>
      </w:r>
      <w:r w:rsidR="00B235D1">
        <w:rPr>
          <w:sz w:val="22"/>
          <w:szCs w:val="22"/>
        </w:rPr>
        <w:t xml:space="preserve">are formulated as: </w:t>
      </w:r>
    </w:p>
    <w:p w:rsidR="00B235D1" w:rsidRDefault="00B235D1" w:rsidP="007E3DD5">
      <w:pPr>
        <w:spacing w:line="360" w:lineRule="auto"/>
        <w:jc w:val="both"/>
        <w:rPr>
          <w:sz w:val="22"/>
          <w:szCs w:val="22"/>
        </w:rPr>
      </w:pPr>
    </w:p>
    <w:p w:rsidR="00B235D1" w:rsidRDefault="00B235D1" w:rsidP="000D303D">
      <w:pPr>
        <w:pStyle w:val="Lijstalinea"/>
        <w:spacing w:after="120" w:line="360" w:lineRule="auto"/>
        <w:contextualSpacing w:val="0"/>
        <w:jc w:val="both"/>
        <w:rPr>
          <w:sz w:val="22"/>
          <w:szCs w:val="22"/>
        </w:rPr>
      </w:pPr>
      <w:r w:rsidRPr="00B235D1">
        <w:rPr>
          <w:b/>
          <w:sz w:val="22"/>
          <w:szCs w:val="22"/>
        </w:rPr>
        <w:t>H</w:t>
      </w:r>
      <w:r w:rsidRPr="00B235D1">
        <w:rPr>
          <w:b/>
          <w:sz w:val="22"/>
          <w:szCs w:val="22"/>
          <w:vertAlign w:val="subscript"/>
        </w:rPr>
        <w:t>1</w:t>
      </w:r>
      <w:r w:rsidRPr="00B235D1">
        <w:rPr>
          <w:b/>
          <w:sz w:val="22"/>
          <w:szCs w:val="22"/>
        </w:rPr>
        <w:t>:</w:t>
      </w:r>
      <w:r w:rsidRPr="00B235D1">
        <w:rPr>
          <w:sz w:val="22"/>
          <w:szCs w:val="22"/>
        </w:rPr>
        <w:t xml:space="preserve"> There is a positive association between CEO equity incentive and earnings management in the pre-SOX period of the banking industry.</w:t>
      </w:r>
    </w:p>
    <w:p w:rsidR="00B235D1" w:rsidRPr="00B235D1" w:rsidRDefault="00B235D1" w:rsidP="000D303D">
      <w:pPr>
        <w:pStyle w:val="Lijstalinea"/>
        <w:spacing w:before="120" w:line="360" w:lineRule="auto"/>
        <w:jc w:val="both"/>
        <w:rPr>
          <w:sz w:val="22"/>
          <w:szCs w:val="22"/>
        </w:rPr>
      </w:pPr>
      <w:r w:rsidRPr="00B235D1">
        <w:rPr>
          <w:b/>
          <w:sz w:val="22"/>
          <w:szCs w:val="22"/>
        </w:rPr>
        <w:t>H</w:t>
      </w:r>
      <w:r w:rsidR="0092697E">
        <w:rPr>
          <w:b/>
          <w:sz w:val="22"/>
          <w:szCs w:val="22"/>
          <w:vertAlign w:val="subscript"/>
        </w:rPr>
        <w:t>2</w:t>
      </w:r>
      <w:r w:rsidRPr="00B235D1">
        <w:rPr>
          <w:b/>
          <w:sz w:val="22"/>
          <w:szCs w:val="22"/>
        </w:rPr>
        <w:t>:</w:t>
      </w:r>
      <w:r w:rsidRPr="00B235D1">
        <w:rPr>
          <w:sz w:val="22"/>
          <w:szCs w:val="22"/>
        </w:rPr>
        <w:t xml:space="preserve"> There is a positive association between CFO equity incentive and earnings management in the pre-SOX period of the banking industry.</w:t>
      </w:r>
    </w:p>
    <w:p w:rsidR="004C6C2D" w:rsidRDefault="004C6C2D" w:rsidP="00E57192">
      <w:pPr>
        <w:spacing w:line="360" w:lineRule="auto"/>
        <w:jc w:val="both"/>
        <w:rPr>
          <w:sz w:val="22"/>
          <w:szCs w:val="22"/>
        </w:rPr>
      </w:pPr>
    </w:p>
    <w:p w:rsidR="00512A62" w:rsidRDefault="00B235D1" w:rsidP="00E57192">
      <w:pPr>
        <w:spacing w:line="360" w:lineRule="auto"/>
        <w:jc w:val="both"/>
        <w:rPr>
          <w:sz w:val="22"/>
          <w:szCs w:val="22"/>
        </w:rPr>
      </w:pPr>
      <w:r>
        <w:rPr>
          <w:sz w:val="22"/>
          <w:szCs w:val="22"/>
        </w:rPr>
        <w:t xml:space="preserve">A negative equity incentive coefficient implies upward earnings management. Therefore, the hypotheses 1 and </w:t>
      </w:r>
      <w:r w:rsidR="0092697E">
        <w:rPr>
          <w:sz w:val="22"/>
          <w:szCs w:val="22"/>
        </w:rPr>
        <w:t>2</w:t>
      </w:r>
      <w:r>
        <w:rPr>
          <w:sz w:val="22"/>
          <w:szCs w:val="22"/>
        </w:rPr>
        <w:t xml:space="preserve"> where CEO and CFO equity incentives are predicted to be positively associated with earnings management </w:t>
      </w:r>
      <w:r w:rsidR="0092697E">
        <w:rPr>
          <w:sz w:val="22"/>
          <w:szCs w:val="22"/>
        </w:rPr>
        <w:t>are</w:t>
      </w:r>
      <w:r>
        <w:rPr>
          <w:sz w:val="22"/>
          <w:szCs w:val="22"/>
        </w:rPr>
        <w:t xml:space="preserve"> accepted.</w:t>
      </w:r>
    </w:p>
    <w:p w:rsidR="00B235D1" w:rsidRDefault="00B235D1" w:rsidP="00E57192">
      <w:pPr>
        <w:spacing w:line="360" w:lineRule="auto"/>
        <w:jc w:val="both"/>
        <w:rPr>
          <w:sz w:val="22"/>
          <w:szCs w:val="22"/>
        </w:rPr>
      </w:pPr>
    </w:p>
    <w:p w:rsidR="00B235D1" w:rsidRDefault="00145921" w:rsidP="00B235D1">
      <w:pPr>
        <w:pStyle w:val="Kop2"/>
      </w:pPr>
      <w:bookmarkStart w:id="63" w:name="_Toc287614192"/>
      <w:r>
        <w:t>7</w:t>
      </w:r>
      <w:r w:rsidR="00B4318D" w:rsidRPr="00C90028">
        <w:t xml:space="preserve">.3 </w:t>
      </w:r>
      <w:r w:rsidR="00B235D1">
        <w:t>Evidence of earnings management using LLP in</w:t>
      </w:r>
      <w:r w:rsidR="00B235D1" w:rsidRPr="00B235D1">
        <w:t xml:space="preserve"> </w:t>
      </w:r>
      <w:r w:rsidR="00B235D1">
        <w:t>post-SOX</w:t>
      </w:r>
      <w:bookmarkEnd w:id="63"/>
    </w:p>
    <w:p w:rsidR="00113958" w:rsidRDefault="00060302" w:rsidP="00B235D1">
      <w:pPr>
        <w:spacing w:line="360" w:lineRule="auto"/>
        <w:jc w:val="both"/>
        <w:rPr>
          <w:sz w:val="22"/>
          <w:szCs w:val="22"/>
        </w:rPr>
      </w:pPr>
      <w:r>
        <w:rPr>
          <w:sz w:val="22"/>
          <w:szCs w:val="22"/>
        </w:rPr>
        <w:t xml:space="preserve">As in the previous section, </w:t>
      </w:r>
      <w:r w:rsidR="007D69F0">
        <w:rPr>
          <w:sz w:val="22"/>
          <w:szCs w:val="22"/>
        </w:rPr>
        <w:t xml:space="preserve">the discretionary components </w:t>
      </w:r>
      <w:r w:rsidR="002563D7">
        <w:rPr>
          <w:sz w:val="22"/>
          <w:szCs w:val="22"/>
        </w:rPr>
        <w:t xml:space="preserve">are </w:t>
      </w:r>
      <w:r w:rsidR="007D69F0">
        <w:rPr>
          <w:sz w:val="22"/>
          <w:szCs w:val="22"/>
        </w:rPr>
        <w:t>estimated as the residuals of the regression between LLP and the nondiscretionary variables</w:t>
      </w:r>
      <w:r w:rsidR="002563D7">
        <w:rPr>
          <w:sz w:val="22"/>
          <w:szCs w:val="22"/>
        </w:rPr>
        <w:t xml:space="preserve"> in the first stage</w:t>
      </w:r>
      <w:r w:rsidR="007D69F0">
        <w:rPr>
          <w:sz w:val="22"/>
          <w:szCs w:val="22"/>
        </w:rPr>
        <w:t xml:space="preserve">. </w:t>
      </w:r>
      <w:r w:rsidR="009A118E">
        <w:rPr>
          <w:sz w:val="22"/>
          <w:szCs w:val="22"/>
        </w:rPr>
        <w:t>The t</w:t>
      </w:r>
      <w:r w:rsidR="007D69F0">
        <w:rPr>
          <w:sz w:val="22"/>
          <w:szCs w:val="22"/>
        </w:rPr>
        <w:t xml:space="preserve">able </w:t>
      </w:r>
      <w:r w:rsidR="002563D7">
        <w:rPr>
          <w:sz w:val="22"/>
          <w:szCs w:val="22"/>
        </w:rPr>
        <w:t xml:space="preserve">below </w:t>
      </w:r>
      <w:r w:rsidR="007D69F0">
        <w:rPr>
          <w:sz w:val="22"/>
          <w:szCs w:val="22"/>
        </w:rPr>
        <w:t xml:space="preserve">shows the regression coefficients </w:t>
      </w:r>
      <w:r w:rsidR="002563D7">
        <w:rPr>
          <w:sz w:val="22"/>
          <w:szCs w:val="22"/>
        </w:rPr>
        <w:t>using 524 bank-years in the period 2002-2008</w:t>
      </w:r>
      <w:r w:rsidR="007D69F0">
        <w:rPr>
          <w:sz w:val="22"/>
          <w:szCs w:val="22"/>
        </w:rPr>
        <w:t>:</w:t>
      </w:r>
    </w:p>
    <w:p w:rsidR="00B235D1" w:rsidRDefault="00B235D1" w:rsidP="00B235D1">
      <w:pPr>
        <w:spacing w:line="360" w:lineRule="auto"/>
        <w:jc w:val="both"/>
        <w:rPr>
          <w:sz w:val="22"/>
          <w:szCs w:val="22"/>
        </w:rPr>
      </w:pPr>
    </w:p>
    <w:tbl>
      <w:tblPr>
        <w:tblpPr w:leftFromText="141" w:rightFromText="141" w:vertAnchor="text" w:horzAnchor="margin" w:tblpXSpec="center" w:tblpY="-65"/>
        <w:tblW w:w="7669" w:type="dxa"/>
        <w:tblCellMar>
          <w:left w:w="70" w:type="dxa"/>
          <w:right w:w="70" w:type="dxa"/>
        </w:tblCellMar>
        <w:tblLook w:val="04A0"/>
      </w:tblPr>
      <w:tblGrid>
        <w:gridCol w:w="1886"/>
        <w:gridCol w:w="383"/>
        <w:gridCol w:w="1276"/>
        <w:gridCol w:w="141"/>
        <w:gridCol w:w="1418"/>
        <w:gridCol w:w="533"/>
        <w:gridCol w:w="244"/>
        <w:gridCol w:w="371"/>
        <w:gridCol w:w="1417"/>
      </w:tblGrid>
      <w:tr w:rsidR="00060302" w:rsidRPr="008E455B" w:rsidTr="008B689A">
        <w:trPr>
          <w:trHeight w:val="300"/>
        </w:trPr>
        <w:tc>
          <w:tcPr>
            <w:tcW w:w="1886" w:type="dxa"/>
            <w:tcBorders>
              <w:top w:val="nil"/>
              <w:left w:val="nil"/>
              <w:bottom w:val="nil"/>
              <w:right w:val="nil"/>
            </w:tcBorders>
            <w:shd w:val="clear" w:color="auto" w:fill="auto"/>
            <w:noWrap/>
            <w:vAlign w:val="bottom"/>
            <w:hideMark/>
          </w:tcPr>
          <w:p w:rsidR="00060302" w:rsidRPr="008E455B" w:rsidRDefault="00060302" w:rsidP="008B689A">
            <w:pPr>
              <w:rPr>
                <w:color w:val="000000"/>
                <w:sz w:val="18"/>
                <w:szCs w:val="18"/>
              </w:rPr>
            </w:pPr>
          </w:p>
        </w:tc>
        <w:tc>
          <w:tcPr>
            <w:tcW w:w="3751" w:type="dxa"/>
            <w:gridSpan w:val="5"/>
            <w:tcBorders>
              <w:top w:val="nil"/>
              <w:left w:val="nil"/>
              <w:bottom w:val="nil"/>
              <w:right w:val="nil"/>
            </w:tcBorders>
            <w:shd w:val="clear" w:color="auto" w:fill="auto"/>
            <w:noWrap/>
            <w:vAlign w:val="bottom"/>
            <w:hideMark/>
          </w:tcPr>
          <w:p w:rsidR="00060302" w:rsidRPr="00017FF5" w:rsidRDefault="00060302" w:rsidP="008B689A">
            <w:pPr>
              <w:jc w:val="center"/>
              <w:rPr>
                <w:b/>
                <w:bCs/>
                <w:color w:val="000000"/>
                <w:sz w:val="22"/>
                <w:szCs w:val="22"/>
              </w:rPr>
            </w:pPr>
            <w:r w:rsidRPr="00017FF5">
              <w:rPr>
                <w:b/>
                <w:bCs/>
                <w:color w:val="000000"/>
                <w:sz w:val="22"/>
                <w:szCs w:val="22"/>
              </w:rPr>
              <w:t xml:space="preserve">Table </w:t>
            </w:r>
            <w:r w:rsidR="00154A43">
              <w:rPr>
                <w:b/>
                <w:bCs/>
                <w:color w:val="000000"/>
                <w:sz w:val="22"/>
                <w:szCs w:val="22"/>
              </w:rPr>
              <w:t>8</w:t>
            </w:r>
          </w:p>
        </w:tc>
        <w:tc>
          <w:tcPr>
            <w:tcW w:w="2032" w:type="dxa"/>
            <w:gridSpan w:val="3"/>
            <w:tcBorders>
              <w:top w:val="nil"/>
              <w:left w:val="nil"/>
              <w:bottom w:val="nil"/>
              <w:right w:val="nil"/>
            </w:tcBorders>
            <w:shd w:val="clear" w:color="auto" w:fill="auto"/>
            <w:noWrap/>
            <w:vAlign w:val="bottom"/>
            <w:hideMark/>
          </w:tcPr>
          <w:p w:rsidR="00060302" w:rsidRPr="008E455B" w:rsidRDefault="00060302" w:rsidP="008B689A">
            <w:pPr>
              <w:rPr>
                <w:color w:val="000000"/>
                <w:sz w:val="18"/>
                <w:szCs w:val="18"/>
              </w:rPr>
            </w:pPr>
          </w:p>
        </w:tc>
      </w:tr>
      <w:tr w:rsidR="00060302" w:rsidRPr="008E455B" w:rsidTr="008B689A">
        <w:trPr>
          <w:trHeight w:val="315"/>
        </w:trPr>
        <w:tc>
          <w:tcPr>
            <w:tcW w:w="7669" w:type="dxa"/>
            <w:gridSpan w:val="9"/>
            <w:tcBorders>
              <w:top w:val="nil"/>
              <w:left w:val="nil"/>
              <w:bottom w:val="double" w:sz="6" w:space="0" w:color="auto"/>
              <w:right w:val="nil"/>
            </w:tcBorders>
            <w:shd w:val="clear" w:color="auto" w:fill="auto"/>
            <w:noWrap/>
            <w:vAlign w:val="bottom"/>
            <w:hideMark/>
          </w:tcPr>
          <w:p w:rsidR="00060302" w:rsidRPr="005611CF" w:rsidRDefault="00060302" w:rsidP="008B689A">
            <w:pPr>
              <w:jc w:val="center"/>
              <w:rPr>
                <w:bCs/>
                <w:color w:val="000000"/>
                <w:sz w:val="22"/>
                <w:szCs w:val="22"/>
              </w:rPr>
            </w:pPr>
            <w:r w:rsidRPr="005611CF">
              <w:rPr>
                <w:bCs/>
                <w:color w:val="000000"/>
                <w:sz w:val="22"/>
                <w:szCs w:val="22"/>
              </w:rPr>
              <w:t>Estimation of Discretionary Loan Loss Provisions (</w:t>
            </w:r>
            <w:r w:rsidR="00030839">
              <w:rPr>
                <w:bCs/>
                <w:color w:val="000000"/>
                <w:sz w:val="22"/>
                <w:szCs w:val="22"/>
              </w:rPr>
              <w:t>post</w:t>
            </w:r>
            <w:r>
              <w:rPr>
                <w:bCs/>
                <w:color w:val="000000"/>
                <w:sz w:val="22"/>
                <w:szCs w:val="22"/>
              </w:rPr>
              <w:t>-SOX</w:t>
            </w:r>
            <w:r w:rsidRPr="005611CF">
              <w:rPr>
                <w:bCs/>
                <w:color w:val="000000"/>
                <w:sz w:val="22"/>
                <w:szCs w:val="22"/>
              </w:rPr>
              <w:t>)</w:t>
            </w:r>
          </w:p>
        </w:tc>
      </w:tr>
      <w:tr w:rsidR="00060302" w:rsidRPr="008E455B" w:rsidTr="008B689A">
        <w:trPr>
          <w:trHeight w:val="315"/>
        </w:trPr>
        <w:tc>
          <w:tcPr>
            <w:tcW w:w="2269" w:type="dxa"/>
            <w:gridSpan w:val="2"/>
            <w:tcBorders>
              <w:top w:val="double" w:sz="6" w:space="0" w:color="auto"/>
              <w:left w:val="nil"/>
              <w:bottom w:val="single" w:sz="4" w:space="0" w:color="auto"/>
              <w:right w:val="single" w:sz="4" w:space="0" w:color="auto"/>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 </w:t>
            </w:r>
            <w:r>
              <w:rPr>
                <w:color w:val="000000"/>
                <w:sz w:val="20"/>
                <w:szCs w:val="20"/>
              </w:rPr>
              <w:t>Variables</w:t>
            </w:r>
          </w:p>
        </w:tc>
        <w:tc>
          <w:tcPr>
            <w:tcW w:w="1417" w:type="dxa"/>
            <w:gridSpan w:val="2"/>
            <w:tcBorders>
              <w:top w:val="double" w:sz="6" w:space="0" w:color="auto"/>
              <w:left w:val="single" w:sz="4" w:space="0" w:color="auto"/>
              <w:bottom w:val="single" w:sz="4" w:space="0" w:color="auto"/>
              <w:right w:val="nil"/>
            </w:tcBorders>
            <w:shd w:val="clear" w:color="auto" w:fill="auto"/>
            <w:noWrap/>
            <w:vAlign w:val="bottom"/>
            <w:hideMark/>
          </w:tcPr>
          <w:p w:rsidR="00060302" w:rsidRPr="00017FF5" w:rsidRDefault="00060302" w:rsidP="008B689A">
            <w:pPr>
              <w:jc w:val="center"/>
              <w:rPr>
                <w:color w:val="000000"/>
                <w:sz w:val="20"/>
                <w:szCs w:val="20"/>
              </w:rPr>
            </w:pPr>
            <w:proofErr w:type="spellStart"/>
            <w:r w:rsidRPr="00017FF5">
              <w:rPr>
                <w:color w:val="000000"/>
                <w:sz w:val="20"/>
                <w:szCs w:val="20"/>
              </w:rPr>
              <w:t>Unstandardized</w:t>
            </w:r>
            <w:proofErr w:type="spellEnd"/>
            <w:r w:rsidRPr="00017FF5">
              <w:rPr>
                <w:color w:val="000000"/>
                <w:sz w:val="20"/>
                <w:szCs w:val="20"/>
              </w:rPr>
              <w:t xml:space="preserve"> coefficients </w:t>
            </w:r>
            <w:r>
              <w:rPr>
                <w:color w:val="000000"/>
                <w:sz w:val="20"/>
                <w:szCs w:val="20"/>
              </w:rPr>
              <w:t>(B</w:t>
            </w:r>
            <w:r w:rsidRPr="00017FF5">
              <w:rPr>
                <w:color w:val="000000"/>
                <w:sz w:val="20"/>
                <w:szCs w:val="20"/>
              </w:rPr>
              <w:t>)</w:t>
            </w:r>
          </w:p>
        </w:tc>
        <w:tc>
          <w:tcPr>
            <w:tcW w:w="1418" w:type="dxa"/>
            <w:tcBorders>
              <w:top w:val="double" w:sz="6" w:space="0" w:color="auto"/>
              <w:left w:val="nil"/>
              <w:bottom w:val="single" w:sz="4" w:space="0" w:color="auto"/>
              <w:right w:val="nil"/>
            </w:tcBorders>
            <w:shd w:val="clear" w:color="auto" w:fill="auto"/>
            <w:noWrap/>
            <w:vAlign w:val="bottom"/>
            <w:hideMark/>
          </w:tcPr>
          <w:p w:rsidR="00060302" w:rsidRPr="00017FF5" w:rsidRDefault="00060302" w:rsidP="008B689A">
            <w:pPr>
              <w:jc w:val="center"/>
              <w:rPr>
                <w:color w:val="000000"/>
                <w:sz w:val="20"/>
                <w:szCs w:val="20"/>
              </w:rPr>
            </w:pPr>
            <w:r w:rsidRPr="00017FF5">
              <w:rPr>
                <w:color w:val="000000"/>
                <w:sz w:val="20"/>
                <w:szCs w:val="20"/>
              </w:rPr>
              <w:t>Std. Error</w:t>
            </w:r>
          </w:p>
        </w:tc>
        <w:tc>
          <w:tcPr>
            <w:tcW w:w="1148" w:type="dxa"/>
            <w:gridSpan w:val="3"/>
            <w:tcBorders>
              <w:top w:val="double" w:sz="6" w:space="0" w:color="auto"/>
              <w:left w:val="nil"/>
              <w:bottom w:val="single" w:sz="4" w:space="0" w:color="auto"/>
              <w:right w:val="nil"/>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t-statistics</w:t>
            </w:r>
          </w:p>
        </w:tc>
        <w:tc>
          <w:tcPr>
            <w:tcW w:w="1417" w:type="dxa"/>
            <w:tcBorders>
              <w:top w:val="double" w:sz="6" w:space="0" w:color="auto"/>
              <w:left w:val="nil"/>
              <w:bottom w:val="single" w:sz="4" w:space="0" w:color="auto"/>
              <w:right w:val="nil"/>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 xml:space="preserve">       sig.</w:t>
            </w:r>
          </w:p>
        </w:tc>
      </w:tr>
      <w:tr w:rsidR="00060302" w:rsidRPr="008E455B" w:rsidTr="008B689A">
        <w:trPr>
          <w:trHeight w:val="300"/>
        </w:trPr>
        <w:tc>
          <w:tcPr>
            <w:tcW w:w="2269" w:type="dxa"/>
            <w:gridSpan w:val="2"/>
            <w:tcBorders>
              <w:top w:val="nil"/>
              <w:left w:val="nil"/>
              <w:bottom w:val="nil"/>
              <w:right w:val="single" w:sz="4" w:space="0" w:color="auto"/>
            </w:tcBorders>
            <w:shd w:val="clear" w:color="auto" w:fill="auto"/>
            <w:noWrap/>
            <w:vAlign w:val="bottom"/>
            <w:hideMark/>
          </w:tcPr>
          <w:p w:rsidR="00060302" w:rsidRPr="00017FF5" w:rsidRDefault="00060302" w:rsidP="008B689A">
            <w:pPr>
              <w:rPr>
                <w:iCs/>
                <w:color w:val="000000"/>
                <w:sz w:val="20"/>
                <w:szCs w:val="20"/>
              </w:rPr>
            </w:pPr>
            <w:r w:rsidRPr="00017FF5">
              <w:rPr>
                <w:iCs/>
                <w:color w:val="000000"/>
                <w:sz w:val="20"/>
                <w:szCs w:val="20"/>
              </w:rPr>
              <w:t>1/</w:t>
            </w:r>
            <w:proofErr w:type="spellStart"/>
            <w:r w:rsidRPr="00017FF5">
              <w:rPr>
                <w:iCs/>
                <w:color w:val="000000"/>
                <w:sz w:val="20"/>
                <w:szCs w:val="20"/>
              </w:rPr>
              <w:t>GBV</w:t>
            </w:r>
            <w:r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0</w:t>
            </w:r>
            <w:r w:rsidR="00060302">
              <w:rPr>
                <w:color w:val="000000"/>
                <w:sz w:val="20"/>
                <w:szCs w:val="20"/>
              </w:rPr>
              <w:t>,</w:t>
            </w:r>
            <w:r>
              <w:rPr>
                <w:color w:val="000000"/>
                <w:sz w:val="20"/>
                <w:szCs w:val="20"/>
              </w:rPr>
              <w:t>301</w:t>
            </w:r>
          </w:p>
        </w:tc>
        <w:tc>
          <w:tcPr>
            <w:tcW w:w="1418" w:type="dxa"/>
            <w:tcBorders>
              <w:top w:val="nil"/>
              <w:left w:val="nil"/>
              <w:bottom w:val="nil"/>
              <w:right w:val="nil"/>
            </w:tcBorders>
            <w:shd w:val="clear" w:color="auto" w:fill="auto"/>
            <w:noWrap/>
            <w:vAlign w:val="bottom"/>
            <w:hideMark/>
          </w:tcPr>
          <w:p w:rsidR="00060302" w:rsidRPr="00017FF5" w:rsidRDefault="00060302" w:rsidP="00030839">
            <w:pPr>
              <w:jc w:val="center"/>
              <w:rPr>
                <w:color w:val="000000"/>
                <w:sz w:val="20"/>
                <w:szCs w:val="20"/>
              </w:rPr>
            </w:pPr>
            <w:r>
              <w:rPr>
                <w:color w:val="000000"/>
                <w:sz w:val="20"/>
                <w:szCs w:val="20"/>
              </w:rPr>
              <w:t>0,</w:t>
            </w:r>
            <w:r w:rsidR="00030839">
              <w:rPr>
                <w:color w:val="000000"/>
                <w:sz w:val="20"/>
                <w:szCs w:val="20"/>
              </w:rPr>
              <w:t>57</w:t>
            </w:r>
            <w:r>
              <w:rPr>
                <w:color w:val="000000"/>
                <w:sz w:val="20"/>
                <w:szCs w:val="20"/>
              </w:rPr>
              <w:t>0</w:t>
            </w:r>
          </w:p>
        </w:tc>
        <w:tc>
          <w:tcPr>
            <w:tcW w:w="777" w:type="dxa"/>
            <w:gridSpan w:val="2"/>
            <w:tcBorders>
              <w:top w:val="nil"/>
              <w:left w:val="nil"/>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0</w:t>
            </w:r>
            <w:r w:rsidR="00060302">
              <w:rPr>
                <w:color w:val="000000"/>
                <w:sz w:val="20"/>
                <w:szCs w:val="20"/>
              </w:rPr>
              <w:t>,52</w:t>
            </w:r>
            <w:r>
              <w:rPr>
                <w:color w:val="000000"/>
                <w:sz w:val="20"/>
                <w:szCs w:val="20"/>
              </w:rPr>
              <w:t>7</w:t>
            </w:r>
          </w:p>
        </w:tc>
        <w:tc>
          <w:tcPr>
            <w:tcW w:w="1788" w:type="dxa"/>
            <w:gridSpan w:val="2"/>
            <w:tcBorders>
              <w:top w:val="nil"/>
              <w:left w:val="nil"/>
              <w:bottom w:val="nil"/>
              <w:right w:val="nil"/>
            </w:tcBorders>
            <w:shd w:val="clear" w:color="auto" w:fill="auto"/>
            <w:noWrap/>
            <w:vAlign w:val="bottom"/>
            <w:hideMark/>
          </w:tcPr>
          <w:p w:rsidR="00060302" w:rsidRPr="00017FF5" w:rsidRDefault="00060302" w:rsidP="00030839">
            <w:pPr>
              <w:jc w:val="center"/>
              <w:rPr>
                <w:color w:val="000000"/>
                <w:sz w:val="20"/>
                <w:szCs w:val="20"/>
              </w:rPr>
            </w:pPr>
            <w:r>
              <w:rPr>
                <w:color w:val="000000"/>
                <w:sz w:val="20"/>
                <w:szCs w:val="20"/>
              </w:rPr>
              <w:t>0,</w:t>
            </w:r>
            <w:r w:rsidR="00030839">
              <w:rPr>
                <w:color w:val="000000"/>
                <w:sz w:val="20"/>
                <w:szCs w:val="20"/>
              </w:rPr>
              <w:t>598</w:t>
            </w:r>
          </w:p>
        </w:tc>
      </w:tr>
      <w:tr w:rsidR="00060302" w:rsidRPr="008E455B" w:rsidTr="008B689A">
        <w:trPr>
          <w:trHeight w:val="300"/>
        </w:trPr>
        <w:tc>
          <w:tcPr>
            <w:tcW w:w="2269" w:type="dxa"/>
            <w:gridSpan w:val="2"/>
            <w:tcBorders>
              <w:top w:val="nil"/>
              <w:left w:val="nil"/>
              <w:bottom w:val="nil"/>
              <w:right w:val="single" w:sz="4" w:space="0" w:color="auto"/>
            </w:tcBorders>
            <w:shd w:val="clear" w:color="auto" w:fill="auto"/>
            <w:noWrap/>
            <w:vAlign w:val="bottom"/>
            <w:hideMark/>
          </w:tcPr>
          <w:p w:rsidR="00060302" w:rsidRPr="00EB0595" w:rsidRDefault="00060302" w:rsidP="008B689A">
            <w:pPr>
              <w:rPr>
                <w:iCs/>
                <w:color w:val="000000"/>
                <w:sz w:val="20"/>
                <w:szCs w:val="20"/>
              </w:rPr>
            </w:pPr>
            <w:proofErr w:type="spellStart"/>
            <w:r w:rsidRPr="00017FF5">
              <w:rPr>
                <w:iCs/>
                <w:color w:val="000000"/>
                <w:sz w:val="20"/>
                <w:szCs w:val="20"/>
              </w:rPr>
              <w:t>CO</w:t>
            </w:r>
            <w:r w:rsidRPr="00017FF5">
              <w:rPr>
                <w:iCs/>
                <w:color w:val="000000"/>
                <w:sz w:val="20"/>
                <w:szCs w:val="20"/>
                <w:vertAlign w:val="subscript"/>
              </w:rPr>
              <w:t>t</w:t>
            </w:r>
            <w:proofErr w:type="spellEnd"/>
            <w:r>
              <w:rPr>
                <w:iCs/>
                <w:color w:val="000000"/>
                <w:sz w:val="20"/>
                <w:szCs w:val="20"/>
                <w:vertAlign w:val="subscript"/>
              </w:rPr>
              <w:t xml:space="preserve"> </w:t>
            </w:r>
            <w:r>
              <w:rPr>
                <w:iCs/>
                <w:color w:val="000000"/>
                <w:sz w:val="20"/>
                <w:szCs w:val="20"/>
              </w:rPr>
              <w:t xml:space="preserve">/ </w:t>
            </w:r>
            <w:proofErr w:type="spellStart"/>
            <w:r w:rsidRPr="00017FF5">
              <w:rPr>
                <w:iCs/>
                <w:color w:val="000000"/>
                <w:sz w:val="20"/>
                <w:szCs w:val="20"/>
              </w:rPr>
              <w:t>GBV</w:t>
            </w:r>
            <w:r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060302" w:rsidRPr="00017FF5" w:rsidRDefault="00060302" w:rsidP="008B689A">
            <w:pPr>
              <w:jc w:val="center"/>
              <w:rPr>
                <w:color w:val="000000"/>
                <w:sz w:val="20"/>
                <w:szCs w:val="20"/>
              </w:rPr>
            </w:pPr>
            <w:r>
              <w:rPr>
                <w:color w:val="000000"/>
                <w:sz w:val="20"/>
                <w:szCs w:val="20"/>
              </w:rPr>
              <w:t>1,30</w:t>
            </w:r>
            <w:r w:rsidR="00030839">
              <w:rPr>
                <w:color w:val="000000"/>
                <w:sz w:val="20"/>
                <w:szCs w:val="20"/>
              </w:rPr>
              <w:t>1</w:t>
            </w:r>
          </w:p>
        </w:tc>
        <w:tc>
          <w:tcPr>
            <w:tcW w:w="1418" w:type="dxa"/>
            <w:tcBorders>
              <w:top w:val="nil"/>
              <w:left w:val="nil"/>
              <w:bottom w:val="nil"/>
              <w:right w:val="nil"/>
            </w:tcBorders>
            <w:shd w:val="clear" w:color="auto" w:fill="auto"/>
            <w:noWrap/>
            <w:vAlign w:val="bottom"/>
            <w:hideMark/>
          </w:tcPr>
          <w:p w:rsidR="00060302" w:rsidRPr="00017FF5" w:rsidRDefault="00060302" w:rsidP="008B689A">
            <w:pPr>
              <w:jc w:val="center"/>
              <w:rPr>
                <w:color w:val="000000"/>
                <w:sz w:val="20"/>
                <w:szCs w:val="20"/>
              </w:rPr>
            </w:pPr>
            <w:r>
              <w:rPr>
                <w:color w:val="000000"/>
                <w:sz w:val="20"/>
                <w:szCs w:val="20"/>
              </w:rPr>
              <w:t>0,0</w:t>
            </w:r>
            <w:r w:rsidR="00030839">
              <w:rPr>
                <w:color w:val="000000"/>
                <w:sz w:val="20"/>
                <w:szCs w:val="20"/>
              </w:rPr>
              <w:t>2</w:t>
            </w:r>
            <w:r>
              <w:rPr>
                <w:color w:val="000000"/>
                <w:sz w:val="20"/>
                <w:szCs w:val="20"/>
              </w:rPr>
              <w:t>3</w:t>
            </w:r>
          </w:p>
        </w:tc>
        <w:tc>
          <w:tcPr>
            <w:tcW w:w="777" w:type="dxa"/>
            <w:gridSpan w:val="2"/>
            <w:tcBorders>
              <w:top w:val="nil"/>
              <w:left w:val="nil"/>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55</w:t>
            </w:r>
            <w:r w:rsidR="00060302" w:rsidRPr="00017FF5">
              <w:rPr>
                <w:color w:val="000000"/>
                <w:sz w:val="20"/>
                <w:szCs w:val="20"/>
              </w:rPr>
              <w:t>,</w:t>
            </w:r>
            <w:r>
              <w:rPr>
                <w:color w:val="000000"/>
                <w:sz w:val="20"/>
                <w:szCs w:val="20"/>
              </w:rPr>
              <w:t>83</w:t>
            </w:r>
            <w:r w:rsidR="00060302">
              <w:rPr>
                <w:color w:val="000000"/>
                <w:sz w:val="20"/>
                <w:szCs w:val="20"/>
              </w:rPr>
              <w:t>3</w:t>
            </w:r>
          </w:p>
        </w:tc>
        <w:tc>
          <w:tcPr>
            <w:tcW w:w="1788" w:type="dxa"/>
            <w:gridSpan w:val="2"/>
            <w:tcBorders>
              <w:top w:val="nil"/>
              <w:left w:val="nil"/>
              <w:bottom w:val="nil"/>
              <w:right w:val="nil"/>
            </w:tcBorders>
            <w:shd w:val="clear" w:color="auto" w:fill="auto"/>
            <w:noWrap/>
            <w:vAlign w:val="bottom"/>
            <w:hideMark/>
          </w:tcPr>
          <w:p w:rsidR="00060302" w:rsidRPr="00017FF5" w:rsidRDefault="00060302" w:rsidP="008B689A">
            <w:pPr>
              <w:jc w:val="center"/>
              <w:rPr>
                <w:color w:val="000000"/>
                <w:sz w:val="20"/>
                <w:szCs w:val="20"/>
              </w:rPr>
            </w:pPr>
            <w:r w:rsidRPr="00017FF5">
              <w:rPr>
                <w:color w:val="000000"/>
                <w:sz w:val="20"/>
                <w:szCs w:val="20"/>
              </w:rPr>
              <w:t>0,000</w:t>
            </w:r>
          </w:p>
        </w:tc>
      </w:tr>
      <w:tr w:rsidR="00060302" w:rsidRPr="008E455B" w:rsidTr="008B689A">
        <w:trPr>
          <w:trHeight w:val="300"/>
        </w:trPr>
        <w:tc>
          <w:tcPr>
            <w:tcW w:w="2269" w:type="dxa"/>
            <w:gridSpan w:val="2"/>
            <w:tcBorders>
              <w:top w:val="nil"/>
              <w:left w:val="nil"/>
              <w:bottom w:val="nil"/>
              <w:right w:val="single" w:sz="4" w:space="0" w:color="auto"/>
            </w:tcBorders>
            <w:shd w:val="clear" w:color="auto" w:fill="auto"/>
            <w:noWrap/>
            <w:vAlign w:val="bottom"/>
            <w:hideMark/>
          </w:tcPr>
          <w:p w:rsidR="00060302" w:rsidRPr="00017FF5" w:rsidRDefault="00060302" w:rsidP="008B689A">
            <w:pPr>
              <w:rPr>
                <w:iCs/>
                <w:color w:val="000000"/>
                <w:sz w:val="20"/>
                <w:szCs w:val="20"/>
              </w:rPr>
            </w:pPr>
            <w:proofErr w:type="spellStart"/>
            <w:r w:rsidRPr="00017FF5">
              <w:rPr>
                <w:iCs/>
                <w:color w:val="000000"/>
                <w:sz w:val="20"/>
                <w:szCs w:val="20"/>
              </w:rPr>
              <w:t>ΔLOAN</w:t>
            </w:r>
            <w:r w:rsidRPr="00017FF5">
              <w:rPr>
                <w:iCs/>
                <w:color w:val="000000"/>
                <w:sz w:val="20"/>
                <w:szCs w:val="20"/>
                <w:vertAlign w:val="subscript"/>
              </w:rPr>
              <w:t>t</w:t>
            </w:r>
            <w:proofErr w:type="spellEnd"/>
            <w:r>
              <w:rPr>
                <w:iCs/>
                <w:color w:val="000000"/>
                <w:sz w:val="20"/>
                <w:szCs w:val="20"/>
              </w:rPr>
              <w:t xml:space="preserve"> / </w:t>
            </w:r>
            <w:proofErr w:type="spellStart"/>
            <w:r w:rsidRPr="00017FF5">
              <w:rPr>
                <w:iCs/>
                <w:color w:val="000000"/>
                <w:sz w:val="20"/>
                <w:szCs w:val="20"/>
              </w:rPr>
              <w:t>GBV</w:t>
            </w:r>
            <w:r w:rsidRPr="00017FF5">
              <w:rPr>
                <w:iCs/>
                <w:color w:val="000000"/>
                <w:sz w:val="20"/>
                <w:szCs w:val="20"/>
                <w:vertAlign w:val="subscript"/>
              </w:rPr>
              <w:t>t</w:t>
            </w:r>
            <w:proofErr w:type="spellEnd"/>
            <w:r w:rsidRPr="00017FF5">
              <w:rPr>
                <w:iCs/>
                <w:color w:val="000000"/>
                <w:sz w:val="20"/>
                <w:szCs w:val="20"/>
                <w:vertAlign w:val="subscript"/>
              </w:rPr>
              <w:t xml:space="preserve">  </w:t>
            </w:r>
          </w:p>
        </w:tc>
        <w:tc>
          <w:tcPr>
            <w:tcW w:w="1417" w:type="dxa"/>
            <w:gridSpan w:val="2"/>
            <w:tcBorders>
              <w:top w:val="nil"/>
              <w:left w:val="single" w:sz="4" w:space="0" w:color="auto"/>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0,005</w:t>
            </w:r>
          </w:p>
        </w:tc>
        <w:tc>
          <w:tcPr>
            <w:tcW w:w="1418" w:type="dxa"/>
            <w:tcBorders>
              <w:top w:val="nil"/>
              <w:left w:val="nil"/>
              <w:bottom w:val="nil"/>
              <w:right w:val="nil"/>
            </w:tcBorders>
            <w:shd w:val="clear" w:color="auto" w:fill="auto"/>
            <w:noWrap/>
            <w:vAlign w:val="bottom"/>
            <w:hideMark/>
          </w:tcPr>
          <w:p w:rsidR="00060302" w:rsidRPr="00017FF5" w:rsidRDefault="00060302" w:rsidP="008B689A">
            <w:pPr>
              <w:jc w:val="center"/>
              <w:rPr>
                <w:color w:val="000000"/>
                <w:sz w:val="20"/>
                <w:szCs w:val="20"/>
              </w:rPr>
            </w:pPr>
            <w:r w:rsidRPr="00017FF5">
              <w:rPr>
                <w:color w:val="000000"/>
                <w:sz w:val="20"/>
                <w:szCs w:val="20"/>
              </w:rPr>
              <w:t>0,001</w:t>
            </w:r>
          </w:p>
        </w:tc>
        <w:tc>
          <w:tcPr>
            <w:tcW w:w="777" w:type="dxa"/>
            <w:gridSpan w:val="2"/>
            <w:tcBorders>
              <w:top w:val="nil"/>
              <w:left w:val="nil"/>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0</w:t>
            </w:r>
            <w:r w:rsidR="00060302">
              <w:rPr>
                <w:color w:val="000000"/>
                <w:sz w:val="20"/>
                <w:szCs w:val="20"/>
              </w:rPr>
              <w:t>,</w:t>
            </w:r>
            <w:r>
              <w:rPr>
                <w:color w:val="000000"/>
                <w:sz w:val="20"/>
                <w:szCs w:val="20"/>
              </w:rPr>
              <w:t>063</w:t>
            </w:r>
          </w:p>
        </w:tc>
        <w:tc>
          <w:tcPr>
            <w:tcW w:w="1788" w:type="dxa"/>
            <w:gridSpan w:val="2"/>
            <w:tcBorders>
              <w:top w:val="nil"/>
              <w:left w:val="nil"/>
              <w:bottom w:val="nil"/>
              <w:right w:val="nil"/>
            </w:tcBorders>
            <w:shd w:val="clear" w:color="auto" w:fill="auto"/>
            <w:noWrap/>
            <w:vAlign w:val="bottom"/>
            <w:hideMark/>
          </w:tcPr>
          <w:p w:rsidR="00060302" w:rsidRPr="00017FF5" w:rsidRDefault="00060302" w:rsidP="008B689A">
            <w:pPr>
              <w:jc w:val="center"/>
              <w:rPr>
                <w:color w:val="000000"/>
                <w:sz w:val="20"/>
                <w:szCs w:val="20"/>
              </w:rPr>
            </w:pPr>
            <w:r>
              <w:rPr>
                <w:color w:val="000000"/>
                <w:sz w:val="20"/>
                <w:szCs w:val="20"/>
              </w:rPr>
              <w:t>0,0</w:t>
            </w:r>
            <w:r w:rsidR="00030839">
              <w:rPr>
                <w:color w:val="000000"/>
                <w:sz w:val="20"/>
                <w:szCs w:val="20"/>
              </w:rPr>
              <w:t>00</w:t>
            </w:r>
          </w:p>
        </w:tc>
      </w:tr>
      <w:tr w:rsidR="00060302" w:rsidRPr="008E455B" w:rsidTr="008B689A">
        <w:trPr>
          <w:trHeight w:val="300"/>
        </w:trPr>
        <w:tc>
          <w:tcPr>
            <w:tcW w:w="2269" w:type="dxa"/>
            <w:gridSpan w:val="2"/>
            <w:tcBorders>
              <w:top w:val="nil"/>
              <w:left w:val="nil"/>
              <w:bottom w:val="nil"/>
              <w:right w:val="single" w:sz="4" w:space="0" w:color="auto"/>
            </w:tcBorders>
            <w:shd w:val="clear" w:color="auto" w:fill="auto"/>
            <w:noWrap/>
            <w:vAlign w:val="bottom"/>
            <w:hideMark/>
          </w:tcPr>
          <w:p w:rsidR="00060302" w:rsidRPr="00EB0595" w:rsidRDefault="00060302" w:rsidP="008B689A">
            <w:pPr>
              <w:rPr>
                <w:color w:val="000000"/>
                <w:sz w:val="20"/>
                <w:szCs w:val="20"/>
              </w:rPr>
            </w:pPr>
            <w:proofErr w:type="spellStart"/>
            <w:r w:rsidRPr="00017FF5">
              <w:rPr>
                <w:color w:val="000000"/>
                <w:sz w:val="20"/>
                <w:szCs w:val="20"/>
              </w:rPr>
              <w:t>Δ</w:t>
            </w:r>
            <w:r w:rsidRPr="00017FF5">
              <w:rPr>
                <w:iCs/>
                <w:color w:val="000000"/>
                <w:sz w:val="20"/>
                <w:szCs w:val="20"/>
              </w:rPr>
              <w:t>NPA</w:t>
            </w:r>
            <w:r w:rsidRPr="00017FF5">
              <w:rPr>
                <w:iCs/>
                <w:color w:val="000000"/>
                <w:sz w:val="20"/>
                <w:szCs w:val="20"/>
                <w:vertAlign w:val="subscript"/>
              </w:rPr>
              <w:t>t</w:t>
            </w:r>
            <w:proofErr w:type="spellEnd"/>
            <w:r>
              <w:rPr>
                <w:iCs/>
                <w:color w:val="000000"/>
                <w:sz w:val="20"/>
                <w:szCs w:val="20"/>
                <w:vertAlign w:val="subscript"/>
              </w:rPr>
              <w:t xml:space="preserve"> </w:t>
            </w:r>
            <w:r>
              <w:rPr>
                <w:iCs/>
                <w:color w:val="000000"/>
                <w:sz w:val="20"/>
                <w:szCs w:val="20"/>
              </w:rPr>
              <w:t>/</w:t>
            </w:r>
            <w:r w:rsidRPr="00017FF5">
              <w:rPr>
                <w:iCs/>
                <w:color w:val="000000"/>
                <w:sz w:val="20"/>
                <w:szCs w:val="20"/>
              </w:rPr>
              <w:t xml:space="preserve"> </w:t>
            </w:r>
            <w:proofErr w:type="spellStart"/>
            <w:r w:rsidRPr="00017FF5">
              <w:rPr>
                <w:iCs/>
                <w:color w:val="000000"/>
                <w:sz w:val="20"/>
                <w:szCs w:val="20"/>
              </w:rPr>
              <w:t>GBV</w:t>
            </w:r>
            <w:r w:rsidRPr="00017FF5">
              <w:rPr>
                <w:iCs/>
                <w:color w:val="000000"/>
                <w:sz w:val="20"/>
                <w:szCs w:val="20"/>
                <w:vertAlign w:val="subscript"/>
              </w:rPr>
              <w:t>t</w:t>
            </w:r>
            <w:proofErr w:type="spellEnd"/>
          </w:p>
        </w:tc>
        <w:tc>
          <w:tcPr>
            <w:tcW w:w="1417" w:type="dxa"/>
            <w:gridSpan w:val="2"/>
            <w:tcBorders>
              <w:top w:val="nil"/>
              <w:left w:val="single" w:sz="4" w:space="0" w:color="auto"/>
              <w:bottom w:val="nil"/>
              <w:right w:val="nil"/>
            </w:tcBorders>
            <w:shd w:val="clear" w:color="auto" w:fill="auto"/>
            <w:noWrap/>
            <w:vAlign w:val="bottom"/>
            <w:hideMark/>
          </w:tcPr>
          <w:p w:rsidR="00060302" w:rsidRPr="00017FF5" w:rsidRDefault="00060302" w:rsidP="00030839">
            <w:pPr>
              <w:jc w:val="center"/>
              <w:rPr>
                <w:color w:val="000000"/>
                <w:sz w:val="20"/>
                <w:szCs w:val="20"/>
              </w:rPr>
            </w:pPr>
            <w:r>
              <w:rPr>
                <w:color w:val="000000"/>
                <w:sz w:val="20"/>
                <w:szCs w:val="20"/>
              </w:rPr>
              <w:t>0,</w:t>
            </w:r>
            <w:r w:rsidR="00030839">
              <w:rPr>
                <w:color w:val="000000"/>
                <w:sz w:val="20"/>
                <w:szCs w:val="20"/>
              </w:rPr>
              <w:t>204</w:t>
            </w:r>
          </w:p>
        </w:tc>
        <w:tc>
          <w:tcPr>
            <w:tcW w:w="1418" w:type="dxa"/>
            <w:tcBorders>
              <w:top w:val="nil"/>
              <w:left w:val="nil"/>
              <w:bottom w:val="nil"/>
              <w:right w:val="nil"/>
            </w:tcBorders>
            <w:shd w:val="clear" w:color="auto" w:fill="auto"/>
            <w:noWrap/>
            <w:vAlign w:val="bottom"/>
            <w:hideMark/>
          </w:tcPr>
          <w:p w:rsidR="00060302" w:rsidRPr="00017FF5" w:rsidRDefault="00060302" w:rsidP="00030839">
            <w:pPr>
              <w:jc w:val="center"/>
              <w:rPr>
                <w:color w:val="000000"/>
                <w:sz w:val="20"/>
                <w:szCs w:val="20"/>
              </w:rPr>
            </w:pPr>
            <w:r w:rsidRPr="00017FF5">
              <w:rPr>
                <w:color w:val="000000"/>
                <w:sz w:val="20"/>
                <w:szCs w:val="20"/>
              </w:rPr>
              <w:t>0,0</w:t>
            </w:r>
            <w:r w:rsidR="00030839">
              <w:rPr>
                <w:color w:val="000000"/>
                <w:sz w:val="20"/>
                <w:szCs w:val="20"/>
              </w:rPr>
              <w:t>16</w:t>
            </w:r>
          </w:p>
        </w:tc>
        <w:tc>
          <w:tcPr>
            <w:tcW w:w="777" w:type="dxa"/>
            <w:gridSpan w:val="2"/>
            <w:tcBorders>
              <w:top w:val="nil"/>
              <w:left w:val="nil"/>
              <w:bottom w:val="nil"/>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12</w:t>
            </w:r>
            <w:r w:rsidR="00060302">
              <w:rPr>
                <w:color w:val="000000"/>
                <w:sz w:val="20"/>
                <w:szCs w:val="20"/>
              </w:rPr>
              <w:t>,</w:t>
            </w:r>
            <w:r>
              <w:rPr>
                <w:color w:val="000000"/>
                <w:sz w:val="20"/>
                <w:szCs w:val="20"/>
              </w:rPr>
              <w:t>903</w:t>
            </w:r>
          </w:p>
        </w:tc>
        <w:tc>
          <w:tcPr>
            <w:tcW w:w="1788" w:type="dxa"/>
            <w:gridSpan w:val="2"/>
            <w:tcBorders>
              <w:top w:val="nil"/>
              <w:left w:val="nil"/>
              <w:bottom w:val="nil"/>
              <w:right w:val="nil"/>
            </w:tcBorders>
            <w:shd w:val="clear" w:color="auto" w:fill="auto"/>
            <w:noWrap/>
            <w:vAlign w:val="bottom"/>
            <w:hideMark/>
          </w:tcPr>
          <w:p w:rsidR="00060302" w:rsidRPr="00017FF5" w:rsidRDefault="00060302" w:rsidP="008B689A">
            <w:pPr>
              <w:jc w:val="center"/>
              <w:rPr>
                <w:color w:val="000000"/>
                <w:sz w:val="20"/>
                <w:szCs w:val="20"/>
              </w:rPr>
            </w:pPr>
            <w:r w:rsidRPr="00017FF5">
              <w:rPr>
                <w:color w:val="000000"/>
                <w:sz w:val="20"/>
                <w:szCs w:val="20"/>
              </w:rPr>
              <w:t>0,000</w:t>
            </w:r>
          </w:p>
        </w:tc>
      </w:tr>
      <w:tr w:rsidR="00060302" w:rsidRPr="008E455B" w:rsidTr="008B689A">
        <w:trPr>
          <w:trHeight w:val="315"/>
        </w:trPr>
        <w:tc>
          <w:tcPr>
            <w:tcW w:w="2269" w:type="dxa"/>
            <w:gridSpan w:val="2"/>
            <w:tcBorders>
              <w:top w:val="nil"/>
              <w:left w:val="nil"/>
              <w:bottom w:val="double" w:sz="6" w:space="0" w:color="auto"/>
              <w:right w:val="single" w:sz="4" w:space="0" w:color="auto"/>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Δ</w:t>
            </w:r>
            <w:r w:rsidRPr="00017FF5">
              <w:rPr>
                <w:iCs/>
                <w:color w:val="000000"/>
                <w:sz w:val="20"/>
                <w:szCs w:val="20"/>
              </w:rPr>
              <w:t>NPA</w:t>
            </w:r>
            <w:r w:rsidRPr="00017FF5">
              <w:rPr>
                <w:iCs/>
                <w:color w:val="000000"/>
                <w:sz w:val="20"/>
                <w:szCs w:val="20"/>
                <w:vertAlign w:val="subscript"/>
              </w:rPr>
              <w:t>t+1</w:t>
            </w:r>
            <w:r w:rsidRPr="00017FF5">
              <w:rPr>
                <w:iCs/>
                <w:color w:val="000000"/>
                <w:sz w:val="20"/>
                <w:szCs w:val="20"/>
              </w:rPr>
              <w:t xml:space="preserve"> </w:t>
            </w:r>
            <w:r>
              <w:rPr>
                <w:iCs/>
                <w:color w:val="000000"/>
                <w:sz w:val="20"/>
                <w:szCs w:val="20"/>
              </w:rPr>
              <w:t xml:space="preserve">/ </w:t>
            </w:r>
            <w:proofErr w:type="spellStart"/>
            <w:r w:rsidRPr="00017FF5">
              <w:rPr>
                <w:iCs/>
                <w:color w:val="000000"/>
                <w:sz w:val="20"/>
                <w:szCs w:val="20"/>
              </w:rPr>
              <w:t>GBV</w:t>
            </w:r>
            <w:r w:rsidRPr="00017FF5">
              <w:rPr>
                <w:iCs/>
                <w:color w:val="000000"/>
                <w:sz w:val="20"/>
                <w:szCs w:val="20"/>
                <w:vertAlign w:val="subscript"/>
              </w:rPr>
              <w:t>t</w:t>
            </w:r>
            <w:proofErr w:type="spellEnd"/>
          </w:p>
        </w:tc>
        <w:tc>
          <w:tcPr>
            <w:tcW w:w="1417" w:type="dxa"/>
            <w:gridSpan w:val="2"/>
            <w:tcBorders>
              <w:top w:val="nil"/>
              <w:left w:val="single" w:sz="4" w:space="0" w:color="auto"/>
              <w:bottom w:val="double" w:sz="6" w:space="0" w:color="auto"/>
              <w:right w:val="nil"/>
            </w:tcBorders>
            <w:shd w:val="clear" w:color="auto" w:fill="auto"/>
            <w:noWrap/>
            <w:vAlign w:val="bottom"/>
            <w:hideMark/>
          </w:tcPr>
          <w:p w:rsidR="00060302" w:rsidRPr="00017FF5" w:rsidRDefault="00060302" w:rsidP="00030839">
            <w:pPr>
              <w:jc w:val="center"/>
              <w:rPr>
                <w:color w:val="000000"/>
                <w:sz w:val="20"/>
                <w:szCs w:val="20"/>
              </w:rPr>
            </w:pPr>
            <w:r>
              <w:rPr>
                <w:color w:val="000000"/>
                <w:sz w:val="20"/>
                <w:szCs w:val="20"/>
              </w:rPr>
              <w:t>0,</w:t>
            </w:r>
            <w:r w:rsidR="00030839">
              <w:rPr>
                <w:color w:val="000000"/>
                <w:sz w:val="20"/>
                <w:szCs w:val="20"/>
              </w:rPr>
              <w:t>0</w:t>
            </w:r>
            <w:r>
              <w:rPr>
                <w:color w:val="000000"/>
                <w:sz w:val="20"/>
                <w:szCs w:val="20"/>
              </w:rPr>
              <w:t>1</w:t>
            </w:r>
            <w:r w:rsidR="00030839">
              <w:rPr>
                <w:color w:val="000000"/>
                <w:sz w:val="20"/>
                <w:szCs w:val="20"/>
              </w:rPr>
              <w:t>3</w:t>
            </w:r>
          </w:p>
        </w:tc>
        <w:tc>
          <w:tcPr>
            <w:tcW w:w="1418" w:type="dxa"/>
            <w:tcBorders>
              <w:top w:val="nil"/>
              <w:left w:val="nil"/>
              <w:bottom w:val="double" w:sz="6" w:space="0" w:color="auto"/>
              <w:right w:val="nil"/>
            </w:tcBorders>
            <w:shd w:val="clear" w:color="auto" w:fill="auto"/>
            <w:noWrap/>
            <w:vAlign w:val="bottom"/>
            <w:hideMark/>
          </w:tcPr>
          <w:p w:rsidR="00060302" w:rsidRPr="00017FF5" w:rsidRDefault="00060302" w:rsidP="00030839">
            <w:pPr>
              <w:jc w:val="center"/>
              <w:rPr>
                <w:color w:val="000000"/>
                <w:sz w:val="20"/>
                <w:szCs w:val="20"/>
              </w:rPr>
            </w:pPr>
            <w:r>
              <w:rPr>
                <w:color w:val="000000"/>
                <w:sz w:val="20"/>
                <w:szCs w:val="20"/>
              </w:rPr>
              <w:t>0,0</w:t>
            </w:r>
            <w:r w:rsidR="00030839">
              <w:rPr>
                <w:color w:val="000000"/>
                <w:sz w:val="20"/>
                <w:szCs w:val="20"/>
              </w:rPr>
              <w:t>06</w:t>
            </w:r>
          </w:p>
        </w:tc>
        <w:tc>
          <w:tcPr>
            <w:tcW w:w="777" w:type="dxa"/>
            <w:gridSpan w:val="2"/>
            <w:tcBorders>
              <w:top w:val="nil"/>
              <w:left w:val="nil"/>
              <w:bottom w:val="double" w:sz="6" w:space="0" w:color="auto"/>
              <w:right w:val="nil"/>
            </w:tcBorders>
            <w:shd w:val="clear" w:color="auto" w:fill="auto"/>
            <w:noWrap/>
            <w:vAlign w:val="bottom"/>
            <w:hideMark/>
          </w:tcPr>
          <w:p w:rsidR="00060302" w:rsidRPr="00017FF5" w:rsidRDefault="00030839" w:rsidP="00030839">
            <w:pPr>
              <w:jc w:val="center"/>
              <w:rPr>
                <w:color w:val="000000"/>
                <w:sz w:val="20"/>
                <w:szCs w:val="20"/>
              </w:rPr>
            </w:pPr>
            <w:r>
              <w:rPr>
                <w:color w:val="000000"/>
                <w:sz w:val="20"/>
                <w:szCs w:val="20"/>
              </w:rPr>
              <w:t>2</w:t>
            </w:r>
            <w:r w:rsidR="00060302" w:rsidRPr="00017FF5">
              <w:rPr>
                <w:color w:val="000000"/>
                <w:sz w:val="20"/>
                <w:szCs w:val="20"/>
              </w:rPr>
              <w:t>,</w:t>
            </w:r>
            <w:r>
              <w:rPr>
                <w:color w:val="000000"/>
                <w:sz w:val="20"/>
                <w:szCs w:val="20"/>
              </w:rPr>
              <w:t>023</w:t>
            </w:r>
          </w:p>
        </w:tc>
        <w:tc>
          <w:tcPr>
            <w:tcW w:w="1788" w:type="dxa"/>
            <w:gridSpan w:val="2"/>
            <w:tcBorders>
              <w:top w:val="nil"/>
              <w:left w:val="nil"/>
              <w:bottom w:val="double" w:sz="6" w:space="0" w:color="auto"/>
              <w:right w:val="nil"/>
            </w:tcBorders>
            <w:shd w:val="clear" w:color="auto" w:fill="auto"/>
            <w:noWrap/>
            <w:vAlign w:val="bottom"/>
            <w:hideMark/>
          </w:tcPr>
          <w:p w:rsidR="00060302" w:rsidRPr="00017FF5" w:rsidRDefault="00060302" w:rsidP="008B689A">
            <w:pPr>
              <w:jc w:val="center"/>
              <w:rPr>
                <w:color w:val="000000"/>
                <w:sz w:val="20"/>
                <w:szCs w:val="20"/>
              </w:rPr>
            </w:pPr>
            <w:r>
              <w:rPr>
                <w:color w:val="000000"/>
                <w:sz w:val="20"/>
                <w:szCs w:val="20"/>
              </w:rPr>
              <w:t>0,0</w:t>
            </w:r>
            <w:r w:rsidR="00030839">
              <w:rPr>
                <w:color w:val="000000"/>
                <w:sz w:val="20"/>
                <w:szCs w:val="20"/>
              </w:rPr>
              <w:t>44</w:t>
            </w:r>
          </w:p>
        </w:tc>
      </w:tr>
      <w:tr w:rsidR="00060302" w:rsidRPr="008E455B" w:rsidTr="008B689A">
        <w:trPr>
          <w:trHeight w:val="300"/>
        </w:trPr>
        <w:tc>
          <w:tcPr>
            <w:tcW w:w="5104" w:type="dxa"/>
            <w:gridSpan w:val="5"/>
            <w:tcBorders>
              <w:top w:val="nil"/>
              <w:left w:val="nil"/>
              <w:bottom w:val="nil"/>
              <w:right w:val="nil"/>
            </w:tcBorders>
            <w:shd w:val="clear" w:color="auto" w:fill="auto"/>
            <w:noWrap/>
            <w:vAlign w:val="bottom"/>
            <w:hideMark/>
          </w:tcPr>
          <w:p w:rsidR="00060302" w:rsidRPr="00017FF5" w:rsidRDefault="00030839" w:rsidP="00030839">
            <w:pPr>
              <w:rPr>
                <w:color w:val="000000"/>
                <w:sz w:val="20"/>
                <w:szCs w:val="20"/>
              </w:rPr>
            </w:pPr>
            <w:r>
              <w:rPr>
                <w:color w:val="000000"/>
                <w:sz w:val="20"/>
                <w:szCs w:val="20"/>
              </w:rPr>
              <w:t>R = 0,963</w:t>
            </w:r>
          </w:p>
        </w:tc>
        <w:tc>
          <w:tcPr>
            <w:tcW w:w="777" w:type="dxa"/>
            <w:gridSpan w:val="2"/>
            <w:tcBorders>
              <w:top w:val="nil"/>
              <w:left w:val="nil"/>
              <w:bottom w:val="nil"/>
              <w:right w:val="nil"/>
            </w:tcBorders>
            <w:shd w:val="clear" w:color="auto" w:fill="auto"/>
            <w:noWrap/>
            <w:vAlign w:val="bottom"/>
            <w:hideMark/>
          </w:tcPr>
          <w:p w:rsidR="00060302" w:rsidRPr="00017FF5" w:rsidRDefault="00060302" w:rsidP="008B689A">
            <w:pPr>
              <w:rPr>
                <w:color w:val="000000"/>
                <w:sz w:val="20"/>
                <w:szCs w:val="20"/>
              </w:rPr>
            </w:pPr>
          </w:p>
        </w:tc>
        <w:tc>
          <w:tcPr>
            <w:tcW w:w="1788" w:type="dxa"/>
            <w:gridSpan w:val="2"/>
            <w:tcBorders>
              <w:top w:val="nil"/>
              <w:left w:val="nil"/>
              <w:bottom w:val="nil"/>
              <w:right w:val="nil"/>
            </w:tcBorders>
            <w:shd w:val="clear" w:color="auto" w:fill="auto"/>
            <w:noWrap/>
            <w:vAlign w:val="bottom"/>
            <w:hideMark/>
          </w:tcPr>
          <w:p w:rsidR="00060302" w:rsidRPr="00017FF5" w:rsidRDefault="00060302" w:rsidP="008B689A">
            <w:pPr>
              <w:rPr>
                <w:color w:val="000000"/>
                <w:sz w:val="20"/>
                <w:szCs w:val="20"/>
              </w:rPr>
            </w:pPr>
          </w:p>
        </w:tc>
      </w:tr>
      <w:tr w:rsidR="00060302" w:rsidRPr="008E455B" w:rsidTr="008B689A">
        <w:trPr>
          <w:trHeight w:val="300"/>
        </w:trPr>
        <w:tc>
          <w:tcPr>
            <w:tcW w:w="3545" w:type="dxa"/>
            <w:gridSpan w:val="3"/>
            <w:tcBorders>
              <w:top w:val="nil"/>
              <w:left w:val="nil"/>
              <w:bottom w:val="single" w:sz="4" w:space="0" w:color="auto"/>
              <w:right w:val="nil"/>
            </w:tcBorders>
            <w:shd w:val="clear" w:color="auto" w:fill="auto"/>
            <w:noWrap/>
            <w:vAlign w:val="bottom"/>
            <w:hideMark/>
          </w:tcPr>
          <w:p w:rsidR="00060302" w:rsidRDefault="00060302" w:rsidP="008B689A">
            <w:pPr>
              <w:rPr>
                <w:color w:val="000000"/>
                <w:sz w:val="20"/>
                <w:szCs w:val="20"/>
              </w:rPr>
            </w:pPr>
            <w:r>
              <w:rPr>
                <w:color w:val="000000"/>
                <w:sz w:val="20"/>
                <w:szCs w:val="20"/>
              </w:rPr>
              <w:t>R-square = 0,9</w:t>
            </w:r>
            <w:r w:rsidR="00030839">
              <w:rPr>
                <w:color w:val="000000"/>
                <w:sz w:val="20"/>
                <w:szCs w:val="20"/>
              </w:rPr>
              <w:t>27</w:t>
            </w:r>
          </w:p>
          <w:p w:rsidR="00060302" w:rsidRPr="00017FF5" w:rsidRDefault="00060302" w:rsidP="00030839">
            <w:pPr>
              <w:rPr>
                <w:color w:val="000000"/>
                <w:sz w:val="20"/>
                <w:szCs w:val="20"/>
              </w:rPr>
            </w:pPr>
            <w:r>
              <w:rPr>
                <w:color w:val="000000"/>
                <w:sz w:val="20"/>
                <w:szCs w:val="20"/>
              </w:rPr>
              <w:t>Adjusted R-square = 0,9</w:t>
            </w:r>
            <w:r w:rsidR="00030839">
              <w:rPr>
                <w:color w:val="000000"/>
                <w:sz w:val="20"/>
                <w:szCs w:val="20"/>
              </w:rPr>
              <w:t>2</w:t>
            </w:r>
            <w:r>
              <w:rPr>
                <w:color w:val="000000"/>
                <w:sz w:val="20"/>
                <w:szCs w:val="20"/>
              </w:rPr>
              <w:t>6</w:t>
            </w:r>
          </w:p>
        </w:tc>
        <w:tc>
          <w:tcPr>
            <w:tcW w:w="1559" w:type="dxa"/>
            <w:gridSpan w:val="2"/>
            <w:tcBorders>
              <w:top w:val="nil"/>
              <w:left w:val="nil"/>
              <w:bottom w:val="single" w:sz="4" w:space="0" w:color="auto"/>
              <w:right w:val="nil"/>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 </w:t>
            </w:r>
          </w:p>
        </w:tc>
        <w:tc>
          <w:tcPr>
            <w:tcW w:w="777" w:type="dxa"/>
            <w:gridSpan w:val="2"/>
            <w:tcBorders>
              <w:top w:val="nil"/>
              <w:left w:val="nil"/>
              <w:bottom w:val="single" w:sz="4" w:space="0" w:color="auto"/>
              <w:right w:val="nil"/>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 </w:t>
            </w:r>
          </w:p>
        </w:tc>
        <w:tc>
          <w:tcPr>
            <w:tcW w:w="1788" w:type="dxa"/>
            <w:gridSpan w:val="2"/>
            <w:tcBorders>
              <w:top w:val="nil"/>
              <w:left w:val="nil"/>
              <w:bottom w:val="single" w:sz="4" w:space="0" w:color="auto"/>
              <w:right w:val="nil"/>
            </w:tcBorders>
            <w:shd w:val="clear" w:color="auto" w:fill="auto"/>
            <w:noWrap/>
            <w:vAlign w:val="bottom"/>
            <w:hideMark/>
          </w:tcPr>
          <w:p w:rsidR="00060302" w:rsidRPr="00017FF5" w:rsidRDefault="00060302" w:rsidP="008B689A">
            <w:pPr>
              <w:rPr>
                <w:color w:val="000000"/>
                <w:sz w:val="20"/>
                <w:szCs w:val="20"/>
              </w:rPr>
            </w:pPr>
            <w:r w:rsidRPr="00017FF5">
              <w:rPr>
                <w:color w:val="000000"/>
                <w:sz w:val="20"/>
                <w:szCs w:val="20"/>
              </w:rPr>
              <w:t> </w:t>
            </w:r>
          </w:p>
        </w:tc>
      </w:tr>
    </w:tbl>
    <w:p w:rsidR="00B235D1" w:rsidRDefault="00B235D1" w:rsidP="00B235D1">
      <w:pPr>
        <w:spacing w:line="360" w:lineRule="auto"/>
        <w:jc w:val="both"/>
        <w:rPr>
          <w:sz w:val="22"/>
          <w:szCs w:val="22"/>
        </w:rPr>
      </w:pPr>
    </w:p>
    <w:p w:rsidR="00B235D1" w:rsidRPr="00B235D1" w:rsidRDefault="00B235D1" w:rsidP="00B235D1">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9A118E" w:rsidP="008F7280">
      <w:pPr>
        <w:spacing w:line="360" w:lineRule="auto"/>
        <w:jc w:val="both"/>
        <w:rPr>
          <w:sz w:val="22"/>
          <w:szCs w:val="22"/>
        </w:rPr>
      </w:pPr>
    </w:p>
    <w:p w:rsidR="009A118E" w:rsidRDefault="00154A43" w:rsidP="008F7280">
      <w:pPr>
        <w:spacing w:line="360" w:lineRule="auto"/>
        <w:jc w:val="both"/>
        <w:rPr>
          <w:sz w:val="22"/>
          <w:szCs w:val="22"/>
        </w:rPr>
      </w:pPr>
      <w:r>
        <w:rPr>
          <w:sz w:val="22"/>
          <w:szCs w:val="22"/>
        </w:rPr>
        <w:lastRenderedPageBreak/>
        <w:t>The results in table 8</w:t>
      </w:r>
      <w:r w:rsidR="009A118E">
        <w:rPr>
          <w:sz w:val="22"/>
          <w:szCs w:val="22"/>
        </w:rPr>
        <w:t xml:space="preserve"> are similar to the results in </w:t>
      </w:r>
      <w:r w:rsidR="00D723BF">
        <w:rPr>
          <w:sz w:val="22"/>
          <w:szCs w:val="22"/>
        </w:rPr>
        <w:t xml:space="preserve">table 5 for </w:t>
      </w:r>
      <w:r w:rsidR="009A118E">
        <w:rPr>
          <w:sz w:val="22"/>
          <w:szCs w:val="22"/>
        </w:rPr>
        <w:t>the pre-SOX period</w:t>
      </w:r>
      <w:r w:rsidR="00D723BF">
        <w:rPr>
          <w:sz w:val="22"/>
          <w:szCs w:val="22"/>
        </w:rPr>
        <w:t xml:space="preserve"> on page 39. All the coefficients remained positively correlated with LLP. The R</w:t>
      </w:r>
      <w:r w:rsidR="00D723BF">
        <w:rPr>
          <w:sz w:val="22"/>
          <w:szCs w:val="22"/>
          <w:vertAlign w:val="superscript"/>
        </w:rPr>
        <w:t>2</w:t>
      </w:r>
      <w:r w:rsidR="00D723BF">
        <w:rPr>
          <w:sz w:val="22"/>
          <w:szCs w:val="22"/>
        </w:rPr>
        <w:t xml:space="preserve"> and adjusted R</w:t>
      </w:r>
      <w:r w:rsidR="00D723BF">
        <w:rPr>
          <w:sz w:val="22"/>
          <w:szCs w:val="22"/>
          <w:vertAlign w:val="superscript"/>
        </w:rPr>
        <w:t>2</w:t>
      </w:r>
      <w:r w:rsidR="00D723BF">
        <w:rPr>
          <w:sz w:val="22"/>
          <w:szCs w:val="22"/>
        </w:rPr>
        <w:t xml:space="preserve"> have improved slightly compared with the coefficients found for pre-SOX. Next, the descriptive statistics</w:t>
      </w:r>
      <w:r w:rsidR="005542DA">
        <w:rPr>
          <w:sz w:val="22"/>
          <w:szCs w:val="22"/>
        </w:rPr>
        <w:t xml:space="preserve"> and correlations between</w:t>
      </w:r>
      <w:r w:rsidR="00D723BF">
        <w:rPr>
          <w:sz w:val="22"/>
          <w:szCs w:val="22"/>
        </w:rPr>
        <w:t xml:space="preserve"> the estimated DLLP and the control variables are </w:t>
      </w:r>
      <w:r w:rsidR="005542DA">
        <w:rPr>
          <w:sz w:val="22"/>
          <w:szCs w:val="22"/>
        </w:rPr>
        <w:t>measured</w:t>
      </w:r>
      <w:r w:rsidR="00D723BF">
        <w:rPr>
          <w:sz w:val="22"/>
          <w:szCs w:val="22"/>
        </w:rPr>
        <w:t>. The results are reported in the next table:</w:t>
      </w:r>
    </w:p>
    <w:p w:rsidR="00D723BF" w:rsidRDefault="00D723BF" w:rsidP="008F7280">
      <w:pPr>
        <w:spacing w:line="360" w:lineRule="auto"/>
        <w:jc w:val="both"/>
        <w:rPr>
          <w:sz w:val="22"/>
          <w:szCs w:val="22"/>
        </w:rPr>
      </w:pPr>
    </w:p>
    <w:p w:rsidR="00D723BF" w:rsidRPr="00017FF5" w:rsidRDefault="00154A43" w:rsidP="00D723BF">
      <w:pPr>
        <w:jc w:val="center"/>
        <w:rPr>
          <w:b/>
          <w:sz w:val="22"/>
          <w:szCs w:val="22"/>
        </w:rPr>
      </w:pPr>
      <w:r>
        <w:rPr>
          <w:b/>
          <w:sz w:val="22"/>
          <w:szCs w:val="22"/>
        </w:rPr>
        <w:t>Table 9</w:t>
      </w:r>
    </w:p>
    <w:p w:rsidR="00D723BF" w:rsidRPr="005611CF" w:rsidRDefault="00D723BF" w:rsidP="00D723BF">
      <w:pPr>
        <w:pBdr>
          <w:bottom w:val="single" w:sz="4" w:space="0" w:color="auto"/>
        </w:pBdr>
        <w:jc w:val="center"/>
        <w:rPr>
          <w:sz w:val="22"/>
          <w:szCs w:val="22"/>
        </w:rPr>
      </w:pPr>
      <w:r w:rsidRPr="005611CF">
        <w:rPr>
          <w:sz w:val="22"/>
          <w:szCs w:val="22"/>
        </w:rPr>
        <w:t>Summary statistics of DLLP and control variables</w:t>
      </w:r>
      <w:r w:rsidR="008B689A">
        <w:rPr>
          <w:sz w:val="22"/>
          <w:szCs w:val="22"/>
        </w:rPr>
        <w:t xml:space="preserve"> post</w:t>
      </w:r>
      <w:r>
        <w:rPr>
          <w:sz w:val="22"/>
          <w:szCs w:val="22"/>
        </w:rPr>
        <w:t>-SOX</w:t>
      </w:r>
      <w:r w:rsidR="008B689A">
        <w:rPr>
          <w:sz w:val="22"/>
          <w:szCs w:val="22"/>
        </w:rPr>
        <w:t xml:space="preserve"> (N=524</w:t>
      </w:r>
      <w:r>
        <w:rPr>
          <w:sz w:val="22"/>
          <w:szCs w:val="22"/>
        </w:rPr>
        <w:t>)</w:t>
      </w:r>
    </w:p>
    <w:p w:rsidR="00D723BF" w:rsidRPr="00017FF5" w:rsidRDefault="00D723BF" w:rsidP="00D723BF">
      <w:pPr>
        <w:spacing w:before="120"/>
        <w:rPr>
          <w:sz w:val="20"/>
          <w:szCs w:val="20"/>
        </w:rPr>
      </w:pPr>
      <w:r w:rsidRPr="00017FF5">
        <w:rPr>
          <w:sz w:val="20"/>
          <w:szCs w:val="20"/>
        </w:rPr>
        <w:t xml:space="preserve">Panel A: Descriptive </w:t>
      </w:r>
      <w:r>
        <w:rPr>
          <w:sz w:val="20"/>
          <w:szCs w:val="20"/>
        </w:rPr>
        <w:t>S</w:t>
      </w:r>
      <w:r w:rsidRPr="00017FF5">
        <w:rPr>
          <w:sz w:val="20"/>
          <w:szCs w:val="20"/>
        </w:rPr>
        <w:t xml:space="preserve">tatistics </w:t>
      </w:r>
    </w:p>
    <w:tbl>
      <w:tblPr>
        <w:tblW w:w="9087" w:type="dxa"/>
        <w:tblInd w:w="55" w:type="dxa"/>
        <w:tblCellMar>
          <w:left w:w="70" w:type="dxa"/>
          <w:right w:w="70" w:type="dxa"/>
        </w:tblCellMar>
        <w:tblLook w:val="04A0"/>
      </w:tblPr>
      <w:tblGrid>
        <w:gridCol w:w="2283"/>
        <w:gridCol w:w="1560"/>
        <w:gridCol w:w="1275"/>
        <w:gridCol w:w="1418"/>
        <w:gridCol w:w="992"/>
        <w:gridCol w:w="1559"/>
      </w:tblGrid>
      <w:tr w:rsidR="00D723BF" w:rsidRPr="00C9380E" w:rsidTr="008B689A">
        <w:trPr>
          <w:trHeight w:val="315"/>
        </w:trPr>
        <w:tc>
          <w:tcPr>
            <w:tcW w:w="2283" w:type="dxa"/>
            <w:tcBorders>
              <w:top w:val="double" w:sz="6" w:space="0" w:color="auto"/>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Variables</w:t>
            </w:r>
          </w:p>
        </w:tc>
        <w:tc>
          <w:tcPr>
            <w:tcW w:w="1560" w:type="dxa"/>
            <w:tcBorders>
              <w:top w:val="double" w:sz="6"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Mean</w:t>
            </w:r>
          </w:p>
        </w:tc>
        <w:tc>
          <w:tcPr>
            <w:tcW w:w="1275" w:type="dxa"/>
            <w:tcBorders>
              <w:top w:val="double" w:sz="6"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Median</w:t>
            </w:r>
          </w:p>
        </w:tc>
        <w:tc>
          <w:tcPr>
            <w:tcW w:w="1418" w:type="dxa"/>
            <w:tcBorders>
              <w:top w:val="double" w:sz="6"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Std. dev.</w:t>
            </w:r>
          </w:p>
        </w:tc>
        <w:tc>
          <w:tcPr>
            <w:tcW w:w="992" w:type="dxa"/>
            <w:tcBorders>
              <w:top w:val="double" w:sz="6"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Q1</w:t>
            </w:r>
          </w:p>
        </w:tc>
        <w:tc>
          <w:tcPr>
            <w:tcW w:w="1559" w:type="dxa"/>
            <w:tcBorders>
              <w:top w:val="double" w:sz="6"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Q3</w:t>
            </w:r>
          </w:p>
        </w:tc>
      </w:tr>
      <w:tr w:rsidR="00D723BF" w:rsidRPr="00C9380E" w:rsidTr="008B689A">
        <w:trPr>
          <w:trHeight w:val="300"/>
        </w:trPr>
        <w:tc>
          <w:tcPr>
            <w:tcW w:w="2283" w:type="dxa"/>
            <w:tcBorders>
              <w:top w:val="single" w:sz="4" w:space="0" w:color="auto"/>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DLLP</w:t>
            </w:r>
            <w:r w:rsidRPr="00017FF5">
              <w:rPr>
                <w:color w:val="000000"/>
                <w:sz w:val="20"/>
                <w:szCs w:val="20"/>
              </w:rPr>
              <w:t xml:space="preserve"> (%)</w:t>
            </w:r>
          </w:p>
        </w:tc>
        <w:tc>
          <w:tcPr>
            <w:tcW w:w="1560" w:type="dxa"/>
            <w:tcBorders>
              <w:top w:val="single" w:sz="4"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0,000</w:t>
            </w:r>
          </w:p>
        </w:tc>
        <w:tc>
          <w:tcPr>
            <w:tcW w:w="1275" w:type="dxa"/>
            <w:tcBorders>
              <w:top w:val="single" w:sz="4"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0,0</w:t>
            </w:r>
            <w:r w:rsidR="008B689A">
              <w:rPr>
                <w:color w:val="000000"/>
                <w:sz w:val="20"/>
                <w:szCs w:val="20"/>
              </w:rPr>
              <w:t>5</w:t>
            </w:r>
          </w:p>
        </w:tc>
        <w:tc>
          <w:tcPr>
            <w:tcW w:w="1418" w:type="dxa"/>
            <w:tcBorders>
              <w:top w:val="single" w:sz="4"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1</w:t>
            </w:r>
            <w:r w:rsidR="008B689A">
              <w:rPr>
                <w:color w:val="000000"/>
                <w:sz w:val="20"/>
                <w:szCs w:val="20"/>
              </w:rPr>
              <w:t>829</w:t>
            </w:r>
          </w:p>
        </w:tc>
        <w:tc>
          <w:tcPr>
            <w:tcW w:w="992" w:type="dxa"/>
            <w:tcBorders>
              <w:top w:val="single" w:sz="4"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w:t>
            </w:r>
            <w:r w:rsidR="008B689A">
              <w:rPr>
                <w:color w:val="000000"/>
                <w:sz w:val="20"/>
                <w:szCs w:val="20"/>
              </w:rPr>
              <w:t>52</w:t>
            </w:r>
            <w:r>
              <w:rPr>
                <w:color w:val="000000"/>
                <w:sz w:val="20"/>
                <w:szCs w:val="20"/>
              </w:rPr>
              <w:t>9</w:t>
            </w:r>
          </w:p>
        </w:tc>
        <w:tc>
          <w:tcPr>
            <w:tcW w:w="1559" w:type="dxa"/>
            <w:tcBorders>
              <w:top w:val="single" w:sz="4" w:space="0" w:color="auto"/>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w:t>
            </w:r>
            <w:r w:rsidR="008B689A">
              <w:rPr>
                <w:color w:val="000000"/>
                <w:sz w:val="20"/>
                <w:szCs w:val="20"/>
              </w:rPr>
              <w:t>546</w:t>
            </w:r>
          </w:p>
        </w:tc>
      </w:tr>
      <w:tr w:rsidR="00D723BF" w:rsidRPr="00C9380E"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EBTP</w:t>
            </w:r>
          </w:p>
        </w:tc>
        <w:tc>
          <w:tcPr>
            <w:tcW w:w="1560"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186</w:t>
            </w:r>
          </w:p>
        </w:tc>
        <w:tc>
          <w:tcPr>
            <w:tcW w:w="1275"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195</w:t>
            </w:r>
          </w:p>
        </w:tc>
        <w:tc>
          <w:tcPr>
            <w:tcW w:w="1418"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118</w:t>
            </w:r>
          </w:p>
        </w:tc>
        <w:tc>
          <w:tcPr>
            <w:tcW w:w="992"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146</w:t>
            </w:r>
          </w:p>
        </w:tc>
        <w:tc>
          <w:tcPr>
            <w:tcW w:w="1559"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0,23</w:t>
            </w:r>
            <w:r w:rsidR="008B689A">
              <w:rPr>
                <w:color w:val="000000"/>
                <w:sz w:val="20"/>
                <w:szCs w:val="20"/>
              </w:rPr>
              <w:t>7</w:t>
            </w:r>
          </w:p>
        </w:tc>
      </w:tr>
      <w:tr w:rsidR="00D723BF" w:rsidRPr="00C9380E"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Cap_Tier1</w:t>
            </w:r>
            <w:r w:rsidRPr="00017FF5">
              <w:rPr>
                <w:color w:val="000000"/>
                <w:sz w:val="20"/>
                <w:szCs w:val="20"/>
              </w:rPr>
              <w:t xml:space="preserve"> (%)</w:t>
            </w:r>
          </w:p>
        </w:tc>
        <w:tc>
          <w:tcPr>
            <w:tcW w:w="1560"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10</w:t>
            </w:r>
            <w:r w:rsidR="00D723BF" w:rsidRPr="00C9380E">
              <w:rPr>
                <w:color w:val="000000"/>
                <w:sz w:val="20"/>
                <w:szCs w:val="20"/>
              </w:rPr>
              <w:t>,</w:t>
            </w:r>
            <w:r>
              <w:rPr>
                <w:color w:val="000000"/>
                <w:sz w:val="20"/>
                <w:szCs w:val="20"/>
              </w:rPr>
              <w:t>171</w:t>
            </w:r>
          </w:p>
        </w:tc>
        <w:tc>
          <w:tcPr>
            <w:tcW w:w="1275"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9,</w:t>
            </w:r>
            <w:r w:rsidR="008B689A">
              <w:rPr>
                <w:color w:val="000000"/>
                <w:sz w:val="20"/>
                <w:szCs w:val="20"/>
              </w:rPr>
              <w:t>77</w:t>
            </w:r>
          </w:p>
        </w:tc>
        <w:tc>
          <w:tcPr>
            <w:tcW w:w="1418"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2</w:t>
            </w:r>
            <w:r w:rsidR="00D723BF" w:rsidRPr="00C9380E">
              <w:rPr>
                <w:color w:val="000000"/>
                <w:sz w:val="20"/>
                <w:szCs w:val="20"/>
              </w:rPr>
              <w:t>,</w:t>
            </w:r>
            <w:r>
              <w:rPr>
                <w:color w:val="000000"/>
                <w:sz w:val="20"/>
                <w:szCs w:val="20"/>
              </w:rPr>
              <w:t>851</w:t>
            </w:r>
          </w:p>
        </w:tc>
        <w:tc>
          <w:tcPr>
            <w:tcW w:w="992"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8</w:t>
            </w:r>
            <w:r w:rsidR="00D723BF" w:rsidRPr="00C9380E">
              <w:rPr>
                <w:color w:val="000000"/>
                <w:sz w:val="20"/>
                <w:szCs w:val="20"/>
              </w:rPr>
              <w:t>,</w:t>
            </w:r>
            <w:r>
              <w:rPr>
                <w:color w:val="000000"/>
                <w:sz w:val="20"/>
                <w:szCs w:val="20"/>
              </w:rPr>
              <w:t>403</w:t>
            </w:r>
          </w:p>
        </w:tc>
        <w:tc>
          <w:tcPr>
            <w:tcW w:w="1559"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1</w:t>
            </w:r>
            <w:r w:rsidR="008B689A">
              <w:rPr>
                <w:color w:val="000000"/>
                <w:sz w:val="20"/>
                <w:szCs w:val="20"/>
              </w:rPr>
              <w:t>1</w:t>
            </w:r>
            <w:r w:rsidRPr="00C9380E">
              <w:rPr>
                <w:color w:val="000000"/>
                <w:sz w:val="20"/>
                <w:szCs w:val="20"/>
              </w:rPr>
              <w:t>,</w:t>
            </w:r>
            <w:r w:rsidR="008B689A">
              <w:rPr>
                <w:color w:val="000000"/>
                <w:sz w:val="20"/>
                <w:szCs w:val="20"/>
              </w:rPr>
              <w:t>44</w:t>
            </w:r>
          </w:p>
        </w:tc>
      </w:tr>
      <w:tr w:rsidR="00D723BF" w:rsidRPr="00C9380E"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 xml:space="preserve">M V </w:t>
            </w:r>
            <w:r w:rsidRPr="00017FF5">
              <w:rPr>
                <w:color w:val="000000"/>
                <w:sz w:val="20"/>
                <w:szCs w:val="20"/>
              </w:rPr>
              <w:t>(</w:t>
            </w:r>
            <w:r w:rsidRPr="00C9380E">
              <w:rPr>
                <w:color w:val="000000"/>
                <w:sz w:val="20"/>
                <w:szCs w:val="20"/>
              </w:rPr>
              <w:t>in millions</w:t>
            </w:r>
            <w:r w:rsidRPr="00017FF5">
              <w:rPr>
                <w:color w:val="000000"/>
                <w:sz w:val="20"/>
                <w:szCs w:val="20"/>
              </w:rPr>
              <w:t>)</w:t>
            </w:r>
          </w:p>
        </w:tc>
        <w:tc>
          <w:tcPr>
            <w:tcW w:w="1560"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9760,907</w:t>
            </w:r>
          </w:p>
        </w:tc>
        <w:tc>
          <w:tcPr>
            <w:tcW w:w="1275"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1642,49</w:t>
            </w:r>
          </w:p>
        </w:tc>
        <w:tc>
          <w:tcPr>
            <w:tcW w:w="1418"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26310,331</w:t>
            </w:r>
          </w:p>
        </w:tc>
        <w:tc>
          <w:tcPr>
            <w:tcW w:w="992"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851</w:t>
            </w:r>
            <w:r w:rsidR="00D723BF" w:rsidRPr="00C9380E">
              <w:rPr>
                <w:color w:val="000000"/>
                <w:sz w:val="20"/>
                <w:szCs w:val="20"/>
              </w:rPr>
              <w:t>,</w:t>
            </w:r>
            <w:r>
              <w:rPr>
                <w:color w:val="000000"/>
                <w:sz w:val="20"/>
                <w:szCs w:val="20"/>
              </w:rPr>
              <w:t>931</w:t>
            </w:r>
          </w:p>
        </w:tc>
        <w:tc>
          <w:tcPr>
            <w:tcW w:w="1559" w:type="dxa"/>
            <w:tcBorders>
              <w:top w:val="nil"/>
              <w:left w:val="nil"/>
              <w:bottom w:val="nil"/>
              <w:right w:val="nil"/>
            </w:tcBorders>
            <w:shd w:val="clear" w:color="auto" w:fill="auto"/>
            <w:noWrap/>
            <w:vAlign w:val="bottom"/>
            <w:hideMark/>
          </w:tcPr>
          <w:p w:rsidR="00D723BF" w:rsidRPr="00C9380E" w:rsidRDefault="008B689A" w:rsidP="008B689A">
            <w:pPr>
              <w:jc w:val="center"/>
              <w:rPr>
                <w:color w:val="000000"/>
                <w:sz w:val="20"/>
                <w:szCs w:val="20"/>
              </w:rPr>
            </w:pPr>
            <w:r>
              <w:rPr>
                <w:color w:val="000000"/>
                <w:sz w:val="20"/>
                <w:szCs w:val="20"/>
              </w:rPr>
              <w:t>5479</w:t>
            </w:r>
            <w:r w:rsidR="00D723BF" w:rsidRPr="00C9380E">
              <w:rPr>
                <w:color w:val="000000"/>
                <w:sz w:val="20"/>
                <w:szCs w:val="20"/>
              </w:rPr>
              <w:t>,</w:t>
            </w:r>
            <w:r>
              <w:rPr>
                <w:color w:val="000000"/>
                <w:sz w:val="20"/>
                <w:szCs w:val="20"/>
              </w:rPr>
              <w:t>749</w:t>
            </w:r>
          </w:p>
        </w:tc>
      </w:tr>
      <w:tr w:rsidR="00D723BF" w:rsidRPr="00C9380E"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Size</w:t>
            </w:r>
            <w:r w:rsidRPr="00017FF5">
              <w:rPr>
                <w:color w:val="000000"/>
                <w:sz w:val="20"/>
                <w:szCs w:val="20"/>
              </w:rPr>
              <w:t xml:space="preserve"> (log of </w:t>
            </w:r>
            <w:r>
              <w:rPr>
                <w:color w:val="000000"/>
                <w:sz w:val="20"/>
                <w:szCs w:val="20"/>
              </w:rPr>
              <w:t>MV</w:t>
            </w:r>
            <w:r w:rsidRPr="00017FF5">
              <w:rPr>
                <w:color w:val="000000"/>
                <w:sz w:val="20"/>
                <w:szCs w:val="20"/>
              </w:rPr>
              <w:t>)</w:t>
            </w:r>
          </w:p>
        </w:tc>
        <w:tc>
          <w:tcPr>
            <w:tcW w:w="1560"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7,</w:t>
            </w:r>
            <w:r w:rsidR="008B689A">
              <w:rPr>
                <w:color w:val="000000"/>
                <w:sz w:val="20"/>
                <w:szCs w:val="20"/>
              </w:rPr>
              <w:t>763</w:t>
            </w:r>
          </w:p>
        </w:tc>
        <w:tc>
          <w:tcPr>
            <w:tcW w:w="1275"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7,</w:t>
            </w:r>
            <w:r w:rsidR="008B689A">
              <w:rPr>
                <w:color w:val="000000"/>
                <w:sz w:val="20"/>
                <w:szCs w:val="20"/>
              </w:rPr>
              <w:t>404</w:t>
            </w:r>
          </w:p>
        </w:tc>
        <w:tc>
          <w:tcPr>
            <w:tcW w:w="1418"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1,4</w:t>
            </w:r>
            <w:r w:rsidR="008B689A">
              <w:rPr>
                <w:color w:val="000000"/>
                <w:sz w:val="20"/>
                <w:szCs w:val="20"/>
              </w:rPr>
              <w:t>96</w:t>
            </w:r>
          </w:p>
        </w:tc>
        <w:tc>
          <w:tcPr>
            <w:tcW w:w="992"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6,</w:t>
            </w:r>
            <w:r w:rsidR="008B689A">
              <w:rPr>
                <w:color w:val="000000"/>
                <w:sz w:val="20"/>
                <w:szCs w:val="20"/>
              </w:rPr>
              <w:t>748</w:t>
            </w:r>
          </w:p>
        </w:tc>
        <w:tc>
          <w:tcPr>
            <w:tcW w:w="1559" w:type="dxa"/>
            <w:tcBorders>
              <w:top w:val="nil"/>
              <w:left w:val="nil"/>
              <w:bottom w:val="nil"/>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8</w:t>
            </w:r>
            <w:r>
              <w:rPr>
                <w:color w:val="000000"/>
                <w:sz w:val="20"/>
                <w:szCs w:val="20"/>
              </w:rPr>
              <w:t>,</w:t>
            </w:r>
            <w:r w:rsidR="008B689A">
              <w:rPr>
                <w:color w:val="000000"/>
                <w:sz w:val="20"/>
                <w:szCs w:val="20"/>
              </w:rPr>
              <w:t>60</w:t>
            </w:r>
            <w:r>
              <w:rPr>
                <w:color w:val="000000"/>
                <w:sz w:val="20"/>
                <w:szCs w:val="20"/>
              </w:rPr>
              <w:t>9</w:t>
            </w:r>
          </w:p>
        </w:tc>
      </w:tr>
      <w:tr w:rsidR="00D723BF" w:rsidRPr="00C9380E" w:rsidTr="008B689A">
        <w:trPr>
          <w:trHeight w:val="315"/>
        </w:trPr>
        <w:tc>
          <w:tcPr>
            <w:tcW w:w="2283" w:type="dxa"/>
            <w:tcBorders>
              <w:top w:val="nil"/>
              <w:left w:val="nil"/>
              <w:bottom w:val="double" w:sz="6" w:space="0" w:color="auto"/>
              <w:right w:val="single" w:sz="4" w:space="0" w:color="auto"/>
            </w:tcBorders>
            <w:shd w:val="clear" w:color="auto" w:fill="auto"/>
            <w:noWrap/>
            <w:vAlign w:val="bottom"/>
            <w:hideMark/>
          </w:tcPr>
          <w:p w:rsidR="00D723BF" w:rsidRPr="00C9380E" w:rsidRDefault="00D723BF" w:rsidP="008B689A">
            <w:pPr>
              <w:rPr>
                <w:color w:val="000000"/>
                <w:sz w:val="20"/>
                <w:szCs w:val="20"/>
              </w:rPr>
            </w:pPr>
            <w:r w:rsidRPr="00C9380E">
              <w:rPr>
                <w:color w:val="000000"/>
                <w:sz w:val="20"/>
                <w:szCs w:val="20"/>
              </w:rPr>
              <w:t>Tax</w:t>
            </w:r>
          </w:p>
        </w:tc>
        <w:tc>
          <w:tcPr>
            <w:tcW w:w="1560" w:type="dxa"/>
            <w:tcBorders>
              <w:top w:val="nil"/>
              <w:left w:val="nil"/>
              <w:bottom w:val="double" w:sz="6" w:space="0" w:color="auto"/>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272</w:t>
            </w:r>
          </w:p>
        </w:tc>
        <w:tc>
          <w:tcPr>
            <w:tcW w:w="1275" w:type="dxa"/>
            <w:tcBorders>
              <w:top w:val="nil"/>
              <w:left w:val="nil"/>
              <w:bottom w:val="double" w:sz="6" w:space="0" w:color="auto"/>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w:t>
            </w:r>
            <w:r w:rsidR="008B689A">
              <w:rPr>
                <w:color w:val="000000"/>
                <w:sz w:val="20"/>
                <w:szCs w:val="20"/>
              </w:rPr>
              <w:t>322</w:t>
            </w:r>
          </w:p>
        </w:tc>
        <w:tc>
          <w:tcPr>
            <w:tcW w:w="1418" w:type="dxa"/>
            <w:tcBorders>
              <w:top w:val="nil"/>
              <w:left w:val="nil"/>
              <w:bottom w:val="double" w:sz="6" w:space="0" w:color="auto"/>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w:t>
            </w:r>
            <w:r w:rsidR="008B689A">
              <w:rPr>
                <w:color w:val="000000"/>
                <w:sz w:val="20"/>
                <w:szCs w:val="20"/>
              </w:rPr>
              <w:t>406</w:t>
            </w:r>
          </w:p>
        </w:tc>
        <w:tc>
          <w:tcPr>
            <w:tcW w:w="992" w:type="dxa"/>
            <w:tcBorders>
              <w:top w:val="nil"/>
              <w:left w:val="nil"/>
              <w:bottom w:val="double" w:sz="6" w:space="0" w:color="auto"/>
              <w:right w:val="nil"/>
            </w:tcBorders>
            <w:shd w:val="clear" w:color="auto" w:fill="auto"/>
            <w:noWrap/>
            <w:vAlign w:val="bottom"/>
            <w:hideMark/>
          </w:tcPr>
          <w:p w:rsidR="00D723BF" w:rsidRPr="00C9380E" w:rsidRDefault="00D723BF" w:rsidP="008B689A">
            <w:pPr>
              <w:jc w:val="center"/>
              <w:rPr>
                <w:color w:val="000000"/>
                <w:sz w:val="20"/>
                <w:szCs w:val="20"/>
              </w:rPr>
            </w:pPr>
            <w:r w:rsidRPr="00C9380E">
              <w:rPr>
                <w:color w:val="000000"/>
                <w:sz w:val="20"/>
                <w:szCs w:val="20"/>
              </w:rPr>
              <w:t>0,</w:t>
            </w:r>
            <w:r w:rsidR="008B689A">
              <w:rPr>
                <w:color w:val="000000"/>
                <w:sz w:val="20"/>
                <w:szCs w:val="20"/>
              </w:rPr>
              <w:t>29</w:t>
            </w:r>
          </w:p>
        </w:tc>
        <w:tc>
          <w:tcPr>
            <w:tcW w:w="1559" w:type="dxa"/>
            <w:tcBorders>
              <w:top w:val="nil"/>
              <w:left w:val="nil"/>
              <w:bottom w:val="double" w:sz="6" w:space="0" w:color="auto"/>
              <w:right w:val="nil"/>
            </w:tcBorders>
            <w:shd w:val="clear" w:color="auto" w:fill="auto"/>
            <w:noWrap/>
            <w:vAlign w:val="bottom"/>
            <w:hideMark/>
          </w:tcPr>
          <w:p w:rsidR="00D723BF" w:rsidRPr="00C9380E" w:rsidRDefault="00D723BF" w:rsidP="008B689A">
            <w:pPr>
              <w:jc w:val="center"/>
              <w:rPr>
                <w:color w:val="000000"/>
                <w:sz w:val="20"/>
                <w:szCs w:val="20"/>
              </w:rPr>
            </w:pPr>
            <w:r>
              <w:rPr>
                <w:color w:val="000000"/>
                <w:sz w:val="20"/>
                <w:szCs w:val="20"/>
              </w:rPr>
              <w:t>0,</w:t>
            </w:r>
            <w:r w:rsidR="008B689A">
              <w:rPr>
                <w:color w:val="000000"/>
                <w:sz w:val="20"/>
                <w:szCs w:val="20"/>
              </w:rPr>
              <w:t>35</w:t>
            </w:r>
          </w:p>
        </w:tc>
      </w:tr>
    </w:tbl>
    <w:p w:rsidR="00D723BF" w:rsidRDefault="00D723BF" w:rsidP="00D723BF">
      <w:pPr>
        <w:spacing w:line="360" w:lineRule="auto"/>
        <w:rPr>
          <w:sz w:val="18"/>
          <w:szCs w:val="18"/>
        </w:rPr>
      </w:pPr>
      <w:r w:rsidRPr="006B5327">
        <w:rPr>
          <w:sz w:val="18"/>
          <w:szCs w:val="18"/>
        </w:rPr>
        <w:t>DLLP</w:t>
      </w:r>
      <w:r>
        <w:rPr>
          <w:sz w:val="18"/>
          <w:szCs w:val="18"/>
        </w:rPr>
        <w:t xml:space="preserve"> </w:t>
      </w:r>
      <w:r w:rsidRPr="006B5327">
        <w:rPr>
          <w:sz w:val="18"/>
          <w:szCs w:val="18"/>
        </w:rPr>
        <w:t>=</w:t>
      </w:r>
      <w:r>
        <w:rPr>
          <w:sz w:val="18"/>
          <w:szCs w:val="18"/>
        </w:rPr>
        <w:tab/>
        <w:t>Discretionary loan loss provisions as a percentage of net book value of common equity plus allowance of loan loss.</w:t>
      </w:r>
    </w:p>
    <w:p w:rsidR="00D723BF" w:rsidRDefault="00D723BF" w:rsidP="00D723BF">
      <w:pPr>
        <w:spacing w:line="360" w:lineRule="auto"/>
        <w:rPr>
          <w:sz w:val="18"/>
          <w:szCs w:val="18"/>
        </w:rPr>
      </w:pPr>
      <w:r>
        <w:rPr>
          <w:sz w:val="18"/>
          <w:szCs w:val="18"/>
        </w:rPr>
        <w:t>EBTP = Earnings before tax and provisions, scaled by net book value of common equity plus loan loss allowance.</w:t>
      </w:r>
    </w:p>
    <w:p w:rsidR="00D723BF" w:rsidRDefault="00D723BF" w:rsidP="00D723BF">
      <w:pPr>
        <w:spacing w:line="360" w:lineRule="auto"/>
        <w:rPr>
          <w:sz w:val="18"/>
          <w:szCs w:val="18"/>
        </w:rPr>
      </w:pPr>
      <w:r>
        <w:rPr>
          <w:sz w:val="18"/>
          <w:szCs w:val="18"/>
        </w:rPr>
        <w:t>Cap_Tier1 = Risk adjusted capital Tier 1 ratio.</w:t>
      </w:r>
    </w:p>
    <w:p w:rsidR="00D723BF" w:rsidRDefault="00D723BF" w:rsidP="00D723BF">
      <w:pPr>
        <w:spacing w:line="360" w:lineRule="auto"/>
        <w:rPr>
          <w:sz w:val="18"/>
          <w:szCs w:val="18"/>
        </w:rPr>
      </w:pPr>
      <w:r>
        <w:rPr>
          <w:sz w:val="18"/>
          <w:szCs w:val="18"/>
        </w:rPr>
        <w:t>Market Value = Market value of common outstanding shares (in millions).</w:t>
      </w:r>
    </w:p>
    <w:p w:rsidR="00D723BF" w:rsidRDefault="00D723BF" w:rsidP="00D723BF">
      <w:pPr>
        <w:spacing w:line="360" w:lineRule="auto"/>
        <w:rPr>
          <w:sz w:val="18"/>
          <w:szCs w:val="18"/>
        </w:rPr>
      </w:pPr>
      <w:r>
        <w:rPr>
          <w:sz w:val="18"/>
          <w:szCs w:val="18"/>
        </w:rPr>
        <w:t>Size = Natural logarithm of market value (in millions of dollars).</w:t>
      </w:r>
    </w:p>
    <w:p w:rsidR="00D723BF" w:rsidRPr="00251157" w:rsidRDefault="00D723BF" w:rsidP="00D723BF">
      <w:pPr>
        <w:spacing w:line="360" w:lineRule="auto"/>
        <w:rPr>
          <w:sz w:val="18"/>
          <w:szCs w:val="18"/>
        </w:rPr>
      </w:pPr>
      <w:r>
        <w:rPr>
          <w:sz w:val="18"/>
          <w:szCs w:val="18"/>
        </w:rPr>
        <w:t>Tax = I</w:t>
      </w:r>
      <w:r w:rsidRPr="00F904FD">
        <w:rPr>
          <w:sz w:val="18"/>
          <w:szCs w:val="18"/>
        </w:rPr>
        <w:t>ncome tax expense scaled by net income before tax</w:t>
      </w:r>
      <w:r>
        <w:rPr>
          <w:sz w:val="18"/>
          <w:szCs w:val="18"/>
        </w:rPr>
        <w:t>.</w:t>
      </w:r>
    </w:p>
    <w:p w:rsidR="00D723BF" w:rsidRPr="00017FF5" w:rsidRDefault="00D723BF" w:rsidP="00D723BF">
      <w:pPr>
        <w:spacing w:before="120"/>
        <w:rPr>
          <w:sz w:val="20"/>
          <w:szCs w:val="20"/>
        </w:rPr>
      </w:pPr>
      <w:r w:rsidRPr="00017FF5">
        <w:rPr>
          <w:sz w:val="20"/>
          <w:szCs w:val="20"/>
        </w:rPr>
        <w:t xml:space="preserve">Panel B: </w:t>
      </w:r>
      <w:r>
        <w:rPr>
          <w:sz w:val="20"/>
          <w:szCs w:val="20"/>
        </w:rPr>
        <w:t>Pearson Correlation</w:t>
      </w:r>
    </w:p>
    <w:tbl>
      <w:tblPr>
        <w:tblW w:w="9157" w:type="dxa"/>
        <w:tblInd w:w="55" w:type="dxa"/>
        <w:tblCellMar>
          <w:left w:w="70" w:type="dxa"/>
          <w:right w:w="70" w:type="dxa"/>
        </w:tblCellMar>
        <w:tblLook w:val="04A0"/>
      </w:tblPr>
      <w:tblGrid>
        <w:gridCol w:w="2283"/>
        <w:gridCol w:w="1017"/>
        <w:gridCol w:w="1251"/>
        <w:gridCol w:w="1276"/>
        <w:gridCol w:w="851"/>
        <w:gridCol w:w="1134"/>
        <w:gridCol w:w="708"/>
        <w:gridCol w:w="637"/>
      </w:tblGrid>
      <w:tr w:rsidR="00D723BF" w:rsidRPr="002B420B" w:rsidTr="008B689A">
        <w:trPr>
          <w:trHeight w:val="315"/>
        </w:trPr>
        <w:tc>
          <w:tcPr>
            <w:tcW w:w="2283" w:type="dxa"/>
            <w:tcBorders>
              <w:top w:val="double" w:sz="6" w:space="0" w:color="auto"/>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Variables</w:t>
            </w:r>
          </w:p>
        </w:tc>
        <w:tc>
          <w:tcPr>
            <w:tcW w:w="1017"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DLLP</w:t>
            </w:r>
          </w:p>
        </w:tc>
        <w:tc>
          <w:tcPr>
            <w:tcW w:w="1251"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Equity incentive CEO</w:t>
            </w:r>
          </w:p>
        </w:tc>
        <w:tc>
          <w:tcPr>
            <w:tcW w:w="1276"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Equity incentive CFO</w:t>
            </w:r>
          </w:p>
        </w:tc>
        <w:tc>
          <w:tcPr>
            <w:tcW w:w="851"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EBTP</w:t>
            </w:r>
          </w:p>
        </w:tc>
        <w:tc>
          <w:tcPr>
            <w:tcW w:w="1134"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CAP Tier 1</w:t>
            </w:r>
          </w:p>
        </w:tc>
        <w:tc>
          <w:tcPr>
            <w:tcW w:w="708"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Size</w:t>
            </w:r>
          </w:p>
        </w:tc>
        <w:tc>
          <w:tcPr>
            <w:tcW w:w="637" w:type="dxa"/>
            <w:tcBorders>
              <w:top w:val="double" w:sz="6"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Tax</w:t>
            </w:r>
          </w:p>
        </w:tc>
      </w:tr>
      <w:tr w:rsidR="00D723BF" w:rsidRPr="002B420B" w:rsidTr="008B689A">
        <w:trPr>
          <w:trHeight w:val="300"/>
        </w:trPr>
        <w:tc>
          <w:tcPr>
            <w:tcW w:w="2283" w:type="dxa"/>
            <w:tcBorders>
              <w:top w:val="single" w:sz="4" w:space="0" w:color="auto"/>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DLLP</w:t>
            </w:r>
          </w:p>
        </w:tc>
        <w:tc>
          <w:tcPr>
            <w:tcW w:w="1017"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1251"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c>
          <w:tcPr>
            <w:tcW w:w="1276"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c>
          <w:tcPr>
            <w:tcW w:w="851"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c>
          <w:tcPr>
            <w:tcW w:w="1134"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c>
          <w:tcPr>
            <w:tcW w:w="708"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c>
          <w:tcPr>
            <w:tcW w:w="637" w:type="dxa"/>
            <w:tcBorders>
              <w:top w:val="single" w:sz="4" w:space="0" w:color="auto"/>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 </w:t>
            </w:r>
          </w:p>
        </w:tc>
      </w:tr>
      <w:tr w:rsidR="00D723BF" w:rsidRPr="002B420B"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Equity incentive CEO</w:t>
            </w:r>
          </w:p>
        </w:tc>
        <w:tc>
          <w:tcPr>
            <w:tcW w:w="101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,0</w:t>
            </w:r>
            <w:r w:rsidR="004E69BA">
              <w:rPr>
                <w:color w:val="000000"/>
                <w:sz w:val="20"/>
                <w:szCs w:val="20"/>
              </w:rPr>
              <w:t>77*</w:t>
            </w:r>
          </w:p>
        </w:tc>
        <w:tc>
          <w:tcPr>
            <w:tcW w:w="12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1276"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8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1134"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r>
      <w:tr w:rsidR="00D723BF" w:rsidRPr="002B420B"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Equity incentive CFO</w:t>
            </w:r>
          </w:p>
        </w:tc>
        <w:tc>
          <w:tcPr>
            <w:tcW w:w="101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Pr>
                <w:color w:val="000000"/>
                <w:sz w:val="20"/>
                <w:szCs w:val="20"/>
              </w:rPr>
              <w:t>-</w:t>
            </w:r>
            <w:r w:rsidRPr="00C436D9">
              <w:rPr>
                <w:color w:val="000000"/>
                <w:sz w:val="20"/>
                <w:szCs w:val="20"/>
              </w:rPr>
              <w:t>,0</w:t>
            </w:r>
            <w:r w:rsidR="004E69BA">
              <w:rPr>
                <w:color w:val="000000"/>
                <w:sz w:val="20"/>
                <w:szCs w:val="20"/>
              </w:rPr>
              <w:t>30</w:t>
            </w:r>
          </w:p>
        </w:tc>
        <w:tc>
          <w:tcPr>
            <w:tcW w:w="1251" w:type="dxa"/>
            <w:tcBorders>
              <w:top w:val="nil"/>
              <w:left w:val="nil"/>
              <w:bottom w:val="nil"/>
              <w:right w:val="nil"/>
            </w:tcBorders>
            <w:shd w:val="clear" w:color="auto" w:fill="auto"/>
            <w:noWrap/>
            <w:vAlign w:val="bottom"/>
            <w:hideMark/>
          </w:tcPr>
          <w:p w:rsidR="00D723BF" w:rsidRPr="00C436D9" w:rsidRDefault="00D723BF" w:rsidP="004E69BA">
            <w:pPr>
              <w:jc w:val="center"/>
              <w:rPr>
                <w:color w:val="000000"/>
                <w:sz w:val="20"/>
                <w:szCs w:val="20"/>
              </w:rPr>
            </w:pPr>
            <w:r w:rsidRPr="00C436D9">
              <w:rPr>
                <w:color w:val="000000"/>
                <w:sz w:val="20"/>
                <w:szCs w:val="20"/>
              </w:rPr>
              <w:t>,</w:t>
            </w:r>
            <w:r w:rsidR="004E69BA">
              <w:rPr>
                <w:color w:val="000000"/>
                <w:sz w:val="20"/>
                <w:szCs w:val="20"/>
              </w:rPr>
              <w:t>243</w:t>
            </w:r>
            <w:r w:rsidRPr="00C436D9">
              <w:rPr>
                <w:color w:val="000000"/>
                <w:sz w:val="20"/>
                <w:szCs w:val="20"/>
              </w:rPr>
              <w:t>**</w:t>
            </w:r>
          </w:p>
        </w:tc>
        <w:tc>
          <w:tcPr>
            <w:tcW w:w="1276"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8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1134"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r>
      <w:tr w:rsidR="00D723BF" w:rsidRPr="002B420B"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EBTP</w:t>
            </w:r>
          </w:p>
        </w:tc>
        <w:tc>
          <w:tcPr>
            <w:tcW w:w="101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Pr>
                <w:color w:val="000000"/>
                <w:sz w:val="20"/>
                <w:szCs w:val="20"/>
              </w:rPr>
              <w:t>,</w:t>
            </w:r>
            <w:r w:rsidR="004E69BA">
              <w:rPr>
                <w:color w:val="000000"/>
                <w:sz w:val="20"/>
                <w:szCs w:val="20"/>
              </w:rPr>
              <w:t>013</w:t>
            </w:r>
          </w:p>
        </w:tc>
        <w:tc>
          <w:tcPr>
            <w:tcW w:w="12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064</w:t>
            </w:r>
          </w:p>
        </w:tc>
        <w:tc>
          <w:tcPr>
            <w:tcW w:w="1276"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,0</w:t>
            </w:r>
            <w:r w:rsidR="004E69BA">
              <w:rPr>
                <w:color w:val="000000"/>
                <w:sz w:val="20"/>
                <w:szCs w:val="20"/>
              </w:rPr>
              <w:t>84*</w:t>
            </w:r>
          </w:p>
        </w:tc>
        <w:tc>
          <w:tcPr>
            <w:tcW w:w="8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1134"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708"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r>
      <w:tr w:rsidR="00D723BF" w:rsidRPr="002B420B" w:rsidTr="008B689A">
        <w:trPr>
          <w:trHeight w:val="300"/>
        </w:trPr>
        <w:tc>
          <w:tcPr>
            <w:tcW w:w="2283" w:type="dxa"/>
            <w:tcBorders>
              <w:top w:val="nil"/>
              <w:left w:val="nil"/>
              <w:bottom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CAP Tier 1</w:t>
            </w:r>
          </w:p>
        </w:tc>
        <w:tc>
          <w:tcPr>
            <w:tcW w:w="1017" w:type="dxa"/>
            <w:tcBorders>
              <w:top w:val="nil"/>
              <w:left w:val="nil"/>
              <w:bottom w:val="nil"/>
              <w:right w:val="nil"/>
            </w:tcBorders>
            <w:shd w:val="clear" w:color="auto" w:fill="auto"/>
            <w:noWrap/>
            <w:vAlign w:val="bottom"/>
            <w:hideMark/>
          </w:tcPr>
          <w:p w:rsidR="00D723BF" w:rsidRPr="00C436D9" w:rsidRDefault="004E69BA" w:rsidP="008B689A">
            <w:pPr>
              <w:jc w:val="center"/>
              <w:rPr>
                <w:color w:val="000000"/>
                <w:sz w:val="20"/>
                <w:szCs w:val="20"/>
              </w:rPr>
            </w:pPr>
            <w:r>
              <w:rPr>
                <w:color w:val="000000"/>
                <w:sz w:val="20"/>
                <w:szCs w:val="20"/>
              </w:rPr>
              <w:t>-</w:t>
            </w:r>
            <w:r w:rsidR="00D723BF" w:rsidRPr="00C436D9">
              <w:rPr>
                <w:color w:val="000000"/>
                <w:sz w:val="20"/>
                <w:szCs w:val="20"/>
              </w:rPr>
              <w:t>,</w:t>
            </w:r>
            <w:r>
              <w:rPr>
                <w:color w:val="000000"/>
                <w:sz w:val="20"/>
                <w:szCs w:val="20"/>
              </w:rPr>
              <w:t>014</w:t>
            </w:r>
          </w:p>
        </w:tc>
        <w:tc>
          <w:tcPr>
            <w:tcW w:w="1251"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012</w:t>
            </w:r>
          </w:p>
        </w:tc>
        <w:tc>
          <w:tcPr>
            <w:tcW w:w="1276" w:type="dxa"/>
            <w:tcBorders>
              <w:top w:val="nil"/>
              <w:left w:val="nil"/>
              <w:bottom w:val="nil"/>
              <w:right w:val="nil"/>
            </w:tcBorders>
            <w:shd w:val="clear" w:color="auto" w:fill="auto"/>
            <w:noWrap/>
            <w:vAlign w:val="bottom"/>
            <w:hideMark/>
          </w:tcPr>
          <w:p w:rsidR="00D723BF" w:rsidRPr="00C436D9" w:rsidRDefault="00D723BF" w:rsidP="004E69BA">
            <w:pPr>
              <w:jc w:val="center"/>
              <w:rPr>
                <w:color w:val="000000"/>
                <w:sz w:val="20"/>
                <w:szCs w:val="20"/>
              </w:rPr>
            </w:pPr>
            <w:r>
              <w:rPr>
                <w:color w:val="000000"/>
                <w:sz w:val="20"/>
                <w:szCs w:val="20"/>
              </w:rPr>
              <w:t>,</w:t>
            </w:r>
            <w:r w:rsidR="004E69BA">
              <w:rPr>
                <w:color w:val="000000"/>
                <w:sz w:val="20"/>
                <w:szCs w:val="20"/>
              </w:rPr>
              <w:t>063</w:t>
            </w:r>
          </w:p>
        </w:tc>
        <w:tc>
          <w:tcPr>
            <w:tcW w:w="851" w:type="dxa"/>
            <w:tcBorders>
              <w:top w:val="nil"/>
              <w:left w:val="nil"/>
              <w:bottom w:val="nil"/>
              <w:right w:val="nil"/>
            </w:tcBorders>
            <w:shd w:val="clear" w:color="auto" w:fill="auto"/>
            <w:noWrap/>
            <w:vAlign w:val="bottom"/>
            <w:hideMark/>
          </w:tcPr>
          <w:p w:rsidR="00D723BF" w:rsidRPr="00C436D9" w:rsidRDefault="004E69BA" w:rsidP="008B689A">
            <w:pPr>
              <w:jc w:val="center"/>
              <w:rPr>
                <w:color w:val="000000"/>
                <w:sz w:val="20"/>
                <w:szCs w:val="20"/>
              </w:rPr>
            </w:pPr>
            <w:r>
              <w:rPr>
                <w:color w:val="000000"/>
                <w:sz w:val="20"/>
                <w:szCs w:val="20"/>
              </w:rPr>
              <w:t>-</w:t>
            </w:r>
            <w:r w:rsidR="00D723BF" w:rsidRPr="00C436D9">
              <w:rPr>
                <w:color w:val="000000"/>
                <w:sz w:val="20"/>
                <w:szCs w:val="20"/>
              </w:rPr>
              <w:t>,</w:t>
            </w:r>
            <w:r>
              <w:rPr>
                <w:color w:val="000000"/>
                <w:sz w:val="20"/>
                <w:szCs w:val="20"/>
              </w:rPr>
              <w:t>023</w:t>
            </w:r>
          </w:p>
        </w:tc>
        <w:tc>
          <w:tcPr>
            <w:tcW w:w="1134"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708"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c>
          <w:tcPr>
            <w:tcW w:w="637" w:type="dxa"/>
            <w:tcBorders>
              <w:top w:val="nil"/>
              <w:left w:val="nil"/>
              <w:bottom w:val="nil"/>
              <w:right w:val="nil"/>
            </w:tcBorders>
            <w:shd w:val="clear" w:color="auto" w:fill="auto"/>
            <w:noWrap/>
            <w:vAlign w:val="bottom"/>
            <w:hideMark/>
          </w:tcPr>
          <w:p w:rsidR="00D723BF" w:rsidRPr="00C436D9" w:rsidRDefault="00D723BF" w:rsidP="008B689A">
            <w:pPr>
              <w:jc w:val="center"/>
              <w:rPr>
                <w:color w:val="000000"/>
                <w:sz w:val="20"/>
                <w:szCs w:val="20"/>
              </w:rPr>
            </w:pPr>
          </w:p>
        </w:tc>
      </w:tr>
      <w:tr w:rsidR="00D723BF" w:rsidRPr="002B420B" w:rsidTr="008B689A">
        <w:trPr>
          <w:trHeight w:val="300"/>
        </w:trPr>
        <w:tc>
          <w:tcPr>
            <w:tcW w:w="2283" w:type="dxa"/>
            <w:tcBorders>
              <w:top w:val="nil"/>
              <w:left w:val="nil"/>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Size</w:t>
            </w:r>
          </w:p>
        </w:tc>
        <w:tc>
          <w:tcPr>
            <w:tcW w:w="1017" w:type="dxa"/>
            <w:tcBorders>
              <w:top w:val="nil"/>
              <w:left w:val="nil"/>
              <w:right w:val="nil"/>
            </w:tcBorders>
            <w:shd w:val="clear" w:color="auto" w:fill="auto"/>
            <w:noWrap/>
            <w:vAlign w:val="bottom"/>
            <w:hideMark/>
          </w:tcPr>
          <w:p w:rsidR="00D723BF" w:rsidRPr="00C436D9" w:rsidRDefault="00D723BF" w:rsidP="004E69BA">
            <w:pPr>
              <w:jc w:val="center"/>
              <w:rPr>
                <w:color w:val="000000"/>
                <w:sz w:val="20"/>
                <w:szCs w:val="20"/>
              </w:rPr>
            </w:pPr>
            <w:r w:rsidRPr="00C436D9">
              <w:rPr>
                <w:color w:val="000000"/>
                <w:sz w:val="20"/>
                <w:szCs w:val="20"/>
              </w:rPr>
              <w:t>-,0</w:t>
            </w:r>
            <w:r w:rsidR="004E69BA">
              <w:rPr>
                <w:color w:val="000000"/>
                <w:sz w:val="20"/>
                <w:szCs w:val="20"/>
              </w:rPr>
              <w:t>6</w:t>
            </w:r>
            <w:r>
              <w:rPr>
                <w:color w:val="000000"/>
                <w:sz w:val="20"/>
                <w:szCs w:val="20"/>
              </w:rPr>
              <w:t>2</w:t>
            </w:r>
          </w:p>
        </w:tc>
        <w:tc>
          <w:tcPr>
            <w:tcW w:w="1251" w:type="dxa"/>
            <w:tcBorders>
              <w:top w:val="nil"/>
              <w:left w:val="nil"/>
              <w:right w:val="nil"/>
            </w:tcBorders>
            <w:shd w:val="clear" w:color="auto" w:fill="auto"/>
            <w:noWrap/>
            <w:vAlign w:val="bottom"/>
            <w:hideMark/>
          </w:tcPr>
          <w:p w:rsidR="00D723BF" w:rsidRPr="00C436D9" w:rsidRDefault="00D723BF" w:rsidP="008B689A">
            <w:pPr>
              <w:jc w:val="center"/>
              <w:rPr>
                <w:color w:val="000000"/>
                <w:sz w:val="20"/>
                <w:szCs w:val="20"/>
              </w:rPr>
            </w:pPr>
            <w:r>
              <w:rPr>
                <w:color w:val="000000"/>
                <w:sz w:val="20"/>
                <w:szCs w:val="20"/>
              </w:rPr>
              <w:t>-</w:t>
            </w:r>
            <w:r w:rsidRPr="00C436D9">
              <w:rPr>
                <w:color w:val="000000"/>
                <w:sz w:val="20"/>
                <w:szCs w:val="20"/>
              </w:rPr>
              <w:t>,2</w:t>
            </w:r>
            <w:r w:rsidR="004E69BA">
              <w:rPr>
                <w:color w:val="000000"/>
                <w:sz w:val="20"/>
                <w:szCs w:val="20"/>
              </w:rPr>
              <w:t>8</w:t>
            </w:r>
            <w:r>
              <w:rPr>
                <w:color w:val="000000"/>
                <w:sz w:val="20"/>
                <w:szCs w:val="20"/>
              </w:rPr>
              <w:t>9</w:t>
            </w:r>
            <w:r w:rsidRPr="00C436D9">
              <w:rPr>
                <w:color w:val="000000"/>
                <w:sz w:val="20"/>
                <w:szCs w:val="20"/>
              </w:rPr>
              <w:t>**</w:t>
            </w:r>
          </w:p>
        </w:tc>
        <w:tc>
          <w:tcPr>
            <w:tcW w:w="1276" w:type="dxa"/>
            <w:tcBorders>
              <w:top w:val="nil"/>
              <w:left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,171</w:t>
            </w:r>
            <w:r w:rsidRPr="00C436D9">
              <w:rPr>
                <w:color w:val="000000"/>
                <w:sz w:val="20"/>
                <w:szCs w:val="20"/>
              </w:rPr>
              <w:t>**</w:t>
            </w:r>
          </w:p>
        </w:tc>
        <w:tc>
          <w:tcPr>
            <w:tcW w:w="851" w:type="dxa"/>
            <w:tcBorders>
              <w:top w:val="nil"/>
              <w:left w:val="nil"/>
              <w:right w:val="nil"/>
            </w:tcBorders>
            <w:shd w:val="clear" w:color="auto" w:fill="auto"/>
            <w:noWrap/>
            <w:vAlign w:val="bottom"/>
            <w:hideMark/>
          </w:tcPr>
          <w:p w:rsidR="00D723BF" w:rsidRPr="00C436D9" w:rsidRDefault="004E69BA" w:rsidP="008B689A">
            <w:pPr>
              <w:jc w:val="center"/>
              <w:rPr>
                <w:color w:val="000000"/>
                <w:sz w:val="20"/>
                <w:szCs w:val="20"/>
              </w:rPr>
            </w:pPr>
            <w:r>
              <w:rPr>
                <w:color w:val="000000"/>
                <w:sz w:val="20"/>
                <w:szCs w:val="20"/>
              </w:rPr>
              <w:t>,241</w:t>
            </w:r>
            <w:r w:rsidR="00D723BF" w:rsidRPr="00C436D9">
              <w:rPr>
                <w:color w:val="000000"/>
                <w:sz w:val="20"/>
                <w:szCs w:val="20"/>
              </w:rPr>
              <w:t>**</w:t>
            </w:r>
          </w:p>
        </w:tc>
        <w:tc>
          <w:tcPr>
            <w:tcW w:w="1134" w:type="dxa"/>
            <w:tcBorders>
              <w:top w:val="nil"/>
              <w:left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246**</w:t>
            </w:r>
          </w:p>
        </w:tc>
        <w:tc>
          <w:tcPr>
            <w:tcW w:w="708" w:type="dxa"/>
            <w:tcBorders>
              <w:top w:val="nil"/>
              <w:left w:val="nil"/>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c>
          <w:tcPr>
            <w:tcW w:w="637" w:type="dxa"/>
            <w:tcBorders>
              <w:top w:val="nil"/>
              <w:left w:val="nil"/>
              <w:right w:val="nil"/>
            </w:tcBorders>
            <w:shd w:val="clear" w:color="auto" w:fill="auto"/>
            <w:noWrap/>
            <w:vAlign w:val="bottom"/>
            <w:hideMark/>
          </w:tcPr>
          <w:p w:rsidR="00D723BF" w:rsidRPr="00C436D9" w:rsidRDefault="00D723BF" w:rsidP="008B689A">
            <w:pPr>
              <w:jc w:val="center"/>
              <w:rPr>
                <w:color w:val="000000"/>
                <w:sz w:val="20"/>
                <w:szCs w:val="20"/>
              </w:rPr>
            </w:pPr>
          </w:p>
        </w:tc>
      </w:tr>
      <w:tr w:rsidR="00D723BF" w:rsidRPr="002B420B" w:rsidTr="008B689A">
        <w:trPr>
          <w:trHeight w:val="315"/>
        </w:trPr>
        <w:tc>
          <w:tcPr>
            <w:tcW w:w="2283" w:type="dxa"/>
            <w:tcBorders>
              <w:top w:val="nil"/>
              <w:left w:val="nil"/>
              <w:bottom w:val="double" w:sz="4" w:space="0" w:color="auto"/>
              <w:right w:val="single" w:sz="4" w:space="0" w:color="auto"/>
            </w:tcBorders>
            <w:shd w:val="clear" w:color="auto" w:fill="auto"/>
            <w:noWrap/>
            <w:vAlign w:val="bottom"/>
            <w:hideMark/>
          </w:tcPr>
          <w:p w:rsidR="00D723BF" w:rsidRPr="00C436D9" w:rsidRDefault="00D723BF" w:rsidP="008B689A">
            <w:pPr>
              <w:rPr>
                <w:color w:val="000000"/>
                <w:sz w:val="20"/>
                <w:szCs w:val="20"/>
              </w:rPr>
            </w:pPr>
            <w:r w:rsidRPr="00C436D9">
              <w:rPr>
                <w:color w:val="000000"/>
                <w:sz w:val="20"/>
                <w:szCs w:val="20"/>
              </w:rPr>
              <w:t>Tax</w:t>
            </w:r>
          </w:p>
        </w:tc>
        <w:tc>
          <w:tcPr>
            <w:tcW w:w="1017" w:type="dxa"/>
            <w:tcBorders>
              <w:top w:val="nil"/>
              <w:left w:val="single" w:sz="4" w:space="0" w:color="auto"/>
              <w:bottom w:val="double" w:sz="4" w:space="0" w:color="auto"/>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,0</w:t>
            </w:r>
            <w:r w:rsidR="004E69BA">
              <w:rPr>
                <w:color w:val="000000"/>
                <w:sz w:val="20"/>
                <w:szCs w:val="20"/>
              </w:rPr>
              <w:t>89*</w:t>
            </w:r>
          </w:p>
        </w:tc>
        <w:tc>
          <w:tcPr>
            <w:tcW w:w="1251" w:type="dxa"/>
            <w:tcBorders>
              <w:top w:val="nil"/>
              <w:bottom w:val="double" w:sz="4" w:space="0" w:color="auto"/>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,0</w:t>
            </w:r>
            <w:r w:rsidR="004E69BA">
              <w:rPr>
                <w:color w:val="000000"/>
                <w:sz w:val="20"/>
                <w:szCs w:val="20"/>
              </w:rPr>
              <w:t>43</w:t>
            </w:r>
          </w:p>
        </w:tc>
        <w:tc>
          <w:tcPr>
            <w:tcW w:w="1276" w:type="dxa"/>
            <w:tcBorders>
              <w:top w:val="nil"/>
              <w:bottom w:val="double" w:sz="4" w:space="0" w:color="auto"/>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023</w:t>
            </w:r>
          </w:p>
        </w:tc>
        <w:tc>
          <w:tcPr>
            <w:tcW w:w="851" w:type="dxa"/>
            <w:tcBorders>
              <w:top w:val="nil"/>
              <w:bottom w:val="double" w:sz="4" w:space="0" w:color="auto"/>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131</w:t>
            </w:r>
            <w:r w:rsidRPr="00C436D9">
              <w:rPr>
                <w:color w:val="000000"/>
                <w:sz w:val="20"/>
                <w:szCs w:val="20"/>
              </w:rPr>
              <w:t>**</w:t>
            </w:r>
          </w:p>
        </w:tc>
        <w:tc>
          <w:tcPr>
            <w:tcW w:w="1134" w:type="dxa"/>
            <w:tcBorders>
              <w:top w:val="nil"/>
              <w:bottom w:val="double" w:sz="4" w:space="0" w:color="auto"/>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w:t>
            </w:r>
            <w:r w:rsidR="004E69BA">
              <w:rPr>
                <w:color w:val="000000"/>
                <w:sz w:val="20"/>
                <w:szCs w:val="20"/>
              </w:rPr>
              <w:t>043</w:t>
            </w:r>
          </w:p>
        </w:tc>
        <w:tc>
          <w:tcPr>
            <w:tcW w:w="708" w:type="dxa"/>
            <w:tcBorders>
              <w:top w:val="nil"/>
              <w:bottom w:val="double" w:sz="4" w:space="0" w:color="auto"/>
            </w:tcBorders>
            <w:shd w:val="clear" w:color="auto" w:fill="auto"/>
            <w:noWrap/>
            <w:vAlign w:val="bottom"/>
            <w:hideMark/>
          </w:tcPr>
          <w:p w:rsidR="00D723BF" w:rsidRPr="00C436D9" w:rsidRDefault="00D723BF" w:rsidP="004E69BA">
            <w:pPr>
              <w:jc w:val="center"/>
              <w:rPr>
                <w:color w:val="000000"/>
                <w:sz w:val="20"/>
                <w:szCs w:val="20"/>
              </w:rPr>
            </w:pPr>
            <w:r w:rsidRPr="00C436D9">
              <w:rPr>
                <w:color w:val="000000"/>
                <w:sz w:val="20"/>
                <w:szCs w:val="20"/>
              </w:rPr>
              <w:t>,0</w:t>
            </w:r>
            <w:r w:rsidR="004E69BA">
              <w:rPr>
                <w:color w:val="000000"/>
                <w:sz w:val="20"/>
                <w:szCs w:val="20"/>
              </w:rPr>
              <w:t>12</w:t>
            </w:r>
          </w:p>
        </w:tc>
        <w:tc>
          <w:tcPr>
            <w:tcW w:w="637" w:type="dxa"/>
            <w:tcBorders>
              <w:top w:val="nil"/>
              <w:bottom w:val="double" w:sz="4" w:space="0" w:color="auto"/>
              <w:right w:val="nil"/>
            </w:tcBorders>
            <w:shd w:val="clear" w:color="auto" w:fill="auto"/>
            <w:noWrap/>
            <w:vAlign w:val="bottom"/>
            <w:hideMark/>
          </w:tcPr>
          <w:p w:rsidR="00D723BF" w:rsidRPr="00C436D9" w:rsidRDefault="00D723BF" w:rsidP="008B689A">
            <w:pPr>
              <w:jc w:val="center"/>
              <w:rPr>
                <w:color w:val="000000"/>
                <w:sz w:val="20"/>
                <w:szCs w:val="20"/>
              </w:rPr>
            </w:pPr>
            <w:r w:rsidRPr="00C436D9">
              <w:rPr>
                <w:color w:val="000000"/>
                <w:sz w:val="20"/>
                <w:szCs w:val="20"/>
              </w:rPr>
              <w:t>1</w:t>
            </w:r>
          </w:p>
        </w:tc>
      </w:tr>
      <w:tr w:rsidR="00D723BF" w:rsidRPr="002B420B" w:rsidTr="004E69BA">
        <w:trPr>
          <w:trHeight w:val="534"/>
        </w:trPr>
        <w:tc>
          <w:tcPr>
            <w:tcW w:w="9157" w:type="dxa"/>
            <w:gridSpan w:val="8"/>
            <w:tcBorders>
              <w:top w:val="double" w:sz="4" w:space="0" w:color="auto"/>
              <w:left w:val="nil"/>
              <w:bottom w:val="single" w:sz="4" w:space="0" w:color="auto"/>
              <w:right w:val="nil"/>
            </w:tcBorders>
            <w:shd w:val="clear" w:color="auto" w:fill="auto"/>
            <w:noWrap/>
            <w:vAlign w:val="bottom"/>
            <w:hideMark/>
          </w:tcPr>
          <w:p w:rsidR="00D723BF" w:rsidRPr="004E69BA" w:rsidRDefault="004E69BA" w:rsidP="004E69BA">
            <w:pPr>
              <w:rPr>
                <w:color w:val="000000"/>
                <w:sz w:val="18"/>
                <w:szCs w:val="18"/>
              </w:rPr>
            </w:pPr>
            <w:r w:rsidRPr="004E69BA">
              <w:rPr>
                <w:color w:val="000000"/>
                <w:sz w:val="18"/>
                <w:szCs w:val="18"/>
              </w:rPr>
              <w:t>*</w:t>
            </w:r>
            <w:r>
              <w:rPr>
                <w:color w:val="000000"/>
                <w:sz w:val="18"/>
                <w:szCs w:val="18"/>
              </w:rPr>
              <w:t xml:space="preserve"> </w:t>
            </w:r>
            <w:r w:rsidRPr="004E69BA">
              <w:rPr>
                <w:color w:val="000000"/>
                <w:sz w:val="18"/>
                <w:szCs w:val="18"/>
              </w:rPr>
              <w:t>=</w:t>
            </w:r>
            <w:r w:rsidRPr="00C436D9">
              <w:rPr>
                <w:color w:val="000000"/>
                <w:sz w:val="18"/>
                <w:szCs w:val="18"/>
              </w:rPr>
              <w:t xml:space="preserve"> Correl</w:t>
            </w:r>
            <w:r>
              <w:rPr>
                <w:color w:val="000000"/>
                <w:sz w:val="18"/>
                <w:szCs w:val="18"/>
              </w:rPr>
              <w:t>ation is significant at the 0.05</w:t>
            </w:r>
            <w:r w:rsidRPr="00C436D9">
              <w:rPr>
                <w:color w:val="000000"/>
                <w:sz w:val="18"/>
                <w:szCs w:val="18"/>
              </w:rPr>
              <w:t xml:space="preserve"> level (1-tailed).</w:t>
            </w:r>
          </w:p>
          <w:p w:rsidR="00D723BF" w:rsidRPr="00C436D9" w:rsidRDefault="00D723BF" w:rsidP="008B689A">
            <w:pPr>
              <w:rPr>
                <w:color w:val="000000"/>
                <w:sz w:val="18"/>
                <w:szCs w:val="18"/>
              </w:rPr>
            </w:pPr>
            <w:r w:rsidRPr="00C436D9">
              <w:rPr>
                <w:color w:val="000000"/>
                <w:sz w:val="18"/>
                <w:szCs w:val="18"/>
              </w:rPr>
              <w:t>** = Correlation is significant at the 0.01 level (1-tailed).</w:t>
            </w:r>
          </w:p>
        </w:tc>
      </w:tr>
    </w:tbl>
    <w:p w:rsidR="00D723BF" w:rsidRDefault="00D723BF" w:rsidP="00D723BF"/>
    <w:p w:rsidR="002C7560" w:rsidRDefault="002C7560" w:rsidP="008C35DC">
      <w:pPr>
        <w:spacing w:line="360" w:lineRule="auto"/>
        <w:jc w:val="both"/>
        <w:rPr>
          <w:sz w:val="22"/>
          <w:szCs w:val="22"/>
        </w:rPr>
      </w:pPr>
    </w:p>
    <w:p w:rsidR="008C35DC" w:rsidRDefault="008C35DC" w:rsidP="008C35DC">
      <w:pPr>
        <w:spacing w:line="360" w:lineRule="auto"/>
        <w:jc w:val="both"/>
        <w:rPr>
          <w:sz w:val="22"/>
          <w:szCs w:val="22"/>
        </w:rPr>
      </w:pPr>
      <w:r>
        <w:rPr>
          <w:sz w:val="22"/>
          <w:szCs w:val="22"/>
        </w:rPr>
        <w:t>In panel A the mean and median of DLLP are close to zer</w:t>
      </w:r>
      <w:r w:rsidR="00821206">
        <w:rPr>
          <w:sz w:val="22"/>
          <w:szCs w:val="22"/>
        </w:rPr>
        <w:t xml:space="preserve">o, like in </w:t>
      </w:r>
      <w:r>
        <w:rPr>
          <w:sz w:val="22"/>
          <w:szCs w:val="22"/>
        </w:rPr>
        <w:t xml:space="preserve">post-SOX. The distribution is less spread and runs from -0,529 in the lower quartile to 0,546 in the upper quartile. This means that </w:t>
      </w:r>
      <w:r w:rsidR="00BB1352">
        <w:rPr>
          <w:sz w:val="22"/>
          <w:szCs w:val="22"/>
        </w:rPr>
        <w:t xml:space="preserve">DLLPs are lower and </w:t>
      </w:r>
      <w:r>
        <w:rPr>
          <w:sz w:val="22"/>
          <w:szCs w:val="22"/>
        </w:rPr>
        <w:t>earnings management is less extreme in the post-SOX period.</w:t>
      </w:r>
      <w:r w:rsidR="00BB1352">
        <w:rPr>
          <w:sz w:val="22"/>
          <w:szCs w:val="22"/>
        </w:rPr>
        <w:t xml:space="preserve"> </w:t>
      </w:r>
      <w:r w:rsidR="00082001">
        <w:rPr>
          <w:sz w:val="22"/>
          <w:szCs w:val="22"/>
        </w:rPr>
        <w:t>For the histogram distribution of DLLPs, see</w:t>
      </w:r>
      <w:r w:rsidR="00BB1352">
        <w:rPr>
          <w:sz w:val="22"/>
          <w:szCs w:val="22"/>
        </w:rPr>
        <w:t xml:space="preserve"> Appendix 1. </w:t>
      </w:r>
      <w:r>
        <w:rPr>
          <w:sz w:val="22"/>
          <w:szCs w:val="22"/>
        </w:rPr>
        <w:t>The descriptive statistics of the other variables don’t differ much from the pre-SOX period.</w:t>
      </w:r>
      <w:r w:rsidR="002C7560">
        <w:rPr>
          <w:sz w:val="22"/>
          <w:szCs w:val="22"/>
        </w:rPr>
        <w:t xml:space="preserve"> </w:t>
      </w:r>
    </w:p>
    <w:p w:rsidR="002C7560" w:rsidRDefault="002C7560" w:rsidP="008C35DC">
      <w:pPr>
        <w:spacing w:line="360" w:lineRule="auto"/>
        <w:jc w:val="both"/>
        <w:rPr>
          <w:sz w:val="22"/>
          <w:szCs w:val="22"/>
        </w:rPr>
      </w:pPr>
    </w:p>
    <w:p w:rsidR="009A118E" w:rsidRDefault="00154A43" w:rsidP="008F7280">
      <w:pPr>
        <w:spacing w:line="360" w:lineRule="auto"/>
        <w:jc w:val="both"/>
        <w:rPr>
          <w:sz w:val="22"/>
          <w:szCs w:val="22"/>
        </w:rPr>
      </w:pPr>
      <w:r>
        <w:rPr>
          <w:sz w:val="22"/>
          <w:szCs w:val="22"/>
        </w:rPr>
        <w:lastRenderedPageBreak/>
        <w:t>Panel B of table 9</w:t>
      </w:r>
      <w:r w:rsidR="008C35DC">
        <w:rPr>
          <w:sz w:val="22"/>
          <w:szCs w:val="22"/>
        </w:rPr>
        <w:t xml:space="preserve"> presents the correlation of DLLP, equity incentives and control variables for t</w:t>
      </w:r>
      <w:r w:rsidR="00821206">
        <w:rPr>
          <w:sz w:val="22"/>
          <w:szCs w:val="22"/>
        </w:rPr>
        <w:t>he</w:t>
      </w:r>
      <w:r w:rsidR="008C35DC">
        <w:rPr>
          <w:sz w:val="22"/>
          <w:szCs w:val="22"/>
        </w:rPr>
        <w:t xml:space="preserve"> post-SOX period.  </w:t>
      </w:r>
      <w:r w:rsidR="002C7560">
        <w:rPr>
          <w:sz w:val="22"/>
          <w:szCs w:val="22"/>
        </w:rPr>
        <w:t>An important finding is that there is a positive correlation between CEO equity inc</w:t>
      </w:r>
      <w:r w:rsidR="00821206">
        <w:rPr>
          <w:sz w:val="22"/>
          <w:szCs w:val="22"/>
        </w:rPr>
        <w:t>entives and DLLP, where in</w:t>
      </w:r>
      <w:r w:rsidR="002C7560">
        <w:rPr>
          <w:sz w:val="22"/>
          <w:szCs w:val="22"/>
        </w:rPr>
        <w:t xml:space="preserve"> pre-SOX it was found negative. This indicates that</w:t>
      </w:r>
      <w:r w:rsidR="00CD7B9A">
        <w:rPr>
          <w:sz w:val="22"/>
          <w:szCs w:val="22"/>
        </w:rPr>
        <w:t xml:space="preserve"> when</w:t>
      </w:r>
      <w:r w:rsidR="002C7560">
        <w:rPr>
          <w:sz w:val="22"/>
          <w:szCs w:val="22"/>
        </w:rPr>
        <w:t xml:space="preserve"> CEO equity incentives</w:t>
      </w:r>
      <w:r w:rsidR="00CD7B9A">
        <w:rPr>
          <w:sz w:val="22"/>
          <w:szCs w:val="22"/>
        </w:rPr>
        <w:t xml:space="preserve"> goes up, the DLLP are also goes up. </w:t>
      </w:r>
      <w:r w:rsidR="002C7560">
        <w:rPr>
          <w:sz w:val="22"/>
          <w:szCs w:val="22"/>
        </w:rPr>
        <w:t>The correlation between CFO equity incentives and DLLP remains negative.</w:t>
      </w:r>
      <w:r w:rsidR="000D303D">
        <w:rPr>
          <w:sz w:val="22"/>
          <w:szCs w:val="22"/>
        </w:rPr>
        <w:t xml:space="preserve"> </w:t>
      </w:r>
      <w:r w:rsidR="00B9052A">
        <w:rPr>
          <w:sz w:val="22"/>
          <w:szCs w:val="22"/>
        </w:rPr>
        <w:t>In</w:t>
      </w:r>
      <w:r w:rsidR="00CD7B9A">
        <w:rPr>
          <w:sz w:val="22"/>
          <w:szCs w:val="22"/>
        </w:rPr>
        <w:t xml:space="preserve"> the second stage</w:t>
      </w:r>
      <w:r w:rsidR="00B9052A">
        <w:rPr>
          <w:sz w:val="22"/>
          <w:szCs w:val="22"/>
        </w:rPr>
        <w:t>, the</w:t>
      </w:r>
      <w:r w:rsidR="00CD7B9A">
        <w:rPr>
          <w:sz w:val="22"/>
          <w:szCs w:val="22"/>
        </w:rPr>
        <w:t xml:space="preserve"> regression </w:t>
      </w:r>
      <w:r w:rsidR="00D412AE">
        <w:rPr>
          <w:sz w:val="22"/>
          <w:szCs w:val="22"/>
        </w:rPr>
        <w:t xml:space="preserve">is performed </w:t>
      </w:r>
      <w:r w:rsidR="00CD7B9A">
        <w:rPr>
          <w:sz w:val="22"/>
          <w:szCs w:val="22"/>
        </w:rPr>
        <w:t>between DLLP and the control variables for the post-SOX period. The results are reported in the table below:</w:t>
      </w:r>
    </w:p>
    <w:p w:rsidR="009A118E" w:rsidRDefault="009A118E" w:rsidP="008F7280">
      <w:pPr>
        <w:spacing w:line="360" w:lineRule="auto"/>
        <w:jc w:val="both"/>
        <w:rPr>
          <w:sz w:val="22"/>
          <w:szCs w:val="22"/>
        </w:rPr>
      </w:pPr>
    </w:p>
    <w:p w:rsidR="00CD7B9A" w:rsidRPr="005611CF" w:rsidRDefault="00154A43" w:rsidP="00CD7B9A">
      <w:pPr>
        <w:jc w:val="center"/>
        <w:rPr>
          <w:b/>
          <w:sz w:val="22"/>
          <w:szCs w:val="22"/>
        </w:rPr>
      </w:pPr>
      <w:r>
        <w:rPr>
          <w:b/>
          <w:sz w:val="22"/>
          <w:szCs w:val="22"/>
        </w:rPr>
        <w:t>Table 10</w:t>
      </w:r>
    </w:p>
    <w:p w:rsidR="00CD7B9A" w:rsidRDefault="00CD7B9A" w:rsidP="00CD7B9A">
      <w:pPr>
        <w:jc w:val="center"/>
        <w:rPr>
          <w:sz w:val="22"/>
          <w:szCs w:val="22"/>
        </w:rPr>
      </w:pPr>
      <w:r>
        <w:rPr>
          <w:sz w:val="22"/>
          <w:szCs w:val="22"/>
        </w:rPr>
        <w:t>Regression analysis of DLLP and equity incentives post-SOX (N=524)</w:t>
      </w:r>
    </w:p>
    <w:tbl>
      <w:tblPr>
        <w:tblW w:w="8262" w:type="dxa"/>
        <w:jc w:val="center"/>
        <w:tblInd w:w="-1054" w:type="dxa"/>
        <w:tblCellMar>
          <w:left w:w="70" w:type="dxa"/>
          <w:right w:w="70" w:type="dxa"/>
        </w:tblCellMar>
        <w:tblLook w:val="04A0"/>
      </w:tblPr>
      <w:tblGrid>
        <w:gridCol w:w="2580"/>
        <w:gridCol w:w="1835"/>
        <w:gridCol w:w="2005"/>
        <w:gridCol w:w="1842"/>
      </w:tblGrid>
      <w:tr w:rsidR="00CD7B9A" w:rsidRPr="009653B4" w:rsidTr="00CD7B9A">
        <w:trPr>
          <w:trHeight w:val="330"/>
          <w:jc w:val="center"/>
        </w:trPr>
        <w:tc>
          <w:tcPr>
            <w:tcW w:w="2580" w:type="dxa"/>
            <w:tcBorders>
              <w:top w:val="double" w:sz="6" w:space="0" w:color="auto"/>
              <w:left w:val="nil"/>
              <w:bottom w:val="single" w:sz="8" w:space="0" w:color="auto"/>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Variables</w:t>
            </w:r>
          </w:p>
        </w:tc>
        <w:tc>
          <w:tcPr>
            <w:tcW w:w="1835" w:type="dxa"/>
            <w:tcBorders>
              <w:top w:val="double" w:sz="6" w:space="0" w:color="auto"/>
              <w:left w:val="nil"/>
              <w:bottom w:val="single" w:sz="8" w:space="0" w:color="auto"/>
              <w:right w:val="nil"/>
            </w:tcBorders>
            <w:shd w:val="clear" w:color="auto" w:fill="auto"/>
            <w:noWrap/>
            <w:vAlign w:val="bottom"/>
            <w:hideMark/>
          </w:tcPr>
          <w:p w:rsidR="00CD7B9A" w:rsidRPr="009653B4" w:rsidRDefault="00CD7B9A" w:rsidP="00CD7B9A">
            <w:pPr>
              <w:jc w:val="center"/>
              <w:rPr>
                <w:color w:val="000000"/>
                <w:sz w:val="20"/>
                <w:szCs w:val="20"/>
                <w:lang w:val="nl-NL"/>
              </w:rPr>
            </w:pPr>
            <w:r w:rsidRPr="009653B4">
              <w:rPr>
                <w:color w:val="000000"/>
                <w:sz w:val="20"/>
                <w:szCs w:val="20"/>
              </w:rPr>
              <w:t>(1)</w:t>
            </w:r>
          </w:p>
        </w:tc>
        <w:tc>
          <w:tcPr>
            <w:tcW w:w="2005" w:type="dxa"/>
            <w:tcBorders>
              <w:top w:val="double" w:sz="6" w:space="0" w:color="auto"/>
              <w:left w:val="nil"/>
              <w:bottom w:val="single" w:sz="8" w:space="0" w:color="auto"/>
              <w:right w:val="nil"/>
            </w:tcBorders>
            <w:shd w:val="clear" w:color="auto" w:fill="auto"/>
            <w:noWrap/>
            <w:vAlign w:val="bottom"/>
            <w:hideMark/>
          </w:tcPr>
          <w:p w:rsidR="00CD7B9A" w:rsidRPr="009653B4" w:rsidRDefault="00CD7B9A" w:rsidP="00CD7B9A">
            <w:pPr>
              <w:jc w:val="center"/>
              <w:rPr>
                <w:color w:val="000000"/>
                <w:sz w:val="20"/>
                <w:szCs w:val="20"/>
                <w:lang w:val="nl-NL"/>
              </w:rPr>
            </w:pPr>
            <w:r w:rsidRPr="009653B4">
              <w:rPr>
                <w:color w:val="000000"/>
                <w:sz w:val="20"/>
                <w:szCs w:val="20"/>
              </w:rPr>
              <w:t>(2)</w:t>
            </w:r>
          </w:p>
        </w:tc>
        <w:tc>
          <w:tcPr>
            <w:tcW w:w="1842" w:type="dxa"/>
            <w:tcBorders>
              <w:top w:val="double" w:sz="6" w:space="0" w:color="auto"/>
              <w:left w:val="nil"/>
              <w:bottom w:val="single" w:sz="8" w:space="0" w:color="auto"/>
              <w:right w:val="nil"/>
            </w:tcBorders>
            <w:shd w:val="clear" w:color="auto" w:fill="auto"/>
            <w:noWrap/>
            <w:vAlign w:val="bottom"/>
            <w:hideMark/>
          </w:tcPr>
          <w:p w:rsidR="00CD7B9A" w:rsidRPr="009653B4" w:rsidRDefault="00CD7B9A" w:rsidP="00CD7B9A">
            <w:pPr>
              <w:jc w:val="center"/>
              <w:rPr>
                <w:color w:val="000000"/>
                <w:sz w:val="20"/>
                <w:szCs w:val="20"/>
                <w:lang w:val="nl-NL"/>
              </w:rPr>
            </w:pPr>
            <w:r w:rsidRPr="009653B4">
              <w:rPr>
                <w:color w:val="000000"/>
                <w:sz w:val="20"/>
                <w:szCs w:val="20"/>
              </w:rPr>
              <w:t>(3)</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Equity incentive CEO</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sidRPr="009653B4">
              <w:rPr>
                <w:rFonts w:ascii="Calibri" w:hAnsi="Calibri" w:cs="Calibri"/>
                <w:color w:val="000000"/>
                <w:sz w:val="22"/>
                <w:szCs w:val="22"/>
                <w:lang w:val="nl-NL"/>
              </w:rPr>
              <w:t>0,</w:t>
            </w:r>
            <w:r>
              <w:rPr>
                <w:rFonts w:ascii="Calibri" w:hAnsi="Calibri" w:cs="Calibri"/>
                <w:color w:val="000000"/>
                <w:sz w:val="22"/>
                <w:szCs w:val="22"/>
                <w:lang w:val="nl-NL"/>
              </w:rPr>
              <w:t>031</w:t>
            </w: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sidRPr="009653B4">
              <w:rPr>
                <w:rFonts w:ascii="Calibri" w:hAnsi="Calibri" w:cs="Calibri"/>
                <w:color w:val="000000"/>
                <w:sz w:val="22"/>
                <w:szCs w:val="22"/>
                <w:lang w:val="nl-NL"/>
              </w:rPr>
              <w:t> </w:t>
            </w:r>
          </w:p>
        </w:tc>
        <w:tc>
          <w:tcPr>
            <w:tcW w:w="1842" w:type="dxa"/>
            <w:tcBorders>
              <w:top w:val="nil"/>
              <w:left w:val="nil"/>
              <w:bottom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sidRPr="009653B4">
              <w:rPr>
                <w:rFonts w:ascii="Calibri" w:hAnsi="Calibri" w:cs="Calibri"/>
                <w:color w:val="000000"/>
                <w:sz w:val="22"/>
                <w:szCs w:val="22"/>
                <w:lang w:val="nl-NL"/>
              </w:rPr>
              <w:t>0,0</w:t>
            </w:r>
            <w:r w:rsidR="000C6490">
              <w:rPr>
                <w:rFonts w:ascii="Calibri" w:hAnsi="Calibri" w:cs="Calibri"/>
                <w:color w:val="000000"/>
                <w:sz w:val="22"/>
                <w:szCs w:val="22"/>
                <w:lang w:val="nl-NL"/>
              </w:rPr>
              <w:t>38</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w:t>
            </w:r>
            <w:r>
              <w:rPr>
                <w:rFonts w:ascii="Calibri" w:hAnsi="Calibri" w:cs="Calibri"/>
                <w:color w:val="000000"/>
                <w:sz w:val="22"/>
                <w:szCs w:val="22"/>
                <w:lang w:val="nl-NL"/>
              </w:rPr>
              <w:t>225)</w:t>
            </w: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p>
        </w:tc>
        <w:tc>
          <w:tcPr>
            <w:tcW w:w="1842"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,312</w:t>
            </w:r>
            <w:r>
              <w:rPr>
                <w:rFonts w:ascii="Calibri" w:hAnsi="Calibri" w:cs="Calibri"/>
                <w:color w:val="000000"/>
                <w:sz w:val="22"/>
                <w:szCs w:val="22"/>
                <w:lang w:val="nl-NL"/>
              </w:rPr>
              <w:t>)</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Equity incentive CFO</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p>
        </w:tc>
        <w:tc>
          <w:tcPr>
            <w:tcW w:w="2005" w:type="dxa"/>
            <w:tcBorders>
              <w:top w:val="nil"/>
              <w:left w:val="nil"/>
              <w:bottom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sidRPr="009653B4">
              <w:rPr>
                <w:rFonts w:ascii="Calibri" w:hAnsi="Calibri" w:cs="Calibri"/>
                <w:color w:val="000000"/>
                <w:sz w:val="22"/>
                <w:szCs w:val="22"/>
                <w:lang w:val="nl-NL"/>
              </w:rPr>
              <w:t>-0,</w:t>
            </w:r>
            <w:r w:rsidR="000C6490">
              <w:rPr>
                <w:rFonts w:ascii="Calibri" w:hAnsi="Calibri" w:cs="Calibri"/>
                <w:color w:val="000000"/>
                <w:sz w:val="22"/>
                <w:szCs w:val="22"/>
                <w:lang w:val="nl-NL"/>
              </w:rPr>
              <w:t>110</w:t>
            </w:r>
          </w:p>
        </w:tc>
        <w:tc>
          <w:tcPr>
            <w:tcW w:w="1842"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-0,140</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,302</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,197</w:t>
            </w:r>
            <w:r>
              <w:rPr>
                <w:rFonts w:ascii="Calibri" w:hAnsi="Calibri" w:cs="Calibri"/>
                <w:color w:val="000000"/>
                <w:sz w:val="22"/>
                <w:szCs w:val="22"/>
                <w:lang w:val="nl-NL"/>
              </w:rPr>
              <w:t>)</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EBTP</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0</w:t>
            </w:r>
            <w:r w:rsidRPr="009653B4">
              <w:rPr>
                <w:rFonts w:ascii="Calibri" w:hAnsi="Calibri" w:cs="Calibri"/>
                <w:color w:val="000000"/>
                <w:sz w:val="22"/>
                <w:szCs w:val="22"/>
                <w:lang w:val="nl-NL"/>
              </w:rPr>
              <w:t>,</w:t>
            </w:r>
            <w:r>
              <w:rPr>
                <w:rFonts w:ascii="Calibri" w:hAnsi="Calibri" w:cs="Calibri"/>
                <w:color w:val="000000"/>
                <w:sz w:val="22"/>
                <w:szCs w:val="22"/>
                <w:lang w:val="nl-NL"/>
              </w:rPr>
              <w:t>173</w:t>
            </w:r>
          </w:p>
        </w:tc>
        <w:tc>
          <w:tcPr>
            <w:tcW w:w="2005"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0,388</w:t>
            </w:r>
          </w:p>
        </w:tc>
        <w:tc>
          <w:tcPr>
            <w:tcW w:w="1842"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0,266</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w:t>
            </w:r>
            <w:r>
              <w:rPr>
                <w:rFonts w:ascii="Calibri" w:hAnsi="Calibri" w:cs="Calibri"/>
                <w:color w:val="000000"/>
                <w:sz w:val="22"/>
                <w:szCs w:val="22"/>
                <w:lang w:val="nl-NL"/>
              </w:rPr>
              <w:t>8</w:t>
            </w:r>
            <w:r w:rsidRPr="009653B4">
              <w:rPr>
                <w:rFonts w:ascii="Calibri" w:hAnsi="Calibri" w:cs="Calibri"/>
                <w:color w:val="000000"/>
                <w:sz w:val="22"/>
                <w:szCs w:val="22"/>
                <w:lang w:val="nl-NL"/>
              </w:rPr>
              <w:t>0</w:t>
            </w:r>
            <w:r>
              <w:rPr>
                <w:rFonts w:ascii="Calibri" w:hAnsi="Calibri" w:cs="Calibri"/>
                <w:color w:val="000000"/>
                <w:sz w:val="22"/>
                <w:szCs w:val="22"/>
                <w:lang w:val="nl-NL"/>
              </w:rPr>
              <w:t>8)</w:t>
            </w: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,584</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,708</w:t>
            </w:r>
            <w:r>
              <w:rPr>
                <w:rFonts w:ascii="Calibri" w:hAnsi="Calibri" w:cs="Calibri"/>
                <w:color w:val="000000"/>
                <w:sz w:val="22"/>
                <w:szCs w:val="22"/>
                <w:lang w:val="nl-NL"/>
              </w:rPr>
              <w:t>)</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CAP Tier 1</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-0,021</w:t>
            </w:r>
          </w:p>
        </w:tc>
        <w:tc>
          <w:tcPr>
            <w:tcW w:w="2005"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-0,023</w:t>
            </w:r>
          </w:p>
        </w:tc>
        <w:tc>
          <w:tcPr>
            <w:tcW w:w="1842"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-0,020</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(,475)</w:t>
            </w:r>
          </w:p>
        </w:tc>
        <w:tc>
          <w:tcPr>
            <w:tcW w:w="2005" w:type="dxa"/>
            <w:tcBorders>
              <w:top w:val="nil"/>
              <w:left w:val="nil"/>
              <w:bottom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w:t>
            </w:r>
            <w:r w:rsidR="000C6490">
              <w:rPr>
                <w:rFonts w:ascii="Calibri" w:hAnsi="Calibri" w:cs="Calibri"/>
                <w:color w:val="000000"/>
                <w:sz w:val="22"/>
                <w:szCs w:val="22"/>
                <w:lang w:val="nl-NL"/>
              </w:rPr>
              <w:t>432</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w:t>
            </w:r>
            <w:r w:rsidR="000C6490">
              <w:rPr>
                <w:rFonts w:ascii="Calibri" w:hAnsi="Calibri" w:cs="Calibri"/>
                <w:color w:val="000000"/>
                <w:sz w:val="22"/>
                <w:szCs w:val="22"/>
                <w:lang w:val="nl-NL"/>
              </w:rPr>
              <w:t>500</w:t>
            </w:r>
            <w:r>
              <w:rPr>
                <w:rFonts w:ascii="Calibri" w:hAnsi="Calibri" w:cs="Calibri"/>
                <w:color w:val="000000"/>
                <w:sz w:val="22"/>
                <w:szCs w:val="22"/>
                <w:lang w:val="nl-NL"/>
              </w:rPr>
              <w:t>)</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Size</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-0,071</w:t>
            </w:r>
          </w:p>
        </w:tc>
        <w:tc>
          <w:tcPr>
            <w:tcW w:w="2005"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-0,1</w:t>
            </w:r>
            <w:r w:rsidR="00CD7B9A" w:rsidRPr="009653B4">
              <w:rPr>
                <w:rFonts w:ascii="Calibri" w:hAnsi="Calibri" w:cs="Calibri"/>
                <w:color w:val="000000"/>
                <w:sz w:val="22"/>
                <w:szCs w:val="22"/>
                <w:lang w:val="nl-NL"/>
              </w:rPr>
              <w:t>05</w:t>
            </w:r>
          </w:p>
        </w:tc>
        <w:tc>
          <w:tcPr>
            <w:tcW w:w="1842"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-0,080</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(,238)</w:t>
            </w: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,069</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Pr>
                <w:rFonts w:ascii="Calibri" w:hAnsi="Calibri" w:cs="Calibri"/>
                <w:color w:val="000000"/>
                <w:sz w:val="22"/>
                <w:szCs w:val="22"/>
                <w:lang w:val="nl-NL"/>
              </w:rPr>
              <w:t>(</w:t>
            </w:r>
            <w:r w:rsidRPr="009653B4">
              <w:rPr>
                <w:rFonts w:ascii="Calibri" w:hAnsi="Calibri" w:cs="Calibri"/>
                <w:color w:val="000000"/>
                <w:sz w:val="22"/>
                <w:szCs w:val="22"/>
                <w:lang w:val="nl-NL"/>
              </w:rPr>
              <w:t>,</w:t>
            </w:r>
            <w:r w:rsidR="000C6490">
              <w:rPr>
                <w:rFonts w:ascii="Calibri" w:hAnsi="Calibri" w:cs="Calibri"/>
                <w:color w:val="000000"/>
                <w:sz w:val="22"/>
                <w:szCs w:val="22"/>
                <w:lang w:val="nl-NL"/>
              </w:rPr>
              <w:t>184</w:t>
            </w:r>
            <w:r>
              <w:rPr>
                <w:rFonts w:ascii="Calibri" w:hAnsi="Calibri" w:cs="Calibri"/>
                <w:color w:val="000000"/>
                <w:sz w:val="22"/>
                <w:szCs w:val="22"/>
                <w:lang w:val="nl-NL"/>
              </w:rPr>
              <w:t>)</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Tax</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0,394</w:t>
            </w:r>
          </w:p>
        </w:tc>
        <w:tc>
          <w:tcPr>
            <w:tcW w:w="2005" w:type="dxa"/>
            <w:tcBorders>
              <w:top w:val="nil"/>
              <w:left w:val="nil"/>
              <w:bottom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0,403</w:t>
            </w:r>
          </w:p>
        </w:tc>
        <w:tc>
          <w:tcPr>
            <w:tcW w:w="1842" w:type="dxa"/>
            <w:tcBorders>
              <w:top w:val="nil"/>
              <w:left w:val="nil"/>
              <w:bottom w:val="nil"/>
              <w:right w:val="nil"/>
            </w:tcBorders>
            <w:shd w:val="clear" w:color="auto" w:fill="auto"/>
            <w:noWrap/>
            <w:vAlign w:val="bottom"/>
            <w:hideMark/>
          </w:tcPr>
          <w:p w:rsidR="00CD7B9A" w:rsidRPr="009653B4" w:rsidRDefault="000C6490" w:rsidP="000C6490">
            <w:pPr>
              <w:jc w:val="center"/>
              <w:rPr>
                <w:rFonts w:ascii="Calibri" w:hAnsi="Calibri" w:cs="Calibri"/>
                <w:color w:val="000000"/>
                <w:sz w:val="22"/>
                <w:szCs w:val="22"/>
                <w:lang w:val="nl-NL"/>
              </w:rPr>
            </w:pPr>
            <w:r>
              <w:rPr>
                <w:rFonts w:ascii="Calibri" w:hAnsi="Calibri" w:cs="Calibri"/>
                <w:color w:val="000000"/>
                <w:sz w:val="22"/>
                <w:szCs w:val="22"/>
                <w:lang w:val="nl-NL"/>
              </w:rPr>
              <w:t>0</w:t>
            </w:r>
            <w:r w:rsidR="00CD7B9A" w:rsidRPr="009653B4">
              <w:rPr>
                <w:rFonts w:ascii="Calibri" w:hAnsi="Calibri" w:cs="Calibri"/>
                <w:color w:val="000000"/>
                <w:sz w:val="22"/>
                <w:szCs w:val="22"/>
                <w:lang w:val="nl-NL"/>
              </w:rPr>
              <w:t>,3</w:t>
            </w:r>
            <w:r>
              <w:rPr>
                <w:rFonts w:ascii="Calibri" w:hAnsi="Calibri" w:cs="Calibri"/>
                <w:color w:val="000000"/>
                <w:sz w:val="22"/>
                <w:szCs w:val="22"/>
                <w:lang w:val="nl-NL"/>
              </w:rPr>
              <w:t>94</w:t>
            </w:r>
          </w:p>
        </w:tc>
      </w:tr>
      <w:tr w:rsidR="00CD7B9A" w:rsidRPr="009653B4" w:rsidTr="00CD7B9A">
        <w:trPr>
          <w:trHeight w:val="300"/>
          <w:jc w:val="center"/>
        </w:trPr>
        <w:tc>
          <w:tcPr>
            <w:tcW w:w="2580" w:type="dxa"/>
            <w:tcBorders>
              <w:top w:val="nil"/>
              <w:left w:val="nil"/>
              <w:bottom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 </w:t>
            </w:r>
          </w:p>
        </w:tc>
        <w:tc>
          <w:tcPr>
            <w:tcW w:w="183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(,048)</w:t>
            </w:r>
          </w:p>
        </w:tc>
        <w:tc>
          <w:tcPr>
            <w:tcW w:w="2005"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,043</w:t>
            </w:r>
            <w:r>
              <w:rPr>
                <w:rFonts w:ascii="Calibri" w:hAnsi="Calibri" w:cs="Calibri"/>
                <w:color w:val="000000"/>
                <w:sz w:val="22"/>
                <w:szCs w:val="22"/>
                <w:lang w:val="nl-NL"/>
              </w:rPr>
              <w:t>)</w:t>
            </w:r>
          </w:p>
        </w:tc>
        <w:tc>
          <w:tcPr>
            <w:tcW w:w="1842" w:type="dxa"/>
            <w:tcBorders>
              <w:top w:val="nil"/>
              <w:left w:val="nil"/>
              <w:bottom w:val="nil"/>
              <w:right w:val="nil"/>
            </w:tcBorders>
            <w:shd w:val="clear" w:color="auto" w:fill="auto"/>
            <w:noWrap/>
            <w:vAlign w:val="bottom"/>
            <w:hideMark/>
          </w:tcPr>
          <w:p w:rsidR="00CD7B9A" w:rsidRPr="009653B4" w:rsidRDefault="00CD7B9A" w:rsidP="00CD7B9A">
            <w:pPr>
              <w:jc w:val="center"/>
              <w:rPr>
                <w:rFonts w:ascii="Calibri" w:hAnsi="Calibri" w:cs="Calibri"/>
                <w:color w:val="000000"/>
                <w:sz w:val="22"/>
                <w:szCs w:val="22"/>
                <w:lang w:val="nl-NL"/>
              </w:rPr>
            </w:pPr>
            <w:r>
              <w:rPr>
                <w:rFonts w:ascii="Calibri" w:hAnsi="Calibri" w:cs="Calibri"/>
                <w:color w:val="000000"/>
                <w:sz w:val="22"/>
                <w:szCs w:val="22"/>
                <w:lang w:val="nl-NL"/>
              </w:rPr>
              <w:t>(</w:t>
            </w:r>
            <w:r w:rsidR="000C6490">
              <w:rPr>
                <w:rFonts w:ascii="Calibri" w:hAnsi="Calibri" w:cs="Calibri"/>
                <w:color w:val="000000"/>
                <w:sz w:val="22"/>
                <w:szCs w:val="22"/>
                <w:lang w:val="nl-NL"/>
              </w:rPr>
              <w:t>,047</w:t>
            </w:r>
            <w:r>
              <w:rPr>
                <w:rFonts w:ascii="Calibri" w:hAnsi="Calibri" w:cs="Calibri"/>
                <w:color w:val="000000"/>
                <w:sz w:val="22"/>
                <w:szCs w:val="22"/>
                <w:lang w:val="nl-NL"/>
              </w:rPr>
              <w:t>)</w:t>
            </w:r>
          </w:p>
        </w:tc>
      </w:tr>
      <w:tr w:rsidR="00CD7B9A" w:rsidRPr="009653B4" w:rsidTr="000412AD">
        <w:trPr>
          <w:trHeight w:val="590"/>
          <w:jc w:val="center"/>
        </w:trPr>
        <w:tc>
          <w:tcPr>
            <w:tcW w:w="2580" w:type="dxa"/>
            <w:tcBorders>
              <w:top w:val="nil"/>
              <w:left w:val="nil"/>
              <w:right w:val="single" w:sz="8"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R-square</w:t>
            </w:r>
          </w:p>
        </w:tc>
        <w:tc>
          <w:tcPr>
            <w:tcW w:w="1835" w:type="dxa"/>
            <w:tcBorders>
              <w:top w:val="nil"/>
              <w:left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0,016</w:t>
            </w:r>
          </w:p>
        </w:tc>
        <w:tc>
          <w:tcPr>
            <w:tcW w:w="2005" w:type="dxa"/>
            <w:tcBorders>
              <w:top w:val="nil"/>
              <w:left w:val="nil"/>
              <w:right w:val="nil"/>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sidRPr="009653B4">
              <w:rPr>
                <w:rFonts w:ascii="Calibri" w:hAnsi="Calibri" w:cs="Calibri"/>
                <w:color w:val="000000"/>
                <w:sz w:val="22"/>
                <w:szCs w:val="22"/>
                <w:lang w:val="nl-NL"/>
              </w:rPr>
              <w:t>0,0</w:t>
            </w:r>
            <w:r w:rsidR="000C6490">
              <w:rPr>
                <w:rFonts w:ascii="Calibri" w:hAnsi="Calibri" w:cs="Calibri"/>
                <w:color w:val="000000"/>
                <w:sz w:val="22"/>
                <w:szCs w:val="22"/>
                <w:lang w:val="nl-NL"/>
              </w:rPr>
              <w:t>16</w:t>
            </w:r>
          </w:p>
        </w:tc>
        <w:tc>
          <w:tcPr>
            <w:tcW w:w="1842" w:type="dxa"/>
            <w:tcBorders>
              <w:top w:val="nil"/>
              <w:left w:val="nil"/>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0,019</w:t>
            </w:r>
          </w:p>
        </w:tc>
      </w:tr>
      <w:tr w:rsidR="00CD7B9A" w:rsidRPr="009653B4" w:rsidTr="000412AD">
        <w:trPr>
          <w:trHeight w:val="315"/>
          <w:jc w:val="center"/>
        </w:trPr>
        <w:tc>
          <w:tcPr>
            <w:tcW w:w="2580" w:type="dxa"/>
            <w:tcBorders>
              <w:top w:val="nil"/>
              <w:left w:val="nil"/>
              <w:bottom w:val="double" w:sz="4" w:space="0" w:color="auto"/>
              <w:right w:val="single" w:sz="4" w:space="0" w:color="auto"/>
            </w:tcBorders>
            <w:shd w:val="clear" w:color="auto" w:fill="auto"/>
            <w:noWrap/>
            <w:vAlign w:val="bottom"/>
            <w:hideMark/>
          </w:tcPr>
          <w:p w:rsidR="00CD7B9A" w:rsidRPr="009653B4" w:rsidRDefault="00CD7B9A" w:rsidP="00CD7B9A">
            <w:pPr>
              <w:rPr>
                <w:color w:val="000000"/>
                <w:sz w:val="20"/>
                <w:szCs w:val="20"/>
                <w:lang w:val="nl-NL"/>
              </w:rPr>
            </w:pPr>
            <w:r w:rsidRPr="009653B4">
              <w:rPr>
                <w:color w:val="000000"/>
                <w:sz w:val="20"/>
                <w:szCs w:val="20"/>
              </w:rPr>
              <w:t>Adjusted R-square</w:t>
            </w:r>
          </w:p>
        </w:tc>
        <w:tc>
          <w:tcPr>
            <w:tcW w:w="1835" w:type="dxa"/>
            <w:tcBorders>
              <w:top w:val="nil"/>
              <w:left w:val="single" w:sz="4" w:space="0" w:color="auto"/>
              <w:bottom w:val="double" w:sz="4" w:space="0" w:color="auto"/>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0,007</w:t>
            </w:r>
          </w:p>
        </w:tc>
        <w:tc>
          <w:tcPr>
            <w:tcW w:w="2005" w:type="dxa"/>
            <w:tcBorders>
              <w:top w:val="nil"/>
              <w:bottom w:val="double" w:sz="4" w:space="0" w:color="auto"/>
            </w:tcBorders>
            <w:shd w:val="clear" w:color="auto" w:fill="auto"/>
            <w:noWrap/>
            <w:vAlign w:val="bottom"/>
            <w:hideMark/>
          </w:tcPr>
          <w:p w:rsidR="00CD7B9A" w:rsidRPr="009653B4" w:rsidRDefault="00CD7B9A" w:rsidP="000C6490">
            <w:pPr>
              <w:jc w:val="center"/>
              <w:rPr>
                <w:rFonts w:ascii="Calibri" w:hAnsi="Calibri" w:cs="Calibri"/>
                <w:color w:val="000000"/>
                <w:sz w:val="22"/>
                <w:szCs w:val="22"/>
                <w:lang w:val="nl-NL"/>
              </w:rPr>
            </w:pPr>
            <w:r w:rsidRPr="009653B4">
              <w:rPr>
                <w:rFonts w:ascii="Calibri" w:hAnsi="Calibri" w:cs="Calibri"/>
                <w:color w:val="000000"/>
                <w:sz w:val="22"/>
                <w:szCs w:val="22"/>
                <w:lang w:val="nl-NL"/>
              </w:rPr>
              <w:t>0,0</w:t>
            </w:r>
            <w:r w:rsidR="000C6490">
              <w:rPr>
                <w:rFonts w:ascii="Calibri" w:hAnsi="Calibri" w:cs="Calibri"/>
                <w:color w:val="000000"/>
                <w:sz w:val="22"/>
                <w:szCs w:val="22"/>
                <w:lang w:val="nl-NL"/>
              </w:rPr>
              <w:t>6</w:t>
            </w:r>
          </w:p>
        </w:tc>
        <w:tc>
          <w:tcPr>
            <w:tcW w:w="1842" w:type="dxa"/>
            <w:tcBorders>
              <w:top w:val="nil"/>
              <w:bottom w:val="double" w:sz="4" w:space="0" w:color="auto"/>
              <w:right w:val="nil"/>
            </w:tcBorders>
            <w:shd w:val="clear" w:color="auto" w:fill="auto"/>
            <w:noWrap/>
            <w:vAlign w:val="bottom"/>
            <w:hideMark/>
          </w:tcPr>
          <w:p w:rsidR="00CD7B9A" w:rsidRPr="009653B4" w:rsidRDefault="000C6490" w:rsidP="00CD7B9A">
            <w:pPr>
              <w:jc w:val="center"/>
              <w:rPr>
                <w:rFonts w:ascii="Calibri" w:hAnsi="Calibri" w:cs="Calibri"/>
                <w:color w:val="000000"/>
                <w:sz w:val="22"/>
                <w:szCs w:val="22"/>
                <w:lang w:val="nl-NL"/>
              </w:rPr>
            </w:pPr>
            <w:r>
              <w:rPr>
                <w:rFonts w:ascii="Calibri" w:hAnsi="Calibri" w:cs="Calibri"/>
                <w:color w:val="000000"/>
                <w:sz w:val="22"/>
                <w:szCs w:val="22"/>
                <w:lang w:val="nl-NL"/>
              </w:rPr>
              <w:t>0,008</w:t>
            </w:r>
          </w:p>
        </w:tc>
      </w:tr>
    </w:tbl>
    <w:p w:rsidR="00CD7B9A" w:rsidRDefault="00CD7B9A" w:rsidP="008F7280">
      <w:pPr>
        <w:spacing w:line="360" w:lineRule="auto"/>
        <w:jc w:val="both"/>
        <w:rPr>
          <w:sz w:val="22"/>
          <w:szCs w:val="22"/>
        </w:rPr>
      </w:pPr>
    </w:p>
    <w:p w:rsidR="00697FC9" w:rsidRDefault="00697FC9" w:rsidP="008F7280">
      <w:pPr>
        <w:spacing w:line="360" w:lineRule="auto"/>
        <w:jc w:val="both"/>
        <w:rPr>
          <w:sz w:val="22"/>
          <w:szCs w:val="22"/>
        </w:rPr>
      </w:pPr>
    </w:p>
    <w:p w:rsidR="00CD7B9A" w:rsidRPr="00646849" w:rsidRDefault="00B9052A" w:rsidP="008F7280">
      <w:pPr>
        <w:spacing w:line="360" w:lineRule="auto"/>
        <w:jc w:val="both"/>
        <w:rPr>
          <w:sz w:val="22"/>
          <w:szCs w:val="22"/>
        </w:rPr>
      </w:pPr>
      <w:r>
        <w:rPr>
          <w:sz w:val="22"/>
          <w:szCs w:val="22"/>
        </w:rPr>
        <w:t xml:space="preserve">The positive coefficient </w:t>
      </w:r>
      <w:r w:rsidR="0080367C">
        <w:rPr>
          <w:sz w:val="22"/>
          <w:szCs w:val="22"/>
        </w:rPr>
        <w:t xml:space="preserve">of CEO equity incentive </w:t>
      </w:r>
      <w:r>
        <w:rPr>
          <w:sz w:val="22"/>
          <w:szCs w:val="22"/>
        </w:rPr>
        <w:t>in c</w:t>
      </w:r>
      <w:r w:rsidR="00CE6791">
        <w:rPr>
          <w:sz w:val="22"/>
          <w:szCs w:val="22"/>
        </w:rPr>
        <w:t xml:space="preserve">olumn </w:t>
      </w:r>
      <w:r>
        <w:rPr>
          <w:sz w:val="22"/>
          <w:szCs w:val="22"/>
        </w:rPr>
        <w:t xml:space="preserve">(1) </w:t>
      </w:r>
      <w:r w:rsidR="00CE6791">
        <w:rPr>
          <w:sz w:val="22"/>
          <w:szCs w:val="22"/>
        </w:rPr>
        <w:t xml:space="preserve">of table </w:t>
      </w:r>
      <w:r w:rsidR="00154A43">
        <w:rPr>
          <w:sz w:val="22"/>
          <w:szCs w:val="22"/>
        </w:rPr>
        <w:t>10</w:t>
      </w:r>
      <w:r w:rsidR="00CE6791">
        <w:rPr>
          <w:sz w:val="22"/>
          <w:szCs w:val="22"/>
        </w:rPr>
        <w:t xml:space="preserve"> shows</w:t>
      </w:r>
      <w:r>
        <w:rPr>
          <w:sz w:val="22"/>
          <w:szCs w:val="22"/>
        </w:rPr>
        <w:t xml:space="preserve"> that </w:t>
      </w:r>
      <w:r w:rsidR="0080367C">
        <w:rPr>
          <w:sz w:val="22"/>
          <w:szCs w:val="22"/>
        </w:rPr>
        <w:t>CEO equity incentives are</w:t>
      </w:r>
      <w:r>
        <w:rPr>
          <w:sz w:val="22"/>
          <w:szCs w:val="22"/>
        </w:rPr>
        <w:t xml:space="preserve"> positively correlated with DLLP</w:t>
      </w:r>
      <w:r w:rsidR="0080367C">
        <w:rPr>
          <w:sz w:val="22"/>
          <w:szCs w:val="22"/>
        </w:rPr>
        <w:t>. This finding is less significant but</w:t>
      </w:r>
      <w:r w:rsidR="00CE6791">
        <w:rPr>
          <w:sz w:val="22"/>
          <w:szCs w:val="22"/>
        </w:rPr>
        <w:t xml:space="preserve"> generally consistent with</w:t>
      </w:r>
      <w:r>
        <w:rPr>
          <w:sz w:val="22"/>
          <w:szCs w:val="22"/>
        </w:rPr>
        <w:t xml:space="preserve"> </w:t>
      </w:r>
      <w:r w:rsidR="0080367C">
        <w:rPr>
          <w:sz w:val="22"/>
          <w:szCs w:val="22"/>
        </w:rPr>
        <w:t>that</w:t>
      </w:r>
      <w:r w:rsidR="00CE6791">
        <w:rPr>
          <w:sz w:val="22"/>
          <w:szCs w:val="22"/>
        </w:rPr>
        <w:t xml:space="preserve"> of Cheng et al. (2009)</w:t>
      </w:r>
      <w:r w:rsidR="0080367C">
        <w:rPr>
          <w:sz w:val="22"/>
          <w:szCs w:val="22"/>
        </w:rPr>
        <w:t>, who found a coefficient of 0,022. The CEO equity coefficient of 0,031 can be interpreted as not different from zero, which implies that CEOs with high equity incentives are not more likely to manage earnings than those with low equity incentives.</w:t>
      </w:r>
      <w:r w:rsidR="00CE6791">
        <w:rPr>
          <w:sz w:val="22"/>
          <w:szCs w:val="22"/>
        </w:rPr>
        <w:t xml:space="preserve"> </w:t>
      </w:r>
      <w:r w:rsidR="00697FC9">
        <w:rPr>
          <w:sz w:val="22"/>
          <w:szCs w:val="22"/>
        </w:rPr>
        <w:t>This</w:t>
      </w:r>
      <w:r w:rsidR="0080367C">
        <w:rPr>
          <w:sz w:val="22"/>
          <w:szCs w:val="22"/>
        </w:rPr>
        <w:t xml:space="preserve"> suggests that SOX </w:t>
      </w:r>
      <w:r w:rsidR="008C0A20">
        <w:rPr>
          <w:sz w:val="22"/>
          <w:szCs w:val="22"/>
        </w:rPr>
        <w:t>is</w:t>
      </w:r>
      <w:r w:rsidR="0080367C">
        <w:rPr>
          <w:sz w:val="22"/>
          <w:szCs w:val="22"/>
        </w:rPr>
        <w:t xml:space="preserve"> proven to be effective in mitigating earnings management for CEOs.</w:t>
      </w:r>
      <w:r w:rsidR="008C0A20">
        <w:rPr>
          <w:sz w:val="22"/>
          <w:szCs w:val="22"/>
        </w:rPr>
        <w:t xml:space="preserve"> Column (2) reports a negative coefficient for CFO equity incentives, which indicates that the negative association between CFO equity incentives and DLLP remains</w:t>
      </w:r>
      <w:r w:rsidR="00821206">
        <w:rPr>
          <w:sz w:val="22"/>
          <w:szCs w:val="22"/>
        </w:rPr>
        <w:t xml:space="preserve"> in post-SOX</w:t>
      </w:r>
      <w:r w:rsidR="008C0A20">
        <w:rPr>
          <w:sz w:val="22"/>
          <w:szCs w:val="22"/>
        </w:rPr>
        <w:t xml:space="preserve">, </w:t>
      </w:r>
      <w:r w:rsidR="0053533C">
        <w:rPr>
          <w:sz w:val="22"/>
          <w:szCs w:val="22"/>
        </w:rPr>
        <w:t>al</w:t>
      </w:r>
      <w:r w:rsidR="008C0A20">
        <w:rPr>
          <w:sz w:val="22"/>
          <w:szCs w:val="22"/>
        </w:rPr>
        <w:t xml:space="preserve">though </w:t>
      </w:r>
      <w:r w:rsidR="00821206">
        <w:rPr>
          <w:sz w:val="22"/>
          <w:szCs w:val="22"/>
        </w:rPr>
        <w:t>it is four times lower than in</w:t>
      </w:r>
      <w:r w:rsidR="008C0A20">
        <w:rPr>
          <w:sz w:val="22"/>
          <w:szCs w:val="22"/>
        </w:rPr>
        <w:t xml:space="preserve"> pre-SOX. The lower negative coefficient for CFO equity incentive suggests that SOX has also been effective in mitigating CFO earnings management practices, but CFOs </w:t>
      </w:r>
      <w:r w:rsidR="0053533C">
        <w:rPr>
          <w:sz w:val="22"/>
          <w:szCs w:val="22"/>
        </w:rPr>
        <w:t>carry on</w:t>
      </w:r>
      <w:r w:rsidR="008C0A20">
        <w:rPr>
          <w:sz w:val="22"/>
          <w:szCs w:val="22"/>
        </w:rPr>
        <w:t xml:space="preserve"> managing earnings upwards</w:t>
      </w:r>
      <w:r w:rsidR="0053533C">
        <w:rPr>
          <w:sz w:val="22"/>
          <w:szCs w:val="22"/>
        </w:rPr>
        <w:t xml:space="preserve"> </w:t>
      </w:r>
      <w:r w:rsidR="00C9462E">
        <w:rPr>
          <w:sz w:val="22"/>
          <w:szCs w:val="22"/>
        </w:rPr>
        <w:t>regardless</w:t>
      </w:r>
      <w:r w:rsidR="008C0A20">
        <w:rPr>
          <w:sz w:val="22"/>
          <w:szCs w:val="22"/>
        </w:rPr>
        <w:t xml:space="preserve">. The joint regression of CEO and CFO equity incentives in column (3) reports likewise results. </w:t>
      </w:r>
    </w:p>
    <w:p w:rsidR="00646849" w:rsidRDefault="00646849" w:rsidP="008F7280">
      <w:pPr>
        <w:spacing w:line="360" w:lineRule="auto"/>
        <w:jc w:val="both"/>
        <w:rPr>
          <w:sz w:val="22"/>
          <w:szCs w:val="22"/>
        </w:rPr>
      </w:pPr>
    </w:p>
    <w:p w:rsidR="00EB5AE1" w:rsidRDefault="00326724" w:rsidP="000B6184">
      <w:pPr>
        <w:spacing w:line="360" w:lineRule="auto"/>
        <w:jc w:val="both"/>
        <w:rPr>
          <w:sz w:val="22"/>
          <w:szCs w:val="22"/>
        </w:rPr>
      </w:pPr>
      <w:r>
        <w:rPr>
          <w:sz w:val="22"/>
          <w:szCs w:val="22"/>
        </w:rPr>
        <w:lastRenderedPageBreak/>
        <w:t>T</w:t>
      </w:r>
      <w:r w:rsidR="000B6184">
        <w:rPr>
          <w:sz w:val="22"/>
          <w:szCs w:val="22"/>
        </w:rPr>
        <w:t xml:space="preserve">he hypotheses </w:t>
      </w:r>
      <w:r w:rsidR="0092697E">
        <w:rPr>
          <w:sz w:val="22"/>
          <w:szCs w:val="22"/>
        </w:rPr>
        <w:t>3</w:t>
      </w:r>
      <w:r>
        <w:rPr>
          <w:sz w:val="22"/>
          <w:szCs w:val="22"/>
        </w:rPr>
        <w:t xml:space="preserve"> and 4 are</w:t>
      </w:r>
      <w:r w:rsidR="000B6184">
        <w:rPr>
          <w:sz w:val="22"/>
          <w:szCs w:val="22"/>
        </w:rPr>
        <w:t xml:space="preserve"> tested</w:t>
      </w:r>
      <w:r w:rsidRPr="00326724">
        <w:rPr>
          <w:sz w:val="22"/>
          <w:szCs w:val="22"/>
        </w:rPr>
        <w:t xml:space="preserve"> </w:t>
      </w:r>
      <w:r>
        <w:rPr>
          <w:sz w:val="22"/>
          <w:szCs w:val="22"/>
        </w:rPr>
        <w:t>with the regression results</w:t>
      </w:r>
      <w:r w:rsidR="0053533C">
        <w:rPr>
          <w:sz w:val="22"/>
          <w:szCs w:val="22"/>
        </w:rPr>
        <w:t xml:space="preserve"> found for the post-SOX period</w:t>
      </w:r>
      <w:r w:rsidR="000B6184">
        <w:rPr>
          <w:sz w:val="22"/>
          <w:szCs w:val="22"/>
        </w:rPr>
        <w:t xml:space="preserve">. Hypothesis </w:t>
      </w:r>
      <w:r w:rsidR="0092697E">
        <w:rPr>
          <w:sz w:val="22"/>
          <w:szCs w:val="22"/>
        </w:rPr>
        <w:t>3</w:t>
      </w:r>
      <w:r w:rsidR="000B6184">
        <w:rPr>
          <w:sz w:val="22"/>
          <w:szCs w:val="22"/>
        </w:rPr>
        <w:t xml:space="preserve"> </w:t>
      </w:r>
      <w:r w:rsidR="00EB5AE1">
        <w:rPr>
          <w:sz w:val="22"/>
          <w:szCs w:val="22"/>
        </w:rPr>
        <w:t>and 4 are</w:t>
      </w:r>
      <w:r w:rsidR="000B6184">
        <w:rPr>
          <w:sz w:val="22"/>
          <w:szCs w:val="22"/>
        </w:rPr>
        <w:t xml:space="preserve"> </w:t>
      </w:r>
      <w:r w:rsidR="0053533C">
        <w:rPr>
          <w:sz w:val="22"/>
          <w:szCs w:val="22"/>
        </w:rPr>
        <w:t>formulated</w:t>
      </w:r>
      <w:r w:rsidR="000B6184">
        <w:rPr>
          <w:sz w:val="22"/>
          <w:szCs w:val="22"/>
        </w:rPr>
        <w:t xml:space="preserve"> as:</w:t>
      </w:r>
    </w:p>
    <w:p w:rsidR="00EB5AE1" w:rsidRDefault="00EB5AE1" w:rsidP="000B6184">
      <w:pPr>
        <w:spacing w:line="360" w:lineRule="auto"/>
        <w:jc w:val="both"/>
        <w:rPr>
          <w:sz w:val="22"/>
          <w:szCs w:val="22"/>
        </w:rPr>
      </w:pPr>
    </w:p>
    <w:p w:rsidR="00EB5AE1" w:rsidRDefault="008F7280" w:rsidP="00EB5AE1">
      <w:pPr>
        <w:spacing w:after="120" w:line="360" w:lineRule="auto"/>
        <w:ind w:left="709"/>
        <w:jc w:val="both"/>
        <w:rPr>
          <w:b/>
          <w:sz w:val="22"/>
          <w:szCs w:val="22"/>
        </w:rPr>
      </w:pPr>
      <w:r w:rsidRPr="000730EC">
        <w:rPr>
          <w:b/>
          <w:sz w:val="22"/>
          <w:szCs w:val="22"/>
        </w:rPr>
        <w:t>H</w:t>
      </w:r>
      <w:r w:rsidR="0092697E">
        <w:rPr>
          <w:b/>
          <w:sz w:val="22"/>
          <w:szCs w:val="22"/>
          <w:vertAlign w:val="subscript"/>
        </w:rPr>
        <w:t>3</w:t>
      </w:r>
      <w:r w:rsidRPr="000730EC">
        <w:rPr>
          <w:b/>
          <w:sz w:val="22"/>
          <w:szCs w:val="22"/>
        </w:rPr>
        <w:t>:</w:t>
      </w:r>
      <w:r w:rsidRPr="000755BF">
        <w:rPr>
          <w:sz w:val="22"/>
          <w:szCs w:val="22"/>
        </w:rPr>
        <w:t xml:space="preserve"> Th</w:t>
      </w:r>
      <w:r>
        <w:rPr>
          <w:sz w:val="22"/>
          <w:szCs w:val="22"/>
        </w:rPr>
        <w:t>ere is no association between CE</w:t>
      </w:r>
      <w:r w:rsidRPr="000755BF">
        <w:rPr>
          <w:sz w:val="22"/>
          <w:szCs w:val="22"/>
        </w:rPr>
        <w:t>O equity incentives and earnings management</w:t>
      </w:r>
      <w:r>
        <w:rPr>
          <w:sz w:val="22"/>
          <w:szCs w:val="22"/>
        </w:rPr>
        <w:t xml:space="preserve"> </w:t>
      </w:r>
      <w:r w:rsidR="0031073D">
        <w:rPr>
          <w:sz w:val="22"/>
          <w:szCs w:val="22"/>
        </w:rPr>
        <w:t>in the post-SOX period of</w:t>
      </w:r>
      <w:r w:rsidRPr="000755BF">
        <w:rPr>
          <w:sz w:val="22"/>
          <w:szCs w:val="22"/>
        </w:rPr>
        <w:t xml:space="preserve"> the banking industry.</w:t>
      </w:r>
      <w:r w:rsidR="00EB5AE1" w:rsidRPr="00EB5AE1">
        <w:rPr>
          <w:b/>
          <w:sz w:val="22"/>
          <w:szCs w:val="22"/>
        </w:rPr>
        <w:t xml:space="preserve"> </w:t>
      </w:r>
    </w:p>
    <w:p w:rsidR="00EB5AE1" w:rsidRDefault="00EB5AE1" w:rsidP="00EB5AE1">
      <w:pPr>
        <w:spacing w:line="360" w:lineRule="auto"/>
        <w:ind w:left="709"/>
        <w:jc w:val="both"/>
        <w:rPr>
          <w:sz w:val="22"/>
          <w:szCs w:val="22"/>
        </w:rPr>
      </w:pPr>
      <w:r w:rsidRPr="000730EC">
        <w:rPr>
          <w:b/>
          <w:sz w:val="22"/>
          <w:szCs w:val="22"/>
        </w:rPr>
        <w:t>H</w:t>
      </w:r>
      <w:r w:rsidRPr="000730EC">
        <w:rPr>
          <w:b/>
          <w:sz w:val="22"/>
          <w:szCs w:val="22"/>
          <w:vertAlign w:val="subscript"/>
        </w:rPr>
        <w:t>4</w:t>
      </w:r>
      <w:r w:rsidRPr="000730EC">
        <w:rPr>
          <w:b/>
          <w:sz w:val="22"/>
          <w:szCs w:val="22"/>
        </w:rPr>
        <w:t>:</w:t>
      </w:r>
      <w:r w:rsidRPr="000755BF">
        <w:rPr>
          <w:sz w:val="22"/>
          <w:szCs w:val="22"/>
        </w:rPr>
        <w:t xml:space="preserve"> There is no association between CFO equity incentives and earnings management</w:t>
      </w:r>
      <w:r>
        <w:rPr>
          <w:sz w:val="22"/>
          <w:szCs w:val="22"/>
        </w:rPr>
        <w:t xml:space="preserve"> in the post-SOX period of</w:t>
      </w:r>
      <w:r w:rsidRPr="000755BF">
        <w:rPr>
          <w:sz w:val="22"/>
          <w:szCs w:val="22"/>
        </w:rPr>
        <w:t xml:space="preserve"> the banking industry.</w:t>
      </w:r>
    </w:p>
    <w:p w:rsidR="00EB5AE1" w:rsidRDefault="00EB5AE1" w:rsidP="00EB5AE1">
      <w:pPr>
        <w:spacing w:line="360" w:lineRule="auto"/>
        <w:ind w:left="709"/>
        <w:jc w:val="both"/>
        <w:rPr>
          <w:sz w:val="22"/>
          <w:szCs w:val="22"/>
        </w:rPr>
      </w:pPr>
    </w:p>
    <w:p w:rsidR="00293C6E" w:rsidRDefault="00326724" w:rsidP="00DF423D">
      <w:pPr>
        <w:spacing w:line="360" w:lineRule="auto"/>
        <w:jc w:val="both"/>
        <w:rPr>
          <w:sz w:val="22"/>
          <w:szCs w:val="22"/>
        </w:rPr>
      </w:pPr>
      <w:r>
        <w:rPr>
          <w:sz w:val="22"/>
          <w:szCs w:val="22"/>
        </w:rPr>
        <w:t>Whereas t</w:t>
      </w:r>
      <w:r w:rsidR="00DD4B89">
        <w:rPr>
          <w:sz w:val="22"/>
          <w:szCs w:val="22"/>
        </w:rPr>
        <w:t>he CEO inc</w:t>
      </w:r>
      <w:r w:rsidR="00821206">
        <w:rPr>
          <w:sz w:val="22"/>
          <w:szCs w:val="22"/>
        </w:rPr>
        <w:t xml:space="preserve">entive coefficient is lower in </w:t>
      </w:r>
      <w:r w:rsidR="00DD4B89">
        <w:rPr>
          <w:sz w:val="22"/>
          <w:szCs w:val="22"/>
        </w:rPr>
        <w:t xml:space="preserve">post-SOX, the coefficient </w:t>
      </w:r>
      <w:r w:rsidR="00FE18DA">
        <w:rPr>
          <w:sz w:val="22"/>
          <w:szCs w:val="22"/>
        </w:rPr>
        <w:t>of 0,031</w:t>
      </w:r>
      <w:r w:rsidR="0051498A">
        <w:rPr>
          <w:sz w:val="22"/>
          <w:szCs w:val="22"/>
        </w:rPr>
        <w:t xml:space="preserve"> </w:t>
      </w:r>
      <w:r w:rsidR="00DD4B89">
        <w:rPr>
          <w:sz w:val="22"/>
          <w:szCs w:val="22"/>
        </w:rPr>
        <w:t xml:space="preserve">is </w:t>
      </w:r>
      <w:r w:rsidR="00FE18DA">
        <w:rPr>
          <w:sz w:val="22"/>
          <w:szCs w:val="22"/>
        </w:rPr>
        <w:t>interpreted as close to</w:t>
      </w:r>
      <w:r w:rsidR="00DD4B89">
        <w:rPr>
          <w:sz w:val="22"/>
          <w:szCs w:val="22"/>
        </w:rPr>
        <w:t xml:space="preserve"> zero. This means that </w:t>
      </w:r>
      <w:r w:rsidR="00FE18DA">
        <w:rPr>
          <w:sz w:val="22"/>
          <w:szCs w:val="22"/>
        </w:rPr>
        <w:t>CEOs with</w:t>
      </w:r>
      <w:r w:rsidR="0051498A">
        <w:rPr>
          <w:sz w:val="22"/>
          <w:szCs w:val="22"/>
        </w:rPr>
        <w:t xml:space="preserve"> higher</w:t>
      </w:r>
      <w:r w:rsidR="00DD4B89">
        <w:rPr>
          <w:sz w:val="22"/>
          <w:szCs w:val="22"/>
        </w:rPr>
        <w:t xml:space="preserve"> equity incentive </w:t>
      </w:r>
      <w:r w:rsidR="00FE18DA">
        <w:rPr>
          <w:sz w:val="22"/>
          <w:szCs w:val="22"/>
        </w:rPr>
        <w:t xml:space="preserve">doesn’t manage DLLP differently than CEOs with lower equity incentives. </w:t>
      </w:r>
      <w:r w:rsidR="00DD4B89">
        <w:rPr>
          <w:sz w:val="22"/>
          <w:szCs w:val="22"/>
        </w:rPr>
        <w:t>Therefore the null hypothesis that the</w:t>
      </w:r>
      <w:r w:rsidR="00FE18DA">
        <w:rPr>
          <w:sz w:val="22"/>
          <w:szCs w:val="22"/>
        </w:rPr>
        <w:t>re is no association is accepted</w:t>
      </w:r>
      <w:r w:rsidR="00DD4B89">
        <w:rPr>
          <w:sz w:val="22"/>
          <w:szCs w:val="22"/>
        </w:rPr>
        <w:t xml:space="preserve">. </w:t>
      </w:r>
      <w:r w:rsidR="000C62C4">
        <w:rPr>
          <w:sz w:val="22"/>
          <w:szCs w:val="22"/>
        </w:rPr>
        <w:t>In</w:t>
      </w:r>
      <w:r w:rsidR="00FE18DA">
        <w:rPr>
          <w:sz w:val="22"/>
          <w:szCs w:val="22"/>
        </w:rPr>
        <w:t xml:space="preserve"> post-SOX </w:t>
      </w:r>
      <w:r w:rsidR="00DF423D">
        <w:rPr>
          <w:sz w:val="22"/>
          <w:szCs w:val="22"/>
        </w:rPr>
        <w:t>a negative CFO equity in</w:t>
      </w:r>
      <w:r w:rsidR="00FE18DA">
        <w:rPr>
          <w:sz w:val="22"/>
          <w:szCs w:val="22"/>
        </w:rPr>
        <w:t xml:space="preserve">centive coefficient </w:t>
      </w:r>
      <w:r w:rsidR="000C62C4">
        <w:rPr>
          <w:sz w:val="22"/>
          <w:szCs w:val="22"/>
        </w:rPr>
        <w:t xml:space="preserve">is still </w:t>
      </w:r>
      <w:r w:rsidR="00FE18DA">
        <w:rPr>
          <w:sz w:val="22"/>
          <w:szCs w:val="22"/>
        </w:rPr>
        <w:t>to be found, although in lesser extent</w:t>
      </w:r>
      <w:r w:rsidR="00DF423D">
        <w:rPr>
          <w:sz w:val="22"/>
          <w:szCs w:val="22"/>
        </w:rPr>
        <w:t>. This indicates that the null hypothesis of no relationship between CFO equity incentive and earnings management is rejected.</w:t>
      </w:r>
      <w:r w:rsidR="000C62C4">
        <w:rPr>
          <w:sz w:val="22"/>
          <w:szCs w:val="22"/>
        </w:rPr>
        <w:t xml:space="preserve"> </w:t>
      </w:r>
    </w:p>
    <w:p w:rsidR="00293C6E" w:rsidRDefault="00293C6E" w:rsidP="00DF423D">
      <w:pPr>
        <w:spacing w:line="360" w:lineRule="auto"/>
        <w:jc w:val="both"/>
        <w:rPr>
          <w:sz w:val="22"/>
          <w:szCs w:val="22"/>
        </w:rPr>
      </w:pPr>
    </w:p>
    <w:p w:rsidR="00293C6E" w:rsidRDefault="00293C6E" w:rsidP="00293C6E">
      <w:pPr>
        <w:pStyle w:val="Kop2"/>
      </w:pPr>
      <w:bookmarkStart w:id="64" w:name="_Toc287614193"/>
      <w:r>
        <w:t>7.4 Comparison between CEO and CFO equity incentive</w:t>
      </w:r>
      <w:bookmarkEnd w:id="64"/>
    </w:p>
    <w:p w:rsidR="00DD4B89" w:rsidRDefault="00FA195E" w:rsidP="00DF423D">
      <w:pPr>
        <w:spacing w:line="360" w:lineRule="auto"/>
        <w:jc w:val="both"/>
        <w:rPr>
          <w:sz w:val="22"/>
          <w:szCs w:val="22"/>
        </w:rPr>
      </w:pPr>
      <w:r>
        <w:rPr>
          <w:sz w:val="22"/>
          <w:szCs w:val="22"/>
        </w:rPr>
        <w:t>To answer the main research question we need to kn</w:t>
      </w:r>
      <w:r w:rsidR="00DF423D">
        <w:rPr>
          <w:sz w:val="22"/>
          <w:szCs w:val="22"/>
        </w:rPr>
        <w:t xml:space="preserve">ow </w:t>
      </w:r>
      <w:r>
        <w:rPr>
          <w:sz w:val="22"/>
          <w:szCs w:val="22"/>
        </w:rPr>
        <w:t>whether the CFO or the CEO equity incentive has a greater effect on earnings management in the banking industry. T</w:t>
      </w:r>
      <w:r w:rsidR="00DF423D">
        <w:rPr>
          <w:sz w:val="22"/>
          <w:szCs w:val="22"/>
        </w:rPr>
        <w:t xml:space="preserve">he final hypothesis </w:t>
      </w:r>
      <w:r>
        <w:rPr>
          <w:sz w:val="22"/>
          <w:szCs w:val="22"/>
        </w:rPr>
        <w:t>needs to</w:t>
      </w:r>
      <w:r w:rsidR="00DF423D">
        <w:rPr>
          <w:sz w:val="22"/>
          <w:szCs w:val="22"/>
        </w:rPr>
        <w:t xml:space="preserve"> be tested, which is </w:t>
      </w:r>
      <w:r w:rsidR="00293C6E">
        <w:rPr>
          <w:sz w:val="22"/>
          <w:szCs w:val="22"/>
        </w:rPr>
        <w:t>formulated</w:t>
      </w:r>
      <w:r w:rsidR="00DF423D">
        <w:rPr>
          <w:sz w:val="22"/>
          <w:szCs w:val="22"/>
        </w:rPr>
        <w:t xml:space="preserve"> as:</w:t>
      </w:r>
    </w:p>
    <w:p w:rsidR="00076A49" w:rsidRPr="000755BF" w:rsidRDefault="00076A49" w:rsidP="00DF423D">
      <w:pPr>
        <w:spacing w:line="360" w:lineRule="auto"/>
        <w:jc w:val="both"/>
        <w:rPr>
          <w:sz w:val="22"/>
          <w:szCs w:val="22"/>
        </w:rPr>
      </w:pPr>
    </w:p>
    <w:p w:rsidR="008F7280" w:rsidRDefault="008F7280" w:rsidP="00076A49">
      <w:pPr>
        <w:spacing w:line="360" w:lineRule="auto"/>
        <w:ind w:left="709"/>
        <w:jc w:val="both"/>
        <w:rPr>
          <w:sz w:val="22"/>
          <w:szCs w:val="22"/>
        </w:rPr>
      </w:pPr>
      <w:r w:rsidRPr="000730EC">
        <w:rPr>
          <w:b/>
          <w:sz w:val="22"/>
          <w:szCs w:val="22"/>
        </w:rPr>
        <w:t>H</w:t>
      </w:r>
      <w:r w:rsidRPr="000730EC">
        <w:rPr>
          <w:b/>
          <w:sz w:val="22"/>
          <w:szCs w:val="22"/>
          <w:vertAlign w:val="subscript"/>
        </w:rPr>
        <w:t>5</w:t>
      </w:r>
      <w:r w:rsidRPr="000730EC">
        <w:rPr>
          <w:b/>
          <w:sz w:val="22"/>
          <w:szCs w:val="22"/>
        </w:rPr>
        <w:t>:</w:t>
      </w:r>
      <w:r w:rsidRPr="000755BF">
        <w:rPr>
          <w:sz w:val="22"/>
          <w:szCs w:val="22"/>
        </w:rPr>
        <w:t xml:space="preserve"> </w:t>
      </w:r>
      <w:r w:rsidR="00D40016" w:rsidRPr="000755BF">
        <w:rPr>
          <w:sz w:val="22"/>
          <w:szCs w:val="22"/>
        </w:rPr>
        <w:t>CFO equity incentives are greater than CEO equity incen</w:t>
      </w:r>
      <w:r w:rsidR="00D40016">
        <w:rPr>
          <w:sz w:val="22"/>
          <w:szCs w:val="22"/>
        </w:rPr>
        <w:t xml:space="preserve">tives for the pre- and post-SOX periods </w:t>
      </w:r>
      <w:r w:rsidRPr="000755BF">
        <w:rPr>
          <w:sz w:val="22"/>
          <w:szCs w:val="22"/>
        </w:rPr>
        <w:t>in the banking industry.</w:t>
      </w:r>
    </w:p>
    <w:p w:rsidR="00076A49" w:rsidRPr="000755BF" w:rsidRDefault="00076A49" w:rsidP="00076A49">
      <w:pPr>
        <w:spacing w:line="360" w:lineRule="auto"/>
        <w:ind w:left="709"/>
        <w:jc w:val="both"/>
        <w:rPr>
          <w:sz w:val="22"/>
          <w:szCs w:val="22"/>
        </w:rPr>
      </w:pPr>
    </w:p>
    <w:p w:rsidR="003F6459" w:rsidRDefault="00F45D5A" w:rsidP="00F45D5A">
      <w:pPr>
        <w:spacing w:line="360" w:lineRule="auto"/>
        <w:jc w:val="both"/>
        <w:rPr>
          <w:sz w:val="22"/>
          <w:szCs w:val="22"/>
        </w:rPr>
      </w:pPr>
      <w:r>
        <w:rPr>
          <w:sz w:val="22"/>
          <w:szCs w:val="22"/>
        </w:rPr>
        <w:t xml:space="preserve">To test hypothesis </w:t>
      </w:r>
      <w:r w:rsidR="000508AF">
        <w:rPr>
          <w:sz w:val="22"/>
          <w:szCs w:val="22"/>
        </w:rPr>
        <w:t>5,</w:t>
      </w:r>
      <w:r>
        <w:rPr>
          <w:sz w:val="22"/>
          <w:szCs w:val="22"/>
        </w:rPr>
        <w:t xml:space="preserve"> the difference in the impact of CEO and CFO equity incentives on DLLP </w:t>
      </w:r>
      <w:r w:rsidR="00076A49">
        <w:rPr>
          <w:sz w:val="22"/>
          <w:szCs w:val="22"/>
        </w:rPr>
        <w:t>is</w:t>
      </w:r>
      <w:r>
        <w:rPr>
          <w:sz w:val="22"/>
          <w:szCs w:val="22"/>
        </w:rPr>
        <w:t xml:space="preserve"> compared</w:t>
      </w:r>
      <w:r w:rsidR="00293C6E">
        <w:rPr>
          <w:sz w:val="22"/>
          <w:szCs w:val="22"/>
        </w:rPr>
        <w:t xml:space="preserve"> for the pre-SOX period</w:t>
      </w:r>
      <w:r>
        <w:rPr>
          <w:sz w:val="22"/>
          <w:szCs w:val="22"/>
        </w:rPr>
        <w:t>. To do this, the coefficients of column (1) and (2)</w:t>
      </w:r>
      <w:r w:rsidR="00293C6E">
        <w:rPr>
          <w:sz w:val="22"/>
          <w:szCs w:val="22"/>
        </w:rPr>
        <w:t xml:space="preserve"> of table 6</w:t>
      </w:r>
      <w:r>
        <w:rPr>
          <w:sz w:val="22"/>
          <w:szCs w:val="22"/>
        </w:rPr>
        <w:t xml:space="preserve"> are</w:t>
      </w:r>
      <w:r w:rsidR="003F6459">
        <w:rPr>
          <w:sz w:val="22"/>
          <w:szCs w:val="22"/>
        </w:rPr>
        <w:t xml:space="preserve"> multiplied</w:t>
      </w:r>
      <w:r>
        <w:rPr>
          <w:sz w:val="22"/>
          <w:szCs w:val="22"/>
        </w:rPr>
        <w:t xml:space="preserve"> </w:t>
      </w:r>
      <w:r w:rsidR="003F6459">
        <w:rPr>
          <w:sz w:val="22"/>
          <w:szCs w:val="22"/>
        </w:rPr>
        <w:t>with the movement of the distribution of CEO and CFO equity incentives for pre-SOX. The</w:t>
      </w:r>
      <w:r>
        <w:rPr>
          <w:sz w:val="22"/>
          <w:szCs w:val="22"/>
        </w:rPr>
        <w:t xml:space="preserve"> changes in equity incentives for CEOs versus CFOs translate into different magnitudes of the DLLPs. </w:t>
      </w:r>
      <w:r w:rsidR="000412AD">
        <w:rPr>
          <w:sz w:val="22"/>
          <w:szCs w:val="22"/>
        </w:rPr>
        <w:t xml:space="preserve">For </w:t>
      </w:r>
      <w:r w:rsidR="00414FCF">
        <w:rPr>
          <w:sz w:val="22"/>
          <w:szCs w:val="22"/>
        </w:rPr>
        <w:t>t</w:t>
      </w:r>
      <w:r w:rsidR="003F6459">
        <w:rPr>
          <w:sz w:val="22"/>
          <w:szCs w:val="22"/>
        </w:rPr>
        <w:t xml:space="preserve">he descriptive statistics </w:t>
      </w:r>
      <w:r w:rsidR="00414FCF">
        <w:rPr>
          <w:sz w:val="22"/>
          <w:szCs w:val="22"/>
        </w:rPr>
        <w:t>of</w:t>
      </w:r>
      <w:r w:rsidR="003F6459">
        <w:rPr>
          <w:sz w:val="22"/>
          <w:szCs w:val="22"/>
        </w:rPr>
        <w:t xml:space="preserve"> equity incentives </w:t>
      </w:r>
      <w:r w:rsidR="000412AD">
        <w:rPr>
          <w:sz w:val="22"/>
          <w:szCs w:val="22"/>
        </w:rPr>
        <w:t>in</w:t>
      </w:r>
      <w:r w:rsidR="003F6459">
        <w:rPr>
          <w:sz w:val="22"/>
          <w:szCs w:val="22"/>
        </w:rPr>
        <w:t xml:space="preserve"> the pre-</w:t>
      </w:r>
      <w:r w:rsidR="00414FCF">
        <w:rPr>
          <w:sz w:val="22"/>
          <w:szCs w:val="22"/>
        </w:rPr>
        <w:t>SOX period</w:t>
      </w:r>
      <w:r w:rsidR="003F6459">
        <w:rPr>
          <w:sz w:val="22"/>
          <w:szCs w:val="22"/>
        </w:rPr>
        <w:t xml:space="preserve"> </w:t>
      </w:r>
      <w:r w:rsidR="000412AD">
        <w:rPr>
          <w:sz w:val="22"/>
          <w:szCs w:val="22"/>
        </w:rPr>
        <w:t>see the next table:</w:t>
      </w:r>
    </w:p>
    <w:p w:rsidR="00C36E2C" w:rsidRDefault="00C36E2C" w:rsidP="00F45D5A">
      <w:pPr>
        <w:spacing w:line="360" w:lineRule="auto"/>
        <w:jc w:val="both"/>
        <w:rPr>
          <w:sz w:val="22"/>
          <w:szCs w:val="22"/>
        </w:rPr>
      </w:pPr>
    </w:p>
    <w:p w:rsidR="003F6459" w:rsidRPr="00154A43" w:rsidRDefault="00414FCF" w:rsidP="00414FCF">
      <w:pPr>
        <w:jc w:val="center"/>
        <w:rPr>
          <w:b/>
          <w:sz w:val="22"/>
          <w:szCs w:val="22"/>
        </w:rPr>
      </w:pPr>
      <w:r w:rsidRPr="00154A43">
        <w:rPr>
          <w:b/>
          <w:sz w:val="22"/>
          <w:szCs w:val="22"/>
        </w:rPr>
        <w:t>Table 1</w:t>
      </w:r>
      <w:r w:rsidR="00154A43" w:rsidRPr="00154A43">
        <w:rPr>
          <w:b/>
          <w:sz w:val="22"/>
          <w:szCs w:val="22"/>
        </w:rPr>
        <w:t>1</w:t>
      </w:r>
    </w:p>
    <w:p w:rsidR="00414FCF" w:rsidRDefault="00414FCF" w:rsidP="00414FCF">
      <w:pPr>
        <w:jc w:val="center"/>
        <w:rPr>
          <w:sz w:val="22"/>
          <w:szCs w:val="22"/>
        </w:rPr>
      </w:pPr>
      <w:r>
        <w:rPr>
          <w:sz w:val="22"/>
          <w:szCs w:val="22"/>
        </w:rPr>
        <w:t>Descriptive statistics CEO and CFO equity incentives (pre-SOX)</w:t>
      </w:r>
    </w:p>
    <w:tbl>
      <w:tblPr>
        <w:tblW w:w="9159" w:type="dxa"/>
        <w:tblInd w:w="53" w:type="dxa"/>
        <w:tblCellMar>
          <w:left w:w="70" w:type="dxa"/>
          <w:right w:w="70" w:type="dxa"/>
        </w:tblCellMar>
        <w:tblLook w:val="04A0"/>
      </w:tblPr>
      <w:tblGrid>
        <w:gridCol w:w="3136"/>
        <w:gridCol w:w="1276"/>
        <w:gridCol w:w="1275"/>
        <w:gridCol w:w="1276"/>
        <w:gridCol w:w="992"/>
        <w:gridCol w:w="1204"/>
      </w:tblGrid>
      <w:tr w:rsidR="00414FCF" w:rsidRPr="003F6459" w:rsidTr="00414FCF">
        <w:trPr>
          <w:trHeight w:val="315"/>
        </w:trPr>
        <w:tc>
          <w:tcPr>
            <w:tcW w:w="3136" w:type="dxa"/>
            <w:tcBorders>
              <w:top w:val="double" w:sz="6" w:space="0" w:color="auto"/>
              <w:left w:val="nil"/>
              <w:bottom w:val="single" w:sz="4" w:space="0" w:color="auto"/>
              <w:right w:val="single" w:sz="4" w:space="0" w:color="auto"/>
            </w:tcBorders>
            <w:shd w:val="clear" w:color="auto" w:fill="auto"/>
            <w:noWrap/>
            <w:vAlign w:val="bottom"/>
            <w:hideMark/>
          </w:tcPr>
          <w:p w:rsidR="003F6459" w:rsidRPr="003F6459" w:rsidRDefault="003F6459" w:rsidP="003F6459">
            <w:pPr>
              <w:rPr>
                <w:color w:val="000000"/>
                <w:sz w:val="20"/>
                <w:szCs w:val="20"/>
              </w:rPr>
            </w:pPr>
            <w:r w:rsidRPr="003F6459">
              <w:rPr>
                <w:color w:val="000000"/>
                <w:sz w:val="20"/>
                <w:szCs w:val="20"/>
              </w:rPr>
              <w:t>Variables</w:t>
            </w:r>
          </w:p>
        </w:tc>
        <w:tc>
          <w:tcPr>
            <w:tcW w:w="1276" w:type="dxa"/>
            <w:tcBorders>
              <w:top w:val="double" w:sz="6" w:space="0" w:color="auto"/>
              <w:left w:val="nil"/>
              <w:bottom w:val="single" w:sz="4"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Mean</w:t>
            </w:r>
          </w:p>
        </w:tc>
        <w:tc>
          <w:tcPr>
            <w:tcW w:w="1275" w:type="dxa"/>
            <w:tcBorders>
              <w:top w:val="double" w:sz="6" w:space="0" w:color="auto"/>
              <w:left w:val="nil"/>
              <w:bottom w:val="single" w:sz="4"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Median</w:t>
            </w:r>
          </w:p>
        </w:tc>
        <w:tc>
          <w:tcPr>
            <w:tcW w:w="1276" w:type="dxa"/>
            <w:tcBorders>
              <w:top w:val="double" w:sz="6" w:space="0" w:color="auto"/>
              <w:left w:val="nil"/>
              <w:bottom w:val="single" w:sz="4"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Std. Dev.</w:t>
            </w:r>
          </w:p>
        </w:tc>
        <w:tc>
          <w:tcPr>
            <w:tcW w:w="992" w:type="dxa"/>
            <w:tcBorders>
              <w:top w:val="double" w:sz="6" w:space="0" w:color="auto"/>
              <w:left w:val="nil"/>
              <w:bottom w:val="single" w:sz="4" w:space="0" w:color="auto"/>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Q1</w:t>
            </w:r>
          </w:p>
        </w:tc>
        <w:tc>
          <w:tcPr>
            <w:tcW w:w="1204" w:type="dxa"/>
            <w:tcBorders>
              <w:top w:val="double" w:sz="6" w:space="0" w:color="auto"/>
              <w:left w:val="nil"/>
              <w:bottom w:val="single" w:sz="4" w:space="0" w:color="auto"/>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Q3</w:t>
            </w:r>
          </w:p>
        </w:tc>
      </w:tr>
      <w:tr w:rsidR="00414FCF" w:rsidRPr="003F6459" w:rsidTr="00767562">
        <w:trPr>
          <w:trHeight w:val="442"/>
        </w:trPr>
        <w:tc>
          <w:tcPr>
            <w:tcW w:w="3136" w:type="dxa"/>
            <w:tcBorders>
              <w:top w:val="nil"/>
              <w:left w:val="nil"/>
              <w:bottom w:val="nil"/>
              <w:right w:val="single" w:sz="4" w:space="0" w:color="auto"/>
            </w:tcBorders>
            <w:shd w:val="clear" w:color="auto" w:fill="auto"/>
            <w:vAlign w:val="bottom"/>
            <w:hideMark/>
          </w:tcPr>
          <w:p w:rsidR="003F6459" w:rsidRPr="003F6459" w:rsidRDefault="003F6459" w:rsidP="003F6459">
            <w:pPr>
              <w:rPr>
                <w:color w:val="000000"/>
                <w:sz w:val="20"/>
                <w:szCs w:val="20"/>
              </w:rPr>
            </w:pPr>
            <w:r w:rsidRPr="003F6459">
              <w:rPr>
                <w:color w:val="000000"/>
                <w:sz w:val="20"/>
                <w:szCs w:val="20"/>
              </w:rPr>
              <w:t>Total CEO Equity incentives (%)</w:t>
            </w:r>
          </w:p>
        </w:tc>
        <w:tc>
          <w:tcPr>
            <w:tcW w:w="1276" w:type="dxa"/>
            <w:tcBorders>
              <w:top w:val="nil"/>
              <w:left w:val="nil"/>
              <w:bottom w:val="nil"/>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2,653</w:t>
            </w:r>
          </w:p>
        </w:tc>
        <w:tc>
          <w:tcPr>
            <w:tcW w:w="1275" w:type="dxa"/>
            <w:tcBorders>
              <w:top w:val="nil"/>
              <w:left w:val="nil"/>
              <w:bottom w:val="nil"/>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1,595</w:t>
            </w:r>
          </w:p>
        </w:tc>
        <w:tc>
          <w:tcPr>
            <w:tcW w:w="1276" w:type="dxa"/>
            <w:tcBorders>
              <w:top w:val="nil"/>
              <w:left w:val="nil"/>
              <w:bottom w:val="nil"/>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2,922</w:t>
            </w:r>
          </w:p>
        </w:tc>
        <w:tc>
          <w:tcPr>
            <w:tcW w:w="992" w:type="dxa"/>
            <w:tcBorders>
              <w:top w:val="nil"/>
              <w:left w:val="nil"/>
              <w:bottom w:val="nil"/>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0,779</w:t>
            </w:r>
          </w:p>
        </w:tc>
        <w:tc>
          <w:tcPr>
            <w:tcW w:w="1204" w:type="dxa"/>
            <w:tcBorders>
              <w:top w:val="nil"/>
              <w:left w:val="nil"/>
              <w:bottom w:val="nil"/>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3,682</w:t>
            </w:r>
          </w:p>
        </w:tc>
      </w:tr>
      <w:tr w:rsidR="00414FCF" w:rsidRPr="003F6459" w:rsidTr="00767562">
        <w:trPr>
          <w:trHeight w:val="430"/>
        </w:trPr>
        <w:tc>
          <w:tcPr>
            <w:tcW w:w="3136" w:type="dxa"/>
            <w:tcBorders>
              <w:top w:val="nil"/>
              <w:left w:val="nil"/>
              <w:bottom w:val="double" w:sz="6" w:space="0" w:color="auto"/>
              <w:right w:val="single" w:sz="4" w:space="0" w:color="auto"/>
            </w:tcBorders>
            <w:shd w:val="clear" w:color="auto" w:fill="auto"/>
            <w:vAlign w:val="bottom"/>
            <w:hideMark/>
          </w:tcPr>
          <w:p w:rsidR="003F6459" w:rsidRPr="003F6459" w:rsidRDefault="003F6459" w:rsidP="003F6459">
            <w:pPr>
              <w:rPr>
                <w:color w:val="000000"/>
                <w:sz w:val="20"/>
                <w:szCs w:val="20"/>
              </w:rPr>
            </w:pPr>
            <w:r w:rsidRPr="003F6459">
              <w:rPr>
                <w:color w:val="000000"/>
                <w:sz w:val="20"/>
                <w:szCs w:val="20"/>
              </w:rPr>
              <w:t>Total CFO Equity incentives (%)</w:t>
            </w:r>
          </w:p>
        </w:tc>
        <w:tc>
          <w:tcPr>
            <w:tcW w:w="1276" w:type="dxa"/>
            <w:tcBorders>
              <w:top w:val="nil"/>
              <w:left w:val="nil"/>
              <w:bottom w:val="double" w:sz="6"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0,522</w:t>
            </w:r>
          </w:p>
        </w:tc>
        <w:tc>
          <w:tcPr>
            <w:tcW w:w="1275" w:type="dxa"/>
            <w:tcBorders>
              <w:top w:val="nil"/>
              <w:left w:val="nil"/>
              <w:bottom w:val="double" w:sz="6"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0,313</w:t>
            </w:r>
          </w:p>
        </w:tc>
        <w:tc>
          <w:tcPr>
            <w:tcW w:w="1276" w:type="dxa"/>
            <w:tcBorders>
              <w:top w:val="nil"/>
              <w:left w:val="nil"/>
              <w:bottom w:val="double" w:sz="6" w:space="0" w:color="auto"/>
              <w:right w:val="nil"/>
            </w:tcBorders>
            <w:shd w:val="clear" w:color="auto" w:fill="auto"/>
            <w:noWrap/>
            <w:vAlign w:val="bottom"/>
            <w:hideMark/>
          </w:tcPr>
          <w:p w:rsidR="003F6459" w:rsidRPr="003F6459" w:rsidRDefault="003F6459" w:rsidP="003F6459">
            <w:pPr>
              <w:jc w:val="center"/>
              <w:rPr>
                <w:color w:val="000000"/>
                <w:sz w:val="20"/>
                <w:szCs w:val="20"/>
              </w:rPr>
            </w:pPr>
            <w:r w:rsidRPr="003F6459">
              <w:rPr>
                <w:color w:val="000000"/>
                <w:sz w:val="20"/>
                <w:szCs w:val="20"/>
              </w:rPr>
              <w:t>0,536</w:t>
            </w:r>
          </w:p>
        </w:tc>
        <w:tc>
          <w:tcPr>
            <w:tcW w:w="992" w:type="dxa"/>
            <w:tcBorders>
              <w:top w:val="nil"/>
              <w:left w:val="nil"/>
              <w:bottom w:val="double" w:sz="6" w:space="0" w:color="auto"/>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0,180</w:t>
            </w:r>
          </w:p>
        </w:tc>
        <w:tc>
          <w:tcPr>
            <w:tcW w:w="1204" w:type="dxa"/>
            <w:tcBorders>
              <w:top w:val="nil"/>
              <w:left w:val="nil"/>
              <w:bottom w:val="double" w:sz="6" w:space="0" w:color="auto"/>
              <w:right w:val="nil"/>
            </w:tcBorders>
            <w:shd w:val="clear" w:color="auto" w:fill="auto"/>
            <w:noWrap/>
            <w:vAlign w:val="bottom"/>
            <w:hideMark/>
          </w:tcPr>
          <w:p w:rsidR="003F6459" w:rsidRPr="003F6459" w:rsidRDefault="003F6459" w:rsidP="003F6459">
            <w:pPr>
              <w:jc w:val="center"/>
              <w:rPr>
                <w:color w:val="000000"/>
                <w:sz w:val="20"/>
                <w:szCs w:val="20"/>
                <w:lang w:val="nl-NL"/>
              </w:rPr>
            </w:pPr>
            <w:r w:rsidRPr="003F6459">
              <w:rPr>
                <w:color w:val="000000"/>
                <w:sz w:val="20"/>
                <w:szCs w:val="20"/>
                <w:lang w:val="nl-NL"/>
              </w:rPr>
              <w:t>0,699</w:t>
            </w:r>
          </w:p>
        </w:tc>
      </w:tr>
    </w:tbl>
    <w:p w:rsidR="006F5841" w:rsidRDefault="006F5841" w:rsidP="00F45D5A">
      <w:pPr>
        <w:spacing w:line="360" w:lineRule="auto"/>
        <w:jc w:val="both"/>
        <w:rPr>
          <w:sz w:val="22"/>
          <w:szCs w:val="22"/>
        </w:rPr>
      </w:pPr>
    </w:p>
    <w:p w:rsidR="00B4318D" w:rsidRDefault="00414FCF" w:rsidP="00F45D5A">
      <w:pPr>
        <w:spacing w:line="360" w:lineRule="auto"/>
        <w:jc w:val="both"/>
        <w:rPr>
          <w:sz w:val="22"/>
          <w:szCs w:val="22"/>
        </w:rPr>
      </w:pPr>
      <w:r w:rsidRPr="00414FCF">
        <w:rPr>
          <w:sz w:val="22"/>
          <w:szCs w:val="22"/>
        </w:rPr>
        <w:lastRenderedPageBreak/>
        <w:t>In</w:t>
      </w:r>
      <w:r>
        <w:rPr>
          <w:sz w:val="22"/>
          <w:szCs w:val="22"/>
        </w:rPr>
        <w:t xml:space="preserve"> table 1</w:t>
      </w:r>
      <w:r w:rsidR="00154A43">
        <w:rPr>
          <w:sz w:val="22"/>
          <w:szCs w:val="22"/>
        </w:rPr>
        <w:t>1</w:t>
      </w:r>
      <w:r>
        <w:rPr>
          <w:sz w:val="22"/>
          <w:szCs w:val="22"/>
        </w:rPr>
        <w:t xml:space="preserve"> we take the lower quartile distribution</w:t>
      </w:r>
      <w:r w:rsidR="00154A43">
        <w:rPr>
          <w:sz w:val="22"/>
          <w:szCs w:val="22"/>
        </w:rPr>
        <w:t xml:space="preserve"> (0,779)</w:t>
      </w:r>
      <w:r w:rsidR="00076A49">
        <w:rPr>
          <w:sz w:val="22"/>
          <w:szCs w:val="22"/>
        </w:rPr>
        <w:t xml:space="preserve"> </w:t>
      </w:r>
      <w:r>
        <w:rPr>
          <w:sz w:val="22"/>
          <w:szCs w:val="22"/>
        </w:rPr>
        <w:t>and the upper quartile</w:t>
      </w:r>
      <w:r w:rsidR="00154A43">
        <w:rPr>
          <w:sz w:val="22"/>
          <w:szCs w:val="22"/>
        </w:rPr>
        <w:t xml:space="preserve"> (3,682)</w:t>
      </w:r>
      <w:r>
        <w:rPr>
          <w:sz w:val="22"/>
          <w:szCs w:val="22"/>
        </w:rPr>
        <w:t xml:space="preserve"> </w:t>
      </w:r>
      <w:r w:rsidR="00076A49">
        <w:rPr>
          <w:sz w:val="22"/>
          <w:szCs w:val="22"/>
        </w:rPr>
        <w:t xml:space="preserve">of </w:t>
      </w:r>
      <w:r w:rsidR="00DA70BB">
        <w:rPr>
          <w:sz w:val="22"/>
          <w:szCs w:val="22"/>
        </w:rPr>
        <w:t>CEO</w:t>
      </w:r>
      <w:r w:rsidR="00076A49">
        <w:rPr>
          <w:sz w:val="22"/>
          <w:szCs w:val="22"/>
        </w:rPr>
        <w:t xml:space="preserve"> equity </w:t>
      </w:r>
      <w:r>
        <w:rPr>
          <w:sz w:val="22"/>
          <w:szCs w:val="22"/>
        </w:rPr>
        <w:t xml:space="preserve">and multiply it with the </w:t>
      </w:r>
      <w:r w:rsidR="00154A43">
        <w:rPr>
          <w:sz w:val="22"/>
          <w:szCs w:val="22"/>
        </w:rPr>
        <w:t xml:space="preserve">negative </w:t>
      </w:r>
      <w:r>
        <w:rPr>
          <w:sz w:val="22"/>
          <w:szCs w:val="22"/>
        </w:rPr>
        <w:t>CEO coefficien</w:t>
      </w:r>
      <w:r w:rsidR="00154A43">
        <w:rPr>
          <w:sz w:val="22"/>
          <w:szCs w:val="22"/>
        </w:rPr>
        <w:t>t (0,107) found in column (1) of table 7</w:t>
      </w:r>
      <w:r>
        <w:rPr>
          <w:sz w:val="22"/>
          <w:szCs w:val="22"/>
        </w:rPr>
        <w:t xml:space="preserve">. </w:t>
      </w:r>
      <w:r w:rsidR="004B5B02">
        <w:rPr>
          <w:sz w:val="22"/>
          <w:szCs w:val="22"/>
        </w:rPr>
        <w:t xml:space="preserve">The CEO equity incentive in the lower quartile corresponds with 0,083 DLLPs and the upper quartile with 0,394. The increase in DLLP is then 0,312. </w:t>
      </w:r>
      <w:r>
        <w:rPr>
          <w:sz w:val="22"/>
          <w:szCs w:val="22"/>
        </w:rPr>
        <w:t xml:space="preserve">The same is done for </w:t>
      </w:r>
      <w:r w:rsidR="00DA70BB">
        <w:rPr>
          <w:sz w:val="22"/>
          <w:szCs w:val="22"/>
        </w:rPr>
        <w:t>CFO equity incentive</w:t>
      </w:r>
      <w:r w:rsidR="00154A43">
        <w:rPr>
          <w:sz w:val="22"/>
          <w:szCs w:val="22"/>
        </w:rPr>
        <w:t>s. The increase</w:t>
      </w:r>
      <w:r w:rsidR="004B5B02">
        <w:rPr>
          <w:sz w:val="22"/>
          <w:szCs w:val="22"/>
        </w:rPr>
        <w:t>s</w:t>
      </w:r>
      <w:r w:rsidR="00154A43">
        <w:rPr>
          <w:sz w:val="22"/>
          <w:szCs w:val="22"/>
        </w:rPr>
        <w:t xml:space="preserve"> </w:t>
      </w:r>
      <w:r w:rsidR="004B5B02">
        <w:rPr>
          <w:sz w:val="22"/>
          <w:szCs w:val="22"/>
        </w:rPr>
        <w:t>in the movement</w:t>
      </w:r>
      <w:r w:rsidR="00DA70BB">
        <w:rPr>
          <w:sz w:val="22"/>
          <w:szCs w:val="22"/>
        </w:rPr>
        <w:t xml:space="preserve"> from the first quartile to the thi</w:t>
      </w:r>
      <w:r w:rsidR="004B5B02">
        <w:rPr>
          <w:sz w:val="22"/>
          <w:szCs w:val="22"/>
        </w:rPr>
        <w:t>rd quartile of its distribution are compared between the CEO and CFO</w:t>
      </w:r>
      <w:r w:rsidR="00DA70BB">
        <w:rPr>
          <w:sz w:val="22"/>
          <w:szCs w:val="22"/>
        </w:rPr>
        <w:t xml:space="preserve">. </w:t>
      </w:r>
      <w:r w:rsidR="004B5B02">
        <w:rPr>
          <w:sz w:val="22"/>
          <w:szCs w:val="22"/>
        </w:rPr>
        <w:t>The mean and median of the equity incentive distribution in table 11 are also multiplied with the coefficients of</w:t>
      </w:r>
      <w:r w:rsidR="00076A49">
        <w:rPr>
          <w:sz w:val="22"/>
          <w:szCs w:val="22"/>
        </w:rPr>
        <w:t xml:space="preserve"> CEO and CFO equity incentives </w:t>
      </w:r>
      <w:r w:rsidR="000C62C4">
        <w:rPr>
          <w:sz w:val="22"/>
          <w:szCs w:val="22"/>
        </w:rPr>
        <w:t>in table 7 for</w:t>
      </w:r>
      <w:r w:rsidR="004B5B02">
        <w:rPr>
          <w:sz w:val="22"/>
          <w:szCs w:val="22"/>
        </w:rPr>
        <w:t xml:space="preserve"> pre-SOX. </w:t>
      </w:r>
      <w:r w:rsidR="00076A49">
        <w:rPr>
          <w:sz w:val="22"/>
          <w:szCs w:val="22"/>
        </w:rPr>
        <w:t>The results are</w:t>
      </w:r>
      <w:r w:rsidR="004B5B02">
        <w:rPr>
          <w:sz w:val="22"/>
          <w:szCs w:val="22"/>
        </w:rPr>
        <w:t xml:space="preserve"> presented</w:t>
      </w:r>
      <w:r w:rsidR="00076A49">
        <w:rPr>
          <w:sz w:val="22"/>
          <w:szCs w:val="22"/>
        </w:rPr>
        <w:t xml:space="preserve"> in the table below:</w:t>
      </w:r>
      <w:r w:rsidR="00DA70BB">
        <w:rPr>
          <w:sz w:val="22"/>
          <w:szCs w:val="22"/>
        </w:rPr>
        <w:t xml:space="preserve"> </w:t>
      </w:r>
    </w:p>
    <w:p w:rsidR="004B5B02" w:rsidRDefault="004B5B02" w:rsidP="00F45D5A">
      <w:pPr>
        <w:spacing w:line="360" w:lineRule="auto"/>
        <w:jc w:val="both"/>
        <w:rPr>
          <w:sz w:val="22"/>
          <w:szCs w:val="22"/>
        </w:rPr>
      </w:pPr>
    </w:p>
    <w:p w:rsidR="00076A49" w:rsidRPr="00076A49" w:rsidRDefault="004B5B02" w:rsidP="004B5B02">
      <w:pPr>
        <w:jc w:val="center"/>
        <w:rPr>
          <w:b/>
          <w:sz w:val="22"/>
          <w:szCs w:val="22"/>
        </w:rPr>
      </w:pPr>
      <w:r>
        <w:rPr>
          <w:b/>
          <w:sz w:val="22"/>
          <w:szCs w:val="22"/>
        </w:rPr>
        <w:t>Table 12</w:t>
      </w:r>
    </w:p>
    <w:p w:rsidR="00076A49" w:rsidRPr="00076A49" w:rsidRDefault="002B3DAE" w:rsidP="004B5B02">
      <w:pPr>
        <w:jc w:val="center"/>
        <w:rPr>
          <w:sz w:val="22"/>
          <w:szCs w:val="22"/>
        </w:rPr>
      </w:pPr>
      <w:r>
        <w:rPr>
          <w:sz w:val="22"/>
          <w:szCs w:val="22"/>
        </w:rPr>
        <w:t xml:space="preserve">Impact of </w:t>
      </w:r>
      <w:r w:rsidR="00076A49" w:rsidRPr="00076A49">
        <w:rPr>
          <w:sz w:val="22"/>
          <w:szCs w:val="22"/>
        </w:rPr>
        <w:t>CEO and CFO equity incentives</w:t>
      </w:r>
      <w:r>
        <w:rPr>
          <w:sz w:val="22"/>
          <w:szCs w:val="22"/>
        </w:rPr>
        <w:t xml:space="preserve"> on </w:t>
      </w:r>
      <w:r w:rsidR="004B5B02">
        <w:rPr>
          <w:sz w:val="22"/>
          <w:szCs w:val="22"/>
        </w:rPr>
        <w:t>DLLP</w:t>
      </w:r>
    </w:p>
    <w:tbl>
      <w:tblPr>
        <w:tblW w:w="5529" w:type="dxa"/>
        <w:tblInd w:w="1771" w:type="dxa"/>
        <w:tblCellMar>
          <w:left w:w="70" w:type="dxa"/>
          <w:right w:w="70" w:type="dxa"/>
        </w:tblCellMar>
        <w:tblLook w:val="04A0"/>
      </w:tblPr>
      <w:tblGrid>
        <w:gridCol w:w="1640"/>
        <w:gridCol w:w="2227"/>
        <w:gridCol w:w="1662"/>
      </w:tblGrid>
      <w:tr w:rsidR="00F76785" w:rsidRPr="00F76785" w:rsidTr="003C38E8">
        <w:trPr>
          <w:trHeight w:val="315"/>
        </w:trPr>
        <w:tc>
          <w:tcPr>
            <w:tcW w:w="1640" w:type="dxa"/>
            <w:tcBorders>
              <w:top w:val="double" w:sz="6" w:space="0" w:color="auto"/>
              <w:left w:val="nil"/>
              <w:bottom w:val="single" w:sz="4" w:space="0" w:color="auto"/>
              <w:right w:val="single" w:sz="4" w:space="0" w:color="auto"/>
            </w:tcBorders>
            <w:shd w:val="clear" w:color="auto" w:fill="auto"/>
            <w:noWrap/>
            <w:vAlign w:val="bottom"/>
            <w:hideMark/>
          </w:tcPr>
          <w:p w:rsidR="00F76785" w:rsidRPr="00F76785" w:rsidRDefault="00F76785" w:rsidP="00F76785">
            <w:pPr>
              <w:rPr>
                <w:color w:val="000000"/>
                <w:sz w:val="20"/>
                <w:szCs w:val="20"/>
                <w:lang w:val="nl-NL"/>
              </w:rPr>
            </w:pPr>
            <w:r w:rsidRPr="00F76785">
              <w:rPr>
                <w:color w:val="000000"/>
                <w:sz w:val="20"/>
                <w:szCs w:val="20"/>
                <w:lang w:val="nl-NL"/>
              </w:rPr>
              <w:t xml:space="preserve">Variables </w:t>
            </w:r>
          </w:p>
        </w:tc>
        <w:tc>
          <w:tcPr>
            <w:tcW w:w="2227" w:type="dxa"/>
            <w:tcBorders>
              <w:top w:val="double" w:sz="6" w:space="0" w:color="auto"/>
              <w:left w:val="nil"/>
              <w:bottom w:val="single" w:sz="4" w:space="0" w:color="auto"/>
              <w:right w:val="nil"/>
            </w:tcBorders>
            <w:shd w:val="clear" w:color="auto" w:fill="auto"/>
            <w:noWrap/>
            <w:vAlign w:val="bottom"/>
            <w:hideMark/>
          </w:tcPr>
          <w:p w:rsidR="00F76785" w:rsidRPr="00F76785" w:rsidRDefault="00F76785" w:rsidP="00F76785">
            <w:pPr>
              <w:jc w:val="center"/>
              <w:rPr>
                <w:color w:val="000000"/>
                <w:sz w:val="20"/>
                <w:szCs w:val="20"/>
                <w:lang w:val="nl-NL"/>
              </w:rPr>
            </w:pPr>
            <w:r w:rsidRPr="00F76785">
              <w:rPr>
                <w:color w:val="000000"/>
                <w:sz w:val="20"/>
                <w:szCs w:val="20"/>
                <w:lang w:val="nl-NL"/>
              </w:rPr>
              <w:t>CEO</w:t>
            </w:r>
          </w:p>
        </w:tc>
        <w:tc>
          <w:tcPr>
            <w:tcW w:w="1662" w:type="dxa"/>
            <w:tcBorders>
              <w:top w:val="double" w:sz="6" w:space="0" w:color="auto"/>
              <w:left w:val="nil"/>
              <w:bottom w:val="single" w:sz="4" w:space="0" w:color="auto"/>
              <w:right w:val="nil"/>
            </w:tcBorders>
            <w:shd w:val="clear" w:color="auto" w:fill="auto"/>
            <w:noWrap/>
            <w:vAlign w:val="bottom"/>
            <w:hideMark/>
          </w:tcPr>
          <w:p w:rsidR="00F76785" w:rsidRPr="00F76785" w:rsidRDefault="00F76785" w:rsidP="00F76785">
            <w:pPr>
              <w:jc w:val="center"/>
              <w:rPr>
                <w:color w:val="000000"/>
                <w:sz w:val="20"/>
                <w:szCs w:val="20"/>
                <w:lang w:val="nl-NL"/>
              </w:rPr>
            </w:pPr>
            <w:r w:rsidRPr="00F76785">
              <w:rPr>
                <w:color w:val="000000"/>
                <w:sz w:val="20"/>
                <w:szCs w:val="20"/>
                <w:lang w:val="nl-NL"/>
              </w:rPr>
              <w:t>CFO</w:t>
            </w:r>
          </w:p>
        </w:tc>
      </w:tr>
      <w:tr w:rsidR="00F76785" w:rsidRPr="00F76785" w:rsidTr="003C38E8">
        <w:trPr>
          <w:trHeight w:val="300"/>
        </w:trPr>
        <w:tc>
          <w:tcPr>
            <w:tcW w:w="1640" w:type="dxa"/>
            <w:tcBorders>
              <w:top w:val="nil"/>
              <w:left w:val="nil"/>
              <w:bottom w:val="nil"/>
              <w:right w:val="single" w:sz="4" w:space="0" w:color="auto"/>
            </w:tcBorders>
            <w:shd w:val="clear" w:color="auto" w:fill="auto"/>
            <w:noWrap/>
            <w:vAlign w:val="bottom"/>
            <w:hideMark/>
          </w:tcPr>
          <w:p w:rsidR="00F76785" w:rsidRPr="00F76785" w:rsidRDefault="00F76785" w:rsidP="00F76785">
            <w:pPr>
              <w:rPr>
                <w:color w:val="000000"/>
                <w:sz w:val="20"/>
                <w:szCs w:val="20"/>
                <w:lang w:val="nl-NL"/>
              </w:rPr>
            </w:pPr>
            <w:r w:rsidRPr="00F76785">
              <w:rPr>
                <w:color w:val="000000"/>
                <w:sz w:val="20"/>
                <w:szCs w:val="20"/>
                <w:lang w:val="nl-NL"/>
              </w:rPr>
              <w:t>Q1</w:t>
            </w:r>
            <w:r w:rsidR="004B5B02">
              <w:rPr>
                <w:color w:val="000000"/>
                <w:sz w:val="20"/>
                <w:szCs w:val="20"/>
                <w:lang w:val="nl-NL"/>
              </w:rPr>
              <w:t xml:space="preserve"> </w:t>
            </w:r>
            <w:r w:rsidRPr="00F76785">
              <w:rPr>
                <w:color w:val="000000"/>
                <w:sz w:val="20"/>
                <w:szCs w:val="20"/>
                <w:lang w:val="nl-NL"/>
              </w:rPr>
              <w:t>-</w:t>
            </w:r>
            <w:r w:rsidR="004B5B02">
              <w:rPr>
                <w:color w:val="000000"/>
                <w:sz w:val="20"/>
                <w:szCs w:val="20"/>
                <w:lang w:val="nl-NL"/>
              </w:rPr>
              <w:t xml:space="preserve"> </w:t>
            </w:r>
            <w:r w:rsidRPr="00F76785">
              <w:rPr>
                <w:color w:val="000000"/>
                <w:sz w:val="20"/>
                <w:szCs w:val="20"/>
                <w:lang w:val="nl-NL"/>
              </w:rPr>
              <w:t>Q3</w:t>
            </w:r>
          </w:p>
        </w:tc>
        <w:tc>
          <w:tcPr>
            <w:tcW w:w="2227" w:type="dxa"/>
            <w:tcBorders>
              <w:top w:val="nil"/>
              <w:left w:val="nil"/>
              <w:bottom w:val="nil"/>
              <w:right w:val="nil"/>
            </w:tcBorders>
            <w:shd w:val="clear" w:color="auto" w:fill="auto"/>
            <w:noWrap/>
            <w:vAlign w:val="bottom"/>
            <w:hideMark/>
          </w:tcPr>
          <w:p w:rsidR="00F76785" w:rsidRPr="00F76785" w:rsidRDefault="00F76785" w:rsidP="004B5B02">
            <w:pPr>
              <w:jc w:val="center"/>
              <w:rPr>
                <w:color w:val="000000"/>
                <w:sz w:val="20"/>
                <w:szCs w:val="20"/>
                <w:lang w:val="nl-NL"/>
              </w:rPr>
            </w:pPr>
            <w:r w:rsidRPr="00F76785">
              <w:rPr>
                <w:color w:val="000000"/>
                <w:sz w:val="20"/>
                <w:szCs w:val="20"/>
                <w:lang w:val="nl-NL"/>
              </w:rPr>
              <w:t>0,</w:t>
            </w:r>
            <w:r w:rsidR="004B5B02">
              <w:rPr>
                <w:color w:val="000000"/>
                <w:sz w:val="20"/>
                <w:szCs w:val="20"/>
                <w:lang w:val="nl-NL"/>
              </w:rPr>
              <w:t>312</w:t>
            </w:r>
          </w:p>
        </w:tc>
        <w:tc>
          <w:tcPr>
            <w:tcW w:w="1662" w:type="dxa"/>
            <w:tcBorders>
              <w:top w:val="nil"/>
              <w:left w:val="nil"/>
              <w:bottom w:val="nil"/>
              <w:right w:val="nil"/>
            </w:tcBorders>
            <w:shd w:val="clear" w:color="auto" w:fill="auto"/>
            <w:noWrap/>
            <w:vAlign w:val="bottom"/>
            <w:hideMark/>
          </w:tcPr>
          <w:p w:rsidR="00F76785" w:rsidRPr="00F76785" w:rsidRDefault="00F76785" w:rsidP="004B5B02">
            <w:pPr>
              <w:jc w:val="center"/>
              <w:rPr>
                <w:color w:val="000000"/>
                <w:sz w:val="20"/>
                <w:szCs w:val="20"/>
                <w:lang w:val="nl-NL"/>
              </w:rPr>
            </w:pPr>
            <w:r w:rsidRPr="00F76785">
              <w:rPr>
                <w:color w:val="000000"/>
                <w:sz w:val="20"/>
                <w:szCs w:val="20"/>
                <w:lang w:val="nl-NL"/>
              </w:rPr>
              <w:t>0,</w:t>
            </w:r>
            <w:r w:rsidR="004B5B02">
              <w:rPr>
                <w:color w:val="000000"/>
                <w:sz w:val="20"/>
                <w:szCs w:val="20"/>
                <w:lang w:val="nl-NL"/>
              </w:rPr>
              <w:t>253</w:t>
            </w:r>
          </w:p>
        </w:tc>
      </w:tr>
      <w:tr w:rsidR="00F76785" w:rsidRPr="00F76785" w:rsidTr="003C38E8">
        <w:trPr>
          <w:trHeight w:val="372"/>
        </w:trPr>
        <w:tc>
          <w:tcPr>
            <w:tcW w:w="1640" w:type="dxa"/>
            <w:tcBorders>
              <w:top w:val="nil"/>
              <w:left w:val="nil"/>
              <w:bottom w:val="nil"/>
              <w:right w:val="single" w:sz="4" w:space="0" w:color="auto"/>
            </w:tcBorders>
            <w:shd w:val="clear" w:color="auto" w:fill="auto"/>
            <w:noWrap/>
            <w:vAlign w:val="bottom"/>
            <w:hideMark/>
          </w:tcPr>
          <w:p w:rsidR="00F76785" w:rsidRPr="00757B4C" w:rsidRDefault="00F76785" w:rsidP="00F76785">
            <w:pPr>
              <w:rPr>
                <w:color w:val="000000"/>
                <w:sz w:val="20"/>
                <w:szCs w:val="20"/>
              </w:rPr>
            </w:pPr>
            <w:r w:rsidRPr="00757B4C">
              <w:rPr>
                <w:color w:val="000000"/>
                <w:sz w:val="20"/>
                <w:szCs w:val="20"/>
              </w:rPr>
              <w:t>Mean</w:t>
            </w:r>
          </w:p>
        </w:tc>
        <w:tc>
          <w:tcPr>
            <w:tcW w:w="2227" w:type="dxa"/>
            <w:tcBorders>
              <w:top w:val="nil"/>
              <w:left w:val="nil"/>
              <w:bottom w:val="nil"/>
              <w:right w:val="nil"/>
            </w:tcBorders>
            <w:shd w:val="clear" w:color="auto" w:fill="auto"/>
            <w:noWrap/>
            <w:vAlign w:val="bottom"/>
            <w:hideMark/>
          </w:tcPr>
          <w:p w:rsidR="00F76785" w:rsidRPr="00F76785" w:rsidRDefault="00F76785" w:rsidP="004B5B02">
            <w:pPr>
              <w:jc w:val="center"/>
              <w:rPr>
                <w:color w:val="000000"/>
                <w:sz w:val="20"/>
                <w:szCs w:val="20"/>
                <w:lang w:val="nl-NL"/>
              </w:rPr>
            </w:pPr>
            <w:r w:rsidRPr="00F76785">
              <w:rPr>
                <w:color w:val="000000"/>
                <w:sz w:val="20"/>
                <w:szCs w:val="20"/>
                <w:lang w:val="nl-NL"/>
              </w:rPr>
              <w:t>0,</w:t>
            </w:r>
            <w:r w:rsidR="004B5B02">
              <w:rPr>
                <w:color w:val="000000"/>
                <w:sz w:val="20"/>
                <w:szCs w:val="20"/>
                <w:lang w:val="nl-NL"/>
              </w:rPr>
              <w:t>284</w:t>
            </w:r>
          </w:p>
        </w:tc>
        <w:tc>
          <w:tcPr>
            <w:tcW w:w="1662" w:type="dxa"/>
            <w:tcBorders>
              <w:top w:val="nil"/>
              <w:left w:val="nil"/>
              <w:bottom w:val="nil"/>
              <w:right w:val="nil"/>
            </w:tcBorders>
            <w:shd w:val="clear" w:color="auto" w:fill="auto"/>
            <w:noWrap/>
            <w:vAlign w:val="bottom"/>
            <w:hideMark/>
          </w:tcPr>
          <w:p w:rsidR="00F76785" w:rsidRPr="00F76785" w:rsidRDefault="00F76785" w:rsidP="00F76785">
            <w:pPr>
              <w:jc w:val="center"/>
              <w:rPr>
                <w:color w:val="000000"/>
                <w:sz w:val="20"/>
                <w:szCs w:val="20"/>
                <w:lang w:val="nl-NL"/>
              </w:rPr>
            </w:pPr>
            <w:r w:rsidRPr="00F76785">
              <w:rPr>
                <w:color w:val="000000"/>
                <w:sz w:val="20"/>
                <w:szCs w:val="20"/>
                <w:lang w:val="nl-NL"/>
              </w:rPr>
              <w:t>0,</w:t>
            </w:r>
            <w:r w:rsidR="004B5B02">
              <w:rPr>
                <w:color w:val="000000"/>
                <w:sz w:val="20"/>
                <w:szCs w:val="20"/>
                <w:lang w:val="nl-NL"/>
              </w:rPr>
              <w:t>255</w:t>
            </w:r>
          </w:p>
        </w:tc>
      </w:tr>
      <w:tr w:rsidR="00F76785" w:rsidRPr="00F76785" w:rsidTr="003C38E8">
        <w:trPr>
          <w:trHeight w:val="366"/>
        </w:trPr>
        <w:tc>
          <w:tcPr>
            <w:tcW w:w="1640" w:type="dxa"/>
            <w:tcBorders>
              <w:top w:val="nil"/>
              <w:left w:val="nil"/>
              <w:bottom w:val="double" w:sz="6" w:space="0" w:color="auto"/>
              <w:right w:val="single" w:sz="4" w:space="0" w:color="auto"/>
            </w:tcBorders>
            <w:shd w:val="clear" w:color="auto" w:fill="auto"/>
            <w:noWrap/>
            <w:vAlign w:val="bottom"/>
            <w:hideMark/>
          </w:tcPr>
          <w:p w:rsidR="00F76785" w:rsidRPr="00757B4C" w:rsidRDefault="00F76785" w:rsidP="00F76785">
            <w:pPr>
              <w:rPr>
                <w:color w:val="000000"/>
                <w:sz w:val="20"/>
                <w:szCs w:val="20"/>
              </w:rPr>
            </w:pPr>
            <w:r w:rsidRPr="00757B4C">
              <w:rPr>
                <w:color w:val="000000"/>
                <w:sz w:val="20"/>
                <w:szCs w:val="20"/>
              </w:rPr>
              <w:t>Median</w:t>
            </w:r>
          </w:p>
        </w:tc>
        <w:tc>
          <w:tcPr>
            <w:tcW w:w="2227" w:type="dxa"/>
            <w:tcBorders>
              <w:top w:val="nil"/>
              <w:left w:val="nil"/>
              <w:bottom w:val="double" w:sz="6" w:space="0" w:color="auto"/>
              <w:right w:val="nil"/>
            </w:tcBorders>
            <w:shd w:val="clear" w:color="auto" w:fill="auto"/>
            <w:noWrap/>
            <w:vAlign w:val="bottom"/>
            <w:hideMark/>
          </w:tcPr>
          <w:p w:rsidR="00F76785" w:rsidRPr="00F76785" w:rsidRDefault="00F76785" w:rsidP="00F76785">
            <w:pPr>
              <w:jc w:val="center"/>
              <w:rPr>
                <w:color w:val="000000"/>
                <w:sz w:val="20"/>
                <w:szCs w:val="20"/>
                <w:lang w:val="nl-NL"/>
              </w:rPr>
            </w:pPr>
            <w:r w:rsidRPr="00F76785">
              <w:rPr>
                <w:color w:val="000000"/>
                <w:sz w:val="20"/>
                <w:szCs w:val="20"/>
                <w:lang w:val="nl-NL"/>
              </w:rPr>
              <w:t>0,</w:t>
            </w:r>
            <w:r w:rsidR="003C38E8">
              <w:rPr>
                <w:color w:val="000000"/>
                <w:sz w:val="20"/>
                <w:szCs w:val="20"/>
                <w:lang w:val="nl-NL"/>
              </w:rPr>
              <w:t>171</w:t>
            </w:r>
          </w:p>
        </w:tc>
        <w:tc>
          <w:tcPr>
            <w:tcW w:w="1662" w:type="dxa"/>
            <w:tcBorders>
              <w:top w:val="nil"/>
              <w:left w:val="nil"/>
              <w:bottom w:val="double" w:sz="6" w:space="0" w:color="auto"/>
              <w:right w:val="nil"/>
            </w:tcBorders>
            <w:shd w:val="clear" w:color="auto" w:fill="auto"/>
            <w:noWrap/>
            <w:vAlign w:val="bottom"/>
            <w:hideMark/>
          </w:tcPr>
          <w:p w:rsidR="00F76785" w:rsidRPr="00F76785" w:rsidRDefault="00F76785" w:rsidP="00F76785">
            <w:pPr>
              <w:jc w:val="center"/>
              <w:rPr>
                <w:color w:val="000000"/>
                <w:sz w:val="20"/>
                <w:szCs w:val="20"/>
                <w:lang w:val="nl-NL"/>
              </w:rPr>
            </w:pPr>
            <w:r w:rsidRPr="00F76785">
              <w:rPr>
                <w:color w:val="000000"/>
                <w:sz w:val="20"/>
                <w:szCs w:val="20"/>
                <w:lang w:val="nl-NL"/>
              </w:rPr>
              <w:t>0,</w:t>
            </w:r>
            <w:r w:rsidR="003C38E8">
              <w:rPr>
                <w:color w:val="000000"/>
                <w:sz w:val="20"/>
                <w:szCs w:val="20"/>
                <w:lang w:val="nl-NL"/>
              </w:rPr>
              <w:t>153</w:t>
            </w:r>
          </w:p>
        </w:tc>
      </w:tr>
    </w:tbl>
    <w:p w:rsidR="00DF423D" w:rsidRDefault="00DF423D" w:rsidP="00F45D5A">
      <w:pPr>
        <w:spacing w:line="360" w:lineRule="auto"/>
        <w:jc w:val="both"/>
        <w:rPr>
          <w:sz w:val="22"/>
          <w:szCs w:val="22"/>
        </w:rPr>
      </w:pPr>
    </w:p>
    <w:p w:rsidR="00757B4C" w:rsidRPr="00757B4C" w:rsidRDefault="002B3DAE" w:rsidP="00F45D5A">
      <w:pPr>
        <w:spacing w:line="360" w:lineRule="auto"/>
        <w:jc w:val="both"/>
        <w:rPr>
          <w:sz w:val="22"/>
          <w:szCs w:val="22"/>
        </w:rPr>
      </w:pPr>
      <w:r>
        <w:rPr>
          <w:sz w:val="22"/>
          <w:szCs w:val="22"/>
        </w:rPr>
        <w:t xml:space="preserve">Table </w:t>
      </w:r>
      <w:r w:rsidR="003C38E8">
        <w:rPr>
          <w:sz w:val="22"/>
          <w:szCs w:val="22"/>
        </w:rPr>
        <w:t>12</w:t>
      </w:r>
      <w:r>
        <w:rPr>
          <w:sz w:val="22"/>
          <w:szCs w:val="22"/>
        </w:rPr>
        <w:t xml:space="preserve"> shows the results of the CEO and CFO equity incentive distribution multiplied by the incentive coefficients</w:t>
      </w:r>
      <w:r w:rsidR="00B71F1B">
        <w:rPr>
          <w:sz w:val="22"/>
          <w:szCs w:val="22"/>
        </w:rPr>
        <w:t xml:space="preserve"> respectively</w:t>
      </w:r>
      <w:r>
        <w:rPr>
          <w:sz w:val="22"/>
          <w:szCs w:val="22"/>
        </w:rPr>
        <w:t xml:space="preserve"> found in pre-SOX</w:t>
      </w:r>
      <w:r w:rsidR="000C62C4">
        <w:rPr>
          <w:sz w:val="22"/>
          <w:szCs w:val="22"/>
        </w:rPr>
        <w:t>.</w:t>
      </w:r>
      <w:r>
        <w:rPr>
          <w:sz w:val="22"/>
          <w:szCs w:val="22"/>
        </w:rPr>
        <w:t xml:space="preserve"> </w:t>
      </w:r>
      <w:r w:rsidR="00757B4C">
        <w:rPr>
          <w:sz w:val="22"/>
          <w:szCs w:val="22"/>
        </w:rPr>
        <w:t xml:space="preserve">Although </w:t>
      </w:r>
      <w:r w:rsidR="00B71F1B">
        <w:rPr>
          <w:sz w:val="22"/>
          <w:szCs w:val="22"/>
        </w:rPr>
        <w:t xml:space="preserve">the </w:t>
      </w:r>
      <w:r>
        <w:rPr>
          <w:sz w:val="22"/>
          <w:szCs w:val="22"/>
        </w:rPr>
        <w:t xml:space="preserve">impact of </w:t>
      </w:r>
      <w:r w:rsidR="00757B4C">
        <w:rPr>
          <w:sz w:val="22"/>
          <w:szCs w:val="22"/>
        </w:rPr>
        <w:t>CFO equity incentives</w:t>
      </w:r>
      <w:r>
        <w:rPr>
          <w:sz w:val="22"/>
          <w:szCs w:val="22"/>
        </w:rPr>
        <w:t xml:space="preserve"> on earnings management</w:t>
      </w:r>
      <w:r w:rsidR="00757B4C">
        <w:rPr>
          <w:sz w:val="22"/>
          <w:szCs w:val="22"/>
        </w:rPr>
        <w:t xml:space="preserve"> </w:t>
      </w:r>
      <w:r>
        <w:rPr>
          <w:sz w:val="22"/>
          <w:szCs w:val="22"/>
        </w:rPr>
        <w:t>is</w:t>
      </w:r>
      <w:r w:rsidR="00757B4C">
        <w:rPr>
          <w:sz w:val="22"/>
          <w:szCs w:val="22"/>
        </w:rPr>
        <w:t xml:space="preserve"> close</w:t>
      </w:r>
      <w:r>
        <w:rPr>
          <w:sz w:val="22"/>
          <w:szCs w:val="22"/>
        </w:rPr>
        <w:t xml:space="preserve"> to that of CEO, it is still below the magnitude of the CEO equity incentive. </w:t>
      </w:r>
      <w:r w:rsidR="003C38E8">
        <w:rPr>
          <w:sz w:val="22"/>
          <w:szCs w:val="22"/>
        </w:rPr>
        <w:t xml:space="preserve">The quartile distribution indicates that the increase of CEO equity incentives from the lower quartile to upper quartile is 23% higher than the increase of CFO equity incentives. The mean as well as the median shows that CEO equity incentive is 11% more </w:t>
      </w:r>
      <w:r w:rsidR="00157FB3">
        <w:rPr>
          <w:sz w:val="22"/>
          <w:szCs w:val="22"/>
        </w:rPr>
        <w:t>effective</w:t>
      </w:r>
      <w:r w:rsidR="003C38E8">
        <w:rPr>
          <w:sz w:val="22"/>
          <w:szCs w:val="22"/>
        </w:rPr>
        <w:t xml:space="preserve"> in increasing DLLP than the CFO. This suggests that bank CEOs, who have higher equity incentives than bank CFOs, also make more use of accrual-based earnings management. </w:t>
      </w:r>
      <w:r>
        <w:rPr>
          <w:sz w:val="22"/>
          <w:szCs w:val="22"/>
        </w:rPr>
        <w:t xml:space="preserve">Therefore, hypothesis </w:t>
      </w:r>
      <w:r w:rsidR="00A52067">
        <w:rPr>
          <w:sz w:val="22"/>
          <w:szCs w:val="22"/>
        </w:rPr>
        <w:t xml:space="preserve">5 </w:t>
      </w:r>
      <w:r>
        <w:rPr>
          <w:sz w:val="22"/>
          <w:szCs w:val="22"/>
        </w:rPr>
        <w:t xml:space="preserve">which predicts that the impact of CFO equity incentives on earnings management is higher than that of the CEO </w:t>
      </w:r>
      <w:r w:rsidR="003C38E8">
        <w:rPr>
          <w:sz w:val="22"/>
          <w:szCs w:val="22"/>
        </w:rPr>
        <w:t>is</w:t>
      </w:r>
      <w:r w:rsidR="00C36E2C">
        <w:rPr>
          <w:sz w:val="22"/>
          <w:szCs w:val="22"/>
        </w:rPr>
        <w:t xml:space="preserve"> rejected</w:t>
      </w:r>
      <w:r w:rsidR="00B71F1B">
        <w:rPr>
          <w:sz w:val="22"/>
          <w:szCs w:val="22"/>
        </w:rPr>
        <w:t xml:space="preserve"> for pre-SOX</w:t>
      </w:r>
      <w:r w:rsidR="00C36E2C">
        <w:rPr>
          <w:sz w:val="22"/>
          <w:szCs w:val="22"/>
        </w:rPr>
        <w:t>.</w:t>
      </w:r>
    </w:p>
    <w:p w:rsidR="00DF423D" w:rsidRDefault="00DF423D" w:rsidP="00B4318D"/>
    <w:p w:rsidR="00034F82" w:rsidRPr="00034F82" w:rsidRDefault="00C36E2C" w:rsidP="00034F82">
      <w:pPr>
        <w:spacing w:line="360" w:lineRule="auto"/>
        <w:jc w:val="both"/>
        <w:rPr>
          <w:sz w:val="22"/>
          <w:szCs w:val="22"/>
        </w:rPr>
      </w:pPr>
      <w:r>
        <w:rPr>
          <w:sz w:val="22"/>
          <w:szCs w:val="22"/>
        </w:rPr>
        <w:t>The</w:t>
      </w:r>
      <w:r w:rsidR="00034F82" w:rsidRPr="00034F82">
        <w:rPr>
          <w:sz w:val="22"/>
          <w:szCs w:val="22"/>
        </w:rPr>
        <w:t xml:space="preserve"> comparison between the effect of CEO and CFO equity incentives on earnings management </w:t>
      </w:r>
      <w:r w:rsidR="000C62C4">
        <w:rPr>
          <w:sz w:val="22"/>
          <w:szCs w:val="22"/>
        </w:rPr>
        <w:t>for</w:t>
      </w:r>
      <w:r w:rsidR="00034F82" w:rsidRPr="00034F82">
        <w:rPr>
          <w:sz w:val="22"/>
          <w:szCs w:val="22"/>
        </w:rPr>
        <w:t xml:space="preserve"> the post-SOX period is </w:t>
      </w:r>
      <w:r>
        <w:rPr>
          <w:sz w:val="22"/>
          <w:szCs w:val="22"/>
        </w:rPr>
        <w:t>clear</w:t>
      </w:r>
      <w:r w:rsidR="00034F82" w:rsidRPr="00034F82">
        <w:rPr>
          <w:sz w:val="22"/>
          <w:szCs w:val="22"/>
        </w:rPr>
        <w:t>, because</w:t>
      </w:r>
      <w:r w:rsidR="00034F82">
        <w:rPr>
          <w:sz w:val="22"/>
          <w:szCs w:val="22"/>
        </w:rPr>
        <w:t xml:space="preserve"> CEO equity incentives is not associated and CFO equity incentives is positively associated with earnings management. This finding suggests that CFO equity incentives have a greater effect on earnings management practices than CEO equity incentives.  </w:t>
      </w:r>
    </w:p>
    <w:p w:rsidR="00034F82" w:rsidRPr="00034F82" w:rsidRDefault="00034F82" w:rsidP="00034F82">
      <w:pPr>
        <w:spacing w:line="360" w:lineRule="auto"/>
        <w:jc w:val="both"/>
        <w:rPr>
          <w:sz w:val="22"/>
          <w:szCs w:val="22"/>
        </w:rPr>
      </w:pPr>
    </w:p>
    <w:p w:rsidR="0099367B" w:rsidRDefault="00145921" w:rsidP="0099367B">
      <w:pPr>
        <w:pStyle w:val="Kop2"/>
      </w:pPr>
      <w:bookmarkStart w:id="65" w:name="_Toc287614194"/>
      <w:r>
        <w:t>7</w:t>
      </w:r>
      <w:r w:rsidR="0099367B">
        <w:t>.</w:t>
      </w:r>
      <w:r w:rsidR="006A1F0F">
        <w:t>5</w:t>
      </w:r>
      <w:r w:rsidR="0099367B">
        <w:t xml:space="preserve"> Summary</w:t>
      </w:r>
      <w:bookmarkEnd w:id="65"/>
    </w:p>
    <w:p w:rsidR="0099367B" w:rsidRPr="0099367B" w:rsidRDefault="001B0456" w:rsidP="00A13AD3">
      <w:pPr>
        <w:spacing w:line="360" w:lineRule="auto"/>
        <w:jc w:val="both"/>
        <w:rPr>
          <w:sz w:val="22"/>
          <w:szCs w:val="22"/>
        </w:rPr>
      </w:pPr>
      <w:r>
        <w:rPr>
          <w:sz w:val="22"/>
          <w:szCs w:val="22"/>
        </w:rPr>
        <w:t>The d</w:t>
      </w:r>
      <w:r w:rsidR="007E70DA">
        <w:rPr>
          <w:sz w:val="22"/>
          <w:szCs w:val="22"/>
        </w:rPr>
        <w:t>escriptive statistics shows that CEO</w:t>
      </w:r>
      <w:r>
        <w:rPr>
          <w:sz w:val="22"/>
          <w:szCs w:val="22"/>
        </w:rPr>
        <w:t>s are rewarded five times more with equity based compensation than CFOs. After estimating equity incentives and discretionary loan loss provisions in the first stage, the results in the second stage indicate that</w:t>
      </w:r>
      <w:r w:rsidR="006F68F6">
        <w:rPr>
          <w:sz w:val="22"/>
          <w:szCs w:val="22"/>
        </w:rPr>
        <w:t xml:space="preserve"> CEO and CFO equity incentives are positively associated</w:t>
      </w:r>
      <w:r w:rsidR="000C62C4">
        <w:rPr>
          <w:sz w:val="22"/>
          <w:szCs w:val="22"/>
        </w:rPr>
        <w:t xml:space="preserve"> with earnings management in </w:t>
      </w:r>
      <w:r w:rsidR="006F68F6">
        <w:rPr>
          <w:sz w:val="22"/>
          <w:szCs w:val="22"/>
        </w:rPr>
        <w:t>pre-SOX</w:t>
      </w:r>
      <w:r w:rsidR="000C62C4">
        <w:rPr>
          <w:sz w:val="22"/>
          <w:szCs w:val="22"/>
        </w:rPr>
        <w:t>.</w:t>
      </w:r>
      <w:r w:rsidR="0017094A">
        <w:rPr>
          <w:sz w:val="22"/>
          <w:szCs w:val="22"/>
        </w:rPr>
        <w:t xml:space="preserve"> </w:t>
      </w:r>
      <w:r w:rsidR="00E8035A">
        <w:rPr>
          <w:sz w:val="22"/>
          <w:szCs w:val="22"/>
        </w:rPr>
        <w:t xml:space="preserve">Managers with more equity-based compensation are more likely to </w:t>
      </w:r>
      <w:r w:rsidR="00EC11ED">
        <w:rPr>
          <w:sz w:val="22"/>
          <w:szCs w:val="22"/>
        </w:rPr>
        <w:t xml:space="preserve">lower discretionary loan loss provisions on the income statement to </w:t>
      </w:r>
      <w:r w:rsidR="00EC11ED">
        <w:rPr>
          <w:sz w:val="22"/>
          <w:szCs w:val="22"/>
        </w:rPr>
        <w:lastRenderedPageBreak/>
        <w:t xml:space="preserve">increase reported profits. </w:t>
      </w:r>
      <w:r w:rsidR="0054554B">
        <w:rPr>
          <w:sz w:val="22"/>
          <w:szCs w:val="22"/>
        </w:rPr>
        <w:t>High</w:t>
      </w:r>
      <w:r w:rsidR="00EC11ED">
        <w:rPr>
          <w:sz w:val="22"/>
          <w:szCs w:val="22"/>
        </w:rPr>
        <w:t>er profits</w:t>
      </w:r>
      <w:r w:rsidR="0054554B">
        <w:rPr>
          <w:sz w:val="22"/>
          <w:szCs w:val="22"/>
        </w:rPr>
        <w:t xml:space="preserve"> may</w:t>
      </w:r>
      <w:r w:rsidR="0017094A">
        <w:rPr>
          <w:sz w:val="22"/>
          <w:szCs w:val="22"/>
        </w:rPr>
        <w:t xml:space="preserve"> boost the stock price </w:t>
      </w:r>
      <w:r w:rsidR="0054554B">
        <w:rPr>
          <w:sz w:val="22"/>
          <w:szCs w:val="22"/>
        </w:rPr>
        <w:t>and</w:t>
      </w:r>
      <w:r w:rsidR="0017094A">
        <w:rPr>
          <w:sz w:val="22"/>
          <w:szCs w:val="22"/>
        </w:rPr>
        <w:t xml:space="preserve"> </w:t>
      </w:r>
      <w:r w:rsidR="0054554B">
        <w:rPr>
          <w:sz w:val="22"/>
          <w:szCs w:val="22"/>
        </w:rPr>
        <w:t xml:space="preserve">as a result </w:t>
      </w:r>
      <w:r w:rsidR="0017094A">
        <w:rPr>
          <w:sz w:val="22"/>
          <w:szCs w:val="22"/>
        </w:rPr>
        <w:t xml:space="preserve">increase the value of their stock and option holdings. </w:t>
      </w:r>
      <w:r w:rsidR="006F68F6">
        <w:rPr>
          <w:sz w:val="22"/>
          <w:szCs w:val="22"/>
        </w:rPr>
        <w:t xml:space="preserve">After the implementation of SOX </w:t>
      </w:r>
      <w:r w:rsidR="009907E3">
        <w:rPr>
          <w:sz w:val="22"/>
          <w:szCs w:val="22"/>
        </w:rPr>
        <w:t xml:space="preserve">in 2002, </w:t>
      </w:r>
      <w:r w:rsidR="003C38E8">
        <w:rPr>
          <w:sz w:val="22"/>
          <w:szCs w:val="22"/>
        </w:rPr>
        <w:t xml:space="preserve">there is no association found between CEO equity incentives </w:t>
      </w:r>
      <w:r w:rsidR="00697FC9">
        <w:rPr>
          <w:sz w:val="22"/>
          <w:szCs w:val="22"/>
        </w:rPr>
        <w:t xml:space="preserve">and earnings management strategy, </w:t>
      </w:r>
      <w:r w:rsidR="00A13AD3">
        <w:rPr>
          <w:sz w:val="22"/>
          <w:szCs w:val="22"/>
        </w:rPr>
        <w:t>indicating</w:t>
      </w:r>
      <w:r w:rsidR="00697FC9">
        <w:rPr>
          <w:sz w:val="22"/>
          <w:szCs w:val="22"/>
        </w:rPr>
        <w:t xml:space="preserve"> that SOX has a mitigating effect on earnings management practices of the CEO</w:t>
      </w:r>
      <w:r w:rsidR="00A13AD3">
        <w:rPr>
          <w:sz w:val="22"/>
          <w:szCs w:val="22"/>
        </w:rPr>
        <w:t>. T</w:t>
      </w:r>
      <w:r w:rsidR="006F68F6">
        <w:rPr>
          <w:sz w:val="22"/>
          <w:szCs w:val="22"/>
        </w:rPr>
        <w:t>he CFO equity incentives remains positively asso</w:t>
      </w:r>
      <w:r w:rsidR="00A13AD3">
        <w:rPr>
          <w:sz w:val="22"/>
          <w:szCs w:val="22"/>
        </w:rPr>
        <w:t xml:space="preserve">ciated with earnings management, which </w:t>
      </w:r>
      <w:r>
        <w:rPr>
          <w:sz w:val="22"/>
          <w:szCs w:val="22"/>
        </w:rPr>
        <w:t>suggests</w:t>
      </w:r>
      <w:r w:rsidR="00A13AD3">
        <w:rPr>
          <w:sz w:val="22"/>
          <w:szCs w:val="22"/>
        </w:rPr>
        <w:t xml:space="preserve"> that CFOs act independently of CEOs.</w:t>
      </w:r>
      <w:r w:rsidR="006F68F6">
        <w:rPr>
          <w:sz w:val="22"/>
          <w:szCs w:val="22"/>
        </w:rPr>
        <w:t xml:space="preserve"> </w:t>
      </w:r>
      <w:r>
        <w:rPr>
          <w:sz w:val="22"/>
          <w:szCs w:val="22"/>
        </w:rPr>
        <w:t>The equity incentive</w:t>
      </w:r>
      <w:r w:rsidR="00EC11ED">
        <w:rPr>
          <w:sz w:val="22"/>
          <w:szCs w:val="22"/>
        </w:rPr>
        <w:t xml:space="preserve"> </w:t>
      </w:r>
      <w:r>
        <w:rPr>
          <w:sz w:val="22"/>
          <w:szCs w:val="22"/>
        </w:rPr>
        <w:t xml:space="preserve">coefficient </w:t>
      </w:r>
      <w:r w:rsidR="003F6924">
        <w:rPr>
          <w:sz w:val="22"/>
          <w:szCs w:val="22"/>
        </w:rPr>
        <w:t xml:space="preserve">of the CFO </w:t>
      </w:r>
      <w:r w:rsidR="00EC11ED">
        <w:rPr>
          <w:sz w:val="22"/>
          <w:szCs w:val="22"/>
        </w:rPr>
        <w:t>in post-SOX is</w:t>
      </w:r>
      <w:r>
        <w:rPr>
          <w:sz w:val="22"/>
          <w:szCs w:val="22"/>
        </w:rPr>
        <w:t xml:space="preserve"> found</w:t>
      </w:r>
      <w:r w:rsidR="00EC11ED">
        <w:rPr>
          <w:sz w:val="22"/>
          <w:szCs w:val="22"/>
        </w:rPr>
        <w:t xml:space="preserve"> four times lower than in pre-SOX, implying</w:t>
      </w:r>
      <w:r w:rsidR="003F6924">
        <w:rPr>
          <w:sz w:val="22"/>
          <w:szCs w:val="22"/>
        </w:rPr>
        <w:t xml:space="preserve"> that SOX</w:t>
      </w:r>
      <w:r w:rsidR="00697FC9">
        <w:rPr>
          <w:sz w:val="22"/>
          <w:szCs w:val="22"/>
        </w:rPr>
        <w:t xml:space="preserve"> has </w:t>
      </w:r>
      <w:r>
        <w:rPr>
          <w:sz w:val="22"/>
          <w:szCs w:val="22"/>
        </w:rPr>
        <w:t>reduced</w:t>
      </w:r>
      <w:r w:rsidR="00697FC9">
        <w:rPr>
          <w:sz w:val="22"/>
          <w:szCs w:val="22"/>
        </w:rPr>
        <w:t xml:space="preserve"> earnings management practices of the CFO. </w:t>
      </w:r>
      <w:r w:rsidR="006F68F6">
        <w:rPr>
          <w:sz w:val="22"/>
          <w:szCs w:val="22"/>
        </w:rPr>
        <w:t xml:space="preserve">When comparing whether the CEO or CFO equity incentives have a greater impact on earnings management in the banking industry, the results show that </w:t>
      </w:r>
      <w:r w:rsidR="009907E3">
        <w:rPr>
          <w:sz w:val="22"/>
          <w:szCs w:val="22"/>
        </w:rPr>
        <w:t xml:space="preserve">the impact of </w:t>
      </w:r>
      <w:r w:rsidR="006F68F6">
        <w:rPr>
          <w:sz w:val="22"/>
          <w:szCs w:val="22"/>
        </w:rPr>
        <w:t>CEO equity incentives</w:t>
      </w:r>
      <w:r w:rsidR="003F6924">
        <w:rPr>
          <w:sz w:val="22"/>
          <w:szCs w:val="22"/>
        </w:rPr>
        <w:t xml:space="preserve"> dominates that of the CFO in pre-SOX and the opposite is found for the post-SOX period.</w:t>
      </w:r>
      <w:r w:rsidR="006F68F6">
        <w:rPr>
          <w:sz w:val="22"/>
          <w:szCs w:val="22"/>
        </w:rPr>
        <w:t xml:space="preserve">  </w:t>
      </w:r>
    </w:p>
    <w:p w:rsidR="0099367B" w:rsidRPr="0054554B" w:rsidRDefault="0099367B" w:rsidP="00A13AD3">
      <w:pPr>
        <w:spacing w:line="360" w:lineRule="auto"/>
        <w:jc w:val="both"/>
        <w:rPr>
          <w:sz w:val="22"/>
          <w:szCs w:val="22"/>
        </w:rPr>
      </w:pPr>
    </w:p>
    <w:p w:rsidR="00CE1EBD" w:rsidRDefault="00C17DE2" w:rsidP="00A13AD3">
      <w:pPr>
        <w:spacing w:line="360" w:lineRule="auto"/>
        <w:jc w:val="both"/>
        <w:rPr>
          <w:sz w:val="22"/>
          <w:szCs w:val="22"/>
        </w:rPr>
      </w:pPr>
      <w:r>
        <w:rPr>
          <w:sz w:val="22"/>
          <w:szCs w:val="22"/>
        </w:rPr>
        <w:t xml:space="preserve">The next chapter presents the </w:t>
      </w:r>
      <w:r w:rsidR="00A13AD3" w:rsidRPr="0054554B">
        <w:rPr>
          <w:sz w:val="22"/>
          <w:szCs w:val="22"/>
        </w:rPr>
        <w:t>overall summary</w:t>
      </w:r>
      <w:r>
        <w:rPr>
          <w:sz w:val="22"/>
          <w:szCs w:val="22"/>
        </w:rPr>
        <w:t>, conclusions and limitations</w:t>
      </w:r>
      <w:r w:rsidR="00A13AD3" w:rsidRPr="0054554B">
        <w:rPr>
          <w:sz w:val="22"/>
          <w:szCs w:val="22"/>
        </w:rPr>
        <w:t xml:space="preserve"> of this thesis. </w:t>
      </w: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697FC9" w:rsidRDefault="00697FC9" w:rsidP="00A13AD3">
      <w:pPr>
        <w:spacing w:line="360" w:lineRule="auto"/>
        <w:jc w:val="both"/>
        <w:rPr>
          <w:sz w:val="22"/>
          <w:szCs w:val="22"/>
        </w:rPr>
      </w:pPr>
    </w:p>
    <w:p w:rsidR="00C17DE2" w:rsidRDefault="00C17DE2" w:rsidP="00A13AD3">
      <w:pPr>
        <w:spacing w:line="360" w:lineRule="auto"/>
        <w:jc w:val="both"/>
        <w:rPr>
          <w:sz w:val="22"/>
          <w:szCs w:val="22"/>
        </w:rPr>
      </w:pPr>
    </w:p>
    <w:p w:rsidR="00697FC9" w:rsidRDefault="00697FC9"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082001" w:rsidRDefault="00082001" w:rsidP="00A13AD3">
      <w:pPr>
        <w:spacing w:line="360" w:lineRule="auto"/>
        <w:jc w:val="both"/>
        <w:rPr>
          <w:sz w:val="22"/>
          <w:szCs w:val="22"/>
        </w:rPr>
      </w:pPr>
    </w:p>
    <w:p w:rsidR="00697FC9" w:rsidRDefault="00697FC9" w:rsidP="00A13AD3">
      <w:pPr>
        <w:spacing w:line="360" w:lineRule="auto"/>
        <w:jc w:val="both"/>
        <w:rPr>
          <w:sz w:val="22"/>
          <w:szCs w:val="22"/>
        </w:rPr>
      </w:pPr>
    </w:p>
    <w:p w:rsidR="00503D92" w:rsidRDefault="00503D92" w:rsidP="00A13AD3">
      <w:pPr>
        <w:spacing w:line="360" w:lineRule="auto"/>
        <w:jc w:val="both"/>
        <w:rPr>
          <w:sz w:val="22"/>
          <w:szCs w:val="22"/>
        </w:rPr>
      </w:pPr>
    </w:p>
    <w:p w:rsidR="00503D92" w:rsidRDefault="00503D92" w:rsidP="00A13AD3">
      <w:pPr>
        <w:spacing w:line="360" w:lineRule="auto"/>
        <w:jc w:val="both"/>
        <w:rPr>
          <w:sz w:val="22"/>
          <w:szCs w:val="22"/>
        </w:rPr>
      </w:pPr>
    </w:p>
    <w:p w:rsidR="00503D92" w:rsidRDefault="00503D92" w:rsidP="00A13AD3">
      <w:pPr>
        <w:spacing w:line="360" w:lineRule="auto"/>
        <w:jc w:val="both"/>
        <w:rPr>
          <w:sz w:val="22"/>
          <w:szCs w:val="22"/>
        </w:rPr>
      </w:pPr>
    </w:p>
    <w:p w:rsidR="00697FC9" w:rsidRDefault="00697FC9" w:rsidP="00A13AD3">
      <w:pPr>
        <w:spacing w:line="360" w:lineRule="auto"/>
        <w:jc w:val="both"/>
        <w:rPr>
          <w:sz w:val="22"/>
          <w:szCs w:val="22"/>
        </w:rPr>
      </w:pPr>
    </w:p>
    <w:p w:rsidR="0017094A" w:rsidRDefault="00145921" w:rsidP="00F52CA9">
      <w:pPr>
        <w:pStyle w:val="Kop1"/>
        <w:jc w:val="center"/>
      </w:pPr>
      <w:bookmarkStart w:id="66" w:name="_Toc287614195"/>
      <w:r>
        <w:lastRenderedPageBreak/>
        <w:t>8</w:t>
      </w:r>
      <w:r w:rsidR="00AA3F06" w:rsidRPr="007508F1">
        <w:t xml:space="preserve">. </w:t>
      </w:r>
      <w:r w:rsidR="0017094A">
        <w:t xml:space="preserve">SUMMARY AND </w:t>
      </w:r>
      <w:r w:rsidR="00F52CA9">
        <w:t>CONCLUSION</w:t>
      </w:r>
      <w:r w:rsidR="0017094A">
        <w:t>S</w:t>
      </w:r>
      <w:bookmarkEnd w:id="66"/>
    </w:p>
    <w:p w:rsidR="00AA3F06" w:rsidRPr="00CE1EBD" w:rsidRDefault="00AA3F06" w:rsidP="00CE1EBD">
      <w:pPr>
        <w:spacing w:line="360" w:lineRule="auto"/>
        <w:jc w:val="both"/>
        <w:rPr>
          <w:sz w:val="22"/>
          <w:szCs w:val="22"/>
        </w:rPr>
      </w:pPr>
    </w:p>
    <w:p w:rsidR="00AA3F06" w:rsidRPr="0099367B" w:rsidRDefault="00EB736F" w:rsidP="0099367B">
      <w:pPr>
        <w:spacing w:line="360" w:lineRule="auto"/>
        <w:jc w:val="both"/>
        <w:rPr>
          <w:sz w:val="22"/>
          <w:szCs w:val="22"/>
        </w:rPr>
      </w:pPr>
      <w:r>
        <w:rPr>
          <w:sz w:val="22"/>
          <w:szCs w:val="22"/>
        </w:rPr>
        <w:t xml:space="preserve">This final chapter starts with </w:t>
      </w:r>
      <w:r w:rsidR="00CE1EBD">
        <w:rPr>
          <w:sz w:val="22"/>
          <w:szCs w:val="22"/>
        </w:rPr>
        <w:t>the overall summary of this thesis.</w:t>
      </w:r>
      <w:r w:rsidR="00502148">
        <w:rPr>
          <w:sz w:val="22"/>
          <w:szCs w:val="22"/>
        </w:rPr>
        <w:t xml:space="preserve"> </w:t>
      </w:r>
      <w:r>
        <w:rPr>
          <w:sz w:val="22"/>
          <w:szCs w:val="22"/>
        </w:rPr>
        <w:t>P</w:t>
      </w:r>
      <w:r w:rsidR="00502148">
        <w:rPr>
          <w:sz w:val="22"/>
          <w:szCs w:val="22"/>
        </w:rPr>
        <w:t>aragraph 8</w:t>
      </w:r>
      <w:r w:rsidR="009B419F">
        <w:rPr>
          <w:sz w:val="22"/>
          <w:szCs w:val="22"/>
        </w:rPr>
        <w:t>.2</w:t>
      </w:r>
      <w:r w:rsidR="00CE1EBD">
        <w:rPr>
          <w:sz w:val="22"/>
          <w:szCs w:val="22"/>
        </w:rPr>
        <w:t xml:space="preserve"> </w:t>
      </w:r>
      <w:r>
        <w:rPr>
          <w:sz w:val="22"/>
          <w:szCs w:val="22"/>
        </w:rPr>
        <w:t>analyzes and discusses the empirical results found</w:t>
      </w:r>
      <w:r w:rsidR="0081257E">
        <w:rPr>
          <w:sz w:val="22"/>
          <w:szCs w:val="22"/>
        </w:rPr>
        <w:t>,</w:t>
      </w:r>
      <w:r>
        <w:rPr>
          <w:sz w:val="22"/>
          <w:szCs w:val="22"/>
        </w:rPr>
        <w:t xml:space="preserve"> the conclusions and </w:t>
      </w:r>
      <w:r w:rsidR="00CE1EBD">
        <w:rPr>
          <w:sz w:val="22"/>
          <w:szCs w:val="22"/>
        </w:rPr>
        <w:t>the main research question</w:t>
      </w:r>
      <w:r w:rsidR="00B47300">
        <w:rPr>
          <w:sz w:val="22"/>
          <w:szCs w:val="22"/>
        </w:rPr>
        <w:t>. P</w:t>
      </w:r>
      <w:r w:rsidR="00502148">
        <w:rPr>
          <w:sz w:val="22"/>
          <w:szCs w:val="22"/>
        </w:rPr>
        <w:t>aragraph 8</w:t>
      </w:r>
      <w:r w:rsidR="00B47300">
        <w:rPr>
          <w:sz w:val="22"/>
          <w:szCs w:val="22"/>
        </w:rPr>
        <w:t>.3 discusses the</w:t>
      </w:r>
      <w:r w:rsidR="009B419F">
        <w:rPr>
          <w:sz w:val="22"/>
          <w:szCs w:val="22"/>
        </w:rPr>
        <w:t xml:space="preserve"> limitations</w:t>
      </w:r>
      <w:r w:rsidR="00B47300">
        <w:rPr>
          <w:sz w:val="22"/>
          <w:szCs w:val="22"/>
        </w:rPr>
        <w:t xml:space="preserve"> of this thesis</w:t>
      </w:r>
      <w:r w:rsidR="009B419F">
        <w:rPr>
          <w:sz w:val="22"/>
          <w:szCs w:val="22"/>
        </w:rPr>
        <w:t xml:space="preserve"> and gives </w:t>
      </w:r>
      <w:r w:rsidR="00264BDE">
        <w:rPr>
          <w:sz w:val="22"/>
          <w:szCs w:val="22"/>
        </w:rPr>
        <w:t>suggestion</w:t>
      </w:r>
      <w:r w:rsidR="009B419F">
        <w:rPr>
          <w:sz w:val="22"/>
          <w:szCs w:val="22"/>
        </w:rPr>
        <w:t>s for future research.</w:t>
      </w:r>
    </w:p>
    <w:p w:rsidR="006F0F8D" w:rsidRDefault="006F0F8D" w:rsidP="0099367B">
      <w:pPr>
        <w:spacing w:line="360" w:lineRule="auto"/>
        <w:jc w:val="both"/>
        <w:rPr>
          <w:sz w:val="22"/>
          <w:szCs w:val="22"/>
        </w:rPr>
      </w:pPr>
    </w:p>
    <w:p w:rsidR="009B419F" w:rsidRPr="00A83DE6" w:rsidRDefault="00246A48" w:rsidP="009B419F">
      <w:pPr>
        <w:pStyle w:val="Kop2"/>
      </w:pPr>
      <w:bookmarkStart w:id="67" w:name="_Toc287614196"/>
      <w:r w:rsidRPr="00A83DE6">
        <w:t>8</w:t>
      </w:r>
      <w:r w:rsidR="009B419F" w:rsidRPr="00A83DE6">
        <w:t xml:space="preserve">.1 </w:t>
      </w:r>
      <w:r w:rsidR="009B419F" w:rsidRPr="0048588F">
        <w:t>Summary</w:t>
      </w:r>
      <w:bookmarkEnd w:id="67"/>
    </w:p>
    <w:p w:rsidR="002933DE" w:rsidRPr="0048588F" w:rsidRDefault="002933DE" w:rsidP="002933DE">
      <w:pPr>
        <w:spacing w:line="360" w:lineRule="auto"/>
        <w:jc w:val="both"/>
        <w:rPr>
          <w:sz w:val="22"/>
          <w:szCs w:val="22"/>
        </w:rPr>
      </w:pPr>
      <w:r w:rsidRPr="0048588F">
        <w:rPr>
          <w:sz w:val="22"/>
          <w:szCs w:val="22"/>
        </w:rPr>
        <w:t>Equity incentives</w:t>
      </w:r>
      <w:r w:rsidR="00F922F6">
        <w:rPr>
          <w:sz w:val="22"/>
          <w:szCs w:val="22"/>
        </w:rPr>
        <w:t>,</w:t>
      </w:r>
      <w:r w:rsidRPr="0048588F">
        <w:rPr>
          <w:sz w:val="22"/>
          <w:szCs w:val="22"/>
        </w:rPr>
        <w:t xml:space="preserve"> arising from stock-based compensation and stock/option ownership, encourag</w:t>
      </w:r>
      <w:r w:rsidR="00F922F6">
        <w:rPr>
          <w:sz w:val="22"/>
          <w:szCs w:val="22"/>
        </w:rPr>
        <w:t>e</w:t>
      </w:r>
      <w:r w:rsidRPr="0048588F">
        <w:rPr>
          <w:sz w:val="22"/>
          <w:szCs w:val="22"/>
        </w:rPr>
        <w:t xml:space="preserve"> managers to focus on the firm’s share price. The purpose of equity incentives is to align managers’ int</w:t>
      </w:r>
      <w:r w:rsidR="00AD07FF">
        <w:rPr>
          <w:sz w:val="22"/>
          <w:szCs w:val="22"/>
        </w:rPr>
        <w:t>erest with that of shareholders</w:t>
      </w:r>
      <w:r w:rsidR="00C864AF">
        <w:rPr>
          <w:sz w:val="22"/>
          <w:szCs w:val="22"/>
        </w:rPr>
        <w:t>, because the</w:t>
      </w:r>
      <w:r w:rsidRPr="0048588F">
        <w:rPr>
          <w:sz w:val="22"/>
          <w:szCs w:val="22"/>
        </w:rPr>
        <w:t xml:space="preserve"> manager </w:t>
      </w:r>
      <w:r w:rsidR="00AD07FF">
        <w:rPr>
          <w:sz w:val="22"/>
          <w:szCs w:val="22"/>
        </w:rPr>
        <w:t xml:space="preserve">is </w:t>
      </w:r>
      <w:r w:rsidR="00AD07FF" w:rsidRPr="0048588F">
        <w:rPr>
          <w:sz w:val="22"/>
          <w:szCs w:val="22"/>
        </w:rPr>
        <w:t xml:space="preserve">more concerned about his own welfare </w:t>
      </w:r>
      <w:r w:rsidRPr="0048588F">
        <w:rPr>
          <w:sz w:val="22"/>
          <w:szCs w:val="22"/>
        </w:rPr>
        <w:t>and is r</w:t>
      </w:r>
      <w:r w:rsidR="00AD07FF">
        <w:rPr>
          <w:sz w:val="22"/>
          <w:szCs w:val="22"/>
        </w:rPr>
        <w:t>eluctant to take risky projects</w:t>
      </w:r>
      <w:r w:rsidR="00F43622">
        <w:rPr>
          <w:sz w:val="22"/>
          <w:szCs w:val="22"/>
        </w:rPr>
        <w:t xml:space="preserve">. Therefore, options </w:t>
      </w:r>
      <w:r w:rsidR="008B4F55">
        <w:rPr>
          <w:sz w:val="22"/>
          <w:szCs w:val="22"/>
        </w:rPr>
        <w:t>compensation</w:t>
      </w:r>
      <w:r w:rsidR="00C864AF">
        <w:rPr>
          <w:sz w:val="22"/>
          <w:szCs w:val="22"/>
        </w:rPr>
        <w:t xml:space="preserve"> encourage</w:t>
      </w:r>
      <w:r w:rsidR="008B4F55">
        <w:rPr>
          <w:sz w:val="22"/>
          <w:szCs w:val="22"/>
        </w:rPr>
        <w:t>s</w:t>
      </w:r>
      <w:r w:rsidRPr="0048588F">
        <w:rPr>
          <w:sz w:val="22"/>
          <w:szCs w:val="22"/>
        </w:rPr>
        <w:t xml:space="preserve"> more risk</w:t>
      </w:r>
      <w:r w:rsidR="00C864AF">
        <w:rPr>
          <w:sz w:val="22"/>
          <w:szCs w:val="22"/>
        </w:rPr>
        <w:t xml:space="preserve"> taking</w:t>
      </w:r>
      <w:r w:rsidRPr="0048588F">
        <w:rPr>
          <w:sz w:val="22"/>
          <w:szCs w:val="22"/>
        </w:rPr>
        <w:t xml:space="preserve"> and stock ownership </w:t>
      </w:r>
      <w:r w:rsidR="008B4F55">
        <w:rPr>
          <w:sz w:val="22"/>
          <w:szCs w:val="22"/>
        </w:rPr>
        <w:t>reduces</w:t>
      </w:r>
      <w:r w:rsidRPr="0048588F">
        <w:rPr>
          <w:sz w:val="22"/>
          <w:szCs w:val="22"/>
        </w:rPr>
        <w:t xml:space="preserve"> agency problems. </w:t>
      </w:r>
      <w:r w:rsidR="00C864AF">
        <w:rPr>
          <w:sz w:val="22"/>
          <w:szCs w:val="22"/>
        </w:rPr>
        <w:t>Additionally, options and stock give managers the incentive to</w:t>
      </w:r>
      <w:r w:rsidRPr="0048588F">
        <w:rPr>
          <w:sz w:val="22"/>
          <w:szCs w:val="22"/>
        </w:rPr>
        <w:t xml:space="preserve"> increase firm performance, since a better performance increases the firm’s share price. </w:t>
      </w:r>
      <w:r w:rsidR="00F43622">
        <w:rPr>
          <w:sz w:val="22"/>
          <w:szCs w:val="22"/>
        </w:rPr>
        <w:t>A higher</w:t>
      </w:r>
      <w:r w:rsidR="00F43622" w:rsidRPr="0048588F">
        <w:rPr>
          <w:sz w:val="22"/>
          <w:szCs w:val="22"/>
        </w:rPr>
        <w:t xml:space="preserve"> share price </w:t>
      </w:r>
      <w:r w:rsidR="00F43622">
        <w:rPr>
          <w:sz w:val="22"/>
          <w:szCs w:val="22"/>
        </w:rPr>
        <w:t>will benefit the manager</w:t>
      </w:r>
      <w:r w:rsidRPr="0048588F">
        <w:rPr>
          <w:sz w:val="22"/>
          <w:szCs w:val="22"/>
        </w:rPr>
        <w:t xml:space="preserve"> as well as </w:t>
      </w:r>
      <w:r w:rsidR="00F43622">
        <w:rPr>
          <w:sz w:val="22"/>
          <w:szCs w:val="22"/>
        </w:rPr>
        <w:t xml:space="preserve">the </w:t>
      </w:r>
      <w:r w:rsidRPr="0048588F">
        <w:rPr>
          <w:sz w:val="22"/>
          <w:szCs w:val="22"/>
        </w:rPr>
        <w:t xml:space="preserve">shareholders. However, </w:t>
      </w:r>
      <w:r w:rsidR="00F43622">
        <w:rPr>
          <w:sz w:val="22"/>
          <w:szCs w:val="22"/>
        </w:rPr>
        <w:t>t</w:t>
      </w:r>
      <w:r w:rsidR="00F43622" w:rsidRPr="0048588F">
        <w:rPr>
          <w:sz w:val="22"/>
          <w:szCs w:val="22"/>
        </w:rPr>
        <w:t>he</w:t>
      </w:r>
      <w:r w:rsidR="00C864AF">
        <w:rPr>
          <w:sz w:val="22"/>
          <w:szCs w:val="22"/>
        </w:rPr>
        <w:t>se</w:t>
      </w:r>
      <w:r w:rsidR="008B4F55">
        <w:rPr>
          <w:sz w:val="22"/>
          <w:szCs w:val="22"/>
        </w:rPr>
        <w:t xml:space="preserve"> benefits </w:t>
      </w:r>
      <w:r w:rsidR="00F43622" w:rsidRPr="0048588F">
        <w:rPr>
          <w:sz w:val="22"/>
          <w:szCs w:val="22"/>
        </w:rPr>
        <w:t>evaporate</w:t>
      </w:r>
      <w:r w:rsidR="00F43622">
        <w:rPr>
          <w:sz w:val="22"/>
          <w:szCs w:val="22"/>
        </w:rPr>
        <w:t xml:space="preserve"> when </w:t>
      </w:r>
      <w:r w:rsidR="00AD07FF">
        <w:rPr>
          <w:sz w:val="22"/>
          <w:szCs w:val="22"/>
        </w:rPr>
        <w:t>the manager</w:t>
      </w:r>
      <w:r w:rsidRPr="0048588F">
        <w:rPr>
          <w:sz w:val="22"/>
          <w:szCs w:val="22"/>
        </w:rPr>
        <w:t xml:space="preserve"> sell</w:t>
      </w:r>
      <w:r w:rsidR="00AD07FF">
        <w:rPr>
          <w:sz w:val="22"/>
          <w:szCs w:val="22"/>
        </w:rPr>
        <w:t>s</w:t>
      </w:r>
      <w:r w:rsidRPr="0048588F">
        <w:rPr>
          <w:sz w:val="22"/>
          <w:szCs w:val="22"/>
        </w:rPr>
        <w:t xml:space="preserve"> his options and shares to avoid the</w:t>
      </w:r>
      <w:r w:rsidR="00B37323">
        <w:rPr>
          <w:sz w:val="22"/>
          <w:szCs w:val="22"/>
        </w:rPr>
        <w:t xml:space="preserve"> idiosyncratic risk of the firm</w:t>
      </w:r>
      <w:r w:rsidRPr="0048588F">
        <w:rPr>
          <w:sz w:val="22"/>
          <w:szCs w:val="22"/>
        </w:rPr>
        <w:t xml:space="preserve">. </w:t>
      </w:r>
      <w:r w:rsidR="00AD07FF">
        <w:rPr>
          <w:sz w:val="22"/>
          <w:szCs w:val="22"/>
        </w:rPr>
        <w:t>Moreover, the manager adopt</w:t>
      </w:r>
      <w:r w:rsidR="008B4F55">
        <w:rPr>
          <w:sz w:val="22"/>
          <w:szCs w:val="22"/>
        </w:rPr>
        <w:t>s</w:t>
      </w:r>
      <w:r w:rsidR="00AD07FF">
        <w:rPr>
          <w:sz w:val="22"/>
          <w:szCs w:val="22"/>
        </w:rPr>
        <w:t xml:space="preserve"> earnings management strategies when selling his </w:t>
      </w:r>
      <w:r w:rsidRPr="0048588F">
        <w:rPr>
          <w:sz w:val="22"/>
          <w:szCs w:val="22"/>
        </w:rPr>
        <w:t xml:space="preserve">options and </w:t>
      </w:r>
      <w:r w:rsidR="00AD07FF">
        <w:rPr>
          <w:sz w:val="22"/>
          <w:szCs w:val="22"/>
        </w:rPr>
        <w:t xml:space="preserve">stocks, because </w:t>
      </w:r>
      <w:r w:rsidR="008B4F55">
        <w:rPr>
          <w:sz w:val="22"/>
          <w:szCs w:val="22"/>
        </w:rPr>
        <w:t>the</w:t>
      </w:r>
      <w:r w:rsidR="00AD07FF">
        <w:rPr>
          <w:sz w:val="22"/>
          <w:szCs w:val="22"/>
        </w:rPr>
        <w:t xml:space="preserve"> value</w:t>
      </w:r>
      <w:r w:rsidR="008B4F55">
        <w:rPr>
          <w:sz w:val="22"/>
          <w:szCs w:val="22"/>
        </w:rPr>
        <w:t xml:space="preserve"> of stock and option holdings</w:t>
      </w:r>
      <w:r w:rsidR="00AD07FF">
        <w:rPr>
          <w:sz w:val="22"/>
          <w:szCs w:val="22"/>
        </w:rPr>
        <w:t xml:space="preserve"> </w:t>
      </w:r>
      <w:r w:rsidR="008B4F55">
        <w:rPr>
          <w:sz w:val="22"/>
          <w:szCs w:val="22"/>
        </w:rPr>
        <w:t>is</w:t>
      </w:r>
      <w:r w:rsidR="00AD07FF">
        <w:rPr>
          <w:sz w:val="22"/>
          <w:szCs w:val="22"/>
        </w:rPr>
        <w:t xml:space="preserve"> higher than when</w:t>
      </w:r>
      <w:r w:rsidRPr="0048588F">
        <w:rPr>
          <w:sz w:val="22"/>
          <w:szCs w:val="22"/>
        </w:rPr>
        <w:t xml:space="preserve"> earnings m</w:t>
      </w:r>
      <w:r w:rsidR="002B1230" w:rsidRPr="0048588F">
        <w:rPr>
          <w:sz w:val="22"/>
          <w:szCs w:val="22"/>
        </w:rPr>
        <w:t xml:space="preserve">anagement </w:t>
      </w:r>
      <w:r w:rsidR="00AD07FF">
        <w:rPr>
          <w:sz w:val="22"/>
          <w:szCs w:val="22"/>
        </w:rPr>
        <w:t xml:space="preserve">isn’t </w:t>
      </w:r>
      <w:r w:rsidR="002B1230" w:rsidRPr="0048588F">
        <w:rPr>
          <w:sz w:val="22"/>
          <w:szCs w:val="22"/>
        </w:rPr>
        <w:t xml:space="preserve">applied. </w:t>
      </w:r>
      <w:r w:rsidR="00D40016" w:rsidRPr="0048588F">
        <w:rPr>
          <w:sz w:val="22"/>
          <w:szCs w:val="22"/>
        </w:rPr>
        <w:t xml:space="preserve">Over the years </w:t>
      </w:r>
      <w:r w:rsidR="00D40016">
        <w:rPr>
          <w:sz w:val="22"/>
          <w:szCs w:val="22"/>
        </w:rPr>
        <w:t>e</w:t>
      </w:r>
      <w:r w:rsidR="002B1230" w:rsidRPr="0048588F">
        <w:rPr>
          <w:sz w:val="22"/>
          <w:szCs w:val="22"/>
        </w:rPr>
        <w:t xml:space="preserve">quity-based compensation has increased, while </w:t>
      </w:r>
      <w:r w:rsidR="008B4F55" w:rsidRPr="0048588F">
        <w:rPr>
          <w:sz w:val="22"/>
          <w:szCs w:val="22"/>
        </w:rPr>
        <w:t xml:space="preserve">compensation </w:t>
      </w:r>
      <w:r w:rsidR="002B1230" w:rsidRPr="0048588F">
        <w:rPr>
          <w:sz w:val="22"/>
          <w:szCs w:val="22"/>
        </w:rPr>
        <w:t xml:space="preserve">disclosure has not. </w:t>
      </w:r>
      <w:r w:rsidR="008B4F55">
        <w:rPr>
          <w:sz w:val="22"/>
          <w:szCs w:val="22"/>
        </w:rPr>
        <w:t>T</w:t>
      </w:r>
      <w:r w:rsidR="002B1230" w:rsidRPr="0048588F">
        <w:rPr>
          <w:sz w:val="22"/>
          <w:szCs w:val="22"/>
        </w:rPr>
        <w:t xml:space="preserve">he increase of equity-based compensation </w:t>
      </w:r>
      <w:r w:rsidR="008B4F55">
        <w:rPr>
          <w:sz w:val="22"/>
          <w:szCs w:val="22"/>
        </w:rPr>
        <w:t>corresponds with increasing</w:t>
      </w:r>
      <w:r w:rsidR="002B1230" w:rsidRPr="0048588F">
        <w:rPr>
          <w:sz w:val="22"/>
          <w:szCs w:val="22"/>
        </w:rPr>
        <w:t xml:space="preserve"> salaries</w:t>
      </w:r>
      <w:r w:rsidR="008B4F55">
        <w:rPr>
          <w:sz w:val="22"/>
          <w:szCs w:val="22"/>
        </w:rPr>
        <w:t xml:space="preserve"> of managers. This caused</w:t>
      </w:r>
      <w:r w:rsidR="002B1230" w:rsidRPr="0048588F">
        <w:rPr>
          <w:sz w:val="22"/>
          <w:szCs w:val="22"/>
        </w:rPr>
        <w:t xml:space="preserve"> </w:t>
      </w:r>
      <w:r w:rsidR="00F43622">
        <w:rPr>
          <w:sz w:val="22"/>
          <w:szCs w:val="22"/>
        </w:rPr>
        <w:t xml:space="preserve">regulators </w:t>
      </w:r>
      <w:r w:rsidR="008B4F55">
        <w:rPr>
          <w:sz w:val="22"/>
          <w:szCs w:val="22"/>
        </w:rPr>
        <w:t xml:space="preserve">to </w:t>
      </w:r>
      <w:r w:rsidR="00F43622">
        <w:rPr>
          <w:sz w:val="22"/>
          <w:szCs w:val="22"/>
        </w:rPr>
        <w:t>require</w:t>
      </w:r>
      <w:r w:rsidR="002B1230" w:rsidRPr="0048588F">
        <w:rPr>
          <w:sz w:val="22"/>
          <w:szCs w:val="22"/>
        </w:rPr>
        <w:t xml:space="preserve"> extensive compensation disclosure of</w:t>
      </w:r>
      <w:r w:rsidR="00AD07FF">
        <w:rPr>
          <w:sz w:val="22"/>
          <w:szCs w:val="22"/>
        </w:rPr>
        <w:t xml:space="preserve"> the CEO</w:t>
      </w:r>
      <w:r w:rsidR="00F43622">
        <w:rPr>
          <w:sz w:val="22"/>
          <w:szCs w:val="22"/>
        </w:rPr>
        <w:t xml:space="preserve"> and</w:t>
      </w:r>
      <w:r w:rsidR="002B1230" w:rsidRPr="0048588F">
        <w:rPr>
          <w:sz w:val="22"/>
          <w:szCs w:val="22"/>
        </w:rPr>
        <w:t xml:space="preserve"> CFO</w:t>
      </w:r>
      <w:r w:rsidR="00F43622">
        <w:rPr>
          <w:sz w:val="22"/>
          <w:szCs w:val="22"/>
        </w:rPr>
        <w:t>.</w:t>
      </w:r>
      <w:r w:rsidR="008B4F55">
        <w:rPr>
          <w:sz w:val="22"/>
          <w:szCs w:val="22"/>
        </w:rPr>
        <w:t xml:space="preserve"> In t</w:t>
      </w:r>
      <w:r w:rsidRPr="0048588F">
        <w:rPr>
          <w:sz w:val="22"/>
          <w:szCs w:val="22"/>
        </w:rPr>
        <w:t xml:space="preserve">he banking industry </w:t>
      </w:r>
      <w:r w:rsidR="008B4F55">
        <w:rPr>
          <w:sz w:val="22"/>
          <w:szCs w:val="22"/>
        </w:rPr>
        <w:t xml:space="preserve">managers were rewarded with </w:t>
      </w:r>
      <w:r w:rsidRPr="0048588F">
        <w:rPr>
          <w:sz w:val="22"/>
          <w:szCs w:val="22"/>
        </w:rPr>
        <w:t xml:space="preserve">fixed compensation rather than equity-based compensation. Due to deregulation and more competition, </w:t>
      </w:r>
      <w:r w:rsidR="00F43622">
        <w:rPr>
          <w:sz w:val="22"/>
          <w:szCs w:val="22"/>
        </w:rPr>
        <w:t>the level of equity-based</w:t>
      </w:r>
      <w:r w:rsidRPr="0048588F">
        <w:rPr>
          <w:sz w:val="22"/>
          <w:szCs w:val="22"/>
        </w:rPr>
        <w:t xml:space="preserve"> compensation </w:t>
      </w:r>
      <w:r w:rsidR="00F43622">
        <w:rPr>
          <w:sz w:val="22"/>
          <w:szCs w:val="22"/>
        </w:rPr>
        <w:t>in banks approaches closely to that</w:t>
      </w:r>
      <w:r w:rsidRPr="0048588F">
        <w:rPr>
          <w:sz w:val="22"/>
          <w:szCs w:val="22"/>
        </w:rPr>
        <w:t xml:space="preserve"> of nonbanks. </w:t>
      </w:r>
    </w:p>
    <w:p w:rsidR="002933DE" w:rsidRDefault="002933DE" w:rsidP="002933DE">
      <w:pPr>
        <w:spacing w:line="360" w:lineRule="auto"/>
        <w:jc w:val="both"/>
      </w:pPr>
    </w:p>
    <w:p w:rsidR="002933DE" w:rsidRDefault="000156F2" w:rsidP="002933DE">
      <w:pPr>
        <w:spacing w:line="360" w:lineRule="auto"/>
        <w:jc w:val="both"/>
        <w:rPr>
          <w:sz w:val="22"/>
          <w:szCs w:val="22"/>
        </w:rPr>
      </w:pPr>
      <w:r>
        <w:rPr>
          <w:sz w:val="22"/>
          <w:szCs w:val="22"/>
        </w:rPr>
        <w:t>E</w:t>
      </w:r>
      <w:r w:rsidR="002933DE" w:rsidRPr="0048588F">
        <w:rPr>
          <w:sz w:val="22"/>
          <w:szCs w:val="22"/>
        </w:rPr>
        <w:t>arn</w:t>
      </w:r>
      <w:r w:rsidR="0083673E">
        <w:rPr>
          <w:sz w:val="22"/>
          <w:szCs w:val="22"/>
        </w:rPr>
        <w:t xml:space="preserve">ings management is a </w:t>
      </w:r>
      <w:r w:rsidR="002933DE" w:rsidRPr="0048588F">
        <w:rPr>
          <w:sz w:val="22"/>
          <w:szCs w:val="22"/>
        </w:rPr>
        <w:t>practice using a particular accounting method to manipulate earning numbers in</w:t>
      </w:r>
      <w:r w:rsidR="008B4F55">
        <w:rPr>
          <w:sz w:val="22"/>
          <w:szCs w:val="22"/>
        </w:rPr>
        <w:t>to</w:t>
      </w:r>
      <w:r w:rsidR="002933DE" w:rsidRPr="0048588F">
        <w:rPr>
          <w:sz w:val="22"/>
          <w:szCs w:val="22"/>
        </w:rPr>
        <w:t xml:space="preserve"> a certain direction. One </w:t>
      </w:r>
      <w:r w:rsidR="002B1230" w:rsidRPr="0048588F">
        <w:rPr>
          <w:sz w:val="22"/>
          <w:szCs w:val="22"/>
        </w:rPr>
        <w:t xml:space="preserve">method to manage earnings </w:t>
      </w:r>
      <w:r>
        <w:rPr>
          <w:sz w:val="22"/>
          <w:szCs w:val="22"/>
        </w:rPr>
        <w:t xml:space="preserve">is </w:t>
      </w:r>
      <w:r w:rsidR="008B4F55">
        <w:rPr>
          <w:sz w:val="22"/>
          <w:szCs w:val="22"/>
        </w:rPr>
        <w:t xml:space="preserve">using judgment on </w:t>
      </w:r>
      <w:r w:rsidR="00375848">
        <w:rPr>
          <w:sz w:val="22"/>
          <w:szCs w:val="22"/>
        </w:rPr>
        <w:t>accrual accounting</w:t>
      </w:r>
      <w:r w:rsidR="008B4F55">
        <w:rPr>
          <w:sz w:val="22"/>
          <w:szCs w:val="22"/>
        </w:rPr>
        <w:t>.</w:t>
      </w:r>
      <w:r w:rsidR="002933DE" w:rsidRPr="0048588F">
        <w:rPr>
          <w:sz w:val="22"/>
          <w:szCs w:val="22"/>
        </w:rPr>
        <w:t xml:space="preserve"> Good earnings management enhances firm value, while bad earnings management distorts </w:t>
      </w:r>
      <w:r w:rsidR="002B1230" w:rsidRPr="0048588F">
        <w:rPr>
          <w:sz w:val="22"/>
          <w:szCs w:val="22"/>
        </w:rPr>
        <w:t>the information of</w:t>
      </w:r>
      <w:r w:rsidR="002933DE" w:rsidRPr="0048588F">
        <w:rPr>
          <w:sz w:val="22"/>
          <w:szCs w:val="22"/>
        </w:rPr>
        <w:t xml:space="preserve"> financial reports and the underlying economic value of the firm. </w:t>
      </w:r>
      <w:r w:rsidRPr="0048588F">
        <w:rPr>
          <w:sz w:val="22"/>
          <w:szCs w:val="22"/>
        </w:rPr>
        <w:t>Managers manipulate earnings</w:t>
      </w:r>
      <w:r>
        <w:rPr>
          <w:sz w:val="22"/>
          <w:szCs w:val="22"/>
        </w:rPr>
        <w:t>, because e</w:t>
      </w:r>
      <w:r w:rsidR="002933DE" w:rsidRPr="0048588F">
        <w:rPr>
          <w:sz w:val="22"/>
          <w:szCs w:val="22"/>
        </w:rPr>
        <w:t xml:space="preserve">arnings contain valuable summary information </w:t>
      </w:r>
      <w:r w:rsidR="00375848">
        <w:rPr>
          <w:sz w:val="22"/>
          <w:szCs w:val="22"/>
        </w:rPr>
        <w:t xml:space="preserve">and </w:t>
      </w:r>
      <w:r>
        <w:rPr>
          <w:sz w:val="22"/>
          <w:szCs w:val="22"/>
        </w:rPr>
        <w:t>may</w:t>
      </w:r>
      <w:r w:rsidR="002933DE" w:rsidRPr="0048588F">
        <w:rPr>
          <w:sz w:val="22"/>
          <w:szCs w:val="22"/>
        </w:rPr>
        <w:t xml:space="preserve"> influence</w:t>
      </w:r>
      <w:r>
        <w:rPr>
          <w:sz w:val="22"/>
          <w:szCs w:val="22"/>
        </w:rPr>
        <w:t xml:space="preserve"> </w:t>
      </w:r>
      <w:r w:rsidR="002933DE" w:rsidRPr="0048588F">
        <w:rPr>
          <w:sz w:val="22"/>
          <w:szCs w:val="22"/>
        </w:rPr>
        <w:t xml:space="preserve">the wealth transfer between the stakeholders and the firm or between the firm and the manager. </w:t>
      </w:r>
      <w:r w:rsidR="006B2210">
        <w:rPr>
          <w:sz w:val="22"/>
          <w:szCs w:val="22"/>
        </w:rPr>
        <w:t>A</w:t>
      </w:r>
      <w:r w:rsidR="002933DE" w:rsidRPr="0048588F">
        <w:rPr>
          <w:sz w:val="22"/>
          <w:szCs w:val="22"/>
        </w:rPr>
        <w:t xml:space="preserve"> survey </w:t>
      </w:r>
      <w:r w:rsidR="006B2210">
        <w:rPr>
          <w:sz w:val="22"/>
          <w:szCs w:val="22"/>
        </w:rPr>
        <w:t>research suggested that the</w:t>
      </w:r>
      <w:r w:rsidR="002933DE" w:rsidRPr="0048588F">
        <w:rPr>
          <w:sz w:val="22"/>
          <w:szCs w:val="22"/>
        </w:rPr>
        <w:t xml:space="preserve"> motives for earnings management are: (1) maximizing compensation, (2) beating stock market’s expectations, (3) to provide accurate information, and (4) personal motives like job security. </w:t>
      </w:r>
      <w:r w:rsidR="006B2210">
        <w:rPr>
          <w:sz w:val="22"/>
          <w:szCs w:val="22"/>
        </w:rPr>
        <w:t>The</w:t>
      </w:r>
      <w:r w:rsidR="006B2210" w:rsidRPr="0048588F">
        <w:rPr>
          <w:sz w:val="22"/>
          <w:szCs w:val="22"/>
        </w:rPr>
        <w:t xml:space="preserve"> specific accrual approach is used </w:t>
      </w:r>
      <w:r w:rsidR="006B2210">
        <w:rPr>
          <w:sz w:val="22"/>
          <w:szCs w:val="22"/>
        </w:rPr>
        <w:t>t</w:t>
      </w:r>
      <w:r w:rsidR="002B1230" w:rsidRPr="0048588F">
        <w:rPr>
          <w:sz w:val="22"/>
          <w:szCs w:val="22"/>
        </w:rPr>
        <w:t>o measure earnings management</w:t>
      </w:r>
      <w:r w:rsidR="006B2210">
        <w:rPr>
          <w:sz w:val="22"/>
          <w:szCs w:val="22"/>
        </w:rPr>
        <w:t xml:space="preserve"> in the banking industry and </w:t>
      </w:r>
      <w:r w:rsidR="002B1230" w:rsidRPr="0048588F">
        <w:rPr>
          <w:sz w:val="22"/>
          <w:szCs w:val="22"/>
        </w:rPr>
        <w:t>focus</w:t>
      </w:r>
      <w:r w:rsidR="0048588F" w:rsidRPr="0048588F">
        <w:rPr>
          <w:sz w:val="22"/>
          <w:szCs w:val="22"/>
        </w:rPr>
        <w:t>es</w:t>
      </w:r>
      <w:r w:rsidR="002B1230" w:rsidRPr="0048588F">
        <w:rPr>
          <w:sz w:val="22"/>
          <w:szCs w:val="22"/>
        </w:rPr>
        <w:t xml:space="preserve"> on </w:t>
      </w:r>
      <w:r w:rsidR="00375848">
        <w:rPr>
          <w:sz w:val="22"/>
          <w:szCs w:val="22"/>
        </w:rPr>
        <w:t xml:space="preserve">a particular </w:t>
      </w:r>
      <w:r w:rsidR="002B1230" w:rsidRPr="0048588F">
        <w:rPr>
          <w:sz w:val="22"/>
          <w:szCs w:val="22"/>
        </w:rPr>
        <w:t>accrual</w:t>
      </w:r>
      <w:r w:rsidR="00375848">
        <w:rPr>
          <w:sz w:val="22"/>
          <w:szCs w:val="22"/>
        </w:rPr>
        <w:t>,</w:t>
      </w:r>
      <w:r w:rsidR="0048588F" w:rsidRPr="0048588F">
        <w:rPr>
          <w:sz w:val="22"/>
          <w:szCs w:val="22"/>
        </w:rPr>
        <w:t xml:space="preserve"> which</w:t>
      </w:r>
      <w:r w:rsidR="002B1230" w:rsidRPr="0048588F">
        <w:rPr>
          <w:sz w:val="22"/>
          <w:szCs w:val="22"/>
        </w:rPr>
        <w:t xml:space="preserve"> is </w:t>
      </w:r>
      <w:r w:rsidR="002933DE" w:rsidRPr="0048588F">
        <w:rPr>
          <w:sz w:val="22"/>
          <w:szCs w:val="22"/>
        </w:rPr>
        <w:t>materially significant and requires substantial judgment</w:t>
      </w:r>
      <w:r w:rsidR="00375848">
        <w:rPr>
          <w:sz w:val="22"/>
          <w:szCs w:val="22"/>
        </w:rPr>
        <w:t>,</w:t>
      </w:r>
      <w:r w:rsidR="00375848" w:rsidRPr="00375848">
        <w:rPr>
          <w:sz w:val="22"/>
          <w:szCs w:val="22"/>
        </w:rPr>
        <w:t xml:space="preserve"> </w:t>
      </w:r>
      <w:r w:rsidR="00375848" w:rsidRPr="0048588F">
        <w:rPr>
          <w:sz w:val="22"/>
          <w:szCs w:val="22"/>
        </w:rPr>
        <w:t>as proxy for earnings management</w:t>
      </w:r>
      <w:r w:rsidR="002933DE" w:rsidRPr="0048588F">
        <w:rPr>
          <w:sz w:val="22"/>
          <w:szCs w:val="22"/>
        </w:rPr>
        <w:t xml:space="preserve">. </w:t>
      </w:r>
      <w:r w:rsidR="0048588F" w:rsidRPr="0048588F">
        <w:rPr>
          <w:sz w:val="22"/>
          <w:szCs w:val="22"/>
        </w:rPr>
        <w:t xml:space="preserve">Loan loss provision </w:t>
      </w:r>
      <w:r w:rsidR="00375848">
        <w:rPr>
          <w:sz w:val="22"/>
          <w:szCs w:val="22"/>
        </w:rPr>
        <w:t>is such a</w:t>
      </w:r>
      <w:r w:rsidR="0048588F" w:rsidRPr="0048588F">
        <w:rPr>
          <w:sz w:val="22"/>
          <w:szCs w:val="22"/>
        </w:rPr>
        <w:t xml:space="preserve"> large accrual and requires judgment. </w:t>
      </w:r>
      <w:r w:rsidR="007004A8" w:rsidRPr="0048588F">
        <w:rPr>
          <w:sz w:val="22"/>
          <w:szCs w:val="22"/>
        </w:rPr>
        <w:t>The Beaver and Engel model (1996)</w:t>
      </w:r>
      <w:r w:rsidR="007004A8">
        <w:rPr>
          <w:sz w:val="22"/>
          <w:szCs w:val="22"/>
        </w:rPr>
        <w:t xml:space="preserve"> is used to measure</w:t>
      </w:r>
      <w:r w:rsidR="002933DE" w:rsidRPr="0048588F">
        <w:rPr>
          <w:sz w:val="22"/>
          <w:szCs w:val="22"/>
        </w:rPr>
        <w:t xml:space="preserve"> earnings management </w:t>
      </w:r>
      <w:r w:rsidR="007004A8">
        <w:rPr>
          <w:sz w:val="22"/>
          <w:szCs w:val="22"/>
        </w:rPr>
        <w:t xml:space="preserve">in </w:t>
      </w:r>
      <w:r w:rsidR="00375848">
        <w:rPr>
          <w:sz w:val="22"/>
          <w:szCs w:val="22"/>
        </w:rPr>
        <w:t>banks and</w:t>
      </w:r>
      <w:r w:rsidR="007C27D4">
        <w:rPr>
          <w:sz w:val="22"/>
          <w:szCs w:val="22"/>
        </w:rPr>
        <w:t xml:space="preserve"> </w:t>
      </w:r>
      <w:r w:rsidR="007C27D4">
        <w:rPr>
          <w:sz w:val="22"/>
          <w:szCs w:val="22"/>
        </w:rPr>
        <w:lastRenderedPageBreak/>
        <w:t>divides l</w:t>
      </w:r>
      <w:r w:rsidR="00375848">
        <w:rPr>
          <w:sz w:val="22"/>
          <w:szCs w:val="22"/>
        </w:rPr>
        <w:t>oan loss provisions into</w:t>
      </w:r>
      <w:r w:rsidR="002933DE" w:rsidRPr="0048588F">
        <w:rPr>
          <w:sz w:val="22"/>
          <w:szCs w:val="22"/>
        </w:rPr>
        <w:t xml:space="preserve"> discretionary and nondiscretionary component</w:t>
      </w:r>
      <w:r w:rsidR="00375848">
        <w:rPr>
          <w:sz w:val="22"/>
          <w:szCs w:val="22"/>
        </w:rPr>
        <w:t>s</w:t>
      </w:r>
      <w:r w:rsidR="002933DE" w:rsidRPr="0048588F">
        <w:rPr>
          <w:sz w:val="22"/>
          <w:szCs w:val="22"/>
        </w:rPr>
        <w:t>. The discretionary component is interpreted as the earnings management proxy.</w:t>
      </w:r>
    </w:p>
    <w:p w:rsidR="000F1352" w:rsidRPr="0048588F" w:rsidRDefault="000F1352" w:rsidP="002933DE">
      <w:pPr>
        <w:spacing w:line="360" w:lineRule="auto"/>
        <w:jc w:val="both"/>
        <w:rPr>
          <w:sz w:val="22"/>
          <w:szCs w:val="22"/>
        </w:rPr>
      </w:pPr>
    </w:p>
    <w:p w:rsidR="000F1352" w:rsidRPr="000F1352" w:rsidRDefault="000F1352" w:rsidP="000F1352">
      <w:pPr>
        <w:spacing w:line="360" w:lineRule="auto"/>
        <w:jc w:val="both"/>
        <w:rPr>
          <w:sz w:val="22"/>
          <w:szCs w:val="22"/>
        </w:rPr>
      </w:pPr>
      <w:r w:rsidRPr="000F1352">
        <w:rPr>
          <w:sz w:val="22"/>
          <w:szCs w:val="22"/>
        </w:rPr>
        <w:t xml:space="preserve">Prior literature has found that equity incentives and earnings management are positively correlated. Furthermore, managers are found to sell their options and shares after successfully managed earnings. </w:t>
      </w:r>
      <w:r w:rsidR="007004A8">
        <w:rPr>
          <w:sz w:val="22"/>
          <w:szCs w:val="22"/>
        </w:rPr>
        <w:t>Firms that use</w:t>
      </w:r>
      <w:r w:rsidRPr="000F1352">
        <w:rPr>
          <w:sz w:val="22"/>
          <w:szCs w:val="22"/>
        </w:rPr>
        <w:t xml:space="preserve"> more monitoring from governance mechanisms and </w:t>
      </w:r>
      <w:r w:rsidR="00375848">
        <w:rPr>
          <w:sz w:val="22"/>
          <w:szCs w:val="22"/>
        </w:rPr>
        <w:t xml:space="preserve">have </w:t>
      </w:r>
      <w:r w:rsidRPr="000F1352">
        <w:rPr>
          <w:sz w:val="22"/>
          <w:szCs w:val="22"/>
        </w:rPr>
        <w:t>less economic dependant auditors reduce the use of discretionary accruals and mitigate earnings management practices. The banking industry is heavily regulated and earnings management is expected to be less. Cheng et al. (2009) found evidence that CEOs with high equity incentives only manage earnings when capital ratios are close to the minimum.</w:t>
      </w:r>
    </w:p>
    <w:p w:rsidR="000F1352" w:rsidRPr="000F1352" w:rsidRDefault="000F1352" w:rsidP="000F1352">
      <w:pPr>
        <w:spacing w:line="360" w:lineRule="auto"/>
        <w:jc w:val="both"/>
        <w:rPr>
          <w:sz w:val="22"/>
          <w:szCs w:val="22"/>
        </w:rPr>
      </w:pPr>
    </w:p>
    <w:p w:rsidR="000F1352" w:rsidRPr="000F1352" w:rsidRDefault="000F1352" w:rsidP="000F1352">
      <w:pPr>
        <w:spacing w:line="360" w:lineRule="auto"/>
        <w:jc w:val="both"/>
        <w:rPr>
          <w:sz w:val="22"/>
          <w:szCs w:val="22"/>
        </w:rPr>
      </w:pPr>
      <w:r w:rsidRPr="000F1352">
        <w:rPr>
          <w:sz w:val="22"/>
          <w:szCs w:val="22"/>
        </w:rPr>
        <w:t xml:space="preserve">CFOs wield significant influence and their main responsibility is financial reporting. </w:t>
      </w:r>
      <w:r w:rsidR="007004A8">
        <w:rPr>
          <w:sz w:val="22"/>
          <w:szCs w:val="22"/>
        </w:rPr>
        <w:t>They are focused</w:t>
      </w:r>
      <w:r w:rsidRPr="000F1352">
        <w:rPr>
          <w:sz w:val="22"/>
          <w:szCs w:val="22"/>
        </w:rPr>
        <w:t xml:space="preserve"> on the short-term stock price and </w:t>
      </w:r>
      <w:r w:rsidR="007004A8">
        <w:rPr>
          <w:sz w:val="22"/>
          <w:szCs w:val="22"/>
        </w:rPr>
        <w:t>are</w:t>
      </w:r>
      <w:r w:rsidRPr="000F1352">
        <w:rPr>
          <w:sz w:val="22"/>
          <w:szCs w:val="22"/>
        </w:rPr>
        <w:t xml:space="preserve"> not reluctant to use earnings management to meet or beat </w:t>
      </w:r>
      <w:r w:rsidR="00375848">
        <w:rPr>
          <w:sz w:val="22"/>
          <w:szCs w:val="22"/>
        </w:rPr>
        <w:t>earnings benchmarks</w:t>
      </w:r>
      <w:r w:rsidRPr="000F1352">
        <w:rPr>
          <w:sz w:val="22"/>
          <w:szCs w:val="22"/>
        </w:rPr>
        <w:t>. Jiang et al. (2010) found evidence that CFO equity incentives are more increasing for earnings management than CEO equity incentiv</w:t>
      </w:r>
      <w:r w:rsidR="000C62C4">
        <w:rPr>
          <w:sz w:val="22"/>
          <w:szCs w:val="22"/>
        </w:rPr>
        <w:t>es for</w:t>
      </w:r>
      <w:r w:rsidRPr="000F1352">
        <w:rPr>
          <w:sz w:val="22"/>
          <w:szCs w:val="22"/>
        </w:rPr>
        <w:t xml:space="preserve"> pre-SOX. No such association w</w:t>
      </w:r>
      <w:r w:rsidR="000C62C4">
        <w:rPr>
          <w:sz w:val="22"/>
          <w:szCs w:val="22"/>
        </w:rPr>
        <w:t>as found for post-SOX</w:t>
      </w:r>
      <w:r w:rsidRPr="000F1352">
        <w:rPr>
          <w:sz w:val="22"/>
          <w:szCs w:val="22"/>
        </w:rPr>
        <w:t>.</w:t>
      </w:r>
      <w:r w:rsidR="0081257E">
        <w:rPr>
          <w:sz w:val="22"/>
          <w:szCs w:val="22"/>
        </w:rPr>
        <w:t xml:space="preserve"> </w:t>
      </w:r>
      <w:r w:rsidRPr="000F1352">
        <w:rPr>
          <w:sz w:val="22"/>
          <w:szCs w:val="22"/>
        </w:rPr>
        <w:t>Regulators implemented SOX after major accounting scandals to improve the financial information quality and the internal controls</w:t>
      </w:r>
      <w:r w:rsidR="00375848">
        <w:rPr>
          <w:sz w:val="22"/>
          <w:szCs w:val="22"/>
        </w:rPr>
        <w:t xml:space="preserve"> of firms</w:t>
      </w:r>
      <w:r w:rsidRPr="000F1352">
        <w:rPr>
          <w:sz w:val="22"/>
          <w:szCs w:val="22"/>
        </w:rPr>
        <w:t xml:space="preserve">. SOX increased </w:t>
      </w:r>
      <w:r w:rsidR="00C201E8">
        <w:rPr>
          <w:sz w:val="22"/>
          <w:szCs w:val="22"/>
        </w:rPr>
        <w:t>the executives’ responsibility for</w:t>
      </w:r>
      <w:r w:rsidRPr="000F1352">
        <w:rPr>
          <w:sz w:val="22"/>
          <w:szCs w:val="22"/>
        </w:rPr>
        <w:t xml:space="preserve"> financial reports and </w:t>
      </w:r>
      <w:r w:rsidR="00C201E8">
        <w:rPr>
          <w:sz w:val="22"/>
          <w:szCs w:val="22"/>
        </w:rPr>
        <w:t>executives can’t use GAAP as</w:t>
      </w:r>
      <w:r w:rsidRPr="000F1352">
        <w:rPr>
          <w:sz w:val="22"/>
          <w:szCs w:val="22"/>
        </w:rPr>
        <w:t xml:space="preserve"> safe harbor </w:t>
      </w:r>
      <w:r w:rsidR="0094537F">
        <w:rPr>
          <w:sz w:val="22"/>
          <w:szCs w:val="22"/>
        </w:rPr>
        <w:t xml:space="preserve">anymore </w:t>
      </w:r>
      <w:r w:rsidRPr="000F1352">
        <w:rPr>
          <w:sz w:val="22"/>
          <w:szCs w:val="22"/>
        </w:rPr>
        <w:t xml:space="preserve">for accusations of earnings management practices. Regulators expect that </w:t>
      </w:r>
      <w:r w:rsidR="003C470E" w:rsidRPr="000F1352">
        <w:rPr>
          <w:sz w:val="22"/>
          <w:szCs w:val="22"/>
        </w:rPr>
        <w:t xml:space="preserve">earnings management practices </w:t>
      </w:r>
      <w:r w:rsidR="003C470E">
        <w:rPr>
          <w:sz w:val="22"/>
          <w:szCs w:val="22"/>
        </w:rPr>
        <w:t>are</w:t>
      </w:r>
      <w:r w:rsidR="003C470E" w:rsidRPr="000F1352">
        <w:rPr>
          <w:sz w:val="22"/>
          <w:szCs w:val="22"/>
        </w:rPr>
        <w:t xml:space="preserve"> reduced </w:t>
      </w:r>
      <w:r w:rsidRPr="000F1352">
        <w:rPr>
          <w:sz w:val="22"/>
          <w:szCs w:val="22"/>
        </w:rPr>
        <w:t xml:space="preserve">after the implementation of SOX. Empirical studies confirm that after the passage of SOX accrual-based earnings management has </w:t>
      </w:r>
      <w:r w:rsidR="003C470E">
        <w:rPr>
          <w:sz w:val="22"/>
          <w:szCs w:val="22"/>
        </w:rPr>
        <w:t>decreased</w:t>
      </w:r>
      <w:r w:rsidRPr="000F1352">
        <w:rPr>
          <w:sz w:val="22"/>
          <w:szCs w:val="22"/>
        </w:rPr>
        <w:t>, but real earnings management</w:t>
      </w:r>
      <w:r w:rsidR="003C470E">
        <w:rPr>
          <w:sz w:val="22"/>
          <w:szCs w:val="22"/>
        </w:rPr>
        <w:t xml:space="preserve"> has been</w:t>
      </w:r>
      <w:r w:rsidRPr="000F1352">
        <w:rPr>
          <w:sz w:val="22"/>
          <w:szCs w:val="22"/>
        </w:rPr>
        <w:t xml:space="preserve"> used as substitute.</w:t>
      </w:r>
    </w:p>
    <w:p w:rsidR="002933DE" w:rsidRDefault="002933DE" w:rsidP="002933DE">
      <w:pPr>
        <w:spacing w:line="360" w:lineRule="auto"/>
        <w:jc w:val="both"/>
      </w:pPr>
    </w:p>
    <w:p w:rsidR="00BF486A" w:rsidRDefault="00BF486A" w:rsidP="002933DE">
      <w:pPr>
        <w:spacing w:line="360" w:lineRule="auto"/>
        <w:jc w:val="both"/>
      </w:pPr>
      <w:r w:rsidRPr="0081257E">
        <w:rPr>
          <w:sz w:val="22"/>
          <w:szCs w:val="22"/>
        </w:rPr>
        <w:t>The theory</w:t>
      </w:r>
      <w:r w:rsidR="00652608" w:rsidRPr="0081257E">
        <w:rPr>
          <w:sz w:val="22"/>
          <w:szCs w:val="22"/>
        </w:rPr>
        <w:t xml:space="preserve"> and prior literature about equity incentives and earnings management in this thesis formed the basis </w:t>
      </w:r>
      <w:r w:rsidR="00C3123D" w:rsidRPr="0081257E">
        <w:rPr>
          <w:sz w:val="22"/>
          <w:szCs w:val="22"/>
        </w:rPr>
        <w:t>to answer</w:t>
      </w:r>
      <w:r w:rsidR="00652608" w:rsidRPr="0081257E">
        <w:rPr>
          <w:sz w:val="22"/>
          <w:szCs w:val="22"/>
        </w:rPr>
        <w:t xml:space="preserve"> the main research question and the hypotheses. The main research question is formulated as:</w:t>
      </w:r>
      <w:r w:rsidR="00FA55AB">
        <w:rPr>
          <w:sz w:val="22"/>
          <w:szCs w:val="22"/>
        </w:rPr>
        <w:t xml:space="preserve"> </w:t>
      </w:r>
      <w:r w:rsidR="00652608">
        <w:t xml:space="preserve"> </w:t>
      </w:r>
    </w:p>
    <w:p w:rsidR="00BF486A" w:rsidRPr="00725DC7" w:rsidRDefault="00BF486A" w:rsidP="00BF486A">
      <w:pPr>
        <w:spacing w:line="360" w:lineRule="auto"/>
        <w:jc w:val="both"/>
        <w:rPr>
          <w:i/>
          <w:color w:val="000000"/>
          <w:sz w:val="22"/>
          <w:szCs w:val="22"/>
        </w:rPr>
      </w:pPr>
      <w:r>
        <w:rPr>
          <w:i/>
          <w:color w:val="000000"/>
          <w:sz w:val="22"/>
          <w:szCs w:val="22"/>
        </w:rPr>
        <w:t>“What is the association between</w:t>
      </w:r>
      <w:r w:rsidRPr="00725DC7">
        <w:rPr>
          <w:i/>
          <w:color w:val="000000"/>
          <w:sz w:val="22"/>
          <w:szCs w:val="22"/>
        </w:rPr>
        <w:t xml:space="preserve"> CFO equity incentives </w:t>
      </w:r>
      <w:r>
        <w:rPr>
          <w:i/>
          <w:color w:val="000000"/>
          <w:sz w:val="22"/>
          <w:szCs w:val="22"/>
        </w:rPr>
        <w:t>a</w:t>
      </w:r>
      <w:r w:rsidRPr="00725DC7">
        <w:rPr>
          <w:i/>
          <w:color w:val="000000"/>
          <w:sz w:val="22"/>
          <w:szCs w:val="22"/>
        </w:rPr>
        <w:t>n</w:t>
      </w:r>
      <w:r>
        <w:rPr>
          <w:i/>
          <w:color w:val="000000"/>
          <w:sz w:val="22"/>
          <w:szCs w:val="22"/>
        </w:rPr>
        <w:t>d</w:t>
      </w:r>
      <w:r w:rsidRPr="00725DC7">
        <w:rPr>
          <w:i/>
          <w:color w:val="000000"/>
          <w:sz w:val="22"/>
          <w:szCs w:val="22"/>
        </w:rPr>
        <w:t xml:space="preserve"> earnings management</w:t>
      </w:r>
      <w:r>
        <w:rPr>
          <w:i/>
          <w:color w:val="000000"/>
          <w:sz w:val="22"/>
          <w:szCs w:val="22"/>
        </w:rPr>
        <w:t xml:space="preserve"> relative to the association </w:t>
      </w:r>
      <w:r w:rsidR="00E86823">
        <w:rPr>
          <w:i/>
          <w:color w:val="000000"/>
          <w:sz w:val="22"/>
          <w:szCs w:val="22"/>
        </w:rPr>
        <w:t>of</w:t>
      </w:r>
      <w:r w:rsidR="00C3123D">
        <w:rPr>
          <w:i/>
          <w:color w:val="000000"/>
          <w:sz w:val="22"/>
          <w:szCs w:val="22"/>
        </w:rPr>
        <w:t xml:space="preserve"> </w:t>
      </w:r>
      <w:r>
        <w:rPr>
          <w:i/>
          <w:color w:val="000000"/>
          <w:sz w:val="22"/>
          <w:szCs w:val="22"/>
        </w:rPr>
        <w:t>CEO equity incentives</w:t>
      </w:r>
      <w:r w:rsidRPr="00725DC7">
        <w:rPr>
          <w:i/>
          <w:color w:val="000000"/>
          <w:sz w:val="22"/>
          <w:szCs w:val="22"/>
        </w:rPr>
        <w:t xml:space="preserve"> </w:t>
      </w:r>
      <w:r>
        <w:rPr>
          <w:i/>
          <w:color w:val="000000"/>
          <w:sz w:val="22"/>
          <w:szCs w:val="22"/>
        </w:rPr>
        <w:t xml:space="preserve">and earnings management </w:t>
      </w:r>
      <w:r w:rsidRPr="00725DC7">
        <w:rPr>
          <w:i/>
          <w:color w:val="000000"/>
          <w:sz w:val="22"/>
          <w:szCs w:val="22"/>
        </w:rPr>
        <w:t>in the banking industry?”</w:t>
      </w:r>
    </w:p>
    <w:p w:rsidR="00BF486A" w:rsidRDefault="00BF486A" w:rsidP="002933DE">
      <w:pPr>
        <w:spacing w:line="360" w:lineRule="auto"/>
        <w:jc w:val="both"/>
      </w:pPr>
    </w:p>
    <w:p w:rsidR="005D53BC" w:rsidRPr="00EB736F" w:rsidRDefault="00246A48" w:rsidP="00EB736F">
      <w:pPr>
        <w:pStyle w:val="Kop2"/>
      </w:pPr>
      <w:bookmarkStart w:id="68" w:name="_Toc287614197"/>
      <w:r w:rsidRPr="002B1230">
        <w:t>8</w:t>
      </w:r>
      <w:r w:rsidR="00264BDE" w:rsidRPr="002B1230">
        <w:t>.2 Conclusions</w:t>
      </w:r>
      <w:bookmarkEnd w:id="68"/>
    </w:p>
    <w:p w:rsidR="00DE644A" w:rsidRDefault="00071749" w:rsidP="0099367B">
      <w:pPr>
        <w:spacing w:line="360" w:lineRule="auto"/>
        <w:jc w:val="both"/>
        <w:rPr>
          <w:sz w:val="22"/>
          <w:szCs w:val="22"/>
        </w:rPr>
      </w:pPr>
      <w:r>
        <w:rPr>
          <w:sz w:val="22"/>
          <w:szCs w:val="22"/>
        </w:rPr>
        <w:t xml:space="preserve">The </w:t>
      </w:r>
      <w:r w:rsidR="000148F1">
        <w:rPr>
          <w:sz w:val="22"/>
          <w:szCs w:val="22"/>
        </w:rPr>
        <w:t xml:space="preserve">hypotheses </w:t>
      </w:r>
      <w:r>
        <w:rPr>
          <w:sz w:val="22"/>
          <w:szCs w:val="22"/>
        </w:rPr>
        <w:t xml:space="preserve">formulation is based on the pre- and post SOX period, </w:t>
      </w:r>
      <w:r w:rsidR="000148F1">
        <w:rPr>
          <w:sz w:val="22"/>
          <w:szCs w:val="22"/>
        </w:rPr>
        <w:t>since</w:t>
      </w:r>
      <w:r>
        <w:rPr>
          <w:sz w:val="22"/>
          <w:szCs w:val="22"/>
        </w:rPr>
        <w:t xml:space="preserve"> previous literature suggests that SOX has significant influence on earnings management behavior. </w:t>
      </w:r>
      <w:r w:rsidR="00C201E8">
        <w:rPr>
          <w:sz w:val="22"/>
          <w:szCs w:val="22"/>
        </w:rPr>
        <w:t xml:space="preserve">Regulators implemented SOX to reduce earnings management, because it </w:t>
      </w:r>
      <w:r w:rsidR="00F922F6">
        <w:rPr>
          <w:sz w:val="22"/>
          <w:szCs w:val="22"/>
        </w:rPr>
        <w:t>set</w:t>
      </w:r>
      <w:r w:rsidR="00C201E8">
        <w:rPr>
          <w:sz w:val="22"/>
          <w:szCs w:val="22"/>
        </w:rPr>
        <w:t>s</w:t>
      </w:r>
      <w:r w:rsidR="00F922F6">
        <w:rPr>
          <w:sz w:val="22"/>
          <w:szCs w:val="22"/>
        </w:rPr>
        <w:t xml:space="preserve"> a higher standard on the quali</w:t>
      </w:r>
      <w:r w:rsidR="00C201E8">
        <w:rPr>
          <w:sz w:val="22"/>
          <w:szCs w:val="22"/>
        </w:rPr>
        <w:t>ty of financial information and</w:t>
      </w:r>
      <w:r w:rsidR="00C17DE2">
        <w:rPr>
          <w:sz w:val="22"/>
          <w:szCs w:val="22"/>
        </w:rPr>
        <w:t xml:space="preserve"> increase</w:t>
      </w:r>
      <w:r w:rsidR="00C201E8">
        <w:rPr>
          <w:sz w:val="22"/>
          <w:szCs w:val="22"/>
        </w:rPr>
        <w:t>s</w:t>
      </w:r>
      <w:r w:rsidR="00C17DE2">
        <w:rPr>
          <w:sz w:val="22"/>
          <w:szCs w:val="22"/>
        </w:rPr>
        <w:t xml:space="preserve"> </w:t>
      </w:r>
      <w:r w:rsidR="00F922F6">
        <w:rPr>
          <w:sz w:val="22"/>
          <w:szCs w:val="22"/>
        </w:rPr>
        <w:t>executive</w:t>
      </w:r>
      <w:r w:rsidR="00C17DE2">
        <w:rPr>
          <w:sz w:val="22"/>
          <w:szCs w:val="22"/>
        </w:rPr>
        <w:t>’</w:t>
      </w:r>
      <w:r w:rsidR="00F922F6">
        <w:rPr>
          <w:sz w:val="22"/>
          <w:szCs w:val="22"/>
        </w:rPr>
        <w:t>s</w:t>
      </w:r>
      <w:r w:rsidR="00C17DE2">
        <w:rPr>
          <w:sz w:val="22"/>
          <w:szCs w:val="22"/>
        </w:rPr>
        <w:t xml:space="preserve"> responsibility of m</w:t>
      </w:r>
      <w:r w:rsidR="00F922F6">
        <w:rPr>
          <w:sz w:val="22"/>
          <w:szCs w:val="22"/>
        </w:rPr>
        <w:t>aterial weaknesses</w:t>
      </w:r>
      <w:r w:rsidR="00C17DE2" w:rsidRPr="00C17DE2">
        <w:rPr>
          <w:sz w:val="22"/>
          <w:szCs w:val="22"/>
        </w:rPr>
        <w:t xml:space="preserve"> </w:t>
      </w:r>
      <w:r w:rsidR="00C17DE2">
        <w:rPr>
          <w:sz w:val="22"/>
          <w:szCs w:val="22"/>
        </w:rPr>
        <w:t>in financial statements</w:t>
      </w:r>
      <w:r w:rsidR="00C201E8">
        <w:rPr>
          <w:sz w:val="22"/>
          <w:szCs w:val="22"/>
        </w:rPr>
        <w:t>.</w:t>
      </w:r>
      <w:r w:rsidR="002731FE">
        <w:rPr>
          <w:sz w:val="22"/>
          <w:szCs w:val="22"/>
        </w:rPr>
        <w:t xml:space="preserve"> </w:t>
      </w:r>
      <w:r w:rsidR="00397D65">
        <w:rPr>
          <w:sz w:val="22"/>
          <w:szCs w:val="22"/>
        </w:rPr>
        <w:t>First of a</w:t>
      </w:r>
      <w:r w:rsidR="00DE644A">
        <w:rPr>
          <w:sz w:val="22"/>
          <w:szCs w:val="22"/>
        </w:rPr>
        <w:t>l</w:t>
      </w:r>
      <w:r w:rsidR="00397D65">
        <w:rPr>
          <w:sz w:val="22"/>
          <w:szCs w:val="22"/>
        </w:rPr>
        <w:t>l I found evidence</w:t>
      </w:r>
      <w:r w:rsidR="002731FE">
        <w:rPr>
          <w:sz w:val="22"/>
          <w:szCs w:val="22"/>
        </w:rPr>
        <w:t>, as hypothesized,</w:t>
      </w:r>
      <w:r w:rsidR="00397D65">
        <w:rPr>
          <w:sz w:val="22"/>
          <w:szCs w:val="22"/>
        </w:rPr>
        <w:t xml:space="preserve"> that</w:t>
      </w:r>
      <w:r w:rsidR="00E87267">
        <w:rPr>
          <w:sz w:val="22"/>
          <w:szCs w:val="22"/>
        </w:rPr>
        <w:t xml:space="preserve"> CEO</w:t>
      </w:r>
      <w:r w:rsidR="00BD1D4D">
        <w:rPr>
          <w:sz w:val="22"/>
          <w:szCs w:val="22"/>
        </w:rPr>
        <w:t xml:space="preserve"> and CFO</w:t>
      </w:r>
      <w:r w:rsidR="00E87267">
        <w:rPr>
          <w:sz w:val="22"/>
          <w:szCs w:val="22"/>
        </w:rPr>
        <w:t xml:space="preserve"> equity incentives are positively associated with earnings man</w:t>
      </w:r>
      <w:r w:rsidR="00DE644A">
        <w:rPr>
          <w:sz w:val="22"/>
          <w:szCs w:val="22"/>
        </w:rPr>
        <w:t>agement in pre-SOX for</w:t>
      </w:r>
      <w:r w:rsidR="00E87267">
        <w:rPr>
          <w:sz w:val="22"/>
          <w:szCs w:val="22"/>
        </w:rPr>
        <w:t xml:space="preserve"> the banking industry. </w:t>
      </w:r>
      <w:r w:rsidR="006B277F">
        <w:rPr>
          <w:sz w:val="22"/>
          <w:szCs w:val="22"/>
        </w:rPr>
        <w:t>The equity-</w:t>
      </w:r>
      <w:r w:rsidR="006B277F">
        <w:rPr>
          <w:sz w:val="22"/>
          <w:szCs w:val="22"/>
        </w:rPr>
        <w:lastRenderedPageBreak/>
        <w:t xml:space="preserve">based compensation package of bank </w:t>
      </w:r>
      <w:r w:rsidR="00BD1D4D">
        <w:rPr>
          <w:sz w:val="22"/>
          <w:szCs w:val="22"/>
        </w:rPr>
        <w:t>executives</w:t>
      </w:r>
      <w:r w:rsidR="006B277F">
        <w:rPr>
          <w:sz w:val="22"/>
          <w:szCs w:val="22"/>
        </w:rPr>
        <w:t xml:space="preserve"> ha</w:t>
      </w:r>
      <w:r w:rsidR="00BD1D4D">
        <w:rPr>
          <w:sz w:val="22"/>
          <w:szCs w:val="22"/>
        </w:rPr>
        <w:t>s</w:t>
      </w:r>
      <w:r w:rsidR="006B277F">
        <w:rPr>
          <w:sz w:val="22"/>
          <w:szCs w:val="22"/>
        </w:rPr>
        <w:t xml:space="preserve"> increased during the 1990s, giving them incentives to increase earnings using loan loss provisions. </w:t>
      </w:r>
      <w:r w:rsidR="00BD1D4D">
        <w:rPr>
          <w:sz w:val="22"/>
          <w:szCs w:val="22"/>
        </w:rPr>
        <w:t>CEO</w:t>
      </w:r>
      <w:r w:rsidR="006B277F">
        <w:rPr>
          <w:sz w:val="22"/>
          <w:szCs w:val="22"/>
        </w:rPr>
        <w:t>s</w:t>
      </w:r>
      <w:r w:rsidR="00BD1D4D">
        <w:rPr>
          <w:sz w:val="22"/>
          <w:szCs w:val="22"/>
        </w:rPr>
        <w:t xml:space="preserve"> and CFOs</w:t>
      </w:r>
      <w:r w:rsidR="006B277F">
        <w:rPr>
          <w:sz w:val="22"/>
          <w:szCs w:val="22"/>
        </w:rPr>
        <w:t xml:space="preserve"> with higher equity incentives are more likely to use upward earnings management </w:t>
      </w:r>
      <w:r w:rsidR="002731FE">
        <w:rPr>
          <w:sz w:val="22"/>
          <w:szCs w:val="22"/>
        </w:rPr>
        <w:t>in order to</w:t>
      </w:r>
      <w:r w:rsidR="006B277F">
        <w:rPr>
          <w:sz w:val="22"/>
          <w:szCs w:val="22"/>
        </w:rPr>
        <w:t xml:space="preserve"> increase the value of their option and stock holdings.</w:t>
      </w:r>
      <w:r w:rsidR="002731FE">
        <w:rPr>
          <w:sz w:val="22"/>
          <w:szCs w:val="22"/>
        </w:rPr>
        <w:t xml:space="preserve"> </w:t>
      </w:r>
      <w:r w:rsidR="00C201E8">
        <w:rPr>
          <w:sz w:val="22"/>
          <w:szCs w:val="22"/>
        </w:rPr>
        <w:t>Since</w:t>
      </w:r>
      <w:r w:rsidR="00BD1D4D">
        <w:rPr>
          <w:sz w:val="22"/>
          <w:szCs w:val="22"/>
        </w:rPr>
        <w:t xml:space="preserve"> CFOs main responsibility is financial reporting, they are </w:t>
      </w:r>
      <w:r w:rsidR="00C201E8">
        <w:rPr>
          <w:sz w:val="22"/>
          <w:szCs w:val="22"/>
        </w:rPr>
        <w:t xml:space="preserve">even </w:t>
      </w:r>
      <w:r w:rsidR="00BD1D4D">
        <w:rPr>
          <w:sz w:val="22"/>
          <w:szCs w:val="22"/>
        </w:rPr>
        <w:t xml:space="preserve">more likely to engage earnings management </w:t>
      </w:r>
      <w:r w:rsidR="00C201E8">
        <w:rPr>
          <w:sz w:val="22"/>
          <w:szCs w:val="22"/>
        </w:rPr>
        <w:t>through discretionary accruals</w:t>
      </w:r>
      <w:r w:rsidR="00BD1D4D">
        <w:rPr>
          <w:sz w:val="22"/>
          <w:szCs w:val="22"/>
        </w:rPr>
        <w:t xml:space="preserve">. </w:t>
      </w:r>
      <w:r w:rsidR="000148F1">
        <w:rPr>
          <w:sz w:val="22"/>
          <w:szCs w:val="22"/>
        </w:rPr>
        <w:t>Therefore,</w:t>
      </w:r>
      <w:r w:rsidR="00BD1D4D">
        <w:rPr>
          <w:sz w:val="22"/>
          <w:szCs w:val="22"/>
        </w:rPr>
        <w:t xml:space="preserve"> the equity incentive coefficient of the CFO is found four times higher than that of the CEO.  </w:t>
      </w:r>
      <w:r w:rsidR="00696B59">
        <w:rPr>
          <w:sz w:val="22"/>
          <w:szCs w:val="22"/>
        </w:rPr>
        <w:t xml:space="preserve">This is in line with </w:t>
      </w:r>
      <w:r w:rsidR="00DE644A">
        <w:rPr>
          <w:sz w:val="22"/>
          <w:szCs w:val="22"/>
        </w:rPr>
        <w:t>the findings of Jiang et al</w:t>
      </w:r>
      <w:r w:rsidR="00696B59">
        <w:rPr>
          <w:sz w:val="22"/>
          <w:szCs w:val="22"/>
        </w:rPr>
        <w:t xml:space="preserve">. (2010) </w:t>
      </w:r>
      <w:r w:rsidR="002731FE">
        <w:rPr>
          <w:sz w:val="22"/>
          <w:szCs w:val="22"/>
        </w:rPr>
        <w:t xml:space="preserve">who </w:t>
      </w:r>
      <w:r w:rsidR="00696B59">
        <w:rPr>
          <w:sz w:val="22"/>
          <w:szCs w:val="22"/>
        </w:rPr>
        <w:t xml:space="preserve">based </w:t>
      </w:r>
      <w:r w:rsidR="002731FE">
        <w:rPr>
          <w:sz w:val="22"/>
          <w:szCs w:val="22"/>
        </w:rPr>
        <w:t xml:space="preserve">their research </w:t>
      </w:r>
      <w:r w:rsidR="00696B59">
        <w:rPr>
          <w:sz w:val="22"/>
          <w:szCs w:val="22"/>
        </w:rPr>
        <w:t>on nonbanks.</w:t>
      </w:r>
      <w:r w:rsidR="00DE644A">
        <w:rPr>
          <w:sz w:val="22"/>
          <w:szCs w:val="22"/>
        </w:rPr>
        <w:t xml:space="preserve"> </w:t>
      </w:r>
      <w:r w:rsidR="00C201E8">
        <w:rPr>
          <w:sz w:val="22"/>
          <w:szCs w:val="22"/>
        </w:rPr>
        <w:t xml:space="preserve">In contrary to </w:t>
      </w:r>
      <w:r w:rsidR="00754C19">
        <w:rPr>
          <w:sz w:val="22"/>
          <w:szCs w:val="22"/>
        </w:rPr>
        <w:t>Cheng et al. (2009)</w:t>
      </w:r>
      <w:r w:rsidR="00C201E8">
        <w:rPr>
          <w:sz w:val="22"/>
          <w:szCs w:val="22"/>
        </w:rPr>
        <w:t>, who</w:t>
      </w:r>
      <w:r w:rsidR="002731FE">
        <w:rPr>
          <w:sz w:val="22"/>
          <w:szCs w:val="22"/>
        </w:rPr>
        <w:t xml:space="preserve"> didn’t fi</w:t>
      </w:r>
      <w:r w:rsidR="00DE644A">
        <w:rPr>
          <w:sz w:val="22"/>
          <w:szCs w:val="22"/>
        </w:rPr>
        <w:t xml:space="preserve">nd a relationship between CEO equity incentives and earnings management for </w:t>
      </w:r>
      <w:r w:rsidR="002731FE">
        <w:rPr>
          <w:sz w:val="22"/>
          <w:szCs w:val="22"/>
        </w:rPr>
        <w:t>the</w:t>
      </w:r>
      <w:r w:rsidR="00DE644A">
        <w:rPr>
          <w:sz w:val="22"/>
          <w:szCs w:val="22"/>
        </w:rPr>
        <w:t xml:space="preserve"> period of 1994-2007 in the banking industry</w:t>
      </w:r>
      <w:r w:rsidR="00696B59">
        <w:rPr>
          <w:sz w:val="22"/>
          <w:szCs w:val="22"/>
        </w:rPr>
        <w:t xml:space="preserve">. I presume </w:t>
      </w:r>
      <w:r w:rsidR="00C201E8">
        <w:rPr>
          <w:sz w:val="22"/>
          <w:szCs w:val="22"/>
        </w:rPr>
        <w:t>their</w:t>
      </w:r>
      <w:r w:rsidR="00696B59">
        <w:rPr>
          <w:sz w:val="22"/>
          <w:szCs w:val="22"/>
        </w:rPr>
        <w:t xml:space="preserve"> results </w:t>
      </w:r>
      <w:r w:rsidR="00C201E8">
        <w:rPr>
          <w:sz w:val="22"/>
          <w:szCs w:val="22"/>
        </w:rPr>
        <w:t xml:space="preserve">will be the same </w:t>
      </w:r>
      <w:r w:rsidR="002731FE">
        <w:rPr>
          <w:sz w:val="22"/>
          <w:szCs w:val="22"/>
        </w:rPr>
        <w:t xml:space="preserve">when </w:t>
      </w:r>
      <w:r w:rsidR="00C201E8">
        <w:rPr>
          <w:sz w:val="22"/>
          <w:szCs w:val="22"/>
        </w:rPr>
        <w:t>they take</w:t>
      </w:r>
      <w:r w:rsidR="002731FE">
        <w:rPr>
          <w:sz w:val="22"/>
          <w:szCs w:val="22"/>
        </w:rPr>
        <w:t xml:space="preserve"> SOX into account.</w:t>
      </w:r>
    </w:p>
    <w:p w:rsidR="006B2210" w:rsidRDefault="006B2210" w:rsidP="0099367B">
      <w:pPr>
        <w:spacing w:line="360" w:lineRule="auto"/>
        <w:jc w:val="both"/>
        <w:rPr>
          <w:sz w:val="22"/>
          <w:szCs w:val="22"/>
        </w:rPr>
      </w:pPr>
    </w:p>
    <w:p w:rsidR="006B2210" w:rsidRDefault="006B2210" w:rsidP="0099367B">
      <w:pPr>
        <w:spacing w:line="360" w:lineRule="auto"/>
        <w:jc w:val="both"/>
        <w:rPr>
          <w:sz w:val="22"/>
          <w:szCs w:val="22"/>
        </w:rPr>
      </w:pPr>
      <w:r>
        <w:rPr>
          <w:sz w:val="22"/>
          <w:szCs w:val="22"/>
        </w:rPr>
        <w:t xml:space="preserve">The third hypothesis is accepted, because no association </w:t>
      </w:r>
      <w:r w:rsidR="001118F7">
        <w:rPr>
          <w:sz w:val="22"/>
          <w:szCs w:val="22"/>
        </w:rPr>
        <w:t xml:space="preserve">was </w:t>
      </w:r>
      <w:r>
        <w:rPr>
          <w:sz w:val="22"/>
          <w:szCs w:val="22"/>
        </w:rPr>
        <w:t xml:space="preserve">found for CEO equity incentives and earnings management </w:t>
      </w:r>
      <w:r w:rsidR="00867AC6">
        <w:rPr>
          <w:sz w:val="22"/>
          <w:szCs w:val="22"/>
        </w:rPr>
        <w:t>in post-SOX. After the passage of SOX, higher standards of quality and more responsibility of material weaknesses in financial statements have reduced earnings management practices of the CEO. This is in line with Jiang et al. (2010)</w:t>
      </w:r>
      <w:r w:rsidR="00547CAB">
        <w:rPr>
          <w:sz w:val="22"/>
          <w:szCs w:val="22"/>
        </w:rPr>
        <w:t xml:space="preserve"> and Cheng et al. (2009) who</w:t>
      </w:r>
      <w:r w:rsidR="00867AC6">
        <w:rPr>
          <w:sz w:val="22"/>
          <w:szCs w:val="22"/>
        </w:rPr>
        <w:t xml:space="preserve"> found no association between CEO equity incentives and earnings management</w:t>
      </w:r>
      <w:r w:rsidR="00547CAB">
        <w:rPr>
          <w:sz w:val="22"/>
          <w:szCs w:val="22"/>
        </w:rPr>
        <w:t>. However, this result was not significant.</w:t>
      </w:r>
    </w:p>
    <w:p w:rsidR="00DE644A" w:rsidRDefault="00DE644A" w:rsidP="0099367B">
      <w:pPr>
        <w:spacing w:line="360" w:lineRule="auto"/>
        <w:jc w:val="both"/>
        <w:rPr>
          <w:sz w:val="22"/>
          <w:szCs w:val="22"/>
        </w:rPr>
      </w:pPr>
    </w:p>
    <w:p w:rsidR="0021383A" w:rsidRDefault="007A7E8C" w:rsidP="0099367B">
      <w:pPr>
        <w:spacing w:line="360" w:lineRule="auto"/>
        <w:jc w:val="both"/>
        <w:rPr>
          <w:sz w:val="22"/>
          <w:szCs w:val="22"/>
        </w:rPr>
      </w:pPr>
      <w:r>
        <w:rPr>
          <w:sz w:val="22"/>
          <w:szCs w:val="22"/>
        </w:rPr>
        <w:t>The fourth hypothesis predicted no association between CFO equity incentives and earnings management in the p</w:t>
      </w:r>
      <w:r w:rsidR="009F0F26">
        <w:rPr>
          <w:sz w:val="22"/>
          <w:szCs w:val="22"/>
        </w:rPr>
        <w:t>ost</w:t>
      </w:r>
      <w:r>
        <w:rPr>
          <w:sz w:val="22"/>
          <w:szCs w:val="22"/>
        </w:rPr>
        <w:t>-SOX period, since for the CEO there was no association expected either. Surprisingly, the result shows that CFO equity incentives remains negatively related to earnings management in post-SOX.</w:t>
      </w:r>
      <w:r w:rsidR="00EB5AE1" w:rsidRPr="00EB5AE1">
        <w:rPr>
          <w:sz w:val="22"/>
          <w:szCs w:val="22"/>
        </w:rPr>
        <w:t xml:space="preserve"> </w:t>
      </w:r>
      <w:r w:rsidR="00EB5AE1">
        <w:rPr>
          <w:sz w:val="22"/>
          <w:szCs w:val="22"/>
        </w:rPr>
        <w:t xml:space="preserve">This </w:t>
      </w:r>
      <w:r w:rsidR="00582BF2">
        <w:rPr>
          <w:sz w:val="22"/>
          <w:szCs w:val="22"/>
        </w:rPr>
        <w:t xml:space="preserve">finding </w:t>
      </w:r>
      <w:r w:rsidR="00EB5AE1">
        <w:rPr>
          <w:sz w:val="22"/>
          <w:szCs w:val="22"/>
        </w:rPr>
        <w:t>is in line with Graham et al. (2005) on page 26, who predicted that the pressure that CFO feel to manage earnings are unlikely to go away unless there is a change in how stock markets perceive small misses from earnings benchmarks.</w:t>
      </w:r>
      <w:r>
        <w:rPr>
          <w:sz w:val="22"/>
          <w:szCs w:val="22"/>
        </w:rPr>
        <w:t xml:space="preserve"> </w:t>
      </w:r>
      <w:r w:rsidR="009F721D">
        <w:rPr>
          <w:sz w:val="22"/>
          <w:szCs w:val="22"/>
        </w:rPr>
        <w:t xml:space="preserve">By missing the earnings benchmarks the punishment will be severe. </w:t>
      </w:r>
      <w:r w:rsidR="00BD1D4D">
        <w:rPr>
          <w:sz w:val="22"/>
          <w:szCs w:val="22"/>
        </w:rPr>
        <w:t xml:space="preserve">CFOs </w:t>
      </w:r>
      <w:r w:rsidR="009F721D">
        <w:rPr>
          <w:sz w:val="22"/>
          <w:szCs w:val="22"/>
        </w:rPr>
        <w:t>have fewer tools compared to CEOs</w:t>
      </w:r>
      <w:r w:rsidR="00BD1D4D">
        <w:rPr>
          <w:sz w:val="22"/>
          <w:szCs w:val="22"/>
        </w:rPr>
        <w:t xml:space="preserve"> to manage earnings</w:t>
      </w:r>
      <w:r w:rsidR="001118F7">
        <w:rPr>
          <w:sz w:val="22"/>
          <w:szCs w:val="22"/>
        </w:rPr>
        <w:t xml:space="preserve"> or achieve their targets. </w:t>
      </w:r>
      <w:r w:rsidR="009F721D">
        <w:rPr>
          <w:sz w:val="22"/>
          <w:szCs w:val="22"/>
        </w:rPr>
        <w:t xml:space="preserve">CFOs are </w:t>
      </w:r>
      <w:r w:rsidR="00BD1D4D">
        <w:rPr>
          <w:sz w:val="22"/>
          <w:szCs w:val="22"/>
        </w:rPr>
        <w:t xml:space="preserve">therefore </w:t>
      </w:r>
      <w:r w:rsidR="009F721D">
        <w:rPr>
          <w:sz w:val="22"/>
          <w:szCs w:val="22"/>
        </w:rPr>
        <w:t xml:space="preserve">more dependent on </w:t>
      </w:r>
      <w:r w:rsidR="004D53B2">
        <w:rPr>
          <w:sz w:val="22"/>
          <w:szCs w:val="22"/>
        </w:rPr>
        <w:t xml:space="preserve">(accrual-based) </w:t>
      </w:r>
      <w:r w:rsidR="009F721D">
        <w:rPr>
          <w:sz w:val="22"/>
          <w:szCs w:val="22"/>
        </w:rPr>
        <w:t xml:space="preserve">earnings management to achieve </w:t>
      </w:r>
      <w:r w:rsidR="00BD1D4D">
        <w:rPr>
          <w:sz w:val="22"/>
          <w:szCs w:val="22"/>
        </w:rPr>
        <w:t>their</w:t>
      </w:r>
      <w:r w:rsidR="009F721D">
        <w:rPr>
          <w:sz w:val="22"/>
          <w:szCs w:val="22"/>
        </w:rPr>
        <w:t xml:space="preserve"> performance </w:t>
      </w:r>
      <w:r w:rsidR="001118F7">
        <w:rPr>
          <w:sz w:val="22"/>
          <w:szCs w:val="22"/>
        </w:rPr>
        <w:t>goals</w:t>
      </w:r>
      <w:r w:rsidR="009F721D">
        <w:rPr>
          <w:sz w:val="22"/>
          <w:szCs w:val="22"/>
        </w:rPr>
        <w:t xml:space="preserve">. </w:t>
      </w:r>
      <w:r w:rsidR="0021383A">
        <w:rPr>
          <w:sz w:val="22"/>
          <w:szCs w:val="22"/>
        </w:rPr>
        <w:t xml:space="preserve">This is opposite to the findings for nonbanks of Jiang et al. (2010), who found no </w:t>
      </w:r>
      <w:r w:rsidR="00582BF2">
        <w:rPr>
          <w:sz w:val="22"/>
          <w:szCs w:val="22"/>
        </w:rPr>
        <w:t xml:space="preserve">positive </w:t>
      </w:r>
      <w:r w:rsidR="0021383A">
        <w:rPr>
          <w:sz w:val="22"/>
          <w:szCs w:val="22"/>
        </w:rPr>
        <w:t xml:space="preserve">association between CFO equity incentives and earnings management in post-SOX. </w:t>
      </w:r>
      <w:r w:rsidR="00BD1D4D">
        <w:rPr>
          <w:sz w:val="22"/>
          <w:szCs w:val="22"/>
        </w:rPr>
        <w:t>This h</w:t>
      </w:r>
      <w:r w:rsidR="0021383A">
        <w:rPr>
          <w:sz w:val="22"/>
          <w:szCs w:val="22"/>
        </w:rPr>
        <w:t>ypothesis is rejected, but the result was not significant.</w:t>
      </w:r>
    </w:p>
    <w:p w:rsidR="00BD1D4D" w:rsidRDefault="00BD1D4D" w:rsidP="0099367B">
      <w:pPr>
        <w:spacing w:line="360" w:lineRule="auto"/>
        <w:jc w:val="both"/>
        <w:rPr>
          <w:sz w:val="22"/>
          <w:szCs w:val="22"/>
        </w:rPr>
      </w:pPr>
    </w:p>
    <w:p w:rsidR="00BD1D4D" w:rsidRDefault="00A96A2B" w:rsidP="0099367B">
      <w:pPr>
        <w:spacing w:line="360" w:lineRule="auto"/>
        <w:jc w:val="both"/>
        <w:rPr>
          <w:sz w:val="22"/>
          <w:szCs w:val="22"/>
        </w:rPr>
      </w:pPr>
      <w:r>
        <w:rPr>
          <w:sz w:val="22"/>
          <w:szCs w:val="22"/>
        </w:rPr>
        <w:t>The final hypothesis states that CFO equity incentives have a greater effect on earnings management than CEO equity incentives in the banking industry. When only looking at the equity incentive coefficient, the results show that the coefficient for the CFO is four times higher than that of the CEO in pre-SOX</w:t>
      </w:r>
      <w:r w:rsidR="000C62C4">
        <w:rPr>
          <w:sz w:val="22"/>
          <w:szCs w:val="22"/>
        </w:rPr>
        <w:t>.</w:t>
      </w:r>
      <w:r>
        <w:rPr>
          <w:sz w:val="22"/>
          <w:szCs w:val="22"/>
        </w:rPr>
        <w:t xml:space="preserve"> </w:t>
      </w:r>
      <w:r w:rsidR="009E421E">
        <w:rPr>
          <w:sz w:val="22"/>
          <w:szCs w:val="22"/>
        </w:rPr>
        <w:t xml:space="preserve">This means that equity-based compensation gives CFOs more incentive to manage earnings than the CEO. </w:t>
      </w:r>
      <w:r>
        <w:rPr>
          <w:sz w:val="22"/>
          <w:szCs w:val="22"/>
        </w:rPr>
        <w:t>However, when taking the amount of compensation in to account, the effect of CEO equity incentives on earnings management</w:t>
      </w:r>
      <w:r w:rsidR="00A93EAD">
        <w:rPr>
          <w:sz w:val="22"/>
          <w:szCs w:val="22"/>
        </w:rPr>
        <w:t xml:space="preserve"> still</w:t>
      </w:r>
      <w:r>
        <w:rPr>
          <w:sz w:val="22"/>
          <w:szCs w:val="22"/>
        </w:rPr>
        <w:t xml:space="preserve"> dominates that of the CFO. Therefore the hypothesis is rejected for the pre-SOX period. </w:t>
      </w:r>
      <w:r w:rsidR="003C093F">
        <w:rPr>
          <w:sz w:val="22"/>
          <w:szCs w:val="22"/>
        </w:rPr>
        <w:t>Interestingly</w:t>
      </w:r>
      <w:r w:rsidR="009E421E" w:rsidRPr="009E421E">
        <w:rPr>
          <w:sz w:val="22"/>
          <w:szCs w:val="22"/>
        </w:rPr>
        <w:t xml:space="preserve"> </w:t>
      </w:r>
      <w:r w:rsidR="009E421E">
        <w:rPr>
          <w:sz w:val="22"/>
          <w:szCs w:val="22"/>
        </w:rPr>
        <w:t>in post-SOX</w:t>
      </w:r>
      <w:r w:rsidR="000C62C4">
        <w:rPr>
          <w:sz w:val="22"/>
          <w:szCs w:val="22"/>
        </w:rPr>
        <w:t>, the results show</w:t>
      </w:r>
      <w:r>
        <w:rPr>
          <w:sz w:val="22"/>
          <w:szCs w:val="22"/>
        </w:rPr>
        <w:t xml:space="preserve"> no </w:t>
      </w:r>
      <w:r>
        <w:rPr>
          <w:sz w:val="22"/>
          <w:szCs w:val="22"/>
        </w:rPr>
        <w:lastRenderedPageBreak/>
        <w:t xml:space="preserve">association </w:t>
      </w:r>
      <w:r w:rsidR="001118F7">
        <w:rPr>
          <w:sz w:val="22"/>
          <w:szCs w:val="22"/>
        </w:rPr>
        <w:t>between</w:t>
      </w:r>
      <w:r>
        <w:rPr>
          <w:sz w:val="22"/>
          <w:szCs w:val="22"/>
        </w:rPr>
        <w:t xml:space="preserve"> CEO equity incentive and earnings management, while for the CFO </w:t>
      </w:r>
      <w:r w:rsidR="001118F7">
        <w:rPr>
          <w:sz w:val="22"/>
          <w:szCs w:val="22"/>
        </w:rPr>
        <w:t>the</w:t>
      </w:r>
      <w:r>
        <w:rPr>
          <w:sz w:val="22"/>
          <w:szCs w:val="22"/>
        </w:rPr>
        <w:t xml:space="preserve"> positive association </w:t>
      </w:r>
      <w:r w:rsidR="001118F7">
        <w:rPr>
          <w:sz w:val="22"/>
          <w:szCs w:val="22"/>
        </w:rPr>
        <w:t>remained</w:t>
      </w:r>
      <w:r>
        <w:rPr>
          <w:sz w:val="22"/>
          <w:szCs w:val="22"/>
        </w:rPr>
        <w:t xml:space="preserve">. </w:t>
      </w:r>
      <w:r w:rsidR="000C62C4">
        <w:rPr>
          <w:sz w:val="22"/>
          <w:szCs w:val="22"/>
        </w:rPr>
        <w:t>This means</w:t>
      </w:r>
      <w:r>
        <w:rPr>
          <w:sz w:val="22"/>
          <w:szCs w:val="22"/>
        </w:rPr>
        <w:t xml:space="preserve"> that the effect of CFO equity incentive on earnings management dominates that of the CEO</w:t>
      </w:r>
      <w:r w:rsidR="000C62C4">
        <w:rPr>
          <w:sz w:val="22"/>
          <w:szCs w:val="22"/>
        </w:rPr>
        <w:t xml:space="preserve"> in post-SOX </w:t>
      </w:r>
      <w:r>
        <w:rPr>
          <w:sz w:val="22"/>
          <w:szCs w:val="22"/>
        </w:rPr>
        <w:t xml:space="preserve">and therefore the hypothesis is accepted </w:t>
      </w:r>
      <w:r w:rsidR="000C62C4">
        <w:rPr>
          <w:sz w:val="22"/>
          <w:szCs w:val="22"/>
        </w:rPr>
        <w:t>for this time period.</w:t>
      </w:r>
    </w:p>
    <w:p w:rsidR="004F0026" w:rsidRDefault="001118F7" w:rsidP="0099367B">
      <w:pPr>
        <w:spacing w:line="360" w:lineRule="auto"/>
        <w:jc w:val="both"/>
        <w:rPr>
          <w:sz w:val="22"/>
          <w:szCs w:val="22"/>
        </w:rPr>
      </w:pPr>
      <w:r>
        <w:rPr>
          <w:sz w:val="22"/>
          <w:szCs w:val="22"/>
        </w:rPr>
        <w:t>The</w:t>
      </w:r>
      <w:r w:rsidR="00FC7ECA">
        <w:rPr>
          <w:sz w:val="22"/>
          <w:szCs w:val="22"/>
        </w:rPr>
        <w:t xml:space="preserve"> main research question</w:t>
      </w:r>
      <w:r>
        <w:rPr>
          <w:sz w:val="22"/>
          <w:szCs w:val="22"/>
        </w:rPr>
        <w:t xml:space="preserve"> is hereby answered.</w:t>
      </w:r>
      <w:r w:rsidR="00FE54A4">
        <w:rPr>
          <w:sz w:val="22"/>
          <w:szCs w:val="22"/>
        </w:rPr>
        <w:t xml:space="preserve"> </w:t>
      </w:r>
      <w:r w:rsidR="004F0026">
        <w:rPr>
          <w:sz w:val="22"/>
          <w:szCs w:val="22"/>
        </w:rPr>
        <w:t xml:space="preserve">It can be concluded that </w:t>
      </w:r>
      <w:r w:rsidR="00B373CB">
        <w:rPr>
          <w:sz w:val="22"/>
          <w:szCs w:val="22"/>
        </w:rPr>
        <w:t xml:space="preserve">in pre-SOX, the effect of CEO equity incentives on earnings management dominates that of the CFO. In post-SOX this is reversed, where </w:t>
      </w:r>
      <w:r w:rsidR="004F0026">
        <w:rPr>
          <w:sz w:val="22"/>
          <w:szCs w:val="22"/>
        </w:rPr>
        <w:t>CFO equity incentives have a greater effect on earnings management than that of the C</w:t>
      </w:r>
      <w:r w:rsidR="00B373CB">
        <w:rPr>
          <w:sz w:val="22"/>
          <w:szCs w:val="22"/>
        </w:rPr>
        <w:t>EO.</w:t>
      </w:r>
    </w:p>
    <w:p w:rsidR="0021383A" w:rsidRPr="005C7A6F" w:rsidRDefault="0021383A" w:rsidP="005C7A6F">
      <w:pPr>
        <w:spacing w:line="360" w:lineRule="auto"/>
        <w:jc w:val="both"/>
        <w:rPr>
          <w:sz w:val="22"/>
          <w:szCs w:val="22"/>
        </w:rPr>
      </w:pPr>
    </w:p>
    <w:p w:rsidR="00C479B6" w:rsidRDefault="00082001" w:rsidP="005C7A6F">
      <w:pPr>
        <w:spacing w:line="360" w:lineRule="auto"/>
        <w:jc w:val="both"/>
        <w:rPr>
          <w:sz w:val="22"/>
          <w:szCs w:val="22"/>
        </w:rPr>
      </w:pPr>
      <w:r>
        <w:rPr>
          <w:sz w:val="22"/>
          <w:szCs w:val="22"/>
        </w:rPr>
        <w:t>In the Enron-age,</w:t>
      </w:r>
      <w:r w:rsidR="004C3EE1">
        <w:rPr>
          <w:sz w:val="22"/>
          <w:szCs w:val="22"/>
        </w:rPr>
        <w:t xml:space="preserve"> executives enrich themselves at the expens</w:t>
      </w:r>
      <w:r>
        <w:rPr>
          <w:sz w:val="22"/>
          <w:szCs w:val="22"/>
        </w:rPr>
        <w:t>e of their firm on major scale. One of t</w:t>
      </w:r>
      <w:r w:rsidR="005C7A6F">
        <w:rPr>
          <w:sz w:val="22"/>
          <w:szCs w:val="22"/>
        </w:rPr>
        <w:t xml:space="preserve">he </w:t>
      </w:r>
      <w:r w:rsidR="002F0261">
        <w:rPr>
          <w:sz w:val="22"/>
          <w:szCs w:val="22"/>
        </w:rPr>
        <w:t>purposes</w:t>
      </w:r>
      <w:r w:rsidR="005C7A6F">
        <w:rPr>
          <w:sz w:val="22"/>
          <w:szCs w:val="22"/>
        </w:rPr>
        <w:t xml:space="preserve"> that r</w:t>
      </w:r>
      <w:r w:rsidR="005C7A6F" w:rsidRPr="005C7A6F">
        <w:rPr>
          <w:sz w:val="22"/>
          <w:szCs w:val="22"/>
        </w:rPr>
        <w:t xml:space="preserve">egulators implemented SOX </w:t>
      </w:r>
      <w:r w:rsidR="005C7A6F">
        <w:rPr>
          <w:sz w:val="22"/>
          <w:szCs w:val="22"/>
        </w:rPr>
        <w:t xml:space="preserve">is </w:t>
      </w:r>
      <w:r w:rsidR="004C3EE1">
        <w:rPr>
          <w:sz w:val="22"/>
          <w:szCs w:val="22"/>
        </w:rPr>
        <w:t xml:space="preserve">to reduce earnings management in order to give </w:t>
      </w:r>
      <w:r>
        <w:rPr>
          <w:sz w:val="22"/>
          <w:szCs w:val="22"/>
        </w:rPr>
        <w:t xml:space="preserve">confidence </w:t>
      </w:r>
      <w:r w:rsidR="004C3EE1">
        <w:rPr>
          <w:sz w:val="22"/>
          <w:szCs w:val="22"/>
        </w:rPr>
        <w:t xml:space="preserve">back to </w:t>
      </w:r>
      <w:r>
        <w:rPr>
          <w:sz w:val="22"/>
          <w:szCs w:val="22"/>
        </w:rPr>
        <w:t xml:space="preserve">the </w:t>
      </w:r>
      <w:r w:rsidR="004C3EE1">
        <w:rPr>
          <w:sz w:val="22"/>
          <w:szCs w:val="22"/>
        </w:rPr>
        <w:t xml:space="preserve">investors. </w:t>
      </w:r>
      <w:r w:rsidR="005C7A6F" w:rsidRPr="005C7A6F">
        <w:rPr>
          <w:sz w:val="22"/>
          <w:szCs w:val="22"/>
        </w:rPr>
        <w:t xml:space="preserve">The </w:t>
      </w:r>
      <w:r w:rsidR="002F0261">
        <w:rPr>
          <w:sz w:val="22"/>
          <w:szCs w:val="22"/>
        </w:rPr>
        <w:t>findings</w:t>
      </w:r>
      <w:r w:rsidR="004C3EE1">
        <w:rPr>
          <w:sz w:val="22"/>
          <w:szCs w:val="22"/>
        </w:rPr>
        <w:t xml:space="preserve"> above show that</w:t>
      </w:r>
      <w:r w:rsidR="005C7A6F" w:rsidRPr="005C7A6F">
        <w:rPr>
          <w:sz w:val="22"/>
          <w:szCs w:val="22"/>
        </w:rPr>
        <w:t xml:space="preserve"> </w:t>
      </w:r>
      <w:r w:rsidR="004C3EE1">
        <w:rPr>
          <w:sz w:val="22"/>
          <w:szCs w:val="22"/>
        </w:rPr>
        <w:t xml:space="preserve">SOX have reduced the </w:t>
      </w:r>
      <w:r w:rsidR="00C479B6">
        <w:rPr>
          <w:sz w:val="22"/>
          <w:szCs w:val="22"/>
        </w:rPr>
        <w:t xml:space="preserve">effect that equity-based compensation has on (accrual based) </w:t>
      </w:r>
      <w:r w:rsidR="005C7A6F" w:rsidRPr="005C7A6F">
        <w:rPr>
          <w:sz w:val="22"/>
          <w:szCs w:val="22"/>
        </w:rPr>
        <w:t>earn</w:t>
      </w:r>
      <w:r w:rsidR="009018E9">
        <w:rPr>
          <w:sz w:val="22"/>
          <w:szCs w:val="22"/>
        </w:rPr>
        <w:t>ings management in the banking industry.</w:t>
      </w:r>
      <w:r w:rsidR="00C479B6">
        <w:rPr>
          <w:sz w:val="22"/>
          <w:szCs w:val="22"/>
        </w:rPr>
        <w:t xml:space="preserve"> </w:t>
      </w:r>
      <w:r>
        <w:rPr>
          <w:sz w:val="22"/>
          <w:szCs w:val="22"/>
        </w:rPr>
        <w:t xml:space="preserve">This conclusion is supported </w:t>
      </w:r>
      <w:r w:rsidR="000148F1">
        <w:rPr>
          <w:sz w:val="22"/>
          <w:szCs w:val="22"/>
        </w:rPr>
        <w:t>by the evidence found on page 41 and in Appendix 1</w:t>
      </w:r>
      <w:r>
        <w:rPr>
          <w:sz w:val="22"/>
          <w:szCs w:val="22"/>
        </w:rPr>
        <w:t xml:space="preserve">, which shows that the distribution of </w:t>
      </w:r>
      <w:r w:rsidR="00D10D4B">
        <w:rPr>
          <w:sz w:val="22"/>
          <w:szCs w:val="22"/>
        </w:rPr>
        <w:t xml:space="preserve">discretionary loan loss provisions </w:t>
      </w:r>
      <w:r>
        <w:rPr>
          <w:sz w:val="22"/>
          <w:szCs w:val="22"/>
        </w:rPr>
        <w:t xml:space="preserve">in post-SOX is lower and less extreme as in pre-SOX. Therefore </w:t>
      </w:r>
      <w:r w:rsidR="000148F1">
        <w:rPr>
          <w:sz w:val="22"/>
          <w:szCs w:val="22"/>
        </w:rPr>
        <w:t xml:space="preserve">it can be concluded that </w:t>
      </w:r>
      <w:r>
        <w:rPr>
          <w:sz w:val="22"/>
          <w:szCs w:val="22"/>
        </w:rPr>
        <w:t>the intention of SOX to mitigate earnings management has been fulfilled</w:t>
      </w:r>
      <w:r w:rsidR="002F0261">
        <w:rPr>
          <w:sz w:val="22"/>
          <w:szCs w:val="22"/>
        </w:rPr>
        <w:t xml:space="preserve"> for the banking industry</w:t>
      </w:r>
      <w:r>
        <w:rPr>
          <w:sz w:val="22"/>
          <w:szCs w:val="22"/>
        </w:rPr>
        <w:t>.</w:t>
      </w:r>
    </w:p>
    <w:p w:rsidR="00082001" w:rsidRPr="005C7A6F" w:rsidRDefault="00082001" w:rsidP="005C7A6F">
      <w:pPr>
        <w:spacing w:line="360" w:lineRule="auto"/>
        <w:jc w:val="both"/>
        <w:rPr>
          <w:sz w:val="22"/>
          <w:szCs w:val="22"/>
        </w:rPr>
      </w:pPr>
    </w:p>
    <w:p w:rsidR="006F0F8D" w:rsidRDefault="00246A48" w:rsidP="00264BDE">
      <w:pPr>
        <w:pStyle w:val="Kop2"/>
      </w:pPr>
      <w:bookmarkStart w:id="69" w:name="_Toc287614198"/>
      <w:r>
        <w:t>8</w:t>
      </w:r>
      <w:r w:rsidR="00264BDE">
        <w:t>.3 Limitations and suggestions for future research</w:t>
      </w:r>
      <w:bookmarkEnd w:id="69"/>
    </w:p>
    <w:p w:rsidR="006F0F8D" w:rsidRPr="00D6544E" w:rsidRDefault="00D6544E" w:rsidP="00D6544E">
      <w:pPr>
        <w:spacing w:line="360" w:lineRule="auto"/>
        <w:jc w:val="both"/>
        <w:rPr>
          <w:sz w:val="22"/>
          <w:szCs w:val="22"/>
        </w:rPr>
      </w:pPr>
      <w:r w:rsidRPr="00D6544E">
        <w:rPr>
          <w:sz w:val="22"/>
          <w:szCs w:val="22"/>
        </w:rPr>
        <w:t xml:space="preserve">This research has several limitations. One of the limitations is the relative low sample size, because I gathered </w:t>
      </w:r>
      <w:r w:rsidR="00B07687">
        <w:rPr>
          <w:sz w:val="22"/>
          <w:szCs w:val="22"/>
        </w:rPr>
        <w:t>bank-years covering both CEO and</w:t>
      </w:r>
      <w:r w:rsidRPr="00D6544E">
        <w:rPr>
          <w:sz w:val="22"/>
          <w:szCs w:val="22"/>
        </w:rPr>
        <w:t xml:space="preserve"> CFO compensation data</w:t>
      </w:r>
      <w:r w:rsidR="00B07687">
        <w:rPr>
          <w:sz w:val="22"/>
          <w:szCs w:val="22"/>
        </w:rPr>
        <w:t xml:space="preserve"> as well as necessary bank variable data</w:t>
      </w:r>
      <w:r w:rsidRPr="00D6544E">
        <w:rPr>
          <w:sz w:val="22"/>
          <w:szCs w:val="22"/>
        </w:rPr>
        <w:t>. The sample size will increase significantly when CEO and CFO compensation data</w:t>
      </w:r>
      <w:r>
        <w:rPr>
          <w:sz w:val="22"/>
          <w:szCs w:val="22"/>
        </w:rPr>
        <w:t xml:space="preserve"> are</w:t>
      </w:r>
      <w:r w:rsidRPr="00D6544E">
        <w:rPr>
          <w:sz w:val="22"/>
          <w:szCs w:val="22"/>
        </w:rPr>
        <w:t xml:space="preserve"> investigated separately. </w:t>
      </w:r>
      <w:r>
        <w:rPr>
          <w:sz w:val="22"/>
          <w:szCs w:val="22"/>
        </w:rPr>
        <w:t>However, this will result into two</w:t>
      </w:r>
      <w:r w:rsidR="007C3B8A">
        <w:rPr>
          <w:sz w:val="22"/>
          <w:szCs w:val="22"/>
        </w:rPr>
        <w:t xml:space="preserve"> separate</w:t>
      </w:r>
      <w:r>
        <w:rPr>
          <w:sz w:val="22"/>
          <w:szCs w:val="22"/>
        </w:rPr>
        <w:t xml:space="preserve"> researches. </w:t>
      </w:r>
      <w:r w:rsidR="002C21A2">
        <w:rPr>
          <w:sz w:val="22"/>
          <w:szCs w:val="22"/>
        </w:rPr>
        <w:t>Anothe</w:t>
      </w:r>
      <w:r w:rsidR="00246E93">
        <w:rPr>
          <w:sz w:val="22"/>
          <w:szCs w:val="22"/>
        </w:rPr>
        <w:t xml:space="preserve">r limitation is </w:t>
      </w:r>
      <w:r w:rsidR="00616E0B">
        <w:rPr>
          <w:sz w:val="22"/>
          <w:szCs w:val="22"/>
        </w:rPr>
        <w:t>that only the equity incentives of CEO and CFO are examined, while incentives of bank managers at lower levels</w:t>
      </w:r>
      <w:r w:rsidR="00B07687">
        <w:rPr>
          <w:sz w:val="22"/>
          <w:szCs w:val="22"/>
        </w:rPr>
        <w:t xml:space="preserve"> or the three other highest paid</w:t>
      </w:r>
      <w:r w:rsidR="00616E0B">
        <w:rPr>
          <w:sz w:val="22"/>
          <w:szCs w:val="22"/>
        </w:rPr>
        <w:t xml:space="preserve"> in the organization also matter. </w:t>
      </w:r>
      <w:r w:rsidR="00FA1E38">
        <w:rPr>
          <w:sz w:val="22"/>
          <w:szCs w:val="22"/>
        </w:rPr>
        <w:t>The results found hold</w:t>
      </w:r>
      <w:r w:rsidR="00062055">
        <w:rPr>
          <w:sz w:val="22"/>
          <w:szCs w:val="22"/>
        </w:rPr>
        <w:t xml:space="preserve"> only for the banking sector, but cannot be generalized for other financial institutions. </w:t>
      </w:r>
      <w:r w:rsidR="00616E0B">
        <w:rPr>
          <w:sz w:val="22"/>
          <w:szCs w:val="22"/>
        </w:rPr>
        <w:t xml:space="preserve">In this study </w:t>
      </w:r>
      <w:r w:rsidR="00246E93">
        <w:rPr>
          <w:sz w:val="22"/>
          <w:szCs w:val="22"/>
        </w:rPr>
        <w:t>I haven’t taken regulation</w:t>
      </w:r>
      <w:r w:rsidR="00616E0B">
        <w:rPr>
          <w:sz w:val="22"/>
          <w:szCs w:val="22"/>
        </w:rPr>
        <w:t xml:space="preserve"> into account,</w:t>
      </w:r>
      <w:r w:rsidR="00246E93">
        <w:rPr>
          <w:sz w:val="22"/>
          <w:szCs w:val="22"/>
        </w:rPr>
        <w:t xml:space="preserve"> </w:t>
      </w:r>
      <w:r w:rsidR="00616E0B">
        <w:rPr>
          <w:sz w:val="22"/>
          <w:szCs w:val="22"/>
        </w:rPr>
        <w:t>which can be measured by the level of the capital ratio</w:t>
      </w:r>
      <w:r w:rsidR="00246E93">
        <w:rPr>
          <w:sz w:val="22"/>
          <w:szCs w:val="22"/>
        </w:rPr>
        <w:t xml:space="preserve">. </w:t>
      </w:r>
      <w:r w:rsidR="00616E0B">
        <w:rPr>
          <w:sz w:val="22"/>
          <w:szCs w:val="22"/>
        </w:rPr>
        <w:t>This is because lo</w:t>
      </w:r>
      <w:r w:rsidR="00246E93">
        <w:rPr>
          <w:sz w:val="22"/>
          <w:szCs w:val="22"/>
        </w:rPr>
        <w:t xml:space="preserve">w level capital ratio increases regulatory scrutiny and may have an altering effect on earnings management behavior in banks (Cheng et al. 2009). </w:t>
      </w:r>
      <w:r w:rsidR="00532F90">
        <w:rPr>
          <w:sz w:val="22"/>
          <w:szCs w:val="22"/>
        </w:rPr>
        <w:t xml:space="preserve">Future research could investigate what the effect is of regulatory scrutiny on CFO’s earnings management behavior. </w:t>
      </w:r>
      <w:r w:rsidR="00246E93">
        <w:rPr>
          <w:sz w:val="22"/>
          <w:szCs w:val="22"/>
        </w:rPr>
        <w:t xml:space="preserve">Furthermore, this research is limited by only testing earnings management using discretionary loan loss provisions. </w:t>
      </w:r>
      <w:r w:rsidR="003C07B6">
        <w:rPr>
          <w:sz w:val="22"/>
          <w:szCs w:val="22"/>
        </w:rPr>
        <w:t xml:space="preserve">Since executives are aware of punishment by missing the analyst’s expectations, </w:t>
      </w:r>
      <w:r w:rsidR="007C3B8A">
        <w:rPr>
          <w:sz w:val="22"/>
          <w:szCs w:val="22"/>
        </w:rPr>
        <w:t>managers</w:t>
      </w:r>
      <w:r w:rsidR="003C07B6">
        <w:rPr>
          <w:sz w:val="22"/>
          <w:szCs w:val="22"/>
        </w:rPr>
        <w:t xml:space="preserve"> </w:t>
      </w:r>
      <w:r w:rsidR="00616E0B">
        <w:rPr>
          <w:sz w:val="22"/>
          <w:szCs w:val="22"/>
        </w:rPr>
        <w:t xml:space="preserve">may </w:t>
      </w:r>
      <w:r w:rsidR="003C07B6">
        <w:rPr>
          <w:sz w:val="22"/>
          <w:szCs w:val="22"/>
        </w:rPr>
        <w:t xml:space="preserve">use earnings management to meet or beat earnings benchmarks. </w:t>
      </w:r>
      <w:r w:rsidR="00616E0B">
        <w:rPr>
          <w:sz w:val="22"/>
          <w:szCs w:val="22"/>
        </w:rPr>
        <w:t>A</w:t>
      </w:r>
      <w:r w:rsidR="00246E93">
        <w:rPr>
          <w:sz w:val="22"/>
          <w:szCs w:val="22"/>
        </w:rPr>
        <w:t xml:space="preserve">n additional way to test earnings management behavior in banks </w:t>
      </w:r>
      <w:r w:rsidR="007C3B8A">
        <w:rPr>
          <w:sz w:val="22"/>
          <w:szCs w:val="22"/>
        </w:rPr>
        <w:t>is</w:t>
      </w:r>
      <w:r w:rsidR="00616E0B">
        <w:rPr>
          <w:sz w:val="22"/>
          <w:szCs w:val="22"/>
        </w:rPr>
        <w:t xml:space="preserve"> therefore</w:t>
      </w:r>
      <w:r w:rsidR="00532F90">
        <w:rPr>
          <w:sz w:val="22"/>
          <w:szCs w:val="22"/>
        </w:rPr>
        <w:t xml:space="preserve"> </w:t>
      </w:r>
      <w:r w:rsidR="00246E93">
        <w:rPr>
          <w:sz w:val="22"/>
          <w:szCs w:val="22"/>
        </w:rPr>
        <w:t xml:space="preserve">the likelihood of </w:t>
      </w:r>
      <w:r w:rsidR="007C3B8A">
        <w:rPr>
          <w:sz w:val="22"/>
          <w:szCs w:val="22"/>
        </w:rPr>
        <w:t xml:space="preserve">meeting and </w:t>
      </w:r>
      <w:r w:rsidR="00246E93">
        <w:rPr>
          <w:sz w:val="22"/>
          <w:szCs w:val="22"/>
        </w:rPr>
        <w:t>beating analyst’s expectations.</w:t>
      </w:r>
      <w:r w:rsidR="00532F90">
        <w:rPr>
          <w:sz w:val="22"/>
          <w:szCs w:val="22"/>
        </w:rPr>
        <w:t xml:space="preserve"> </w:t>
      </w:r>
      <w:r w:rsidR="007C3B8A">
        <w:rPr>
          <w:sz w:val="22"/>
          <w:szCs w:val="22"/>
        </w:rPr>
        <w:t>Also, this study</w:t>
      </w:r>
      <w:r w:rsidR="003C07B6">
        <w:rPr>
          <w:sz w:val="22"/>
          <w:szCs w:val="22"/>
        </w:rPr>
        <w:t xml:space="preserve"> didn’t test </w:t>
      </w:r>
      <w:r w:rsidR="007C3B8A">
        <w:rPr>
          <w:sz w:val="22"/>
          <w:szCs w:val="22"/>
        </w:rPr>
        <w:t xml:space="preserve">whether high discretionary loan loss provisions coincide with </w:t>
      </w:r>
      <w:r w:rsidR="003C07B6">
        <w:rPr>
          <w:sz w:val="22"/>
          <w:szCs w:val="22"/>
        </w:rPr>
        <w:t>abnormal selling of option and shares</w:t>
      </w:r>
      <w:r w:rsidR="007C3B8A">
        <w:rPr>
          <w:sz w:val="22"/>
          <w:szCs w:val="22"/>
        </w:rPr>
        <w:t xml:space="preserve"> behavior</w:t>
      </w:r>
      <w:r w:rsidR="00616E0B">
        <w:rPr>
          <w:sz w:val="22"/>
          <w:szCs w:val="22"/>
        </w:rPr>
        <w:t xml:space="preserve"> in banks</w:t>
      </w:r>
      <w:r w:rsidR="00955201">
        <w:rPr>
          <w:sz w:val="22"/>
          <w:szCs w:val="22"/>
        </w:rPr>
        <w:t>. These are interesting suggestions to test for future research</w:t>
      </w:r>
      <w:r w:rsidR="00616E0B">
        <w:rPr>
          <w:sz w:val="22"/>
          <w:szCs w:val="22"/>
        </w:rPr>
        <w:t>.</w:t>
      </w:r>
    </w:p>
    <w:p w:rsidR="00C71EF3" w:rsidRDefault="00C71EF3" w:rsidP="002140F2">
      <w:pPr>
        <w:pStyle w:val="Kop1"/>
        <w:jc w:val="center"/>
        <w:rPr>
          <w:rFonts w:cs="Times New Roman"/>
          <w:szCs w:val="24"/>
        </w:rPr>
      </w:pPr>
      <w:bookmarkStart w:id="70" w:name="_Toc287614199"/>
      <w:r w:rsidRPr="002140F2">
        <w:rPr>
          <w:rFonts w:cs="Times New Roman"/>
          <w:szCs w:val="24"/>
        </w:rPr>
        <w:lastRenderedPageBreak/>
        <w:t>R</w:t>
      </w:r>
      <w:r w:rsidR="002140F2" w:rsidRPr="002140F2">
        <w:rPr>
          <w:rFonts w:cs="Times New Roman"/>
          <w:szCs w:val="24"/>
        </w:rPr>
        <w:t>EFERENCES</w:t>
      </w:r>
      <w:bookmarkEnd w:id="70"/>
    </w:p>
    <w:p w:rsidR="002140F2" w:rsidRPr="002140F2" w:rsidRDefault="002140F2" w:rsidP="002140F2"/>
    <w:p w:rsidR="00C71EF3" w:rsidRPr="002140F2" w:rsidRDefault="000023D7" w:rsidP="00E00FAF">
      <w:pPr>
        <w:spacing w:line="360" w:lineRule="auto"/>
        <w:ind w:left="454" w:hanging="454"/>
        <w:jc w:val="both"/>
        <w:rPr>
          <w:sz w:val="22"/>
          <w:szCs w:val="22"/>
        </w:rPr>
      </w:pPr>
      <w:r w:rsidRPr="002140F2">
        <w:rPr>
          <w:sz w:val="22"/>
          <w:szCs w:val="22"/>
        </w:rPr>
        <w:t xml:space="preserve">Adams, R. and H. </w:t>
      </w:r>
      <w:proofErr w:type="spellStart"/>
      <w:r w:rsidRPr="002140F2">
        <w:rPr>
          <w:sz w:val="22"/>
          <w:szCs w:val="22"/>
        </w:rPr>
        <w:t>Mehran</w:t>
      </w:r>
      <w:proofErr w:type="spellEnd"/>
      <w:r w:rsidRPr="002140F2">
        <w:rPr>
          <w:sz w:val="22"/>
          <w:szCs w:val="22"/>
        </w:rPr>
        <w:t>, 2003, Is corporate governance different for bank holding companies</w:t>
      </w:r>
      <w:proofErr w:type="gramStart"/>
      <w:r w:rsidRPr="002140F2">
        <w:rPr>
          <w:sz w:val="22"/>
          <w:szCs w:val="22"/>
        </w:rPr>
        <w:t>?,</w:t>
      </w:r>
      <w:proofErr w:type="gramEnd"/>
      <w:r w:rsidRPr="002140F2">
        <w:rPr>
          <w:sz w:val="22"/>
          <w:szCs w:val="22"/>
        </w:rPr>
        <w:t xml:space="preserve"> </w:t>
      </w:r>
      <w:r w:rsidRPr="002140F2">
        <w:rPr>
          <w:i/>
          <w:sz w:val="22"/>
          <w:szCs w:val="22"/>
        </w:rPr>
        <w:t>FRBNY Economic Policy Review</w:t>
      </w:r>
      <w:r w:rsidRPr="002140F2">
        <w:rPr>
          <w:sz w:val="22"/>
          <w:szCs w:val="22"/>
        </w:rPr>
        <w:t xml:space="preserve">, </w:t>
      </w:r>
      <w:proofErr w:type="spellStart"/>
      <w:r w:rsidRPr="002140F2">
        <w:rPr>
          <w:sz w:val="22"/>
          <w:szCs w:val="22"/>
        </w:rPr>
        <w:t>april</w:t>
      </w:r>
      <w:proofErr w:type="spellEnd"/>
      <w:r w:rsidRPr="002140F2">
        <w:rPr>
          <w:sz w:val="22"/>
          <w:szCs w:val="22"/>
        </w:rPr>
        <w:t>: 123-142</w:t>
      </w:r>
      <w:r w:rsidR="00E00FAF">
        <w:rPr>
          <w:sz w:val="22"/>
          <w:szCs w:val="22"/>
        </w:rPr>
        <w:t>.</w:t>
      </w:r>
    </w:p>
    <w:p w:rsidR="00D17412" w:rsidRPr="002140F2" w:rsidRDefault="00D17412" w:rsidP="00E00FAF">
      <w:pPr>
        <w:tabs>
          <w:tab w:val="left" w:pos="426"/>
        </w:tabs>
        <w:spacing w:line="360" w:lineRule="auto"/>
        <w:ind w:left="454" w:hanging="454"/>
        <w:jc w:val="both"/>
        <w:rPr>
          <w:sz w:val="22"/>
          <w:szCs w:val="22"/>
        </w:rPr>
      </w:pPr>
      <w:r w:rsidRPr="002140F2">
        <w:rPr>
          <w:sz w:val="22"/>
          <w:szCs w:val="22"/>
        </w:rPr>
        <w:t xml:space="preserve">Ahmed, A.S., C Takeda, and S. Thomas, 1999, Bank loan-loss provisions: A reexamination of capital management, earnings management, and signaling effects, </w:t>
      </w:r>
      <w:r w:rsidRPr="002140F2">
        <w:rPr>
          <w:i/>
          <w:sz w:val="22"/>
          <w:szCs w:val="22"/>
        </w:rPr>
        <w:t xml:space="preserve">Journal of Accounting and Economics, </w:t>
      </w:r>
      <w:r w:rsidRPr="002140F2">
        <w:rPr>
          <w:sz w:val="22"/>
          <w:szCs w:val="22"/>
        </w:rPr>
        <w:t>vol. 28: 1-25.</w:t>
      </w:r>
    </w:p>
    <w:p w:rsidR="00034FF4" w:rsidRDefault="00034FF4" w:rsidP="00E00FAF">
      <w:pPr>
        <w:tabs>
          <w:tab w:val="left" w:pos="426"/>
        </w:tabs>
        <w:spacing w:line="360" w:lineRule="auto"/>
        <w:ind w:left="454" w:hanging="454"/>
        <w:jc w:val="both"/>
        <w:rPr>
          <w:sz w:val="22"/>
          <w:szCs w:val="22"/>
        </w:rPr>
      </w:pPr>
      <w:proofErr w:type="gramStart"/>
      <w:r>
        <w:rPr>
          <w:sz w:val="22"/>
          <w:szCs w:val="22"/>
        </w:rPr>
        <w:t xml:space="preserve">Ahmed, A.S., </w:t>
      </w:r>
      <w:proofErr w:type="spellStart"/>
      <w:r>
        <w:rPr>
          <w:sz w:val="22"/>
          <w:szCs w:val="22"/>
        </w:rPr>
        <w:t>Duellman</w:t>
      </w:r>
      <w:proofErr w:type="spellEnd"/>
      <w:r>
        <w:rPr>
          <w:sz w:val="22"/>
          <w:szCs w:val="22"/>
        </w:rPr>
        <w:t xml:space="preserve">, </w:t>
      </w:r>
      <w:proofErr w:type="spellStart"/>
      <w:r>
        <w:rPr>
          <w:sz w:val="22"/>
          <w:szCs w:val="22"/>
        </w:rPr>
        <w:t>S.and</w:t>
      </w:r>
      <w:proofErr w:type="spellEnd"/>
      <w:r>
        <w:rPr>
          <w:sz w:val="22"/>
          <w:szCs w:val="22"/>
        </w:rPr>
        <w:t xml:space="preserve"> A. Abdel-</w:t>
      </w:r>
      <w:proofErr w:type="spellStart"/>
      <w:r>
        <w:rPr>
          <w:sz w:val="22"/>
          <w:szCs w:val="22"/>
        </w:rPr>
        <w:t>Meguid</w:t>
      </w:r>
      <w:proofErr w:type="spellEnd"/>
      <w:r>
        <w:rPr>
          <w:sz w:val="22"/>
          <w:szCs w:val="22"/>
        </w:rPr>
        <w:t>,</w:t>
      </w:r>
      <w:r w:rsidR="003363CB">
        <w:rPr>
          <w:sz w:val="22"/>
          <w:szCs w:val="22"/>
        </w:rPr>
        <w:t xml:space="preserve"> 2008,</w:t>
      </w:r>
      <w:r>
        <w:rPr>
          <w:sz w:val="22"/>
          <w:szCs w:val="22"/>
        </w:rPr>
        <w:t xml:space="preserve"> Equity incentives, corporate governance, and</w:t>
      </w:r>
      <w:r w:rsidR="00E00FAF">
        <w:rPr>
          <w:sz w:val="22"/>
          <w:szCs w:val="22"/>
        </w:rPr>
        <w:t xml:space="preserve"> </w:t>
      </w:r>
      <w:r>
        <w:rPr>
          <w:sz w:val="22"/>
          <w:szCs w:val="22"/>
        </w:rPr>
        <w:t xml:space="preserve">earnings management, </w:t>
      </w:r>
      <w:r w:rsidR="003363CB" w:rsidRPr="003363CB">
        <w:rPr>
          <w:i/>
          <w:sz w:val="22"/>
          <w:szCs w:val="22"/>
        </w:rPr>
        <w:t>Working paper</w:t>
      </w:r>
      <w:r w:rsidR="003363CB">
        <w:rPr>
          <w:sz w:val="22"/>
          <w:szCs w:val="22"/>
        </w:rPr>
        <w:t>.</w:t>
      </w:r>
      <w:proofErr w:type="gramEnd"/>
    </w:p>
    <w:p w:rsidR="00415D9E" w:rsidRDefault="000238D2" w:rsidP="00E00FAF">
      <w:pPr>
        <w:tabs>
          <w:tab w:val="left" w:pos="426"/>
        </w:tabs>
        <w:spacing w:line="360" w:lineRule="auto"/>
        <w:ind w:left="454" w:hanging="454"/>
        <w:jc w:val="both"/>
        <w:rPr>
          <w:sz w:val="22"/>
          <w:szCs w:val="22"/>
        </w:rPr>
      </w:pPr>
      <w:proofErr w:type="spellStart"/>
      <w:r>
        <w:rPr>
          <w:sz w:val="22"/>
          <w:szCs w:val="22"/>
        </w:rPr>
        <w:t>Aier</w:t>
      </w:r>
      <w:proofErr w:type="spellEnd"/>
      <w:r>
        <w:rPr>
          <w:sz w:val="22"/>
          <w:szCs w:val="22"/>
        </w:rPr>
        <w:t xml:space="preserve">, J.K., </w:t>
      </w:r>
      <w:proofErr w:type="spellStart"/>
      <w:r>
        <w:rPr>
          <w:sz w:val="22"/>
          <w:szCs w:val="22"/>
        </w:rPr>
        <w:t>Comprix</w:t>
      </w:r>
      <w:proofErr w:type="spellEnd"/>
      <w:r>
        <w:rPr>
          <w:sz w:val="22"/>
          <w:szCs w:val="22"/>
        </w:rPr>
        <w:t>, J., Gunlock,</w:t>
      </w:r>
      <w:r w:rsidR="00415D9E">
        <w:rPr>
          <w:sz w:val="22"/>
          <w:szCs w:val="22"/>
        </w:rPr>
        <w:t xml:space="preserve"> M.T.</w:t>
      </w:r>
      <w:r>
        <w:rPr>
          <w:sz w:val="22"/>
          <w:szCs w:val="22"/>
        </w:rPr>
        <w:t xml:space="preserve"> and D. Lee, 2005, </w:t>
      </w:r>
      <w:proofErr w:type="gramStart"/>
      <w:r>
        <w:rPr>
          <w:sz w:val="22"/>
          <w:szCs w:val="22"/>
        </w:rPr>
        <w:t>The</w:t>
      </w:r>
      <w:proofErr w:type="gramEnd"/>
      <w:r>
        <w:rPr>
          <w:sz w:val="22"/>
          <w:szCs w:val="22"/>
        </w:rPr>
        <w:t xml:space="preserve"> Financial Expertise of CFOs and Accounting Restatements, Accounting Horizons, Vol. 19, No. 3: 123-135.</w:t>
      </w:r>
    </w:p>
    <w:p w:rsidR="009D36A6" w:rsidRPr="002B0847" w:rsidRDefault="009D36A6" w:rsidP="00E00FAF">
      <w:pPr>
        <w:spacing w:line="360" w:lineRule="auto"/>
        <w:ind w:left="454" w:hanging="454"/>
        <w:jc w:val="both"/>
        <w:rPr>
          <w:sz w:val="22"/>
          <w:szCs w:val="22"/>
        </w:rPr>
      </w:pPr>
      <w:proofErr w:type="spellStart"/>
      <w:r w:rsidRPr="002B0847">
        <w:rPr>
          <w:sz w:val="22"/>
          <w:szCs w:val="22"/>
        </w:rPr>
        <w:t>Anandarajan</w:t>
      </w:r>
      <w:proofErr w:type="spellEnd"/>
      <w:r w:rsidRPr="002B0847">
        <w:rPr>
          <w:sz w:val="22"/>
          <w:szCs w:val="22"/>
        </w:rPr>
        <w:t xml:space="preserve">, A., </w:t>
      </w:r>
      <w:proofErr w:type="spellStart"/>
      <w:r w:rsidRPr="002B0847">
        <w:rPr>
          <w:sz w:val="22"/>
          <w:szCs w:val="22"/>
        </w:rPr>
        <w:t>Hasan</w:t>
      </w:r>
      <w:proofErr w:type="spellEnd"/>
      <w:r w:rsidRPr="002B0847">
        <w:rPr>
          <w:sz w:val="22"/>
          <w:szCs w:val="22"/>
        </w:rPr>
        <w:t xml:space="preserve">, I. and C. McCarthy, 2007, Use of loan loss provisions for capital, earnings management and signaling by Australian banks, </w:t>
      </w:r>
      <w:r w:rsidRPr="002B0847">
        <w:rPr>
          <w:i/>
          <w:iCs/>
          <w:sz w:val="22"/>
          <w:szCs w:val="22"/>
        </w:rPr>
        <w:t>Accounting and Finance</w:t>
      </w:r>
      <w:r w:rsidRPr="002B0847">
        <w:rPr>
          <w:sz w:val="22"/>
          <w:szCs w:val="22"/>
        </w:rPr>
        <w:t>, vol. 47: 357–379.</w:t>
      </w:r>
    </w:p>
    <w:p w:rsidR="00D17412" w:rsidRPr="002B0847" w:rsidRDefault="00D17412" w:rsidP="00E00FAF">
      <w:pPr>
        <w:spacing w:line="360" w:lineRule="auto"/>
        <w:ind w:left="454" w:hanging="454"/>
        <w:jc w:val="both"/>
        <w:rPr>
          <w:color w:val="000000"/>
          <w:sz w:val="22"/>
          <w:szCs w:val="22"/>
        </w:rPr>
      </w:pPr>
      <w:r w:rsidRPr="002B0847">
        <w:rPr>
          <w:color w:val="000000"/>
          <w:sz w:val="22"/>
          <w:szCs w:val="22"/>
        </w:rPr>
        <w:t xml:space="preserve">Beatty, A., Chamberlain, S.L. and J. </w:t>
      </w:r>
      <w:proofErr w:type="spellStart"/>
      <w:r w:rsidRPr="002B0847">
        <w:rPr>
          <w:color w:val="000000"/>
          <w:sz w:val="22"/>
          <w:szCs w:val="22"/>
        </w:rPr>
        <w:t>Magliolo</w:t>
      </w:r>
      <w:proofErr w:type="spellEnd"/>
      <w:r w:rsidRPr="002B0847">
        <w:rPr>
          <w:color w:val="000000"/>
          <w:sz w:val="22"/>
          <w:szCs w:val="22"/>
        </w:rPr>
        <w:t xml:space="preserve">, 1995, Managing Financial Reports of Commercial Banks: The Influence of Taxes, Regulatory Capital, and Earnings, </w:t>
      </w:r>
      <w:r w:rsidRPr="002B0847">
        <w:rPr>
          <w:i/>
          <w:iCs/>
          <w:color w:val="000000"/>
          <w:sz w:val="22"/>
          <w:szCs w:val="22"/>
        </w:rPr>
        <w:t>Journal of Accounting Research</w:t>
      </w:r>
      <w:r w:rsidRPr="002B0847">
        <w:rPr>
          <w:color w:val="000000"/>
          <w:sz w:val="22"/>
          <w:szCs w:val="22"/>
        </w:rPr>
        <w:t xml:space="preserve">, vol. 33, </w:t>
      </w:r>
      <w:proofErr w:type="gramStart"/>
      <w:r w:rsidRPr="002B0847">
        <w:rPr>
          <w:color w:val="000000"/>
          <w:sz w:val="22"/>
          <w:szCs w:val="22"/>
        </w:rPr>
        <w:t>no</w:t>
      </w:r>
      <w:proofErr w:type="gramEnd"/>
      <w:r w:rsidRPr="002B0847">
        <w:rPr>
          <w:color w:val="000000"/>
          <w:sz w:val="22"/>
          <w:szCs w:val="22"/>
        </w:rPr>
        <w:t>. 2: 231-261.</w:t>
      </w:r>
    </w:p>
    <w:p w:rsidR="002F67CD" w:rsidRPr="002B0847" w:rsidRDefault="002F67CD" w:rsidP="00E00FAF">
      <w:pPr>
        <w:pStyle w:val="Plattetekstinspringen"/>
        <w:ind w:left="454" w:hanging="454"/>
        <w:rPr>
          <w:sz w:val="22"/>
          <w:szCs w:val="22"/>
          <w:lang w:val="en-GB"/>
        </w:rPr>
      </w:pPr>
      <w:r w:rsidRPr="002B0847">
        <w:rPr>
          <w:sz w:val="22"/>
          <w:szCs w:val="22"/>
          <w:lang w:val="en-GB"/>
        </w:rPr>
        <w:t xml:space="preserve">Beatty, A. and D., Harris, 1999, </w:t>
      </w:r>
      <w:proofErr w:type="gramStart"/>
      <w:r w:rsidRPr="002B0847">
        <w:rPr>
          <w:sz w:val="22"/>
          <w:szCs w:val="22"/>
          <w:lang w:val="en-GB"/>
        </w:rPr>
        <w:t>The</w:t>
      </w:r>
      <w:proofErr w:type="gramEnd"/>
      <w:r w:rsidRPr="002B0847">
        <w:rPr>
          <w:sz w:val="22"/>
          <w:szCs w:val="22"/>
          <w:lang w:val="en-GB"/>
        </w:rPr>
        <w:t xml:space="preserve"> effects of taxes, agency costs and information asymmetry on earnings </w:t>
      </w:r>
      <w:r w:rsidR="009D36A6" w:rsidRPr="002B0847">
        <w:rPr>
          <w:sz w:val="22"/>
          <w:szCs w:val="22"/>
          <w:lang w:val="en-GB"/>
        </w:rPr>
        <w:t>management:</w:t>
      </w:r>
      <w:r w:rsidRPr="002B0847">
        <w:rPr>
          <w:sz w:val="22"/>
          <w:szCs w:val="22"/>
          <w:lang w:val="en-GB"/>
        </w:rPr>
        <w:t xml:space="preserve"> A comparison of public and private firms, </w:t>
      </w:r>
      <w:r w:rsidRPr="002B0847">
        <w:rPr>
          <w:i/>
          <w:iCs/>
          <w:sz w:val="22"/>
          <w:szCs w:val="22"/>
          <w:lang w:val="en-GB"/>
        </w:rPr>
        <w:t>Review of Accounting Studies</w:t>
      </w:r>
      <w:r w:rsidRPr="002B0847">
        <w:rPr>
          <w:sz w:val="22"/>
          <w:szCs w:val="22"/>
          <w:lang w:val="en-GB"/>
        </w:rPr>
        <w:t>, Vol. 4: 299–326.</w:t>
      </w:r>
    </w:p>
    <w:p w:rsidR="00EE304F" w:rsidRPr="002B0847" w:rsidRDefault="00EE304F" w:rsidP="00E00FAF">
      <w:pPr>
        <w:spacing w:line="360" w:lineRule="auto"/>
        <w:ind w:left="454" w:hanging="454"/>
        <w:jc w:val="both"/>
        <w:rPr>
          <w:color w:val="000000"/>
          <w:sz w:val="22"/>
          <w:szCs w:val="22"/>
        </w:rPr>
      </w:pPr>
      <w:r w:rsidRPr="002B0847">
        <w:rPr>
          <w:color w:val="000000"/>
          <w:sz w:val="22"/>
          <w:szCs w:val="22"/>
        </w:rPr>
        <w:t xml:space="preserve">Beaver, W.H. and E.E. Engel, 1996, Discretionary behavior with respect to allowances for loan losses and the behavior of security prices, </w:t>
      </w:r>
      <w:r w:rsidRPr="002B0847">
        <w:rPr>
          <w:i/>
          <w:iCs/>
          <w:color w:val="000000"/>
          <w:sz w:val="22"/>
          <w:szCs w:val="22"/>
        </w:rPr>
        <w:t>Journal of Accounting and Economics</w:t>
      </w:r>
      <w:r w:rsidRPr="002B0847">
        <w:rPr>
          <w:color w:val="000000"/>
          <w:sz w:val="22"/>
          <w:szCs w:val="22"/>
        </w:rPr>
        <w:t>, vol. 22: 177-206.</w:t>
      </w:r>
    </w:p>
    <w:p w:rsidR="007917E5" w:rsidRPr="007917E5" w:rsidRDefault="007917E5" w:rsidP="00E00FAF">
      <w:pPr>
        <w:autoSpaceDE w:val="0"/>
        <w:autoSpaceDN w:val="0"/>
        <w:adjustRightInd w:val="0"/>
        <w:spacing w:line="360" w:lineRule="auto"/>
        <w:ind w:left="454" w:hanging="454"/>
        <w:jc w:val="both"/>
        <w:rPr>
          <w:color w:val="000000"/>
          <w:sz w:val="22"/>
          <w:szCs w:val="22"/>
        </w:rPr>
      </w:pPr>
      <w:proofErr w:type="spellStart"/>
      <w:r w:rsidRPr="007917E5">
        <w:rPr>
          <w:color w:val="000000"/>
          <w:sz w:val="22"/>
          <w:szCs w:val="22"/>
        </w:rPr>
        <w:t>Becher</w:t>
      </w:r>
      <w:proofErr w:type="spellEnd"/>
      <w:r w:rsidRPr="007917E5">
        <w:rPr>
          <w:color w:val="000000"/>
          <w:sz w:val="22"/>
          <w:szCs w:val="22"/>
        </w:rPr>
        <w:t xml:space="preserve">, D.A., </w:t>
      </w:r>
      <w:proofErr w:type="spellStart"/>
      <w:r w:rsidRPr="007917E5">
        <w:rPr>
          <w:color w:val="000000"/>
          <w:sz w:val="22"/>
          <w:szCs w:val="22"/>
        </w:rPr>
        <w:t>Campell</w:t>
      </w:r>
      <w:proofErr w:type="spellEnd"/>
      <w:r w:rsidRPr="007917E5">
        <w:rPr>
          <w:color w:val="000000"/>
          <w:sz w:val="22"/>
          <w:szCs w:val="22"/>
        </w:rPr>
        <w:t xml:space="preserve"> II, T.L. and M.B. Frye, 2005, </w:t>
      </w:r>
      <w:r w:rsidRPr="007917E5">
        <w:rPr>
          <w:sz w:val="22"/>
          <w:szCs w:val="22"/>
        </w:rPr>
        <w:t xml:space="preserve">Incentive Compensation for Bank Directors: The Impact of Deregulation, </w:t>
      </w:r>
      <w:proofErr w:type="gramStart"/>
      <w:r w:rsidRPr="007917E5">
        <w:rPr>
          <w:i/>
          <w:sz w:val="22"/>
          <w:szCs w:val="22"/>
        </w:rPr>
        <w:t>The</w:t>
      </w:r>
      <w:proofErr w:type="gramEnd"/>
      <w:r w:rsidRPr="007917E5">
        <w:rPr>
          <w:i/>
          <w:sz w:val="22"/>
          <w:szCs w:val="22"/>
        </w:rPr>
        <w:t xml:space="preserve"> Journal of Business</w:t>
      </w:r>
      <w:r w:rsidRPr="007917E5">
        <w:rPr>
          <w:sz w:val="22"/>
          <w:szCs w:val="22"/>
        </w:rPr>
        <w:t>, vol. 78, No. 5: 1753-1778</w:t>
      </w:r>
    </w:p>
    <w:p w:rsidR="00D17412" w:rsidRPr="002B0847" w:rsidRDefault="00D17412" w:rsidP="00E00FAF">
      <w:pPr>
        <w:spacing w:line="360" w:lineRule="auto"/>
        <w:ind w:left="454" w:hanging="454"/>
        <w:jc w:val="both"/>
        <w:rPr>
          <w:sz w:val="22"/>
          <w:szCs w:val="22"/>
        </w:rPr>
      </w:pPr>
      <w:proofErr w:type="spellStart"/>
      <w:proofErr w:type="gramStart"/>
      <w:r w:rsidRPr="002B0847">
        <w:rPr>
          <w:sz w:val="22"/>
          <w:szCs w:val="22"/>
        </w:rPr>
        <w:t>Bergstresser</w:t>
      </w:r>
      <w:proofErr w:type="spellEnd"/>
      <w:r w:rsidRPr="002B0847">
        <w:rPr>
          <w:sz w:val="22"/>
          <w:szCs w:val="22"/>
        </w:rPr>
        <w:t xml:space="preserve">, D. and T. </w:t>
      </w:r>
      <w:proofErr w:type="spellStart"/>
      <w:r w:rsidRPr="002B0847">
        <w:rPr>
          <w:sz w:val="22"/>
          <w:szCs w:val="22"/>
        </w:rPr>
        <w:t>Philippon</w:t>
      </w:r>
      <w:proofErr w:type="spellEnd"/>
      <w:r w:rsidRPr="002B0847">
        <w:rPr>
          <w:sz w:val="22"/>
          <w:szCs w:val="22"/>
        </w:rPr>
        <w:t>, 2006, CEO incentives and earnings management</w:t>
      </w:r>
      <w:r w:rsidRPr="002B0847">
        <w:rPr>
          <w:i/>
          <w:sz w:val="22"/>
          <w:szCs w:val="22"/>
        </w:rPr>
        <w:t xml:space="preserve">, Journal of Financial Economics, </w:t>
      </w:r>
      <w:r w:rsidRPr="002B0847">
        <w:rPr>
          <w:sz w:val="22"/>
          <w:szCs w:val="22"/>
        </w:rPr>
        <w:t>vol. 80: 511-529.</w:t>
      </w:r>
      <w:proofErr w:type="gramEnd"/>
    </w:p>
    <w:p w:rsidR="00CA03D9" w:rsidRPr="002B0847" w:rsidRDefault="00CA03D9" w:rsidP="00E00FAF">
      <w:pPr>
        <w:autoSpaceDE w:val="0"/>
        <w:autoSpaceDN w:val="0"/>
        <w:adjustRightInd w:val="0"/>
        <w:spacing w:line="360" w:lineRule="auto"/>
        <w:ind w:left="454" w:hanging="454"/>
        <w:jc w:val="both"/>
        <w:rPr>
          <w:sz w:val="22"/>
          <w:szCs w:val="22"/>
        </w:rPr>
      </w:pPr>
      <w:proofErr w:type="spellStart"/>
      <w:r w:rsidRPr="002B0847">
        <w:rPr>
          <w:sz w:val="22"/>
          <w:szCs w:val="22"/>
        </w:rPr>
        <w:t>Broshko</w:t>
      </w:r>
      <w:proofErr w:type="spellEnd"/>
      <w:r w:rsidRPr="002B0847">
        <w:rPr>
          <w:sz w:val="22"/>
          <w:szCs w:val="22"/>
        </w:rPr>
        <w:t xml:space="preserve">, E.B. and K. Li, 2006, </w:t>
      </w:r>
      <w:r w:rsidRPr="002B0847">
        <w:rPr>
          <w:bCs/>
          <w:sz w:val="22"/>
          <w:szCs w:val="22"/>
        </w:rPr>
        <w:t xml:space="preserve">Corporate Governance Requirements in Canada and the United States: </w:t>
      </w:r>
      <w:r w:rsidRPr="002B0847">
        <w:rPr>
          <w:bCs/>
          <w:iCs/>
          <w:sz w:val="22"/>
          <w:szCs w:val="22"/>
        </w:rPr>
        <w:t>A Legal and Empirical Comparison of the Principles-based and Rules-based Approaches</w:t>
      </w:r>
      <w:r w:rsidRPr="002B0847">
        <w:rPr>
          <w:bCs/>
          <w:i/>
          <w:iCs/>
          <w:sz w:val="22"/>
          <w:szCs w:val="22"/>
        </w:rPr>
        <w:t xml:space="preserve">, </w:t>
      </w:r>
      <w:r w:rsidRPr="002B0847">
        <w:rPr>
          <w:i/>
          <w:iCs/>
          <w:sz w:val="22"/>
          <w:szCs w:val="22"/>
        </w:rPr>
        <w:t>Canadian Investment Review forthcoming</w:t>
      </w:r>
      <w:r w:rsidRPr="002B0847">
        <w:rPr>
          <w:iCs/>
          <w:sz w:val="22"/>
          <w:szCs w:val="22"/>
        </w:rPr>
        <w:t>, p.1-19.</w:t>
      </w:r>
    </w:p>
    <w:p w:rsidR="00D17412" w:rsidRPr="002B0847" w:rsidRDefault="00D17412" w:rsidP="00E00FAF">
      <w:pPr>
        <w:autoSpaceDE w:val="0"/>
        <w:autoSpaceDN w:val="0"/>
        <w:adjustRightInd w:val="0"/>
        <w:spacing w:line="360" w:lineRule="auto"/>
        <w:ind w:left="454" w:hanging="454"/>
        <w:jc w:val="both"/>
        <w:rPr>
          <w:sz w:val="22"/>
          <w:szCs w:val="22"/>
        </w:rPr>
      </w:pPr>
      <w:proofErr w:type="spellStart"/>
      <w:r w:rsidRPr="002B0847">
        <w:rPr>
          <w:rFonts w:eastAsiaTheme="minorHAnsi"/>
          <w:sz w:val="22"/>
          <w:szCs w:val="22"/>
          <w:lang w:eastAsia="en-US"/>
        </w:rPr>
        <w:t>Burgstahler</w:t>
      </w:r>
      <w:proofErr w:type="spellEnd"/>
      <w:r w:rsidRPr="002B0847">
        <w:rPr>
          <w:rFonts w:eastAsiaTheme="minorHAnsi"/>
          <w:sz w:val="22"/>
          <w:szCs w:val="22"/>
          <w:lang w:eastAsia="en-US"/>
        </w:rPr>
        <w:t xml:space="preserve">, D.C., and M.J. Eames, 2003, Earnings management to avoid losses and earnings decreases: Are analysts fooled? </w:t>
      </w:r>
      <w:r w:rsidRPr="002B0847">
        <w:rPr>
          <w:rFonts w:eastAsiaTheme="minorHAnsi"/>
          <w:i/>
          <w:iCs/>
          <w:sz w:val="22"/>
          <w:szCs w:val="22"/>
          <w:lang w:eastAsia="en-US"/>
        </w:rPr>
        <w:t xml:space="preserve">Contemporary Accounting Research, vol. </w:t>
      </w:r>
      <w:r w:rsidRPr="002B0847">
        <w:rPr>
          <w:rFonts w:eastAsiaTheme="minorHAnsi"/>
          <w:sz w:val="22"/>
          <w:szCs w:val="22"/>
          <w:lang w:eastAsia="en-US"/>
        </w:rPr>
        <w:t>20, no. 2: 253-294.</w:t>
      </w:r>
    </w:p>
    <w:p w:rsidR="00E00FAF" w:rsidRDefault="00D17412" w:rsidP="00E00FAF">
      <w:pPr>
        <w:spacing w:line="360" w:lineRule="auto"/>
        <w:ind w:left="454" w:hanging="454"/>
        <w:jc w:val="both"/>
        <w:rPr>
          <w:sz w:val="22"/>
          <w:szCs w:val="22"/>
        </w:rPr>
      </w:pPr>
      <w:r w:rsidRPr="002B0847">
        <w:rPr>
          <w:sz w:val="22"/>
          <w:szCs w:val="22"/>
        </w:rPr>
        <w:t xml:space="preserve">Cheng, Q. and T.D. Warfield, 2005, Equity Incentives and Earnings Management, </w:t>
      </w:r>
      <w:r w:rsidRPr="002B0847">
        <w:rPr>
          <w:i/>
          <w:sz w:val="22"/>
          <w:szCs w:val="22"/>
        </w:rPr>
        <w:t>The Accounting Review</w:t>
      </w:r>
      <w:r w:rsidRPr="002B0847">
        <w:rPr>
          <w:sz w:val="22"/>
          <w:szCs w:val="22"/>
        </w:rPr>
        <w:t>, vol. 80, no.2: 441-476.</w:t>
      </w:r>
    </w:p>
    <w:p w:rsidR="00E00FAF" w:rsidRDefault="00D17412" w:rsidP="00E00FAF">
      <w:pPr>
        <w:spacing w:line="360" w:lineRule="auto"/>
        <w:ind w:left="454" w:hanging="454"/>
        <w:jc w:val="both"/>
        <w:rPr>
          <w:sz w:val="22"/>
          <w:szCs w:val="22"/>
        </w:rPr>
      </w:pPr>
      <w:r w:rsidRPr="002B0847">
        <w:rPr>
          <w:sz w:val="22"/>
          <w:szCs w:val="22"/>
        </w:rPr>
        <w:t xml:space="preserve">Cheng, Q., Warfield, T.D. and M. Ye, 2009, Equity Incentives and Earnings Management: Evidence from a Regulated Industry, Working Paper, </w:t>
      </w:r>
      <w:proofErr w:type="gramStart"/>
      <w:r w:rsidRPr="002B0847">
        <w:rPr>
          <w:i/>
          <w:sz w:val="22"/>
          <w:szCs w:val="22"/>
        </w:rPr>
        <w:t>CAAA</w:t>
      </w:r>
      <w:proofErr w:type="gramEnd"/>
      <w:r w:rsidRPr="002B0847">
        <w:rPr>
          <w:i/>
          <w:sz w:val="22"/>
          <w:szCs w:val="22"/>
        </w:rPr>
        <w:t xml:space="preserve"> Annual Conference 2009 Paper</w:t>
      </w:r>
      <w:r w:rsidR="00E00FAF">
        <w:rPr>
          <w:sz w:val="22"/>
          <w:szCs w:val="22"/>
        </w:rPr>
        <w:t>.</w:t>
      </w:r>
    </w:p>
    <w:p w:rsidR="00E00FAF" w:rsidRDefault="00D17412" w:rsidP="00E00FAF">
      <w:pPr>
        <w:spacing w:line="360" w:lineRule="auto"/>
        <w:ind w:left="454" w:hanging="454"/>
        <w:jc w:val="both"/>
        <w:rPr>
          <w:sz w:val="22"/>
          <w:szCs w:val="22"/>
        </w:rPr>
      </w:pPr>
      <w:proofErr w:type="gramStart"/>
      <w:r w:rsidRPr="002B0847">
        <w:rPr>
          <w:sz w:val="22"/>
          <w:szCs w:val="22"/>
        </w:rPr>
        <w:t xml:space="preserve">Cohen, D., </w:t>
      </w:r>
      <w:proofErr w:type="spellStart"/>
      <w:r w:rsidRPr="002B0847">
        <w:rPr>
          <w:sz w:val="22"/>
          <w:szCs w:val="22"/>
        </w:rPr>
        <w:t>Dey</w:t>
      </w:r>
      <w:proofErr w:type="spellEnd"/>
      <w:r w:rsidRPr="002B0847">
        <w:rPr>
          <w:sz w:val="22"/>
          <w:szCs w:val="22"/>
        </w:rPr>
        <w:t xml:space="preserve">, A. and T. Lys, 2008, Real and accrual-based earnings management in the pre- and post-Sarbanes Oxley periods, </w:t>
      </w:r>
      <w:r w:rsidRPr="002B0847">
        <w:rPr>
          <w:i/>
          <w:sz w:val="22"/>
          <w:szCs w:val="22"/>
        </w:rPr>
        <w:t>The Accounting Review</w:t>
      </w:r>
      <w:r w:rsidRPr="002B0847">
        <w:rPr>
          <w:sz w:val="22"/>
          <w:szCs w:val="22"/>
        </w:rPr>
        <w:t>, vol. 83: 757–787.</w:t>
      </w:r>
      <w:proofErr w:type="gramEnd"/>
    </w:p>
    <w:p w:rsidR="00E00FAF" w:rsidRDefault="00D17412" w:rsidP="00E00FAF">
      <w:pPr>
        <w:spacing w:line="360" w:lineRule="auto"/>
        <w:ind w:left="454" w:hanging="454"/>
        <w:jc w:val="both"/>
        <w:rPr>
          <w:sz w:val="22"/>
          <w:szCs w:val="22"/>
        </w:rPr>
      </w:pPr>
      <w:r w:rsidRPr="002B0847">
        <w:rPr>
          <w:sz w:val="22"/>
          <w:szCs w:val="22"/>
        </w:rPr>
        <w:lastRenderedPageBreak/>
        <w:t xml:space="preserve">Cornett, M.M., Marcus, A.J. and H. </w:t>
      </w:r>
      <w:proofErr w:type="spellStart"/>
      <w:r w:rsidRPr="002B0847">
        <w:rPr>
          <w:sz w:val="22"/>
          <w:szCs w:val="22"/>
        </w:rPr>
        <w:t>Tehranian</w:t>
      </w:r>
      <w:proofErr w:type="spellEnd"/>
      <w:r w:rsidRPr="002B0847">
        <w:rPr>
          <w:sz w:val="22"/>
          <w:szCs w:val="22"/>
        </w:rPr>
        <w:t xml:space="preserve">, 2008, </w:t>
      </w:r>
      <w:proofErr w:type="gramStart"/>
      <w:r w:rsidRPr="002B0847">
        <w:rPr>
          <w:sz w:val="22"/>
          <w:szCs w:val="22"/>
        </w:rPr>
        <w:t>Corporate</w:t>
      </w:r>
      <w:proofErr w:type="gramEnd"/>
      <w:r w:rsidRPr="002B0847">
        <w:rPr>
          <w:sz w:val="22"/>
          <w:szCs w:val="22"/>
        </w:rPr>
        <w:t xml:space="preserve"> governance and pay-for-performance: The impact of earnings management</w:t>
      </w:r>
      <w:r w:rsidRPr="002B0847">
        <w:rPr>
          <w:i/>
          <w:sz w:val="22"/>
          <w:szCs w:val="22"/>
        </w:rPr>
        <w:t>, Journal of Financial Economics</w:t>
      </w:r>
      <w:r w:rsidRPr="002B0847">
        <w:rPr>
          <w:sz w:val="22"/>
          <w:szCs w:val="22"/>
        </w:rPr>
        <w:t>, vol. 87: 357-373.</w:t>
      </w:r>
    </w:p>
    <w:p w:rsidR="00360DF6" w:rsidRDefault="00FE5FDF" w:rsidP="00E00FAF">
      <w:pPr>
        <w:spacing w:line="360" w:lineRule="auto"/>
        <w:ind w:left="454" w:hanging="454"/>
        <w:jc w:val="both"/>
        <w:rPr>
          <w:sz w:val="22"/>
          <w:szCs w:val="22"/>
        </w:rPr>
      </w:pPr>
      <w:r w:rsidRPr="002B0847">
        <w:rPr>
          <w:sz w:val="22"/>
          <w:szCs w:val="22"/>
        </w:rPr>
        <w:t xml:space="preserve">Cornett, M.M., McNutt, J.J. and H. </w:t>
      </w:r>
      <w:proofErr w:type="spellStart"/>
      <w:r w:rsidRPr="002B0847">
        <w:rPr>
          <w:sz w:val="22"/>
          <w:szCs w:val="22"/>
        </w:rPr>
        <w:t>Tehranian</w:t>
      </w:r>
      <w:proofErr w:type="spellEnd"/>
      <w:r w:rsidRPr="002B0847">
        <w:rPr>
          <w:sz w:val="22"/>
          <w:szCs w:val="22"/>
        </w:rPr>
        <w:t>, 2009, Corporate governance and earnings management at large U.S. bank holding companies</w:t>
      </w:r>
      <w:r w:rsidRPr="002B0847">
        <w:rPr>
          <w:i/>
          <w:sz w:val="22"/>
          <w:szCs w:val="22"/>
        </w:rPr>
        <w:t>, Journal of Corporate Finance</w:t>
      </w:r>
      <w:r w:rsidRPr="002B0847">
        <w:rPr>
          <w:sz w:val="22"/>
          <w:szCs w:val="22"/>
        </w:rPr>
        <w:t>, vol</w:t>
      </w:r>
      <w:r w:rsidR="00D40663" w:rsidRPr="002B0847">
        <w:rPr>
          <w:sz w:val="22"/>
          <w:szCs w:val="22"/>
        </w:rPr>
        <w:t>.</w:t>
      </w:r>
      <w:r w:rsidRPr="002B0847">
        <w:rPr>
          <w:sz w:val="22"/>
          <w:szCs w:val="22"/>
        </w:rPr>
        <w:t xml:space="preserve"> 15: 412-430</w:t>
      </w:r>
      <w:r w:rsidR="00360DF6">
        <w:rPr>
          <w:sz w:val="22"/>
          <w:szCs w:val="22"/>
        </w:rPr>
        <w:t>.</w:t>
      </w:r>
    </w:p>
    <w:p w:rsidR="00077505" w:rsidRPr="00077505" w:rsidRDefault="00077505" w:rsidP="00360DF6">
      <w:pPr>
        <w:spacing w:line="360" w:lineRule="auto"/>
        <w:ind w:left="454" w:hanging="454"/>
        <w:jc w:val="both"/>
        <w:rPr>
          <w:sz w:val="22"/>
          <w:szCs w:val="22"/>
        </w:rPr>
      </w:pPr>
      <w:r w:rsidRPr="00077505">
        <w:rPr>
          <w:sz w:val="22"/>
          <w:szCs w:val="22"/>
        </w:rPr>
        <w:t xml:space="preserve">Council of Institutional Investors, </w:t>
      </w:r>
      <w:proofErr w:type="gramStart"/>
      <w:r w:rsidRPr="00C7417E">
        <w:rPr>
          <w:bCs/>
          <w:i/>
          <w:sz w:val="22"/>
          <w:szCs w:val="22"/>
        </w:rPr>
        <w:t>The</w:t>
      </w:r>
      <w:proofErr w:type="gramEnd"/>
      <w:r w:rsidRPr="00C7417E">
        <w:rPr>
          <w:bCs/>
          <w:i/>
          <w:sz w:val="22"/>
          <w:szCs w:val="22"/>
        </w:rPr>
        <w:t xml:space="preserve"> SEC's 2006 Executive Compensation Disclosure Rules</w:t>
      </w:r>
      <w:r w:rsidRPr="00C7417E">
        <w:rPr>
          <w:i/>
          <w:sz w:val="22"/>
          <w:szCs w:val="22"/>
        </w:rPr>
        <w:t xml:space="preserve">: An </w:t>
      </w:r>
      <w:r w:rsidRPr="00C7417E">
        <w:rPr>
          <w:bCs/>
          <w:i/>
          <w:sz w:val="22"/>
          <w:szCs w:val="22"/>
        </w:rPr>
        <w:t>Overview</w:t>
      </w:r>
      <w:r w:rsidRPr="00C7417E">
        <w:rPr>
          <w:i/>
          <w:sz w:val="22"/>
          <w:szCs w:val="22"/>
        </w:rPr>
        <w:t xml:space="preserve"> and an </w:t>
      </w:r>
      <w:r w:rsidRPr="00C7417E">
        <w:rPr>
          <w:bCs/>
          <w:i/>
          <w:sz w:val="22"/>
          <w:szCs w:val="22"/>
        </w:rPr>
        <w:t>Assessment of First</w:t>
      </w:r>
      <w:r w:rsidRPr="00C7417E">
        <w:rPr>
          <w:i/>
          <w:sz w:val="22"/>
          <w:szCs w:val="22"/>
        </w:rPr>
        <w:t>-</w:t>
      </w:r>
      <w:r w:rsidRPr="00C7417E">
        <w:rPr>
          <w:bCs/>
          <w:i/>
          <w:sz w:val="22"/>
          <w:szCs w:val="22"/>
        </w:rPr>
        <w:t>Year Compliance</w:t>
      </w:r>
      <w:r w:rsidR="00C7417E">
        <w:rPr>
          <w:bCs/>
          <w:sz w:val="22"/>
          <w:szCs w:val="22"/>
        </w:rPr>
        <w:t>: 1-26.</w:t>
      </w:r>
    </w:p>
    <w:p w:rsidR="00360DF6" w:rsidRDefault="0093208C" w:rsidP="00360DF6">
      <w:pPr>
        <w:spacing w:line="360" w:lineRule="auto"/>
        <w:ind w:left="454" w:hanging="454"/>
        <w:jc w:val="both"/>
        <w:rPr>
          <w:sz w:val="22"/>
          <w:szCs w:val="22"/>
        </w:rPr>
      </w:pPr>
      <w:proofErr w:type="spellStart"/>
      <w:proofErr w:type="gramStart"/>
      <w:r w:rsidRPr="0093208C">
        <w:rPr>
          <w:sz w:val="22"/>
          <w:szCs w:val="22"/>
        </w:rPr>
        <w:t>Cuñat</w:t>
      </w:r>
      <w:proofErr w:type="spellEnd"/>
      <w:r>
        <w:rPr>
          <w:sz w:val="22"/>
          <w:szCs w:val="22"/>
        </w:rPr>
        <w:t>, V. and M.</w:t>
      </w:r>
      <w:r w:rsidRPr="0093208C">
        <w:rPr>
          <w:sz w:val="22"/>
          <w:szCs w:val="22"/>
        </w:rPr>
        <w:t xml:space="preserve"> Guadalupe</w:t>
      </w:r>
      <w:r>
        <w:rPr>
          <w:sz w:val="22"/>
          <w:szCs w:val="22"/>
        </w:rPr>
        <w:t>,</w:t>
      </w:r>
      <w:r w:rsidRPr="0093208C">
        <w:rPr>
          <w:sz w:val="22"/>
          <w:szCs w:val="22"/>
        </w:rPr>
        <w:t xml:space="preserve"> 2009</w:t>
      </w:r>
      <w:r>
        <w:rPr>
          <w:sz w:val="22"/>
          <w:szCs w:val="22"/>
        </w:rPr>
        <w:t>,</w:t>
      </w:r>
      <w:r w:rsidRPr="0093208C">
        <w:rPr>
          <w:sz w:val="22"/>
          <w:szCs w:val="22"/>
        </w:rPr>
        <w:t xml:space="preserve"> Executive compensation and competition in the banking and financial sectors</w:t>
      </w:r>
      <w:r>
        <w:rPr>
          <w:sz w:val="22"/>
          <w:szCs w:val="22"/>
        </w:rPr>
        <w:t>, Journal of Banking &amp; Finance, 33: 495-504</w:t>
      </w:r>
      <w:r w:rsidR="00360DF6">
        <w:rPr>
          <w:sz w:val="22"/>
          <w:szCs w:val="22"/>
        </w:rPr>
        <w:t>.</w:t>
      </w:r>
      <w:proofErr w:type="gramEnd"/>
    </w:p>
    <w:p w:rsidR="00360DF6" w:rsidRDefault="001841B3" w:rsidP="00360DF6">
      <w:pPr>
        <w:spacing w:line="360" w:lineRule="auto"/>
        <w:ind w:left="454" w:hanging="454"/>
        <w:jc w:val="both"/>
        <w:rPr>
          <w:sz w:val="22"/>
          <w:szCs w:val="22"/>
        </w:rPr>
      </w:pPr>
      <w:proofErr w:type="spellStart"/>
      <w:r w:rsidRPr="002B0847">
        <w:rPr>
          <w:sz w:val="22"/>
          <w:szCs w:val="22"/>
        </w:rPr>
        <w:t>Dechow</w:t>
      </w:r>
      <w:proofErr w:type="spellEnd"/>
      <w:r w:rsidRPr="002B0847">
        <w:rPr>
          <w:sz w:val="22"/>
          <w:szCs w:val="22"/>
        </w:rPr>
        <w:t xml:space="preserve">, P.M., Sloan, R. and A.P. Sweeney, 1995, Detecting earnings management, </w:t>
      </w:r>
      <w:r w:rsidRPr="002B0847">
        <w:rPr>
          <w:i/>
          <w:iCs/>
          <w:sz w:val="22"/>
          <w:szCs w:val="22"/>
        </w:rPr>
        <w:t>The Accounting</w:t>
      </w:r>
      <w:r w:rsidR="00360DF6">
        <w:rPr>
          <w:sz w:val="22"/>
          <w:szCs w:val="22"/>
        </w:rPr>
        <w:t xml:space="preserve"> </w:t>
      </w:r>
      <w:r w:rsidRPr="002B0847">
        <w:rPr>
          <w:i/>
          <w:iCs/>
          <w:sz w:val="22"/>
          <w:szCs w:val="22"/>
        </w:rPr>
        <w:t>Review, 70</w:t>
      </w:r>
      <w:r w:rsidRPr="002B0847">
        <w:rPr>
          <w:sz w:val="22"/>
          <w:szCs w:val="22"/>
        </w:rPr>
        <w:t>(2): 193-225.</w:t>
      </w:r>
    </w:p>
    <w:p w:rsidR="00360DF6" w:rsidRDefault="00EA592B" w:rsidP="00360DF6">
      <w:pPr>
        <w:spacing w:line="360" w:lineRule="auto"/>
        <w:ind w:left="454" w:hanging="454"/>
        <w:jc w:val="both"/>
        <w:rPr>
          <w:sz w:val="22"/>
          <w:szCs w:val="22"/>
        </w:rPr>
      </w:pPr>
      <w:proofErr w:type="spellStart"/>
      <w:r w:rsidRPr="002B0847">
        <w:rPr>
          <w:sz w:val="22"/>
          <w:szCs w:val="22"/>
        </w:rPr>
        <w:t>Deegan</w:t>
      </w:r>
      <w:proofErr w:type="spellEnd"/>
      <w:r w:rsidRPr="002B0847">
        <w:rPr>
          <w:sz w:val="22"/>
          <w:szCs w:val="22"/>
        </w:rPr>
        <w:t xml:space="preserve">, C. and J. </w:t>
      </w:r>
      <w:proofErr w:type="spellStart"/>
      <w:r w:rsidRPr="002B0847">
        <w:rPr>
          <w:sz w:val="22"/>
          <w:szCs w:val="22"/>
        </w:rPr>
        <w:t>Unerman</w:t>
      </w:r>
      <w:proofErr w:type="spellEnd"/>
      <w:r w:rsidRPr="002B0847">
        <w:rPr>
          <w:sz w:val="22"/>
          <w:szCs w:val="22"/>
        </w:rPr>
        <w:t>, 2006</w:t>
      </w:r>
      <w:r w:rsidR="00FB7F33" w:rsidRPr="002B0847">
        <w:rPr>
          <w:sz w:val="22"/>
          <w:szCs w:val="22"/>
        </w:rPr>
        <w:t xml:space="preserve">, </w:t>
      </w:r>
      <w:r w:rsidR="00FB7F33" w:rsidRPr="002B0847">
        <w:rPr>
          <w:i/>
          <w:sz w:val="22"/>
          <w:szCs w:val="22"/>
        </w:rPr>
        <w:t>Financial Accounting Theory,</w:t>
      </w:r>
      <w:r w:rsidR="00FB7F33" w:rsidRPr="002B0847">
        <w:rPr>
          <w:sz w:val="22"/>
          <w:szCs w:val="22"/>
        </w:rPr>
        <w:t xml:space="preserve"> Berkshire: McGraw-Hill.</w:t>
      </w:r>
    </w:p>
    <w:p w:rsidR="00360DF6" w:rsidRDefault="0084482D" w:rsidP="00360DF6">
      <w:pPr>
        <w:spacing w:line="360" w:lineRule="auto"/>
        <w:ind w:left="454" w:hanging="454"/>
        <w:jc w:val="both"/>
        <w:rPr>
          <w:sz w:val="22"/>
          <w:szCs w:val="22"/>
        </w:rPr>
      </w:pPr>
      <w:r w:rsidRPr="002B0847">
        <w:rPr>
          <w:sz w:val="22"/>
          <w:szCs w:val="22"/>
        </w:rPr>
        <w:t>Deloitte IAS Plus, IAS 7.14</w:t>
      </w:r>
      <w:r w:rsidR="00360DF6">
        <w:rPr>
          <w:sz w:val="22"/>
          <w:szCs w:val="22"/>
        </w:rPr>
        <w:t>.</w:t>
      </w:r>
    </w:p>
    <w:p w:rsidR="00360DF6" w:rsidRDefault="00360DF6" w:rsidP="00360DF6">
      <w:pPr>
        <w:spacing w:line="360" w:lineRule="auto"/>
        <w:ind w:left="454" w:hanging="454"/>
        <w:jc w:val="both"/>
        <w:rPr>
          <w:sz w:val="22"/>
          <w:szCs w:val="22"/>
        </w:rPr>
      </w:pPr>
      <w:proofErr w:type="spellStart"/>
      <w:r>
        <w:rPr>
          <w:sz w:val="22"/>
          <w:szCs w:val="22"/>
        </w:rPr>
        <w:t>F</w:t>
      </w:r>
      <w:r w:rsidR="00C97F11" w:rsidRPr="00C97F11">
        <w:rPr>
          <w:sz w:val="22"/>
          <w:szCs w:val="22"/>
        </w:rPr>
        <w:t>eltham</w:t>
      </w:r>
      <w:proofErr w:type="spellEnd"/>
      <w:r w:rsidR="00C97F11">
        <w:rPr>
          <w:sz w:val="22"/>
          <w:szCs w:val="22"/>
        </w:rPr>
        <w:t>, G.A.</w:t>
      </w:r>
      <w:r w:rsidR="00C97F11" w:rsidRPr="00C97F11">
        <w:rPr>
          <w:sz w:val="22"/>
          <w:szCs w:val="22"/>
        </w:rPr>
        <w:t xml:space="preserve"> and</w:t>
      </w:r>
      <w:r w:rsidR="00C97F11">
        <w:rPr>
          <w:sz w:val="22"/>
          <w:szCs w:val="22"/>
        </w:rPr>
        <w:t xml:space="preserve"> M.G.H.</w:t>
      </w:r>
      <w:r w:rsidR="00C97F11" w:rsidRPr="00C97F11">
        <w:rPr>
          <w:sz w:val="22"/>
          <w:szCs w:val="22"/>
        </w:rPr>
        <w:t xml:space="preserve"> Wu</w:t>
      </w:r>
      <w:r w:rsidR="00C97F11">
        <w:rPr>
          <w:sz w:val="22"/>
          <w:szCs w:val="22"/>
        </w:rPr>
        <w:t>,</w:t>
      </w:r>
      <w:r w:rsidR="00C97F11" w:rsidRPr="00C97F11">
        <w:rPr>
          <w:sz w:val="22"/>
          <w:szCs w:val="22"/>
        </w:rPr>
        <w:t xml:space="preserve"> 2001</w:t>
      </w:r>
      <w:r w:rsidR="00C97F11">
        <w:rPr>
          <w:sz w:val="22"/>
          <w:szCs w:val="22"/>
        </w:rPr>
        <w:t>,</w:t>
      </w:r>
      <w:r w:rsidR="00C97F11" w:rsidRPr="00C97F11">
        <w:rPr>
          <w:sz w:val="22"/>
          <w:szCs w:val="22"/>
        </w:rPr>
        <w:t xml:space="preserve"> Incentive efficiency of stock versus options</w:t>
      </w:r>
      <w:r w:rsidR="00C97F11" w:rsidRPr="00C97F11">
        <w:rPr>
          <w:i/>
          <w:sz w:val="22"/>
          <w:szCs w:val="22"/>
        </w:rPr>
        <w:t>, Review of Accounting Studies</w:t>
      </w:r>
      <w:r w:rsidR="00C97F11">
        <w:rPr>
          <w:sz w:val="22"/>
          <w:szCs w:val="22"/>
        </w:rPr>
        <w:t>, 6: 7-28.</w:t>
      </w:r>
    </w:p>
    <w:p w:rsidR="00360DF6" w:rsidRDefault="005D7E2C" w:rsidP="00360DF6">
      <w:pPr>
        <w:spacing w:line="360" w:lineRule="auto"/>
        <w:ind w:left="454" w:hanging="454"/>
        <w:jc w:val="both"/>
        <w:rPr>
          <w:sz w:val="22"/>
          <w:szCs w:val="22"/>
        </w:rPr>
      </w:pPr>
      <w:r>
        <w:rPr>
          <w:sz w:val="22"/>
          <w:szCs w:val="22"/>
        </w:rPr>
        <w:t xml:space="preserve">Field, A., 2005, </w:t>
      </w:r>
      <w:r w:rsidRPr="005D7E2C">
        <w:rPr>
          <w:i/>
          <w:sz w:val="22"/>
          <w:szCs w:val="22"/>
        </w:rPr>
        <w:t>Discovering Statistics Using SPSS</w:t>
      </w:r>
      <w:r>
        <w:rPr>
          <w:sz w:val="22"/>
          <w:szCs w:val="22"/>
        </w:rPr>
        <w:t>, SAGE Publications, London.</w:t>
      </w:r>
    </w:p>
    <w:p w:rsidR="00360DF6" w:rsidRDefault="00C62257" w:rsidP="00360DF6">
      <w:pPr>
        <w:spacing w:line="360" w:lineRule="auto"/>
        <w:ind w:left="454" w:hanging="454"/>
        <w:jc w:val="both"/>
        <w:rPr>
          <w:sz w:val="22"/>
          <w:szCs w:val="22"/>
        </w:rPr>
      </w:pPr>
      <w:proofErr w:type="spellStart"/>
      <w:r w:rsidRPr="002B0847">
        <w:rPr>
          <w:sz w:val="22"/>
          <w:szCs w:val="22"/>
        </w:rPr>
        <w:t>Gao</w:t>
      </w:r>
      <w:proofErr w:type="spellEnd"/>
      <w:r w:rsidRPr="002B0847">
        <w:rPr>
          <w:sz w:val="22"/>
          <w:szCs w:val="22"/>
        </w:rPr>
        <w:t xml:space="preserve">, P. and </w:t>
      </w:r>
      <w:proofErr w:type="spellStart"/>
      <w:r w:rsidRPr="002B0847">
        <w:rPr>
          <w:sz w:val="22"/>
          <w:szCs w:val="22"/>
        </w:rPr>
        <w:t>R.E.Shrieves</w:t>
      </w:r>
      <w:proofErr w:type="spellEnd"/>
      <w:r w:rsidRPr="002B0847">
        <w:rPr>
          <w:sz w:val="22"/>
          <w:szCs w:val="22"/>
        </w:rPr>
        <w:t xml:space="preserve">, 2002, Earnings Management and Executive Compensation: A Case of Overdose of Option and </w:t>
      </w:r>
      <w:proofErr w:type="spellStart"/>
      <w:r w:rsidRPr="002B0847">
        <w:rPr>
          <w:sz w:val="22"/>
          <w:szCs w:val="22"/>
        </w:rPr>
        <w:t>Underdose</w:t>
      </w:r>
      <w:proofErr w:type="spellEnd"/>
      <w:r w:rsidRPr="002B0847">
        <w:rPr>
          <w:sz w:val="22"/>
          <w:szCs w:val="22"/>
        </w:rPr>
        <w:t xml:space="preserve"> of Salary</w:t>
      </w:r>
      <w:proofErr w:type="gramStart"/>
      <w:r w:rsidRPr="002B0847">
        <w:rPr>
          <w:sz w:val="22"/>
          <w:szCs w:val="22"/>
        </w:rPr>
        <w:t>?,</w:t>
      </w:r>
      <w:proofErr w:type="gramEnd"/>
      <w:r w:rsidRPr="002B0847">
        <w:rPr>
          <w:sz w:val="22"/>
          <w:szCs w:val="22"/>
        </w:rPr>
        <w:t xml:space="preserve"> </w:t>
      </w:r>
      <w:r w:rsidRPr="002B0847">
        <w:rPr>
          <w:i/>
          <w:sz w:val="22"/>
          <w:szCs w:val="22"/>
        </w:rPr>
        <w:t>Berlin Meetings Presented Paper</w:t>
      </w:r>
      <w:r w:rsidRPr="002B0847">
        <w:rPr>
          <w:sz w:val="22"/>
          <w:szCs w:val="22"/>
        </w:rPr>
        <w:t>, Working Paper</w:t>
      </w:r>
      <w:r w:rsidR="00C97F11">
        <w:rPr>
          <w:sz w:val="22"/>
          <w:szCs w:val="22"/>
        </w:rPr>
        <w:t>.</w:t>
      </w:r>
    </w:p>
    <w:p w:rsidR="00360DF6" w:rsidRDefault="008D6AD6" w:rsidP="00360DF6">
      <w:pPr>
        <w:spacing w:line="360" w:lineRule="auto"/>
        <w:ind w:left="454" w:hanging="454"/>
        <w:jc w:val="both"/>
        <w:rPr>
          <w:sz w:val="22"/>
          <w:szCs w:val="22"/>
        </w:rPr>
      </w:pPr>
      <w:r>
        <w:rPr>
          <w:sz w:val="22"/>
          <w:szCs w:val="22"/>
        </w:rPr>
        <w:t xml:space="preserve">Goldman, E. and S. L. </w:t>
      </w:r>
      <w:proofErr w:type="spellStart"/>
      <w:r>
        <w:rPr>
          <w:sz w:val="22"/>
          <w:szCs w:val="22"/>
        </w:rPr>
        <w:t>Slezak</w:t>
      </w:r>
      <w:proofErr w:type="spellEnd"/>
      <w:r>
        <w:rPr>
          <w:sz w:val="22"/>
          <w:szCs w:val="22"/>
        </w:rPr>
        <w:t xml:space="preserve">, 2006, </w:t>
      </w:r>
      <w:proofErr w:type="gramStart"/>
      <w:r>
        <w:rPr>
          <w:sz w:val="22"/>
          <w:szCs w:val="22"/>
        </w:rPr>
        <w:t>An</w:t>
      </w:r>
      <w:proofErr w:type="gramEnd"/>
      <w:r>
        <w:rPr>
          <w:sz w:val="22"/>
          <w:szCs w:val="22"/>
        </w:rPr>
        <w:t xml:space="preserve"> equilibrium model of incentive contracts in the presence of information manipulation, </w:t>
      </w:r>
      <w:r>
        <w:rPr>
          <w:i/>
          <w:iCs/>
          <w:sz w:val="22"/>
          <w:szCs w:val="22"/>
        </w:rPr>
        <w:t xml:space="preserve">Journal of Financial Economics </w:t>
      </w:r>
      <w:r>
        <w:rPr>
          <w:sz w:val="22"/>
          <w:szCs w:val="22"/>
        </w:rPr>
        <w:t>80 (3):603-626.</w:t>
      </w:r>
    </w:p>
    <w:p w:rsidR="00360DF6" w:rsidRDefault="003D2E7B" w:rsidP="00360DF6">
      <w:pPr>
        <w:spacing w:line="360" w:lineRule="auto"/>
        <w:ind w:left="454" w:hanging="454"/>
        <w:jc w:val="both"/>
        <w:rPr>
          <w:sz w:val="22"/>
          <w:szCs w:val="22"/>
        </w:rPr>
      </w:pPr>
      <w:r w:rsidRPr="002B0847">
        <w:rPr>
          <w:sz w:val="22"/>
          <w:szCs w:val="22"/>
        </w:rPr>
        <w:t xml:space="preserve">Grasso, L.P., Tilley, P.A. and R.A. White, 2009, </w:t>
      </w:r>
      <w:proofErr w:type="gramStart"/>
      <w:r w:rsidRPr="002B0847">
        <w:rPr>
          <w:sz w:val="22"/>
          <w:szCs w:val="22"/>
        </w:rPr>
        <w:t>The</w:t>
      </w:r>
      <w:proofErr w:type="gramEnd"/>
      <w:r w:rsidRPr="002B0847">
        <w:rPr>
          <w:sz w:val="22"/>
          <w:szCs w:val="22"/>
        </w:rPr>
        <w:t xml:space="preserve"> ethics of earnings management: perceptions after Sarbanes-Oxley, </w:t>
      </w:r>
      <w:r w:rsidRPr="002B0847">
        <w:rPr>
          <w:i/>
          <w:sz w:val="22"/>
          <w:szCs w:val="22"/>
        </w:rPr>
        <w:t xml:space="preserve">Management Accounting Quarterly, </w:t>
      </w:r>
      <w:r w:rsidRPr="002140F2">
        <w:rPr>
          <w:sz w:val="22"/>
          <w:szCs w:val="22"/>
        </w:rPr>
        <w:t>fall</w:t>
      </w:r>
      <w:r w:rsidRPr="002B0847">
        <w:rPr>
          <w:i/>
          <w:sz w:val="22"/>
          <w:szCs w:val="22"/>
        </w:rPr>
        <w:t>.</w:t>
      </w:r>
    </w:p>
    <w:p w:rsidR="00100AC7" w:rsidRPr="00100AC7" w:rsidRDefault="00100AC7" w:rsidP="00360DF6">
      <w:pPr>
        <w:spacing w:line="360" w:lineRule="auto"/>
        <w:ind w:left="454" w:hanging="454"/>
        <w:jc w:val="both"/>
        <w:rPr>
          <w:sz w:val="22"/>
          <w:szCs w:val="22"/>
        </w:rPr>
      </w:pPr>
      <w:r>
        <w:rPr>
          <w:sz w:val="22"/>
          <w:szCs w:val="22"/>
        </w:rPr>
        <w:t xml:space="preserve">Graham, J.R., Campbell, R.H. and S. </w:t>
      </w:r>
      <w:proofErr w:type="spellStart"/>
      <w:r>
        <w:rPr>
          <w:sz w:val="22"/>
          <w:szCs w:val="22"/>
        </w:rPr>
        <w:t>Raigopal</w:t>
      </w:r>
      <w:proofErr w:type="spellEnd"/>
      <w:r>
        <w:rPr>
          <w:sz w:val="22"/>
          <w:szCs w:val="22"/>
        </w:rPr>
        <w:t xml:space="preserve">, 2005, </w:t>
      </w:r>
      <w:proofErr w:type="gramStart"/>
      <w:r>
        <w:rPr>
          <w:sz w:val="22"/>
          <w:szCs w:val="22"/>
        </w:rPr>
        <w:t>The</w:t>
      </w:r>
      <w:proofErr w:type="gramEnd"/>
      <w:r>
        <w:rPr>
          <w:sz w:val="22"/>
          <w:szCs w:val="22"/>
        </w:rPr>
        <w:t xml:space="preserve"> economic implications of corporate financial reporting, </w:t>
      </w:r>
      <w:r w:rsidRPr="00100AC7">
        <w:rPr>
          <w:i/>
          <w:sz w:val="22"/>
          <w:szCs w:val="22"/>
        </w:rPr>
        <w:t>Journal of Accounting and Economics</w:t>
      </w:r>
      <w:r>
        <w:rPr>
          <w:sz w:val="22"/>
          <w:szCs w:val="22"/>
        </w:rPr>
        <w:t>, 40: 3-73.</w:t>
      </w:r>
    </w:p>
    <w:p w:rsidR="00360DF6" w:rsidRDefault="00D17412" w:rsidP="00360DF6">
      <w:pPr>
        <w:spacing w:line="360" w:lineRule="auto"/>
        <w:ind w:left="454" w:hanging="454"/>
        <w:jc w:val="both"/>
        <w:rPr>
          <w:rFonts w:eastAsiaTheme="minorHAnsi"/>
          <w:sz w:val="22"/>
          <w:szCs w:val="22"/>
          <w:lang w:eastAsia="en-US"/>
        </w:rPr>
      </w:pPr>
      <w:r w:rsidRPr="002B0847">
        <w:rPr>
          <w:rFonts w:eastAsiaTheme="minorHAnsi"/>
          <w:sz w:val="22"/>
          <w:szCs w:val="22"/>
          <w:lang w:eastAsia="en-US"/>
        </w:rPr>
        <w:t xml:space="preserve">Hall, B. and J. </w:t>
      </w:r>
      <w:proofErr w:type="spellStart"/>
      <w:r w:rsidRPr="002B0847">
        <w:rPr>
          <w:rFonts w:eastAsiaTheme="minorHAnsi"/>
          <w:sz w:val="22"/>
          <w:szCs w:val="22"/>
          <w:lang w:eastAsia="en-US"/>
        </w:rPr>
        <w:t>Liebman</w:t>
      </w:r>
      <w:proofErr w:type="spellEnd"/>
      <w:r w:rsidRPr="002B0847">
        <w:rPr>
          <w:rFonts w:eastAsiaTheme="minorHAnsi"/>
          <w:sz w:val="22"/>
          <w:szCs w:val="22"/>
          <w:lang w:eastAsia="en-US"/>
        </w:rPr>
        <w:t>, 1998, Are CEOs Really Paid Like Bureaucrats</w:t>
      </w:r>
      <w:proofErr w:type="gramStart"/>
      <w:r w:rsidRPr="002B0847">
        <w:rPr>
          <w:rFonts w:eastAsiaTheme="minorHAnsi"/>
          <w:sz w:val="22"/>
          <w:szCs w:val="22"/>
          <w:lang w:eastAsia="en-US"/>
        </w:rPr>
        <w:t>?,</w:t>
      </w:r>
      <w:proofErr w:type="gramEnd"/>
      <w:r w:rsidRPr="002B0847">
        <w:rPr>
          <w:rFonts w:eastAsiaTheme="minorHAnsi"/>
          <w:sz w:val="22"/>
          <w:szCs w:val="22"/>
          <w:lang w:eastAsia="en-US"/>
        </w:rPr>
        <w:t xml:space="preserve"> </w:t>
      </w:r>
      <w:r w:rsidRPr="002B0847">
        <w:rPr>
          <w:rFonts w:eastAsiaTheme="minorHAnsi"/>
          <w:i/>
          <w:sz w:val="22"/>
          <w:szCs w:val="22"/>
          <w:lang w:eastAsia="en-US"/>
        </w:rPr>
        <w:t xml:space="preserve">Quarterly Journal of Economics, </w:t>
      </w:r>
      <w:r w:rsidRPr="002B0847">
        <w:rPr>
          <w:rFonts w:eastAsiaTheme="minorHAnsi"/>
          <w:sz w:val="22"/>
          <w:szCs w:val="22"/>
          <w:lang w:eastAsia="en-US"/>
        </w:rPr>
        <w:t>vol.</w:t>
      </w:r>
      <w:r w:rsidRPr="002B0847">
        <w:rPr>
          <w:rFonts w:eastAsiaTheme="minorHAnsi"/>
          <w:i/>
          <w:sz w:val="22"/>
          <w:szCs w:val="22"/>
          <w:lang w:eastAsia="en-US"/>
        </w:rPr>
        <w:t xml:space="preserve"> </w:t>
      </w:r>
      <w:r w:rsidRPr="002B0847">
        <w:rPr>
          <w:rFonts w:eastAsiaTheme="minorHAnsi"/>
          <w:sz w:val="22"/>
          <w:szCs w:val="22"/>
          <w:lang w:eastAsia="en-US"/>
        </w:rPr>
        <w:t>113: 653–691.</w:t>
      </w:r>
    </w:p>
    <w:p w:rsidR="00360DF6" w:rsidRDefault="00D071D4" w:rsidP="00360DF6">
      <w:pPr>
        <w:spacing w:line="360" w:lineRule="auto"/>
        <w:ind w:left="454" w:hanging="454"/>
        <w:jc w:val="both"/>
        <w:rPr>
          <w:color w:val="000000"/>
          <w:sz w:val="22"/>
          <w:szCs w:val="22"/>
        </w:rPr>
      </w:pPr>
      <w:proofErr w:type="spellStart"/>
      <w:r>
        <w:rPr>
          <w:color w:val="000000"/>
          <w:sz w:val="22"/>
          <w:szCs w:val="22"/>
        </w:rPr>
        <w:t>Handorf</w:t>
      </w:r>
      <w:proofErr w:type="spellEnd"/>
      <w:r>
        <w:rPr>
          <w:color w:val="000000"/>
          <w:sz w:val="22"/>
          <w:szCs w:val="22"/>
        </w:rPr>
        <w:t xml:space="preserve">, W.C. and L. Zhu, 2006, US Bank loan-loss provisions, economic conditions, and regulatory guidance, </w:t>
      </w:r>
      <w:r w:rsidRPr="00D071D4">
        <w:rPr>
          <w:i/>
          <w:color w:val="000000"/>
          <w:sz w:val="22"/>
          <w:szCs w:val="22"/>
        </w:rPr>
        <w:t>Journal of Applied Finance</w:t>
      </w:r>
      <w:r>
        <w:rPr>
          <w:color w:val="000000"/>
          <w:sz w:val="22"/>
          <w:szCs w:val="22"/>
        </w:rPr>
        <w:t>, Vol. 16, 1: 97-114.</w:t>
      </w:r>
    </w:p>
    <w:p w:rsidR="00360DF6" w:rsidRDefault="00B77187" w:rsidP="00360DF6">
      <w:pPr>
        <w:spacing w:line="360" w:lineRule="auto"/>
        <w:ind w:left="454" w:hanging="454"/>
        <w:jc w:val="both"/>
        <w:rPr>
          <w:color w:val="000000"/>
          <w:sz w:val="22"/>
          <w:szCs w:val="22"/>
        </w:rPr>
      </w:pPr>
      <w:r w:rsidRPr="002B0847">
        <w:rPr>
          <w:color w:val="000000"/>
          <w:sz w:val="22"/>
          <w:szCs w:val="22"/>
        </w:rPr>
        <w:t xml:space="preserve">Hart, O., 1995, Corporate governance: some theory and implications, </w:t>
      </w:r>
      <w:r w:rsidRPr="002B0847">
        <w:rPr>
          <w:i/>
          <w:color w:val="000000"/>
          <w:sz w:val="22"/>
          <w:szCs w:val="22"/>
        </w:rPr>
        <w:t>The Economic Journal</w:t>
      </w:r>
      <w:r w:rsidRPr="002B0847">
        <w:rPr>
          <w:color w:val="000000"/>
          <w:sz w:val="22"/>
          <w:szCs w:val="22"/>
        </w:rPr>
        <w:t>, 105 (May): 678-689.</w:t>
      </w:r>
    </w:p>
    <w:p w:rsidR="00360DF6" w:rsidRDefault="00BC28E5" w:rsidP="00360DF6">
      <w:pPr>
        <w:spacing w:line="360" w:lineRule="auto"/>
        <w:ind w:left="454" w:hanging="454"/>
        <w:jc w:val="both"/>
        <w:rPr>
          <w:color w:val="000000"/>
          <w:sz w:val="22"/>
          <w:szCs w:val="22"/>
        </w:rPr>
      </w:pPr>
      <w:r w:rsidRPr="002B0847">
        <w:rPr>
          <w:color w:val="000000"/>
          <w:sz w:val="22"/>
          <w:szCs w:val="22"/>
        </w:rPr>
        <w:t xml:space="preserve">Healy, P.M., 1985, </w:t>
      </w:r>
      <w:proofErr w:type="gramStart"/>
      <w:r w:rsidRPr="002B0847">
        <w:rPr>
          <w:color w:val="000000"/>
          <w:sz w:val="22"/>
          <w:szCs w:val="22"/>
        </w:rPr>
        <w:t>The</w:t>
      </w:r>
      <w:proofErr w:type="gramEnd"/>
      <w:r w:rsidRPr="002B0847">
        <w:rPr>
          <w:color w:val="000000"/>
          <w:sz w:val="22"/>
          <w:szCs w:val="22"/>
        </w:rPr>
        <w:t xml:space="preserve"> effect of bonus schemes on accounting decisions, </w:t>
      </w:r>
      <w:r w:rsidRPr="002B0847">
        <w:rPr>
          <w:i/>
          <w:color w:val="000000"/>
          <w:sz w:val="22"/>
          <w:szCs w:val="22"/>
        </w:rPr>
        <w:t>Journal of Accounting and Economics,</w:t>
      </w:r>
      <w:r w:rsidRPr="002B0847">
        <w:rPr>
          <w:color w:val="000000"/>
          <w:sz w:val="22"/>
          <w:szCs w:val="22"/>
        </w:rPr>
        <w:t xml:space="preserve"> Vol. 7: 85-107.</w:t>
      </w:r>
    </w:p>
    <w:p w:rsidR="00360DF6" w:rsidRDefault="0036599A" w:rsidP="00360DF6">
      <w:pPr>
        <w:spacing w:line="360" w:lineRule="auto"/>
        <w:ind w:left="454" w:hanging="454"/>
        <w:jc w:val="both"/>
        <w:rPr>
          <w:color w:val="000000"/>
          <w:sz w:val="22"/>
          <w:szCs w:val="22"/>
        </w:rPr>
      </w:pPr>
      <w:proofErr w:type="gramStart"/>
      <w:r w:rsidRPr="002B0847">
        <w:rPr>
          <w:color w:val="000000"/>
          <w:sz w:val="22"/>
          <w:szCs w:val="22"/>
        </w:rPr>
        <w:t xml:space="preserve">Healy, P.M. and J.A. </w:t>
      </w:r>
      <w:proofErr w:type="spellStart"/>
      <w:r w:rsidRPr="002B0847">
        <w:rPr>
          <w:color w:val="000000"/>
          <w:sz w:val="22"/>
          <w:szCs w:val="22"/>
        </w:rPr>
        <w:t>Wahlen</w:t>
      </w:r>
      <w:proofErr w:type="spellEnd"/>
      <w:r w:rsidRPr="002B0847">
        <w:rPr>
          <w:color w:val="000000"/>
          <w:sz w:val="22"/>
          <w:szCs w:val="22"/>
        </w:rPr>
        <w:t xml:space="preserve">, 1999, A Review of the Earnings Management Literature and Its Implications for Standard Setting, </w:t>
      </w:r>
      <w:r w:rsidRPr="002B0847">
        <w:rPr>
          <w:i/>
          <w:iCs/>
          <w:color w:val="000000"/>
          <w:sz w:val="22"/>
          <w:szCs w:val="22"/>
        </w:rPr>
        <w:t>Accounting Horizons</w:t>
      </w:r>
      <w:r w:rsidRPr="002B0847">
        <w:rPr>
          <w:color w:val="000000"/>
          <w:sz w:val="22"/>
          <w:szCs w:val="22"/>
        </w:rPr>
        <w:t>, vol. 13, no. 4: 365-383.</w:t>
      </w:r>
      <w:proofErr w:type="gramEnd"/>
    </w:p>
    <w:p w:rsidR="00360DF6" w:rsidRDefault="00C472B1" w:rsidP="00360DF6">
      <w:pPr>
        <w:spacing w:line="360" w:lineRule="auto"/>
        <w:ind w:left="454" w:hanging="454"/>
        <w:jc w:val="both"/>
        <w:rPr>
          <w:iCs/>
        </w:rPr>
      </w:pPr>
      <w:proofErr w:type="spellStart"/>
      <w:r>
        <w:rPr>
          <w:iCs/>
        </w:rPr>
        <w:t>Heisler</w:t>
      </w:r>
      <w:proofErr w:type="spellEnd"/>
      <w:r>
        <w:rPr>
          <w:iCs/>
        </w:rPr>
        <w:t>, W.J., 2007, Ethical choices in the design and administration of executive compensation programs</w:t>
      </w:r>
      <w:r w:rsidRPr="00C472B1">
        <w:rPr>
          <w:i/>
          <w:iCs/>
        </w:rPr>
        <w:t>, Business Horizons</w:t>
      </w:r>
      <w:r w:rsidR="008D6AD6">
        <w:rPr>
          <w:iCs/>
        </w:rPr>
        <w:t xml:space="preserve"> (</w:t>
      </w:r>
      <w:r>
        <w:rPr>
          <w:iCs/>
        </w:rPr>
        <w:t>50</w:t>
      </w:r>
      <w:r w:rsidR="008D6AD6">
        <w:rPr>
          <w:iCs/>
        </w:rPr>
        <w:t>)</w:t>
      </w:r>
      <w:r>
        <w:rPr>
          <w:iCs/>
        </w:rPr>
        <w:t>: 277-290.</w:t>
      </w:r>
    </w:p>
    <w:p w:rsidR="00360DF6" w:rsidRDefault="00DA6666" w:rsidP="00360DF6">
      <w:pPr>
        <w:spacing w:line="360" w:lineRule="auto"/>
        <w:ind w:left="454" w:hanging="454"/>
        <w:jc w:val="both"/>
        <w:rPr>
          <w:sz w:val="22"/>
          <w:szCs w:val="22"/>
        </w:rPr>
      </w:pPr>
      <w:r w:rsidRPr="00DA6666">
        <w:rPr>
          <w:sz w:val="22"/>
          <w:szCs w:val="22"/>
        </w:rPr>
        <w:lastRenderedPageBreak/>
        <w:t>Hou</w:t>
      </w:r>
      <w:r w:rsidR="00B85DE6">
        <w:rPr>
          <w:sz w:val="22"/>
          <w:szCs w:val="22"/>
        </w:rPr>
        <w:t>ston, J. F., and C. James, 1995,</w:t>
      </w:r>
      <w:r w:rsidRPr="00DA6666">
        <w:rPr>
          <w:sz w:val="22"/>
          <w:szCs w:val="22"/>
        </w:rPr>
        <w:t xml:space="preserve"> CEO compensation and bank risk: Is compensation in</w:t>
      </w:r>
      <w:r>
        <w:rPr>
          <w:sz w:val="22"/>
          <w:szCs w:val="22"/>
        </w:rPr>
        <w:t xml:space="preserve"> </w:t>
      </w:r>
      <w:r w:rsidRPr="00DA6666">
        <w:rPr>
          <w:sz w:val="22"/>
          <w:szCs w:val="22"/>
        </w:rPr>
        <w:t>banking structured to promote risk taking</w:t>
      </w:r>
      <w:proofErr w:type="gramStart"/>
      <w:r w:rsidRPr="00DA6666">
        <w:rPr>
          <w:sz w:val="22"/>
          <w:szCs w:val="22"/>
        </w:rPr>
        <w:t>?</w:t>
      </w:r>
      <w:r w:rsidR="00B85DE6">
        <w:rPr>
          <w:sz w:val="22"/>
          <w:szCs w:val="22"/>
        </w:rPr>
        <w:t>,</w:t>
      </w:r>
      <w:proofErr w:type="gramEnd"/>
      <w:r w:rsidRPr="00DA6666">
        <w:rPr>
          <w:sz w:val="22"/>
          <w:szCs w:val="22"/>
        </w:rPr>
        <w:t xml:space="preserve"> </w:t>
      </w:r>
      <w:r w:rsidRPr="00B85DE6">
        <w:rPr>
          <w:i/>
          <w:sz w:val="22"/>
          <w:szCs w:val="22"/>
        </w:rPr>
        <w:t>Journal of Monetary Economics</w:t>
      </w:r>
      <w:r w:rsidR="00B85DE6">
        <w:rPr>
          <w:sz w:val="22"/>
          <w:szCs w:val="22"/>
        </w:rPr>
        <w:t>,</w:t>
      </w:r>
      <w:r w:rsidRPr="00B85DE6">
        <w:rPr>
          <w:sz w:val="22"/>
          <w:szCs w:val="22"/>
        </w:rPr>
        <w:t xml:space="preserve"> 36:405–31.</w:t>
      </w:r>
    </w:p>
    <w:p w:rsidR="00360DF6" w:rsidRDefault="005B35A3" w:rsidP="00360DF6">
      <w:pPr>
        <w:spacing w:line="360" w:lineRule="auto"/>
        <w:ind w:left="454" w:hanging="454"/>
        <w:jc w:val="both"/>
        <w:rPr>
          <w:iCs/>
        </w:rPr>
      </w:pPr>
      <w:r w:rsidRPr="002B0847">
        <w:rPr>
          <w:iCs/>
        </w:rPr>
        <w:t xml:space="preserve">Jensen M.C. and W.H. </w:t>
      </w:r>
      <w:proofErr w:type="spellStart"/>
      <w:r w:rsidRPr="002B0847">
        <w:rPr>
          <w:iCs/>
        </w:rPr>
        <w:t>Meckling</w:t>
      </w:r>
      <w:proofErr w:type="spellEnd"/>
      <w:r w:rsidRPr="002B0847">
        <w:rPr>
          <w:iCs/>
        </w:rPr>
        <w:t>, 1976, Theory of the firm: Managerial behavior, agency costs, and ownership structure,</w:t>
      </w:r>
      <w:r w:rsidRPr="002B0847">
        <w:rPr>
          <w:i/>
          <w:iCs/>
        </w:rPr>
        <w:t xml:space="preserve"> Journal of Financial economics</w:t>
      </w:r>
      <w:r w:rsidRPr="002B0847">
        <w:rPr>
          <w:iCs/>
        </w:rPr>
        <w:t>, 3: 305-360.</w:t>
      </w:r>
    </w:p>
    <w:p w:rsidR="00360DF6" w:rsidRDefault="005F49CF" w:rsidP="00360DF6">
      <w:pPr>
        <w:spacing w:line="360" w:lineRule="auto"/>
        <w:ind w:left="454" w:hanging="454"/>
        <w:jc w:val="both"/>
        <w:rPr>
          <w:sz w:val="22"/>
          <w:szCs w:val="22"/>
        </w:rPr>
      </w:pPr>
      <w:r w:rsidRPr="005F49CF">
        <w:rPr>
          <w:sz w:val="22"/>
          <w:szCs w:val="22"/>
        </w:rPr>
        <w:t>Jensen, M. C.</w:t>
      </w:r>
      <w:r>
        <w:rPr>
          <w:sz w:val="22"/>
          <w:szCs w:val="22"/>
        </w:rPr>
        <w:t>, 2005,</w:t>
      </w:r>
      <w:r w:rsidRPr="005F49CF">
        <w:rPr>
          <w:sz w:val="22"/>
          <w:szCs w:val="22"/>
        </w:rPr>
        <w:t xml:space="preserve"> Ag</w:t>
      </w:r>
      <w:r>
        <w:rPr>
          <w:sz w:val="22"/>
          <w:szCs w:val="22"/>
        </w:rPr>
        <w:t>ency costs of overvalued equity,</w:t>
      </w:r>
      <w:r w:rsidRPr="005F49CF">
        <w:rPr>
          <w:sz w:val="22"/>
          <w:szCs w:val="22"/>
        </w:rPr>
        <w:t xml:space="preserve"> </w:t>
      </w:r>
      <w:r w:rsidRPr="005F49CF">
        <w:rPr>
          <w:i/>
          <w:iCs/>
          <w:sz w:val="22"/>
          <w:szCs w:val="22"/>
        </w:rPr>
        <w:t xml:space="preserve">Financial Management </w:t>
      </w:r>
      <w:r w:rsidRPr="005F49CF">
        <w:rPr>
          <w:sz w:val="22"/>
          <w:szCs w:val="22"/>
        </w:rPr>
        <w:t>34 (1): 5-19.</w:t>
      </w:r>
    </w:p>
    <w:p w:rsidR="00360DF6" w:rsidRDefault="00D17412" w:rsidP="00360DF6">
      <w:pPr>
        <w:spacing w:line="360" w:lineRule="auto"/>
        <w:ind w:left="454" w:hanging="454"/>
        <w:jc w:val="both"/>
        <w:rPr>
          <w:rFonts w:eastAsiaTheme="minorHAnsi"/>
          <w:sz w:val="22"/>
          <w:szCs w:val="22"/>
          <w:lang w:eastAsia="en-US"/>
        </w:rPr>
      </w:pPr>
      <w:r w:rsidRPr="002B0847">
        <w:rPr>
          <w:rFonts w:eastAsiaTheme="minorHAnsi"/>
          <w:sz w:val="22"/>
          <w:szCs w:val="22"/>
          <w:lang w:eastAsia="en-US"/>
        </w:rPr>
        <w:t xml:space="preserve">Jiang, J.X., </w:t>
      </w:r>
      <w:proofErr w:type="spellStart"/>
      <w:r w:rsidRPr="002B0847">
        <w:rPr>
          <w:rFonts w:eastAsiaTheme="minorHAnsi"/>
          <w:sz w:val="22"/>
          <w:szCs w:val="22"/>
          <w:lang w:eastAsia="en-US"/>
        </w:rPr>
        <w:t>Petroni</w:t>
      </w:r>
      <w:proofErr w:type="spellEnd"/>
      <w:r w:rsidRPr="002B0847">
        <w:rPr>
          <w:rFonts w:eastAsiaTheme="minorHAnsi"/>
          <w:sz w:val="22"/>
          <w:szCs w:val="22"/>
          <w:lang w:eastAsia="en-US"/>
        </w:rPr>
        <w:t>, K.R. and I.Y. Wang, 2010, CFOs and CEOs: Who have the most influence on earnings management</w:t>
      </w:r>
      <w:proofErr w:type="gramStart"/>
      <w:r w:rsidR="003F4872" w:rsidRPr="002B0847">
        <w:rPr>
          <w:rFonts w:eastAsiaTheme="minorHAnsi"/>
          <w:sz w:val="22"/>
          <w:szCs w:val="22"/>
          <w:lang w:eastAsia="en-US"/>
        </w:rPr>
        <w:t>?,</w:t>
      </w:r>
      <w:proofErr w:type="gramEnd"/>
      <w:r w:rsidRPr="002B0847">
        <w:rPr>
          <w:rFonts w:eastAsiaTheme="minorHAnsi"/>
          <w:sz w:val="22"/>
          <w:szCs w:val="22"/>
          <w:lang w:eastAsia="en-US"/>
        </w:rPr>
        <w:t xml:space="preserve"> </w:t>
      </w:r>
      <w:r w:rsidRPr="002B0847">
        <w:rPr>
          <w:rFonts w:eastAsiaTheme="minorHAnsi"/>
          <w:i/>
          <w:sz w:val="22"/>
          <w:szCs w:val="22"/>
          <w:lang w:eastAsia="en-US"/>
        </w:rPr>
        <w:t>Journal of Financial Economics</w:t>
      </w:r>
      <w:r w:rsidRPr="002B0847">
        <w:rPr>
          <w:rFonts w:eastAsiaTheme="minorHAnsi"/>
          <w:sz w:val="22"/>
          <w:szCs w:val="22"/>
          <w:lang w:eastAsia="en-US"/>
        </w:rPr>
        <w:t>, vol. 96: 513-526.</w:t>
      </w:r>
    </w:p>
    <w:p w:rsidR="00360DF6" w:rsidRDefault="00BC28E5" w:rsidP="00360DF6">
      <w:pPr>
        <w:spacing w:line="360" w:lineRule="auto"/>
        <w:ind w:left="454" w:hanging="454"/>
        <w:jc w:val="both"/>
        <w:rPr>
          <w:sz w:val="22"/>
          <w:szCs w:val="22"/>
        </w:rPr>
      </w:pPr>
      <w:r w:rsidRPr="002B0847">
        <w:rPr>
          <w:sz w:val="22"/>
          <w:szCs w:val="22"/>
        </w:rPr>
        <w:t xml:space="preserve">Jones, J., 1991, Earnings management during import relief investigations, </w:t>
      </w:r>
      <w:r w:rsidRPr="002B0847">
        <w:rPr>
          <w:i/>
          <w:sz w:val="22"/>
          <w:szCs w:val="22"/>
        </w:rPr>
        <w:t>Journal of accounting research</w:t>
      </w:r>
      <w:r w:rsidRPr="002B0847">
        <w:rPr>
          <w:sz w:val="22"/>
          <w:szCs w:val="22"/>
        </w:rPr>
        <w:t>, Vol. 29 (2): 193-228.</w:t>
      </w:r>
    </w:p>
    <w:p w:rsidR="00360DF6" w:rsidRDefault="00A80B7E" w:rsidP="00360DF6">
      <w:pPr>
        <w:spacing w:line="360" w:lineRule="auto"/>
        <w:ind w:left="454" w:hanging="454"/>
        <w:jc w:val="both"/>
        <w:rPr>
          <w:sz w:val="22"/>
          <w:szCs w:val="22"/>
        </w:rPr>
      </w:pPr>
      <w:proofErr w:type="spellStart"/>
      <w:r w:rsidRPr="00A80B7E">
        <w:rPr>
          <w:rFonts w:ascii="Times-Roman" w:hAnsi="Times-Roman" w:cs="Times-Roman"/>
          <w:sz w:val="22"/>
          <w:szCs w:val="22"/>
        </w:rPr>
        <w:t>Kanagaretnam</w:t>
      </w:r>
      <w:proofErr w:type="spellEnd"/>
      <w:r w:rsidRPr="00A80B7E">
        <w:rPr>
          <w:rFonts w:ascii="Times-Roman" w:hAnsi="Times-Roman" w:cs="Times-Roman"/>
          <w:sz w:val="22"/>
          <w:szCs w:val="22"/>
        </w:rPr>
        <w:t>, K., G. J. Lobo, an</w:t>
      </w:r>
      <w:r>
        <w:rPr>
          <w:rFonts w:ascii="Times-Roman" w:hAnsi="Times-Roman" w:cs="Times-Roman"/>
          <w:sz w:val="22"/>
          <w:szCs w:val="22"/>
        </w:rPr>
        <w:t>d D. Yang, 2004,</w:t>
      </w:r>
      <w:r w:rsidRPr="00A80B7E">
        <w:rPr>
          <w:rFonts w:ascii="Times-Roman" w:hAnsi="Times-Roman" w:cs="Times-Roman"/>
          <w:sz w:val="22"/>
          <w:szCs w:val="22"/>
        </w:rPr>
        <w:t xml:space="preserve"> Joint tests of signaling and income smoothing</w:t>
      </w:r>
      <w:r w:rsidR="00360DF6">
        <w:rPr>
          <w:sz w:val="22"/>
          <w:szCs w:val="22"/>
        </w:rPr>
        <w:t xml:space="preserve"> </w:t>
      </w:r>
      <w:r w:rsidRPr="00A80B7E">
        <w:rPr>
          <w:rFonts w:ascii="Times-Roman" w:hAnsi="Times-Roman" w:cs="Times-Roman"/>
          <w:sz w:val="22"/>
          <w:szCs w:val="22"/>
        </w:rPr>
        <w:t>through bank loan loss provisions</w:t>
      </w:r>
      <w:r>
        <w:rPr>
          <w:rFonts w:ascii="Times-Roman" w:hAnsi="Times-Roman" w:cs="Times-Roman"/>
          <w:sz w:val="22"/>
          <w:szCs w:val="22"/>
        </w:rPr>
        <w:t>,</w:t>
      </w:r>
      <w:r w:rsidRPr="00A80B7E">
        <w:rPr>
          <w:rFonts w:ascii="Times-Roman" w:hAnsi="Times-Roman" w:cs="Times-Roman"/>
          <w:sz w:val="22"/>
          <w:szCs w:val="22"/>
        </w:rPr>
        <w:t xml:space="preserve"> </w:t>
      </w:r>
      <w:r w:rsidRPr="00A80B7E">
        <w:rPr>
          <w:rFonts w:ascii="Times-Italic" w:hAnsi="Times-Italic" w:cs="Times-Italic"/>
          <w:i/>
          <w:iCs/>
          <w:sz w:val="22"/>
          <w:szCs w:val="22"/>
        </w:rPr>
        <w:t>Contemporary Accounting Research</w:t>
      </w:r>
      <w:r>
        <w:rPr>
          <w:rFonts w:ascii="Times-Italic" w:hAnsi="Times-Italic" w:cs="Times-Italic"/>
          <w:i/>
          <w:iCs/>
          <w:sz w:val="22"/>
          <w:szCs w:val="22"/>
        </w:rPr>
        <w:t>,</w:t>
      </w:r>
      <w:r w:rsidRPr="00A80B7E">
        <w:rPr>
          <w:rFonts w:ascii="Times-Italic" w:hAnsi="Times-Italic" w:cs="Times-Italic"/>
          <w:i/>
          <w:iCs/>
          <w:sz w:val="22"/>
          <w:szCs w:val="22"/>
        </w:rPr>
        <w:t xml:space="preserve"> </w:t>
      </w:r>
      <w:r w:rsidRPr="00A80B7E">
        <w:rPr>
          <w:rFonts w:ascii="Times-Roman" w:hAnsi="Times-Roman" w:cs="Times-Roman"/>
          <w:sz w:val="22"/>
          <w:szCs w:val="22"/>
        </w:rPr>
        <w:t>21 (4): 843-884.</w:t>
      </w:r>
    </w:p>
    <w:p w:rsidR="00360DF6" w:rsidRDefault="00E35725" w:rsidP="00360DF6">
      <w:pPr>
        <w:spacing w:line="360" w:lineRule="auto"/>
        <w:ind w:left="454" w:hanging="454"/>
        <w:jc w:val="both"/>
        <w:rPr>
          <w:sz w:val="22"/>
          <w:szCs w:val="22"/>
        </w:rPr>
      </w:pPr>
      <w:r w:rsidRPr="002B0847">
        <w:rPr>
          <w:sz w:val="22"/>
          <w:szCs w:val="22"/>
        </w:rPr>
        <w:t xml:space="preserve">Kothari, S.P., Leone, A.L. and C.E. </w:t>
      </w:r>
      <w:proofErr w:type="spellStart"/>
      <w:r w:rsidRPr="002B0847">
        <w:rPr>
          <w:sz w:val="22"/>
          <w:szCs w:val="22"/>
        </w:rPr>
        <w:t>Wasley</w:t>
      </w:r>
      <w:proofErr w:type="spellEnd"/>
      <w:r w:rsidRPr="002B0847">
        <w:rPr>
          <w:sz w:val="22"/>
          <w:szCs w:val="22"/>
        </w:rPr>
        <w:t>, 2005, Performance matched discretionary accrual</w:t>
      </w:r>
      <w:r w:rsidR="00360DF6">
        <w:rPr>
          <w:sz w:val="22"/>
          <w:szCs w:val="22"/>
        </w:rPr>
        <w:t xml:space="preserve"> m</w:t>
      </w:r>
      <w:r w:rsidR="00BC28E5" w:rsidRPr="002B0847">
        <w:rPr>
          <w:sz w:val="22"/>
          <w:szCs w:val="22"/>
        </w:rPr>
        <w:t>odels,</w:t>
      </w:r>
      <w:r w:rsidRPr="002B0847">
        <w:rPr>
          <w:sz w:val="22"/>
          <w:szCs w:val="22"/>
        </w:rPr>
        <w:t xml:space="preserve"> </w:t>
      </w:r>
      <w:r w:rsidRPr="002B0847">
        <w:rPr>
          <w:i/>
          <w:iCs/>
          <w:sz w:val="22"/>
          <w:szCs w:val="22"/>
        </w:rPr>
        <w:t>Journal of Accounting and Economics, 39</w:t>
      </w:r>
      <w:r w:rsidRPr="002B0847">
        <w:rPr>
          <w:sz w:val="22"/>
          <w:szCs w:val="22"/>
        </w:rPr>
        <w:t>(1): 163-197.</w:t>
      </w:r>
    </w:p>
    <w:p w:rsidR="00360DF6" w:rsidRDefault="003F4872" w:rsidP="00360DF6">
      <w:pPr>
        <w:spacing w:line="360" w:lineRule="auto"/>
        <w:ind w:left="454" w:hanging="454"/>
        <w:jc w:val="both"/>
        <w:rPr>
          <w:rFonts w:eastAsiaTheme="minorHAnsi"/>
          <w:sz w:val="22"/>
          <w:szCs w:val="22"/>
          <w:lang w:val="nl-NL" w:eastAsia="en-US"/>
        </w:rPr>
      </w:pPr>
      <w:proofErr w:type="spellStart"/>
      <w:r w:rsidRPr="002B0847">
        <w:rPr>
          <w:rFonts w:eastAsiaTheme="minorHAnsi"/>
          <w:sz w:val="22"/>
          <w:szCs w:val="22"/>
          <w:lang w:val="nl-NL" w:eastAsia="en-US"/>
        </w:rPr>
        <w:t>Knoops</w:t>
      </w:r>
      <w:proofErr w:type="spellEnd"/>
      <w:r w:rsidRPr="002B0847">
        <w:rPr>
          <w:rFonts w:eastAsiaTheme="minorHAnsi"/>
          <w:sz w:val="22"/>
          <w:szCs w:val="22"/>
          <w:lang w:val="nl-NL" w:eastAsia="en-US"/>
        </w:rPr>
        <w:t xml:space="preserve">, C., 2010, </w:t>
      </w:r>
      <w:proofErr w:type="spellStart"/>
      <w:r w:rsidRPr="002B0847">
        <w:rPr>
          <w:rFonts w:eastAsiaTheme="minorHAnsi"/>
          <w:i/>
          <w:sz w:val="22"/>
          <w:szCs w:val="22"/>
          <w:lang w:val="nl-NL" w:eastAsia="en-US"/>
        </w:rPr>
        <w:t>Verslaggevingstheorieën</w:t>
      </w:r>
      <w:proofErr w:type="spellEnd"/>
      <w:r w:rsidRPr="002B0847">
        <w:rPr>
          <w:rFonts w:eastAsiaTheme="minorHAnsi"/>
          <w:i/>
          <w:sz w:val="22"/>
          <w:szCs w:val="22"/>
          <w:lang w:val="nl-NL" w:eastAsia="en-US"/>
        </w:rPr>
        <w:t>: Een wetenschapsfilosofische analyse</w:t>
      </w:r>
      <w:r w:rsidRPr="002B0847">
        <w:rPr>
          <w:rFonts w:eastAsiaTheme="minorHAnsi"/>
          <w:sz w:val="22"/>
          <w:szCs w:val="22"/>
          <w:lang w:val="nl-NL" w:eastAsia="en-US"/>
        </w:rPr>
        <w:t>, Ridderprint</w:t>
      </w:r>
      <w:r w:rsidR="00FB7F33" w:rsidRPr="002B0847">
        <w:rPr>
          <w:rFonts w:eastAsiaTheme="minorHAnsi"/>
          <w:sz w:val="22"/>
          <w:szCs w:val="22"/>
          <w:lang w:val="nl-NL" w:eastAsia="en-US"/>
        </w:rPr>
        <w:t>:</w:t>
      </w:r>
      <w:r w:rsidRPr="002B0847">
        <w:rPr>
          <w:rFonts w:eastAsiaTheme="minorHAnsi"/>
          <w:sz w:val="22"/>
          <w:szCs w:val="22"/>
          <w:lang w:val="nl-NL" w:eastAsia="en-US"/>
        </w:rPr>
        <w:t xml:space="preserve"> </w:t>
      </w:r>
      <w:proofErr w:type="spellStart"/>
      <w:r w:rsidRPr="002B0847">
        <w:rPr>
          <w:rFonts w:eastAsiaTheme="minorHAnsi"/>
          <w:sz w:val="22"/>
          <w:szCs w:val="22"/>
          <w:lang w:val="nl-NL" w:eastAsia="en-US"/>
        </w:rPr>
        <w:t>Ridderkerk</w:t>
      </w:r>
      <w:proofErr w:type="spellEnd"/>
      <w:r w:rsidRPr="002B0847">
        <w:rPr>
          <w:rFonts w:eastAsiaTheme="minorHAnsi"/>
          <w:sz w:val="22"/>
          <w:szCs w:val="22"/>
          <w:lang w:val="nl-NL" w:eastAsia="en-US"/>
        </w:rPr>
        <w:t>.</w:t>
      </w:r>
    </w:p>
    <w:p w:rsidR="00360DF6" w:rsidRDefault="00384D22" w:rsidP="00360DF6">
      <w:pPr>
        <w:spacing w:line="360" w:lineRule="auto"/>
        <w:ind w:left="454" w:hanging="454"/>
        <w:jc w:val="both"/>
        <w:rPr>
          <w:rFonts w:eastAsiaTheme="minorHAnsi"/>
          <w:sz w:val="22"/>
          <w:szCs w:val="22"/>
          <w:lang w:eastAsia="en-US"/>
        </w:rPr>
      </w:pPr>
      <w:r w:rsidRPr="002B0847">
        <w:rPr>
          <w:rFonts w:eastAsiaTheme="minorHAnsi"/>
          <w:sz w:val="22"/>
          <w:szCs w:val="22"/>
          <w:lang w:eastAsia="en-US"/>
        </w:rPr>
        <w:t xml:space="preserve">Lev, B., 1989, </w:t>
      </w:r>
      <w:proofErr w:type="gramStart"/>
      <w:r w:rsidRPr="002B0847">
        <w:rPr>
          <w:rFonts w:eastAsiaTheme="minorHAnsi"/>
          <w:sz w:val="22"/>
          <w:szCs w:val="22"/>
          <w:lang w:eastAsia="en-US"/>
        </w:rPr>
        <w:t>On</w:t>
      </w:r>
      <w:proofErr w:type="gramEnd"/>
      <w:r w:rsidRPr="002B0847">
        <w:rPr>
          <w:rFonts w:eastAsiaTheme="minorHAnsi"/>
          <w:sz w:val="22"/>
          <w:szCs w:val="22"/>
          <w:lang w:eastAsia="en-US"/>
        </w:rPr>
        <w:t xml:space="preserve"> the usefulness of earnings and earnings research: Lessons and directions from two decades of empirical research, </w:t>
      </w:r>
      <w:r w:rsidRPr="002B0847">
        <w:rPr>
          <w:rFonts w:eastAsiaTheme="minorHAnsi"/>
          <w:i/>
          <w:sz w:val="22"/>
          <w:szCs w:val="22"/>
          <w:lang w:eastAsia="en-US"/>
        </w:rPr>
        <w:t>Journal of Accounting Research</w:t>
      </w:r>
      <w:r w:rsidRPr="002B0847">
        <w:rPr>
          <w:rFonts w:eastAsiaTheme="minorHAnsi"/>
          <w:sz w:val="22"/>
          <w:szCs w:val="22"/>
          <w:lang w:eastAsia="en-US"/>
        </w:rPr>
        <w:t>, vol. 27: 153-192.</w:t>
      </w:r>
    </w:p>
    <w:p w:rsidR="00360DF6" w:rsidRDefault="00481BC4" w:rsidP="00360DF6">
      <w:pPr>
        <w:spacing w:line="360" w:lineRule="auto"/>
        <w:ind w:left="454" w:hanging="454"/>
        <w:jc w:val="both"/>
        <w:rPr>
          <w:rFonts w:eastAsiaTheme="minorHAnsi"/>
          <w:sz w:val="22"/>
          <w:szCs w:val="22"/>
          <w:lang w:eastAsia="en-US"/>
        </w:rPr>
      </w:pPr>
      <w:proofErr w:type="spellStart"/>
      <w:r>
        <w:rPr>
          <w:rFonts w:eastAsiaTheme="minorHAnsi"/>
          <w:sz w:val="22"/>
          <w:szCs w:val="22"/>
          <w:lang w:eastAsia="en-US"/>
        </w:rPr>
        <w:t>Linsmeier</w:t>
      </w:r>
      <w:proofErr w:type="spellEnd"/>
      <w:r>
        <w:rPr>
          <w:rFonts w:eastAsiaTheme="minorHAnsi"/>
          <w:sz w:val="22"/>
          <w:szCs w:val="22"/>
          <w:lang w:eastAsia="en-US"/>
        </w:rPr>
        <w:t xml:space="preserve">, T.J. and N.D. Pearson, 2000, Value at Risk, </w:t>
      </w:r>
      <w:r w:rsidRPr="00481BC4">
        <w:rPr>
          <w:rFonts w:eastAsiaTheme="minorHAnsi"/>
          <w:i/>
          <w:sz w:val="22"/>
          <w:szCs w:val="22"/>
          <w:lang w:eastAsia="en-US"/>
        </w:rPr>
        <w:t>Financial Analysts Journal</w:t>
      </w:r>
      <w:r>
        <w:rPr>
          <w:rFonts w:eastAsiaTheme="minorHAnsi"/>
          <w:sz w:val="22"/>
          <w:szCs w:val="22"/>
          <w:lang w:eastAsia="en-US"/>
        </w:rPr>
        <w:t>, Vol. 56, No. 2: 47-67.</w:t>
      </w:r>
    </w:p>
    <w:p w:rsidR="00360DF6" w:rsidRDefault="004A1197" w:rsidP="00360DF6">
      <w:pPr>
        <w:spacing w:line="360" w:lineRule="auto"/>
        <w:ind w:left="454" w:hanging="454"/>
        <w:jc w:val="both"/>
        <w:rPr>
          <w:rFonts w:ascii="Times-Roman" w:hAnsi="Times-Roman" w:cs="Times-Roman"/>
          <w:sz w:val="22"/>
          <w:szCs w:val="22"/>
        </w:rPr>
      </w:pPr>
      <w:r>
        <w:rPr>
          <w:rFonts w:ascii="Times-Roman" w:hAnsi="Times-Roman" w:cs="Times-Roman"/>
          <w:sz w:val="22"/>
          <w:szCs w:val="22"/>
        </w:rPr>
        <w:t>Liu, C. and S.G. Ryan, 2006,</w:t>
      </w:r>
      <w:r w:rsidRPr="004A1197">
        <w:rPr>
          <w:rFonts w:ascii="Times-Roman" w:hAnsi="Times-Roman" w:cs="Times-Roman"/>
          <w:sz w:val="22"/>
          <w:szCs w:val="22"/>
        </w:rPr>
        <w:t xml:space="preserve"> Income smoothing over the business cycle: Changes in banks'</w:t>
      </w:r>
      <w:r>
        <w:rPr>
          <w:rFonts w:ascii="Times-Roman" w:hAnsi="Times-Roman" w:cs="Times-Roman"/>
          <w:sz w:val="22"/>
          <w:szCs w:val="22"/>
        </w:rPr>
        <w:t xml:space="preserve"> </w:t>
      </w:r>
      <w:r w:rsidRPr="004A1197">
        <w:rPr>
          <w:rFonts w:ascii="Times-Roman" w:hAnsi="Times-Roman" w:cs="Times-Roman"/>
          <w:sz w:val="22"/>
          <w:szCs w:val="22"/>
        </w:rPr>
        <w:t>coordinated management of provisions for loan losses and loan charge-offs from the pre-</w:t>
      </w:r>
      <w:r>
        <w:rPr>
          <w:rFonts w:ascii="Times-Roman" w:hAnsi="Times-Roman" w:cs="Times-Roman"/>
          <w:sz w:val="22"/>
          <w:szCs w:val="22"/>
        </w:rPr>
        <w:t>1990 bust to the 1990s boom,</w:t>
      </w:r>
      <w:r w:rsidRPr="004A1197">
        <w:rPr>
          <w:rFonts w:ascii="Times-Roman" w:hAnsi="Times-Roman" w:cs="Times-Roman"/>
          <w:sz w:val="22"/>
          <w:szCs w:val="22"/>
        </w:rPr>
        <w:t xml:space="preserve"> </w:t>
      </w:r>
      <w:r w:rsidRPr="004A1197">
        <w:rPr>
          <w:rFonts w:ascii="Times-Italic" w:hAnsi="Times-Italic" w:cs="Times-Italic"/>
          <w:i/>
          <w:iCs/>
          <w:sz w:val="22"/>
          <w:szCs w:val="22"/>
        </w:rPr>
        <w:t xml:space="preserve">The Accounting Review </w:t>
      </w:r>
      <w:r w:rsidRPr="004A1197">
        <w:rPr>
          <w:rFonts w:ascii="Times-Roman" w:hAnsi="Times-Roman" w:cs="Times-Roman"/>
          <w:sz w:val="22"/>
          <w:szCs w:val="22"/>
        </w:rPr>
        <w:t>81 (2): 421-441.</w:t>
      </w:r>
    </w:p>
    <w:p w:rsidR="00766179" w:rsidRDefault="00766179" w:rsidP="00360DF6">
      <w:pPr>
        <w:spacing w:line="360" w:lineRule="auto"/>
        <w:ind w:left="454" w:hanging="454"/>
        <w:jc w:val="both"/>
        <w:rPr>
          <w:rFonts w:ascii="Times-Roman" w:hAnsi="Times-Roman" w:cs="Times-Roman"/>
          <w:sz w:val="22"/>
          <w:szCs w:val="22"/>
        </w:rPr>
      </w:pPr>
      <w:r>
        <w:rPr>
          <w:rFonts w:ascii="Times-Roman" w:hAnsi="Times-Roman" w:cs="Times-Roman"/>
          <w:sz w:val="22"/>
          <w:szCs w:val="22"/>
        </w:rPr>
        <w:t xml:space="preserve">McEnroe, J.E., 2007, Perceptions of the effect of Sarbanes-Oxley on earnings management practices, </w:t>
      </w:r>
      <w:r w:rsidRPr="00766179">
        <w:rPr>
          <w:rFonts w:ascii="Times-Roman" w:hAnsi="Times-Roman" w:cs="Times-Roman"/>
          <w:i/>
          <w:sz w:val="22"/>
          <w:szCs w:val="22"/>
        </w:rPr>
        <w:t>Research in Accounting Regulation</w:t>
      </w:r>
      <w:r>
        <w:rPr>
          <w:rFonts w:ascii="Times-Roman" w:hAnsi="Times-Roman" w:cs="Times-Roman"/>
          <w:sz w:val="22"/>
          <w:szCs w:val="22"/>
        </w:rPr>
        <w:t>, vol. 19: 137-157.</w:t>
      </w:r>
    </w:p>
    <w:p w:rsidR="00360DF6" w:rsidRDefault="009A5394" w:rsidP="00360DF6">
      <w:pPr>
        <w:spacing w:line="360" w:lineRule="auto"/>
        <w:ind w:left="454" w:hanging="454"/>
        <w:jc w:val="both"/>
        <w:rPr>
          <w:sz w:val="22"/>
          <w:szCs w:val="22"/>
        </w:rPr>
      </w:pPr>
      <w:r w:rsidRPr="002B0847">
        <w:rPr>
          <w:sz w:val="22"/>
          <w:szCs w:val="22"/>
        </w:rPr>
        <w:t xml:space="preserve">McKee, T.J., 2005, Earnings Management: An Executive Perspective, </w:t>
      </w:r>
      <w:r w:rsidRPr="002B0847">
        <w:rPr>
          <w:i/>
          <w:sz w:val="22"/>
          <w:szCs w:val="22"/>
        </w:rPr>
        <w:t>South-Western</w:t>
      </w:r>
      <w:r w:rsidRPr="002B0847">
        <w:rPr>
          <w:sz w:val="22"/>
          <w:szCs w:val="22"/>
        </w:rPr>
        <w:t>, Mason, Ohio.</w:t>
      </w:r>
    </w:p>
    <w:p w:rsidR="00360DF6" w:rsidRDefault="00E35725" w:rsidP="00360DF6">
      <w:pPr>
        <w:spacing w:line="360" w:lineRule="auto"/>
        <w:ind w:left="454" w:hanging="454"/>
        <w:jc w:val="both"/>
        <w:rPr>
          <w:sz w:val="22"/>
          <w:szCs w:val="22"/>
        </w:rPr>
      </w:pPr>
      <w:proofErr w:type="spellStart"/>
      <w:r w:rsidRPr="002B0847">
        <w:rPr>
          <w:sz w:val="22"/>
          <w:szCs w:val="22"/>
        </w:rPr>
        <w:t>McNichols</w:t>
      </w:r>
      <w:proofErr w:type="spellEnd"/>
      <w:r w:rsidRPr="002B0847">
        <w:rPr>
          <w:sz w:val="22"/>
          <w:szCs w:val="22"/>
        </w:rPr>
        <w:t xml:space="preserve">, M.F., 2000, Research design issues in earnings management studies, </w:t>
      </w:r>
      <w:r w:rsidRPr="002B0847">
        <w:rPr>
          <w:i/>
          <w:iCs/>
          <w:sz w:val="22"/>
          <w:szCs w:val="22"/>
        </w:rPr>
        <w:t>Journal of Accounting and Public Policy</w:t>
      </w:r>
      <w:r w:rsidRPr="002B0847">
        <w:rPr>
          <w:sz w:val="22"/>
          <w:szCs w:val="22"/>
        </w:rPr>
        <w:t>, vol. 19: 313-345.</w:t>
      </w:r>
    </w:p>
    <w:p w:rsidR="00360DF6" w:rsidRDefault="00D17412" w:rsidP="00360DF6">
      <w:pPr>
        <w:spacing w:line="360" w:lineRule="auto"/>
        <w:ind w:left="454" w:hanging="454"/>
        <w:jc w:val="both"/>
        <w:rPr>
          <w:rFonts w:eastAsiaTheme="minorHAnsi"/>
          <w:sz w:val="22"/>
          <w:szCs w:val="22"/>
          <w:lang w:eastAsia="en-US"/>
        </w:rPr>
      </w:pPr>
      <w:proofErr w:type="gramStart"/>
      <w:r w:rsidRPr="002B0847">
        <w:rPr>
          <w:rFonts w:eastAsiaTheme="minorHAnsi"/>
          <w:sz w:val="22"/>
          <w:szCs w:val="22"/>
          <w:lang w:eastAsia="en-US"/>
        </w:rPr>
        <w:t xml:space="preserve">Murphy, K.J., 1999, </w:t>
      </w:r>
      <w:r w:rsidRPr="00481BC4">
        <w:rPr>
          <w:rFonts w:eastAsiaTheme="minorHAnsi"/>
          <w:i/>
          <w:sz w:val="22"/>
          <w:szCs w:val="22"/>
          <w:lang w:eastAsia="en-US"/>
        </w:rPr>
        <w:t>Executive compensation</w:t>
      </w:r>
      <w:r w:rsidRPr="002B0847">
        <w:rPr>
          <w:rFonts w:eastAsiaTheme="minorHAnsi"/>
          <w:sz w:val="22"/>
          <w:szCs w:val="22"/>
          <w:lang w:eastAsia="en-US"/>
        </w:rPr>
        <w:t xml:space="preserve">, Working Paper, </w:t>
      </w:r>
      <w:r w:rsidRPr="00481BC4">
        <w:rPr>
          <w:rFonts w:eastAsiaTheme="minorHAnsi"/>
          <w:sz w:val="22"/>
          <w:szCs w:val="22"/>
          <w:lang w:eastAsia="en-US"/>
        </w:rPr>
        <w:t>University of Southern California</w:t>
      </w:r>
      <w:r w:rsidRPr="002B0847">
        <w:rPr>
          <w:rFonts w:eastAsiaTheme="minorHAnsi"/>
          <w:sz w:val="22"/>
          <w:szCs w:val="22"/>
          <w:lang w:eastAsia="en-US"/>
        </w:rPr>
        <w:t>.</w:t>
      </w:r>
      <w:proofErr w:type="gramEnd"/>
    </w:p>
    <w:p w:rsidR="00360DF6" w:rsidRDefault="00D17412" w:rsidP="00360DF6">
      <w:pPr>
        <w:spacing w:line="360" w:lineRule="auto"/>
        <w:ind w:left="454" w:hanging="454"/>
        <w:jc w:val="both"/>
        <w:rPr>
          <w:sz w:val="22"/>
          <w:szCs w:val="22"/>
        </w:rPr>
      </w:pPr>
      <w:proofErr w:type="spellStart"/>
      <w:r w:rsidRPr="002B0847">
        <w:rPr>
          <w:sz w:val="22"/>
          <w:szCs w:val="22"/>
        </w:rPr>
        <w:t>Peasnell</w:t>
      </w:r>
      <w:proofErr w:type="spellEnd"/>
      <w:r w:rsidRPr="002B0847">
        <w:rPr>
          <w:sz w:val="22"/>
          <w:szCs w:val="22"/>
        </w:rPr>
        <w:t xml:space="preserve">, K.V., Pope, P.F. and S. Young, 2000, </w:t>
      </w:r>
      <w:proofErr w:type="gramStart"/>
      <w:r w:rsidRPr="002B0847">
        <w:rPr>
          <w:sz w:val="22"/>
          <w:szCs w:val="22"/>
        </w:rPr>
        <w:t>Detecting</w:t>
      </w:r>
      <w:proofErr w:type="gramEnd"/>
      <w:r w:rsidRPr="002B0847">
        <w:rPr>
          <w:sz w:val="22"/>
          <w:szCs w:val="22"/>
        </w:rPr>
        <w:t xml:space="preserve"> earnings management using cross-sectional abnormal accruals models, </w:t>
      </w:r>
      <w:r w:rsidRPr="002B0847">
        <w:rPr>
          <w:i/>
          <w:iCs/>
          <w:sz w:val="22"/>
          <w:szCs w:val="22"/>
        </w:rPr>
        <w:t>Accounting and Business Research</w:t>
      </w:r>
      <w:r w:rsidRPr="002B0847">
        <w:rPr>
          <w:sz w:val="22"/>
          <w:szCs w:val="22"/>
        </w:rPr>
        <w:t>, vol. 30, no. 4: 313-326.</w:t>
      </w:r>
    </w:p>
    <w:p w:rsidR="00360DF6" w:rsidRDefault="003D261C" w:rsidP="00360DF6">
      <w:pPr>
        <w:spacing w:line="360" w:lineRule="auto"/>
        <w:ind w:left="454" w:hanging="454"/>
        <w:jc w:val="both"/>
        <w:rPr>
          <w:sz w:val="22"/>
          <w:szCs w:val="22"/>
        </w:rPr>
      </w:pPr>
      <w:proofErr w:type="spellStart"/>
      <w:proofErr w:type="gramStart"/>
      <w:r w:rsidRPr="002B0847">
        <w:rPr>
          <w:sz w:val="22"/>
          <w:szCs w:val="22"/>
        </w:rPr>
        <w:t>Palepu</w:t>
      </w:r>
      <w:proofErr w:type="spellEnd"/>
      <w:r w:rsidRPr="002B0847">
        <w:rPr>
          <w:sz w:val="22"/>
          <w:szCs w:val="22"/>
        </w:rPr>
        <w:t xml:space="preserve">, K.G., Healy, P.M., Bernard, V.L. and E. Peek, 2007, </w:t>
      </w:r>
      <w:r w:rsidRPr="002B0847">
        <w:rPr>
          <w:i/>
          <w:sz w:val="22"/>
          <w:szCs w:val="22"/>
        </w:rPr>
        <w:t>Business Analysis and Valuation, IFRS Edition</w:t>
      </w:r>
      <w:r w:rsidRPr="002B0847">
        <w:rPr>
          <w:sz w:val="22"/>
          <w:szCs w:val="22"/>
        </w:rPr>
        <w:t xml:space="preserve">, </w:t>
      </w:r>
      <w:proofErr w:type="spellStart"/>
      <w:r w:rsidRPr="002B0847">
        <w:rPr>
          <w:sz w:val="22"/>
          <w:szCs w:val="22"/>
        </w:rPr>
        <w:t>Cengage</w:t>
      </w:r>
      <w:proofErr w:type="spellEnd"/>
      <w:r w:rsidRPr="002B0847">
        <w:rPr>
          <w:sz w:val="22"/>
          <w:szCs w:val="22"/>
        </w:rPr>
        <w:t xml:space="preserve"> Learning EMEA</w:t>
      </w:r>
      <w:r w:rsidR="00510DF1" w:rsidRPr="002B0847">
        <w:rPr>
          <w:sz w:val="22"/>
          <w:szCs w:val="22"/>
        </w:rPr>
        <w:t xml:space="preserve">, </w:t>
      </w:r>
      <w:proofErr w:type="spellStart"/>
      <w:r w:rsidR="00510DF1" w:rsidRPr="002B0847">
        <w:rPr>
          <w:sz w:val="22"/>
          <w:szCs w:val="22"/>
        </w:rPr>
        <w:t>Londen</w:t>
      </w:r>
      <w:proofErr w:type="spellEnd"/>
      <w:r w:rsidRPr="002B0847">
        <w:rPr>
          <w:sz w:val="22"/>
          <w:szCs w:val="22"/>
        </w:rPr>
        <w:t>.</w:t>
      </w:r>
      <w:proofErr w:type="gramEnd"/>
    </w:p>
    <w:p w:rsidR="00360DF6" w:rsidRDefault="00675409" w:rsidP="00360DF6">
      <w:pPr>
        <w:spacing w:line="360" w:lineRule="auto"/>
        <w:ind w:left="454" w:hanging="454"/>
        <w:jc w:val="both"/>
        <w:rPr>
          <w:sz w:val="22"/>
          <w:szCs w:val="22"/>
        </w:rPr>
      </w:pPr>
      <w:proofErr w:type="spellStart"/>
      <w:r>
        <w:rPr>
          <w:sz w:val="22"/>
          <w:szCs w:val="22"/>
        </w:rPr>
        <w:t>Pérignon</w:t>
      </w:r>
      <w:proofErr w:type="spellEnd"/>
      <w:r>
        <w:rPr>
          <w:sz w:val="22"/>
          <w:szCs w:val="22"/>
        </w:rPr>
        <w:t>, C., Deng, Z.Y. and Z.J Wang, 2008,</w:t>
      </w:r>
      <w:r w:rsidR="00481BC4">
        <w:rPr>
          <w:sz w:val="22"/>
          <w:szCs w:val="22"/>
        </w:rPr>
        <w:t xml:space="preserve"> </w:t>
      </w:r>
      <w:proofErr w:type="gramStart"/>
      <w:r>
        <w:rPr>
          <w:sz w:val="22"/>
          <w:szCs w:val="22"/>
        </w:rPr>
        <w:t>Do</w:t>
      </w:r>
      <w:proofErr w:type="gramEnd"/>
      <w:r>
        <w:rPr>
          <w:sz w:val="22"/>
          <w:szCs w:val="22"/>
        </w:rPr>
        <w:t xml:space="preserve"> banks overstate their Value-at-Risk? Journal of Banking &amp; Finance, Vol. 32: 783-794.</w:t>
      </w:r>
    </w:p>
    <w:p w:rsidR="00360DF6" w:rsidRDefault="00B76FB8" w:rsidP="00360DF6">
      <w:pPr>
        <w:spacing w:line="360" w:lineRule="auto"/>
        <w:ind w:left="454" w:hanging="454"/>
        <w:jc w:val="both"/>
        <w:rPr>
          <w:sz w:val="22"/>
          <w:szCs w:val="22"/>
        </w:rPr>
      </w:pPr>
      <w:r w:rsidRPr="002B0847">
        <w:rPr>
          <w:sz w:val="22"/>
          <w:szCs w:val="22"/>
        </w:rPr>
        <w:t xml:space="preserve">Prowse S., 1994, Corporate governance in an </w:t>
      </w:r>
      <w:proofErr w:type="spellStart"/>
      <w:r w:rsidRPr="002B0847">
        <w:rPr>
          <w:sz w:val="22"/>
          <w:szCs w:val="22"/>
        </w:rPr>
        <w:t>internatuinal</w:t>
      </w:r>
      <w:proofErr w:type="spellEnd"/>
      <w:r w:rsidRPr="002B0847">
        <w:rPr>
          <w:sz w:val="22"/>
          <w:szCs w:val="22"/>
        </w:rPr>
        <w:t xml:space="preserve"> perspective: a survey of corporate control mechanisms among large firms in the United States, the United Kingdom, Japan and Germany, </w:t>
      </w:r>
      <w:r w:rsidRPr="002B0847">
        <w:rPr>
          <w:i/>
          <w:sz w:val="22"/>
          <w:szCs w:val="22"/>
        </w:rPr>
        <w:t>BIS Economic papers</w:t>
      </w:r>
      <w:r w:rsidRPr="002B0847">
        <w:rPr>
          <w:sz w:val="22"/>
          <w:szCs w:val="22"/>
        </w:rPr>
        <w:t>, no. 41, July: 1-82.</w:t>
      </w:r>
    </w:p>
    <w:p w:rsidR="00360DF6" w:rsidRDefault="00B31223" w:rsidP="00360DF6">
      <w:pPr>
        <w:spacing w:line="360" w:lineRule="auto"/>
        <w:ind w:left="454" w:hanging="454"/>
        <w:jc w:val="both"/>
        <w:rPr>
          <w:sz w:val="22"/>
          <w:szCs w:val="22"/>
        </w:rPr>
      </w:pPr>
      <w:r w:rsidRPr="002B0847">
        <w:rPr>
          <w:sz w:val="22"/>
          <w:szCs w:val="22"/>
        </w:rPr>
        <w:lastRenderedPageBreak/>
        <w:t xml:space="preserve">Ronen, J. and V. </w:t>
      </w:r>
      <w:proofErr w:type="spellStart"/>
      <w:r w:rsidRPr="002B0847">
        <w:rPr>
          <w:sz w:val="22"/>
          <w:szCs w:val="22"/>
        </w:rPr>
        <w:t>Yaari</w:t>
      </w:r>
      <w:proofErr w:type="spellEnd"/>
      <w:r w:rsidRPr="002B0847">
        <w:rPr>
          <w:sz w:val="22"/>
          <w:szCs w:val="22"/>
        </w:rPr>
        <w:t xml:space="preserve">, 2008, Earnings Management: Emerging Insights in Theory, Practice and Research, </w:t>
      </w:r>
      <w:r w:rsidRPr="002B0847">
        <w:rPr>
          <w:i/>
          <w:sz w:val="22"/>
          <w:szCs w:val="22"/>
        </w:rPr>
        <w:t xml:space="preserve">Springer </w:t>
      </w:r>
      <w:proofErr w:type="spellStart"/>
      <w:r w:rsidRPr="002B0847">
        <w:rPr>
          <w:i/>
          <w:sz w:val="22"/>
          <w:szCs w:val="22"/>
        </w:rPr>
        <w:t>Science+Business</w:t>
      </w:r>
      <w:proofErr w:type="spellEnd"/>
      <w:r w:rsidRPr="002B0847">
        <w:rPr>
          <w:i/>
          <w:sz w:val="22"/>
          <w:szCs w:val="22"/>
        </w:rPr>
        <w:t xml:space="preserve"> Media</w:t>
      </w:r>
      <w:r w:rsidRPr="002B0847">
        <w:rPr>
          <w:sz w:val="22"/>
          <w:szCs w:val="22"/>
        </w:rPr>
        <w:t>, New York, USA.</w:t>
      </w:r>
    </w:p>
    <w:p w:rsidR="00360DF6" w:rsidRDefault="00536807" w:rsidP="00360DF6">
      <w:pPr>
        <w:spacing w:line="360" w:lineRule="auto"/>
        <w:ind w:left="454" w:hanging="454"/>
        <w:jc w:val="both"/>
      </w:pPr>
      <w:hyperlink r:id="rId9" w:anchor="bb11" w:history="1">
        <w:proofErr w:type="spellStart"/>
        <w:r w:rsidR="00C203A9" w:rsidRPr="002B0847">
          <w:t>Schipper</w:t>
        </w:r>
        <w:proofErr w:type="spellEnd"/>
      </w:hyperlink>
      <w:r w:rsidR="00C203A9" w:rsidRPr="002B0847">
        <w:t>, K., 1989, Earnings management</w:t>
      </w:r>
      <w:r w:rsidR="00C203A9" w:rsidRPr="002B0847">
        <w:rPr>
          <w:i/>
        </w:rPr>
        <w:t>,</w:t>
      </w:r>
      <w:r w:rsidR="00C203A9" w:rsidRPr="002B0847">
        <w:t xml:space="preserve"> </w:t>
      </w:r>
      <w:r w:rsidR="00C203A9" w:rsidRPr="002B0847">
        <w:rPr>
          <w:i/>
          <w:iCs/>
        </w:rPr>
        <w:t>Accounting Horizons</w:t>
      </w:r>
      <w:r w:rsidR="00C203A9" w:rsidRPr="002B0847">
        <w:rPr>
          <w:i/>
        </w:rPr>
        <w:t xml:space="preserve"> </w:t>
      </w:r>
      <w:r w:rsidR="00C203A9" w:rsidRPr="002B0847">
        <w:rPr>
          <w:rStyle w:val="Zwaar"/>
          <w:b w:val="0"/>
          <w:i/>
        </w:rPr>
        <w:t>3</w:t>
      </w:r>
      <w:r w:rsidR="00C203A9" w:rsidRPr="002B0847">
        <w:rPr>
          <w:i/>
        </w:rPr>
        <w:t xml:space="preserve"> </w:t>
      </w:r>
      <w:r w:rsidR="00C203A9" w:rsidRPr="002B0847">
        <w:t>(4)</w:t>
      </w:r>
      <w:r w:rsidR="0036599A" w:rsidRPr="002B0847">
        <w:t>:</w:t>
      </w:r>
      <w:r w:rsidR="00C203A9" w:rsidRPr="002B0847">
        <w:t xml:space="preserve"> 91–102</w:t>
      </w:r>
      <w:r w:rsidR="00360DF6">
        <w:t>.</w:t>
      </w:r>
    </w:p>
    <w:p w:rsidR="00360DF6" w:rsidRDefault="00D17412" w:rsidP="00360DF6">
      <w:pPr>
        <w:spacing w:line="360" w:lineRule="auto"/>
        <w:ind w:left="454" w:hanging="454"/>
        <w:jc w:val="both"/>
        <w:rPr>
          <w:sz w:val="22"/>
          <w:szCs w:val="22"/>
        </w:rPr>
      </w:pPr>
      <w:proofErr w:type="gramStart"/>
      <w:r w:rsidRPr="002B0847">
        <w:rPr>
          <w:sz w:val="22"/>
          <w:szCs w:val="22"/>
        </w:rPr>
        <w:t>Securities and Exchange Commission, 2006.</w:t>
      </w:r>
      <w:proofErr w:type="gramEnd"/>
      <w:r w:rsidRPr="002B0847">
        <w:rPr>
          <w:sz w:val="22"/>
          <w:szCs w:val="22"/>
        </w:rPr>
        <w:t xml:space="preserve"> Final rule: executive compensation and related person disclosure. Release No. 33-8732a. File No. s7-03-06.</w:t>
      </w:r>
    </w:p>
    <w:p w:rsidR="00360DF6" w:rsidRDefault="00A36FFF" w:rsidP="00360DF6">
      <w:pPr>
        <w:spacing w:line="360" w:lineRule="auto"/>
        <w:ind w:left="454" w:hanging="454"/>
        <w:jc w:val="both"/>
        <w:rPr>
          <w:sz w:val="22"/>
          <w:szCs w:val="22"/>
        </w:rPr>
      </w:pPr>
      <w:proofErr w:type="spellStart"/>
      <w:r w:rsidRPr="002B0847">
        <w:rPr>
          <w:sz w:val="22"/>
          <w:szCs w:val="22"/>
        </w:rPr>
        <w:t>Stolowy</w:t>
      </w:r>
      <w:proofErr w:type="spellEnd"/>
      <w:r w:rsidRPr="002B0847">
        <w:rPr>
          <w:sz w:val="22"/>
          <w:szCs w:val="22"/>
        </w:rPr>
        <w:t xml:space="preserve">, H. and G. Breton, 2004, Accounts Manipulation: A Literature Review and Proposed Conceptual Framework, </w:t>
      </w:r>
      <w:r w:rsidRPr="002B0847">
        <w:rPr>
          <w:i/>
          <w:iCs/>
          <w:sz w:val="22"/>
          <w:szCs w:val="22"/>
        </w:rPr>
        <w:t>Review of Accounting and Finance</w:t>
      </w:r>
      <w:r w:rsidRPr="002B0847">
        <w:rPr>
          <w:sz w:val="22"/>
          <w:szCs w:val="22"/>
        </w:rPr>
        <w:t>, vol. 3, no. 1: 5-66.</w:t>
      </w:r>
    </w:p>
    <w:p w:rsidR="00360DF6" w:rsidRDefault="00D17412" w:rsidP="00360DF6">
      <w:pPr>
        <w:spacing w:line="360" w:lineRule="auto"/>
        <w:ind w:left="454" w:hanging="454"/>
        <w:jc w:val="both"/>
        <w:rPr>
          <w:sz w:val="22"/>
          <w:szCs w:val="22"/>
        </w:rPr>
      </w:pPr>
      <w:r w:rsidRPr="002B0847">
        <w:rPr>
          <w:sz w:val="22"/>
          <w:szCs w:val="22"/>
        </w:rPr>
        <w:t xml:space="preserve">Story, L., 2008, US: On Wall Street, Bonuses, Not Profits, Were Real, </w:t>
      </w:r>
      <w:proofErr w:type="gramStart"/>
      <w:r w:rsidRPr="002B0847">
        <w:rPr>
          <w:i/>
          <w:sz w:val="22"/>
          <w:szCs w:val="22"/>
        </w:rPr>
        <w:t>The</w:t>
      </w:r>
      <w:proofErr w:type="gramEnd"/>
      <w:r w:rsidRPr="002B0847">
        <w:rPr>
          <w:i/>
          <w:sz w:val="22"/>
          <w:szCs w:val="22"/>
        </w:rPr>
        <w:t xml:space="preserve"> New York Times</w:t>
      </w:r>
      <w:r w:rsidRPr="002B0847">
        <w:rPr>
          <w:sz w:val="22"/>
          <w:szCs w:val="22"/>
        </w:rPr>
        <w:t>, December 17</w:t>
      </w:r>
      <w:r w:rsidRPr="002B0847">
        <w:rPr>
          <w:sz w:val="22"/>
          <w:szCs w:val="22"/>
          <w:vertAlign w:val="superscript"/>
        </w:rPr>
        <w:t>th</w:t>
      </w:r>
      <w:r w:rsidRPr="002B0847">
        <w:rPr>
          <w:sz w:val="22"/>
          <w:szCs w:val="22"/>
        </w:rPr>
        <w:t>, 2008.</w:t>
      </w:r>
    </w:p>
    <w:p w:rsidR="00360DF6" w:rsidRDefault="0082105C" w:rsidP="00360DF6">
      <w:pPr>
        <w:spacing w:line="360" w:lineRule="auto"/>
        <w:ind w:left="454" w:hanging="454"/>
        <w:jc w:val="both"/>
        <w:rPr>
          <w:sz w:val="22"/>
          <w:szCs w:val="22"/>
          <w:lang w:val="nl-NL"/>
        </w:rPr>
      </w:pPr>
      <w:proofErr w:type="spellStart"/>
      <w:r w:rsidRPr="002B0847">
        <w:rPr>
          <w:sz w:val="22"/>
          <w:szCs w:val="22"/>
          <w:lang w:val="nl-NL"/>
        </w:rPr>
        <w:t>VanderBauwhede</w:t>
      </w:r>
      <w:proofErr w:type="spellEnd"/>
      <w:r w:rsidRPr="002B0847">
        <w:rPr>
          <w:sz w:val="22"/>
          <w:szCs w:val="22"/>
          <w:lang w:val="nl-NL"/>
        </w:rPr>
        <w:t xml:space="preserve">, H., 2003, Resultaatsturing en kapitaalmarkten. Een overzicht van de academische literatuur, </w:t>
      </w:r>
      <w:r w:rsidRPr="002B0847">
        <w:rPr>
          <w:i/>
          <w:iCs/>
          <w:sz w:val="22"/>
          <w:szCs w:val="22"/>
          <w:lang w:val="nl-NL"/>
        </w:rPr>
        <w:t>Maandblad voor Accountancy en Bedrijfseconomie, 77</w:t>
      </w:r>
      <w:r w:rsidRPr="002B0847">
        <w:rPr>
          <w:sz w:val="22"/>
          <w:szCs w:val="22"/>
          <w:lang w:val="nl-NL"/>
        </w:rPr>
        <w:t>(5): 196-204.</w:t>
      </w:r>
    </w:p>
    <w:p w:rsidR="00360DF6" w:rsidRDefault="0036599A" w:rsidP="00360DF6">
      <w:pPr>
        <w:spacing w:line="360" w:lineRule="auto"/>
        <w:ind w:left="454" w:hanging="454"/>
        <w:jc w:val="both"/>
        <w:rPr>
          <w:sz w:val="22"/>
          <w:szCs w:val="22"/>
        </w:rPr>
      </w:pPr>
      <w:r w:rsidRPr="002B0847">
        <w:rPr>
          <w:sz w:val="22"/>
          <w:szCs w:val="22"/>
        </w:rPr>
        <w:t xml:space="preserve">Watts, R.L. and J.L. Zimmerman, 1978, Towards a Positive Theory of the Determination of Accounting Standards, </w:t>
      </w:r>
      <w:r w:rsidRPr="002B0847">
        <w:rPr>
          <w:i/>
          <w:sz w:val="22"/>
          <w:szCs w:val="22"/>
        </w:rPr>
        <w:t>The Accounting Review</w:t>
      </w:r>
      <w:r w:rsidRPr="002B0847">
        <w:rPr>
          <w:sz w:val="22"/>
          <w:szCs w:val="22"/>
        </w:rPr>
        <w:t>, vol. 53, no. 2: 112-134.</w:t>
      </w:r>
    </w:p>
    <w:p w:rsidR="002B0847" w:rsidRDefault="002B0847" w:rsidP="00360DF6">
      <w:pPr>
        <w:spacing w:line="360" w:lineRule="auto"/>
        <w:ind w:left="454" w:hanging="454"/>
        <w:jc w:val="both"/>
        <w:rPr>
          <w:sz w:val="22"/>
          <w:szCs w:val="22"/>
          <w:lang w:val="en-GB"/>
        </w:rPr>
      </w:pPr>
      <w:r w:rsidRPr="002B0847">
        <w:rPr>
          <w:sz w:val="22"/>
          <w:szCs w:val="22"/>
          <w:lang w:val="en-GB"/>
        </w:rPr>
        <w:t xml:space="preserve">Wetmore, J. L. and J.R. Brick, 1994, Loan-loss provisions of commercial banks and adequate disclosure: A note, </w:t>
      </w:r>
      <w:r w:rsidRPr="002B0847">
        <w:rPr>
          <w:i/>
          <w:iCs/>
          <w:sz w:val="22"/>
          <w:szCs w:val="22"/>
          <w:lang w:val="en-GB"/>
        </w:rPr>
        <w:t>Journal of Economics and Business</w:t>
      </w:r>
      <w:r w:rsidRPr="002B0847">
        <w:rPr>
          <w:sz w:val="22"/>
          <w:szCs w:val="22"/>
          <w:lang w:val="en-GB"/>
        </w:rPr>
        <w:t xml:space="preserve">, vol. </w:t>
      </w:r>
      <w:r w:rsidRPr="002B0847">
        <w:rPr>
          <w:iCs/>
          <w:sz w:val="22"/>
          <w:szCs w:val="22"/>
          <w:lang w:val="en-GB"/>
        </w:rPr>
        <w:t>46</w:t>
      </w:r>
      <w:r w:rsidRPr="002B0847">
        <w:rPr>
          <w:sz w:val="22"/>
          <w:szCs w:val="22"/>
          <w:lang w:val="en-GB"/>
        </w:rPr>
        <w:t>, pp. 299–305.</w:t>
      </w: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18468E" w:rsidRDefault="0018468E"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082001" w:rsidRDefault="00082001" w:rsidP="00360DF6">
      <w:pPr>
        <w:spacing w:line="360" w:lineRule="auto"/>
        <w:ind w:left="454" w:hanging="454"/>
        <w:jc w:val="both"/>
        <w:rPr>
          <w:sz w:val="22"/>
          <w:szCs w:val="22"/>
          <w:lang w:val="en-GB"/>
        </w:rPr>
      </w:pPr>
    </w:p>
    <w:p w:rsidR="005B4083" w:rsidRDefault="005B4083"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pPr>
    </w:p>
    <w:p w:rsidR="00A807EB" w:rsidRDefault="00A807EB" w:rsidP="000C46D1">
      <w:pPr>
        <w:rPr>
          <w:sz w:val="18"/>
          <w:szCs w:val="18"/>
        </w:rPr>
        <w:sectPr w:rsidR="00A807EB" w:rsidSect="005B4083">
          <w:headerReference w:type="default" r:id="rId10"/>
          <w:footerReference w:type="default" r:id="rId11"/>
          <w:pgSz w:w="11906" w:h="16838"/>
          <w:pgMar w:top="1417" w:right="1417" w:bottom="1417" w:left="1417" w:header="708" w:footer="708" w:gutter="0"/>
          <w:pgNumType w:start="0"/>
          <w:cols w:space="708"/>
          <w:titlePg/>
          <w:docGrid w:linePitch="360"/>
        </w:sectPr>
      </w:pPr>
    </w:p>
    <w:p w:rsidR="005B4083" w:rsidRPr="006D1542" w:rsidRDefault="005B4083" w:rsidP="00E37CBA">
      <w:pPr>
        <w:pStyle w:val="Kop1"/>
        <w:jc w:val="center"/>
      </w:pPr>
      <w:bookmarkStart w:id="71" w:name="_Toc287614200"/>
      <w:r w:rsidRPr="006D1542">
        <w:lastRenderedPageBreak/>
        <w:t>APPENDIX 1</w:t>
      </w:r>
      <w:r w:rsidR="001C3E7D" w:rsidRPr="006D1542">
        <w:t xml:space="preserve">: </w:t>
      </w:r>
      <w:r w:rsidR="006D1542" w:rsidRPr="00E37CBA">
        <w:t>Comparison</w:t>
      </w:r>
      <w:r w:rsidR="006D1542">
        <w:t xml:space="preserve"> between DLLPs</w:t>
      </w:r>
      <w:bookmarkEnd w:id="71"/>
    </w:p>
    <w:p w:rsidR="002F0261" w:rsidRPr="005B4083" w:rsidRDefault="002F0261" w:rsidP="002F0261"/>
    <w:p w:rsidR="005B4083" w:rsidRDefault="005B4083" w:rsidP="005B4083"/>
    <w:p w:rsidR="00616E0B" w:rsidRDefault="00616E0B" w:rsidP="005B4083"/>
    <w:p w:rsidR="00616E0B" w:rsidRPr="005B4083" w:rsidRDefault="00AD5919" w:rsidP="005B4083">
      <w:r>
        <w:t>Distribution of discretionary loan loss provisions pre-SOX</w:t>
      </w:r>
      <w:r>
        <w:tab/>
      </w:r>
      <w:r>
        <w:tab/>
      </w:r>
      <w:r>
        <w:tab/>
        <w:t>Distribution of discretionary loan loss provisions post-SOX</w:t>
      </w:r>
    </w:p>
    <w:p w:rsidR="00514080" w:rsidRPr="00514080" w:rsidRDefault="00AD5919" w:rsidP="000C46D1">
      <w:pPr>
        <w:rPr>
          <w:sz w:val="18"/>
          <w:szCs w:val="18"/>
        </w:rPr>
      </w:pPr>
      <w:r>
        <w:rPr>
          <w:noProof/>
          <w:sz w:val="18"/>
          <w:szCs w:val="18"/>
          <w:lang w:val="nl-NL"/>
        </w:rPr>
        <w:drawing>
          <wp:anchor distT="0" distB="0" distL="114300" distR="114300" simplePos="0" relativeHeight="251658752" behindDoc="1" locked="0" layoutInCell="1" allowOverlap="1">
            <wp:simplePos x="0" y="0"/>
            <wp:positionH relativeFrom="column">
              <wp:posOffset>4443730</wp:posOffset>
            </wp:positionH>
            <wp:positionV relativeFrom="paragraph">
              <wp:posOffset>1270</wp:posOffset>
            </wp:positionV>
            <wp:extent cx="4667250" cy="3733800"/>
            <wp:effectExtent l="19050" t="0" r="0" b="0"/>
            <wp:wrapNone/>
            <wp:docPr id="4" name="Afbeelding 2"/>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2" cstate="print"/>
                    <a:srcRect/>
                    <a:stretch>
                      <a:fillRect/>
                    </a:stretch>
                  </pic:blipFill>
                  <pic:spPr bwMode="auto">
                    <a:xfrm>
                      <a:off x="0" y="0"/>
                      <a:ext cx="4667250" cy="3733800"/>
                    </a:xfrm>
                    <a:prstGeom prst="rect">
                      <a:avLst/>
                    </a:prstGeom>
                    <a:noFill/>
                    <a:ln w="1">
                      <a:noFill/>
                      <a:miter lim="800000"/>
                      <a:headEnd/>
                      <a:tailEnd type="none" w="med" len="med"/>
                    </a:ln>
                    <a:effectLst/>
                  </pic:spPr>
                </pic:pic>
              </a:graphicData>
            </a:graphic>
          </wp:anchor>
        </w:drawing>
      </w:r>
      <w:r>
        <w:rPr>
          <w:noProof/>
          <w:sz w:val="18"/>
          <w:szCs w:val="18"/>
          <w:lang w:val="nl-NL"/>
        </w:rPr>
        <w:drawing>
          <wp:anchor distT="0" distB="0" distL="114300" distR="114300" simplePos="0" relativeHeight="251659776" behindDoc="1" locked="0" layoutInCell="1" allowOverlap="1">
            <wp:simplePos x="0" y="0"/>
            <wp:positionH relativeFrom="column">
              <wp:posOffset>-194945</wp:posOffset>
            </wp:positionH>
            <wp:positionV relativeFrom="paragraph">
              <wp:posOffset>1270</wp:posOffset>
            </wp:positionV>
            <wp:extent cx="4638675" cy="3714750"/>
            <wp:effectExtent l="19050" t="0" r="9525" b="0"/>
            <wp:wrapNone/>
            <wp:docPr id="2" name="Afbeelding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3" cstate="print"/>
                    <a:srcRect/>
                    <a:stretch>
                      <a:fillRect/>
                    </a:stretch>
                  </pic:blipFill>
                  <pic:spPr bwMode="auto">
                    <a:xfrm>
                      <a:off x="0" y="0"/>
                      <a:ext cx="4638675" cy="3714750"/>
                    </a:xfrm>
                    <a:prstGeom prst="rect">
                      <a:avLst/>
                    </a:prstGeom>
                    <a:noFill/>
                    <a:ln w="1">
                      <a:noFill/>
                      <a:miter lim="800000"/>
                      <a:headEnd/>
                      <a:tailEnd type="none" w="med" len="med"/>
                    </a:ln>
                    <a:effectLst/>
                  </pic:spPr>
                </pic:pic>
              </a:graphicData>
            </a:graphic>
          </wp:anchor>
        </w:drawing>
      </w:r>
    </w:p>
    <w:p w:rsidR="00514080" w:rsidRPr="00514080" w:rsidRDefault="00514080" w:rsidP="000C46D1">
      <w:pPr>
        <w:rPr>
          <w:sz w:val="18"/>
          <w:szCs w:val="18"/>
        </w:rPr>
      </w:pPr>
    </w:p>
    <w:p w:rsidR="00514080" w:rsidRPr="00514080" w:rsidRDefault="00514080" w:rsidP="000C46D1">
      <w:pPr>
        <w:rPr>
          <w:sz w:val="18"/>
          <w:szCs w:val="18"/>
        </w:rPr>
      </w:pPr>
    </w:p>
    <w:p w:rsidR="00514080" w:rsidRPr="00514080" w:rsidRDefault="00514080" w:rsidP="000C46D1">
      <w:pPr>
        <w:rPr>
          <w:sz w:val="18"/>
          <w:szCs w:val="18"/>
        </w:rPr>
      </w:pPr>
    </w:p>
    <w:p w:rsidR="00514080" w:rsidRPr="00514080" w:rsidRDefault="00514080" w:rsidP="000C46D1">
      <w:pPr>
        <w:rPr>
          <w:sz w:val="18"/>
          <w:szCs w:val="18"/>
        </w:rPr>
      </w:pPr>
    </w:p>
    <w:p w:rsidR="00514080" w:rsidRPr="00514080" w:rsidRDefault="00514080" w:rsidP="000C46D1">
      <w:pPr>
        <w:rPr>
          <w:sz w:val="18"/>
          <w:szCs w:val="18"/>
        </w:rPr>
      </w:pPr>
    </w:p>
    <w:p w:rsidR="00514080" w:rsidRDefault="00514080" w:rsidP="000C46D1"/>
    <w:p w:rsidR="00514080" w:rsidRDefault="00514080" w:rsidP="000C46D1"/>
    <w:p w:rsidR="00514080" w:rsidRDefault="00514080" w:rsidP="000C46D1"/>
    <w:p w:rsidR="00514080" w:rsidRDefault="00514080" w:rsidP="000C46D1"/>
    <w:p w:rsidR="00514080" w:rsidRDefault="00514080" w:rsidP="000C46D1"/>
    <w:p w:rsidR="00514080" w:rsidRDefault="00514080"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AD5919" w:rsidP="000C46D1"/>
    <w:p w:rsidR="00AD5919" w:rsidRDefault="001C3E7D" w:rsidP="001C3E7D">
      <w:pPr>
        <w:pStyle w:val="Kop1"/>
        <w:jc w:val="center"/>
        <w:rPr>
          <w:sz w:val="22"/>
          <w:szCs w:val="22"/>
        </w:rPr>
      </w:pPr>
      <w:bookmarkStart w:id="72" w:name="_Toc287614201"/>
      <w:r w:rsidRPr="006D1542">
        <w:rPr>
          <w:sz w:val="22"/>
          <w:szCs w:val="22"/>
        </w:rPr>
        <w:lastRenderedPageBreak/>
        <w:t xml:space="preserve">APPENDIX </w:t>
      </w:r>
      <w:r w:rsidR="00D633A7" w:rsidRPr="006D1542">
        <w:rPr>
          <w:sz w:val="22"/>
          <w:szCs w:val="22"/>
        </w:rPr>
        <w:t xml:space="preserve">2: </w:t>
      </w:r>
      <w:r w:rsidR="006D1542">
        <w:rPr>
          <w:sz w:val="22"/>
          <w:szCs w:val="22"/>
        </w:rPr>
        <w:t>Summary of prior empirical literature</w:t>
      </w:r>
      <w:bookmarkEnd w:id="72"/>
    </w:p>
    <w:p w:rsidR="006D1542" w:rsidRDefault="006D1542" w:rsidP="006D1542"/>
    <w:tbl>
      <w:tblPr>
        <w:tblW w:w="14260" w:type="dxa"/>
        <w:tblInd w:w="55" w:type="dxa"/>
        <w:tblCellMar>
          <w:left w:w="70" w:type="dxa"/>
          <w:right w:w="70" w:type="dxa"/>
        </w:tblCellMar>
        <w:tblLook w:val="04A0"/>
      </w:tblPr>
      <w:tblGrid>
        <w:gridCol w:w="1100"/>
        <w:gridCol w:w="2459"/>
        <w:gridCol w:w="2693"/>
        <w:gridCol w:w="3828"/>
        <w:gridCol w:w="4180"/>
      </w:tblGrid>
      <w:tr w:rsidR="00122F10" w:rsidRPr="00122F10" w:rsidTr="0049783D">
        <w:trPr>
          <w:trHeight w:val="300"/>
        </w:trPr>
        <w:tc>
          <w:tcPr>
            <w:tcW w:w="6252" w:type="dxa"/>
            <w:gridSpan w:val="3"/>
            <w:tcBorders>
              <w:top w:val="nil"/>
              <w:left w:val="nil"/>
              <w:bottom w:val="single" w:sz="4" w:space="0" w:color="auto"/>
              <w:right w:val="nil"/>
            </w:tcBorders>
            <w:shd w:val="clear" w:color="000000" w:fill="BFBFBF"/>
            <w:noWrap/>
            <w:vAlign w:val="bottom"/>
            <w:hideMark/>
          </w:tcPr>
          <w:p w:rsidR="00122F10" w:rsidRPr="002A4579" w:rsidRDefault="00122F10" w:rsidP="006D64B7">
            <w:pPr>
              <w:rPr>
                <w:b/>
                <w:color w:val="000000"/>
                <w:sz w:val="18"/>
                <w:szCs w:val="18"/>
              </w:rPr>
            </w:pPr>
            <w:r w:rsidRPr="002A4579">
              <w:rPr>
                <w:b/>
                <w:color w:val="000000"/>
                <w:sz w:val="18"/>
                <w:szCs w:val="18"/>
              </w:rPr>
              <w:t xml:space="preserve">Empirical studies </w:t>
            </w:r>
            <w:r w:rsidR="006D64B7">
              <w:rPr>
                <w:b/>
                <w:color w:val="000000"/>
                <w:sz w:val="18"/>
                <w:szCs w:val="18"/>
              </w:rPr>
              <w:t>on</w:t>
            </w:r>
            <w:r w:rsidRPr="002A4579">
              <w:rPr>
                <w:b/>
                <w:color w:val="000000"/>
                <w:sz w:val="18"/>
                <w:szCs w:val="18"/>
              </w:rPr>
              <w:t xml:space="preserve"> CEO equity incentives and earnings management</w:t>
            </w:r>
          </w:p>
        </w:tc>
        <w:tc>
          <w:tcPr>
            <w:tcW w:w="3828" w:type="dxa"/>
            <w:tcBorders>
              <w:top w:val="nil"/>
              <w:left w:val="nil"/>
              <w:bottom w:val="single" w:sz="4" w:space="0" w:color="auto"/>
              <w:right w:val="nil"/>
            </w:tcBorders>
            <w:shd w:val="clear" w:color="000000" w:fill="BFBFBF"/>
            <w:noWrap/>
            <w:vAlign w:val="bottom"/>
            <w:hideMark/>
          </w:tcPr>
          <w:p w:rsidR="00122F10" w:rsidRPr="002A4579" w:rsidRDefault="00122F10" w:rsidP="00122F10">
            <w:pPr>
              <w:rPr>
                <w:b/>
                <w:color w:val="000000"/>
                <w:sz w:val="18"/>
                <w:szCs w:val="18"/>
              </w:rPr>
            </w:pPr>
            <w:r w:rsidRPr="002A4579">
              <w:rPr>
                <w:b/>
                <w:color w:val="000000"/>
                <w:sz w:val="18"/>
                <w:szCs w:val="18"/>
              </w:rPr>
              <w:t> </w:t>
            </w:r>
          </w:p>
        </w:tc>
        <w:tc>
          <w:tcPr>
            <w:tcW w:w="4180" w:type="dxa"/>
            <w:tcBorders>
              <w:top w:val="nil"/>
              <w:left w:val="nil"/>
              <w:bottom w:val="single" w:sz="4" w:space="0" w:color="auto"/>
              <w:right w:val="nil"/>
            </w:tcBorders>
            <w:shd w:val="clear" w:color="000000" w:fill="BFBFBF"/>
            <w:noWrap/>
            <w:vAlign w:val="bottom"/>
            <w:hideMark/>
          </w:tcPr>
          <w:p w:rsidR="00122F10" w:rsidRPr="002A4579" w:rsidRDefault="00122F10" w:rsidP="00122F10">
            <w:pPr>
              <w:rPr>
                <w:b/>
                <w:color w:val="000000"/>
                <w:sz w:val="18"/>
                <w:szCs w:val="18"/>
              </w:rPr>
            </w:pPr>
            <w:r w:rsidRPr="002A4579">
              <w:rPr>
                <w:b/>
                <w:color w:val="000000"/>
                <w:sz w:val="18"/>
                <w:szCs w:val="18"/>
              </w:rPr>
              <w:t> </w:t>
            </w:r>
          </w:p>
        </w:tc>
      </w:tr>
      <w:tr w:rsidR="00122F10" w:rsidRPr="00122F10" w:rsidTr="0049783D">
        <w:trPr>
          <w:trHeight w:val="300"/>
        </w:trPr>
        <w:tc>
          <w:tcPr>
            <w:tcW w:w="1100" w:type="dxa"/>
            <w:tcBorders>
              <w:top w:val="nil"/>
              <w:left w:val="nil"/>
              <w:bottom w:val="single" w:sz="4" w:space="0" w:color="auto"/>
              <w:right w:val="nil"/>
            </w:tcBorders>
            <w:shd w:val="clear" w:color="auto" w:fill="auto"/>
            <w:noWrap/>
            <w:vAlign w:val="bottom"/>
            <w:hideMark/>
          </w:tcPr>
          <w:p w:rsidR="00122F10" w:rsidRPr="001C7124" w:rsidRDefault="00122F10" w:rsidP="00122F10">
            <w:pPr>
              <w:rPr>
                <w:b/>
                <w:color w:val="000000"/>
                <w:sz w:val="18"/>
                <w:szCs w:val="18"/>
              </w:rPr>
            </w:pPr>
            <w:r w:rsidRPr="001C7124">
              <w:rPr>
                <w:b/>
                <w:color w:val="000000"/>
                <w:sz w:val="18"/>
                <w:szCs w:val="18"/>
              </w:rPr>
              <w:t>Authors</w:t>
            </w:r>
          </w:p>
        </w:tc>
        <w:tc>
          <w:tcPr>
            <w:tcW w:w="2459" w:type="dxa"/>
            <w:tcBorders>
              <w:top w:val="nil"/>
              <w:left w:val="nil"/>
              <w:bottom w:val="single" w:sz="4" w:space="0" w:color="auto"/>
              <w:right w:val="nil"/>
            </w:tcBorders>
            <w:shd w:val="clear" w:color="auto" w:fill="auto"/>
            <w:noWrap/>
            <w:vAlign w:val="bottom"/>
            <w:hideMark/>
          </w:tcPr>
          <w:p w:rsidR="00122F10" w:rsidRPr="001C7124" w:rsidRDefault="00122F10" w:rsidP="00122F10">
            <w:pPr>
              <w:rPr>
                <w:b/>
                <w:color w:val="000000"/>
                <w:sz w:val="18"/>
                <w:szCs w:val="18"/>
              </w:rPr>
            </w:pPr>
            <w:r w:rsidRPr="001C7124">
              <w:rPr>
                <w:b/>
                <w:color w:val="000000"/>
                <w:sz w:val="18"/>
                <w:szCs w:val="18"/>
              </w:rPr>
              <w:t>Objective of study</w:t>
            </w:r>
          </w:p>
        </w:tc>
        <w:tc>
          <w:tcPr>
            <w:tcW w:w="2693" w:type="dxa"/>
            <w:tcBorders>
              <w:top w:val="nil"/>
              <w:left w:val="nil"/>
              <w:bottom w:val="single" w:sz="4" w:space="0" w:color="auto"/>
              <w:right w:val="nil"/>
            </w:tcBorders>
            <w:shd w:val="clear" w:color="auto" w:fill="auto"/>
            <w:noWrap/>
            <w:vAlign w:val="bottom"/>
            <w:hideMark/>
          </w:tcPr>
          <w:p w:rsidR="00122F10" w:rsidRPr="001C7124" w:rsidRDefault="00122F10" w:rsidP="00122F10">
            <w:pPr>
              <w:rPr>
                <w:b/>
                <w:color w:val="000000"/>
                <w:sz w:val="18"/>
                <w:szCs w:val="18"/>
              </w:rPr>
            </w:pPr>
            <w:r w:rsidRPr="001C7124">
              <w:rPr>
                <w:b/>
                <w:color w:val="000000"/>
                <w:sz w:val="18"/>
                <w:szCs w:val="18"/>
              </w:rPr>
              <w:t>Sample</w:t>
            </w:r>
          </w:p>
        </w:tc>
        <w:tc>
          <w:tcPr>
            <w:tcW w:w="3828" w:type="dxa"/>
            <w:tcBorders>
              <w:top w:val="nil"/>
              <w:left w:val="nil"/>
              <w:bottom w:val="single" w:sz="4" w:space="0" w:color="auto"/>
              <w:right w:val="nil"/>
            </w:tcBorders>
            <w:shd w:val="clear" w:color="auto" w:fill="auto"/>
            <w:noWrap/>
            <w:vAlign w:val="bottom"/>
            <w:hideMark/>
          </w:tcPr>
          <w:p w:rsidR="00122F10" w:rsidRPr="001C7124" w:rsidRDefault="00122F10" w:rsidP="00122F10">
            <w:pPr>
              <w:rPr>
                <w:b/>
                <w:color w:val="000000"/>
                <w:sz w:val="18"/>
                <w:szCs w:val="18"/>
              </w:rPr>
            </w:pPr>
            <w:r w:rsidRPr="001C7124">
              <w:rPr>
                <w:b/>
                <w:color w:val="000000"/>
                <w:sz w:val="18"/>
                <w:szCs w:val="18"/>
              </w:rPr>
              <w:t>Methodology</w:t>
            </w:r>
          </w:p>
        </w:tc>
        <w:tc>
          <w:tcPr>
            <w:tcW w:w="4180" w:type="dxa"/>
            <w:tcBorders>
              <w:top w:val="nil"/>
              <w:left w:val="nil"/>
              <w:bottom w:val="single" w:sz="4" w:space="0" w:color="auto"/>
              <w:right w:val="nil"/>
            </w:tcBorders>
            <w:shd w:val="clear" w:color="auto" w:fill="auto"/>
            <w:noWrap/>
            <w:vAlign w:val="bottom"/>
            <w:hideMark/>
          </w:tcPr>
          <w:p w:rsidR="00122F10" w:rsidRPr="001C7124" w:rsidRDefault="00122F10" w:rsidP="00122F10">
            <w:pPr>
              <w:rPr>
                <w:b/>
                <w:color w:val="000000"/>
                <w:sz w:val="18"/>
                <w:szCs w:val="18"/>
              </w:rPr>
            </w:pPr>
            <w:r w:rsidRPr="001C7124">
              <w:rPr>
                <w:b/>
                <w:color w:val="000000"/>
                <w:sz w:val="18"/>
                <w:szCs w:val="18"/>
              </w:rPr>
              <w:t>Results</w:t>
            </w:r>
          </w:p>
        </w:tc>
      </w:tr>
      <w:tr w:rsidR="00122F10" w:rsidRPr="00122F10" w:rsidTr="0049783D">
        <w:trPr>
          <w:trHeight w:val="1916"/>
        </w:trPr>
        <w:tc>
          <w:tcPr>
            <w:tcW w:w="1100" w:type="dxa"/>
            <w:tcBorders>
              <w:top w:val="nil"/>
              <w:left w:val="nil"/>
              <w:bottom w:val="single" w:sz="4" w:space="0" w:color="auto"/>
              <w:right w:val="nil"/>
            </w:tcBorders>
            <w:shd w:val="clear" w:color="auto" w:fill="auto"/>
            <w:hideMark/>
          </w:tcPr>
          <w:p w:rsidR="00122F10" w:rsidRPr="002A4579" w:rsidRDefault="00122F10" w:rsidP="00122F10">
            <w:pPr>
              <w:rPr>
                <w:b/>
                <w:color w:val="000000"/>
                <w:sz w:val="18"/>
                <w:szCs w:val="18"/>
                <w:lang w:val="nl-NL"/>
              </w:rPr>
            </w:pPr>
            <w:r w:rsidRPr="002A4579">
              <w:rPr>
                <w:b/>
                <w:color w:val="000000"/>
                <w:sz w:val="18"/>
                <w:szCs w:val="18"/>
              </w:rPr>
              <w:t>Cheng and Warfield (2005)</w:t>
            </w:r>
          </w:p>
        </w:tc>
        <w:tc>
          <w:tcPr>
            <w:tcW w:w="2459"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The relationship of CEO equity incentives and the selling of stock by managers; association between equity incentives and earnings management; and whether managers sell more shares after actual earnings management.</w:t>
            </w:r>
          </w:p>
        </w:tc>
        <w:tc>
          <w:tcPr>
            <w:tcW w:w="2693"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lang w:val="nl-NL"/>
              </w:rPr>
            </w:pPr>
            <w:r w:rsidRPr="00122F10">
              <w:rPr>
                <w:color w:val="000000"/>
                <w:sz w:val="18"/>
                <w:szCs w:val="18"/>
              </w:rPr>
              <w:t xml:space="preserve">Final sample is 9472 firm-years for stock </w:t>
            </w:r>
            <w:r w:rsidR="00CD00C6" w:rsidRPr="00122F10">
              <w:rPr>
                <w:color w:val="000000"/>
                <w:sz w:val="18"/>
                <w:szCs w:val="18"/>
              </w:rPr>
              <w:t>trading</w:t>
            </w:r>
            <w:r w:rsidRPr="00122F10">
              <w:rPr>
                <w:color w:val="000000"/>
                <w:sz w:val="18"/>
                <w:szCs w:val="18"/>
              </w:rPr>
              <w:t xml:space="preserve"> and 4301 firm-years for meet or beat </w:t>
            </w:r>
            <w:r w:rsidR="001C7124" w:rsidRPr="00122F10">
              <w:rPr>
                <w:color w:val="000000"/>
                <w:sz w:val="18"/>
                <w:szCs w:val="18"/>
              </w:rPr>
              <w:t>analysts</w:t>
            </w:r>
            <w:r w:rsidR="001C7124">
              <w:rPr>
                <w:color w:val="000000"/>
                <w:sz w:val="18"/>
                <w:szCs w:val="18"/>
              </w:rPr>
              <w:t>’</w:t>
            </w:r>
            <w:r w:rsidRPr="00122F10">
              <w:rPr>
                <w:color w:val="000000"/>
                <w:sz w:val="18"/>
                <w:szCs w:val="18"/>
              </w:rPr>
              <w:t xml:space="preserve"> forecast. From 1993 -2000 using data from </w:t>
            </w:r>
            <w:proofErr w:type="spellStart"/>
            <w:r w:rsidRPr="00122F10">
              <w:rPr>
                <w:color w:val="000000"/>
                <w:sz w:val="18"/>
                <w:szCs w:val="18"/>
              </w:rPr>
              <w:t>Execucomp</w:t>
            </w:r>
            <w:proofErr w:type="spellEnd"/>
            <w:r w:rsidRPr="00122F10">
              <w:rPr>
                <w:color w:val="000000"/>
                <w:sz w:val="18"/>
                <w:szCs w:val="18"/>
              </w:rPr>
              <w:t xml:space="preserve"> database excluding financial institutions and utilities. CEO trading data from SEC ownership reporting system.</w:t>
            </w:r>
          </w:p>
        </w:tc>
        <w:tc>
          <w:tcPr>
            <w:tcW w:w="3828"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Equity incentives are option grants, </w:t>
            </w:r>
            <w:proofErr w:type="spellStart"/>
            <w:r w:rsidRPr="00122F10">
              <w:rPr>
                <w:color w:val="000000"/>
                <w:sz w:val="18"/>
                <w:szCs w:val="18"/>
              </w:rPr>
              <w:t>unexercisable</w:t>
            </w:r>
            <w:proofErr w:type="spellEnd"/>
            <w:r w:rsidRPr="00122F10">
              <w:rPr>
                <w:color w:val="000000"/>
                <w:sz w:val="18"/>
                <w:szCs w:val="18"/>
              </w:rPr>
              <w:t xml:space="preserve"> options, exercisable options restricted stock and stock ownership deflated by total </w:t>
            </w:r>
            <w:r w:rsidR="00CD00C6" w:rsidRPr="00122F10">
              <w:rPr>
                <w:color w:val="000000"/>
                <w:sz w:val="18"/>
                <w:szCs w:val="18"/>
              </w:rPr>
              <w:t>outstanding</w:t>
            </w:r>
            <w:r w:rsidRPr="00122F10">
              <w:rPr>
                <w:color w:val="000000"/>
                <w:sz w:val="18"/>
                <w:szCs w:val="18"/>
              </w:rPr>
              <w:t xml:space="preserve"> shares. CEO trade is net sales scaled by market value. Earnings announcements that meet or beat analysts’ forecasts are proxy for earnings management.</w:t>
            </w:r>
          </w:p>
        </w:tc>
        <w:tc>
          <w:tcPr>
            <w:tcW w:w="4180"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Higher incidence of meeting or beating analysts’ forecasts is associated with high equity incentives and more sales of shares. </w:t>
            </w:r>
            <w:r w:rsidR="00EF03E1" w:rsidRPr="00122F10">
              <w:rPr>
                <w:color w:val="000000"/>
                <w:sz w:val="18"/>
                <w:szCs w:val="18"/>
              </w:rPr>
              <w:t>High equity incentives are</w:t>
            </w:r>
            <w:r w:rsidRPr="00122F10">
              <w:rPr>
                <w:color w:val="000000"/>
                <w:sz w:val="18"/>
                <w:szCs w:val="18"/>
              </w:rPr>
              <w:t xml:space="preserve"> associated with earnings smoothing. Overall, their study concludes that equity incentives induce earnings management.</w:t>
            </w:r>
          </w:p>
        </w:tc>
      </w:tr>
      <w:tr w:rsidR="00122F10" w:rsidRPr="00122F10" w:rsidTr="0049783D">
        <w:trPr>
          <w:trHeight w:val="1800"/>
        </w:trPr>
        <w:tc>
          <w:tcPr>
            <w:tcW w:w="1100" w:type="dxa"/>
            <w:tcBorders>
              <w:top w:val="nil"/>
              <w:left w:val="nil"/>
              <w:bottom w:val="single" w:sz="4" w:space="0" w:color="auto"/>
              <w:right w:val="nil"/>
            </w:tcBorders>
            <w:shd w:val="clear" w:color="auto" w:fill="auto"/>
            <w:hideMark/>
          </w:tcPr>
          <w:p w:rsidR="00122F10" w:rsidRPr="002A4579" w:rsidRDefault="00122F10" w:rsidP="00122F10">
            <w:pPr>
              <w:rPr>
                <w:b/>
                <w:color w:val="000000"/>
                <w:sz w:val="18"/>
                <w:szCs w:val="18"/>
                <w:lang w:val="nl-NL"/>
              </w:rPr>
            </w:pPr>
            <w:proofErr w:type="spellStart"/>
            <w:r w:rsidRPr="002A4579">
              <w:rPr>
                <w:b/>
                <w:color w:val="000000"/>
                <w:sz w:val="18"/>
                <w:szCs w:val="18"/>
                <w:lang w:val="nl-NL"/>
              </w:rPr>
              <w:t>Bergstresser</w:t>
            </w:r>
            <w:proofErr w:type="spellEnd"/>
            <w:r w:rsidRPr="002A4579">
              <w:rPr>
                <w:b/>
                <w:color w:val="000000"/>
                <w:sz w:val="18"/>
                <w:szCs w:val="18"/>
                <w:lang w:val="nl-NL"/>
              </w:rPr>
              <w:t xml:space="preserve"> and </w:t>
            </w:r>
            <w:proofErr w:type="spellStart"/>
            <w:r w:rsidRPr="002A4579">
              <w:rPr>
                <w:b/>
                <w:color w:val="000000"/>
                <w:sz w:val="18"/>
                <w:szCs w:val="18"/>
                <w:lang w:val="nl-NL"/>
              </w:rPr>
              <w:t>Philippon</w:t>
            </w:r>
            <w:proofErr w:type="spellEnd"/>
            <w:r w:rsidRPr="002A4579">
              <w:rPr>
                <w:b/>
                <w:color w:val="000000"/>
                <w:sz w:val="18"/>
                <w:szCs w:val="18"/>
                <w:lang w:val="nl-NL"/>
              </w:rPr>
              <w:t xml:space="preserve"> (2006)</w:t>
            </w:r>
          </w:p>
        </w:tc>
        <w:tc>
          <w:tcPr>
            <w:tcW w:w="2459"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The association between CEO equity incentives and earnings management  </w:t>
            </w:r>
          </w:p>
        </w:tc>
        <w:tc>
          <w:tcPr>
            <w:tcW w:w="2693"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Data from </w:t>
            </w:r>
            <w:proofErr w:type="spellStart"/>
            <w:r w:rsidRPr="00122F10">
              <w:rPr>
                <w:color w:val="000000"/>
                <w:sz w:val="18"/>
                <w:szCs w:val="18"/>
              </w:rPr>
              <w:t>Compustat</w:t>
            </w:r>
            <w:proofErr w:type="spellEnd"/>
            <w:r w:rsidRPr="00122F10">
              <w:rPr>
                <w:color w:val="000000"/>
                <w:sz w:val="18"/>
                <w:szCs w:val="18"/>
              </w:rPr>
              <w:t xml:space="preserve"> and </w:t>
            </w:r>
            <w:proofErr w:type="spellStart"/>
            <w:r w:rsidRPr="00122F10">
              <w:rPr>
                <w:color w:val="000000"/>
                <w:sz w:val="18"/>
                <w:szCs w:val="18"/>
              </w:rPr>
              <w:t>Compustat</w:t>
            </w:r>
            <w:proofErr w:type="spellEnd"/>
            <w:r w:rsidRPr="00122F10">
              <w:rPr>
                <w:color w:val="000000"/>
                <w:sz w:val="18"/>
                <w:szCs w:val="18"/>
              </w:rPr>
              <w:t xml:space="preserve"> Executive compensation dataset in the period 1993-2001.</w:t>
            </w:r>
          </w:p>
        </w:tc>
        <w:tc>
          <w:tcPr>
            <w:tcW w:w="3828"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The Jones and the Modified Jones model </w:t>
            </w:r>
            <w:proofErr w:type="gramStart"/>
            <w:r w:rsidRPr="00122F10">
              <w:rPr>
                <w:color w:val="000000"/>
                <w:sz w:val="18"/>
                <w:szCs w:val="18"/>
              </w:rPr>
              <w:t>is</w:t>
            </w:r>
            <w:proofErr w:type="gramEnd"/>
            <w:r w:rsidRPr="00122F10">
              <w:rPr>
                <w:color w:val="000000"/>
                <w:sz w:val="18"/>
                <w:szCs w:val="18"/>
              </w:rPr>
              <w:t xml:space="preserve"> used to detect discretionary accruals. Equity incentive ratio is the dollar change in the value of CEO’s stock and option holdings from a 1% increase of the stock price, deflated by total CEO compensation</w:t>
            </w:r>
          </w:p>
        </w:tc>
        <w:tc>
          <w:tcPr>
            <w:tcW w:w="4180"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Accruals-based measures of earnings management are higher at firms with higher levels of stock-based incentives. Periods with high discretionary accruals coincide with unusually option exercises and sales of shares by CEOs and other top executives</w:t>
            </w:r>
          </w:p>
        </w:tc>
      </w:tr>
      <w:tr w:rsidR="00122F10" w:rsidRPr="00122F10" w:rsidTr="0049783D">
        <w:trPr>
          <w:trHeight w:val="1995"/>
        </w:trPr>
        <w:tc>
          <w:tcPr>
            <w:tcW w:w="1100" w:type="dxa"/>
            <w:tcBorders>
              <w:top w:val="nil"/>
              <w:left w:val="nil"/>
              <w:bottom w:val="single" w:sz="4" w:space="0" w:color="auto"/>
              <w:right w:val="nil"/>
            </w:tcBorders>
            <w:shd w:val="clear" w:color="auto" w:fill="auto"/>
            <w:hideMark/>
          </w:tcPr>
          <w:p w:rsidR="00122F10" w:rsidRPr="002A4579" w:rsidRDefault="00122F10" w:rsidP="00122F10">
            <w:pPr>
              <w:rPr>
                <w:b/>
                <w:color w:val="000000"/>
                <w:sz w:val="18"/>
                <w:szCs w:val="18"/>
                <w:lang w:val="nl-NL"/>
              </w:rPr>
            </w:pPr>
            <w:r w:rsidRPr="002A4579">
              <w:rPr>
                <w:b/>
                <w:color w:val="000000"/>
                <w:sz w:val="18"/>
                <w:szCs w:val="18"/>
              </w:rPr>
              <w:t xml:space="preserve">Cornett, Marcus and </w:t>
            </w:r>
            <w:proofErr w:type="spellStart"/>
            <w:r w:rsidRPr="002A4579">
              <w:rPr>
                <w:b/>
                <w:color w:val="000000"/>
                <w:sz w:val="18"/>
                <w:szCs w:val="18"/>
              </w:rPr>
              <w:t>Tehranian</w:t>
            </w:r>
            <w:proofErr w:type="spellEnd"/>
            <w:r w:rsidRPr="002A4579">
              <w:rPr>
                <w:b/>
                <w:color w:val="000000"/>
                <w:sz w:val="18"/>
                <w:szCs w:val="18"/>
              </w:rPr>
              <w:t xml:space="preserve"> (2008)</w:t>
            </w:r>
          </w:p>
        </w:tc>
        <w:tc>
          <w:tcPr>
            <w:tcW w:w="2459"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The effect of CEO equity incentives and earnings management controlled by the influences of governance structure and firm performance</w:t>
            </w:r>
          </w:p>
        </w:tc>
        <w:tc>
          <w:tcPr>
            <w:tcW w:w="2693"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Firms in the S&amp;P 100 index from the period 1994–2003</w:t>
            </w:r>
          </w:p>
        </w:tc>
        <w:tc>
          <w:tcPr>
            <w:tcW w:w="3828" w:type="dxa"/>
            <w:tcBorders>
              <w:top w:val="nil"/>
              <w:left w:val="nil"/>
              <w:bottom w:val="single" w:sz="4" w:space="0" w:color="auto"/>
              <w:right w:val="nil"/>
            </w:tcBorders>
            <w:shd w:val="clear" w:color="auto" w:fill="auto"/>
            <w:hideMark/>
          </w:tcPr>
          <w:p w:rsidR="00122F10" w:rsidRPr="00122F10" w:rsidRDefault="00122F10" w:rsidP="006F72BB">
            <w:pPr>
              <w:rPr>
                <w:color w:val="000000"/>
                <w:sz w:val="18"/>
                <w:szCs w:val="18"/>
              </w:rPr>
            </w:pPr>
            <w:r>
              <w:rPr>
                <w:color w:val="000000"/>
                <w:sz w:val="18"/>
                <w:szCs w:val="18"/>
              </w:rPr>
              <w:t xml:space="preserve">The </w:t>
            </w:r>
            <w:r w:rsidRPr="00122F10">
              <w:rPr>
                <w:color w:val="000000"/>
                <w:sz w:val="18"/>
                <w:szCs w:val="18"/>
              </w:rPr>
              <w:t xml:space="preserve">Modified Jones model </w:t>
            </w:r>
            <w:r w:rsidR="006F72BB">
              <w:rPr>
                <w:color w:val="000000"/>
                <w:sz w:val="18"/>
                <w:szCs w:val="18"/>
              </w:rPr>
              <w:t>for</w:t>
            </w:r>
            <w:r w:rsidRPr="00122F10">
              <w:rPr>
                <w:color w:val="000000"/>
                <w:sz w:val="18"/>
                <w:szCs w:val="18"/>
              </w:rPr>
              <w:t xml:space="preserve"> detect</w:t>
            </w:r>
            <w:r w:rsidR="006F72BB">
              <w:rPr>
                <w:color w:val="000000"/>
                <w:sz w:val="18"/>
                <w:szCs w:val="18"/>
              </w:rPr>
              <w:t xml:space="preserve">ing discretionary accruals and </w:t>
            </w:r>
            <w:r w:rsidRPr="00122F10">
              <w:rPr>
                <w:color w:val="000000"/>
                <w:sz w:val="18"/>
                <w:szCs w:val="18"/>
              </w:rPr>
              <w:t>compensation structure is the percentage of total CEO annual compensation comprised of new option grants, with the options valued by the Black-</w:t>
            </w:r>
            <w:proofErr w:type="spellStart"/>
            <w:r w:rsidRPr="00122F10">
              <w:rPr>
                <w:color w:val="000000"/>
                <w:sz w:val="18"/>
                <w:szCs w:val="18"/>
              </w:rPr>
              <w:t>Scholes</w:t>
            </w:r>
            <w:proofErr w:type="spellEnd"/>
            <w:r w:rsidRPr="00122F10">
              <w:rPr>
                <w:color w:val="000000"/>
                <w:sz w:val="18"/>
                <w:szCs w:val="18"/>
              </w:rPr>
              <w:t xml:space="preserve"> formula. </w:t>
            </w:r>
            <w:r w:rsidR="006F72BB">
              <w:rPr>
                <w:color w:val="000000"/>
                <w:sz w:val="18"/>
                <w:szCs w:val="18"/>
              </w:rPr>
              <w:t>An</w:t>
            </w:r>
            <w:r w:rsidRPr="00122F10">
              <w:rPr>
                <w:color w:val="000000"/>
                <w:sz w:val="18"/>
                <w:szCs w:val="18"/>
              </w:rPr>
              <w:t xml:space="preserve"> alternative measure of </w:t>
            </w:r>
            <w:r w:rsidR="006F72BB">
              <w:rPr>
                <w:color w:val="000000"/>
                <w:sz w:val="18"/>
                <w:szCs w:val="18"/>
              </w:rPr>
              <w:t xml:space="preserve">equity incentive </w:t>
            </w:r>
            <w:r w:rsidRPr="00122F10">
              <w:rPr>
                <w:color w:val="000000"/>
                <w:sz w:val="18"/>
                <w:szCs w:val="18"/>
              </w:rPr>
              <w:t xml:space="preserve">is the 'incentive ratio' of </w:t>
            </w:r>
            <w:proofErr w:type="spellStart"/>
            <w:r w:rsidRPr="00122F10">
              <w:rPr>
                <w:color w:val="000000"/>
                <w:sz w:val="18"/>
                <w:szCs w:val="18"/>
              </w:rPr>
              <w:t>Bergstresser</w:t>
            </w:r>
            <w:proofErr w:type="spellEnd"/>
            <w:r w:rsidRPr="00122F10">
              <w:rPr>
                <w:color w:val="000000"/>
                <w:sz w:val="18"/>
                <w:szCs w:val="18"/>
              </w:rPr>
              <w:t xml:space="preserve"> and </w:t>
            </w:r>
            <w:proofErr w:type="spellStart"/>
            <w:r w:rsidRPr="00122F10">
              <w:rPr>
                <w:color w:val="000000"/>
                <w:sz w:val="18"/>
                <w:szCs w:val="18"/>
              </w:rPr>
              <w:t>Philippon</w:t>
            </w:r>
            <w:proofErr w:type="spellEnd"/>
            <w:r w:rsidRPr="00122F10">
              <w:rPr>
                <w:color w:val="000000"/>
                <w:sz w:val="18"/>
                <w:szCs w:val="18"/>
              </w:rPr>
              <w:t xml:space="preserve"> (2006)</w:t>
            </w:r>
          </w:p>
        </w:tc>
        <w:tc>
          <w:tcPr>
            <w:tcW w:w="4180"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Earnings management is lower when there is more monitoring from governance mechanisms. Governance is more important and equity-based compensation less important for firm performance.</w:t>
            </w:r>
          </w:p>
        </w:tc>
      </w:tr>
      <w:tr w:rsidR="00122F10" w:rsidRPr="00122F10" w:rsidTr="0049783D">
        <w:trPr>
          <w:trHeight w:val="1629"/>
        </w:trPr>
        <w:tc>
          <w:tcPr>
            <w:tcW w:w="1100" w:type="dxa"/>
            <w:tcBorders>
              <w:top w:val="nil"/>
              <w:left w:val="nil"/>
              <w:bottom w:val="single" w:sz="4" w:space="0" w:color="auto"/>
              <w:right w:val="nil"/>
            </w:tcBorders>
            <w:shd w:val="clear" w:color="auto" w:fill="auto"/>
            <w:hideMark/>
          </w:tcPr>
          <w:p w:rsidR="00122F10" w:rsidRPr="002A4579" w:rsidRDefault="00122F10" w:rsidP="00122F10">
            <w:pPr>
              <w:rPr>
                <w:b/>
                <w:color w:val="000000"/>
                <w:sz w:val="18"/>
                <w:szCs w:val="18"/>
              </w:rPr>
            </w:pPr>
            <w:r w:rsidRPr="002A4579">
              <w:rPr>
                <w:b/>
                <w:color w:val="000000"/>
                <w:sz w:val="18"/>
                <w:szCs w:val="18"/>
              </w:rPr>
              <w:t xml:space="preserve">Ahmed, </w:t>
            </w:r>
            <w:proofErr w:type="spellStart"/>
            <w:r w:rsidRPr="002A4579">
              <w:rPr>
                <w:b/>
                <w:color w:val="000000"/>
                <w:sz w:val="18"/>
                <w:szCs w:val="18"/>
              </w:rPr>
              <w:t>Duellman</w:t>
            </w:r>
            <w:proofErr w:type="spellEnd"/>
            <w:r w:rsidRPr="002A4579">
              <w:rPr>
                <w:b/>
                <w:color w:val="000000"/>
                <w:sz w:val="18"/>
                <w:szCs w:val="18"/>
              </w:rPr>
              <w:t xml:space="preserve"> and Abdel-</w:t>
            </w:r>
            <w:proofErr w:type="spellStart"/>
            <w:r w:rsidRPr="002A4579">
              <w:rPr>
                <w:b/>
                <w:color w:val="000000"/>
                <w:sz w:val="18"/>
                <w:szCs w:val="18"/>
              </w:rPr>
              <w:t>Meguid</w:t>
            </w:r>
            <w:proofErr w:type="spellEnd"/>
            <w:r w:rsidRPr="002A4579">
              <w:rPr>
                <w:b/>
                <w:color w:val="000000"/>
                <w:sz w:val="18"/>
                <w:szCs w:val="18"/>
              </w:rPr>
              <w:t xml:space="preserve"> (2008)</w:t>
            </w:r>
          </w:p>
        </w:tc>
        <w:tc>
          <w:tcPr>
            <w:tcW w:w="2459"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Whether the association between equity incentives and earnings management changes when influenced by governance mechanisms and involvement of auditors</w:t>
            </w:r>
          </w:p>
        </w:tc>
        <w:tc>
          <w:tcPr>
            <w:tcW w:w="2693"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4,403 firm-year observations in the period 2000-2006</w:t>
            </w:r>
          </w:p>
        </w:tc>
        <w:tc>
          <w:tcPr>
            <w:tcW w:w="3828"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The modified Jones model for measuring accruals with signed discretionary accruals and the 'incentive ratio' to measure equity incentives. The influence of auditors is measured as the extent of economic dependence on the auditors’ clients.</w:t>
            </w:r>
          </w:p>
        </w:tc>
        <w:tc>
          <w:tcPr>
            <w:tcW w:w="4180" w:type="dxa"/>
            <w:tcBorders>
              <w:top w:val="nil"/>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Equity incentives are not positively related with earnings management and equity-based compensation has an interest alignment function. Income increasing earnings management is present when both equity incentives and auditors’ dependence on clients are high</w:t>
            </w:r>
          </w:p>
        </w:tc>
      </w:tr>
      <w:tr w:rsidR="00122F10" w:rsidRPr="00122F10" w:rsidTr="0049783D">
        <w:trPr>
          <w:trHeight w:val="1700"/>
        </w:trPr>
        <w:tc>
          <w:tcPr>
            <w:tcW w:w="1100" w:type="dxa"/>
            <w:tcBorders>
              <w:top w:val="single" w:sz="4" w:space="0" w:color="auto"/>
              <w:left w:val="nil"/>
              <w:bottom w:val="single" w:sz="4" w:space="0" w:color="auto"/>
              <w:right w:val="nil"/>
            </w:tcBorders>
            <w:shd w:val="clear" w:color="auto" w:fill="auto"/>
            <w:noWrap/>
            <w:hideMark/>
          </w:tcPr>
          <w:p w:rsidR="00122F10" w:rsidRPr="002A4579" w:rsidRDefault="00122F10" w:rsidP="002A4579">
            <w:pPr>
              <w:rPr>
                <w:b/>
                <w:color w:val="000000"/>
                <w:sz w:val="18"/>
                <w:szCs w:val="18"/>
                <w:lang w:val="nl-NL"/>
              </w:rPr>
            </w:pPr>
            <w:r w:rsidRPr="002A4579">
              <w:rPr>
                <w:b/>
                <w:color w:val="000000"/>
                <w:sz w:val="18"/>
                <w:szCs w:val="18"/>
              </w:rPr>
              <w:lastRenderedPageBreak/>
              <w:t>Cheng, Warfield and Ye (2009)</w:t>
            </w:r>
          </w:p>
        </w:tc>
        <w:tc>
          <w:tcPr>
            <w:tcW w:w="2459" w:type="dxa"/>
            <w:tcBorders>
              <w:top w:val="single" w:sz="4" w:space="0" w:color="auto"/>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The relationship between CEO equity incentives and earnings management in the banking industry</w:t>
            </w:r>
          </w:p>
        </w:tc>
        <w:tc>
          <w:tcPr>
            <w:tcW w:w="2693" w:type="dxa"/>
            <w:tcBorders>
              <w:top w:val="single" w:sz="4" w:space="0" w:color="auto"/>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600 bank year observations in the period 1994-2005 obtained from</w:t>
            </w:r>
            <w:r w:rsidR="006D64B7">
              <w:rPr>
                <w:color w:val="000000"/>
                <w:sz w:val="18"/>
                <w:szCs w:val="18"/>
              </w:rPr>
              <w:t xml:space="preserve"> </w:t>
            </w:r>
            <w:proofErr w:type="spellStart"/>
            <w:r w:rsidR="006D64B7">
              <w:rPr>
                <w:color w:val="000000"/>
                <w:sz w:val="18"/>
                <w:szCs w:val="18"/>
              </w:rPr>
              <w:t>Compustat</w:t>
            </w:r>
            <w:proofErr w:type="spellEnd"/>
            <w:r w:rsidRPr="00122F10">
              <w:rPr>
                <w:color w:val="000000"/>
                <w:sz w:val="18"/>
                <w:szCs w:val="18"/>
              </w:rPr>
              <w:t xml:space="preserve"> </w:t>
            </w:r>
            <w:proofErr w:type="spellStart"/>
            <w:r w:rsidRPr="00122F10">
              <w:rPr>
                <w:color w:val="000000"/>
                <w:sz w:val="18"/>
                <w:szCs w:val="18"/>
              </w:rPr>
              <w:t>Execucomp</w:t>
            </w:r>
            <w:proofErr w:type="spellEnd"/>
            <w:r w:rsidRPr="00122F10">
              <w:rPr>
                <w:color w:val="000000"/>
                <w:sz w:val="18"/>
                <w:szCs w:val="18"/>
              </w:rPr>
              <w:t xml:space="preserve"> database and banks from the S&amp;P1500. </w:t>
            </w:r>
          </w:p>
        </w:tc>
        <w:tc>
          <w:tcPr>
            <w:tcW w:w="3828" w:type="dxa"/>
            <w:tcBorders>
              <w:top w:val="single" w:sz="4" w:space="0" w:color="auto"/>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 xml:space="preserve">The Beaver and Engel (1996) model </w:t>
            </w:r>
            <w:r w:rsidR="006D64B7">
              <w:rPr>
                <w:color w:val="000000"/>
                <w:sz w:val="18"/>
                <w:szCs w:val="18"/>
              </w:rPr>
              <w:t xml:space="preserve">is used </w:t>
            </w:r>
            <w:r w:rsidRPr="00122F10">
              <w:rPr>
                <w:color w:val="000000"/>
                <w:sz w:val="18"/>
                <w:szCs w:val="18"/>
              </w:rPr>
              <w:t>to detect discretionary loan loss provision</w:t>
            </w:r>
            <w:r w:rsidR="006D64B7">
              <w:rPr>
                <w:color w:val="000000"/>
                <w:sz w:val="18"/>
                <w:szCs w:val="18"/>
              </w:rPr>
              <w:t>s and regulatory intervention is</w:t>
            </w:r>
            <w:r w:rsidRPr="00122F10">
              <w:rPr>
                <w:color w:val="000000"/>
                <w:sz w:val="18"/>
                <w:szCs w:val="18"/>
              </w:rPr>
              <w:t xml:space="preserve"> measured by the level of capital ratio.</w:t>
            </w:r>
          </w:p>
        </w:tc>
        <w:tc>
          <w:tcPr>
            <w:tcW w:w="4180" w:type="dxa"/>
            <w:tcBorders>
              <w:top w:val="single" w:sz="4" w:space="0" w:color="auto"/>
              <w:left w:val="nil"/>
              <w:bottom w:val="single" w:sz="4" w:space="0" w:color="auto"/>
              <w:right w:val="nil"/>
            </w:tcBorders>
            <w:shd w:val="clear" w:color="auto" w:fill="auto"/>
            <w:hideMark/>
          </w:tcPr>
          <w:p w:rsidR="00122F10" w:rsidRPr="00122F10" w:rsidRDefault="00122F10" w:rsidP="00122F10">
            <w:pPr>
              <w:rPr>
                <w:color w:val="000000"/>
                <w:sz w:val="18"/>
                <w:szCs w:val="18"/>
              </w:rPr>
            </w:pPr>
            <w:r w:rsidRPr="00122F10">
              <w:rPr>
                <w:color w:val="000000"/>
                <w:sz w:val="18"/>
                <w:szCs w:val="18"/>
              </w:rPr>
              <w:t>High equity incentives are not positively related to upward earnings management. But when capital ratios are low and the likelihood of regulatory intervention is high, managers with high equity incentives are likely to engage upward earnings management. There is a positive relation between high equity incentive and future sales for banks with low capital ratios</w:t>
            </w:r>
          </w:p>
        </w:tc>
      </w:tr>
    </w:tbl>
    <w:p w:rsidR="006D1542" w:rsidRDefault="006D1542" w:rsidP="006D1542"/>
    <w:p w:rsidR="005737D2" w:rsidRDefault="005737D2" w:rsidP="006D1542"/>
    <w:p w:rsidR="006D64B7" w:rsidRDefault="006D64B7" w:rsidP="006D1542"/>
    <w:p w:rsidR="006D64B7" w:rsidRDefault="006D64B7" w:rsidP="006D1542"/>
    <w:tbl>
      <w:tblPr>
        <w:tblW w:w="13600" w:type="dxa"/>
        <w:tblInd w:w="55" w:type="dxa"/>
        <w:tblCellMar>
          <w:left w:w="70" w:type="dxa"/>
          <w:right w:w="70" w:type="dxa"/>
        </w:tblCellMar>
        <w:tblLook w:val="04A0"/>
      </w:tblPr>
      <w:tblGrid>
        <w:gridCol w:w="1260"/>
        <w:gridCol w:w="2260"/>
        <w:gridCol w:w="2440"/>
        <w:gridCol w:w="4000"/>
        <w:gridCol w:w="3640"/>
      </w:tblGrid>
      <w:tr w:rsidR="006D64B7" w:rsidRPr="006D64B7" w:rsidTr="00E762E3">
        <w:trPr>
          <w:trHeight w:val="300"/>
        </w:trPr>
        <w:tc>
          <w:tcPr>
            <w:tcW w:w="5960" w:type="dxa"/>
            <w:gridSpan w:val="3"/>
            <w:tcBorders>
              <w:top w:val="nil"/>
              <w:left w:val="nil"/>
              <w:bottom w:val="single" w:sz="4" w:space="0" w:color="auto"/>
              <w:right w:val="nil"/>
            </w:tcBorders>
            <w:shd w:val="clear" w:color="000000" w:fill="BFBFBF"/>
            <w:noWrap/>
            <w:vAlign w:val="bottom"/>
            <w:hideMark/>
          </w:tcPr>
          <w:p w:rsidR="006D64B7" w:rsidRPr="006D64B7" w:rsidRDefault="006D64B7" w:rsidP="006D64B7">
            <w:pPr>
              <w:rPr>
                <w:b/>
                <w:bCs/>
                <w:color w:val="000000"/>
                <w:sz w:val="18"/>
                <w:szCs w:val="18"/>
              </w:rPr>
            </w:pPr>
            <w:r w:rsidRPr="006D64B7">
              <w:rPr>
                <w:b/>
                <w:bCs/>
                <w:color w:val="000000"/>
                <w:sz w:val="18"/>
                <w:szCs w:val="18"/>
              </w:rPr>
              <w:t>Empirical studies</w:t>
            </w:r>
            <w:r>
              <w:rPr>
                <w:b/>
                <w:bCs/>
                <w:color w:val="000000"/>
                <w:sz w:val="18"/>
                <w:szCs w:val="18"/>
              </w:rPr>
              <w:t xml:space="preserve"> on</w:t>
            </w:r>
            <w:r w:rsidRPr="006D64B7">
              <w:rPr>
                <w:b/>
                <w:bCs/>
                <w:color w:val="000000"/>
                <w:sz w:val="18"/>
                <w:szCs w:val="18"/>
              </w:rPr>
              <w:t xml:space="preserve"> equity incentives in banks</w:t>
            </w:r>
          </w:p>
        </w:tc>
        <w:tc>
          <w:tcPr>
            <w:tcW w:w="4000" w:type="dxa"/>
            <w:tcBorders>
              <w:top w:val="nil"/>
              <w:left w:val="nil"/>
              <w:bottom w:val="single" w:sz="4" w:space="0" w:color="auto"/>
              <w:right w:val="nil"/>
            </w:tcBorders>
            <w:shd w:val="clear" w:color="000000" w:fill="BFBFBF"/>
            <w:noWrap/>
            <w:vAlign w:val="bottom"/>
            <w:hideMark/>
          </w:tcPr>
          <w:p w:rsidR="006D64B7" w:rsidRPr="006D64B7" w:rsidRDefault="006D64B7" w:rsidP="00E762E3">
            <w:pPr>
              <w:rPr>
                <w:b/>
                <w:bCs/>
                <w:color w:val="000000"/>
                <w:sz w:val="18"/>
                <w:szCs w:val="18"/>
              </w:rPr>
            </w:pPr>
            <w:r w:rsidRPr="006D64B7">
              <w:rPr>
                <w:b/>
                <w:bCs/>
                <w:color w:val="000000"/>
                <w:sz w:val="18"/>
                <w:szCs w:val="18"/>
              </w:rPr>
              <w:t> </w:t>
            </w:r>
          </w:p>
        </w:tc>
        <w:tc>
          <w:tcPr>
            <w:tcW w:w="3640" w:type="dxa"/>
            <w:tcBorders>
              <w:top w:val="nil"/>
              <w:left w:val="nil"/>
              <w:bottom w:val="single" w:sz="4" w:space="0" w:color="auto"/>
              <w:right w:val="nil"/>
            </w:tcBorders>
            <w:shd w:val="clear" w:color="000000" w:fill="BFBFBF"/>
            <w:noWrap/>
            <w:vAlign w:val="bottom"/>
            <w:hideMark/>
          </w:tcPr>
          <w:p w:rsidR="006D64B7" w:rsidRPr="006D64B7" w:rsidRDefault="006D64B7" w:rsidP="00E762E3">
            <w:pPr>
              <w:rPr>
                <w:b/>
                <w:bCs/>
                <w:color w:val="000000"/>
                <w:sz w:val="18"/>
                <w:szCs w:val="18"/>
              </w:rPr>
            </w:pPr>
            <w:r w:rsidRPr="006D64B7">
              <w:rPr>
                <w:b/>
                <w:bCs/>
                <w:color w:val="000000"/>
                <w:sz w:val="18"/>
                <w:szCs w:val="18"/>
              </w:rPr>
              <w:t> </w:t>
            </w:r>
          </w:p>
        </w:tc>
      </w:tr>
      <w:tr w:rsidR="006D64B7" w:rsidRPr="006D64B7" w:rsidTr="00E762E3">
        <w:trPr>
          <w:trHeight w:val="300"/>
        </w:trPr>
        <w:tc>
          <w:tcPr>
            <w:tcW w:w="1260" w:type="dxa"/>
            <w:tcBorders>
              <w:top w:val="nil"/>
              <w:left w:val="nil"/>
              <w:bottom w:val="single" w:sz="4" w:space="0" w:color="auto"/>
              <w:right w:val="nil"/>
            </w:tcBorders>
            <w:shd w:val="clear" w:color="auto" w:fill="auto"/>
            <w:noWrap/>
            <w:vAlign w:val="bottom"/>
            <w:hideMark/>
          </w:tcPr>
          <w:p w:rsidR="006D64B7" w:rsidRPr="001C7124" w:rsidRDefault="006D64B7" w:rsidP="00E762E3">
            <w:pPr>
              <w:rPr>
                <w:b/>
                <w:bCs/>
                <w:color w:val="000000"/>
                <w:sz w:val="18"/>
                <w:szCs w:val="18"/>
              </w:rPr>
            </w:pPr>
            <w:r w:rsidRPr="001C7124">
              <w:rPr>
                <w:b/>
                <w:bCs/>
                <w:color w:val="000000"/>
                <w:sz w:val="18"/>
                <w:szCs w:val="18"/>
              </w:rPr>
              <w:t>Authors</w:t>
            </w:r>
          </w:p>
        </w:tc>
        <w:tc>
          <w:tcPr>
            <w:tcW w:w="2260" w:type="dxa"/>
            <w:tcBorders>
              <w:top w:val="nil"/>
              <w:left w:val="nil"/>
              <w:bottom w:val="single" w:sz="4" w:space="0" w:color="auto"/>
              <w:right w:val="nil"/>
            </w:tcBorders>
            <w:shd w:val="clear" w:color="auto" w:fill="auto"/>
            <w:noWrap/>
            <w:vAlign w:val="bottom"/>
            <w:hideMark/>
          </w:tcPr>
          <w:p w:rsidR="006D64B7" w:rsidRPr="001C7124" w:rsidRDefault="006D64B7" w:rsidP="00E762E3">
            <w:pPr>
              <w:rPr>
                <w:b/>
                <w:bCs/>
                <w:color w:val="000000"/>
                <w:sz w:val="18"/>
                <w:szCs w:val="18"/>
              </w:rPr>
            </w:pPr>
            <w:r w:rsidRPr="001C7124">
              <w:rPr>
                <w:b/>
                <w:bCs/>
                <w:color w:val="000000"/>
                <w:sz w:val="18"/>
                <w:szCs w:val="18"/>
              </w:rPr>
              <w:t>Objective of study</w:t>
            </w:r>
          </w:p>
        </w:tc>
        <w:tc>
          <w:tcPr>
            <w:tcW w:w="2440" w:type="dxa"/>
            <w:tcBorders>
              <w:top w:val="nil"/>
              <w:left w:val="nil"/>
              <w:bottom w:val="single" w:sz="4" w:space="0" w:color="auto"/>
              <w:right w:val="nil"/>
            </w:tcBorders>
            <w:shd w:val="clear" w:color="auto" w:fill="auto"/>
            <w:noWrap/>
            <w:vAlign w:val="bottom"/>
            <w:hideMark/>
          </w:tcPr>
          <w:p w:rsidR="006D64B7" w:rsidRPr="001C7124" w:rsidRDefault="006D64B7" w:rsidP="00E762E3">
            <w:pPr>
              <w:rPr>
                <w:b/>
                <w:bCs/>
                <w:color w:val="000000"/>
                <w:sz w:val="18"/>
                <w:szCs w:val="18"/>
              </w:rPr>
            </w:pPr>
            <w:r w:rsidRPr="001C7124">
              <w:rPr>
                <w:b/>
                <w:bCs/>
                <w:color w:val="000000"/>
                <w:sz w:val="18"/>
                <w:szCs w:val="18"/>
              </w:rPr>
              <w:t>Sample</w:t>
            </w:r>
          </w:p>
        </w:tc>
        <w:tc>
          <w:tcPr>
            <w:tcW w:w="4000" w:type="dxa"/>
            <w:tcBorders>
              <w:top w:val="nil"/>
              <w:left w:val="nil"/>
              <w:bottom w:val="single" w:sz="4" w:space="0" w:color="auto"/>
              <w:right w:val="nil"/>
            </w:tcBorders>
            <w:shd w:val="clear" w:color="auto" w:fill="auto"/>
            <w:noWrap/>
            <w:vAlign w:val="bottom"/>
            <w:hideMark/>
          </w:tcPr>
          <w:p w:rsidR="006D64B7" w:rsidRPr="001C7124" w:rsidRDefault="006D64B7" w:rsidP="00E762E3">
            <w:pPr>
              <w:rPr>
                <w:b/>
                <w:bCs/>
                <w:color w:val="000000"/>
                <w:sz w:val="18"/>
                <w:szCs w:val="18"/>
              </w:rPr>
            </w:pPr>
            <w:r w:rsidRPr="001C7124">
              <w:rPr>
                <w:b/>
                <w:bCs/>
                <w:color w:val="000000"/>
                <w:sz w:val="18"/>
                <w:szCs w:val="18"/>
              </w:rPr>
              <w:t>Methodology</w:t>
            </w:r>
          </w:p>
        </w:tc>
        <w:tc>
          <w:tcPr>
            <w:tcW w:w="3640" w:type="dxa"/>
            <w:tcBorders>
              <w:top w:val="nil"/>
              <w:left w:val="nil"/>
              <w:bottom w:val="single" w:sz="4" w:space="0" w:color="auto"/>
              <w:right w:val="nil"/>
            </w:tcBorders>
            <w:shd w:val="clear" w:color="auto" w:fill="auto"/>
            <w:noWrap/>
            <w:vAlign w:val="bottom"/>
            <w:hideMark/>
          </w:tcPr>
          <w:p w:rsidR="006D64B7" w:rsidRPr="001C7124" w:rsidRDefault="006D64B7" w:rsidP="00E762E3">
            <w:pPr>
              <w:rPr>
                <w:b/>
                <w:bCs/>
                <w:color w:val="000000"/>
                <w:sz w:val="18"/>
                <w:szCs w:val="18"/>
              </w:rPr>
            </w:pPr>
            <w:r w:rsidRPr="001C7124">
              <w:rPr>
                <w:b/>
                <w:bCs/>
                <w:color w:val="000000"/>
                <w:sz w:val="18"/>
                <w:szCs w:val="18"/>
              </w:rPr>
              <w:t>Results</w:t>
            </w:r>
          </w:p>
        </w:tc>
      </w:tr>
      <w:tr w:rsidR="006D64B7" w:rsidRPr="006D64B7" w:rsidTr="00E762E3">
        <w:trPr>
          <w:trHeight w:val="2115"/>
        </w:trPr>
        <w:tc>
          <w:tcPr>
            <w:tcW w:w="1260" w:type="dxa"/>
            <w:tcBorders>
              <w:top w:val="nil"/>
              <w:left w:val="nil"/>
              <w:bottom w:val="nil"/>
              <w:right w:val="nil"/>
            </w:tcBorders>
            <w:shd w:val="clear" w:color="auto" w:fill="auto"/>
            <w:hideMark/>
          </w:tcPr>
          <w:p w:rsidR="006D64B7" w:rsidRPr="006D64B7" w:rsidRDefault="006D64B7" w:rsidP="00E762E3">
            <w:pPr>
              <w:rPr>
                <w:b/>
                <w:bCs/>
                <w:color w:val="000000"/>
                <w:sz w:val="18"/>
                <w:szCs w:val="18"/>
                <w:lang w:val="nl-NL"/>
              </w:rPr>
            </w:pPr>
            <w:r w:rsidRPr="006D64B7">
              <w:rPr>
                <w:b/>
                <w:bCs/>
                <w:color w:val="000000"/>
                <w:sz w:val="18"/>
                <w:szCs w:val="18"/>
              </w:rPr>
              <w:t>Houston and James (1995)</w:t>
            </w:r>
          </w:p>
        </w:tc>
        <w:tc>
          <w:tcPr>
            <w:tcW w:w="2260" w:type="dxa"/>
            <w:tcBorders>
              <w:top w:val="nil"/>
              <w:left w:val="nil"/>
              <w:bottom w:val="nil"/>
              <w:right w:val="nil"/>
            </w:tcBorders>
            <w:shd w:val="clear" w:color="auto" w:fill="auto"/>
            <w:hideMark/>
          </w:tcPr>
          <w:p w:rsidR="006D64B7" w:rsidRPr="006D64B7" w:rsidRDefault="006D64B7" w:rsidP="00CD00C6">
            <w:pPr>
              <w:rPr>
                <w:color w:val="000000"/>
                <w:sz w:val="18"/>
                <w:szCs w:val="18"/>
              </w:rPr>
            </w:pPr>
            <w:r w:rsidRPr="006D64B7">
              <w:rPr>
                <w:color w:val="000000"/>
                <w:sz w:val="18"/>
                <w:szCs w:val="18"/>
              </w:rPr>
              <w:t xml:space="preserve">Whether </w:t>
            </w:r>
            <w:r w:rsidR="00CD00C6" w:rsidRPr="006D64B7">
              <w:rPr>
                <w:color w:val="000000"/>
                <w:sz w:val="18"/>
                <w:szCs w:val="18"/>
              </w:rPr>
              <w:t>executive</w:t>
            </w:r>
            <w:r w:rsidRPr="006D64B7">
              <w:rPr>
                <w:color w:val="000000"/>
                <w:sz w:val="18"/>
                <w:szCs w:val="18"/>
              </w:rPr>
              <w:t xml:space="preserve"> compensation is designed to promote risk taking in the banking industry.</w:t>
            </w:r>
          </w:p>
        </w:tc>
        <w:tc>
          <w:tcPr>
            <w:tcW w:w="2440" w:type="dxa"/>
            <w:tcBorders>
              <w:top w:val="nil"/>
              <w:left w:val="nil"/>
              <w:bottom w:val="nil"/>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Data are from the Forbes annual survey of executive compensation for the period 1980-1990.</w:t>
            </w:r>
          </w:p>
        </w:tc>
        <w:tc>
          <w:tcPr>
            <w:tcW w:w="4000" w:type="dxa"/>
            <w:tcBorders>
              <w:top w:val="nil"/>
              <w:left w:val="nil"/>
              <w:bottom w:val="nil"/>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Options are valued by the Black-</w:t>
            </w:r>
            <w:proofErr w:type="spellStart"/>
            <w:r w:rsidRPr="006D64B7">
              <w:rPr>
                <w:color w:val="000000"/>
                <w:sz w:val="18"/>
                <w:szCs w:val="18"/>
              </w:rPr>
              <w:t>Scholes</w:t>
            </w:r>
            <w:proofErr w:type="spellEnd"/>
            <w:r w:rsidRPr="006D64B7">
              <w:rPr>
                <w:color w:val="000000"/>
                <w:sz w:val="18"/>
                <w:szCs w:val="18"/>
              </w:rPr>
              <w:t xml:space="preserve"> formula. </w:t>
            </w:r>
            <w:r w:rsidR="00CD00C6" w:rsidRPr="006D64B7">
              <w:rPr>
                <w:color w:val="000000"/>
                <w:sz w:val="18"/>
                <w:szCs w:val="18"/>
              </w:rPr>
              <w:t>Descriptive</w:t>
            </w:r>
            <w:r w:rsidRPr="006D64B7">
              <w:rPr>
                <w:color w:val="000000"/>
                <w:sz w:val="18"/>
                <w:szCs w:val="18"/>
              </w:rPr>
              <w:t xml:space="preserve"> statistics is used to compare compensation package between CEOs in banks and nonbanks. Equity based incentives are measured by the variance in stock returns.</w:t>
            </w:r>
          </w:p>
        </w:tc>
        <w:tc>
          <w:tcPr>
            <w:tcW w:w="3640" w:type="dxa"/>
            <w:tcBorders>
              <w:top w:val="nil"/>
              <w:left w:val="nil"/>
              <w:bottom w:val="nil"/>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 xml:space="preserve">Bank CEOs receive less cash compensation and have less equity-based compensation than CEOs in nonbanks. There is a positive relation between equity </w:t>
            </w:r>
            <w:r w:rsidR="00CD00C6" w:rsidRPr="006D64B7">
              <w:rPr>
                <w:color w:val="000000"/>
                <w:sz w:val="18"/>
                <w:szCs w:val="18"/>
              </w:rPr>
              <w:t>incentives and</w:t>
            </w:r>
            <w:r w:rsidRPr="006D64B7">
              <w:rPr>
                <w:color w:val="000000"/>
                <w:sz w:val="18"/>
                <w:szCs w:val="18"/>
              </w:rPr>
              <w:t xml:space="preserve"> the value if the bank's charter. The results indicated that equity-based compensation is not structured to promote risk taking.</w:t>
            </w:r>
          </w:p>
        </w:tc>
      </w:tr>
      <w:tr w:rsidR="006D64B7" w:rsidRPr="006D64B7" w:rsidTr="00E762E3">
        <w:trPr>
          <w:trHeight w:val="1800"/>
        </w:trPr>
        <w:tc>
          <w:tcPr>
            <w:tcW w:w="1260" w:type="dxa"/>
            <w:tcBorders>
              <w:top w:val="single" w:sz="4" w:space="0" w:color="auto"/>
              <w:left w:val="nil"/>
              <w:bottom w:val="single" w:sz="4" w:space="0" w:color="auto"/>
              <w:right w:val="nil"/>
            </w:tcBorders>
            <w:shd w:val="clear" w:color="auto" w:fill="auto"/>
            <w:hideMark/>
          </w:tcPr>
          <w:p w:rsidR="006D64B7" w:rsidRPr="006D64B7" w:rsidRDefault="006D64B7" w:rsidP="00E762E3">
            <w:pPr>
              <w:rPr>
                <w:b/>
                <w:bCs/>
                <w:color w:val="000000"/>
                <w:sz w:val="18"/>
                <w:szCs w:val="18"/>
                <w:lang w:val="nl-NL"/>
              </w:rPr>
            </w:pPr>
            <w:proofErr w:type="spellStart"/>
            <w:r w:rsidRPr="006D64B7">
              <w:rPr>
                <w:b/>
                <w:bCs/>
                <w:color w:val="000000"/>
                <w:sz w:val="18"/>
                <w:szCs w:val="18"/>
              </w:rPr>
              <w:t>Cuñat</w:t>
            </w:r>
            <w:proofErr w:type="spellEnd"/>
            <w:r w:rsidRPr="006D64B7">
              <w:rPr>
                <w:b/>
                <w:bCs/>
                <w:color w:val="000000"/>
                <w:sz w:val="18"/>
                <w:szCs w:val="18"/>
              </w:rPr>
              <w:t xml:space="preserve"> and Guadalupe (2009) </w:t>
            </w:r>
          </w:p>
        </w:tc>
        <w:tc>
          <w:tcPr>
            <w:tcW w:w="2260" w:type="dxa"/>
            <w:tcBorders>
              <w:top w:val="single" w:sz="4" w:space="0" w:color="auto"/>
              <w:left w:val="nil"/>
              <w:bottom w:val="single" w:sz="4" w:space="0" w:color="auto"/>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The effect of product market competition on the compensation packages of executives in the banking and financial sectors</w:t>
            </w:r>
          </w:p>
        </w:tc>
        <w:tc>
          <w:tcPr>
            <w:tcW w:w="2440" w:type="dxa"/>
            <w:tcBorders>
              <w:top w:val="single" w:sz="4" w:space="0" w:color="auto"/>
              <w:left w:val="nil"/>
              <w:bottom w:val="single" w:sz="4" w:space="0" w:color="auto"/>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 xml:space="preserve">Data from S&amp;P 1500 </w:t>
            </w:r>
            <w:proofErr w:type="spellStart"/>
            <w:r w:rsidRPr="006D64B7">
              <w:rPr>
                <w:color w:val="000000"/>
                <w:sz w:val="18"/>
                <w:szCs w:val="18"/>
              </w:rPr>
              <w:t>Execucomp</w:t>
            </w:r>
            <w:proofErr w:type="spellEnd"/>
            <w:r w:rsidRPr="006D64B7">
              <w:rPr>
                <w:color w:val="000000"/>
                <w:sz w:val="18"/>
                <w:szCs w:val="18"/>
              </w:rPr>
              <w:t xml:space="preserve"> database for the period 1992-2002. The initial sample has 29.994 observations that correspond to 5898 firm-executive pairs.</w:t>
            </w:r>
          </w:p>
        </w:tc>
        <w:tc>
          <w:tcPr>
            <w:tcW w:w="4000" w:type="dxa"/>
            <w:tcBorders>
              <w:top w:val="single" w:sz="4" w:space="0" w:color="auto"/>
              <w:left w:val="nil"/>
              <w:bottom w:val="single" w:sz="4" w:space="0" w:color="auto"/>
              <w:right w:val="nil"/>
            </w:tcBorders>
            <w:shd w:val="clear" w:color="auto" w:fill="auto"/>
            <w:hideMark/>
          </w:tcPr>
          <w:p w:rsidR="006D64B7" w:rsidRPr="006D64B7" w:rsidRDefault="00CD00C6" w:rsidP="00E762E3">
            <w:pPr>
              <w:rPr>
                <w:color w:val="000000"/>
                <w:sz w:val="18"/>
                <w:szCs w:val="18"/>
              </w:rPr>
            </w:pPr>
            <w:r w:rsidRPr="006D64B7">
              <w:rPr>
                <w:color w:val="000000"/>
                <w:sz w:val="18"/>
                <w:szCs w:val="18"/>
              </w:rPr>
              <w:t>Descriptive</w:t>
            </w:r>
            <w:r w:rsidR="006D64B7" w:rsidRPr="006D64B7">
              <w:rPr>
                <w:color w:val="000000"/>
                <w:sz w:val="18"/>
                <w:szCs w:val="18"/>
              </w:rPr>
              <w:t xml:space="preserve"> statistics of compensation. Total compensation is the dependant variable in a regression</w:t>
            </w:r>
            <w:r>
              <w:rPr>
                <w:color w:val="000000"/>
                <w:sz w:val="18"/>
                <w:szCs w:val="18"/>
              </w:rPr>
              <w:t xml:space="preserve"> with control variables such as log of assets and dummy variable for new executive</w:t>
            </w:r>
            <w:r w:rsidR="006D64B7" w:rsidRPr="006D64B7">
              <w:rPr>
                <w:color w:val="000000"/>
                <w:sz w:val="18"/>
                <w:szCs w:val="18"/>
              </w:rPr>
              <w:t xml:space="preserve">. To assess the effect of deregulation on total compensation and variable pay, the treated firms and treatments period are defined with dummy variables. </w:t>
            </w:r>
          </w:p>
        </w:tc>
        <w:tc>
          <w:tcPr>
            <w:tcW w:w="3640" w:type="dxa"/>
            <w:tcBorders>
              <w:top w:val="single" w:sz="4" w:space="0" w:color="auto"/>
              <w:left w:val="nil"/>
              <w:bottom w:val="single" w:sz="4" w:space="0" w:color="auto"/>
              <w:right w:val="nil"/>
            </w:tcBorders>
            <w:shd w:val="clear" w:color="auto" w:fill="auto"/>
            <w:hideMark/>
          </w:tcPr>
          <w:p w:rsidR="006D64B7" w:rsidRPr="006D64B7" w:rsidRDefault="006D64B7" w:rsidP="00E762E3">
            <w:pPr>
              <w:rPr>
                <w:color w:val="000000"/>
                <w:sz w:val="18"/>
                <w:szCs w:val="18"/>
              </w:rPr>
            </w:pPr>
            <w:r w:rsidRPr="006D64B7">
              <w:rPr>
                <w:color w:val="000000"/>
                <w:sz w:val="18"/>
                <w:szCs w:val="18"/>
              </w:rPr>
              <w:t xml:space="preserve">Deregulation and more competition leads to greater use of incentives for managers to increase firm performance. The variable compensation increased with performance-pay sensitivities and fixed compensation decreased, while the </w:t>
            </w:r>
            <w:r w:rsidR="00CD00C6" w:rsidRPr="006D64B7">
              <w:rPr>
                <w:color w:val="000000"/>
                <w:sz w:val="18"/>
                <w:szCs w:val="18"/>
              </w:rPr>
              <w:t>overall</w:t>
            </w:r>
            <w:r w:rsidRPr="006D64B7">
              <w:rPr>
                <w:color w:val="000000"/>
                <w:sz w:val="18"/>
                <w:szCs w:val="18"/>
              </w:rPr>
              <w:t xml:space="preserve"> effect on total pay was small.</w:t>
            </w:r>
          </w:p>
        </w:tc>
      </w:tr>
    </w:tbl>
    <w:p w:rsidR="006D64B7" w:rsidRDefault="006D64B7" w:rsidP="006D1542"/>
    <w:p w:rsidR="006D64B7" w:rsidRDefault="006D64B7" w:rsidP="006D1542"/>
    <w:p w:rsidR="006D64B7" w:rsidRDefault="006D64B7" w:rsidP="006D1542"/>
    <w:p w:rsidR="006D64B7" w:rsidRDefault="006D64B7" w:rsidP="006D1542"/>
    <w:p w:rsidR="006D64B7" w:rsidRDefault="006D64B7" w:rsidP="006D1542"/>
    <w:p w:rsidR="00080C77" w:rsidRDefault="00080C77" w:rsidP="006D1542"/>
    <w:p w:rsidR="006D64B7" w:rsidRDefault="006D64B7" w:rsidP="006D1542"/>
    <w:tbl>
      <w:tblPr>
        <w:tblW w:w="14190" w:type="dxa"/>
        <w:tblInd w:w="55" w:type="dxa"/>
        <w:tblCellMar>
          <w:left w:w="70" w:type="dxa"/>
          <w:right w:w="70" w:type="dxa"/>
        </w:tblCellMar>
        <w:tblLook w:val="04A0"/>
      </w:tblPr>
      <w:tblGrid>
        <w:gridCol w:w="1149"/>
        <w:gridCol w:w="2694"/>
        <w:gridCol w:w="2409"/>
        <w:gridCol w:w="3686"/>
        <w:gridCol w:w="4252"/>
      </w:tblGrid>
      <w:tr w:rsidR="002A4579" w:rsidRPr="002A4579" w:rsidTr="00080C77">
        <w:trPr>
          <w:trHeight w:val="300"/>
        </w:trPr>
        <w:tc>
          <w:tcPr>
            <w:tcW w:w="6252" w:type="dxa"/>
            <w:gridSpan w:val="3"/>
            <w:tcBorders>
              <w:top w:val="nil"/>
              <w:left w:val="nil"/>
              <w:bottom w:val="single" w:sz="4" w:space="0" w:color="auto"/>
              <w:right w:val="nil"/>
            </w:tcBorders>
            <w:shd w:val="clear" w:color="000000" w:fill="BFBFBF"/>
            <w:noWrap/>
            <w:vAlign w:val="bottom"/>
            <w:hideMark/>
          </w:tcPr>
          <w:p w:rsidR="002A4579" w:rsidRPr="002A4579" w:rsidRDefault="006D64B7" w:rsidP="002A4579">
            <w:pPr>
              <w:rPr>
                <w:b/>
                <w:color w:val="000000"/>
                <w:sz w:val="18"/>
                <w:szCs w:val="18"/>
              </w:rPr>
            </w:pPr>
            <w:r>
              <w:rPr>
                <w:b/>
                <w:color w:val="000000"/>
                <w:sz w:val="18"/>
                <w:szCs w:val="18"/>
              </w:rPr>
              <w:t>Empirical studies on</w:t>
            </w:r>
            <w:r w:rsidR="002A4579" w:rsidRPr="002A4579">
              <w:rPr>
                <w:b/>
                <w:color w:val="000000"/>
                <w:sz w:val="18"/>
                <w:szCs w:val="18"/>
              </w:rPr>
              <w:t xml:space="preserve"> CFO equity incentives and earnings management</w:t>
            </w:r>
          </w:p>
        </w:tc>
        <w:tc>
          <w:tcPr>
            <w:tcW w:w="3686" w:type="dxa"/>
            <w:tcBorders>
              <w:top w:val="nil"/>
              <w:left w:val="nil"/>
              <w:bottom w:val="single" w:sz="4" w:space="0" w:color="auto"/>
              <w:right w:val="nil"/>
            </w:tcBorders>
            <w:shd w:val="clear" w:color="000000" w:fill="BFBFBF"/>
            <w:noWrap/>
            <w:vAlign w:val="bottom"/>
            <w:hideMark/>
          </w:tcPr>
          <w:p w:rsidR="002A4579" w:rsidRPr="002A4579" w:rsidRDefault="002A4579" w:rsidP="002A4579">
            <w:pPr>
              <w:rPr>
                <w:b/>
                <w:color w:val="000000"/>
                <w:sz w:val="18"/>
                <w:szCs w:val="18"/>
              </w:rPr>
            </w:pPr>
            <w:r w:rsidRPr="002A4579">
              <w:rPr>
                <w:b/>
                <w:color w:val="000000"/>
                <w:sz w:val="18"/>
                <w:szCs w:val="18"/>
              </w:rPr>
              <w:t> </w:t>
            </w:r>
          </w:p>
        </w:tc>
        <w:tc>
          <w:tcPr>
            <w:tcW w:w="4252" w:type="dxa"/>
            <w:tcBorders>
              <w:top w:val="nil"/>
              <w:left w:val="nil"/>
              <w:bottom w:val="single" w:sz="4" w:space="0" w:color="auto"/>
              <w:right w:val="nil"/>
            </w:tcBorders>
            <w:shd w:val="clear" w:color="000000" w:fill="BFBFBF"/>
            <w:noWrap/>
            <w:vAlign w:val="bottom"/>
            <w:hideMark/>
          </w:tcPr>
          <w:p w:rsidR="002A4579" w:rsidRPr="002A4579" w:rsidRDefault="002A4579" w:rsidP="002A4579">
            <w:pPr>
              <w:rPr>
                <w:b/>
                <w:color w:val="000000"/>
                <w:sz w:val="18"/>
                <w:szCs w:val="18"/>
              </w:rPr>
            </w:pPr>
            <w:r w:rsidRPr="002A4579">
              <w:rPr>
                <w:b/>
                <w:color w:val="000000"/>
                <w:sz w:val="18"/>
                <w:szCs w:val="18"/>
              </w:rPr>
              <w:t> </w:t>
            </w:r>
          </w:p>
        </w:tc>
      </w:tr>
      <w:tr w:rsidR="002A4579" w:rsidRPr="002A4579" w:rsidTr="00080C77">
        <w:trPr>
          <w:trHeight w:val="300"/>
        </w:trPr>
        <w:tc>
          <w:tcPr>
            <w:tcW w:w="1149" w:type="dxa"/>
            <w:tcBorders>
              <w:top w:val="nil"/>
              <w:left w:val="nil"/>
              <w:bottom w:val="single" w:sz="4" w:space="0" w:color="auto"/>
              <w:right w:val="nil"/>
            </w:tcBorders>
            <w:shd w:val="clear" w:color="auto" w:fill="auto"/>
            <w:noWrap/>
            <w:vAlign w:val="bottom"/>
            <w:hideMark/>
          </w:tcPr>
          <w:p w:rsidR="002A4579" w:rsidRPr="001C7124" w:rsidRDefault="002A4579" w:rsidP="002A4579">
            <w:pPr>
              <w:rPr>
                <w:b/>
                <w:color w:val="000000"/>
                <w:sz w:val="18"/>
                <w:szCs w:val="18"/>
              </w:rPr>
            </w:pPr>
            <w:r w:rsidRPr="001C7124">
              <w:rPr>
                <w:b/>
                <w:color w:val="000000"/>
                <w:sz w:val="18"/>
                <w:szCs w:val="18"/>
              </w:rPr>
              <w:t>Authors</w:t>
            </w:r>
          </w:p>
        </w:tc>
        <w:tc>
          <w:tcPr>
            <w:tcW w:w="2694" w:type="dxa"/>
            <w:tcBorders>
              <w:top w:val="nil"/>
              <w:left w:val="nil"/>
              <w:bottom w:val="single" w:sz="4" w:space="0" w:color="auto"/>
              <w:right w:val="nil"/>
            </w:tcBorders>
            <w:shd w:val="clear" w:color="auto" w:fill="auto"/>
            <w:noWrap/>
            <w:vAlign w:val="bottom"/>
            <w:hideMark/>
          </w:tcPr>
          <w:p w:rsidR="002A4579" w:rsidRPr="001C7124" w:rsidRDefault="002A4579" w:rsidP="002A4579">
            <w:pPr>
              <w:rPr>
                <w:b/>
                <w:color w:val="000000"/>
                <w:sz w:val="18"/>
                <w:szCs w:val="18"/>
              </w:rPr>
            </w:pPr>
            <w:r w:rsidRPr="001C7124">
              <w:rPr>
                <w:b/>
                <w:color w:val="000000"/>
                <w:sz w:val="18"/>
                <w:szCs w:val="18"/>
              </w:rPr>
              <w:t>Objective of study</w:t>
            </w:r>
          </w:p>
        </w:tc>
        <w:tc>
          <w:tcPr>
            <w:tcW w:w="2409" w:type="dxa"/>
            <w:tcBorders>
              <w:top w:val="nil"/>
              <w:left w:val="nil"/>
              <w:bottom w:val="single" w:sz="4" w:space="0" w:color="auto"/>
              <w:right w:val="nil"/>
            </w:tcBorders>
            <w:shd w:val="clear" w:color="auto" w:fill="auto"/>
            <w:noWrap/>
            <w:vAlign w:val="bottom"/>
            <w:hideMark/>
          </w:tcPr>
          <w:p w:rsidR="002A4579" w:rsidRPr="001C7124" w:rsidRDefault="002A4579" w:rsidP="002A4579">
            <w:pPr>
              <w:rPr>
                <w:b/>
                <w:color w:val="000000"/>
                <w:sz w:val="18"/>
                <w:szCs w:val="18"/>
              </w:rPr>
            </w:pPr>
            <w:r w:rsidRPr="001C7124">
              <w:rPr>
                <w:b/>
                <w:color w:val="000000"/>
                <w:sz w:val="18"/>
                <w:szCs w:val="18"/>
              </w:rPr>
              <w:t>Sample</w:t>
            </w:r>
          </w:p>
        </w:tc>
        <w:tc>
          <w:tcPr>
            <w:tcW w:w="3686" w:type="dxa"/>
            <w:tcBorders>
              <w:top w:val="nil"/>
              <w:left w:val="nil"/>
              <w:bottom w:val="single" w:sz="4" w:space="0" w:color="auto"/>
              <w:right w:val="nil"/>
            </w:tcBorders>
            <w:shd w:val="clear" w:color="auto" w:fill="auto"/>
            <w:noWrap/>
            <w:vAlign w:val="bottom"/>
            <w:hideMark/>
          </w:tcPr>
          <w:p w:rsidR="002A4579" w:rsidRPr="001C7124" w:rsidRDefault="002A4579" w:rsidP="002A4579">
            <w:pPr>
              <w:rPr>
                <w:b/>
                <w:color w:val="000000"/>
                <w:sz w:val="18"/>
                <w:szCs w:val="18"/>
              </w:rPr>
            </w:pPr>
            <w:r w:rsidRPr="001C7124">
              <w:rPr>
                <w:b/>
                <w:color w:val="000000"/>
                <w:sz w:val="18"/>
                <w:szCs w:val="18"/>
              </w:rPr>
              <w:t>Methodology</w:t>
            </w:r>
          </w:p>
        </w:tc>
        <w:tc>
          <w:tcPr>
            <w:tcW w:w="4252" w:type="dxa"/>
            <w:tcBorders>
              <w:top w:val="nil"/>
              <w:left w:val="nil"/>
              <w:bottom w:val="single" w:sz="4" w:space="0" w:color="auto"/>
              <w:right w:val="nil"/>
            </w:tcBorders>
            <w:shd w:val="clear" w:color="auto" w:fill="auto"/>
            <w:noWrap/>
            <w:vAlign w:val="bottom"/>
            <w:hideMark/>
          </w:tcPr>
          <w:p w:rsidR="002A4579" w:rsidRPr="001C7124" w:rsidRDefault="002A4579" w:rsidP="002A4579">
            <w:pPr>
              <w:rPr>
                <w:b/>
                <w:color w:val="000000"/>
                <w:sz w:val="18"/>
                <w:szCs w:val="18"/>
              </w:rPr>
            </w:pPr>
            <w:r w:rsidRPr="001C7124">
              <w:rPr>
                <w:b/>
                <w:color w:val="000000"/>
                <w:sz w:val="18"/>
                <w:szCs w:val="18"/>
              </w:rPr>
              <w:t>Results</w:t>
            </w:r>
          </w:p>
        </w:tc>
      </w:tr>
      <w:tr w:rsidR="002A4579" w:rsidRPr="002A4579" w:rsidTr="00080C77">
        <w:trPr>
          <w:trHeight w:val="1684"/>
        </w:trPr>
        <w:tc>
          <w:tcPr>
            <w:tcW w:w="1149" w:type="dxa"/>
            <w:tcBorders>
              <w:top w:val="single" w:sz="4" w:space="0" w:color="auto"/>
              <w:left w:val="nil"/>
              <w:bottom w:val="single" w:sz="4" w:space="0" w:color="auto"/>
              <w:right w:val="nil"/>
            </w:tcBorders>
            <w:shd w:val="clear" w:color="auto" w:fill="auto"/>
            <w:hideMark/>
          </w:tcPr>
          <w:p w:rsidR="002A4579" w:rsidRPr="002A4579" w:rsidRDefault="002A4579" w:rsidP="002A4579">
            <w:pPr>
              <w:rPr>
                <w:b/>
                <w:color w:val="000000"/>
                <w:sz w:val="18"/>
                <w:szCs w:val="18"/>
                <w:lang w:val="nl-NL"/>
              </w:rPr>
            </w:pPr>
            <w:r w:rsidRPr="002A4579">
              <w:rPr>
                <w:b/>
                <w:color w:val="000000"/>
                <w:sz w:val="18"/>
                <w:szCs w:val="18"/>
              </w:rPr>
              <w:t xml:space="preserve">Jiang, </w:t>
            </w:r>
            <w:proofErr w:type="spellStart"/>
            <w:r w:rsidRPr="002A4579">
              <w:rPr>
                <w:b/>
                <w:color w:val="000000"/>
                <w:sz w:val="18"/>
                <w:szCs w:val="18"/>
              </w:rPr>
              <w:t>Petroni</w:t>
            </w:r>
            <w:proofErr w:type="spellEnd"/>
            <w:r w:rsidRPr="002A4579">
              <w:rPr>
                <w:b/>
                <w:color w:val="000000"/>
                <w:sz w:val="18"/>
                <w:szCs w:val="18"/>
              </w:rPr>
              <w:t xml:space="preserve"> and Wang (2010)</w:t>
            </w:r>
          </w:p>
        </w:tc>
        <w:tc>
          <w:tcPr>
            <w:tcW w:w="2694" w:type="dxa"/>
            <w:tcBorders>
              <w:top w:val="single" w:sz="4" w:space="0" w:color="auto"/>
              <w:left w:val="nil"/>
              <w:bottom w:val="single" w:sz="4" w:space="0" w:color="auto"/>
              <w:right w:val="nil"/>
            </w:tcBorders>
            <w:shd w:val="clear" w:color="auto" w:fill="auto"/>
            <w:hideMark/>
          </w:tcPr>
          <w:p w:rsidR="002A4579" w:rsidRPr="002A4579" w:rsidRDefault="002A4579" w:rsidP="002A4579">
            <w:pPr>
              <w:rPr>
                <w:color w:val="000000"/>
                <w:sz w:val="18"/>
                <w:szCs w:val="18"/>
              </w:rPr>
            </w:pPr>
            <w:r w:rsidRPr="002A4579">
              <w:rPr>
                <w:color w:val="000000"/>
                <w:sz w:val="18"/>
                <w:szCs w:val="18"/>
              </w:rPr>
              <w:t>Whether the CFO equity incentives are associated with earnings management and comparing this with that of the CEO.</w:t>
            </w:r>
          </w:p>
        </w:tc>
        <w:tc>
          <w:tcPr>
            <w:tcW w:w="2409" w:type="dxa"/>
            <w:tcBorders>
              <w:top w:val="single" w:sz="4" w:space="0" w:color="auto"/>
              <w:left w:val="nil"/>
              <w:bottom w:val="single" w:sz="4" w:space="0" w:color="auto"/>
              <w:right w:val="nil"/>
            </w:tcBorders>
            <w:shd w:val="clear" w:color="auto" w:fill="auto"/>
            <w:hideMark/>
          </w:tcPr>
          <w:p w:rsidR="002A4579" w:rsidRPr="002A4579" w:rsidRDefault="002A4579" w:rsidP="002A4579">
            <w:pPr>
              <w:rPr>
                <w:color w:val="000000"/>
                <w:sz w:val="18"/>
                <w:szCs w:val="18"/>
              </w:rPr>
            </w:pPr>
            <w:r w:rsidRPr="002A4579">
              <w:rPr>
                <w:color w:val="000000"/>
                <w:sz w:val="18"/>
                <w:szCs w:val="18"/>
              </w:rPr>
              <w:t xml:space="preserve">17,542 firm-years in the period 1994-2007 using the S&amp;P 1500 firms covered by </w:t>
            </w:r>
            <w:proofErr w:type="spellStart"/>
            <w:r w:rsidRPr="002A4579">
              <w:rPr>
                <w:color w:val="000000"/>
                <w:sz w:val="18"/>
                <w:szCs w:val="18"/>
              </w:rPr>
              <w:t>ExecuComp</w:t>
            </w:r>
            <w:proofErr w:type="spellEnd"/>
            <w:r w:rsidRPr="002A4579">
              <w:rPr>
                <w:color w:val="000000"/>
                <w:sz w:val="18"/>
                <w:szCs w:val="18"/>
              </w:rPr>
              <w:t xml:space="preserve"> database with both the CEO’s and CFO’s compensation.</w:t>
            </w:r>
          </w:p>
        </w:tc>
        <w:tc>
          <w:tcPr>
            <w:tcW w:w="3686" w:type="dxa"/>
            <w:tcBorders>
              <w:top w:val="single" w:sz="4" w:space="0" w:color="auto"/>
              <w:left w:val="nil"/>
              <w:bottom w:val="single" w:sz="4" w:space="0" w:color="auto"/>
              <w:right w:val="nil"/>
            </w:tcBorders>
            <w:shd w:val="clear" w:color="auto" w:fill="auto"/>
            <w:hideMark/>
          </w:tcPr>
          <w:p w:rsidR="002A4579" w:rsidRPr="002A4579" w:rsidRDefault="002A4579" w:rsidP="001C7124">
            <w:pPr>
              <w:rPr>
                <w:color w:val="000000"/>
                <w:sz w:val="18"/>
                <w:szCs w:val="18"/>
              </w:rPr>
            </w:pPr>
            <w:r w:rsidRPr="002A4579">
              <w:rPr>
                <w:color w:val="000000"/>
                <w:sz w:val="18"/>
                <w:szCs w:val="18"/>
              </w:rPr>
              <w:t xml:space="preserve">Equity incentives are measured with the 'incentive ratio'. Earnings management measured through the absolute values of </w:t>
            </w:r>
            <w:r>
              <w:rPr>
                <w:color w:val="000000"/>
                <w:sz w:val="18"/>
                <w:szCs w:val="18"/>
              </w:rPr>
              <w:t>total accruals</w:t>
            </w:r>
            <w:r w:rsidRPr="002A4579">
              <w:rPr>
                <w:color w:val="000000"/>
                <w:sz w:val="18"/>
                <w:szCs w:val="18"/>
              </w:rPr>
              <w:t xml:space="preserve"> and</w:t>
            </w:r>
            <w:r>
              <w:rPr>
                <w:color w:val="000000"/>
                <w:sz w:val="18"/>
                <w:szCs w:val="18"/>
              </w:rPr>
              <w:t xml:space="preserve"> </w:t>
            </w:r>
            <w:r w:rsidRPr="002A4579">
              <w:rPr>
                <w:color w:val="000000"/>
                <w:sz w:val="18"/>
                <w:szCs w:val="18"/>
              </w:rPr>
              <w:t>discretionary accruals using the modified Jones model; and by meeting and beating analyst's forecasts.</w:t>
            </w:r>
          </w:p>
        </w:tc>
        <w:tc>
          <w:tcPr>
            <w:tcW w:w="4252" w:type="dxa"/>
            <w:tcBorders>
              <w:top w:val="single" w:sz="4" w:space="0" w:color="auto"/>
              <w:left w:val="nil"/>
              <w:bottom w:val="single" w:sz="4" w:space="0" w:color="auto"/>
              <w:right w:val="nil"/>
            </w:tcBorders>
            <w:shd w:val="clear" w:color="auto" w:fill="auto"/>
            <w:hideMark/>
          </w:tcPr>
          <w:p w:rsidR="002A4579" w:rsidRPr="002A4579" w:rsidRDefault="002A4579" w:rsidP="002A4579">
            <w:pPr>
              <w:rPr>
                <w:color w:val="000000"/>
                <w:sz w:val="18"/>
                <w:szCs w:val="18"/>
              </w:rPr>
            </w:pPr>
            <w:r w:rsidRPr="002A4579">
              <w:rPr>
                <w:color w:val="000000"/>
                <w:sz w:val="18"/>
                <w:szCs w:val="18"/>
              </w:rPr>
              <w:t>CFO equity incentives are significantly more increasing than CEO equity incentives in the pre-SOX period. For the post-SOX period they find that neither CFO nor CEO equity incentives are increasing. Also, their results showed that the association between CFO equity incentives and to meet or beat analysts’ forecast dominates that of the CEOs.</w:t>
            </w:r>
          </w:p>
        </w:tc>
      </w:tr>
    </w:tbl>
    <w:p w:rsidR="005737D2" w:rsidRDefault="005737D2" w:rsidP="006D1542"/>
    <w:p w:rsidR="00080C77" w:rsidRDefault="00080C77" w:rsidP="006D1542"/>
    <w:p w:rsidR="006D64B7" w:rsidRDefault="006D64B7" w:rsidP="00080C77"/>
    <w:p w:rsidR="00080C77" w:rsidRDefault="00080C77" w:rsidP="00080C77"/>
    <w:tbl>
      <w:tblPr>
        <w:tblW w:w="14190" w:type="dxa"/>
        <w:tblInd w:w="55" w:type="dxa"/>
        <w:tblCellMar>
          <w:left w:w="70" w:type="dxa"/>
          <w:right w:w="70" w:type="dxa"/>
        </w:tblCellMar>
        <w:tblLook w:val="04A0"/>
      </w:tblPr>
      <w:tblGrid>
        <w:gridCol w:w="1345"/>
        <w:gridCol w:w="2356"/>
        <w:gridCol w:w="2551"/>
        <w:gridCol w:w="4253"/>
        <w:gridCol w:w="3685"/>
      </w:tblGrid>
      <w:tr w:rsidR="00080C77" w:rsidRPr="00080C77" w:rsidTr="001C7124">
        <w:trPr>
          <w:trHeight w:val="300"/>
        </w:trPr>
        <w:tc>
          <w:tcPr>
            <w:tcW w:w="6252" w:type="dxa"/>
            <w:gridSpan w:val="3"/>
            <w:tcBorders>
              <w:top w:val="single" w:sz="4" w:space="0" w:color="auto"/>
              <w:left w:val="nil"/>
              <w:bottom w:val="single" w:sz="4" w:space="0" w:color="auto"/>
              <w:right w:val="nil"/>
            </w:tcBorders>
            <w:shd w:val="clear" w:color="000000" w:fill="BFBFBF"/>
            <w:noWrap/>
            <w:vAlign w:val="bottom"/>
            <w:hideMark/>
          </w:tcPr>
          <w:p w:rsidR="00080C77" w:rsidRPr="00080C77" w:rsidRDefault="00080C77" w:rsidP="00080C77">
            <w:pPr>
              <w:rPr>
                <w:b/>
                <w:bCs/>
                <w:color w:val="000000"/>
                <w:sz w:val="18"/>
                <w:szCs w:val="18"/>
              </w:rPr>
            </w:pPr>
            <w:r w:rsidRPr="00080C77">
              <w:rPr>
                <w:b/>
                <w:bCs/>
                <w:color w:val="000000"/>
                <w:sz w:val="18"/>
                <w:szCs w:val="18"/>
              </w:rPr>
              <w:t>Empirical studies investigating earnings management in banks</w:t>
            </w:r>
          </w:p>
        </w:tc>
        <w:tc>
          <w:tcPr>
            <w:tcW w:w="4253" w:type="dxa"/>
            <w:tcBorders>
              <w:top w:val="single" w:sz="4" w:space="0" w:color="auto"/>
              <w:left w:val="nil"/>
              <w:bottom w:val="single" w:sz="4" w:space="0" w:color="auto"/>
              <w:right w:val="nil"/>
            </w:tcBorders>
            <w:shd w:val="clear" w:color="000000" w:fill="BFBFBF"/>
            <w:noWrap/>
            <w:vAlign w:val="bottom"/>
            <w:hideMark/>
          </w:tcPr>
          <w:p w:rsidR="00080C77" w:rsidRPr="00080C77" w:rsidRDefault="00080C77" w:rsidP="00080C77">
            <w:pPr>
              <w:rPr>
                <w:b/>
                <w:bCs/>
                <w:color w:val="000000"/>
                <w:sz w:val="18"/>
                <w:szCs w:val="18"/>
              </w:rPr>
            </w:pPr>
            <w:r w:rsidRPr="00080C77">
              <w:rPr>
                <w:b/>
                <w:bCs/>
                <w:color w:val="000000"/>
                <w:sz w:val="18"/>
                <w:szCs w:val="18"/>
              </w:rPr>
              <w:t> </w:t>
            </w:r>
          </w:p>
        </w:tc>
        <w:tc>
          <w:tcPr>
            <w:tcW w:w="3685" w:type="dxa"/>
            <w:tcBorders>
              <w:top w:val="single" w:sz="4" w:space="0" w:color="auto"/>
              <w:left w:val="nil"/>
              <w:bottom w:val="single" w:sz="4" w:space="0" w:color="auto"/>
              <w:right w:val="nil"/>
            </w:tcBorders>
            <w:shd w:val="clear" w:color="000000" w:fill="BFBFBF"/>
            <w:noWrap/>
            <w:vAlign w:val="bottom"/>
            <w:hideMark/>
          </w:tcPr>
          <w:p w:rsidR="00080C77" w:rsidRPr="00080C77" w:rsidRDefault="00080C77" w:rsidP="00080C77">
            <w:pPr>
              <w:rPr>
                <w:b/>
                <w:bCs/>
                <w:color w:val="000000"/>
                <w:sz w:val="18"/>
                <w:szCs w:val="18"/>
              </w:rPr>
            </w:pPr>
            <w:r w:rsidRPr="00080C77">
              <w:rPr>
                <w:b/>
                <w:bCs/>
                <w:color w:val="000000"/>
                <w:sz w:val="18"/>
                <w:szCs w:val="18"/>
              </w:rPr>
              <w:t> </w:t>
            </w:r>
          </w:p>
        </w:tc>
      </w:tr>
      <w:tr w:rsidR="00080C77" w:rsidRPr="00080C77" w:rsidTr="001C7124">
        <w:trPr>
          <w:trHeight w:val="300"/>
        </w:trPr>
        <w:tc>
          <w:tcPr>
            <w:tcW w:w="1345" w:type="dxa"/>
            <w:tcBorders>
              <w:top w:val="nil"/>
              <w:left w:val="nil"/>
              <w:bottom w:val="single" w:sz="4" w:space="0" w:color="auto"/>
              <w:right w:val="nil"/>
            </w:tcBorders>
            <w:shd w:val="clear" w:color="auto" w:fill="auto"/>
            <w:noWrap/>
            <w:vAlign w:val="bottom"/>
            <w:hideMark/>
          </w:tcPr>
          <w:p w:rsidR="00080C77" w:rsidRPr="00080C77" w:rsidRDefault="00080C77" w:rsidP="00080C77">
            <w:pPr>
              <w:rPr>
                <w:b/>
                <w:bCs/>
                <w:color w:val="000000"/>
                <w:sz w:val="18"/>
                <w:szCs w:val="18"/>
              </w:rPr>
            </w:pPr>
            <w:r w:rsidRPr="00080C77">
              <w:rPr>
                <w:b/>
                <w:bCs/>
                <w:color w:val="000000"/>
                <w:sz w:val="18"/>
                <w:szCs w:val="18"/>
              </w:rPr>
              <w:t>Authors</w:t>
            </w:r>
          </w:p>
        </w:tc>
        <w:tc>
          <w:tcPr>
            <w:tcW w:w="2356" w:type="dxa"/>
            <w:tcBorders>
              <w:top w:val="nil"/>
              <w:left w:val="nil"/>
              <w:bottom w:val="single" w:sz="4" w:space="0" w:color="auto"/>
              <w:right w:val="nil"/>
            </w:tcBorders>
            <w:shd w:val="clear" w:color="auto" w:fill="auto"/>
            <w:noWrap/>
            <w:vAlign w:val="bottom"/>
            <w:hideMark/>
          </w:tcPr>
          <w:p w:rsidR="00080C77" w:rsidRPr="00080C77" w:rsidRDefault="00080C77" w:rsidP="00080C77">
            <w:pPr>
              <w:rPr>
                <w:b/>
                <w:bCs/>
                <w:color w:val="000000"/>
                <w:sz w:val="18"/>
                <w:szCs w:val="18"/>
              </w:rPr>
            </w:pPr>
            <w:r w:rsidRPr="00080C77">
              <w:rPr>
                <w:b/>
                <w:bCs/>
                <w:color w:val="000000"/>
                <w:sz w:val="18"/>
                <w:szCs w:val="18"/>
              </w:rPr>
              <w:t>Objective of study</w:t>
            </w:r>
          </w:p>
        </w:tc>
        <w:tc>
          <w:tcPr>
            <w:tcW w:w="2551" w:type="dxa"/>
            <w:tcBorders>
              <w:top w:val="nil"/>
              <w:left w:val="nil"/>
              <w:bottom w:val="single" w:sz="4" w:space="0" w:color="auto"/>
              <w:right w:val="nil"/>
            </w:tcBorders>
            <w:shd w:val="clear" w:color="auto" w:fill="auto"/>
            <w:noWrap/>
            <w:vAlign w:val="bottom"/>
            <w:hideMark/>
          </w:tcPr>
          <w:p w:rsidR="00080C77" w:rsidRPr="00080C77" w:rsidRDefault="00080C77" w:rsidP="00080C77">
            <w:pPr>
              <w:rPr>
                <w:b/>
                <w:bCs/>
                <w:color w:val="000000"/>
                <w:sz w:val="18"/>
                <w:szCs w:val="18"/>
              </w:rPr>
            </w:pPr>
            <w:r w:rsidRPr="00080C77">
              <w:rPr>
                <w:b/>
                <w:bCs/>
                <w:color w:val="000000"/>
                <w:sz w:val="18"/>
                <w:szCs w:val="18"/>
              </w:rPr>
              <w:t>Sample</w:t>
            </w:r>
          </w:p>
        </w:tc>
        <w:tc>
          <w:tcPr>
            <w:tcW w:w="4253" w:type="dxa"/>
            <w:tcBorders>
              <w:top w:val="nil"/>
              <w:left w:val="nil"/>
              <w:bottom w:val="single" w:sz="4" w:space="0" w:color="auto"/>
              <w:right w:val="nil"/>
            </w:tcBorders>
            <w:shd w:val="clear" w:color="auto" w:fill="auto"/>
            <w:noWrap/>
            <w:vAlign w:val="bottom"/>
            <w:hideMark/>
          </w:tcPr>
          <w:p w:rsidR="00080C77" w:rsidRPr="00080C77" w:rsidRDefault="00080C77" w:rsidP="00080C77">
            <w:pPr>
              <w:rPr>
                <w:b/>
                <w:bCs/>
                <w:color w:val="000000"/>
                <w:sz w:val="18"/>
                <w:szCs w:val="18"/>
              </w:rPr>
            </w:pPr>
            <w:r w:rsidRPr="00080C77">
              <w:rPr>
                <w:b/>
                <w:bCs/>
                <w:color w:val="000000"/>
                <w:sz w:val="18"/>
                <w:szCs w:val="18"/>
              </w:rPr>
              <w:t>Methodology</w:t>
            </w:r>
          </w:p>
        </w:tc>
        <w:tc>
          <w:tcPr>
            <w:tcW w:w="3685" w:type="dxa"/>
            <w:tcBorders>
              <w:top w:val="nil"/>
              <w:left w:val="nil"/>
              <w:bottom w:val="single" w:sz="4" w:space="0" w:color="auto"/>
              <w:right w:val="nil"/>
            </w:tcBorders>
            <w:shd w:val="clear" w:color="auto" w:fill="auto"/>
            <w:noWrap/>
            <w:vAlign w:val="bottom"/>
            <w:hideMark/>
          </w:tcPr>
          <w:p w:rsidR="00080C77" w:rsidRPr="00080C77" w:rsidRDefault="00080C77" w:rsidP="00080C77">
            <w:pPr>
              <w:rPr>
                <w:b/>
                <w:bCs/>
                <w:color w:val="000000"/>
                <w:sz w:val="18"/>
                <w:szCs w:val="18"/>
              </w:rPr>
            </w:pPr>
            <w:r w:rsidRPr="00080C77">
              <w:rPr>
                <w:b/>
                <w:bCs/>
                <w:color w:val="000000"/>
                <w:sz w:val="18"/>
                <w:szCs w:val="18"/>
              </w:rPr>
              <w:t>Results</w:t>
            </w:r>
          </w:p>
        </w:tc>
      </w:tr>
      <w:tr w:rsidR="00080C77" w:rsidRPr="00080C77" w:rsidTr="001C7124">
        <w:trPr>
          <w:trHeight w:val="1891"/>
        </w:trPr>
        <w:tc>
          <w:tcPr>
            <w:tcW w:w="1345" w:type="dxa"/>
            <w:tcBorders>
              <w:top w:val="nil"/>
              <w:left w:val="nil"/>
              <w:bottom w:val="single" w:sz="4" w:space="0" w:color="auto"/>
              <w:right w:val="nil"/>
            </w:tcBorders>
            <w:shd w:val="clear" w:color="auto" w:fill="auto"/>
            <w:hideMark/>
          </w:tcPr>
          <w:p w:rsidR="00080C77" w:rsidRPr="00080C77" w:rsidRDefault="00080C77" w:rsidP="00080C77">
            <w:pPr>
              <w:rPr>
                <w:b/>
                <w:bCs/>
                <w:color w:val="000000"/>
                <w:sz w:val="18"/>
                <w:szCs w:val="18"/>
                <w:lang w:val="nl-NL"/>
              </w:rPr>
            </w:pPr>
            <w:r w:rsidRPr="00080C77">
              <w:rPr>
                <w:b/>
                <w:bCs/>
                <w:color w:val="000000"/>
                <w:sz w:val="18"/>
                <w:szCs w:val="18"/>
              </w:rPr>
              <w:t xml:space="preserve">Beatty, Chamberlain and </w:t>
            </w:r>
            <w:proofErr w:type="spellStart"/>
            <w:r w:rsidRPr="00080C77">
              <w:rPr>
                <w:b/>
                <w:bCs/>
                <w:color w:val="000000"/>
                <w:sz w:val="18"/>
                <w:szCs w:val="18"/>
              </w:rPr>
              <w:t>Magliolo</w:t>
            </w:r>
            <w:proofErr w:type="spellEnd"/>
            <w:r w:rsidRPr="00080C77">
              <w:rPr>
                <w:b/>
                <w:bCs/>
                <w:color w:val="000000"/>
                <w:sz w:val="18"/>
                <w:szCs w:val="18"/>
              </w:rPr>
              <w:t xml:space="preserve"> (1995)</w:t>
            </w:r>
          </w:p>
        </w:tc>
        <w:tc>
          <w:tcPr>
            <w:tcW w:w="2356"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How banks alter the timing and magnitude of transactions and accruals to achieve primary capital, tax, and earnings goals.</w:t>
            </w:r>
          </w:p>
        </w:tc>
        <w:tc>
          <w:tcPr>
            <w:tcW w:w="2551"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Data contains 752 domestic bank </w:t>
            </w:r>
            <w:proofErr w:type="gramStart"/>
            <w:r w:rsidRPr="00080C77">
              <w:rPr>
                <w:color w:val="000000"/>
                <w:sz w:val="18"/>
                <w:szCs w:val="18"/>
              </w:rPr>
              <w:t>years</w:t>
            </w:r>
            <w:proofErr w:type="gramEnd"/>
            <w:r w:rsidRPr="00080C77">
              <w:rPr>
                <w:color w:val="000000"/>
                <w:sz w:val="18"/>
                <w:szCs w:val="18"/>
              </w:rPr>
              <w:t xml:space="preserve"> observations over 1987 and 1990 from bank </w:t>
            </w:r>
            <w:proofErr w:type="spellStart"/>
            <w:r w:rsidRPr="00080C77">
              <w:rPr>
                <w:color w:val="000000"/>
                <w:sz w:val="18"/>
                <w:szCs w:val="18"/>
              </w:rPr>
              <w:t>Compustat</w:t>
            </w:r>
            <w:proofErr w:type="spellEnd"/>
            <w:r w:rsidRPr="00080C77">
              <w:rPr>
                <w:color w:val="000000"/>
                <w:sz w:val="18"/>
                <w:szCs w:val="18"/>
              </w:rPr>
              <w:t>.</w:t>
            </w:r>
          </w:p>
        </w:tc>
        <w:tc>
          <w:tcPr>
            <w:tcW w:w="4253"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Two-stage instrumental variables. The first stage regress each endogenous variable on all exogenous variables and the predicted values of the endogenous variables from the first stage are independent of the unobserved errors. </w:t>
            </w:r>
            <w:r w:rsidRPr="00080C77">
              <w:rPr>
                <w:color w:val="000000"/>
                <w:sz w:val="18"/>
                <w:szCs w:val="18"/>
              </w:rPr>
              <w:br/>
              <w:t>In the second stage, these predicted values replace the right-hand-side endogenous variables, yielding consistent parameter estimates.</w:t>
            </w:r>
          </w:p>
        </w:tc>
        <w:tc>
          <w:tcPr>
            <w:tcW w:w="3685"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Loan charge-offs and provisions reflect capital management as well as loan quality. Managers ' accrual decisions are complicated by other capital-raising activities.</w:t>
            </w:r>
          </w:p>
        </w:tc>
      </w:tr>
      <w:tr w:rsidR="00080C77" w:rsidRPr="00080C77" w:rsidTr="001C7124">
        <w:trPr>
          <w:trHeight w:val="1429"/>
        </w:trPr>
        <w:tc>
          <w:tcPr>
            <w:tcW w:w="1345" w:type="dxa"/>
            <w:tcBorders>
              <w:top w:val="nil"/>
              <w:left w:val="nil"/>
              <w:bottom w:val="single" w:sz="4" w:space="0" w:color="auto"/>
              <w:right w:val="nil"/>
            </w:tcBorders>
            <w:shd w:val="clear" w:color="auto" w:fill="auto"/>
            <w:hideMark/>
          </w:tcPr>
          <w:p w:rsidR="00080C77" w:rsidRPr="00080C77" w:rsidRDefault="00080C77" w:rsidP="00080C77">
            <w:pPr>
              <w:rPr>
                <w:b/>
                <w:bCs/>
                <w:color w:val="000000"/>
                <w:sz w:val="18"/>
                <w:szCs w:val="18"/>
                <w:lang w:val="nl-NL"/>
              </w:rPr>
            </w:pPr>
            <w:proofErr w:type="spellStart"/>
            <w:r w:rsidRPr="00080C77">
              <w:rPr>
                <w:b/>
                <w:bCs/>
                <w:color w:val="000000"/>
                <w:sz w:val="18"/>
                <w:szCs w:val="18"/>
                <w:lang w:val="nl-NL"/>
              </w:rPr>
              <w:t>Beaver</w:t>
            </w:r>
            <w:proofErr w:type="spellEnd"/>
            <w:r w:rsidRPr="00080C77">
              <w:rPr>
                <w:b/>
                <w:bCs/>
                <w:color w:val="000000"/>
                <w:sz w:val="18"/>
                <w:szCs w:val="18"/>
                <w:lang w:val="nl-NL"/>
              </w:rPr>
              <w:t xml:space="preserve"> and Engel (1996)</w:t>
            </w:r>
          </w:p>
        </w:tc>
        <w:tc>
          <w:tcPr>
            <w:tcW w:w="2356"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Whether market participants based their decision on the decomposition of the total allowance for loan losses into its discretionary and non-discretionary parts. </w:t>
            </w:r>
          </w:p>
        </w:tc>
        <w:tc>
          <w:tcPr>
            <w:tcW w:w="2551"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Data from Annual Bank </w:t>
            </w:r>
            <w:proofErr w:type="spellStart"/>
            <w:r w:rsidRPr="00080C77">
              <w:rPr>
                <w:color w:val="000000"/>
                <w:sz w:val="18"/>
                <w:szCs w:val="18"/>
              </w:rPr>
              <w:t>Compustat</w:t>
            </w:r>
            <w:proofErr w:type="spellEnd"/>
            <w:r w:rsidRPr="00080C77">
              <w:rPr>
                <w:color w:val="000000"/>
                <w:sz w:val="18"/>
                <w:szCs w:val="18"/>
              </w:rPr>
              <w:t xml:space="preserve"> for the period 1977-1991.</w:t>
            </w:r>
          </w:p>
        </w:tc>
        <w:tc>
          <w:tcPr>
            <w:tcW w:w="4253"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The discretionary component of loan loss allowance and loan loss provisions as proxy for earnings management. The control variables are loans, net charge-offs and nonperforming assets. </w:t>
            </w:r>
          </w:p>
        </w:tc>
        <w:tc>
          <w:tcPr>
            <w:tcW w:w="3685"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lang w:val="nl-NL"/>
              </w:rPr>
            </w:pPr>
            <w:r w:rsidRPr="00080C77">
              <w:rPr>
                <w:color w:val="000000"/>
                <w:sz w:val="18"/>
                <w:szCs w:val="18"/>
              </w:rPr>
              <w:t xml:space="preserve">The non-discretionary part is negatively priced, because it reflects the impairment of the loan assets due to loan defaults. The discretionary part is positively priced or valuation-neutral. </w:t>
            </w:r>
          </w:p>
        </w:tc>
      </w:tr>
      <w:tr w:rsidR="00080C77" w:rsidRPr="00080C77" w:rsidTr="001C7124">
        <w:trPr>
          <w:trHeight w:val="1559"/>
        </w:trPr>
        <w:tc>
          <w:tcPr>
            <w:tcW w:w="1345" w:type="dxa"/>
            <w:tcBorders>
              <w:top w:val="single" w:sz="4" w:space="0" w:color="auto"/>
              <w:left w:val="nil"/>
              <w:bottom w:val="single" w:sz="4" w:space="0" w:color="auto"/>
              <w:right w:val="nil"/>
            </w:tcBorders>
            <w:shd w:val="clear" w:color="auto" w:fill="auto"/>
            <w:hideMark/>
          </w:tcPr>
          <w:p w:rsidR="00080C77" w:rsidRPr="00080C77" w:rsidRDefault="00080C77" w:rsidP="00080C77">
            <w:pPr>
              <w:rPr>
                <w:b/>
                <w:bCs/>
                <w:color w:val="000000"/>
                <w:sz w:val="18"/>
                <w:szCs w:val="18"/>
                <w:lang w:val="nl-NL"/>
              </w:rPr>
            </w:pPr>
            <w:r w:rsidRPr="00080C77">
              <w:rPr>
                <w:b/>
                <w:bCs/>
                <w:color w:val="000000"/>
                <w:sz w:val="18"/>
                <w:szCs w:val="18"/>
              </w:rPr>
              <w:lastRenderedPageBreak/>
              <w:t>Ahmed, Takeda and Thomas (1999)</w:t>
            </w:r>
          </w:p>
        </w:tc>
        <w:tc>
          <w:tcPr>
            <w:tcW w:w="2356" w:type="dxa"/>
            <w:tcBorders>
              <w:top w:val="single" w:sz="4" w:space="0" w:color="auto"/>
              <w:left w:val="nil"/>
              <w:bottom w:val="single" w:sz="4" w:space="0" w:color="auto"/>
              <w:right w:val="nil"/>
            </w:tcBorders>
            <w:shd w:val="clear" w:color="auto" w:fill="auto"/>
            <w:hideMark/>
          </w:tcPr>
          <w:p w:rsidR="00080C77" w:rsidRPr="00080C77" w:rsidRDefault="001C7124" w:rsidP="00080C77">
            <w:pPr>
              <w:rPr>
                <w:color w:val="000000"/>
                <w:sz w:val="18"/>
                <w:szCs w:val="18"/>
              </w:rPr>
            </w:pPr>
            <w:r w:rsidRPr="00080C77">
              <w:rPr>
                <w:color w:val="000000"/>
                <w:sz w:val="18"/>
                <w:szCs w:val="18"/>
              </w:rPr>
              <w:t>Reexamines</w:t>
            </w:r>
            <w:r w:rsidR="00080C77" w:rsidRPr="00080C77">
              <w:rPr>
                <w:color w:val="000000"/>
                <w:sz w:val="18"/>
                <w:szCs w:val="18"/>
              </w:rPr>
              <w:t xml:space="preserve"> the capital management, earnings management and signaling explanations for banks' choices of loan loss provisions of the 1990 change in capital adequacy regulations. </w:t>
            </w:r>
          </w:p>
        </w:tc>
        <w:tc>
          <w:tcPr>
            <w:tcW w:w="2551" w:type="dxa"/>
            <w:tcBorders>
              <w:top w:val="single" w:sz="4" w:space="0" w:color="auto"/>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113 bank holding companies over the period 1986-1995.</w:t>
            </w:r>
          </w:p>
        </w:tc>
        <w:tc>
          <w:tcPr>
            <w:tcW w:w="4253" w:type="dxa"/>
            <w:tcBorders>
              <w:top w:val="single" w:sz="4" w:space="0" w:color="auto"/>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Three variables as proxies for non-discretionary component of loan loss provisions: the change in nonperforming loans, change in implied standard deviation of bank asset values, and change in business failures.</w:t>
            </w:r>
          </w:p>
        </w:tc>
        <w:tc>
          <w:tcPr>
            <w:tcW w:w="3685" w:type="dxa"/>
            <w:tcBorders>
              <w:top w:val="single" w:sz="4" w:space="0" w:color="auto"/>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Strong evidence that loan loss provisions are used for capital management, but no evidence that loan loss provisions are used for earnings management.  Loan loss provisions are negatively related to both future earnings changes and stock returns.</w:t>
            </w:r>
          </w:p>
        </w:tc>
      </w:tr>
      <w:tr w:rsidR="00080C77" w:rsidRPr="00080C77" w:rsidTr="001C7124">
        <w:trPr>
          <w:trHeight w:val="1697"/>
        </w:trPr>
        <w:tc>
          <w:tcPr>
            <w:tcW w:w="1345" w:type="dxa"/>
            <w:tcBorders>
              <w:top w:val="nil"/>
              <w:left w:val="nil"/>
              <w:bottom w:val="single" w:sz="4" w:space="0" w:color="auto"/>
              <w:right w:val="nil"/>
            </w:tcBorders>
            <w:shd w:val="clear" w:color="auto" w:fill="auto"/>
            <w:hideMark/>
          </w:tcPr>
          <w:p w:rsidR="00080C77" w:rsidRPr="00080C77" w:rsidRDefault="00080C77" w:rsidP="00080C77">
            <w:pPr>
              <w:rPr>
                <w:b/>
                <w:bCs/>
                <w:color w:val="000000"/>
                <w:sz w:val="18"/>
                <w:szCs w:val="18"/>
                <w:lang w:val="nl-NL"/>
              </w:rPr>
            </w:pPr>
            <w:proofErr w:type="spellStart"/>
            <w:r w:rsidRPr="00080C77">
              <w:rPr>
                <w:b/>
                <w:bCs/>
                <w:color w:val="000000"/>
                <w:sz w:val="18"/>
                <w:szCs w:val="18"/>
              </w:rPr>
              <w:t>Kanagaretnam</w:t>
            </w:r>
            <w:proofErr w:type="spellEnd"/>
            <w:r w:rsidRPr="00080C77">
              <w:rPr>
                <w:b/>
                <w:bCs/>
                <w:color w:val="000000"/>
                <w:sz w:val="18"/>
                <w:szCs w:val="18"/>
              </w:rPr>
              <w:t>, Lobo, and  Yang (2004)</w:t>
            </w:r>
          </w:p>
        </w:tc>
        <w:tc>
          <w:tcPr>
            <w:tcW w:w="2356" w:type="dxa"/>
            <w:tcBorders>
              <w:top w:val="nil"/>
              <w:left w:val="nil"/>
              <w:bottom w:val="single" w:sz="4" w:space="0" w:color="auto"/>
              <w:right w:val="nil"/>
            </w:tcBorders>
            <w:shd w:val="clear" w:color="auto" w:fill="auto"/>
            <w:hideMark/>
          </w:tcPr>
          <w:p w:rsidR="00080C77" w:rsidRPr="00080C77" w:rsidRDefault="00080C77" w:rsidP="00080C77">
            <w:pPr>
              <w:pBdr>
                <w:bottom w:val="single" w:sz="6" w:space="1" w:color="auto"/>
              </w:pBdr>
              <w:jc w:val="center"/>
              <w:rPr>
                <w:rFonts w:ascii="Arial" w:hAnsi="Arial" w:cs="Arial"/>
                <w:vanish/>
                <w:sz w:val="16"/>
                <w:szCs w:val="16"/>
                <w:lang w:val="nl-NL"/>
              </w:rPr>
            </w:pPr>
            <w:r w:rsidRPr="00080C77">
              <w:rPr>
                <w:rFonts w:ascii="Arial" w:hAnsi="Arial" w:cs="Arial"/>
                <w:vanish/>
                <w:sz w:val="16"/>
                <w:szCs w:val="16"/>
                <w:lang w:val="nl-NL"/>
              </w:rPr>
              <w:t>Bovenkant formulier</w:t>
            </w:r>
          </w:p>
          <w:p w:rsidR="00080C77" w:rsidRPr="00080C77" w:rsidRDefault="00080C77" w:rsidP="00080C77">
            <w:pPr>
              <w:rPr>
                <w:color w:val="000000"/>
                <w:sz w:val="18"/>
                <w:szCs w:val="18"/>
              </w:rPr>
            </w:pPr>
            <w:r w:rsidRPr="00080C77">
              <w:rPr>
                <w:color w:val="000000"/>
                <w:sz w:val="18"/>
                <w:szCs w:val="18"/>
              </w:rPr>
              <w:t>Whether and how managers use loan loss provisions to smooth income and to signal their private information about their banks' future prospects.</w:t>
            </w:r>
            <w:r w:rsidRPr="00080C77">
              <w:rPr>
                <w:rFonts w:ascii="Arial" w:hAnsi="Arial" w:cs="Arial"/>
                <w:vanish/>
                <w:sz w:val="16"/>
                <w:szCs w:val="16"/>
              </w:rPr>
              <w:t>Onderkant formulier</w:t>
            </w:r>
          </w:p>
        </w:tc>
        <w:tc>
          <w:tcPr>
            <w:tcW w:w="2551" w:type="dxa"/>
            <w:tcBorders>
              <w:top w:val="nil"/>
              <w:left w:val="nil"/>
              <w:bottom w:val="single" w:sz="4" w:space="0" w:color="auto"/>
              <w:right w:val="nil"/>
            </w:tcBorders>
            <w:shd w:val="clear" w:color="auto" w:fill="auto"/>
            <w:hideMark/>
          </w:tcPr>
          <w:p w:rsidR="00080C77" w:rsidRPr="00080C77" w:rsidRDefault="00080C77" w:rsidP="00080C77">
            <w:pPr>
              <w:pBdr>
                <w:bottom w:val="single" w:sz="6" w:space="1" w:color="auto"/>
              </w:pBdr>
              <w:jc w:val="center"/>
              <w:rPr>
                <w:rFonts w:ascii="Arial" w:hAnsi="Arial" w:cs="Arial"/>
                <w:vanish/>
                <w:sz w:val="16"/>
                <w:szCs w:val="16"/>
              </w:rPr>
            </w:pPr>
            <w:r w:rsidRPr="00080C77">
              <w:rPr>
                <w:rFonts w:ascii="Arial" w:hAnsi="Arial" w:cs="Arial"/>
                <w:vanish/>
                <w:sz w:val="16"/>
                <w:szCs w:val="16"/>
              </w:rPr>
              <w:t>Bovenkant formulier</w:t>
            </w:r>
          </w:p>
          <w:p w:rsidR="00080C77" w:rsidRPr="00080C77" w:rsidRDefault="00080C77" w:rsidP="00080C77">
            <w:pPr>
              <w:rPr>
                <w:color w:val="000000"/>
                <w:sz w:val="18"/>
                <w:szCs w:val="18"/>
                <w:lang w:val="nl-NL"/>
              </w:rPr>
            </w:pPr>
            <w:r w:rsidRPr="00080C77">
              <w:rPr>
                <w:color w:val="000000"/>
                <w:sz w:val="18"/>
                <w:szCs w:val="18"/>
              </w:rPr>
              <w:t xml:space="preserve">Data for banks listed in the 1997 from Bank </w:t>
            </w:r>
            <w:proofErr w:type="spellStart"/>
            <w:r w:rsidRPr="00080C77">
              <w:rPr>
                <w:color w:val="000000"/>
                <w:sz w:val="18"/>
                <w:szCs w:val="18"/>
              </w:rPr>
              <w:t>Compustat</w:t>
            </w:r>
            <w:proofErr w:type="spellEnd"/>
            <w:r w:rsidRPr="00080C77">
              <w:rPr>
                <w:color w:val="000000"/>
                <w:sz w:val="18"/>
                <w:szCs w:val="18"/>
              </w:rPr>
              <w:t xml:space="preserve">. Data on nonperforming loans for the period 1980-97 are obtained from Keefe, </w:t>
            </w:r>
            <w:proofErr w:type="spellStart"/>
            <w:r w:rsidRPr="00080C77">
              <w:rPr>
                <w:color w:val="000000"/>
                <w:sz w:val="18"/>
                <w:szCs w:val="18"/>
              </w:rPr>
              <w:t>Bruyette</w:t>
            </w:r>
            <w:proofErr w:type="spellEnd"/>
            <w:r w:rsidRPr="00080C77">
              <w:rPr>
                <w:color w:val="000000"/>
                <w:sz w:val="18"/>
                <w:szCs w:val="18"/>
              </w:rPr>
              <w:t>, and Woods. Final sample is 1,048 bank-year observations</w:t>
            </w:r>
            <w:r w:rsidRPr="00080C77">
              <w:rPr>
                <w:color w:val="000000"/>
                <w:sz w:val="18"/>
                <w:szCs w:val="18"/>
                <w:lang w:val="nl-NL"/>
              </w:rPr>
              <w:t xml:space="preserve">  </w:t>
            </w:r>
            <w:r w:rsidRPr="00080C77">
              <w:rPr>
                <w:rFonts w:ascii="Arial" w:hAnsi="Arial" w:cs="Arial"/>
                <w:vanish/>
                <w:sz w:val="16"/>
                <w:szCs w:val="16"/>
                <w:lang w:val="nl-NL"/>
              </w:rPr>
              <w:t>Onderkant formulier</w:t>
            </w:r>
          </w:p>
        </w:tc>
        <w:tc>
          <w:tcPr>
            <w:tcW w:w="4253"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The discretionary loan loss provisions as proxy for earnings management and signaling.  </w:t>
            </w:r>
          </w:p>
        </w:tc>
        <w:tc>
          <w:tcPr>
            <w:tcW w:w="3685" w:type="dxa"/>
            <w:tcBorders>
              <w:top w:val="nil"/>
              <w:left w:val="nil"/>
              <w:bottom w:val="single" w:sz="4" w:space="0" w:color="auto"/>
              <w:right w:val="nil"/>
            </w:tcBorders>
            <w:shd w:val="clear" w:color="auto" w:fill="auto"/>
            <w:hideMark/>
          </w:tcPr>
          <w:p w:rsidR="00080C77" w:rsidRPr="00080C77" w:rsidRDefault="00080C77" w:rsidP="00080C77">
            <w:pPr>
              <w:pBdr>
                <w:bottom w:val="single" w:sz="6" w:space="1" w:color="auto"/>
              </w:pBdr>
              <w:jc w:val="center"/>
              <w:rPr>
                <w:rFonts w:ascii="Arial" w:hAnsi="Arial" w:cs="Arial"/>
                <w:vanish/>
                <w:sz w:val="16"/>
                <w:szCs w:val="16"/>
              </w:rPr>
            </w:pPr>
            <w:r w:rsidRPr="00080C77">
              <w:rPr>
                <w:rFonts w:ascii="Arial" w:hAnsi="Arial" w:cs="Arial"/>
                <w:vanish/>
                <w:sz w:val="16"/>
                <w:szCs w:val="16"/>
              </w:rPr>
              <w:t>Bovenkant formulier</w:t>
            </w:r>
          </w:p>
          <w:p w:rsidR="00080C77" w:rsidRPr="00080C77" w:rsidRDefault="00080C77" w:rsidP="00080C77">
            <w:pPr>
              <w:rPr>
                <w:color w:val="000000"/>
                <w:sz w:val="18"/>
                <w:szCs w:val="18"/>
                <w:lang w:val="nl-NL"/>
              </w:rPr>
            </w:pPr>
            <w:r w:rsidRPr="00080C77">
              <w:rPr>
                <w:color w:val="000000"/>
                <w:sz w:val="18"/>
                <w:szCs w:val="18"/>
              </w:rPr>
              <w:t xml:space="preserve">Evidence that loan loss provisions are used to smooth earnings, particularly when </w:t>
            </w:r>
            <w:proofErr w:type="spellStart"/>
            <w:r w:rsidRPr="00080C77">
              <w:rPr>
                <w:color w:val="000000"/>
                <w:sz w:val="18"/>
                <w:szCs w:val="18"/>
              </w:rPr>
              <w:t>premanaged</w:t>
            </w:r>
            <w:proofErr w:type="spellEnd"/>
            <w:r w:rsidRPr="00080C77">
              <w:rPr>
                <w:color w:val="000000"/>
                <w:sz w:val="18"/>
                <w:szCs w:val="18"/>
              </w:rPr>
              <w:t xml:space="preserve"> earnings are extreme. The evidence on signaling is less consistent.</w:t>
            </w:r>
            <w:r w:rsidRPr="00080C77">
              <w:rPr>
                <w:rFonts w:ascii="Arial" w:hAnsi="Arial" w:cs="Arial"/>
                <w:vanish/>
                <w:sz w:val="16"/>
                <w:szCs w:val="16"/>
                <w:lang w:val="nl-NL"/>
              </w:rPr>
              <w:t>Onderkant formulier</w:t>
            </w:r>
          </w:p>
        </w:tc>
      </w:tr>
      <w:tr w:rsidR="00080C77" w:rsidRPr="00080C77" w:rsidTr="001C7124">
        <w:trPr>
          <w:trHeight w:val="1548"/>
        </w:trPr>
        <w:tc>
          <w:tcPr>
            <w:tcW w:w="1345" w:type="dxa"/>
            <w:tcBorders>
              <w:top w:val="nil"/>
              <w:left w:val="nil"/>
              <w:bottom w:val="single" w:sz="4" w:space="0" w:color="auto"/>
              <w:right w:val="nil"/>
            </w:tcBorders>
            <w:shd w:val="clear" w:color="auto" w:fill="auto"/>
            <w:noWrap/>
            <w:hideMark/>
          </w:tcPr>
          <w:p w:rsidR="00080C77" w:rsidRPr="00080C77" w:rsidRDefault="00080C77" w:rsidP="00080C77">
            <w:pPr>
              <w:jc w:val="both"/>
              <w:rPr>
                <w:b/>
                <w:bCs/>
                <w:color w:val="000000"/>
                <w:sz w:val="18"/>
                <w:szCs w:val="18"/>
                <w:lang w:val="nl-NL"/>
              </w:rPr>
            </w:pPr>
            <w:proofErr w:type="spellStart"/>
            <w:r w:rsidRPr="00080C77">
              <w:rPr>
                <w:b/>
                <w:bCs/>
                <w:color w:val="000000"/>
                <w:sz w:val="18"/>
                <w:szCs w:val="18"/>
              </w:rPr>
              <w:t>Lui</w:t>
            </w:r>
            <w:proofErr w:type="spellEnd"/>
            <w:r w:rsidRPr="00080C77">
              <w:rPr>
                <w:b/>
                <w:bCs/>
                <w:color w:val="000000"/>
                <w:sz w:val="18"/>
                <w:szCs w:val="18"/>
              </w:rPr>
              <w:t xml:space="preserve"> and Ryan (2006)</w:t>
            </w:r>
          </w:p>
        </w:tc>
        <w:tc>
          <w:tcPr>
            <w:tcW w:w="2356" w:type="dxa"/>
            <w:tcBorders>
              <w:top w:val="nil"/>
              <w:left w:val="nil"/>
              <w:bottom w:val="single" w:sz="4" w:space="0" w:color="auto"/>
              <w:right w:val="nil"/>
            </w:tcBorders>
            <w:shd w:val="clear" w:color="auto" w:fill="auto"/>
            <w:hideMark/>
          </w:tcPr>
          <w:p w:rsidR="00080C77" w:rsidRPr="00080C77" w:rsidRDefault="00080C77" w:rsidP="001C7124">
            <w:pPr>
              <w:rPr>
                <w:color w:val="000000"/>
                <w:sz w:val="18"/>
                <w:szCs w:val="18"/>
              </w:rPr>
            </w:pPr>
            <w:r w:rsidRPr="00080C77">
              <w:rPr>
                <w:color w:val="000000"/>
                <w:sz w:val="18"/>
                <w:szCs w:val="18"/>
              </w:rPr>
              <w:t xml:space="preserve">How commercial bank management of loan loss provisions and </w:t>
            </w:r>
            <w:r w:rsidR="001C7124">
              <w:rPr>
                <w:color w:val="000000"/>
                <w:sz w:val="18"/>
                <w:szCs w:val="18"/>
              </w:rPr>
              <w:t>loan charge-offs changed from</w:t>
            </w:r>
            <w:r w:rsidRPr="00080C77">
              <w:rPr>
                <w:color w:val="000000"/>
                <w:sz w:val="18"/>
                <w:szCs w:val="18"/>
              </w:rPr>
              <w:t xml:space="preserve"> a poor health period to a robust health throughout the 1990s</w:t>
            </w:r>
          </w:p>
        </w:tc>
        <w:tc>
          <w:tcPr>
            <w:tcW w:w="2551"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The number of commercial banks rises from 122 to </w:t>
            </w:r>
            <w:r w:rsidR="001C7124" w:rsidRPr="00080C77">
              <w:rPr>
                <w:color w:val="000000"/>
                <w:sz w:val="18"/>
                <w:szCs w:val="18"/>
              </w:rPr>
              <w:t>304 for</w:t>
            </w:r>
            <w:r w:rsidRPr="00080C77">
              <w:rPr>
                <w:color w:val="000000"/>
                <w:sz w:val="18"/>
                <w:szCs w:val="18"/>
              </w:rPr>
              <w:t xml:space="preserve"> the period 1991-2000, peaking at 329 in 1999.</w:t>
            </w:r>
          </w:p>
        </w:tc>
        <w:tc>
          <w:tcPr>
            <w:tcW w:w="4253"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lang w:val="nl-NL"/>
              </w:rPr>
            </w:pPr>
            <w:r w:rsidRPr="00080C77">
              <w:rPr>
                <w:color w:val="000000"/>
                <w:sz w:val="18"/>
                <w:szCs w:val="18"/>
              </w:rPr>
              <w:t>Discretionary loan loss provisions as earnings management proxy with the regression model developed by Ahmed et al. (1999).</w:t>
            </w:r>
          </w:p>
        </w:tc>
        <w:tc>
          <w:tcPr>
            <w:tcW w:w="3685"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During the 1990s boom, profitable banks smoothed income downwards by overstating loan loss provisions and obscured this income smoothing by accelerating charge-offs of those loans and by recording more gross charge-offs when they recovered more charge-offs of these loans.</w:t>
            </w:r>
          </w:p>
        </w:tc>
      </w:tr>
      <w:tr w:rsidR="00080C77" w:rsidRPr="00080C77" w:rsidTr="001C7124">
        <w:trPr>
          <w:trHeight w:val="1680"/>
        </w:trPr>
        <w:tc>
          <w:tcPr>
            <w:tcW w:w="1345" w:type="dxa"/>
            <w:tcBorders>
              <w:top w:val="nil"/>
              <w:left w:val="nil"/>
              <w:bottom w:val="single" w:sz="4" w:space="0" w:color="auto"/>
              <w:right w:val="nil"/>
            </w:tcBorders>
            <w:shd w:val="clear" w:color="auto" w:fill="auto"/>
            <w:hideMark/>
          </w:tcPr>
          <w:p w:rsidR="00080C77" w:rsidRPr="00080C77" w:rsidRDefault="00080C77" w:rsidP="00080C77">
            <w:pPr>
              <w:rPr>
                <w:b/>
                <w:bCs/>
                <w:color w:val="000000"/>
                <w:sz w:val="18"/>
                <w:szCs w:val="18"/>
                <w:lang w:val="nl-NL"/>
              </w:rPr>
            </w:pPr>
            <w:r w:rsidRPr="00080C77">
              <w:rPr>
                <w:b/>
                <w:bCs/>
                <w:color w:val="000000"/>
                <w:sz w:val="18"/>
                <w:szCs w:val="18"/>
              </w:rPr>
              <w:t xml:space="preserve">Cornett, McNutt and </w:t>
            </w:r>
            <w:proofErr w:type="spellStart"/>
            <w:r w:rsidRPr="00080C77">
              <w:rPr>
                <w:b/>
                <w:bCs/>
                <w:color w:val="000000"/>
                <w:sz w:val="18"/>
                <w:szCs w:val="18"/>
              </w:rPr>
              <w:t>Tehranian</w:t>
            </w:r>
            <w:proofErr w:type="spellEnd"/>
            <w:r w:rsidRPr="00080C77">
              <w:rPr>
                <w:b/>
                <w:bCs/>
                <w:color w:val="000000"/>
                <w:sz w:val="18"/>
                <w:szCs w:val="18"/>
              </w:rPr>
              <w:t xml:space="preserve"> (2009)</w:t>
            </w:r>
          </w:p>
        </w:tc>
        <w:tc>
          <w:tcPr>
            <w:tcW w:w="2356"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Whether corporate governance mechanisms affect earnings and earnings management at the largest publicly traded bank holding companies in the United States.</w:t>
            </w:r>
          </w:p>
        </w:tc>
        <w:tc>
          <w:tcPr>
            <w:tcW w:w="2551"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593 bank-years including the largest bank holding companies for the period 1994-2002.</w:t>
            </w:r>
          </w:p>
        </w:tc>
        <w:tc>
          <w:tcPr>
            <w:tcW w:w="4253"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lang w:val="nl-NL"/>
              </w:rPr>
            </w:pPr>
            <w:r w:rsidRPr="00080C77">
              <w:rPr>
                <w:color w:val="000000"/>
                <w:sz w:val="18"/>
                <w:szCs w:val="18"/>
              </w:rPr>
              <w:t xml:space="preserve">Measure earnings management with discretionary loan loss provisions and discretionary realized securities gains using the Beatty et al. </w:t>
            </w:r>
            <w:r w:rsidRPr="00080C77">
              <w:rPr>
                <w:color w:val="000000"/>
                <w:sz w:val="18"/>
                <w:szCs w:val="18"/>
                <w:lang w:val="nl-NL"/>
              </w:rPr>
              <w:t>(2002) model.</w:t>
            </w:r>
          </w:p>
        </w:tc>
        <w:tc>
          <w:tcPr>
            <w:tcW w:w="3685" w:type="dxa"/>
            <w:tcBorders>
              <w:top w:val="nil"/>
              <w:left w:val="nil"/>
              <w:bottom w:val="single" w:sz="4" w:space="0" w:color="auto"/>
              <w:right w:val="nil"/>
            </w:tcBorders>
            <w:shd w:val="clear" w:color="auto" w:fill="auto"/>
            <w:hideMark/>
          </w:tcPr>
          <w:p w:rsidR="00080C77" w:rsidRPr="00080C77" w:rsidRDefault="00080C77" w:rsidP="00080C77">
            <w:pPr>
              <w:rPr>
                <w:color w:val="000000"/>
                <w:sz w:val="18"/>
                <w:szCs w:val="18"/>
              </w:rPr>
            </w:pPr>
            <w:r w:rsidRPr="00080C77">
              <w:rPr>
                <w:color w:val="000000"/>
                <w:sz w:val="18"/>
                <w:szCs w:val="18"/>
              </w:rPr>
              <w:t xml:space="preserve">Performance, earnings management, and corporate governance are endogenously determined. CEO pay-performance sensitivity, board </w:t>
            </w:r>
            <w:r w:rsidR="001C7124" w:rsidRPr="00080C77">
              <w:rPr>
                <w:color w:val="000000"/>
                <w:sz w:val="18"/>
                <w:szCs w:val="18"/>
              </w:rPr>
              <w:t>indepen</w:t>
            </w:r>
            <w:r w:rsidR="001C7124">
              <w:rPr>
                <w:color w:val="000000"/>
                <w:sz w:val="18"/>
                <w:szCs w:val="18"/>
              </w:rPr>
              <w:t>den</w:t>
            </w:r>
            <w:r w:rsidR="001C7124" w:rsidRPr="00080C77">
              <w:rPr>
                <w:color w:val="000000"/>
                <w:sz w:val="18"/>
                <w:szCs w:val="18"/>
              </w:rPr>
              <w:t>ce</w:t>
            </w:r>
            <w:r w:rsidRPr="00080C77">
              <w:rPr>
                <w:color w:val="000000"/>
                <w:sz w:val="18"/>
                <w:szCs w:val="18"/>
              </w:rPr>
              <w:t xml:space="preserve"> and capital are positively related to earnings. Banks that tie CEO pay to firm performance perform better </w:t>
            </w:r>
          </w:p>
        </w:tc>
      </w:tr>
    </w:tbl>
    <w:p w:rsidR="00080C77" w:rsidRDefault="00080C77" w:rsidP="00080C77"/>
    <w:sectPr w:rsidR="00080C77" w:rsidSect="009C40D6">
      <w:pgSz w:w="16838" w:h="11906" w:orient="landscape"/>
      <w:pgMar w:top="1417" w:right="1417" w:bottom="1417" w:left="1417"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7E54" w:rsidRDefault="00307E54" w:rsidP="00D83F0B">
      <w:r>
        <w:separator/>
      </w:r>
    </w:p>
  </w:endnote>
  <w:endnote w:type="continuationSeparator" w:id="0">
    <w:p w:rsidR="00307E54" w:rsidRDefault="00307E54" w:rsidP="00D83F0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Times-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00340"/>
      <w:docPartObj>
        <w:docPartGallery w:val="Page Numbers (Bottom of Page)"/>
        <w:docPartUnique/>
      </w:docPartObj>
    </w:sdtPr>
    <w:sdtContent>
      <w:p w:rsidR="00C6155A" w:rsidRDefault="00C6155A">
        <w:pPr>
          <w:pStyle w:val="Voettekst"/>
          <w:jc w:val="right"/>
        </w:pPr>
        <w:fldSimple w:instr=" PAGE   \* MERGEFORMAT ">
          <w:r w:rsidR="00181EE5">
            <w:rPr>
              <w:noProof/>
            </w:rPr>
            <w:t>4</w:t>
          </w:r>
        </w:fldSimple>
      </w:p>
    </w:sdtContent>
  </w:sdt>
  <w:p w:rsidR="00C6155A" w:rsidRDefault="00C6155A">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7E54" w:rsidRDefault="00307E54" w:rsidP="00D83F0B">
      <w:r>
        <w:separator/>
      </w:r>
    </w:p>
  </w:footnote>
  <w:footnote w:type="continuationSeparator" w:id="0">
    <w:p w:rsidR="00307E54" w:rsidRDefault="00307E54" w:rsidP="00D83F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5A" w:rsidRPr="00181EE5" w:rsidRDefault="00C6155A" w:rsidP="00B454C6">
    <w:pPr>
      <w:pStyle w:val="Koptekst"/>
      <w:pBdr>
        <w:bottom w:val="single" w:sz="4" w:space="1" w:color="auto"/>
      </w:pBdr>
      <w:spacing w:line="360" w:lineRule="auto"/>
      <w:rPr>
        <w:color w:val="595959" w:themeColor="text1" w:themeTint="A6"/>
        <w:sz w:val="18"/>
        <w:szCs w:val="18"/>
        <w:lang w:val="en-US"/>
      </w:rPr>
    </w:pPr>
    <w:r w:rsidRPr="00181EE5">
      <w:rPr>
        <w:color w:val="595959" w:themeColor="text1" w:themeTint="A6"/>
        <w:sz w:val="18"/>
        <w:szCs w:val="18"/>
      </w:rPr>
      <w:drawing>
        <wp:anchor distT="0" distB="0" distL="114935" distR="114935" simplePos="0" relativeHeight="251658240" behindDoc="1" locked="0" layoutInCell="1" allowOverlap="1">
          <wp:simplePos x="0" y="0"/>
          <wp:positionH relativeFrom="column">
            <wp:posOffset>4805680</wp:posOffset>
          </wp:positionH>
          <wp:positionV relativeFrom="paragraph">
            <wp:posOffset>-173355</wp:posOffset>
          </wp:positionV>
          <wp:extent cx="1027430" cy="400050"/>
          <wp:effectExtent l="1905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1000" contrast="1000"/>
                  </a:blip>
                  <a:srcRect/>
                  <a:stretch>
                    <a:fillRect/>
                  </a:stretch>
                </pic:blipFill>
                <pic:spPr bwMode="auto">
                  <a:xfrm>
                    <a:off x="0" y="0"/>
                    <a:ext cx="1027430" cy="400050"/>
                  </a:xfrm>
                  <a:prstGeom prst="rect">
                    <a:avLst/>
                  </a:prstGeom>
                  <a:solidFill>
                    <a:srgbClr val="FFFFFF"/>
                  </a:solidFill>
                  <a:ln w="9525">
                    <a:noFill/>
                    <a:miter lim="800000"/>
                    <a:headEnd/>
                    <a:tailEnd/>
                  </a:ln>
                </pic:spPr>
              </pic:pic>
            </a:graphicData>
          </a:graphic>
        </wp:anchor>
      </w:drawing>
    </w:r>
    <w:r w:rsidRPr="00181EE5">
      <w:rPr>
        <w:color w:val="595959" w:themeColor="text1" w:themeTint="A6"/>
        <w:sz w:val="18"/>
        <w:szCs w:val="18"/>
        <w:lang w:val="en-US"/>
      </w:rPr>
      <w:t>Accounting, Auditing &amp; Control - Equity incentives and earnings management in the banking industry</w:t>
    </w:r>
  </w:p>
  <w:p w:rsidR="00C6155A" w:rsidRPr="00CC1406" w:rsidRDefault="00C6155A" w:rsidP="00CC1406">
    <w:pPr>
      <w:pStyle w:val="Koptekst"/>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26DEB"/>
    <w:multiLevelType w:val="hybridMultilevel"/>
    <w:tmpl w:val="39BAE2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A961735"/>
    <w:multiLevelType w:val="hybridMultilevel"/>
    <w:tmpl w:val="C6A8C2D0"/>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F7162F9"/>
    <w:multiLevelType w:val="multilevel"/>
    <w:tmpl w:val="7E10CC7C"/>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27104D27"/>
    <w:multiLevelType w:val="hybridMultilevel"/>
    <w:tmpl w:val="81FAEBAC"/>
    <w:lvl w:ilvl="0" w:tplc="D1F2ED50">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A661066"/>
    <w:multiLevelType w:val="hybridMultilevel"/>
    <w:tmpl w:val="82BCDE8E"/>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1C964FE"/>
    <w:multiLevelType w:val="hybridMultilevel"/>
    <w:tmpl w:val="E7C4F1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8557317"/>
    <w:multiLevelType w:val="hybridMultilevel"/>
    <w:tmpl w:val="43880BDC"/>
    <w:lvl w:ilvl="0" w:tplc="D1F2ED50">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8DA6BA4"/>
    <w:multiLevelType w:val="hybridMultilevel"/>
    <w:tmpl w:val="99140CCA"/>
    <w:lvl w:ilvl="0" w:tplc="D1F2ED50">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A025AF9"/>
    <w:multiLevelType w:val="hybridMultilevel"/>
    <w:tmpl w:val="B5ECA614"/>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 w:numId="6">
    <w:abstractNumId w:val="7"/>
  </w:num>
  <w:num w:numId="7">
    <w:abstractNumId w:val="6"/>
  </w:num>
  <w:num w:numId="8">
    <w:abstractNumId w:val="8"/>
  </w:num>
  <w:num w:numId="9">
    <w:abstractNumId w:val="5"/>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activeWritingStyle w:appName="MSWord" w:lang="en-US" w:vendorID="64" w:dllVersion="131078" w:nlCheck="1" w:checkStyle="1"/>
  <w:activeWritingStyle w:appName="MSWord" w:lang="en-GB" w:vendorID="64" w:dllVersion="131078" w:nlCheck="1" w:checkStyle="1"/>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240642"/>
  </w:hdrShapeDefaults>
  <w:footnotePr>
    <w:footnote w:id="-1"/>
    <w:footnote w:id="0"/>
  </w:footnotePr>
  <w:endnotePr>
    <w:endnote w:id="-1"/>
    <w:endnote w:id="0"/>
  </w:endnotePr>
  <w:compat/>
  <w:rsids>
    <w:rsidRoot w:val="004115C1"/>
    <w:rsid w:val="000023D7"/>
    <w:rsid w:val="00002787"/>
    <w:rsid w:val="00002B6A"/>
    <w:rsid w:val="00002D08"/>
    <w:rsid w:val="00004853"/>
    <w:rsid w:val="00004A5A"/>
    <w:rsid w:val="000057FF"/>
    <w:rsid w:val="00005873"/>
    <w:rsid w:val="000072DC"/>
    <w:rsid w:val="000076AB"/>
    <w:rsid w:val="00007AC7"/>
    <w:rsid w:val="00007AF0"/>
    <w:rsid w:val="00007E2D"/>
    <w:rsid w:val="00010BCE"/>
    <w:rsid w:val="00011998"/>
    <w:rsid w:val="00012E5E"/>
    <w:rsid w:val="00014452"/>
    <w:rsid w:val="000148F1"/>
    <w:rsid w:val="00015045"/>
    <w:rsid w:val="000156F2"/>
    <w:rsid w:val="00015E7F"/>
    <w:rsid w:val="00016251"/>
    <w:rsid w:val="00016C91"/>
    <w:rsid w:val="00016D89"/>
    <w:rsid w:val="00016E35"/>
    <w:rsid w:val="0001773A"/>
    <w:rsid w:val="00017CE9"/>
    <w:rsid w:val="00017FF5"/>
    <w:rsid w:val="0002029F"/>
    <w:rsid w:val="00021910"/>
    <w:rsid w:val="00022B70"/>
    <w:rsid w:val="00023857"/>
    <w:rsid w:val="000238D2"/>
    <w:rsid w:val="000259F8"/>
    <w:rsid w:val="00026300"/>
    <w:rsid w:val="00026E5D"/>
    <w:rsid w:val="00026FD5"/>
    <w:rsid w:val="000270B6"/>
    <w:rsid w:val="0002710D"/>
    <w:rsid w:val="00030839"/>
    <w:rsid w:val="0003097B"/>
    <w:rsid w:val="00030AA9"/>
    <w:rsid w:val="0003237B"/>
    <w:rsid w:val="00034901"/>
    <w:rsid w:val="00034F82"/>
    <w:rsid w:val="00034FF4"/>
    <w:rsid w:val="00035AAE"/>
    <w:rsid w:val="00037B5C"/>
    <w:rsid w:val="00037F15"/>
    <w:rsid w:val="00040A9E"/>
    <w:rsid w:val="000412AD"/>
    <w:rsid w:val="00041FBE"/>
    <w:rsid w:val="000420BE"/>
    <w:rsid w:val="0004235C"/>
    <w:rsid w:val="0004286F"/>
    <w:rsid w:val="00042FC7"/>
    <w:rsid w:val="0004425E"/>
    <w:rsid w:val="0004463B"/>
    <w:rsid w:val="00045AC5"/>
    <w:rsid w:val="0004737A"/>
    <w:rsid w:val="00050526"/>
    <w:rsid w:val="000508AF"/>
    <w:rsid w:val="00051DC5"/>
    <w:rsid w:val="0005292C"/>
    <w:rsid w:val="000545C0"/>
    <w:rsid w:val="00054F97"/>
    <w:rsid w:val="000560C4"/>
    <w:rsid w:val="00056234"/>
    <w:rsid w:val="0005731C"/>
    <w:rsid w:val="000578CF"/>
    <w:rsid w:val="00060302"/>
    <w:rsid w:val="00060E22"/>
    <w:rsid w:val="000617A6"/>
    <w:rsid w:val="00062007"/>
    <w:rsid w:val="00062055"/>
    <w:rsid w:val="000629F7"/>
    <w:rsid w:val="00063DC6"/>
    <w:rsid w:val="00065D74"/>
    <w:rsid w:val="00066CE8"/>
    <w:rsid w:val="0007064D"/>
    <w:rsid w:val="000707B0"/>
    <w:rsid w:val="00071075"/>
    <w:rsid w:val="00071749"/>
    <w:rsid w:val="00071783"/>
    <w:rsid w:val="000730EC"/>
    <w:rsid w:val="000743E4"/>
    <w:rsid w:val="00074BDE"/>
    <w:rsid w:val="000750DF"/>
    <w:rsid w:val="000755BF"/>
    <w:rsid w:val="00076A49"/>
    <w:rsid w:val="00077505"/>
    <w:rsid w:val="00077CC5"/>
    <w:rsid w:val="0008015F"/>
    <w:rsid w:val="00080429"/>
    <w:rsid w:val="00080A83"/>
    <w:rsid w:val="00080C77"/>
    <w:rsid w:val="00081FC6"/>
    <w:rsid w:val="00082001"/>
    <w:rsid w:val="000823C0"/>
    <w:rsid w:val="00082CFD"/>
    <w:rsid w:val="0008320A"/>
    <w:rsid w:val="00083921"/>
    <w:rsid w:val="00083AB6"/>
    <w:rsid w:val="0008490F"/>
    <w:rsid w:val="00084D7E"/>
    <w:rsid w:val="00085C98"/>
    <w:rsid w:val="0008694B"/>
    <w:rsid w:val="00087F98"/>
    <w:rsid w:val="00090AAD"/>
    <w:rsid w:val="00090C2E"/>
    <w:rsid w:val="00091F92"/>
    <w:rsid w:val="00094532"/>
    <w:rsid w:val="000953E7"/>
    <w:rsid w:val="0009587B"/>
    <w:rsid w:val="000963C1"/>
    <w:rsid w:val="000976A0"/>
    <w:rsid w:val="000A05D3"/>
    <w:rsid w:val="000A1114"/>
    <w:rsid w:val="000A2677"/>
    <w:rsid w:val="000A2BED"/>
    <w:rsid w:val="000A2F49"/>
    <w:rsid w:val="000A38BD"/>
    <w:rsid w:val="000A4379"/>
    <w:rsid w:val="000A4C0D"/>
    <w:rsid w:val="000A5265"/>
    <w:rsid w:val="000A78BE"/>
    <w:rsid w:val="000B0356"/>
    <w:rsid w:val="000B197F"/>
    <w:rsid w:val="000B2EB5"/>
    <w:rsid w:val="000B42E1"/>
    <w:rsid w:val="000B4424"/>
    <w:rsid w:val="000B4C6D"/>
    <w:rsid w:val="000B5530"/>
    <w:rsid w:val="000B6184"/>
    <w:rsid w:val="000B63D6"/>
    <w:rsid w:val="000B6F90"/>
    <w:rsid w:val="000B7880"/>
    <w:rsid w:val="000B7E22"/>
    <w:rsid w:val="000C0484"/>
    <w:rsid w:val="000C1199"/>
    <w:rsid w:val="000C11BF"/>
    <w:rsid w:val="000C2802"/>
    <w:rsid w:val="000C28E1"/>
    <w:rsid w:val="000C3A22"/>
    <w:rsid w:val="000C459D"/>
    <w:rsid w:val="000C461B"/>
    <w:rsid w:val="000C46D1"/>
    <w:rsid w:val="000C4A89"/>
    <w:rsid w:val="000C4FC5"/>
    <w:rsid w:val="000C62C4"/>
    <w:rsid w:val="000C6317"/>
    <w:rsid w:val="000C6490"/>
    <w:rsid w:val="000C650D"/>
    <w:rsid w:val="000D0027"/>
    <w:rsid w:val="000D02F1"/>
    <w:rsid w:val="000D04F5"/>
    <w:rsid w:val="000D1C7B"/>
    <w:rsid w:val="000D2710"/>
    <w:rsid w:val="000D303D"/>
    <w:rsid w:val="000D3141"/>
    <w:rsid w:val="000D3392"/>
    <w:rsid w:val="000D55F9"/>
    <w:rsid w:val="000D6AE5"/>
    <w:rsid w:val="000D7255"/>
    <w:rsid w:val="000D78E8"/>
    <w:rsid w:val="000E02A4"/>
    <w:rsid w:val="000E23FC"/>
    <w:rsid w:val="000E24D8"/>
    <w:rsid w:val="000E2B09"/>
    <w:rsid w:val="000E2BC6"/>
    <w:rsid w:val="000E327F"/>
    <w:rsid w:val="000E40A1"/>
    <w:rsid w:val="000E6AB7"/>
    <w:rsid w:val="000E70E3"/>
    <w:rsid w:val="000F00A0"/>
    <w:rsid w:val="000F0238"/>
    <w:rsid w:val="000F04D1"/>
    <w:rsid w:val="000F1352"/>
    <w:rsid w:val="000F3A97"/>
    <w:rsid w:val="000F53D2"/>
    <w:rsid w:val="000F6328"/>
    <w:rsid w:val="000F7A63"/>
    <w:rsid w:val="001006B5"/>
    <w:rsid w:val="00100AC7"/>
    <w:rsid w:val="00100EB2"/>
    <w:rsid w:val="00101858"/>
    <w:rsid w:val="001018F5"/>
    <w:rsid w:val="0010220D"/>
    <w:rsid w:val="0010293B"/>
    <w:rsid w:val="001029A1"/>
    <w:rsid w:val="001029F2"/>
    <w:rsid w:val="00103660"/>
    <w:rsid w:val="00103EF2"/>
    <w:rsid w:val="0010441F"/>
    <w:rsid w:val="00105EB3"/>
    <w:rsid w:val="00107944"/>
    <w:rsid w:val="00111207"/>
    <w:rsid w:val="001118F7"/>
    <w:rsid w:val="00111D9D"/>
    <w:rsid w:val="001128C8"/>
    <w:rsid w:val="00112CC2"/>
    <w:rsid w:val="00113958"/>
    <w:rsid w:val="00114697"/>
    <w:rsid w:val="00114B5F"/>
    <w:rsid w:val="00115037"/>
    <w:rsid w:val="0011716D"/>
    <w:rsid w:val="00120B8C"/>
    <w:rsid w:val="00120DD3"/>
    <w:rsid w:val="001223FA"/>
    <w:rsid w:val="0012271A"/>
    <w:rsid w:val="00122ADD"/>
    <w:rsid w:val="00122F10"/>
    <w:rsid w:val="00122FCC"/>
    <w:rsid w:val="0012371C"/>
    <w:rsid w:val="001253FD"/>
    <w:rsid w:val="001255DB"/>
    <w:rsid w:val="00126ADD"/>
    <w:rsid w:val="001277E4"/>
    <w:rsid w:val="00127BA3"/>
    <w:rsid w:val="00131747"/>
    <w:rsid w:val="0013180D"/>
    <w:rsid w:val="001340C8"/>
    <w:rsid w:val="00137363"/>
    <w:rsid w:val="00140396"/>
    <w:rsid w:val="0014075B"/>
    <w:rsid w:val="00140A91"/>
    <w:rsid w:val="00140EB0"/>
    <w:rsid w:val="00141DAF"/>
    <w:rsid w:val="0014280D"/>
    <w:rsid w:val="00143344"/>
    <w:rsid w:val="00145921"/>
    <w:rsid w:val="001463F4"/>
    <w:rsid w:val="00150697"/>
    <w:rsid w:val="001509DD"/>
    <w:rsid w:val="00151023"/>
    <w:rsid w:val="00151CE0"/>
    <w:rsid w:val="00151D6F"/>
    <w:rsid w:val="00154A43"/>
    <w:rsid w:val="00155C82"/>
    <w:rsid w:val="001570EB"/>
    <w:rsid w:val="00157A3D"/>
    <w:rsid w:val="00157FB3"/>
    <w:rsid w:val="001609D5"/>
    <w:rsid w:val="00160A61"/>
    <w:rsid w:val="00160C02"/>
    <w:rsid w:val="0016134A"/>
    <w:rsid w:val="0016353E"/>
    <w:rsid w:val="00163B95"/>
    <w:rsid w:val="001657C8"/>
    <w:rsid w:val="00166655"/>
    <w:rsid w:val="001700E0"/>
    <w:rsid w:val="00170719"/>
    <w:rsid w:val="0017094A"/>
    <w:rsid w:val="00171DE5"/>
    <w:rsid w:val="001734EE"/>
    <w:rsid w:val="00174209"/>
    <w:rsid w:val="00174CDD"/>
    <w:rsid w:val="001758C7"/>
    <w:rsid w:val="00175F55"/>
    <w:rsid w:val="00180E6C"/>
    <w:rsid w:val="001817F7"/>
    <w:rsid w:val="00181EE5"/>
    <w:rsid w:val="00182018"/>
    <w:rsid w:val="00183732"/>
    <w:rsid w:val="001841B3"/>
    <w:rsid w:val="0018448F"/>
    <w:rsid w:val="0018468E"/>
    <w:rsid w:val="0018537D"/>
    <w:rsid w:val="0018539E"/>
    <w:rsid w:val="00185E93"/>
    <w:rsid w:val="00186C9C"/>
    <w:rsid w:val="001906A4"/>
    <w:rsid w:val="00191417"/>
    <w:rsid w:val="00191747"/>
    <w:rsid w:val="001924BB"/>
    <w:rsid w:val="001924D4"/>
    <w:rsid w:val="00193050"/>
    <w:rsid w:val="00193A09"/>
    <w:rsid w:val="00194AB3"/>
    <w:rsid w:val="00194BF5"/>
    <w:rsid w:val="00195DD2"/>
    <w:rsid w:val="001967F7"/>
    <w:rsid w:val="00196E1D"/>
    <w:rsid w:val="00197071"/>
    <w:rsid w:val="001A083E"/>
    <w:rsid w:val="001A088F"/>
    <w:rsid w:val="001A1FF2"/>
    <w:rsid w:val="001A4BD0"/>
    <w:rsid w:val="001A545F"/>
    <w:rsid w:val="001A5F70"/>
    <w:rsid w:val="001A6A6F"/>
    <w:rsid w:val="001A7041"/>
    <w:rsid w:val="001B0404"/>
    <w:rsid w:val="001B0451"/>
    <w:rsid w:val="001B0456"/>
    <w:rsid w:val="001B26D2"/>
    <w:rsid w:val="001B2914"/>
    <w:rsid w:val="001B3C25"/>
    <w:rsid w:val="001B474E"/>
    <w:rsid w:val="001B4F0D"/>
    <w:rsid w:val="001B7A01"/>
    <w:rsid w:val="001C0074"/>
    <w:rsid w:val="001C199B"/>
    <w:rsid w:val="001C3E7D"/>
    <w:rsid w:val="001C502C"/>
    <w:rsid w:val="001C6312"/>
    <w:rsid w:val="001C7124"/>
    <w:rsid w:val="001C761D"/>
    <w:rsid w:val="001C76A4"/>
    <w:rsid w:val="001C7E6C"/>
    <w:rsid w:val="001D0929"/>
    <w:rsid w:val="001D19B8"/>
    <w:rsid w:val="001D39C4"/>
    <w:rsid w:val="001D49CF"/>
    <w:rsid w:val="001D4AD1"/>
    <w:rsid w:val="001D7200"/>
    <w:rsid w:val="001E42F2"/>
    <w:rsid w:val="001E4DB5"/>
    <w:rsid w:val="001E4F69"/>
    <w:rsid w:val="001E5103"/>
    <w:rsid w:val="001E5DF9"/>
    <w:rsid w:val="001E6A0F"/>
    <w:rsid w:val="001E76FB"/>
    <w:rsid w:val="001F029C"/>
    <w:rsid w:val="001F0B1A"/>
    <w:rsid w:val="001F30CD"/>
    <w:rsid w:val="001F3D46"/>
    <w:rsid w:val="001F6D5E"/>
    <w:rsid w:val="00201403"/>
    <w:rsid w:val="00201DDF"/>
    <w:rsid w:val="00202B67"/>
    <w:rsid w:val="00202EAE"/>
    <w:rsid w:val="0020411E"/>
    <w:rsid w:val="002054E1"/>
    <w:rsid w:val="00205E00"/>
    <w:rsid w:val="00206534"/>
    <w:rsid w:val="002067C6"/>
    <w:rsid w:val="00211EDC"/>
    <w:rsid w:val="00212622"/>
    <w:rsid w:val="00212AA9"/>
    <w:rsid w:val="00213187"/>
    <w:rsid w:val="002137EB"/>
    <w:rsid w:val="0021383A"/>
    <w:rsid w:val="002140F2"/>
    <w:rsid w:val="002144BB"/>
    <w:rsid w:val="00214E2A"/>
    <w:rsid w:val="00215CF5"/>
    <w:rsid w:val="00221D7A"/>
    <w:rsid w:val="002227CF"/>
    <w:rsid w:val="002264A3"/>
    <w:rsid w:val="00226EAD"/>
    <w:rsid w:val="0022745F"/>
    <w:rsid w:val="002300F6"/>
    <w:rsid w:val="002324E4"/>
    <w:rsid w:val="0023271F"/>
    <w:rsid w:val="00233F91"/>
    <w:rsid w:val="002349C0"/>
    <w:rsid w:val="00234ACE"/>
    <w:rsid w:val="00235FD6"/>
    <w:rsid w:val="002365B4"/>
    <w:rsid w:val="00236681"/>
    <w:rsid w:val="00237CEC"/>
    <w:rsid w:val="00240885"/>
    <w:rsid w:val="0024235F"/>
    <w:rsid w:val="0024311A"/>
    <w:rsid w:val="00243535"/>
    <w:rsid w:val="0024583F"/>
    <w:rsid w:val="00245A1F"/>
    <w:rsid w:val="00246A48"/>
    <w:rsid w:val="00246E93"/>
    <w:rsid w:val="00247E78"/>
    <w:rsid w:val="00247FE1"/>
    <w:rsid w:val="00251157"/>
    <w:rsid w:val="002524B8"/>
    <w:rsid w:val="002528DA"/>
    <w:rsid w:val="00253ABB"/>
    <w:rsid w:val="00254668"/>
    <w:rsid w:val="002563D7"/>
    <w:rsid w:val="00256982"/>
    <w:rsid w:val="00257115"/>
    <w:rsid w:val="00260779"/>
    <w:rsid w:val="00261014"/>
    <w:rsid w:val="00262055"/>
    <w:rsid w:val="00262177"/>
    <w:rsid w:val="00262D90"/>
    <w:rsid w:val="00262FE6"/>
    <w:rsid w:val="0026336C"/>
    <w:rsid w:val="00263E35"/>
    <w:rsid w:val="00264BDE"/>
    <w:rsid w:val="002666D9"/>
    <w:rsid w:val="0026687F"/>
    <w:rsid w:val="00266EDA"/>
    <w:rsid w:val="002709F5"/>
    <w:rsid w:val="00270E42"/>
    <w:rsid w:val="002723E9"/>
    <w:rsid w:val="00272C8A"/>
    <w:rsid w:val="002731FE"/>
    <w:rsid w:val="002738FA"/>
    <w:rsid w:val="00274221"/>
    <w:rsid w:val="002745EC"/>
    <w:rsid w:val="002768C3"/>
    <w:rsid w:val="002772E8"/>
    <w:rsid w:val="00277425"/>
    <w:rsid w:val="00280302"/>
    <w:rsid w:val="002808D9"/>
    <w:rsid w:val="00281BD9"/>
    <w:rsid w:val="002829A2"/>
    <w:rsid w:val="00283980"/>
    <w:rsid w:val="00283CF9"/>
    <w:rsid w:val="00283FB0"/>
    <w:rsid w:val="002846D3"/>
    <w:rsid w:val="00285018"/>
    <w:rsid w:val="00285A02"/>
    <w:rsid w:val="002873E0"/>
    <w:rsid w:val="00290EC6"/>
    <w:rsid w:val="00292036"/>
    <w:rsid w:val="002928E4"/>
    <w:rsid w:val="00292BF9"/>
    <w:rsid w:val="002933DE"/>
    <w:rsid w:val="00293C6E"/>
    <w:rsid w:val="0029462F"/>
    <w:rsid w:val="002949B7"/>
    <w:rsid w:val="00295A0F"/>
    <w:rsid w:val="00297B99"/>
    <w:rsid w:val="002A0066"/>
    <w:rsid w:val="002A14A9"/>
    <w:rsid w:val="002A153C"/>
    <w:rsid w:val="002A38E8"/>
    <w:rsid w:val="002A426C"/>
    <w:rsid w:val="002A4579"/>
    <w:rsid w:val="002A4A8F"/>
    <w:rsid w:val="002A5307"/>
    <w:rsid w:val="002A59A5"/>
    <w:rsid w:val="002B0847"/>
    <w:rsid w:val="002B0EE1"/>
    <w:rsid w:val="002B1230"/>
    <w:rsid w:val="002B1BBA"/>
    <w:rsid w:val="002B1C44"/>
    <w:rsid w:val="002B2140"/>
    <w:rsid w:val="002B29D8"/>
    <w:rsid w:val="002B3057"/>
    <w:rsid w:val="002B3A80"/>
    <w:rsid w:val="002B3DAE"/>
    <w:rsid w:val="002B420B"/>
    <w:rsid w:val="002B537B"/>
    <w:rsid w:val="002B564E"/>
    <w:rsid w:val="002B66A2"/>
    <w:rsid w:val="002B6EC8"/>
    <w:rsid w:val="002B6F32"/>
    <w:rsid w:val="002B712D"/>
    <w:rsid w:val="002C0091"/>
    <w:rsid w:val="002C02DC"/>
    <w:rsid w:val="002C0751"/>
    <w:rsid w:val="002C1EAD"/>
    <w:rsid w:val="002C21A2"/>
    <w:rsid w:val="002C23C1"/>
    <w:rsid w:val="002C2461"/>
    <w:rsid w:val="002C4168"/>
    <w:rsid w:val="002C5789"/>
    <w:rsid w:val="002C7560"/>
    <w:rsid w:val="002C7ACE"/>
    <w:rsid w:val="002C7DCC"/>
    <w:rsid w:val="002C7F1D"/>
    <w:rsid w:val="002D1343"/>
    <w:rsid w:val="002D13CC"/>
    <w:rsid w:val="002D2C69"/>
    <w:rsid w:val="002D2EE3"/>
    <w:rsid w:val="002D3A00"/>
    <w:rsid w:val="002D42F5"/>
    <w:rsid w:val="002D5A24"/>
    <w:rsid w:val="002E06BE"/>
    <w:rsid w:val="002E1D7A"/>
    <w:rsid w:val="002E2867"/>
    <w:rsid w:val="002E2B4B"/>
    <w:rsid w:val="002E2E88"/>
    <w:rsid w:val="002E3671"/>
    <w:rsid w:val="002E6004"/>
    <w:rsid w:val="002E6683"/>
    <w:rsid w:val="002E7085"/>
    <w:rsid w:val="002E7301"/>
    <w:rsid w:val="002E79A7"/>
    <w:rsid w:val="002F0261"/>
    <w:rsid w:val="002F16ED"/>
    <w:rsid w:val="002F439E"/>
    <w:rsid w:val="002F4B92"/>
    <w:rsid w:val="002F4BF4"/>
    <w:rsid w:val="002F4DD9"/>
    <w:rsid w:val="002F5100"/>
    <w:rsid w:val="002F55BC"/>
    <w:rsid w:val="002F5787"/>
    <w:rsid w:val="002F67CD"/>
    <w:rsid w:val="002F7455"/>
    <w:rsid w:val="003005E5"/>
    <w:rsid w:val="0030086D"/>
    <w:rsid w:val="00307E54"/>
    <w:rsid w:val="0031054C"/>
    <w:rsid w:val="0031073D"/>
    <w:rsid w:val="00311D04"/>
    <w:rsid w:val="00313D5A"/>
    <w:rsid w:val="0031432C"/>
    <w:rsid w:val="00315361"/>
    <w:rsid w:val="00315AC8"/>
    <w:rsid w:val="0031623C"/>
    <w:rsid w:val="00317DBC"/>
    <w:rsid w:val="003214D5"/>
    <w:rsid w:val="003219F9"/>
    <w:rsid w:val="003223C3"/>
    <w:rsid w:val="00322D2D"/>
    <w:rsid w:val="00324F54"/>
    <w:rsid w:val="00326724"/>
    <w:rsid w:val="00327872"/>
    <w:rsid w:val="003309FF"/>
    <w:rsid w:val="0033196A"/>
    <w:rsid w:val="00332362"/>
    <w:rsid w:val="0033302C"/>
    <w:rsid w:val="003333E9"/>
    <w:rsid w:val="003363CB"/>
    <w:rsid w:val="0033693B"/>
    <w:rsid w:val="00336F6E"/>
    <w:rsid w:val="003371AC"/>
    <w:rsid w:val="003403BF"/>
    <w:rsid w:val="00343FC8"/>
    <w:rsid w:val="00343FCE"/>
    <w:rsid w:val="0034414E"/>
    <w:rsid w:val="0034566F"/>
    <w:rsid w:val="00346492"/>
    <w:rsid w:val="00346A19"/>
    <w:rsid w:val="00347BDD"/>
    <w:rsid w:val="00352A4E"/>
    <w:rsid w:val="0035568A"/>
    <w:rsid w:val="003574B1"/>
    <w:rsid w:val="0035796B"/>
    <w:rsid w:val="00357CAB"/>
    <w:rsid w:val="00360DF6"/>
    <w:rsid w:val="00361438"/>
    <w:rsid w:val="003616D2"/>
    <w:rsid w:val="00362364"/>
    <w:rsid w:val="0036398E"/>
    <w:rsid w:val="00365386"/>
    <w:rsid w:val="0036599A"/>
    <w:rsid w:val="00366770"/>
    <w:rsid w:val="003675C2"/>
    <w:rsid w:val="00367A0C"/>
    <w:rsid w:val="0037029F"/>
    <w:rsid w:val="00370ADF"/>
    <w:rsid w:val="003713FA"/>
    <w:rsid w:val="00371FBD"/>
    <w:rsid w:val="00372779"/>
    <w:rsid w:val="003742E4"/>
    <w:rsid w:val="00374B0B"/>
    <w:rsid w:val="00375848"/>
    <w:rsid w:val="00377F01"/>
    <w:rsid w:val="0038193C"/>
    <w:rsid w:val="00381A9D"/>
    <w:rsid w:val="00383182"/>
    <w:rsid w:val="0038357C"/>
    <w:rsid w:val="00383591"/>
    <w:rsid w:val="00384877"/>
    <w:rsid w:val="00384D22"/>
    <w:rsid w:val="00385E50"/>
    <w:rsid w:val="00386650"/>
    <w:rsid w:val="0038671B"/>
    <w:rsid w:val="003871BB"/>
    <w:rsid w:val="00390306"/>
    <w:rsid w:val="0039128C"/>
    <w:rsid w:val="00394887"/>
    <w:rsid w:val="0039493E"/>
    <w:rsid w:val="00395B7F"/>
    <w:rsid w:val="00396419"/>
    <w:rsid w:val="00396A82"/>
    <w:rsid w:val="00397503"/>
    <w:rsid w:val="00397737"/>
    <w:rsid w:val="00397D65"/>
    <w:rsid w:val="003A0303"/>
    <w:rsid w:val="003A0A35"/>
    <w:rsid w:val="003A0C24"/>
    <w:rsid w:val="003A1C86"/>
    <w:rsid w:val="003A1D53"/>
    <w:rsid w:val="003A28B6"/>
    <w:rsid w:val="003A2CF4"/>
    <w:rsid w:val="003A7C7C"/>
    <w:rsid w:val="003A7E20"/>
    <w:rsid w:val="003B032C"/>
    <w:rsid w:val="003B2771"/>
    <w:rsid w:val="003B2F4B"/>
    <w:rsid w:val="003B32E7"/>
    <w:rsid w:val="003B44C2"/>
    <w:rsid w:val="003B46E4"/>
    <w:rsid w:val="003B4880"/>
    <w:rsid w:val="003B4CDD"/>
    <w:rsid w:val="003B54CB"/>
    <w:rsid w:val="003B5B96"/>
    <w:rsid w:val="003B66C5"/>
    <w:rsid w:val="003B7D61"/>
    <w:rsid w:val="003C07B6"/>
    <w:rsid w:val="003C093F"/>
    <w:rsid w:val="003C0B5D"/>
    <w:rsid w:val="003C0C1C"/>
    <w:rsid w:val="003C0D58"/>
    <w:rsid w:val="003C14D4"/>
    <w:rsid w:val="003C1F0A"/>
    <w:rsid w:val="003C38E8"/>
    <w:rsid w:val="003C3FF6"/>
    <w:rsid w:val="003C470E"/>
    <w:rsid w:val="003C49BC"/>
    <w:rsid w:val="003D1C0B"/>
    <w:rsid w:val="003D261C"/>
    <w:rsid w:val="003D2E7B"/>
    <w:rsid w:val="003D335C"/>
    <w:rsid w:val="003D37A0"/>
    <w:rsid w:val="003D3E7B"/>
    <w:rsid w:val="003D489A"/>
    <w:rsid w:val="003D57C8"/>
    <w:rsid w:val="003D65DD"/>
    <w:rsid w:val="003D6845"/>
    <w:rsid w:val="003D770C"/>
    <w:rsid w:val="003D78C2"/>
    <w:rsid w:val="003E1A76"/>
    <w:rsid w:val="003E1B46"/>
    <w:rsid w:val="003E288A"/>
    <w:rsid w:val="003E48B1"/>
    <w:rsid w:val="003E4C49"/>
    <w:rsid w:val="003E56EC"/>
    <w:rsid w:val="003E6043"/>
    <w:rsid w:val="003E6B57"/>
    <w:rsid w:val="003E6E60"/>
    <w:rsid w:val="003F02B6"/>
    <w:rsid w:val="003F0582"/>
    <w:rsid w:val="003F1553"/>
    <w:rsid w:val="003F191E"/>
    <w:rsid w:val="003F19CA"/>
    <w:rsid w:val="003F3118"/>
    <w:rsid w:val="003F3607"/>
    <w:rsid w:val="003F40AE"/>
    <w:rsid w:val="003F456E"/>
    <w:rsid w:val="003F4872"/>
    <w:rsid w:val="003F4EB3"/>
    <w:rsid w:val="003F5F7C"/>
    <w:rsid w:val="003F6459"/>
    <w:rsid w:val="003F6924"/>
    <w:rsid w:val="003F766A"/>
    <w:rsid w:val="004002EE"/>
    <w:rsid w:val="0040042A"/>
    <w:rsid w:val="0040078D"/>
    <w:rsid w:val="0040092D"/>
    <w:rsid w:val="004044D5"/>
    <w:rsid w:val="00404B3C"/>
    <w:rsid w:val="0040624A"/>
    <w:rsid w:val="00407017"/>
    <w:rsid w:val="00407AD6"/>
    <w:rsid w:val="004115C1"/>
    <w:rsid w:val="00412D13"/>
    <w:rsid w:val="00413929"/>
    <w:rsid w:val="00414FCF"/>
    <w:rsid w:val="004156D1"/>
    <w:rsid w:val="00415D9E"/>
    <w:rsid w:val="00417C9B"/>
    <w:rsid w:val="0042136B"/>
    <w:rsid w:val="00421E8A"/>
    <w:rsid w:val="00423619"/>
    <w:rsid w:val="00423E1B"/>
    <w:rsid w:val="004248AC"/>
    <w:rsid w:val="00424B18"/>
    <w:rsid w:val="00427A16"/>
    <w:rsid w:val="00427F80"/>
    <w:rsid w:val="0043150A"/>
    <w:rsid w:val="0043335D"/>
    <w:rsid w:val="004347B1"/>
    <w:rsid w:val="004351E5"/>
    <w:rsid w:val="0043548F"/>
    <w:rsid w:val="004357BE"/>
    <w:rsid w:val="00435A48"/>
    <w:rsid w:val="00437F1A"/>
    <w:rsid w:val="00443812"/>
    <w:rsid w:val="004464DC"/>
    <w:rsid w:val="004465EA"/>
    <w:rsid w:val="00446835"/>
    <w:rsid w:val="004475AE"/>
    <w:rsid w:val="0044794A"/>
    <w:rsid w:val="00450060"/>
    <w:rsid w:val="00452C03"/>
    <w:rsid w:val="00452D73"/>
    <w:rsid w:val="00452EFD"/>
    <w:rsid w:val="0045439B"/>
    <w:rsid w:val="00454501"/>
    <w:rsid w:val="0045509E"/>
    <w:rsid w:val="00455258"/>
    <w:rsid w:val="004560FA"/>
    <w:rsid w:val="00457D30"/>
    <w:rsid w:val="004616AC"/>
    <w:rsid w:val="00463439"/>
    <w:rsid w:val="004636B4"/>
    <w:rsid w:val="004636F7"/>
    <w:rsid w:val="00464086"/>
    <w:rsid w:val="00464413"/>
    <w:rsid w:val="00464621"/>
    <w:rsid w:val="0046486F"/>
    <w:rsid w:val="00464913"/>
    <w:rsid w:val="004672E8"/>
    <w:rsid w:val="00467BB9"/>
    <w:rsid w:val="004704FD"/>
    <w:rsid w:val="00470A7C"/>
    <w:rsid w:val="004725DA"/>
    <w:rsid w:val="00473318"/>
    <w:rsid w:val="00473596"/>
    <w:rsid w:val="0047428E"/>
    <w:rsid w:val="00474DED"/>
    <w:rsid w:val="004752FE"/>
    <w:rsid w:val="004754F0"/>
    <w:rsid w:val="00475915"/>
    <w:rsid w:val="0047755E"/>
    <w:rsid w:val="00477CDA"/>
    <w:rsid w:val="00480C7F"/>
    <w:rsid w:val="0048138B"/>
    <w:rsid w:val="0048161C"/>
    <w:rsid w:val="00481BC4"/>
    <w:rsid w:val="00481BDA"/>
    <w:rsid w:val="00481DCD"/>
    <w:rsid w:val="00483C60"/>
    <w:rsid w:val="00483C76"/>
    <w:rsid w:val="0048588F"/>
    <w:rsid w:val="00486310"/>
    <w:rsid w:val="004868CD"/>
    <w:rsid w:val="00487020"/>
    <w:rsid w:val="00490D4A"/>
    <w:rsid w:val="004921D9"/>
    <w:rsid w:val="00492D36"/>
    <w:rsid w:val="00492DE7"/>
    <w:rsid w:val="0049482E"/>
    <w:rsid w:val="004949EB"/>
    <w:rsid w:val="0049620E"/>
    <w:rsid w:val="00496555"/>
    <w:rsid w:val="0049783D"/>
    <w:rsid w:val="004A038A"/>
    <w:rsid w:val="004A0A1B"/>
    <w:rsid w:val="004A0B18"/>
    <w:rsid w:val="004A104F"/>
    <w:rsid w:val="004A1197"/>
    <w:rsid w:val="004A16B7"/>
    <w:rsid w:val="004A18D2"/>
    <w:rsid w:val="004A2BE7"/>
    <w:rsid w:val="004A2D56"/>
    <w:rsid w:val="004A36AF"/>
    <w:rsid w:val="004A3F4B"/>
    <w:rsid w:val="004A67E9"/>
    <w:rsid w:val="004A72DC"/>
    <w:rsid w:val="004A745E"/>
    <w:rsid w:val="004B470D"/>
    <w:rsid w:val="004B5953"/>
    <w:rsid w:val="004B5B02"/>
    <w:rsid w:val="004B6C7D"/>
    <w:rsid w:val="004B7C32"/>
    <w:rsid w:val="004B7EBC"/>
    <w:rsid w:val="004C113A"/>
    <w:rsid w:val="004C2E22"/>
    <w:rsid w:val="004C3EE1"/>
    <w:rsid w:val="004C418B"/>
    <w:rsid w:val="004C43FB"/>
    <w:rsid w:val="004C54A2"/>
    <w:rsid w:val="004C6123"/>
    <w:rsid w:val="004C6C2D"/>
    <w:rsid w:val="004C75D7"/>
    <w:rsid w:val="004C7A73"/>
    <w:rsid w:val="004C7E45"/>
    <w:rsid w:val="004D1436"/>
    <w:rsid w:val="004D32FC"/>
    <w:rsid w:val="004D5347"/>
    <w:rsid w:val="004D53B2"/>
    <w:rsid w:val="004D7B92"/>
    <w:rsid w:val="004E2D7F"/>
    <w:rsid w:val="004E3516"/>
    <w:rsid w:val="004E4202"/>
    <w:rsid w:val="004E5518"/>
    <w:rsid w:val="004E5FF9"/>
    <w:rsid w:val="004E6892"/>
    <w:rsid w:val="004E69BA"/>
    <w:rsid w:val="004E6FA8"/>
    <w:rsid w:val="004F0026"/>
    <w:rsid w:val="004F050B"/>
    <w:rsid w:val="004F0A0D"/>
    <w:rsid w:val="004F51A3"/>
    <w:rsid w:val="004F5ED2"/>
    <w:rsid w:val="004F6072"/>
    <w:rsid w:val="004F74F7"/>
    <w:rsid w:val="00500BF8"/>
    <w:rsid w:val="00502148"/>
    <w:rsid w:val="00502324"/>
    <w:rsid w:val="00503282"/>
    <w:rsid w:val="00503AE1"/>
    <w:rsid w:val="00503D92"/>
    <w:rsid w:val="00504924"/>
    <w:rsid w:val="00504F2A"/>
    <w:rsid w:val="005050E1"/>
    <w:rsid w:val="005061D7"/>
    <w:rsid w:val="00507FFD"/>
    <w:rsid w:val="005100FA"/>
    <w:rsid w:val="00510DF1"/>
    <w:rsid w:val="00511CED"/>
    <w:rsid w:val="00512A62"/>
    <w:rsid w:val="00512D93"/>
    <w:rsid w:val="00514080"/>
    <w:rsid w:val="0051498A"/>
    <w:rsid w:val="00514B83"/>
    <w:rsid w:val="0051508A"/>
    <w:rsid w:val="005156BD"/>
    <w:rsid w:val="005173BF"/>
    <w:rsid w:val="00522507"/>
    <w:rsid w:val="005225C5"/>
    <w:rsid w:val="0052273D"/>
    <w:rsid w:val="00522FCD"/>
    <w:rsid w:val="00523FCC"/>
    <w:rsid w:val="0052418A"/>
    <w:rsid w:val="005244D1"/>
    <w:rsid w:val="00524D29"/>
    <w:rsid w:val="0052514F"/>
    <w:rsid w:val="0052517E"/>
    <w:rsid w:val="00526686"/>
    <w:rsid w:val="00530DD8"/>
    <w:rsid w:val="0053267C"/>
    <w:rsid w:val="00532F90"/>
    <w:rsid w:val="00533672"/>
    <w:rsid w:val="0053533C"/>
    <w:rsid w:val="00536807"/>
    <w:rsid w:val="00536965"/>
    <w:rsid w:val="00537159"/>
    <w:rsid w:val="00537730"/>
    <w:rsid w:val="00542DE4"/>
    <w:rsid w:val="00543509"/>
    <w:rsid w:val="00543D6E"/>
    <w:rsid w:val="00544047"/>
    <w:rsid w:val="00544BB0"/>
    <w:rsid w:val="005450D4"/>
    <w:rsid w:val="0054554B"/>
    <w:rsid w:val="00546AD0"/>
    <w:rsid w:val="00547CAB"/>
    <w:rsid w:val="00550AAE"/>
    <w:rsid w:val="00550FC9"/>
    <w:rsid w:val="00552644"/>
    <w:rsid w:val="00553054"/>
    <w:rsid w:val="005542DA"/>
    <w:rsid w:val="00554898"/>
    <w:rsid w:val="00555472"/>
    <w:rsid w:val="0055608E"/>
    <w:rsid w:val="005563BF"/>
    <w:rsid w:val="00557B0E"/>
    <w:rsid w:val="00560BE0"/>
    <w:rsid w:val="005611CF"/>
    <w:rsid w:val="005624F5"/>
    <w:rsid w:val="00562B42"/>
    <w:rsid w:val="00563C56"/>
    <w:rsid w:val="00564419"/>
    <w:rsid w:val="0056535A"/>
    <w:rsid w:val="0056548D"/>
    <w:rsid w:val="0057107A"/>
    <w:rsid w:val="0057118A"/>
    <w:rsid w:val="005718EA"/>
    <w:rsid w:val="0057191F"/>
    <w:rsid w:val="00571A89"/>
    <w:rsid w:val="005737D2"/>
    <w:rsid w:val="00575679"/>
    <w:rsid w:val="00575C09"/>
    <w:rsid w:val="005772F1"/>
    <w:rsid w:val="00580132"/>
    <w:rsid w:val="0058146E"/>
    <w:rsid w:val="00582BF2"/>
    <w:rsid w:val="005836BF"/>
    <w:rsid w:val="00583CBB"/>
    <w:rsid w:val="0058609F"/>
    <w:rsid w:val="00586331"/>
    <w:rsid w:val="00591536"/>
    <w:rsid w:val="005916A3"/>
    <w:rsid w:val="00592AFE"/>
    <w:rsid w:val="005945FF"/>
    <w:rsid w:val="00594E43"/>
    <w:rsid w:val="00595428"/>
    <w:rsid w:val="00595F28"/>
    <w:rsid w:val="005971E5"/>
    <w:rsid w:val="00597412"/>
    <w:rsid w:val="005A16F8"/>
    <w:rsid w:val="005A1AD3"/>
    <w:rsid w:val="005A22EE"/>
    <w:rsid w:val="005A2853"/>
    <w:rsid w:val="005A2B24"/>
    <w:rsid w:val="005A38E5"/>
    <w:rsid w:val="005A5FE4"/>
    <w:rsid w:val="005A6FD8"/>
    <w:rsid w:val="005B13E5"/>
    <w:rsid w:val="005B13E9"/>
    <w:rsid w:val="005B18C0"/>
    <w:rsid w:val="005B21DF"/>
    <w:rsid w:val="005B2448"/>
    <w:rsid w:val="005B2E78"/>
    <w:rsid w:val="005B35A3"/>
    <w:rsid w:val="005B4083"/>
    <w:rsid w:val="005B60B0"/>
    <w:rsid w:val="005C078E"/>
    <w:rsid w:val="005C0CE0"/>
    <w:rsid w:val="005C1B9C"/>
    <w:rsid w:val="005C3B62"/>
    <w:rsid w:val="005C3F4D"/>
    <w:rsid w:val="005C3FB8"/>
    <w:rsid w:val="005C49AF"/>
    <w:rsid w:val="005C4FCB"/>
    <w:rsid w:val="005C5BE8"/>
    <w:rsid w:val="005C6DB0"/>
    <w:rsid w:val="005C7366"/>
    <w:rsid w:val="005C73E4"/>
    <w:rsid w:val="005C7A6F"/>
    <w:rsid w:val="005D18E8"/>
    <w:rsid w:val="005D22BE"/>
    <w:rsid w:val="005D53BC"/>
    <w:rsid w:val="005D54C4"/>
    <w:rsid w:val="005D6E98"/>
    <w:rsid w:val="005D780D"/>
    <w:rsid w:val="005D7E2C"/>
    <w:rsid w:val="005E26D1"/>
    <w:rsid w:val="005E340B"/>
    <w:rsid w:val="005E51A4"/>
    <w:rsid w:val="005E6BC2"/>
    <w:rsid w:val="005F072A"/>
    <w:rsid w:val="005F0B1B"/>
    <w:rsid w:val="005F384C"/>
    <w:rsid w:val="005F4116"/>
    <w:rsid w:val="005F49CF"/>
    <w:rsid w:val="005F55B7"/>
    <w:rsid w:val="005F7C34"/>
    <w:rsid w:val="006005E9"/>
    <w:rsid w:val="006025D5"/>
    <w:rsid w:val="0060270F"/>
    <w:rsid w:val="00602A28"/>
    <w:rsid w:val="00603940"/>
    <w:rsid w:val="0060483F"/>
    <w:rsid w:val="00604A3C"/>
    <w:rsid w:val="00605623"/>
    <w:rsid w:val="0060633E"/>
    <w:rsid w:val="00606DEA"/>
    <w:rsid w:val="00607D15"/>
    <w:rsid w:val="0061020F"/>
    <w:rsid w:val="00611967"/>
    <w:rsid w:val="00611A61"/>
    <w:rsid w:val="0061291B"/>
    <w:rsid w:val="006133C9"/>
    <w:rsid w:val="00613E9C"/>
    <w:rsid w:val="00614408"/>
    <w:rsid w:val="00614684"/>
    <w:rsid w:val="006151AB"/>
    <w:rsid w:val="00616A8A"/>
    <w:rsid w:val="00616CD2"/>
    <w:rsid w:val="00616DD1"/>
    <w:rsid w:val="00616E0B"/>
    <w:rsid w:val="00620034"/>
    <w:rsid w:val="006211AD"/>
    <w:rsid w:val="006238F7"/>
    <w:rsid w:val="00623D14"/>
    <w:rsid w:val="0062533B"/>
    <w:rsid w:val="006256A9"/>
    <w:rsid w:val="0062602A"/>
    <w:rsid w:val="006264F2"/>
    <w:rsid w:val="00627962"/>
    <w:rsid w:val="00630937"/>
    <w:rsid w:val="006337ED"/>
    <w:rsid w:val="0063381F"/>
    <w:rsid w:val="006355CF"/>
    <w:rsid w:val="006364E8"/>
    <w:rsid w:val="00637294"/>
    <w:rsid w:val="00637411"/>
    <w:rsid w:val="0064072B"/>
    <w:rsid w:val="006428EB"/>
    <w:rsid w:val="0064339B"/>
    <w:rsid w:val="00643D67"/>
    <w:rsid w:val="006447A2"/>
    <w:rsid w:val="00644B61"/>
    <w:rsid w:val="00646086"/>
    <w:rsid w:val="00646849"/>
    <w:rsid w:val="00646B95"/>
    <w:rsid w:val="00647686"/>
    <w:rsid w:val="00647D69"/>
    <w:rsid w:val="00650547"/>
    <w:rsid w:val="00652608"/>
    <w:rsid w:val="00652E60"/>
    <w:rsid w:val="0065423D"/>
    <w:rsid w:val="00655653"/>
    <w:rsid w:val="00656F4F"/>
    <w:rsid w:val="00660609"/>
    <w:rsid w:val="006609D8"/>
    <w:rsid w:val="006633A1"/>
    <w:rsid w:val="00663AF0"/>
    <w:rsid w:val="006646A9"/>
    <w:rsid w:val="00666522"/>
    <w:rsid w:val="00667656"/>
    <w:rsid w:val="00670C84"/>
    <w:rsid w:val="0067101D"/>
    <w:rsid w:val="00671484"/>
    <w:rsid w:val="00673045"/>
    <w:rsid w:val="00675409"/>
    <w:rsid w:val="00676E0E"/>
    <w:rsid w:val="00677C4D"/>
    <w:rsid w:val="00677EDA"/>
    <w:rsid w:val="006839FF"/>
    <w:rsid w:val="00683F90"/>
    <w:rsid w:val="00686C4B"/>
    <w:rsid w:val="00686DB4"/>
    <w:rsid w:val="0068766C"/>
    <w:rsid w:val="006907DA"/>
    <w:rsid w:val="00690C25"/>
    <w:rsid w:val="0069116A"/>
    <w:rsid w:val="00692ABD"/>
    <w:rsid w:val="0069474A"/>
    <w:rsid w:val="00695984"/>
    <w:rsid w:val="00696B59"/>
    <w:rsid w:val="00697CF1"/>
    <w:rsid w:val="00697E87"/>
    <w:rsid w:val="00697F62"/>
    <w:rsid w:val="00697FC9"/>
    <w:rsid w:val="006A0B39"/>
    <w:rsid w:val="006A1AE6"/>
    <w:rsid w:val="006A1F0F"/>
    <w:rsid w:val="006A353B"/>
    <w:rsid w:val="006A4B75"/>
    <w:rsid w:val="006A5218"/>
    <w:rsid w:val="006A550D"/>
    <w:rsid w:val="006A5613"/>
    <w:rsid w:val="006A588B"/>
    <w:rsid w:val="006B05C2"/>
    <w:rsid w:val="006B1A0E"/>
    <w:rsid w:val="006B1D67"/>
    <w:rsid w:val="006B21CE"/>
    <w:rsid w:val="006B2210"/>
    <w:rsid w:val="006B277F"/>
    <w:rsid w:val="006B34B4"/>
    <w:rsid w:val="006B415F"/>
    <w:rsid w:val="006B5302"/>
    <w:rsid w:val="006B5327"/>
    <w:rsid w:val="006B5FEE"/>
    <w:rsid w:val="006B61FB"/>
    <w:rsid w:val="006B79A7"/>
    <w:rsid w:val="006B7FF2"/>
    <w:rsid w:val="006C0714"/>
    <w:rsid w:val="006C079A"/>
    <w:rsid w:val="006C0ED2"/>
    <w:rsid w:val="006C14A5"/>
    <w:rsid w:val="006C2AD2"/>
    <w:rsid w:val="006C60C5"/>
    <w:rsid w:val="006C61C0"/>
    <w:rsid w:val="006D05C4"/>
    <w:rsid w:val="006D1226"/>
    <w:rsid w:val="006D1542"/>
    <w:rsid w:val="006D1A5A"/>
    <w:rsid w:val="006D28B8"/>
    <w:rsid w:val="006D3350"/>
    <w:rsid w:val="006D3408"/>
    <w:rsid w:val="006D3FCF"/>
    <w:rsid w:val="006D64B7"/>
    <w:rsid w:val="006D7096"/>
    <w:rsid w:val="006D7E14"/>
    <w:rsid w:val="006E0D3C"/>
    <w:rsid w:val="006E1000"/>
    <w:rsid w:val="006E3815"/>
    <w:rsid w:val="006E41AA"/>
    <w:rsid w:val="006E5015"/>
    <w:rsid w:val="006E56C4"/>
    <w:rsid w:val="006E67DF"/>
    <w:rsid w:val="006F0F8D"/>
    <w:rsid w:val="006F2D83"/>
    <w:rsid w:val="006F3F2A"/>
    <w:rsid w:val="006F5841"/>
    <w:rsid w:val="006F5EDA"/>
    <w:rsid w:val="006F6778"/>
    <w:rsid w:val="006F68F6"/>
    <w:rsid w:val="006F71E1"/>
    <w:rsid w:val="006F72BB"/>
    <w:rsid w:val="00700482"/>
    <w:rsid w:val="007004A8"/>
    <w:rsid w:val="007008D1"/>
    <w:rsid w:val="00703873"/>
    <w:rsid w:val="00706942"/>
    <w:rsid w:val="00706C70"/>
    <w:rsid w:val="0070779F"/>
    <w:rsid w:val="00707F49"/>
    <w:rsid w:val="007107F4"/>
    <w:rsid w:val="007124EF"/>
    <w:rsid w:val="00712A27"/>
    <w:rsid w:val="00713AB4"/>
    <w:rsid w:val="007149E9"/>
    <w:rsid w:val="00716512"/>
    <w:rsid w:val="0071736E"/>
    <w:rsid w:val="007213C6"/>
    <w:rsid w:val="00721B78"/>
    <w:rsid w:val="00721D32"/>
    <w:rsid w:val="00724DF3"/>
    <w:rsid w:val="00725DC7"/>
    <w:rsid w:val="00726C05"/>
    <w:rsid w:val="007276E5"/>
    <w:rsid w:val="0072774E"/>
    <w:rsid w:val="00727C4E"/>
    <w:rsid w:val="00727CC5"/>
    <w:rsid w:val="00730011"/>
    <w:rsid w:val="0073091A"/>
    <w:rsid w:val="00732C6B"/>
    <w:rsid w:val="00732E32"/>
    <w:rsid w:val="007335EB"/>
    <w:rsid w:val="007336A9"/>
    <w:rsid w:val="00733FCE"/>
    <w:rsid w:val="00734546"/>
    <w:rsid w:val="00734887"/>
    <w:rsid w:val="00734AFE"/>
    <w:rsid w:val="0073564D"/>
    <w:rsid w:val="0073653F"/>
    <w:rsid w:val="00736DAA"/>
    <w:rsid w:val="00740B92"/>
    <w:rsid w:val="00741E76"/>
    <w:rsid w:val="007430AC"/>
    <w:rsid w:val="007431D2"/>
    <w:rsid w:val="007432B4"/>
    <w:rsid w:val="007437FD"/>
    <w:rsid w:val="007447B8"/>
    <w:rsid w:val="00745CDE"/>
    <w:rsid w:val="00747F33"/>
    <w:rsid w:val="007507BD"/>
    <w:rsid w:val="007508F1"/>
    <w:rsid w:val="007526B2"/>
    <w:rsid w:val="0075421E"/>
    <w:rsid w:val="00754C19"/>
    <w:rsid w:val="007571D5"/>
    <w:rsid w:val="007575B4"/>
    <w:rsid w:val="00757B4C"/>
    <w:rsid w:val="00760146"/>
    <w:rsid w:val="00760273"/>
    <w:rsid w:val="00763C94"/>
    <w:rsid w:val="00763D98"/>
    <w:rsid w:val="00763EDE"/>
    <w:rsid w:val="00764400"/>
    <w:rsid w:val="00764D5D"/>
    <w:rsid w:val="00764E14"/>
    <w:rsid w:val="007652B3"/>
    <w:rsid w:val="00765837"/>
    <w:rsid w:val="00765AC0"/>
    <w:rsid w:val="00766179"/>
    <w:rsid w:val="007664F2"/>
    <w:rsid w:val="007669C6"/>
    <w:rsid w:val="007672C9"/>
    <w:rsid w:val="00767562"/>
    <w:rsid w:val="0077181F"/>
    <w:rsid w:val="00773600"/>
    <w:rsid w:val="0077683B"/>
    <w:rsid w:val="007768D2"/>
    <w:rsid w:val="00777563"/>
    <w:rsid w:val="007777A5"/>
    <w:rsid w:val="00777847"/>
    <w:rsid w:val="0077787E"/>
    <w:rsid w:val="007800F9"/>
    <w:rsid w:val="0078013F"/>
    <w:rsid w:val="0078424F"/>
    <w:rsid w:val="00785116"/>
    <w:rsid w:val="00786CAC"/>
    <w:rsid w:val="00787275"/>
    <w:rsid w:val="00787EE0"/>
    <w:rsid w:val="00790896"/>
    <w:rsid w:val="007917E5"/>
    <w:rsid w:val="0079265F"/>
    <w:rsid w:val="007935D7"/>
    <w:rsid w:val="00794351"/>
    <w:rsid w:val="00795CA8"/>
    <w:rsid w:val="00796911"/>
    <w:rsid w:val="00797017"/>
    <w:rsid w:val="007972AC"/>
    <w:rsid w:val="00797AAF"/>
    <w:rsid w:val="007A0DCB"/>
    <w:rsid w:val="007A151A"/>
    <w:rsid w:val="007A201D"/>
    <w:rsid w:val="007A430A"/>
    <w:rsid w:val="007A5BB5"/>
    <w:rsid w:val="007A64BB"/>
    <w:rsid w:val="007A668B"/>
    <w:rsid w:val="007A69EB"/>
    <w:rsid w:val="007A7202"/>
    <w:rsid w:val="007A745A"/>
    <w:rsid w:val="007A7E8C"/>
    <w:rsid w:val="007B0041"/>
    <w:rsid w:val="007B0305"/>
    <w:rsid w:val="007B15BB"/>
    <w:rsid w:val="007B19E3"/>
    <w:rsid w:val="007B3E97"/>
    <w:rsid w:val="007B3ED1"/>
    <w:rsid w:val="007B66E1"/>
    <w:rsid w:val="007B7284"/>
    <w:rsid w:val="007B7709"/>
    <w:rsid w:val="007B773E"/>
    <w:rsid w:val="007B7954"/>
    <w:rsid w:val="007C0570"/>
    <w:rsid w:val="007C27D4"/>
    <w:rsid w:val="007C3050"/>
    <w:rsid w:val="007C3B8A"/>
    <w:rsid w:val="007C3C74"/>
    <w:rsid w:val="007C5816"/>
    <w:rsid w:val="007C648B"/>
    <w:rsid w:val="007C7746"/>
    <w:rsid w:val="007C7CD2"/>
    <w:rsid w:val="007C7E18"/>
    <w:rsid w:val="007D294F"/>
    <w:rsid w:val="007D2A31"/>
    <w:rsid w:val="007D4DBC"/>
    <w:rsid w:val="007D5507"/>
    <w:rsid w:val="007D69F0"/>
    <w:rsid w:val="007D7890"/>
    <w:rsid w:val="007E159A"/>
    <w:rsid w:val="007E163F"/>
    <w:rsid w:val="007E3DD5"/>
    <w:rsid w:val="007E3E79"/>
    <w:rsid w:val="007E70DA"/>
    <w:rsid w:val="007E7AD3"/>
    <w:rsid w:val="007F27BF"/>
    <w:rsid w:val="007F2CF8"/>
    <w:rsid w:val="007F59BD"/>
    <w:rsid w:val="007F5BA7"/>
    <w:rsid w:val="007F64A2"/>
    <w:rsid w:val="007F65DF"/>
    <w:rsid w:val="008001BA"/>
    <w:rsid w:val="00802817"/>
    <w:rsid w:val="00802C90"/>
    <w:rsid w:val="0080367C"/>
    <w:rsid w:val="0080396C"/>
    <w:rsid w:val="008039B0"/>
    <w:rsid w:val="00803C62"/>
    <w:rsid w:val="008042C8"/>
    <w:rsid w:val="00805521"/>
    <w:rsid w:val="0080619A"/>
    <w:rsid w:val="008072BB"/>
    <w:rsid w:val="00807750"/>
    <w:rsid w:val="00807BE6"/>
    <w:rsid w:val="00807C1B"/>
    <w:rsid w:val="0081167F"/>
    <w:rsid w:val="0081257E"/>
    <w:rsid w:val="00813571"/>
    <w:rsid w:val="00814173"/>
    <w:rsid w:val="008146CF"/>
    <w:rsid w:val="00814E47"/>
    <w:rsid w:val="0081503B"/>
    <w:rsid w:val="0081633B"/>
    <w:rsid w:val="00816D4E"/>
    <w:rsid w:val="0081762F"/>
    <w:rsid w:val="00817DC3"/>
    <w:rsid w:val="0082105C"/>
    <w:rsid w:val="00821206"/>
    <w:rsid w:val="008218DC"/>
    <w:rsid w:val="008225FA"/>
    <w:rsid w:val="00823F9A"/>
    <w:rsid w:val="00826558"/>
    <w:rsid w:val="00827598"/>
    <w:rsid w:val="00831B5A"/>
    <w:rsid w:val="008328BD"/>
    <w:rsid w:val="008335D5"/>
    <w:rsid w:val="0083375B"/>
    <w:rsid w:val="008350BF"/>
    <w:rsid w:val="00835B74"/>
    <w:rsid w:val="0083673E"/>
    <w:rsid w:val="00836857"/>
    <w:rsid w:val="00836A2D"/>
    <w:rsid w:val="00840939"/>
    <w:rsid w:val="0084201F"/>
    <w:rsid w:val="0084482D"/>
    <w:rsid w:val="00844AB4"/>
    <w:rsid w:val="00844F25"/>
    <w:rsid w:val="0084636C"/>
    <w:rsid w:val="00846378"/>
    <w:rsid w:val="00846380"/>
    <w:rsid w:val="00847361"/>
    <w:rsid w:val="00847F3B"/>
    <w:rsid w:val="008504F8"/>
    <w:rsid w:val="00850B8C"/>
    <w:rsid w:val="00851A2A"/>
    <w:rsid w:val="008536EB"/>
    <w:rsid w:val="00853802"/>
    <w:rsid w:val="00853A7B"/>
    <w:rsid w:val="00854874"/>
    <w:rsid w:val="00854A10"/>
    <w:rsid w:val="00854F70"/>
    <w:rsid w:val="00856B6D"/>
    <w:rsid w:val="00857624"/>
    <w:rsid w:val="008579DF"/>
    <w:rsid w:val="008600FE"/>
    <w:rsid w:val="00861B35"/>
    <w:rsid w:val="00861FBE"/>
    <w:rsid w:val="00862282"/>
    <w:rsid w:val="00864D66"/>
    <w:rsid w:val="00866C6A"/>
    <w:rsid w:val="00867AC6"/>
    <w:rsid w:val="00870DFA"/>
    <w:rsid w:val="00872752"/>
    <w:rsid w:val="00872A9F"/>
    <w:rsid w:val="008734CE"/>
    <w:rsid w:val="00874516"/>
    <w:rsid w:val="008746BF"/>
    <w:rsid w:val="00876633"/>
    <w:rsid w:val="00876A74"/>
    <w:rsid w:val="0087798D"/>
    <w:rsid w:val="0088089E"/>
    <w:rsid w:val="00882389"/>
    <w:rsid w:val="008827B2"/>
    <w:rsid w:val="0088428E"/>
    <w:rsid w:val="0089094D"/>
    <w:rsid w:val="00890A23"/>
    <w:rsid w:val="00891A91"/>
    <w:rsid w:val="00893C5E"/>
    <w:rsid w:val="008978D3"/>
    <w:rsid w:val="00897DC8"/>
    <w:rsid w:val="008A2624"/>
    <w:rsid w:val="008A2C6F"/>
    <w:rsid w:val="008A2DF7"/>
    <w:rsid w:val="008A419A"/>
    <w:rsid w:val="008A4913"/>
    <w:rsid w:val="008A559F"/>
    <w:rsid w:val="008A79B1"/>
    <w:rsid w:val="008B050B"/>
    <w:rsid w:val="008B0E8D"/>
    <w:rsid w:val="008B16CE"/>
    <w:rsid w:val="008B37C6"/>
    <w:rsid w:val="008B3AD6"/>
    <w:rsid w:val="008B48E6"/>
    <w:rsid w:val="008B4A7C"/>
    <w:rsid w:val="008B4F55"/>
    <w:rsid w:val="008B676C"/>
    <w:rsid w:val="008B689A"/>
    <w:rsid w:val="008B7B50"/>
    <w:rsid w:val="008B7E0D"/>
    <w:rsid w:val="008B7F6D"/>
    <w:rsid w:val="008C0260"/>
    <w:rsid w:val="008C0A20"/>
    <w:rsid w:val="008C187B"/>
    <w:rsid w:val="008C191A"/>
    <w:rsid w:val="008C1ADE"/>
    <w:rsid w:val="008C2C23"/>
    <w:rsid w:val="008C2DE5"/>
    <w:rsid w:val="008C35DC"/>
    <w:rsid w:val="008C3E1E"/>
    <w:rsid w:val="008C4E0F"/>
    <w:rsid w:val="008C6167"/>
    <w:rsid w:val="008C6244"/>
    <w:rsid w:val="008C6EEB"/>
    <w:rsid w:val="008D007C"/>
    <w:rsid w:val="008D068F"/>
    <w:rsid w:val="008D24A6"/>
    <w:rsid w:val="008D273B"/>
    <w:rsid w:val="008D3004"/>
    <w:rsid w:val="008D59B2"/>
    <w:rsid w:val="008D62E8"/>
    <w:rsid w:val="008D6AD6"/>
    <w:rsid w:val="008D7D18"/>
    <w:rsid w:val="008E164D"/>
    <w:rsid w:val="008E1963"/>
    <w:rsid w:val="008E1C4F"/>
    <w:rsid w:val="008E3B05"/>
    <w:rsid w:val="008E455B"/>
    <w:rsid w:val="008E548A"/>
    <w:rsid w:val="008E7181"/>
    <w:rsid w:val="008F2EA9"/>
    <w:rsid w:val="008F4415"/>
    <w:rsid w:val="008F448C"/>
    <w:rsid w:val="008F49FF"/>
    <w:rsid w:val="008F70C0"/>
    <w:rsid w:val="008F7280"/>
    <w:rsid w:val="008F7EBD"/>
    <w:rsid w:val="00900E2C"/>
    <w:rsid w:val="009018E9"/>
    <w:rsid w:val="00902916"/>
    <w:rsid w:val="009035D7"/>
    <w:rsid w:val="00903783"/>
    <w:rsid w:val="0090500D"/>
    <w:rsid w:val="00905BE7"/>
    <w:rsid w:val="00907634"/>
    <w:rsid w:val="00907AE3"/>
    <w:rsid w:val="0091110F"/>
    <w:rsid w:val="0091156C"/>
    <w:rsid w:val="00913D95"/>
    <w:rsid w:val="00914476"/>
    <w:rsid w:val="00914D26"/>
    <w:rsid w:val="00916F70"/>
    <w:rsid w:val="009205CE"/>
    <w:rsid w:val="00920849"/>
    <w:rsid w:val="00920AB2"/>
    <w:rsid w:val="009212C5"/>
    <w:rsid w:val="00921C9E"/>
    <w:rsid w:val="0092235B"/>
    <w:rsid w:val="009226BC"/>
    <w:rsid w:val="00922946"/>
    <w:rsid w:val="00923B41"/>
    <w:rsid w:val="009244B1"/>
    <w:rsid w:val="00925B25"/>
    <w:rsid w:val="009260B0"/>
    <w:rsid w:val="0092697E"/>
    <w:rsid w:val="00926AC6"/>
    <w:rsid w:val="00931CBD"/>
    <w:rsid w:val="0093208C"/>
    <w:rsid w:val="00932E5D"/>
    <w:rsid w:val="009341B8"/>
    <w:rsid w:val="00935418"/>
    <w:rsid w:val="009359DA"/>
    <w:rsid w:val="009360C2"/>
    <w:rsid w:val="009361EE"/>
    <w:rsid w:val="009363C9"/>
    <w:rsid w:val="0093761C"/>
    <w:rsid w:val="00937716"/>
    <w:rsid w:val="00937CFA"/>
    <w:rsid w:val="00937FB8"/>
    <w:rsid w:val="009404D8"/>
    <w:rsid w:val="00940AA4"/>
    <w:rsid w:val="009429D5"/>
    <w:rsid w:val="00942CDF"/>
    <w:rsid w:val="00943623"/>
    <w:rsid w:val="0094367E"/>
    <w:rsid w:val="0094537F"/>
    <w:rsid w:val="00946318"/>
    <w:rsid w:val="00947242"/>
    <w:rsid w:val="00950752"/>
    <w:rsid w:val="00950E7F"/>
    <w:rsid w:val="00951768"/>
    <w:rsid w:val="00951B5A"/>
    <w:rsid w:val="009546A0"/>
    <w:rsid w:val="00955201"/>
    <w:rsid w:val="009559A5"/>
    <w:rsid w:val="00955BC7"/>
    <w:rsid w:val="00960670"/>
    <w:rsid w:val="00960750"/>
    <w:rsid w:val="00961E7B"/>
    <w:rsid w:val="00963D35"/>
    <w:rsid w:val="00964135"/>
    <w:rsid w:val="009647B5"/>
    <w:rsid w:val="00964C2C"/>
    <w:rsid w:val="00964C55"/>
    <w:rsid w:val="009653B4"/>
    <w:rsid w:val="00965778"/>
    <w:rsid w:val="00967087"/>
    <w:rsid w:val="00970373"/>
    <w:rsid w:val="00971EA5"/>
    <w:rsid w:val="00973425"/>
    <w:rsid w:val="009759D8"/>
    <w:rsid w:val="00975DD2"/>
    <w:rsid w:val="00976D62"/>
    <w:rsid w:val="00977CE8"/>
    <w:rsid w:val="00980300"/>
    <w:rsid w:val="00980B19"/>
    <w:rsid w:val="00980C12"/>
    <w:rsid w:val="009826BC"/>
    <w:rsid w:val="00984562"/>
    <w:rsid w:val="00984781"/>
    <w:rsid w:val="009852E9"/>
    <w:rsid w:val="00985313"/>
    <w:rsid w:val="00986C3C"/>
    <w:rsid w:val="00987412"/>
    <w:rsid w:val="00990705"/>
    <w:rsid w:val="009907E3"/>
    <w:rsid w:val="009908DF"/>
    <w:rsid w:val="00991544"/>
    <w:rsid w:val="0099367B"/>
    <w:rsid w:val="00993A7E"/>
    <w:rsid w:val="00993E4A"/>
    <w:rsid w:val="00993EFA"/>
    <w:rsid w:val="0099499B"/>
    <w:rsid w:val="00994BB2"/>
    <w:rsid w:val="0099538C"/>
    <w:rsid w:val="00995558"/>
    <w:rsid w:val="0099658C"/>
    <w:rsid w:val="009974E5"/>
    <w:rsid w:val="009974F7"/>
    <w:rsid w:val="00997CC9"/>
    <w:rsid w:val="009A118E"/>
    <w:rsid w:val="009A14DA"/>
    <w:rsid w:val="009A18A5"/>
    <w:rsid w:val="009A3A7D"/>
    <w:rsid w:val="009A4294"/>
    <w:rsid w:val="009A525B"/>
    <w:rsid w:val="009A5394"/>
    <w:rsid w:val="009A5D86"/>
    <w:rsid w:val="009A5E50"/>
    <w:rsid w:val="009A742E"/>
    <w:rsid w:val="009B0A44"/>
    <w:rsid w:val="009B20F5"/>
    <w:rsid w:val="009B33A7"/>
    <w:rsid w:val="009B3B75"/>
    <w:rsid w:val="009B419F"/>
    <w:rsid w:val="009B4279"/>
    <w:rsid w:val="009B44D0"/>
    <w:rsid w:val="009B6148"/>
    <w:rsid w:val="009B68B2"/>
    <w:rsid w:val="009B6D9E"/>
    <w:rsid w:val="009B7235"/>
    <w:rsid w:val="009C0D0D"/>
    <w:rsid w:val="009C0D45"/>
    <w:rsid w:val="009C0EBE"/>
    <w:rsid w:val="009C3479"/>
    <w:rsid w:val="009C40D6"/>
    <w:rsid w:val="009C433A"/>
    <w:rsid w:val="009C4EC6"/>
    <w:rsid w:val="009C5184"/>
    <w:rsid w:val="009C579F"/>
    <w:rsid w:val="009C691E"/>
    <w:rsid w:val="009C6BD7"/>
    <w:rsid w:val="009C74AC"/>
    <w:rsid w:val="009C7A2B"/>
    <w:rsid w:val="009D0D7F"/>
    <w:rsid w:val="009D2AAA"/>
    <w:rsid w:val="009D343E"/>
    <w:rsid w:val="009D36A6"/>
    <w:rsid w:val="009D595E"/>
    <w:rsid w:val="009D63E7"/>
    <w:rsid w:val="009D72CC"/>
    <w:rsid w:val="009D7BF2"/>
    <w:rsid w:val="009E045D"/>
    <w:rsid w:val="009E1650"/>
    <w:rsid w:val="009E2469"/>
    <w:rsid w:val="009E2A51"/>
    <w:rsid w:val="009E2B0D"/>
    <w:rsid w:val="009E3813"/>
    <w:rsid w:val="009E421E"/>
    <w:rsid w:val="009E42A0"/>
    <w:rsid w:val="009E602D"/>
    <w:rsid w:val="009E62F9"/>
    <w:rsid w:val="009F0C03"/>
    <w:rsid w:val="009F0F26"/>
    <w:rsid w:val="009F1314"/>
    <w:rsid w:val="009F193B"/>
    <w:rsid w:val="009F282A"/>
    <w:rsid w:val="009F3652"/>
    <w:rsid w:val="009F3891"/>
    <w:rsid w:val="009F3CCB"/>
    <w:rsid w:val="009F44E0"/>
    <w:rsid w:val="009F5208"/>
    <w:rsid w:val="009F5C55"/>
    <w:rsid w:val="009F68F3"/>
    <w:rsid w:val="009F721D"/>
    <w:rsid w:val="009F7574"/>
    <w:rsid w:val="009F7770"/>
    <w:rsid w:val="00A003E5"/>
    <w:rsid w:val="00A00E94"/>
    <w:rsid w:val="00A017F2"/>
    <w:rsid w:val="00A01971"/>
    <w:rsid w:val="00A04A4A"/>
    <w:rsid w:val="00A05DEA"/>
    <w:rsid w:val="00A0690A"/>
    <w:rsid w:val="00A06D4E"/>
    <w:rsid w:val="00A0726E"/>
    <w:rsid w:val="00A07974"/>
    <w:rsid w:val="00A10CCC"/>
    <w:rsid w:val="00A1103A"/>
    <w:rsid w:val="00A11296"/>
    <w:rsid w:val="00A12C88"/>
    <w:rsid w:val="00A1391F"/>
    <w:rsid w:val="00A13AD3"/>
    <w:rsid w:val="00A15BF5"/>
    <w:rsid w:val="00A16688"/>
    <w:rsid w:val="00A17427"/>
    <w:rsid w:val="00A17E0E"/>
    <w:rsid w:val="00A20432"/>
    <w:rsid w:val="00A207CB"/>
    <w:rsid w:val="00A221B7"/>
    <w:rsid w:val="00A239BE"/>
    <w:rsid w:val="00A239C8"/>
    <w:rsid w:val="00A27211"/>
    <w:rsid w:val="00A2728A"/>
    <w:rsid w:val="00A27C9B"/>
    <w:rsid w:val="00A3085B"/>
    <w:rsid w:val="00A30D68"/>
    <w:rsid w:val="00A317E7"/>
    <w:rsid w:val="00A31A32"/>
    <w:rsid w:val="00A3311B"/>
    <w:rsid w:val="00A33162"/>
    <w:rsid w:val="00A33E4C"/>
    <w:rsid w:val="00A34A78"/>
    <w:rsid w:val="00A35464"/>
    <w:rsid w:val="00A3589A"/>
    <w:rsid w:val="00A35EB8"/>
    <w:rsid w:val="00A36FFF"/>
    <w:rsid w:val="00A4063A"/>
    <w:rsid w:val="00A407CD"/>
    <w:rsid w:val="00A409DD"/>
    <w:rsid w:val="00A43ABB"/>
    <w:rsid w:val="00A45831"/>
    <w:rsid w:val="00A5025C"/>
    <w:rsid w:val="00A50815"/>
    <w:rsid w:val="00A51355"/>
    <w:rsid w:val="00A5195B"/>
    <w:rsid w:val="00A52067"/>
    <w:rsid w:val="00A528AC"/>
    <w:rsid w:val="00A557A6"/>
    <w:rsid w:val="00A5673E"/>
    <w:rsid w:val="00A57036"/>
    <w:rsid w:val="00A604DF"/>
    <w:rsid w:val="00A61229"/>
    <w:rsid w:val="00A61D4A"/>
    <w:rsid w:val="00A61F78"/>
    <w:rsid w:val="00A62F93"/>
    <w:rsid w:val="00A64F0F"/>
    <w:rsid w:val="00A653B0"/>
    <w:rsid w:val="00A661C0"/>
    <w:rsid w:val="00A67052"/>
    <w:rsid w:val="00A67D02"/>
    <w:rsid w:val="00A71CE8"/>
    <w:rsid w:val="00A71D05"/>
    <w:rsid w:val="00A73371"/>
    <w:rsid w:val="00A7457A"/>
    <w:rsid w:val="00A7717D"/>
    <w:rsid w:val="00A7794B"/>
    <w:rsid w:val="00A77A1B"/>
    <w:rsid w:val="00A807EB"/>
    <w:rsid w:val="00A80B7E"/>
    <w:rsid w:val="00A81114"/>
    <w:rsid w:val="00A82081"/>
    <w:rsid w:val="00A82C9E"/>
    <w:rsid w:val="00A830C4"/>
    <w:rsid w:val="00A837EA"/>
    <w:rsid w:val="00A83CA9"/>
    <w:rsid w:val="00A83DE6"/>
    <w:rsid w:val="00A851C2"/>
    <w:rsid w:val="00A867B2"/>
    <w:rsid w:val="00A90516"/>
    <w:rsid w:val="00A918C9"/>
    <w:rsid w:val="00A92560"/>
    <w:rsid w:val="00A92951"/>
    <w:rsid w:val="00A93EAD"/>
    <w:rsid w:val="00A96A2B"/>
    <w:rsid w:val="00A97667"/>
    <w:rsid w:val="00AA30FE"/>
    <w:rsid w:val="00AA39C5"/>
    <w:rsid w:val="00AA3F06"/>
    <w:rsid w:val="00AA437E"/>
    <w:rsid w:val="00AA4A3F"/>
    <w:rsid w:val="00AA5A7A"/>
    <w:rsid w:val="00AB033D"/>
    <w:rsid w:val="00AB099A"/>
    <w:rsid w:val="00AB107C"/>
    <w:rsid w:val="00AB1D84"/>
    <w:rsid w:val="00AB2F48"/>
    <w:rsid w:val="00AB432D"/>
    <w:rsid w:val="00AB685F"/>
    <w:rsid w:val="00AB6C49"/>
    <w:rsid w:val="00AC0C62"/>
    <w:rsid w:val="00AC16B8"/>
    <w:rsid w:val="00AC1AC6"/>
    <w:rsid w:val="00AC1D14"/>
    <w:rsid w:val="00AC202A"/>
    <w:rsid w:val="00AC34BD"/>
    <w:rsid w:val="00AC355D"/>
    <w:rsid w:val="00AC36D0"/>
    <w:rsid w:val="00AC4F56"/>
    <w:rsid w:val="00AC5C27"/>
    <w:rsid w:val="00AC6138"/>
    <w:rsid w:val="00AC6239"/>
    <w:rsid w:val="00AC681F"/>
    <w:rsid w:val="00AC6E85"/>
    <w:rsid w:val="00AD02A9"/>
    <w:rsid w:val="00AD07FF"/>
    <w:rsid w:val="00AD2408"/>
    <w:rsid w:val="00AD2B15"/>
    <w:rsid w:val="00AD348A"/>
    <w:rsid w:val="00AD3B13"/>
    <w:rsid w:val="00AD3DAB"/>
    <w:rsid w:val="00AD5919"/>
    <w:rsid w:val="00AD5CF2"/>
    <w:rsid w:val="00AD6D5C"/>
    <w:rsid w:val="00AD707E"/>
    <w:rsid w:val="00AD7EA8"/>
    <w:rsid w:val="00AE22F7"/>
    <w:rsid w:val="00AE38E7"/>
    <w:rsid w:val="00AE6073"/>
    <w:rsid w:val="00AF2F5F"/>
    <w:rsid w:val="00AF3B39"/>
    <w:rsid w:val="00AF3E75"/>
    <w:rsid w:val="00AF418E"/>
    <w:rsid w:val="00AF4FE5"/>
    <w:rsid w:val="00AF5F8C"/>
    <w:rsid w:val="00AF603D"/>
    <w:rsid w:val="00AF6EA8"/>
    <w:rsid w:val="00AF6EF2"/>
    <w:rsid w:val="00AF7157"/>
    <w:rsid w:val="00B001FC"/>
    <w:rsid w:val="00B00776"/>
    <w:rsid w:val="00B01BDE"/>
    <w:rsid w:val="00B01E03"/>
    <w:rsid w:val="00B029F6"/>
    <w:rsid w:val="00B02A17"/>
    <w:rsid w:val="00B03225"/>
    <w:rsid w:val="00B034E4"/>
    <w:rsid w:val="00B03750"/>
    <w:rsid w:val="00B03FC3"/>
    <w:rsid w:val="00B04459"/>
    <w:rsid w:val="00B04BF7"/>
    <w:rsid w:val="00B07391"/>
    <w:rsid w:val="00B07539"/>
    <w:rsid w:val="00B07590"/>
    <w:rsid w:val="00B07687"/>
    <w:rsid w:val="00B07D03"/>
    <w:rsid w:val="00B104CB"/>
    <w:rsid w:val="00B111B9"/>
    <w:rsid w:val="00B12405"/>
    <w:rsid w:val="00B126C3"/>
    <w:rsid w:val="00B12AC5"/>
    <w:rsid w:val="00B12EB3"/>
    <w:rsid w:val="00B1394B"/>
    <w:rsid w:val="00B14C04"/>
    <w:rsid w:val="00B15293"/>
    <w:rsid w:val="00B158DF"/>
    <w:rsid w:val="00B15A24"/>
    <w:rsid w:val="00B16509"/>
    <w:rsid w:val="00B16637"/>
    <w:rsid w:val="00B16A57"/>
    <w:rsid w:val="00B1746C"/>
    <w:rsid w:val="00B20B17"/>
    <w:rsid w:val="00B21C04"/>
    <w:rsid w:val="00B21C85"/>
    <w:rsid w:val="00B22FE0"/>
    <w:rsid w:val="00B235D1"/>
    <w:rsid w:val="00B2361E"/>
    <w:rsid w:val="00B2380F"/>
    <w:rsid w:val="00B23A39"/>
    <w:rsid w:val="00B247BD"/>
    <w:rsid w:val="00B24E6A"/>
    <w:rsid w:val="00B2600C"/>
    <w:rsid w:val="00B2615D"/>
    <w:rsid w:val="00B3037A"/>
    <w:rsid w:val="00B30640"/>
    <w:rsid w:val="00B309E7"/>
    <w:rsid w:val="00B31223"/>
    <w:rsid w:val="00B3217F"/>
    <w:rsid w:val="00B32BBA"/>
    <w:rsid w:val="00B33095"/>
    <w:rsid w:val="00B335B0"/>
    <w:rsid w:val="00B34008"/>
    <w:rsid w:val="00B350D5"/>
    <w:rsid w:val="00B37004"/>
    <w:rsid w:val="00B37323"/>
    <w:rsid w:val="00B37341"/>
    <w:rsid w:val="00B373CB"/>
    <w:rsid w:val="00B375F4"/>
    <w:rsid w:val="00B37F1E"/>
    <w:rsid w:val="00B40398"/>
    <w:rsid w:val="00B40675"/>
    <w:rsid w:val="00B4188C"/>
    <w:rsid w:val="00B41B61"/>
    <w:rsid w:val="00B420F2"/>
    <w:rsid w:val="00B4241E"/>
    <w:rsid w:val="00B4287A"/>
    <w:rsid w:val="00B42C09"/>
    <w:rsid w:val="00B43109"/>
    <w:rsid w:val="00B4318D"/>
    <w:rsid w:val="00B454C6"/>
    <w:rsid w:val="00B47300"/>
    <w:rsid w:val="00B47C1E"/>
    <w:rsid w:val="00B52BD4"/>
    <w:rsid w:val="00B52F30"/>
    <w:rsid w:val="00B53D47"/>
    <w:rsid w:val="00B54868"/>
    <w:rsid w:val="00B56A42"/>
    <w:rsid w:val="00B60D30"/>
    <w:rsid w:val="00B623B8"/>
    <w:rsid w:val="00B64613"/>
    <w:rsid w:val="00B65100"/>
    <w:rsid w:val="00B67DB2"/>
    <w:rsid w:val="00B70204"/>
    <w:rsid w:val="00B7069A"/>
    <w:rsid w:val="00B71655"/>
    <w:rsid w:val="00B71F1B"/>
    <w:rsid w:val="00B73692"/>
    <w:rsid w:val="00B73E3F"/>
    <w:rsid w:val="00B7406C"/>
    <w:rsid w:val="00B74632"/>
    <w:rsid w:val="00B7469A"/>
    <w:rsid w:val="00B752B9"/>
    <w:rsid w:val="00B76CED"/>
    <w:rsid w:val="00B76FB8"/>
    <w:rsid w:val="00B77187"/>
    <w:rsid w:val="00B80773"/>
    <w:rsid w:val="00B8140D"/>
    <w:rsid w:val="00B819DC"/>
    <w:rsid w:val="00B822E8"/>
    <w:rsid w:val="00B83107"/>
    <w:rsid w:val="00B85284"/>
    <w:rsid w:val="00B856C2"/>
    <w:rsid w:val="00B85B21"/>
    <w:rsid w:val="00B85DE6"/>
    <w:rsid w:val="00B86487"/>
    <w:rsid w:val="00B86D87"/>
    <w:rsid w:val="00B87388"/>
    <w:rsid w:val="00B87433"/>
    <w:rsid w:val="00B9052A"/>
    <w:rsid w:val="00B93121"/>
    <w:rsid w:val="00B94284"/>
    <w:rsid w:val="00B94840"/>
    <w:rsid w:val="00B949ED"/>
    <w:rsid w:val="00B94EA2"/>
    <w:rsid w:val="00B94FA0"/>
    <w:rsid w:val="00B95370"/>
    <w:rsid w:val="00B95664"/>
    <w:rsid w:val="00B96E93"/>
    <w:rsid w:val="00BA00A8"/>
    <w:rsid w:val="00BA0B72"/>
    <w:rsid w:val="00BA30C4"/>
    <w:rsid w:val="00BA458A"/>
    <w:rsid w:val="00BA4680"/>
    <w:rsid w:val="00BA5683"/>
    <w:rsid w:val="00BA6D6E"/>
    <w:rsid w:val="00BA798C"/>
    <w:rsid w:val="00BB0BC4"/>
    <w:rsid w:val="00BB1352"/>
    <w:rsid w:val="00BB1B67"/>
    <w:rsid w:val="00BB348C"/>
    <w:rsid w:val="00BB3D78"/>
    <w:rsid w:val="00BB4C47"/>
    <w:rsid w:val="00BB4FC5"/>
    <w:rsid w:val="00BB5A76"/>
    <w:rsid w:val="00BB7792"/>
    <w:rsid w:val="00BC0C49"/>
    <w:rsid w:val="00BC28E5"/>
    <w:rsid w:val="00BC2AFB"/>
    <w:rsid w:val="00BC4D08"/>
    <w:rsid w:val="00BC610B"/>
    <w:rsid w:val="00BC7019"/>
    <w:rsid w:val="00BD1791"/>
    <w:rsid w:val="00BD1D4D"/>
    <w:rsid w:val="00BD1DA2"/>
    <w:rsid w:val="00BD2645"/>
    <w:rsid w:val="00BD2BD3"/>
    <w:rsid w:val="00BD31FA"/>
    <w:rsid w:val="00BD4727"/>
    <w:rsid w:val="00BD48F8"/>
    <w:rsid w:val="00BD6ED7"/>
    <w:rsid w:val="00BE5C81"/>
    <w:rsid w:val="00BF01D8"/>
    <w:rsid w:val="00BF0E3B"/>
    <w:rsid w:val="00BF11F3"/>
    <w:rsid w:val="00BF14C7"/>
    <w:rsid w:val="00BF19E5"/>
    <w:rsid w:val="00BF2FC9"/>
    <w:rsid w:val="00BF3F88"/>
    <w:rsid w:val="00BF486A"/>
    <w:rsid w:val="00BF63C9"/>
    <w:rsid w:val="00BF6727"/>
    <w:rsid w:val="00BF695A"/>
    <w:rsid w:val="00BF71DF"/>
    <w:rsid w:val="00C00C06"/>
    <w:rsid w:val="00C0122B"/>
    <w:rsid w:val="00C024DA"/>
    <w:rsid w:val="00C02E0E"/>
    <w:rsid w:val="00C0396B"/>
    <w:rsid w:val="00C03E31"/>
    <w:rsid w:val="00C03F37"/>
    <w:rsid w:val="00C050BA"/>
    <w:rsid w:val="00C051DD"/>
    <w:rsid w:val="00C059AF"/>
    <w:rsid w:val="00C05DB0"/>
    <w:rsid w:val="00C0712C"/>
    <w:rsid w:val="00C07974"/>
    <w:rsid w:val="00C10C9D"/>
    <w:rsid w:val="00C1103C"/>
    <w:rsid w:val="00C1127E"/>
    <w:rsid w:val="00C116F3"/>
    <w:rsid w:val="00C1214C"/>
    <w:rsid w:val="00C12306"/>
    <w:rsid w:val="00C12789"/>
    <w:rsid w:val="00C127A8"/>
    <w:rsid w:val="00C14D93"/>
    <w:rsid w:val="00C17DE2"/>
    <w:rsid w:val="00C201E8"/>
    <w:rsid w:val="00C203A9"/>
    <w:rsid w:val="00C20804"/>
    <w:rsid w:val="00C22A40"/>
    <w:rsid w:val="00C22EB6"/>
    <w:rsid w:val="00C23509"/>
    <w:rsid w:val="00C23A44"/>
    <w:rsid w:val="00C243D7"/>
    <w:rsid w:val="00C247DD"/>
    <w:rsid w:val="00C24DDD"/>
    <w:rsid w:val="00C2579A"/>
    <w:rsid w:val="00C26058"/>
    <w:rsid w:val="00C26AA1"/>
    <w:rsid w:val="00C27580"/>
    <w:rsid w:val="00C27833"/>
    <w:rsid w:val="00C30118"/>
    <w:rsid w:val="00C3123D"/>
    <w:rsid w:val="00C3250D"/>
    <w:rsid w:val="00C326A5"/>
    <w:rsid w:val="00C32884"/>
    <w:rsid w:val="00C3378C"/>
    <w:rsid w:val="00C33901"/>
    <w:rsid w:val="00C34F0B"/>
    <w:rsid w:val="00C353CE"/>
    <w:rsid w:val="00C36369"/>
    <w:rsid w:val="00C3653B"/>
    <w:rsid w:val="00C36E2C"/>
    <w:rsid w:val="00C37685"/>
    <w:rsid w:val="00C37B08"/>
    <w:rsid w:val="00C40FF4"/>
    <w:rsid w:val="00C41602"/>
    <w:rsid w:val="00C41611"/>
    <w:rsid w:val="00C42B61"/>
    <w:rsid w:val="00C436D9"/>
    <w:rsid w:val="00C44896"/>
    <w:rsid w:val="00C47296"/>
    <w:rsid w:val="00C472B1"/>
    <w:rsid w:val="00C479B6"/>
    <w:rsid w:val="00C5263D"/>
    <w:rsid w:val="00C5279E"/>
    <w:rsid w:val="00C5394C"/>
    <w:rsid w:val="00C53FFA"/>
    <w:rsid w:val="00C541BF"/>
    <w:rsid w:val="00C55606"/>
    <w:rsid w:val="00C5566F"/>
    <w:rsid w:val="00C5717E"/>
    <w:rsid w:val="00C575BD"/>
    <w:rsid w:val="00C60106"/>
    <w:rsid w:val="00C6155A"/>
    <w:rsid w:val="00C62257"/>
    <w:rsid w:val="00C6278A"/>
    <w:rsid w:val="00C638C0"/>
    <w:rsid w:val="00C63928"/>
    <w:rsid w:val="00C63B91"/>
    <w:rsid w:val="00C64AF2"/>
    <w:rsid w:val="00C64BC1"/>
    <w:rsid w:val="00C67683"/>
    <w:rsid w:val="00C679D2"/>
    <w:rsid w:val="00C71EF3"/>
    <w:rsid w:val="00C72729"/>
    <w:rsid w:val="00C72872"/>
    <w:rsid w:val="00C7353A"/>
    <w:rsid w:val="00C7417E"/>
    <w:rsid w:val="00C7422B"/>
    <w:rsid w:val="00C7494B"/>
    <w:rsid w:val="00C74D7B"/>
    <w:rsid w:val="00C75AA3"/>
    <w:rsid w:val="00C763CD"/>
    <w:rsid w:val="00C76A0A"/>
    <w:rsid w:val="00C77474"/>
    <w:rsid w:val="00C77A19"/>
    <w:rsid w:val="00C81114"/>
    <w:rsid w:val="00C822C9"/>
    <w:rsid w:val="00C8237F"/>
    <w:rsid w:val="00C8341C"/>
    <w:rsid w:val="00C841B2"/>
    <w:rsid w:val="00C84B12"/>
    <w:rsid w:val="00C84D02"/>
    <w:rsid w:val="00C84F0D"/>
    <w:rsid w:val="00C84FB7"/>
    <w:rsid w:val="00C85859"/>
    <w:rsid w:val="00C85C58"/>
    <w:rsid w:val="00C864AF"/>
    <w:rsid w:val="00C874AD"/>
    <w:rsid w:val="00C87773"/>
    <w:rsid w:val="00C90028"/>
    <w:rsid w:val="00C90ECA"/>
    <w:rsid w:val="00C92170"/>
    <w:rsid w:val="00C9380E"/>
    <w:rsid w:val="00C9462E"/>
    <w:rsid w:val="00C9464B"/>
    <w:rsid w:val="00C947B5"/>
    <w:rsid w:val="00C94D68"/>
    <w:rsid w:val="00C968FD"/>
    <w:rsid w:val="00C96CCA"/>
    <w:rsid w:val="00C96D5F"/>
    <w:rsid w:val="00C97BFD"/>
    <w:rsid w:val="00C97F11"/>
    <w:rsid w:val="00CA03D9"/>
    <w:rsid w:val="00CA19D7"/>
    <w:rsid w:val="00CA1A28"/>
    <w:rsid w:val="00CA1A36"/>
    <w:rsid w:val="00CA1F77"/>
    <w:rsid w:val="00CA23F8"/>
    <w:rsid w:val="00CA3CF7"/>
    <w:rsid w:val="00CA5247"/>
    <w:rsid w:val="00CA755B"/>
    <w:rsid w:val="00CB0CA3"/>
    <w:rsid w:val="00CB1063"/>
    <w:rsid w:val="00CB1182"/>
    <w:rsid w:val="00CB15CC"/>
    <w:rsid w:val="00CB1C46"/>
    <w:rsid w:val="00CB3448"/>
    <w:rsid w:val="00CB464D"/>
    <w:rsid w:val="00CB46B5"/>
    <w:rsid w:val="00CB4B94"/>
    <w:rsid w:val="00CB5A69"/>
    <w:rsid w:val="00CB63C6"/>
    <w:rsid w:val="00CB648F"/>
    <w:rsid w:val="00CB6B8D"/>
    <w:rsid w:val="00CB6E08"/>
    <w:rsid w:val="00CC0A0F"/>
    <w:rsid w:val="00CC1406"/>
    <w:rsid w:val="00CC1BF5"/>
    <w:rsid w:val="00CC25D9"/>
    <w:rsid w:val="00CC29E8"/>
    <w:rsid w:val="00CC3514"/>
    <w:rsid w:val="00CC3DD7"/>
    <w:rsid w:val="00CC5018"/>
    <w:rsid w:val="00CC521E"/>
    <w:rsid w:val="00CC5439"/>
    <w:rsid w:val="00CC6254"/>
    <w:rsid w:val="00CC6DE3"/>
    <w:rsid w:val="00CC7177"/>
    <w:rsid w:val="00CC7741"/>
    <w:rsid w:val="00CD00C6"/>
    <w:rsid w:val="00CD0B84"/>
    <w:rsid w:val="00CD0E5A"/>
    <w:rsid w:val="00CD1FD7"/>
    <w:rsid w:val="00CD261E"/>
    <w:rsid w:val="00CD325C"/>
    <w:rsid w:val="00CD36A3"/>
    <w:rsid w:val="00CD4353"/>
    <w:rsid w:val="00CD5D44"/>
    <w:rsid w:val="00CD5ED5"/>
    <w:rsid w:val="00CD63AE"/>
    <w:rsid w:val="00CD64D3"/>
    <w:rsid w:val="00CD759E"/>
    <w:rsid w:val="00CD7B9A"/>
    <w:rsid w:val="00CD7BB1"/>
    <w:rsid w:val="00CE0C33"/>
    <w:rsid w:val="00CE1EBD"/>
    <w:rsid w:val="00CE22B6"/>
    <w:rsid w:val="00CE2537"/>
    <w:rsid w:val="00CE2CDE"/>
    <w:rsid w:val="00CE3693"/>
    <w:rsid w:val="00CE3816"/>
    <w:rsid w:val="00CE3DF7"/>
    <w:rsid w:val="00CE3E9D"/>
    <w:rsid w:val="00CE4842"/>
    <w:rsid w:val="00CE59D2"/>
    <w:rsid w:val="00CE65FC"/>
    <w:rsid w:val="00CE6791"/>
    <w:rsid w:val="00CF0D2F"/>
    <w:rsid w:val="00CF2B02"/>
    <w:rsid w:val="00CF362E"/>
    <w:rsid w:val="00CF4557"/>
    <w:rsid w:val="00CF6885"/>
    <w:rsid w:val="00CF6CAD"/>
    <w:rsid w:val="00CF6D87"/>
    <w:rsid w:val="00CF7EA3"/>
    <w:rsid w:val="00D00172"/>
    <w:rsid w:val="00D00235"/>
    <w:rsid w:val="00D00935"/>
    <w:rsid w:val="00D0334A"/>
    <w:rsid w:val="00D03838"/>
    <w:rsid w:val="00D041E8"/>
    <w:rsid w:val="00D043DC"/>
    <w:rsid w:val="00D055E8"/>
    <w:rsid w:val="00D0587A"/>
    <w:rsid w:val="00D071D4"/>
    <w:rsid w:val="00D07BE6"/>
    <w:rsid w:val="00D10D4B"/>
    <w:rsid w:val="00D10EE7"/>
    <w:rsid w:val="00D1294F"/>
    <w:rsid w:val="00D129E0"/>
    <w:rsid w:val="00D15108"/>
    <w:rsid w:val="00D15DFD"/>
    <w:rsid w:val="00D15EB6"/>
    <w:rsid w:val="00D16A8D"/>
    <w:rsid w:val="00D17412"/>
    <w:rsid w:val="00D209B7"/>
    <w:rsid w:val="00D215B4"/>
    <w:rsid w:val="00D224D3"/>
    <w:rsid w:val="00D2385C"/>
    <w:rsid w:val="00D2519C"/>
    <w:rsid w:val="00D26C8B"/>
    <w:rsid w:val="00D27894"/>
    <w:rsid w:val="00D300F4"/>
    <w:rsid w:val="00D312CE"/>
    <w:rsid w:val="00D3159C"/>
    <w:rsid w:val="00D319C3"/>
    <w:rsid w:val="00D31A45"/>
    <w:rsid w:val="00D32500"/>
    <w:rsid w:val="00D32D8C"/>
    <w:rsid w:val="00D32DA4"/>
    <w:rsid w:val="00D40016"/>
    <w:rsid w:val="00D401FC"/>
    <w:rsid w:val="00D40663"/>
    <w:rsid w:val="00D412AE"/>
    <w:rsid w:val="00D421A6"/>
    <w:rsid w:val="00D42536"/>
    <w:rsid w:val="00D426F0"/>
    <w:rsid w:val="00D42703"/>
    <w:rsid w:val="00D42CCC"/>
    <w:rsid w:val="00D42FE8"/>
    <w:rsid w:val="00D44EFE"/>
    <w:rsid w:val="00D45F7F"/>
    <w:rsid w:val="00D463A2"/>
    <w:rsid w:val="00D47618"/>
    <w:rsid w:val="00D47AA2"/>
    <w:rsid w:val="00D50751"/>
    <w:rsid w:val="00D53068"/>
    <w:rsid w:val="00D54AB2"/>
    <w:rsid w:val="00D563E5"/>
    <w:rsid w:val="00D56BA1"/>
    <w:rsid w:val="00D604D2"/>
    <w:rsid w:val="00D60F6A"/>
    <w:rsid w:val="00D6154A"/>
    <w:rsid w:val="00D626D7"/>
    <w:rsid w:val="00D633A7"/>
    <w:rsid w:val="00D637BB"/>
    <w:rsid w:val="00D63F32"/>
    <w:rsid w:val="00D6544E"/>
    <w:rsid w:val="00D65715"/>
    <w:rsid w:val="00D65C63"/>
    <w:rsid w:val="00D6665F"/>
    <w:rsid w:val="00D67090"/>
    <w:rsid w:val="00D67F86"/>
    <w:rsid w:val="00D723BF"/>
    <w:rsid w:val="00D723E2"/>
    <w:rsid w:val="00D72A06"/>
    <w:rsid w:val="00D73493"/>
    <w:rsid w:val="00D739C0"/>
    <w:rsid w:val="00D741BD"/>
    <w:rsid w:val="00D74B58"/>
    <w:rsid w:val="00D7517D"/>
    <w:rsid w:val="00D755BE"/>
    <w:rsid w:val="00D75F01"/>
    <w:rsid w:val="00D76CE1"/>
    <w:rsid w:val="00D821CB"/>
    <w:rsid w:val="00D82335"/>
    <w:rsid w:val="00D83BEF"/>
    <w:rsid w:val="00D83C4C"/>
    <w:rsid w:val="00D83F0B"/>
    <w:rsid w:val="00D8566E"/>
    <w:rsid w:val="00D86256"/>
    <w:rsid w:val="00D869B0"/>
    <w:rsid w:val="00D869C5"/>
    <w:rsid w:val="00D87897"/>
    <w:rsid w:val="00D87B6C"/>
    <w:rsid w:val="00D90063"/>
    <w:rsid w:val="00D90CCB"/>
    <w:rsid w:val="00D91CDA"/>
    <w:rsid w:val="00D92360"/>
    <w:rsid w:val="00D9260D"/>
    <w:rsid w:val="00D93125"/>
    <w:rsid w:val="00D939EE"/>
    <w:rsid w:val="00D94E2E"/>
    <w:rsid w:val="00D953A3"/>
    <w:rsid w:val="00D95CCB"/>
    <w:rsid w:val="00D96F84"/>
    <w:rsid w:val="00DA032C"/>
    <w:rsid w:val="00DA045E"/>
    <w:rsid w:val="00DA1560"/>
    <w:rsid w:val="00DA16B1"/>
    <w:rsid w:val="00DA2D4F"/>
    <w:rsid w:val="00DA30B9"/>
    <w:rsid w:val="00DA33A2"/>
    <w:rsid w:val="00DA387A"/>
    <w:rsid w:val="00DA425A"/>
    <w:rsid w:val="00DA4646"/>
    <w:rsid w:val="00DA5089"/>
    <w:rsid w:val="00DA5F70"/>
    <w:rsid w:val="00DA642F"/>
    <w:rsid w:val="00DA6666"/>
    <w:rsid w:val="00DA6D73"/>
    <w:rsid w:val="00DA70BB"/>
    <w:rsid w:val="00DA778C"/>
    <w:rsid w:val="00DB0C2B"/>
    <w:rsid w:val="00DB1293"/>
    <w:rsid w:val="00DB16D4"/>
    <w:rsid w:val="00DB197B"/>
    <w:rsid w:val="00DB4C6A"/>
    <w:rsid w:val="00DB5315"/>
    <w:rsid w:val="00DB5848"/>
    <w:rsid w:val="00DB5B1D"/>
    <w:rsid w:val="00DB6755"/>
    <w:rsid w:val="00DC05D5"/>
    <w:rsid w:val="00DC0CBA"/>
    <w:rsid w:val="00DC1683"/>
    <w:rsid w:val="00DC29BE"/>
    <w:rsid w:val="00DC43B4"/>
    <w:rsid w:val="00DC65E3"/>
    <w:rsid w:val="00DC7B14"/>
    <w:rsid w:val="00DC7ECA"/>
    <w:rsid w:val="00DD019A"/>
    <w:rsid w:val="00DD035B"/>
    <w:rsid w:val="00DD0693"/>
    <w:rsid w:val="00DD0E25"/>
    <w:rsid w:val="00DD1905"/>
    <w:rsid w:val="00DD1C1E"/>
    <w:rsid w:val="00DD29A5"/>
    <w:rsid w:val="00DD4B89"/>
    <w:rsid w:val="00DD4C7E"/>
    <w:rsid w:val="00DD72B0"/>
    <w:rsid w:val="00DE0226"/>
    <w:rsid w:val="00DE096B"/>
    <w:rsid w:val="00DE1A57"/>
    <w:rsid w:val="00DE3C9E"/>
    <w:rsid w:val="00DE6264"/>
    <w:rsid w:val="00DE644A"/>
    <w:rsid w:val="00DE6A0A"/>
    <w:rsid w:val="00DE6BD2"/>
    <w:rsid w:val="00DE75D3"/>
    <w:rsid w:val="00DE7821"/>
    <w:rsid w:val="00DF065E"/>
    <w:rsid w:val="00DF2337"/>
    <w:rsid w:val="00DF3030"/>
    <w:rsid w:val="00DF3412"/>
    <w:rsid w:val="00DF3C2C"/>
    <w:rsid w:val="00DF423D"/>
    <w:rsid w:val="00DF6AA3"/>
    <w:rsid w:val="00DF6F62"/>
    <w:rsid w:val="00DF7435"/>
    <w:rsid w:val="00DF7D4C"/>
    <w:rsid w:val="00E00FAF"/>
    <w:rsid w:val="00E022B8"/>
    <w:rsid w:val="00E02B6A"/>
    <w:rsid w:val="00E04C76"/>
    <w:rsid w:val="00E04F02"/>
    <w:rsid w:val="00E05089"/>
    <w:rsid w:val="00E05298"/>
    <w:rsid w:val="00E05410"/>
    <w:rsid w:val="00E075EA"/>
    <w:rsid w:val="00E10040"/>
    <w:rsid w:val="00E10E71"/>
    <w:rsid w:val="00E11B1F"/>
    <w:rsid w:val="00E1376E"/>
    <w:rsid w:val="00E14394"/>
    <w:rsid w:val="00E14493"/>
    <w:rsid w:val="00E15CE5"/>
    <w:rsid w:val="00E16BC9"/>
    <w:rsid w:val="00E17243"/>
    <w:rsid w:val="00E17BB0"/>
    <w:rsid w:val="00E17EFE"/>
    <w:rsid w:val="00E17FEB"/>
    <w:rsid w:val="00E206C7"/>
    <w:rsid w:val="00E206CD"/>
    <w:rsid w:val="00E21FBF"/>
    <w:rsid w:val="00E2230B"/>
    <w:rsid w:val="00E2571E"/>
    <w:rsid w:val="00E265BE"/>
    <w:rsid w:val="00E27497"/>
    <w:rsid w:val="00E27C47"/>
    <w:rsid w:val="00E27ECF"/>
    <w:rsid w:val="00E30B86"/>
    <w:rsid w:val="00E34113"/>
    <w:rsid w:val="00E35725"/>
    <w:rsid w:val="00E3589C"/>
    <w:rsid w:val="00E37CBA"/>
    <w:rsid w:val="00E402C7"/>
    <w:rsid w:val="00E407B8"/>
    <w:rsid w:val="00E41A63"/>
    <w:rsid w:val="00E430C1"/>
    <w:rsid w:val="00E43D88"/>
    <w:rsid w:val="00E44B88"/>
    <w:rsid w:val="00E464BA"/>
    <w:rsid w:val="00E46A31"/>
    <w:rsid w:val="00E46C55"/>
    <w:rsid w:val="00E46CD2"/>
    <w:rsid w:val="00E47163"/>
    <w:rsid w:val="00E471EE"/>
    <w:rsid w:val="00E50BDB"/>
    <w:rsid w:val="00E51A57"/>
    <w:rsid w:val="00E528C2"/>
    <w:rsid w:val="00E530B2"/>
    <w:rsid w:val="00E5393E"/>
    <w:rsid w:val="00E540C5"/>
    <w:rsid w:val="00E542F6"/>
    <w:rsid w:val="00E5651B"/>
    <w:rsid w:val="00E56CC1"/>
    <w:rsid w:val="00E57192"/>
    <w:rsid w:val="00E60204"/>
    <w:rsid w:val="00E62823"/>
    <w:rsid w:val="00E63F5B"/>
    <w:rsid w:val="00E65161"/>
    <w:rsid w:val="00E652E4"/>
    <w:rsid w:val="00E66250"/>
    <w:rsid w:val="00E66E87"/>
    <w:rsid w:val="00E66FE6"/>
    <w:rsid w:val="00E675DF"/>
    <w:rsid w:val="00E704F3"/>
    <w:rsid w:val="00E7176A"/>
    <w:rsid w:val="00E71DC6"/>
    <w:rsid w:val="00E72728"/>
    <w:rsid w:val="00E727A2"/>
    <w:rsid w:val="00E73015"/>
    <w:rsid w:val="00E744FE"/>
    <w:rsid w:val="00E74F8F"/>
    <w:rsid w:val="00E762E3"/>
    <w:rsid w:val="00E778A7"/>
    <w:rsid w:val="00E8035A"/>
    <w:rsid w:val="00E80A61"/>
    <w:rsid w:val="00E80A8B"/>
    <w:rsid w:val="00E816A4"/>
    <w:rsid w:val="00E818BE"/>
    <w:rsid w:val="00E835B1"/>
    <w:rsid w:val="00E84300"/>
    <w:rsid w:val="00E86823"/>
    <w:rsid w:val="00E869BD"/>
    <w:rsid w:val="00E87267"/>
    <w:rsid w:val="00E90AC0"/>
    <w:rsid w:val="00E90F91"/>
    <w:rsid w:val="00E91E43"/>
    <w:rsid w:val="00E91EB3"/>
    <w:rsid w:val="00E92976"/>
    <w:rsid w:val="00E9299A"/>
    <w:rsid w:val="00E92A76"/>
    <w:rsid w:val="00E92FF6"/>
    <w:rsid w:val="00E932AA"/>
    <w:rsid w:val="00E938B4"/>
    <w:rsid w:val="00E94FFC"/>
    <w:rsid w:val="00E957CA"/>
    <w:rsid w:val="00E97BF5"/>
    <w:rsid w:val="00EA01D8"/>
    <w:rsid w:val="00EA031F"/>
    <w:rsid w:val="00EA07D8"/>
    <w:rsid w:val="00EA2D82"/>
    <w:rsid w:val="00EA3C39"/>
    <w:rsid w:val="00EA592B"/>
    <w:rsid w:val="00EA5C33"/>
    <w:rsid w:val="00EA703E"/>
    <w:rsid w:val="00EB0595"/>
    <w:rsid w:val="00EB1B45"/>
    <w:rsid w:val="00EB2648"/>
    <w:rsid w:val="00EB28C9"/>
    <w:rsid w:val="00EB3297"/>
    <w:rsid w:val="00EB47C2"/>
    <w:rsid w:val="00EB4E32"/>
    <w:rsid w:val="00EB4F94"/>
    <w:rsid w:val="00EB561A"/>
    <w:rsid w:val="00EB581C"/>
    <w:rsid w:val="00EB5AE1"/>
    <w:rsid w:val="00EB60F2"/>
    <w:rsid w:val="00EB736F"/>
    <w:rsid w:val="00EB755D"/>
    <w:rsid w:val="00EB7694"/>
    <w:rsid w:val="00EC050F"/>
    <w:rsid w:val="00EC11ED"/>
    <w:rsid w:val="00EC1AA7"/>
    <w:rsid w:val="00EC1D98"/>
    <w:rsid w:val="00EC2AE0"/>
    <w:rsid w:val="00EC4FD1"/>
    <w:rsid w:val="00EC5215"/>
    <w:rsid w:val="00EC7153"/>
    <w:rsid w:val="00ED07A5"/>
    <w:rsid w:val="00ED23A4"/>
    <w:rsid w:val="00ED2912"/>
    <w:rsid w:val="00ED3670"/>
    <w:rsid w:val="00ED448F"/>
    <w:rsid w:val="00ED45F5"/>
    <w:rsid w:val="00ED4C61"/>
    <w:rsid w:val="00ED6019"/>
    <w:rsid w:val="00ED60D2"/>
    <w:rsid w:val="00ED6623"/>
    <w:rsid w:val="00ED6A78"/>
    <w:rsid w:val="00EE0474"/>
    <w:rsid w:val="00EE15B4"/>
    <w:rsid w:val="00EE273D"/>
    <w:rsid w:val="00EE29E6"/>
    <w:rsid w:val="00EE304F"/>
    <w:rsid w:val="00EE3A6B"/>
    <w:rsid w:val="00EE57C5"/>
    <w:rsid w:val="00EE7680"/>
    <w:rsid w:val="00EE7AF7"/>
    <w:rsid w:val="00EE7E94"/>
    <w:rsid w:val="00EF0313"/>
    <w:rsid w:val="00EF03E1"/>
    <w:rsid w:val="00EF1513"/>
    <w:rsid w:val="00EF280D"/>
    <w:rsid w:val="00EF2A01"/>
    <w:rsid w:val="00EF2E8C"/>
    <w:rsid w:val="00EF496A"/>
    <w:rsid w:val="00EF4F8B"/>
    <w:rsid w:val="00EF5C76"/>
    <w:rsid w:val="00EF5CD7"/>
    <w:rsid w:val="00EF5F38"/>
    <w:rsid w:val="00EF6DE5"/>
    <w:rsid w:val="00EF7975"/>
    <w:rsid w:val="00F0026D"/>
    <w:rsid w:val="00F005D7"/>
    <w:rsid w:val="00F01485"/>
    <w:rsid w:val="00F02100"/>
    <w:rsid w:val="00F043E8"/>
    <w:rsid w:val="00F0586F"/>
    <w:rsid w:val="00F066A9"/>
    <w:rsid w:val="00F07A44"/>
    <w:rsid w:val="00F111DB"/>
    <w:rsid w:val="00F11257"/>
    <w:rsid w:val="00F12B53"/>
    <w:rsid w:val="00F12BE8"/>
    <w:rsid w:val="00F1390F"/>
    <w:rsid w:val="00F14450"/>
    <w:rsid w:val="00F16099"/>
    <w:rsid w:val="00F17B5A"/>
    <w:rsid w:val="00F17DB7"/>
    <w:rsid w:val="00F200BF"/>
    <w:rsid w:val="00F2024E"/>
    <w:rsid w:val="00F20A9E"/>
    <w:rsid w:val="00F22846"/>
    <w:rsid w:val="00F2286F"/>
    <w:rsid w:val="00F22A11"/>
    <w:rsid w:val="00F22B59"/>
    <w:rsid w:val="00F237CE"/>
    <w:rsid w:val="00F24F73"/>
    <w:rsid w:val="00F265AD"/>
    <w:rsid w:val="00F27043"/>
    <w:rsid w:val="00F2768A"/>
    <w:rsid w:val="00F303A3"/>
    <w:rsid w:val="00F30651"/>
    <w:rsid w:val="00F31543"/>
    <w:rsid w:val="00F329F1"/>
    <w:rsid w:val="00F332B8"/>
    <w:rsid w:val="00F3415D"/>
    <w:rsid w:val="00F34540"/>
    <w:rsid w:val="00F34751"/>
    <w:rsid w:val="00F353B3"/>
    <w:rsid w:val="00F35766"/>
    <w:rsid w:val="00F36632"/>
    <w:rsid w:val="00F36DB0"/>
    <w:rsid w:val="00F37FFE"/>
    <w:rsid w:val="00F40260"/>
    <w:rsid w:val="00F421BC"/>
    <w:rsid w:val="00F434DA"/>
    <w:rsid w:val="00F43622"/>
    <w:rsid w:val="00F44151"/>
    <w:rsid w:val="00F4437F"/>
    <w:rsid w:val="00F44B20"/>
    <w:rsid w:val="00F44D7C"/>
    <w:rsid w:val="00F45718"/>
    <w:rsid w:val="00F459CA"/>
    <w:rsid w:val="00F45D5A"/>
    <w:rsid w:val="00F46186"/>
    <w:rsid w:val="00F47C58"/>
    <w:rsid w:val="00F5009F"/>
    <w:rsid w:val="00F5167B"/>
    <w:rsid w:val="00F523DE"/>
    <w:rsid w:val="00F52CA9"/>
    <w:rsid w:val="00F52FFF"/>
    <w:rsid w:val="00F54918"/>
    <w:rsid w:val="00F54F98"/>
    <w:rsid w:val="00F551DD"/>
    <w:rsid w:val="00F55ACF"/>
    <w:rsid w:val="00F55FA3"/>
    <w:rsid w:val="00F5610F"/>
    <w:rsid w:val="00F6076E"/>
    <w:rsid w:val="00F61C11"/>
    <w:rsid w:val="00F6250A"/>
    <w:rsid w:val="00F636D9"/>
    <w:rsid w:val="00F63898"/>
    <w:rsid w:val="00F64B8B"/>
    <w:rsid w:val="00F65B4F"/>
    <w:rsid w:val="00F66053"/>
    <w:rsid w:val="00F661C6"/>
    <w:rsid w:val="00F66334"/>
    <w:rsid w:val="00F66FE7"/>
    <w:rsid w:val="00F7009E"/>
    <w:rsid w:val="00F701C5"/>
    <w:rsid w:val="00F7075B"/>
    <w:rsid w:val="00F708AE"/>
    <w:rsid w:val="00F70983"/>
    <w:rsid w:val="00F721FC"/>
    <w:rsid w:val="00F72D42"/>
    <w:rsid w:val="00F73CDA"/>
    <w:rsid w:val="00F75481"/>
    <w:rsid w:val="00F75773"/>
    <w:rsid w:val="00F75B8B"/>
    <w:rsid w:val="00F76785"/>
    <w:rsid w:val="00F804BF"/>
    <w:rsid w:val="00F81C28"/>
    <w:rsid w:val="00F82E77"/>
    <w:rsid w:val="00F842DC"/>
    <w:rsid w:val="00F847F2"/>
    <w:rsid w:val="00F84EDD"/>
    <w:rsid w:val="00F851EB"/>
    <w:rsid w:val="00F851F9"/>
    <w:rsid w:val="00F856D9"/>
    <w:rsid w:val="00F87714"/>
    <w:rsid w:val="00F904FD"/>
    <w:rsid w:val="00F9116E"/>
    <w:rsid w:val="00F91690"/>
    <w:rsid w:val="00F922F6"/>
    <w:rsid w:val="00F931AC"/>
    <w:rsid w:val="00F93BD9"/>
    <w:rsid w:val="00F962BC"/>
    <w:rsid w:val="00F967F1"/>
    <w:rsid w:val="00F96A41"/>
    <w:rsid w:val="00F97259"/>
    <w:rsid w:val="00FA195E"/>
    <w:rsid w:val="00FA1E38"/>
    <w:rsid w:val="00FA2292"/>
    <w:rsid w:val="00FA3FC3"/>
    <w:rsid w:val="00FA4113"/>
    <w:rsid w:val="00FA4DB9"/>
    <w:rsid w:val="00FA55AB"/>
    <w:rsid w:val="00FA5955"/>
    <w:rsid w:val="00FA5CB9"/>
    <w:rsid w:val="00FA666E"/>
    <w:rsid w:val="00FB0441"/>
    <w:rsid w:val="00FB1039"/>
    <w:rsid w:val="00FB10CF"/>
    <w:rsid w:val="00FB1AA7"/>
    <w:rsid w:val="00FB2598"/>
    <w:rsid w:val="00FB3710"/>
    <w:rsid w:val="00FB5148"/>
    <w:rsid w:val="00FB6628"/>
    <w:rsid w:val="00FB7121"/>
    <w:rsid w:val="00FB7709"/>
    <w:rsid w:val="00FB7E48"/>
    <w:rsid w:val="00FB7F33"/>
    <w:rsid w:val="00FC003F"/>
    <w:rsid w:val="00FC05EA"/>
    <w:rsid w:val="00FC1527"/>
    <w:rsid w:val="00FC1BF3"/>
    <w:rsid w:val="00FC316D"/>
    <w:rsid w:val="00FC3F28"/>
    <w:rsid w:val="00FC51AE"/>
    <w:rsid w:val="00FC7821"/>
    <w:rsid w:val="00FC7ECA"/>
    <w:rsid w:val="00FD02B5"/>
    <w:rsid w:val="00FD0E42"/>
    <w:rsid w:val="00FD2CC9"/>
    <w:rsid w:val="00FD2D20"/>
    <w:rsid w:val="00FD311C"/>
    <w:rsid w:val="00FD7439"/>
    <w:rsid w:val="00FD7E36"/>
    <w:rsid w:val="00FE0082"/>
    <w:rsid w:val="00FE0458"/>
    <w:rsid w:val="00FE184D"/>
    <w:rsid w:val="00FE18DA"/>
    <w:rsid w:val="00FE1E49"/>
    <w:rsid w:val="00FE2FCE"/>
    <w:rsid w:val="00FE36ED"/>
    <w:rsid w:val="00FE4B2D"/>
    <w:rsid w:val="00FE4BB6"/>
    <w:rsid w:val="00FE54A4"/>
    <w:rsid w:val="00FE5E1F"/>
    <w:rsid w:val="00FE5FDF"/>
    <w:rsid w:val="00FE7E58"/>
    <w:rsid w:val="00FF1127"/>
    <w:rsid w:val="00FF4F15"/>
    <w:rsid w:val="00FF5C75"/>
    <w:rsid w:val="00FF5EBF"/>
    <w:rsid w:val="00FF5FCB"/>
    <w:rsid w:val="00FF6290"/>
    <w:rsid w:val="00FF79D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06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Title" w:qFormat="1"/>
    <w:lsdException w:name="Subtitle" w:uiPriority="11" w:qFormat="1"/>
    <w:lsdException w:name="Hyperlink" w:uiPriority="99"/>
    <w:lsdException w:name="Strong" w:qFormat="1"/>
    <w:lsdException w:name="Emphasis" w:uiPriority="20" w:qFormat="1"/>
    <w:lsdException w:name="HTML Top of Form" w:uiPriority="99"/>
    <w:lsdException w:name="HTML Bottom of Form"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5A2853"/>
    <w:rPr>
      <w:sz w:val="24"/>
      <w:szCs w:val="24"/>
      <w:lang w:val="en-US"/>
    </w:rPr>
  </w:style>
  <w:style w:type="paragraph" w:styleId="Kop1">
    <w:name w:val="heading 1"/>
    <w:basedOn w:val="Standaard"/>
    <w:next w:val="Standaard"/>
    <w:qFormat/>
    <w:rsid w:val="00533672"/>
    <w:pPr>
      <w:keepNext/>
      <w:spacing w:before="240" w:after="60"/>
      <w:outlineLvl w:val="0"/>
    </w:pPr>
    <w:rPr>
      <w:rFonts w:cs="Arial"/>
      <w:b/>
      <w:bCs/>
      <w:kern w:val="32"/>
      <w:szCs w:val="32"/>
    </w:rPr>
  </w:style>
  <w:style w:type="paragraph" w:styleId="Kop2">
    <w:name w:val="heading 2"/>
    <w:basedOn w:val="Standaard"/>
    <w:next w:val="Standaard"/>
    <w:link w:val="Kop2Char"/>
    <w:qFormat/>
    <w:rsid w:val="00D15EB6"/>
    <w:pPr>
      <w:keepNext/>
      <w:spacing w:before="60" w:after="120"/>
      <w:jc w:val="both"/>
      <w:outlineLvl w:val="1"/>
    </w:pPr>
    <w:rPr>
      <w:b/>
      <w:bCs/>
      <w:i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rsid w:val="00AB6C49"/>
    <w:rPr>
      <w:color w:val="0000FF"/>
      <w:u w:val="single"/>
    </w:rPr>
  </w:style>
  <w:style w:type="paragraph" w:styleId="Koptekst">
    <w:name w:val="header"/>
    <w:basedOn w:val="Standaard"/>
    <w:link w:val="KoptekstChar"/>
    <w:uiPriority w:val="99"/>
    <w:rsid w:val="00CC1406"/>
    <w:pPr>
      <w:tabs>
        <w:tab w:val="center" w:pos="4536"/>
        <w:tab w:val="right" w:pos="9072"/>
      </w:tabs>
    </w:pPr>
    <w:rPr>
      <w:noProof/>
      <w:lang w:val="nl-NL"/>
    </w:rPr>
  </w:style>
  <w:style w:type="character" w:customStyle="1" w:styleId="KoptekstChar">
    <w:name w:val="Koptekst Char"/>
    <w:basedOn w:val="Standaardalinea-lettertype"/>
    <w:link w:val="Koptekst"/>
    <w:uiPriority w:val="99"/>
    <w:rsid w:val="00CC1406"/>
    <w:rPr>
      <w:noProof/>
      <w:sz w:val="24"/>
      <w:szCs w:val="24"/>
    </w:rPr>
  </w:style>
  <w:style w:type="paragraph" w:styleId="Voettekst">
    <w:name w:val="footer"/>
    <w:basedOn w:val="Standaard"/>
    <w:link w:val="VoettekstChar"/>
    <w:uiPriority w:val="99"/>
    <w:rsid w:val="00D83F0B"/>
    <w:pPr>
      <w:tabs>
        <w:tab w:val="center" w:pos="4536"/>
        <w:tab w:val="right" w:pos="9072"/>
      </w:tabs>
    </w:pPr>
  </w:style>
  <w:style w:type="character" w:customStyle="1" w:styleId="VoettekstChar">
    <w:name w:val="Voettekst Char"/>
    <w:basedOn w:val="Standaardalinea-lettertype"/>
    <w:link w:val="Voettekst"/>
    <w:uiPriority w:val="99"/>
    <w:rsid w:val="00D83F0B"/>
    <w:rPr>
      <w:sz w:val="24"/>
      <w:szCs w:val="24"/>
      <w:lang w:val="en-US"/>
    </w:rPr>
  </w:style>
  <w:style w:type="paragraph" w:styleId="Revisie">
    <w:name w:val="Revision"/>
    <w:hidden/>
    <w:uiPriority w:val="99"/>
    <w:semiHidden/>
    <w:rsid w:val="00E92FF6"/>
    <w:rPr>
      <w:sz w:val="24"/>
      <w:szCs w:val="24"/>
      <w:lang w:val="en-US"/>
    </w:rPr>
  </w:style>
  <w:style w:type="paragraph" w:styleId="Ballontekst">
    <w:name w:val="Balloon Text"/>
    <w:basedOn w:val="Standaard"/>
    <w:link w:val="BallontekstChar"/>
    <w:rsid w:val="00E92FF6"/>
    <w:rPr>
      <w:rFonts w:ascii="Tahoma" w:hAnsi="Tahoma" w:cs="Tahoma"/>
      <w:sz w:val="16"/>
      <w:szCs w:val="16"/>
    </w:rPr>
  </w:style>
  <w:style w:type="character" w:customStyle="1" w:styleId="BallontekstChar">
    <w:name w:val="Ballontekst Char"/>
    <w:basedOn w:val="Standaardalinea-lettertype"/>
    <w:link w:val="Ballontekst"/>
    <w:rsid w:val="00E92FF6"/>
    <w:rPr>
      <w:rFonts w:ascii="Tahoma" w:hAnsi="Tahoma" w:cs="Tahoma"/>
      <w:sz w:val="16"/>
      <w:szCs w:val="16"/>
      <w:lang w:val="en-US"/>
    </w:rPr>
  </w:style>
  <w:style w:type="paragraph" w:styleId="Lijstalinea">
    <w:name w:val="List Paragraph"/>
    <w:basedOn w:val="Standaard"/>
    <w:uiPriority w:val="34"/>
    <w:qFormat/>
    <w:rsid w:val="004725DA"/>
    <w:pPr>
      <w:ind w:left="720"/>
      <w:contextualSpacing/>
    </w:pPr>
  </w:style>
  <w:style w:type="character" w:styleId="Nadruk">
    <w:name w:val="Emphasis"/>
    <w:basedOn w:val="Standaardalinea-lettertype"/>
    <w:uiPriority w:val="20"/>
    <w:qFormat/>
    <w:rsid w:val="00964C55"/>
    <w:rPr>
      <w:i/>
      <w:iCs/>
    </w:rPr>
  </w:style>
  <w:style w:type="paragraph" w:customStyle="1" w:styleId="Default">
    <w:name w:val="Default"/>
    <w:rsid w:val="001924D4"/>
    <w:pPr>
      <w:autoSpaceDE w:val="0"/>
      <w:autoSpaceDN w:val="0"/>
      <w:adjustRightInd w:val="0"/>
    </w:pPr>
    <w:rPr>
      <w:color w:val="000000"/>
      <w:sz w:val="24"/>
      <w:szCs w:val="24"/>
    </w:rPr>
  </w:style>
  <w:style w:type="character" w:customStyle="1" w:styleId="Kop2Char">
    <w:name w:val="Kop 2 Char"/>
    <w:basedOn w:val="Standaardalinea-lettertype"/>
    <w:link w:val="Kop2"/>
    <w:rsid w:val="00D15EB6"/>
    <w:rPr>
      <w:b/>
      <w:bCs/>
      <w:iCs/>
      <w:sz w:val="24"/>
      <w:szCs w:val="24"/>
      <w:lang w:val="en-US"/>
    </w:rPr>
  </w:style>
  <w:style w:type="paragraph" w:styleId="Normaalweb">
    <w:name w:val="Normal (Web)"/>
    <w:basedOn w:val="Standaard"/>
    <w:uiPriority w:val="99"/>
    <w:unhideWhenUsed/>
    <w:rsid w:val="00050526"/>
    <w:pPr>
      <w:spacing w:before="100" w:beforeAutospacing="1" w:after="100" w:afterAutospacing="1"/>
    </w:pPr>
    <w:rPr>
      <w:lang w:val="nl-NL"/>
    </w:rPr>
  </w:style>
  <w:style w:type="paragraph" w:customStyle="1" w:styleId="Lijstalinea1">
    <w:name w:val="Lijstalinea1"/>
    <w:basedOn w:val="Standaard"/>
    <w:rsid w:val="00C203A9"/>
    <w:pPr>
      <w:spacing w:after="200" w:line="276" w:lineRule="auto"/>
      <w:ind w:left="720"/>
    </w:pPr>
    <w:rPr>
      <w:rFonts w:ascii="Calibri" w:hAnsi="Calibri" w:cs="Calibri"/>
      <w:sz w:val="22"/>
      <w:szCs w:val="22"/>
      <w:lang w:eastAsia="en-US"/>
    </w:rPr>
  </w:style>
  <w:style w:type="character" w:styleId="Zwaar">
    <w:name w:val="Strong"/>
    <w:basedOn w:val="Standaardalinea-lettertype"/>
    <w:qFormat/>
    <w:rsid w:val="00C203A9"/>
    <w:rPr>
      <w:rFonts w:cs="Times New Roman"/>
      <w:b/>
      <w:bCs/>
    </w:rPr>
  </w:style>
  <w:style w:type="paragraph" w:styleId="Plattetekstinspringen">
    <w:name w:val="Body Text Indent"/>
    <w:basedOn w:val="Standaard"/>
    <w:link w:val="PlattetekstinspringenChar"/>
    <w:rsid w:val="002F67CD"/>
    <w:pPr>
      <w:spacing w:line="360" w:lineRule="auto"/>
      <w:ind w:firstLine="709"/>
      <w:jc w:val="both"/>
    </w:pPr>
    <w:rPr>
      <w:lang w:val="fr-FR" w:eastAsia="fr-FR"/>
    </w:rPr>
  </w:style>
  <w:style w:type="character" w:customStyle="1" w:styleId="PlattetekstinspringenChar">
    <w:name w:val="Platte tekst inspringen Char"/>
    <w:basedOn w:val="Standaardalinea-lettertype"/>
    <w:link w:val="Plattetekstinspringen"/>
    <w:rsid w:val="002F67CD"/>
    <w:rPr>
      <w:sz w:val="24"/>
      <w:szCs w:val="24"/>
      <w:lang w:val="fr-FR" w:eastAsia="fr-FR"/>
    </w:rPr>
  </w:style>
  <w:style w:type="paragraph" w:styleId="Kopvaninhoudsopgave">
    <w:name w:val="TOC Heading"/>
    <w:basedOn w:val="Kop1"/>
    <w:next w:val="Standaard"/>
    <w:uiPriority w:val="39"/>
    <w:semiHidden/>
    <w:unhideWhenUsed/>
    <w:qFormat/>
    <w:rsid w:val="007F5BA7"/>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nl-NL" w:eastAsia="en-US"/>
    </w:rPr>
  </w:style>
  <w:style w:type="paragraph" w:styleId="Inhopg1">
    <w:name w:val="toc 1"/>
    <w:basedOn w:val="Standaard"/>
    <w:next w:val="Standaard"/>
    <w:autoRedefine/>
    <w:uiPriority w:val="39"/>
    <w:qFormat/>
    <w:rsid w:val="00763EDE"/>
    <w:pPr>
      <w:spacing w:before="120" w:after="120"/>
    </w:pPr>
    <w:rPr>
      <w:rFonts w:cstheme="minorHAnsi"/>
      <w:b/>
      <w:bCs/>
      <w:caps/>
      <w:sz w:val="22"/>
      <w:szCs w:val="20"/>
    </w:rPr>
  </w:style>
  <w:style w:type="paragraph" w:styleId="Inhopg2">
    <w:name w:val="toc 2"/>
    <w:basedOn w:val="Standaard"/>
    <w:next w:val="Standaard"/>
    <w:autoRedefine/>
    <w:uiPriority w:val="39"/>
    <w:qFormat/>
    <w:rsid w:val="00763EDE"/>
    <w:pPr>
      <w:tabs>
        <w:tab w:val="right" w:leader="dot" w:pos="9062"/>
      </w:tabs>
      <w:spacing w:line="360" w:lineRule="auto"/>
      <w:ind w:left="238"/>
    </w:pPr>
    <w:rPr>
      <w:rFonts w:cstheme="minorHAnsi"/>
      <w:sz w:val="22"/>
      <w:szCs w:val="20"/>
    </w:rPr>
  </w:style>
  <w:style w:type="paragraph" w:styleId="Inhopg3">
    <w:name w:val="toc 3"/>
    <w:basedOn w:val="Standaard"/>
    <w:next w:val="Standaard"/>
    <w:autoRedefine/>
    <w:uiPriority w:val="39"/>
    <w:qFormat/>
    <w:rsid w:val="00EE304F"/>
    <w:pPr>
      <w:spacing w:line="360" w:lineRule="auto"/>
      <w:ind w:left="480"/>
    </w:pPr>
    <w:rPr>
      <w:rFonts w:cstheme="minorHAnsi"/>
      <w:iCs/>
      <w:sz w:val="22"/>
      <w:szCs w:val="20"/>
    </w:rPr>
  </w:style>
  <w:style w:type="paragraph" w:styleId="Inhopg4">
    <w:name w:val="toc 4"/>
    <w:basedOn w:val="Standaard"/>
    <w:next w:val="Standaard"/>
    <w:autoRedefine/>
    <w:rsid w:val="007F5BA7"/>
    <w:pPr>
      <w:ind w:left="720"/>
    </w:pPr>
    <w:rPr>
      <w:rFonts w:asciiTheme="minorHAnsi" w:hAnsiTheme="minorHAnsi" w:cstheme="minorHAnsi"/>
      <w:sz w:val="18"/>
      <w:szCs w:val="18"/>
    </w:rPr>
  </w:style>
  <w:style w:type="paragraph" w:styleId="Inhopg5">
    <w:name w:val="toc 5"/>
    <w:basedOn w:val="Standaard"/>
    <w:next w:val="Standaard"/>
    <w:autoRedefine/>
    <w:rsid w:val="007F5BA7"/>
    <w:pPr>
      <w:ind w:left="960"/>
    </w:pPr>
    <w:rPr>
      <w:rFonts w:asciiTheme="minorHAnsi" w:hAnsiTheme="minorHAnsi" w:cstheme="minorHAnsi"/>
      <w:sz w:val="18"/>
      <w:szCs w:val="18"/>
    </w:rPr>
  </w:style>
  <w:style w:type="paragraph" w:styleId="Inhopg6">
    <w:name w:val="toc 6"/>
    <w:basedOn w:val="Standaard"/>
    <w:next w:val="Standaard"/>
    <w:autoRedefine/>
    <w:rsid w:val="007F5BA7"/>
    <w:pPr>
      <w:ind w:left="1200"/>
    </w:pPr>
    <w:rPr>
      <w:rFonts w:asciiTheme="minorHAnsi" w:hAnsiTheme="minorHAnsi" w:cstheme="minorHAnsi"/>
      <w:sz w:val="18"/>
      <w:szCs w:val="18"/>
    </w:rPr>
  </w:style>
  <w:style w:type="paragraph" w:styleId="Inhopg7">
    <w:name w:val="toc 7"/>
    <w:basedOn w:val="Standaard"/>
    <w:next w:val="Standaard"/>
    <w:autoRedefine/>
    <w:rsid w:val="007F5BA7"/>
    <w:pPr>
      <w:ind w:left="1440"/>
    </w:pPr>
    <w:rPr>
      <w:rFonts w:asciiTheme="minorHAnsi" w:hAnsiTheme="minorHAnsi" w:cstheme="minorHAnsi"/>
      <w:sz w:val="18"/>
      <w:szCs w:val="18"/>
    </w:rPr>
  </w:style>
  <w:style w:type="paragraph" w:styleId="Inhopg8">
    <w:name w:val="toc 8"/>
    <w:basedOn w:val="Standaard"/>
    <w:next w:val="Standaard"/>
    <w:autoRedefine/>
    <w:rsid w:val="007F5BA7"/>
    <w:pPr>
      <w:ind w:left="1680"/>
    </w:pPr>
    <w:rPr>
      <w:rFonts w:asciiTheme="minorHAnsi" w:hAnsiTheme="minorHAnsi" w:cstheme="minorHAnsi"/>
      <w:sz w:val="18"/>
      <w:szCs w:val="18"/>
    </w:rPr>
  </w:style>
  <w:style w:type="paragraph" w:styleId="Inhopg9">
    <w:name w:val="toc 9"/>
    <w:basedOn w:val="Standaard"/>
    <w:next w:val="Standaard"/>
    <w:autoRedefine/>
    <w:rsid w:val="007F5BA7"/>
    <w:pPr>
      <w:ind w:left="1920"/>
    </w:pPr>
    <w:rPr>
      <w:rFonts w:asciiTheme="minorHAnsi" w:hAnsiTheme="minorHAnsi" w:cstheme="minorHAnsi"/>
      <w:sz w:val="18"/>
      <w:szCs w:val="18"/>
    </w:rPr>
  </w:style>
  <w:style w:type="paragraph" w:styleId="Subtitel">
    <w:name w:val="Subtitle"/>
    <w:basedOn w:val="Standaard"/>
    <w:next w:val="Standaard"/>
    <w:link w:val="SubtitelChar"/>
    <w:uiPriority w:val="11"/>
    <w:qFormat/>
    <w:rsid w:val="00F847F2"/>
    <w:pPr>
      <w:spacing w:after="60"/>
      <w:jc w:val="center"/>
      <w:outlineLvl w:val="1"/>
    </w:pPr>
    <w:rPr>
      <w:sz w:val="32"/>
      <w:lang w:eastAsia="en-US" w:bidi="en-US"/>
    </w:rPr>
  </w:style>
  <w:style w:type="character" w:customStyle="1" w:styleId="SubtitelChar">
    <w:name w:val="Subtitel Char"/>
    <w:basedOn w:val="Standaardalinea-lettertype"/>
    <w:link w:val="Subtitel"/>
    <w:uiPriority w:val="11"/>
    <w:rsid w:val="00F847F2"/>
    <w:rPr>
      <w:sz w:val="32"/>
      <w:szCs w:val="24"/>
      <w:lang w:val="en-US" w:eastAsia="en-US" w:bidi="en-US"/>
    </w:rPr>
  </w:style>
  <w:style w:type="paragraph" w:styleId="Voetnoottekst">
    <w:name w:val="footnote text"/>
    <w:basedOn w:val="Standaard"/>
    <w:link w:val="VoetnoottekstChar"/>
    <w:rsid w:val="00647D69"/>
    <w:rPr>
      <w:sz w:val="20"/>
      <w:szCs w:val="20"/>
      <w:lang w:val="nl-NL"/>
    </w:rPr>
  </w:style>
  <w:style w:type="character" w:customStyle="1" w:styleId="VoetnoottekstChar">
    <w:name w:val="Voetnoottekst Char"/>
    <w:basedOn w:val="Standaardalinea-lettertype"/>
    <w:link w:val="Voetnoottekst"/>
    <w:rsid w:val="00647D69"/>
  </w:style>
  <w:style w:type="character" w:styleId="Voetnootmarkering">
    <w:name w:val="footnote reference"/>
    <w:basedOn w:val="Standaardalinea-lettertype"/>
    <w:rsid w:val="00647D69"/>
    <w:rPr>
      <w:vertAlign w:val="superscript"/>
    </w:rPr>
  </w:style>
  <w:style w:type="paragraph" w:customStyle="1" w:styleId="Lijstalinea2">
    <w:name w:val="Lijstalinea2"/>
    <w:basedOn w:val="Standaard"/>
    <w:rsid w:val="005B35A3"/>
    <w:pPr>
      <w:spacing w:after="200" w:line="276" w:lineRule="auto"/>
      <w:ind w:left="720"/>
    </w:pPr>
    <w:rPr>
      <w:rFonts w:ascii="Calibri" w:hAnsi="Calibri" w:cs="Calibri"/>
      <w:sz w:val="22"/>
      <w:szCs w:val="22"/>
      <w:lang w:eastAsia="en-US"/>
    </w:rPr>
  </w:style>
  <w:style w:type="paragraph" w:customStyle="1" w:styleId="0293705112CF4F5780224E402F29E275">
    <w:name w:val="0293705112CF4F5780224E402F29E275"/>
    <w:rsid w:val="00CC1406"/>
    <w:pPr>
      <w:spacing w:after="200" w:line="276" w:lineRule="auto"/>
    </w:pPr>
    <w:rPr>
      <w:rFonts w:asciiTheme="minorHAnsi" w:eastAsiaTheme="minorEastAsia" w:hAnsiTheme="minorHAnsi" w:cstheme="minorBidi"/>
      <w:sz w:val="22"/>
      <w:szCs w:val="22"/>
      <w:lang w:val="en-US" w:eastAsia="en-US"/>
    </w:rPr>
  </w:style>
  <w:style w:type="paragraph" w:styleId="Documentstructuur">
    <w:name w:val="Document Map"/>
    <w:basedOn w:val="Standaard"/>
    <w:link w:val="DocumentstructuurChar"/>
    <w:rsid w:val="00BD1791"/>
    <w:rPr>
      <w:rFonts w:ascii="Tahoma" w:hAnsi="Tahoma" w:cs="Tahoma"/>
      <w:sz w:val="16"/>
      <w:szCs w:val="16"/>
    </w:rPr>
  </w:style>
  <w:style w:type="character" w:customStyle="1" w:styleId="DocumentstructuurChar">
    <w:name w:val="Documentstructuur Char"/>
    <w:basedOn w:val="Standaardalinea-lettertype"/>
    <w:link w:val="Documentstructuur"/>
    <w:rsid w:val="00BD1791"/>
    <w:rPr>
      <w:rFonts w:ascii="Tahoma" w:hAnsi="Tahoma" w:cs="Tahoma"/>
      <w:sz w:val="16"/>
      <w:szCs w:val="16"/>
      <w:lang w:val="en-US"/>
    </w:rPr>
  </w:style>
  <w:style w:type="character" w:styleId="Tekstvantijdelijkeaanduiding">
    <w:name w:val="Placeholder Text"/>
    <w:basedOn w:val="Standaardalinea-lettertype"/>
    <w:uiPriority w:val="99"/>
    <w:semiHidden/>
    <w:rsid w:val="00BD1791"/>
    <w:rPr>
      <w:color w:val="808080"/>
    </w:rPr>
  </w:style>
  <w:style w:type="table" w:styleId="Tabelraster">
    <w:name w:val="Table Grid"/>
    <w:basedOn w:val="Standaardtabel"/>
    <w:rsid w:val="006D15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venkantformulier">
    <w:name w:val="HTML Top of Form"/>
    <w:basedOn w:val="Standaard"/>
    <w:next w:val="Standaard"/>
    <w:link w:val="BovenkantformulierChar"/>
    <w:hidden/>
    <w:uiPriority w:val="99"/>
    <w:unhideWhenUsed/>
    <w:rsid w:val="00080C77"/>
    <w:pPr>
      <w:pBdr>
        <w:bottom w:val="single" w:sz="6" w:space="1" w:color="auto"/>
      </w:pBdr>
      <w:jc w:val="center"/>
    </w:pPr>
    <w:rPr>
      <w:rFonts w:ascii="Arial" w:hAnsi="Arial" w:cs="Arial"/>
      <w:vanish/>
      <w:sz w:val="16"/>
      <w:szCs w:val="16"/>
      <w:lang w:val="nl-NL"/>
    </w:rPr>
  </w:style>
  <w:style w:type="character" w:customStyle="1" w:styleId="BovenkantformulierChar">
    <w:name w:val="Bovenkant formulier Char"/>
    <w:basedOn w:val="Standaardalinea-lettertype"/>
    <w:link w:val="Bovenkantformulier"/>
    <w:uiPriority w:val="99"/>
    <w:rsid w:val="00080C77"/>
    <w:rPr>
      <w:rFonts w:ascii="Arial" w:hAnsi="Arial" w:cs="Arial"/>
      <w:vanish/>
      <w:sz w:val="16"/>
      <w:szCs w:val="16"/>
    </w:rPr>
  </w:style>
  <w:style w:type="paragraph" w:styleId="Onderkantformulier">
    <w:name w:val="HTML Bottom of Form"/>
    <w:basedOn w:val="Standaard"/>
    <w:next w:val="Standaard"/>
    <w:link w:val="OnderkantformulierChar"/>
    <w:hidden/>
    <w:uiPriority w:val="99"/>
    <w:unhideWhenUsed/>
    <w:rsid w:val="00080C77"/>
    <w:pPr>
      <w:pBdr>
        <w:top w:val="single" w:sz="6" w:space="1" w:color="auto"/>
      </w:pBdr>
      <w:jc w:val="center"/>
    </w:pPr>
    <w:rPr>
      <w:rFonts w:ascii="Arial" w:hAnsi="Arial" w:cs="Arial"/>
      <w:vanish/>
      <w:sz w:val="16"/>
      <w:szCs w:val="16"/>
      <w:lang w:val="nl-NL"/>
    </w:rPr>
  </w:style>
  <w:style w:type="character" w:customStyle="1" w:styleId="OnderkantformulierChar">
    <w:name w:val="Onderkant formulier Char"/>
    <w:basedOn w:val="Standaardalinea-lettertype"/>
    <w:link w:val="Onderkantformulier"/>
    <w:uiPriority w:val="99"/>
    <w:rsid w:val="00080C77"/>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13504860">
      <w:bodyDiv w:val="1"/>
      <w:marLeft w:val="0"/>
      <w:marRight w:val="0"/>
      <w:marTop w:val="0"/>
      <w:marBottom w:val="0"/>
      <w:divBdr>
        <w:top w:val="none" w:sz="0" w:space="0" w:color="auto"/>
        <w:left w:val="none" w:sz="0" w:space="0" w:color="auto"/>
        <w:bottom w:val="none" w:sz="0" w:space="0" w:color="auto"/>
        <w:right w:val="none" w:sz="0" w:space="0" w:color="auto"/>
      </w:divBdr>
    </w:div>
    <w:div w:id="31149979">
      <w:bodyDiv w:val="1"/>
      <w:marLeft w:val="0"/>
      <w:marRight w:val="0"/>
      <w:marTop w:val="0"/>
      <w:marBottom w:val="0"/>
      <w:divBdr>
        <w:top w:val="none" w:sz="0" w:space="0" w:color="auto"/>
        <w:left w:val="none" w:sz="0" w:space="0" w:color="auto"/>
        <w:bottom w:val="none" w:sz="0" w:space="0" w:color="auto"/>
        <w:right w:val="none" w:sz="0" w:space="0" w:color="auto"/>
      </w:divBdr>
    </w:div>
    <w:div w:id="62458266">
      <w:bodyDiv w:val="1"/>
      <w:marLeft w:val="0"/>
      <w:marRight w:val="0"/>
      <w:marTop w:val="0"/>
      <w:marBottom w:val="0"/>
      <w:divBdr>
        <w:top w:val="none" w:sz="0" w:space="0" w:color="auto"/>
        <w:left w:val="none" w:sz="0" w:space="0" w:color="auto"/>
        <w:bottom w:val="none" w:sz="0" w:space="0" w:color="auto"/>
        <w:right w:val="none" w:sz="0" w:space="0" w:color="auto"/>
      </w:divBdr>
    </w:div>
    <w:div w:id="62799394">
      <w:bodyDiv w:val="1"/>
      <w:marLeft w:val="0"/>
      <w:marRight w:val="0"/>
      <w:marTop w:val="0"/>
      <w:marBottom w:val="0"/>
      <w:divBdr>
        <w:top w:val="none" w:sz="0" w:space="0" w:color="auto"/>
        <w:left w:val="none" w:sz="0" w:space="0" w:color="auto"/>
        <w:bottom w:val="none" w:sz="0" w:space="0" w:color="auto"/>
        <w:right w:val="none" w:sz="0" w:space="0" w:color="auto"/>
      </w:divBdr>
    </w:div>
    <w:div w:id="105928748">
      <w:bodyDiv w:val="1"/>
      <w:marLeft w:val="0"/>
      <w:marRight w:val="0"/>
      <w:marTop w:val="0"/>
      <w:marBottom w:val="0"/>
      <w:divBdr>
        <w:top w:val="none" w:sz="0" w:space="0" w:color="auto"/>
        <w:left w:val="none" w:sz="0" w:space="0" w:color="auto"/>
        <w:bottom w:val="none" w:sz="0" w:space="0" w:color="auto"/>
        <w:right w:val="none" w:sz="0" w:space="0" w:color="auto"/>
      </w:divBdr>
    </w:div>
    <w:div w:id="203057350">
      <w:bodyDiv w:val="1"/>
      <w:marLeft w:val="0"/>
      <w:marRight w:val="0"/>
      <w:marTop w:val="0"/>
      <w:marBottom w:val="0"/>
      <w:divBdr>
        <w:top w:val="none" w:sz="0" w:space="0" w:color="auto"/>
        <w:left w:val="none" w:sz="0" w:space="0" w:color="auto"/>
        <w:bottom w:val="none" w:sz="0" w:space="0" w:color="auto"/>
        <w:right w:val="none" w:sz="0" w:space="0" w:color="auto"/>
      </w:divBdr>
      <w:divsChild>
        <w:div w:id="1700470774">
          <w:marLeft w:val="0"/>
          <w:marRight w:val="0"/>
          <w:marTop w:val="0"/>
          <w:marBottom w:val="0"/>
          <w:divBdr>
            <w:top w:val="none" w:sz="0" w:space="0" w:color="auto"/>
            <w:left w:val="none" w:sz="0" w:space="0" w:color="auto"/>
            <w:bottom w:val="none" w:sz="0" w:space="0" w:color="auto"/>
            <w:right w:val="none" w:sz="0" w:space="0" w:color="auto"/>
          </w:divBdr>
        </w:div>
        <w:div w:id="555972671">
          <w:marLeft w:val="0"/>
          <w:marRight w:val="0"/>
          <w:marTop w:val="0"/>
          <w:marBottom w:val="0"/>
          <w:divBdr>
            <w:top w:val="none" w:sz="0" w:space="0" w:color="auto"/>
            <w:left w:val="none" w:sz="0" w:space="0" w:color="auto"/>
            <w:bottom w:val="none" w:sz="0" w:space="0" w:color="auto"/>
            <w:right w:val="none" w:sz="0" w:space="0" w:color="auto"/>
          </w:divBdr>
        </w:div>
        <w:div w:id="669217525">
          <w:marLeft w:val="0"/>
          <w:marRight w:val="0"/>
          <w:marTop w:val="0"/>
          <w:marBottom w:val="0"/>
          <w:divBdr>
            <w:top w:val="none" w:sz="0" w:space="0" w:color="auto"/>
            <w:left w:val="none" w:sz="0" w:space="0" w:color="auto"/>
            <w:bottom w:val="none" w:sz="0" w:space="0" w:color="auto"/>
            <w:right w:val="none" w:sz="0" w:space="0" w:color="auto"/>
          </w:divBdr>
        </w:div>
        <w:div w:id="1047682512">
          <w:marLeft w:val="0"/>
          <w:marRight w:val="0"/>
          <w:marTop w:val="0"/>
          <w:marBottom w:val="0"/>
          <w:divBdr>
            <w:top w:val="none" w:sz="0" w:space="0" w:color="auto"/>
            <w:left w:val="none" w:sz="0" w:space="0" w:color="auto"/>
            <w:bottom w:val="none" w:sz="0" w:space="0" w:color="auto"/>
            <w:right w:val="none" w:sz="0" w:space="0" w:color="auto"/>
          </w:divBdr>
        </w:div>
      </w:divsChild>
    </w:div>
    <w:div w:id="226383264">
      <w:bodyDiv w:val="1"/>
      <w:marLeft w:val="0"/>
      <w:marRight w:val="0"/>
      <w:marTop w:val="0"/>
      <w:marBottom w:val="0"/>
      <w:divBdr>
        <w:top w:val="none" w:sz="0" w:space="0" w:color="auto"/>
        <w:left w:val="none" w:sz="0" w:space="0" w:color="auto"/>
        <w:bottom w:val="none" w:sz="0" w:space="0" w:color="auto"/>
        <w:right w:val="none" w:sz="0" w:space="0" w:color="auto"/>
      </w:divBdr>
    </w:div>
    <w:div w:id="230652254">
      <w:bodyDiv w:val="1"/>
      <w:marLeft w:val="0"/>
      <w:marRight w:val="0"/>
      <w:marTop w:val="0"/>
      <w:marBottom w:val="0"/>
      <w:divBdr>
        <w:top w:val="none" w:sz="0" w:space="0" w:color="auto"/>
        <w:left w:val="none" w:sz="0" w:space="0" w:color="auto"/>
        <w:bottom w:val="none" w:sz="0" w:space="0" w:color="auto"/>
        <w:right w:val="none" w:sz="0" w:space="0" w:color="auto"/>
      </w:divBdr>
    </w:div>
    <w:div w:id="267936239">
      <w:bodyDiv w:val="1"/>
      <w:marLeft w:val="0"/>
      <w:marRight w:val="0"/>
      <w:marTop w:val="0"/>
      <w:marBottom w:val="0"/>
      <w:divBdr>
        <w:top w:val="none" w:sz="0" w:space="0" w:color="auto"/>
        <w:left w:val="none" w:sz="0" w:space="0" w:color="auto"/>
        <w:bottom w:val="none" w:sz="0" w:space="0" w:color="auto"/>
        <w:right w:val="none" w:sz="0" w:space="0" w:color="auto"/>
      </w:divBdr>
    </w:div>
    <w:div w:id="359431321">
      <w:bodyDiv w:val="1"/>
      <w:marLeft w:val="0"/>
      <w:marRight w:val="0"/>
      <w:marTop w:val="0"/>
      <w:marBottom w:val="0"/>
      <w:divBdr>
        <w:top w:val="none" w:sz="0" w:space="0" w:color="auto"/>
        <w:left w:val="none" w:sz="0" w:space="0" w:color="auto"/>
        <w:bottom w:val="none" w:sz="0" w:space="0" w:color="auto"/>
        <w:right w:val="none" w:sz="0" w:space="0" w:color="auto"/>
      </w:divBdr>
    </w:div>
    <w:div w:id="370350330">
      <w:bodyDiv w:val="1"/>
      <w:marLeft w:val="0"/>
      <w:marRight w:val="0"/>
      <w:marTop w:val="0"/>
      <w:marBottom w:val="0"/>
      <w:divBdr>
        <w:top w:val="none" w:sz="0" w:space="0" w:color="auto"/>
        <w:left w:val="none" w:sz="0" w:space="0" w:color="auto"/>
        <w:bottom w:val="none" w:sz="0" w:space="0" w:color="auto"/>
        <w:right w:val="none" w:sz="0" w:space="0" w:color="auto"/>
      </w:divBdr>
      <w:divsChild>
        <w:div w:id="895239341">
          <w:marLeft w:val="0"/>
          <w:marRight w:val="0"/>
          <w:marTop w:val="0"/>
          <w:marBottom w:val="0"/>
          <w:divBdr>
            <w:top w:val="none" w:sz="0" w:space="0" w:color="auto"/>
            <w:left w:val="none" w:sz="0" w:space="0" w:color="auto"/>
            <w:bottom w:val="none" w:sz="0" w:space="0" w:color="auto"/>
            <w:right w:val="none" w:sz="0" w:space="0" w:color="auto"/>
          </w:divBdr>
        </w:div>
        <w:div w:id="1007681750">
          <w:marLeft w:val="0"/>
          <w:marRight w:val="0"/>
          <w:marTop w:val="0"/>
          <w:marBottom w:val="0"/>
          <w:divBdr>
            <w:top w:val="none" w:sz="0" w:space="0" w:color="auto"/>
            <w:left w:val="none" w:sz="0" w:space="0" w:color="auto"/>
            <w:bottom w:val="none" w:sz="0" w:space="0" w:color="auto"/>
            <w:right w:val="none" w:sz="0" w:space="0" w:color="auto"/>
          </w:divBdr>
        </w:div>
      </w:divsChild>
    </w:div>
    <w:div w:id="376440778">
      <w:bodyDiv w:val="1"/>
      <w:marLeft w:val="0"/>
      <w:marRight w:val="0"/>
      <w:marTop w:val="0"/>
      <w:marBottom w:val="0"/>
      <w:divBdr>
        <w:top w:val="none" w:sz="0" w:space="0" w:color="auto"/>
        <w:left w:val="none" w:sz="0" w:space="0" w:color="auto"/>
        <w:bottom w:val="none" w:sz="0" w:space="0" w:color="auto"/>
        <w:right w:val="none" w:sz="0" w:space="0" w:color="auto"/>
      </w:divBdr>
    </w:div>
    <w:div w:id="396904456">
      <w:bodyDiv w:val="1"/>
      <w:marLeft w:val="0"/>
      <w:marRight w:val="0"/>
      <w:marTop w:val="0"/>
      <w:marBottom w:val="0"/>
      <w:divBdr>
        <w:top w:val="none" w:sz="0" w:space="0" w:color="auto"/>
        <w:left w:val="none" w:sz="0" w:space="0" w:color="auto"/>
        <w:bottom w:val="none" w:sz="0" w:space="0" w:color="auto"/>
        <w:right w:val="none" w:sz="0" w:space="0" w:color="auto"/>
      </w:divBdr>
    </w:div>
    <w:div w:id="408775000">
      <w:bodyDiv w:val="1"/>
      <w:marLeft w:val="0"/>
      <w:marRight w:val="0"/>
      <w:marTop w:val="0"/>
      <w:marBottom w:val="0"/>
      <w:divBdr>
        <w:top w:val="none" w:sz="0" w:space="0" w:color="auto"/>
        <w:left w:val="none" w:sz="0" w:space="0" w:color="auto"/>
        <w:bottom w:val="none" w:sz="0" w:space="0" w:color="auto"/>
        <w:right w:val="none" w:sz="0" w:space="0" w:color="auto"/>
      </w:divBdr>
    </w:div>
    <w:div w:id="413015993">
      <w:bodyDiv w:val="1"/>
      <w:marLeft w:val="0"/>
      <w:marRight w:val="0"/>
      <w:marTop w:val="0"/>
      <w:marBottom w:val="0"/>
      <w:divBdr>
        <w:top w:val="none" w:sz="0" w:space="0" w:color="auto"/>
        <w:left w:val="none" w:sz="0" w:space="0" w:color="auto"/>
        <w:bottom w:val="none" w:sz="0" w:space="0" w:color="auto"/>
        <w:right w:val="none" w:sz="0" w:space="0" w:color="auto"/>
      </w:divBdr>
      <w:divsChild>
        <w:div w:id="2037999827">
          <w:marLeft w:val="0"/>
          <w:marRight w:val="0"/>
          <w:marTop w:val="0"/>
          <w:marBottom w:val="0"/>
          <w:divBdr>
            <w:top w:val="none" w:sz="0" w:space="0" w:color="auto"/>
            <w:left w:val="none" w:sz="0" w:space="0" w:color="auto"/>
            <w:bottom w:val="none" w:sz="0" w:space="0" w:color="auto"/>
            <w:right w:val="none" w:sz="0" w:space="0" w:color="auto"/>
          </w:divBdr>
          <w:divsChild>
            <w:div w:id="2097558108">
              <w:marLeft w:val="0"/>
              <w:marRight w:val="0"/>
              <w:marTop w:val="0"/>
              <w:marBottom w:val="0"/>
              <w:divBdr>
                <w:top w:val="none" w:sz="0" w:space="0" w:color="auto"/>
                <w:left w:val="none" w:sz="0" w:space="0" w:color="auto"/>
                <w:bottom w:val="none" w:sz="0" w:space="0" w:color="auto"/>
                <w:right w:val="none" w:sz="0" w:space="0" w:color="auto"/>
              </w:divBdr>
              <w:divsChild>
                <w:div w:id="1871255794">
                  <w:marLeft w:val="0"/>
                  <w:marRight w:val="0"/>
                  <w:marTop w:val="0"/>
                  <w:marBottom w:val="0"/>
                  <w:divBdr>
                    <w:top w:val="none" w:sz="0" w:space="0" w:color="auto"/>
                    <w:left w:val="none" w:sz="0" w:space="0" w:color="auto"/>
                    <w:bottom w:val="none" w:sz="0" w:space="0" w:color="auto"/>
                    <w:right w:val="none" w:sz="0" w:space="0" w:color="auto"/>
                  </w:divBdr>
                  <w:divsChild>
                    <w:div w:id="1429230968">
                      <w:marLeft w:val="0"/>
                      <w:marRight w:val="0"/>
                      <w:marTop w:val="0"/>
                      <w:marBottom w:val="0"/>
                      <w:divBdr>
                        <w:top w:val="none" w:sz="0" w:space="0" w:color="auto"/>
                        <w:left w:val="none" w:sz="0" w:space="0" w:color="auto"/>
                        <w:bottom w:val="none" w:sz="0" w:space="0" w:color="auto"/>
                        <w:right w:val="none" w:sz="0" w:space="0" w:color="auto"/>
                      </w:divBdr>
                      <w:divsChild>
                        <w:div w:id="1603106346">
                          <w:marLeft w:val="0"/>
                          <w:marRight w:val="0"/>
                          <w:marTop w:val="0"/>
                          <w:marBottom w:val="0"/>
                          <w:divBdr>
                            <w:top w:val="none" w:sz="0" w:space="0" w:color="auto"/>
                            <w:left w:val="none" w:sz="0" w:space="0" w:color="auto"/>
                            <w:bottom w:val="none" w:sz="0" w:space="0" w:color="auto"/>
                            <w:right w:val="none" w:sz="0" w:space="0" w:color="auto"/>
                          </w:divBdr>
                          <w:divsChild>
                            <w:div w:id="1738475703">
                              <w:marLeft w:val="0"/>
                              <w:marRight w:val="0"/>
                              <w:marTop w:val="0"/>
                              <w:marBottom w:val="0"/>
                              <w:divBdr>
                                <w:top w:val="none" w:sz="0" w:space="0" w:color="auto"/>
                                <w:left w:val="none" w:sz="0" w:space="0" w:color="auto"/>
                                <w:bottom w:val="none" w:sz="0" w:space="0" w:color="auto"/>
                                <w:right w:val="none" w:sz="0" w:space="0" w:color="auto"/>
                              </w:divBdr>
                              <w:divsChild>
                                <w:div w:id="618996911">
                                  <w:marLeft w:val="0"/>
                                  <w:marRight w:val="0"/>
                                  <w:marTop w:val="0"/>
                                  <w:marBottom w:val="0"/>
                                  <w:divBdr>
                                    <w:top w:val="none" w:sz="0" w:space="0" w:color="auto"/>
                                    <w:left w:val="none" w:sz="0" w:space="0" w:color="auto"/>
                                    <w:bottom w:val="none" w:sz="0" w:space="0" w:color="auto"/>
                                    <w:right w:val="none" w:sz="0" w:space="0" w:color="auto"/>
                                  </w:divBdr>
                                  <w:divsChild>
                                    <w:div w:id="74399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167269">
      <w:bodyDiv w:val="1"/>
      <w:marLeft w:val="0"/>
      <w:marRight w:val="0"/>
      <w:marTop w:val="0"/>
      <w:marBottom w:val="0"/>
      <w:divBdr>
        <w:top w:val="none" w:sz="0" w:space="0" w:color="auto"/>
        <w:left w:val="none" w:sz="0" w:space="0" w:color="auto"/>
        <w:bottom w:val="none" w:sz="0" w:space="0" w:color="auto"/>
        <w:right w:val="none" w:sz="0" w:space="0" w:color="auto"/>
      </w:divBdr>
    </w:div>
    <w:div w:id="479886714">
      <w:bodyDiv w:val="1"/>
      <w:marLeft w:val="0"/>
      <w:marRight w:val="0"/>
      <w:marTop w:val="0"/>
      <w:marBottom w:val="0"/>
      <w:divBdr>
        <w:top w:val="none" w:sz="0" w:space="0" w:color="auto"/>
        <w:left w:val="none" w:sz="0" w:space="0" w:color="auto"/>
        <w:bottom w:val="none" w:sz="0" w:space="0" w:color="auto"/>
        <w:right w:val="none" w:sz="0" w:space="0" w:color="auto"/>
      </w:divBdr>
    </w:div>
    <w:div w:id="548952961">
      <w:bodyDiv w:val="1"/>
      <w:marLeft w:val="0"/>
      <w:marRight w:val="0"/>
      <w:marTop w:val="0"/>
      <w:marBottom w:val="0"/>
      <w:divBdr>
        <w:top w:val="none" w:sz="0" w:space="0" w:color="auto"/>
        <w:left w:val="none" w:sz="0" w:space="0" w:color="auto"/>
        <w:bottom w:val="none" w:sz="0" w:space="0" w:color="auto"/>
        <w:right w:val="none" w:sz="0" w:space="0" w:color="auto"/>
      </w:divBdr>
    </w:div>
    <w:div w:id="580992449">
      <w:bodyDiv w:val="1"/>
      <w:marLeft w:val="0"/>
      <w:marRight w:val="0"/>
      <w:marTop w:val="45"/>
      <w:marBottom w:val="45"/>
      <w:divBdr>
        <w:top w:val="none" w:sz="0" w:space="0" w:color="auto"/>
        <w:left w:val="none" w:sz="0" w:space="0" w:color="auto"/>
        <w:bottom w:val="none" w:sz="0" w:space="0" w:color="auto"/>
        <w:right w:val="none" w:sz="0" w:space="0" w:color="auto"/>
      </w:divBdr>
      <w:divsChild>
        <w:div w:id="104083146">
          <w:marLeft w:val="0"/>
          <w:marRight w:val="0"/>
          <w:marTop w:val="0"/>
          <w:marBottom w:val="0"/>
          <w:divBdr>
            <w:top w:val="none" w:sz="0" w:space="0" w:color="auto"/>
            <w:left w:val="none" w:sz="0" w:space="0" w:color="auto"/>
            <w:bottom w:val="none" w:sz="0" w:space="0" w:color="auto"/>
            <w:right w:val="none" w:sz="0" w:space="0" w:color="auto"/>
          </w:divBdr>
          <w:divsChild>
            <w:div w:id="540098341">
              <w:marLeft w:val="0"/>
              <w:marRight w:val="0"/>
              <w:marTop w:val="0"/>
              <w:marBottom w:val="0"/>
              <w:divBdr>
                <w:top w:val="none" w:sz="0" w:space="0" w:color="auto"/>
                <w:left w:val="none" w:sz="0" w:space="0" w:color="auto"/>
                <w:bottom w:val="none" w:sz="0" w:space="0" w:color="auto"/>
                <w:right w:val="none" w:sz="0" w:space="0" w:color="auto"/>
              </w:divBdr>
              <w:divsChild>
                <w:div w:id="519781681">
                  <w:marLeft w:val="2385"/>
                  <w:marRight w:val="3960"/>
                  <w:marTop w:val="0"/>
                  <w:marBottom w:val="0"/>
                  <w:divBdr>
                    <w:top w:val="none" w:sz="0" w:space="0" w:color="auto"/>
                    <w:left w:val="single" w:sz="6" w:space="0" w:color="D3E1F9"/>
                    <w:bottom w:val="none" w:sz="0" w:space="0" w:color="auto"/>
                    <w:right w:val="none" w:sz="0" w:space="0" w:color="auto"/>
                  </w:divBdr>
                  <w:divsChild>
                    <w:div w:id="2115860576">
                      <w:marLeft w:val="0"/>
                      <w:marRight w:val="0"/>
                      <w:marTop w:val="0"/>
                      <w:marBottom w:val="0"/>
                      <w:divBdr>
                        <w:top w:val="none" w:sz="0" w:space="0" w:color="auto"/>
                        <w:left w:val="none" w:sz="0" w:space="0" w:color="auto"/>
                        <w:bottom w:val="none" w:sz="0" w:space="0" w:color="auto"/>
                        <w:right w:val="none" w:sz="0" w:space="0" w:color="auto"/>
                      </w:divBdr>
                      <w:divsChild>
                        <w:div w:id="75937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228851">
      <w:bodyDiv w:val="1"/>
      <w:marLeft w:val="0"/>
      <w:marRight w:val="0"/>
      <w:marTop w:val="0"/>
      <w:marBottom w:val="0"/>
      <w:divBdr>
        <w:top w:val="none" w:sz="0" w:space="0" w:color="auto"/>
        <w:left w:val="none" w:sz="0" w:space="0" w:color="auto"/>
        <w:bottom w:val="none" w:sz="0" w:space="0" w:color="auto"/>
        <w:right w:val="none" w:sz="0" w:space="0" w:color="auto"/>
      </w:divBdr>
    </w:div>
    <w:div w:id="618922248">
      <w:bodyDiv w:val="1"/>
      <w:marLeft w:val="0"/>
      <w:marRight w:val="0"/>
      <w:marTop w:val="0"/>
      <w:marBottom w:val="0"/>
      <w:divBdr>
        <w:top w:val="none" w:sz="0" w:space="0" w:color="auto"/>
        <w:left w:val="none" w:sz="0" w:space="0" w:color="auto"/>
        <w:bottom w:val="none" w:sz="0" w:space="0" w:color="auto"/>
        <w:right w:val="none" w:sz="0" w:space="0" w:color="auto"/>
      </w:divBdr>
      <w:divsChild>
        <w:div w:id="1810052160">
          <w:marLeft w:val="0"/>
          <w:marRight w:val="0"/>
          <w:marTop w:val="0"/>
          <w:marBottom w:val="0"/>
          <w:divBdr>
            <w:top w:val="none" w:sz="0" w:space="0" w:color="auto"/>
            <w:left w:val="none" w:sz="0" w:space="0" w:color="auto"/>
            <w:bottom w:val="none" w:sz="0" w:space="0" w:color="auto"/>
            <w:right w:val="none" w:sz="0" w:space="0" w:color="auto"/>
          </w:divBdr>
        </w:div>
        <w:div w:id="132871220">
          <w:marLeft w:val="0"/>
          <w:marRight w:val="0"/>
          <w:marTop w:val="0"/>
          <w:marBottom w:val="0"/>
          <w:divBdr>
            <w:top w:val="none" w:sz="0" w:space="0" w:color="auto"/>
            <w:left w:val="none" w:sz="0" w:space="0" w:color="auto"/>
            <w:bottom w:val="none" w:sz="0" w:space="0" w:color="auto"/>
            <w:right w:val="none" w:sz="0" w:space="0" w:color="auto"/>
          </w:divBdr>
        </w:div>
      </w:divsChild>
    </w:div>
    <w:div w:id="732507106">
      <w:bodyDiv w:val="1"/>
      <w:marLeft w:val="0"/>
      <w:marRight w:val="0"/>
      <w:marTop w:val="0"/>
      <w:marBottom w:val="0"/>
      <w:divBdr>
        <w:top w:val="none" w:sz="0" w:space="0" w:color="auto"/>
        <w:left w:val="none" w:sz="0" w:space="0" w:color="auto"/>
        <w:bottom w:val="none" w:sz="0" w:space="0" w:color="auto"/>
        <w:right w:val="none" w:sz="0" w:space="0" w:color="auto"/>
      </w:divBdr>
    </w:div>
    <w:div w:id="852839521">
      <w:bodyDiv w:val="1"/>
      <w:marLeft w:val="0"/>
      <w:marRight w:val="0"/>
      <w:marTop w:val="0"/>
      <w:marBottom w:val="0"/>
      <w:divBdr>
        <w:top w:val="none" w:sz="0" w:space="0" w:color="auto"/>
        <w:left w:val="none" w:sz="0" w:space="0" w:color="auto"/>
        <w:bottom w:val="none" w:sz="0" w:space="0" w:color="auto"/>
        <w:right w:val="none" w:sz="0" w:space="0" w:color="auto"/>
      </w:divBdr>
    </w:div>
    <w:div w:id="892352254">
      <w:bodyDiv w:val="1"/>
      <w:marLeft w:val="0"/>
      <w:marRight w:val="0"/>
      <w:marTop w:val="0"/>
      <w:marBottom w:val="0"/>
      <w:divBdr>
        <w:top w:val="none" w:sz="0" w:space="0" w:color="auto"/>
        <w:left w:val="none" w:sz="0" w:space="0" w:color="auto"/>
        <w:bottom w:val="none" w:sz="0" w:space="0" w:color="auto"/>
        <w:right w:val="none" w:sz="0" w:space="0" w:color="auto"/>
      </w:divBdr>
    </w:div>
    <w:div w:id="902108757">
      <w:bodyDiv w:val="1"/>
      <w:marLeft w:val="0"/>
      <w:marRight w:val="0"/>
      <w:marTop w:val="0"/>
      <w:marBottom w:val="0"/>
      <w:divBdr>
        <w:top w:val="none" w:sz="0" w:space="0" w:color="auto"/>
        <w:left w:val="none" w:sz="0" w:space="0" w:color="auto"/>
        <w:bottom w:val="none" w:sz="0" w:space="0" w:color="auto"/>
        <w:right w:val="none" w:sz="0" w:space="0" w:color="auto"/>
      </w:divBdr>
    </w:div>
    <w:div w:id="909734840">
      <w:bodyDiv w:val="1"/>
      <w:marLeft w:val="0"/>
      <w:marRight w:val="0"/>
      <w:marTop w:val="0"/>
      <w:marBottom w:val="0"/>
      <w:divBdr>
        <w:top w:val="none" w:sz="0" w:space="0" w:color="auto"/>
        <w:left w:val="none" w:sz="0" w:space="0" w:color="auto"/>
        <w:bottom w:val="none" w:sz="0" w:space="0" w:color="auto"/>
        <w:right w:val="none" w:sz="0" w:space="0" w:color="auto"/>
      </w:divBdr>
    </w:div>
    <w:div w:id="918833182">
      <w:bodyDiv w:val="1"/>
      <w:marLeft w:val="0"/>
      <w:marRight w:val="0"/>
      <w:marTop w:val="0"/>
      <w:marBottom w:val="0"/>
      <w:divBdr>
        <w:top w:val="none" w:sz="0" w:space="0" w:color="auto"/>
        <w:left w:val="none" w:sz="0" w:space="0" w:color="auto"/>
        <w:bottom w:val="none" w:sz="0" w:space="0" w:color="auto"/>
        <w:right w:val="none" w:sz="0" w:space="0" w:color="auto"/>
      </w:divBdr>
      <w:divsChild>
        <w:div w:id="932863873">
          <w:marLeft w:val="0"/>
          <w:marRight w:val="0"/>
          <w:marTop w:val="0"/>
          <w:marBottom w:val="0"/>
          <w:divBdr>
            <w:top w:val="none" w:sz="0" w:space="0" w:color="auto"/>
            <w:left w:val="none" w:sz="0" w:space="0" w:color="auto"/>
            <w:bottom w:val="none" w:sz="0" w:space="0" w:color="auto"/>
            <w:right w:val="none" w:sz="0" w:space="0" w:color="auto"/>
          </w:divBdr>
        </w:div>
        <w:div w:id="1956518792">
          <w:marLeft w:val="0"/>
          <w:marRight w:val="0"/>
          <w:marTop w:val="0"/>
          <w:marBottom w:val="0"/>
          <w:divBdr>
            <w:top w:val="none" w:sz="0" w:space="0" w:color="auto"/>
            <w:left w:val="none" w:sz="0" w:space="0" w:color="auto"/>
            <w:bottom w:val="none" w:sz="0" w:space="0" w:color="auto"/>
            <w:right w:val="none" w:sz="0" w:space="0" w:color="auto"/>
          </w:divBdr>
        </w:div>
      </w:divsChild>
    </w:div>
    <w:div w:id="989746451">
      <w:bodyDiv w:val="1"/>
      <w:marLeft w:val="0"/>
      <w:marRight w:val="0"/>
      <w:marTop w:val="0"/>
      <w:marBottom w:val="0"/>
      <w:divBdr>
        <w:top w:val="none" w:sz="0" w:space="0" w:color="auto"/>
        <w:left w:val="none" w:sz="0" w:space="0" w:color="auto"/>
        <w:bottom w:val="none" w:sz="0" w:space="0" w:color="auto"/>
        <w:right w:val="none" w:sz="0" w:space="0" w:color="auto"/>
      </w:divBdr>
    </w:div>
    <w:div w:id="1055004730">
      <w:bodyDiv w:val="1"/>
      <w:marLeft w:val="0"/>
      <w:marRight w:val="0"/>
      <w:marTop w:val="0"/>
      <w:marBottom w:val="0"/>
      <w:divBdr>
        <w:top w:val="none" w:sz="0" w:space="0" w:color="auto"/>
        <w:left w:val="none" w:sz="0" w:space="0" w:color="auto"/>
        <w:bottom w:val="none" w:sz="0" w:space="0" w:color="auto"/>
        <w:right w:val="none" w:sz="0" w:space="0" w:color="auto"/>
      </w:divBdr>
    </w:div>
    <w:div w:id="1070271732">
      <w:bodyDiv w:val="1"/>
      <w:marLeft w:val="0"/>
      <w:marRight w:val="0"/>
      <w:marTop w:val="0"/>
      <w:marBottom w:val="0"/>
      <w:divBdr>
        <w:top w:val="none" w:sz="0" w:space="0" w:color="auto"/>
        <w:left w:val="none" w:sz="0" w:space="0" w:color="auto"/>
        <w:bottom w:val="none" w:sz="0" w:space="0" w:color="auto"/>
        <w:right w:val="none" w:sz="0" w:space="0" w:color="auto"/>
      </w:divBdr>
    </w:div>
    <w:div w:id="1088846871">
      <w:bodyDiv w:val="1"/>
      <w:marLeft w:val="0"/>
      <w:marRight w:val="0"/>
      <w:marTop w:val="0"/>
      <w:marBottom w:val="0"/>
      <w:divBdr>
        <w:top w:val="none" w:sz="0" w:space="0" w:color="auto"/>
        <w:left w:val="none" w:sz="0" w:space="0" w:color="auto"/>
        <w:bottom w:val="none" w:sz="0" w:space="0" w:color="auto"/>
        <w:right w:val="none" w:sz="0" w:space="0" w:color="auto"/>
      </w:divBdr>
    </w:div>
    <w:div w:id="1099717111">
      <w:bodyDiv w:val="1"/>
      <w:marLeft w:val="0"/>
      <w:marRight w:val="0"/>
      <w:marTop w:val="0"/>
      <w:marBottom w:val="0"/>
      <w:divBdr>
        <w:top w:val="none" w:sz="0" w:space="0" w:color="auto"/>
        <w:left w:val="none" w:sz="0" w:space="0" w:color="auto"/>
        <w:bottom w:val="none" w:sz="0" w:space="0" w:color="auto"/>
        <w:right w:val="none" w:sz="0" w:space="0" w:color="auto"/>
      </w:divBdr>
    </w:div>
    <w:div w:id="1101340990">
      <w:bodyDiv w:val="1"/>
      <w:marLeft w:val="0"/>
      <w:marRight w:val="0"/>
      <w:marTop w:val="0"/>
      <w:marBottom w:val="0"/>
      <w:divBdr>
        <w:top w:val="none" w:sz="0" w:space="0" w:color="auto"/>
        <w:left w:val="none" w:sz="0" w:space="0" w:color="auto"/>
        <w:bottom w:val="none" w:sz="0" w:space="0" w:color="auto"/>
        <w:right w:val="none" w:sz="0" w:space="0" w:color="auto"/>
      </w:divBdr>
    </w:div>
    <w:div w:id="1112281614">
      <w:bodyDiv w:val="1"/>
      <w:marLeft w:val="0"/>
      <w:marRight w:val="0"/>
      <w:marTop w:val="0"/>
      <w:marBottom w:val="0"/>
      <w:divBdr>
        <w:top w:val="none" w:sz="0" w:space="0" w:color="auto"/>
        <w:left w:val="none" w:sz="0" w:space="0" w:color="auto"/>
        <w:bottom w:val="none" w:sz="0" w:space="0" w:color="auto"/>
        <w:right w:val="none" w:sz="0" w:space="0" w:color="auto"/>
      </w:divBdr>
    </w:div>
    <w:div w:id="1243417855">
      <w:bodyDiv w:val="1"/>
      <w:marLeft w:val="0"/>
      <w:marRight w:val="0"/>
      <w:marTop w:val="0"/>
      <w:marBottom w:val="0"/>
      <w:divBdr>
        <w:top w:val="none" w:sz="0" w:space="0" w:color="auto"/>
        <w:left w:val="none" w:sz="0" w:space="0" w:color="auto"/>
        <w:bottom w:val="none" w:sz="0" w:space="0" w:color="auto"/>
        <w:right w:val="none" w:sz="0" w:space="0" w:color="auto"/>
      </w:divBdr>
    </w:div>
    <w:div w:id="1292980558">
      <w:bodyDiv w:val="1"/>
      <w:marLeft w:val="0"/>
      <w:marRight w:val="0"/>
      <w:marTop w:val="0"/>
      <w:marBottom w:val="0"/>
      <w:divBdr>
        <w:top w:val="none" w:sz="0" w:space="0" w:color="auto"/>
        <w:left w:val="none" w:sz="0" w:space="0" w:color="auto"/>
        <w:bottom w:val="none" w:sz="0" w:space="0" w:color="auto"/>
        <w:right w:val="none" w:sz="0" w:space="0" w:color="auto"/>
      </w:divBdr>
    </w:div>
    <w:div w:id="1293052543">
      <w:bodyDiv w:val="1"/>
      <w:marLeft w:val="0"/>
      <w:marRight w:val="0"/>
      <w:marTop w:val="0"/>
      <w:marBottom w:val="0"/>
      <w:divBdr>
        <w:top w:val="none" w:sz="0" w:space="0" w:color="auto"/>
        <w:left w:val="none" w:sz="0" w:space="0" w:color="auto"/>
        <w:bottom w:val="none" w:sz="0" w:space="0" w:color="auto"/>
        <w:right w:val="none" w:sz="0" w:space="0" w:color="auto"/>
      </w:divBdr>
    </w:div>
    <w:div w:id="1305088590">
      <w:bodyDiv w:val="1"/>
      <w:marLeft w:val="0"/>
      <w:marRight w:val="0"/>
      <w:marTop w:val="0"/>
      <w:marBottom w:val="0"/>
      <w:divBdr>
        <w:top w:val="none" w:sz="0" w:space="0" w:color="auto"/>
        <w:left w:val="none" w:sz="0" w:space="0" w:color="auto"/>
        <w:bottom w:val="none" w:sz="0" w:space="0" w:color="auto"/>
        <w:right w:val="none" w:sz="0" w:space="0" w:color="auto"/>
      </w:divBdr>
      <w:divsChild>
        <w:div w:id="736829181">
          <w:marLeft w:val="0"/>
          <w:marRight w:val="0"/>
          <w:marTop w:val="0"/>
          <w:marBottom w:val="0"/>
          <w:divBdr>
            <w:top w:val="none" w:sz="0" w:space="0" w:color="auto"/>
            <w:left w:val="none" w:sz="0" w:space="0" w:color="auto"/>
            <w:bottom w:val="none" w:sz="0" w:space="0" w:color="auto"/>
            <w:right w:val="none" w:sz="0" w:space="0" w:color="auto"/>
          </w:divBdr>
        </w:div>
        <w:div w:id="1363552337">
          <w:marLeft w:val="0"/>
          <w:marRight w:val="0"/>
          <w:marTop w:val="0"/>
          <w:marBottom w:val="0"/>
          <w:divBdr>
            <w:top w:val="none" w:sz="0" w:space="0" w:color="auto"/>
            <w:left w:val="none" w:sz="0" w:space="0" w:color="auto"/>
            <w:bottom w:val="none" w:sz="0" w:space="0" w:color="auto"/>
            <w:right w:val="none" w:sz="0" w:space="0" w:color="auto"/>
          </w:divBdr>
        </w:div>
      </w:divsChild>
    </w:div>
    <w:div w:id="1431659156">
      <w:bodyDiv w:val="1"/>
      <w:marLeft w:val="0"/>
      <w:marRight w:val="0"/>
      <w:marTop w:val="0"/>
      <w:marBottom w:val="0"/>
      <w:divBdr>
        <w:top w:val="none" w:sz="0" w:space="0" w:color="auto"/>
        <w:left w:val="none" w:sz="0" w:space="0" w:color="auto"/>
        <w:bottom w:val="none" w:sz="0" w:space="0" w:color="auto"/>
        <w:right w:val="none" w:sz="0" w:space="0" w:color="auto"/>
      </w:divBdr>
    </w:div>
    <w:div w:id="1476755213">
      <w:bodyDiv w:val="1"/>
      <w:marLeft w:val="0"/>
      <w:marRight w:val="0"/>
      <w:marTop w:val="0"/>
      <w:marBottom w:val="0"/>
      <w:divBdr>
        <w:top w:val="none" w:sz="0" w:space="0" w:color="auto"/>
        <w:left w:val="none" w:sz="0" w:space="0" w:color="auto"/>
        <w:bottom w:val="none" w:sz="0" w:space="0" w:color="auto"/>
        <w:right w:val="none" w:sz="0" w:space="0" w:color="auto"/>
      </w:divBdr>
    </w:div>
    <w:div w:id="1478374139">
      <w:bodyDiv w:val="1"/>
      <w:marLeft w:val="0"/>
      <w:marRight w:val="0"/>
      <w:marTop w:val="0"/>
      <w:marBottom w:val="0"/>
      <w:divBdr>
        <w:top w:val="none" w:sz="0" w:space="0" w:color="auto"/>
        <w:left w:val="none" w:sz="0" w:space="0" w:color="auto"/>
        <w:bottom w:val="none" w:sz="0" w:space="0" w:color="auto"/>
        <w:right w:val="none" w:sz="0" w:space="0" w:color="auto"/>
      </w:divBdr>
    </w:div>
    <w:div w:id="1480145314">
      <w:bodyDiv w:val="1"/>
      <w:marLeft w:val="0"/>
      <w:marRight w:val="0"/>
      <w:marTop w:val="0"/>
      <w:marBottom w:val="0"/>
      <w:divBdr>
        <w:top w:val="none" w:sz="0" w:space="0" w:color="auto"/>
        <w:left w:val="none" w:sz="0" w:space="0" w:color="auto"/>
        <w:bottom w:val="none" w:sz="0" w:space="0" w:color="auto"/>
        <w:right w:val="none" w:sz="0" w:space="0" w:color="auto"/>
      </w:divBdr>
    </w:div>
    <w:div w:id="1541701112">
      <w:bodyDiv w:val="1"/>
      <w:marLeft w:val="0"/>
      <w:marRight w:val="0"/>
      <w:marTop w:val="0"/>
      <w:marBottom w:val="0"/>
      <w:divBdr>
        <w:top w:val="none" w:sz="0" w:space="0" w:color="auto"/>
        <w:left w:val="none" w:sz="0" w:space="0" w:color="auto"/>
        <w:bottom w:val="none" w:sz="0" w:space="0" w:color="auto"/>
        <w:right w:val="none" w:sz="0" w:space="0" w:color="auto"/>
      </w:divBdr>
    </w:div>
    <w:div w:id="1545558480">
      <w:bodyDiv w:val="1"/>
      <w:marLeft w:val="0"/>
      <w:marRight w:val="0"/>
      <w:marTop w:val="0"/>
      <w:marBottom w:val="0"/>
      <w:divBdr>
        <w:top w:val="none" w:sz="0" w:space="0" w:color="auto"/>
        <w:left w:val="none" w:sz="0" w:space="0" w:color="auto"/>
        <w:bottom w:val="none" w:sz="0" w:space="0" w:color="auto"/>
        <w:right w:val="none" w:sz="0" w:space="0" w:color="auto"/>
      </w:divBdr>
    </w:div>
    <w:div w:id="1587229987">
      <w:bodyDiv w:val="1"/>
      <w:marLeft w:val="0"/>
      <w:marRight w:val="0"/>
      <w:marTop w:val="0"/>
      <w:marBottom w:val="0"/>
      <w:divBdr>
        <w:top w:val="none" w:sz="0" w:space="0" w:color="auto"/>
        <w:left w:val="none" w:sz="0" w:space="0" w:color="auto"/>
        <w:bottom w:val="none" w:sz="0" w:space="0" w:color="auto"/>
        <w:right w:val="none" w:sz="0" w:space="0" w:color="auto"/>
      </w:divBdr>
    </w:div>
    <w:div w:id="1657765313">
      <w:bodyDiv w:val="1"/>
      <w:marLeft w:val="0"/>
      <w:marRight w:val="0"/>
      <w:marTop w:val="0"/>
      <w:marBottom w:val="0"/>
      <w:divBdr>
        <w:top w:val="none" w:sz="0" w:space="0" w:color="auto"/>
        <w:left w:val="none" w:sz="0" w:space="0" w:color="auto"/>
        <w:bottom w:val="none" w:sz="0" w:space="0" w:color="auto"/>
        <w:right w:val="none" w:sz="0" w:space="0" w:color="auto"/>
      </w:divBdr>
    </w:div>
    <w:div w:id="1665544673">
      <w:bodyDiv w:val="1"/>
      <w:marLeft w:val="0"/>
      <w:marRight w:val="0"/>
      <w:marTop w:val="0"/>
      <w:marBottom w:val="0"/>
      <w:divBdr>
        <w:top w:val="none" w:sz="0" w:space="0" w:color="auto"/>
        <w:left w:val="none" w:sz="0" w:space="0" w:color="auto"/>
        <w:bottom w:val="none" w:sz="0" w:space="0" w:color="auto"/>
        <w:right w:val="none" w:sz="0" w:space="0" w:color="auto"/>
      </w:divBdr>
    </w:div>
    <w:div w:id="1676028558">
      <w:bodyDiv w:val="1"/>
      <w:marLeft w:val="0"/>
      <w:marRight w:val="0"/>
      <w:marTop w:val="0"/>
      <w:marBottom w:val="0"/>
      <w:divBdr>
        <w:top w:val="none" w:sz="0" w:space="0" w:color="auto"/>
        <w:left w:val="none" w:sz="0" w:space="0" w:color="auto"/>
        <w:bottom w:val="none" w:sz="0" w:space="0" w:color="auto"/>
        <w:right w:val="none" w:sz="0" w:space="0" w:color="auto"/>
      </w:divBdr>
    </w:div>
    <w:div w:id="1677878971">
      <w:bodyDiv w:val="1"/>
      <w:marLeft w:val="0"/>
      <w:marRight w:val="0"/>
      <w:marTop w:val="0"/>
      <w:marBottom w:val="0"/>
      <w:divBdr>
        <w:top w:val="none" w:sz="0" w:space="0" w:color="auto"/>
        <w:left w:val="none" w:sz="0" w:space="0" w:color="auto"/>
        <w:bottom w:val="none" w:sz="0" w:space="0" w:color="auto"/>
        <w:right w:val="none" w:sz="0" w:space="0" w:color="auto"/>
      </w:divBdr>
    </w:div>
    <w:div w:id="1681614724">
      <w:bodyDiv w:val="1"/>
      <w:marLeft w:val="0"/>
      <w:marRight w:val="0"/>
      <w:marTop w:val="0"/>
      <w:marBottom w:val="0"/>
      <w:divBdr>
        <w:top w:val="none" w:sz="0" w:space="0" w:color="auto"/>
        <w:left w:val="none" w:sz="0" w:space="0" w:color="auto"/>
        <w:bottom w:val="none" w:sz="0" w:space="0" w:color="auto"/>
        <w:right w:val="none" w:sz="0" w:space="0" w:color="auto"/>
      </w:divBdr>
    </w:div>
    <w:div w:id="1723676976">
      <w:bodyDiv w:val="1"/>
      <w:marLeft w:val="0"/>
      <w:marRight w:val="0"/>
      <w:marTop w:val="0"/>
      <w:marBottom w:val="0"/>
      <w:divBdr>
        <w:top w:val="none" w:sz="0" w:space="0" w:color="auto"/>
        <w:left w:val="none" w:sz="0" w:space="0" w:color="auto"/>
        <w:bottom w:val="none" w:sz="0" w:space="0" w:color="auto"/>
        <w:right w:val="none" w:sz="0" w:space="0" w:color="auto"/>
      </w:divBdr>
    </w:div>
    <w:div w:id="1733771002">
      <w:bodyDiv w:val="1"/>
      <w:marLeft w:val="0"/>
      <w:marRight w:val="0"/>
      <w:marTop w:val="0"/>
      <w:marBottom w:val="0"/>
      <w:divBdr>
        <w:top w:val="none" w:sz="0" w:space="0" w:color="auto"/>
        <w:left w:val="none" w:sz="0" w:space="0" w:color="auto"/>
        <w:bottom w:val="none" w:sz="0" w:space="0" w:color="auto"/>
        <w:right w:val="none" w:sz="0" w:space="0" w:color="auto"/>
      </w:divBdr>
    </w:div>
    <w:div w:id="1751191339">
      <w:bodyDiv w:val="1"/>
      <w:marLeft w:val="0"/>
      <w:marRight w:val="0"/>
      <w:marTop w:val="0"/>
      <w:marBottom w:val="0"/>
      <w:divBdr>
        <w:top w:val="none" w:sz="0" w:space="0" w:color="auto"/>
        <w:left w:val="none" w:sz="0" w:space="0" w:color="auto"/>
        <w:bottom w:val="none" w:sz="0" w:space="0" w:color="auto"/>
        <w:right w:val="none" w:sz="0" w:space="0" w:color="auto"/>
      </w:divBdr>
    </w:div>
    <w:div w:id="1751778484">
      <w:bodyDiv w:val="1"/>
      <w:marLeft w:val="0"/>
      <w:marRight w:val="0"/>
      <w:marTop w:val="0"/>
      <w:marBottom w:val="0"/>
      <w:divBdr>
        <w:top w:val="none" w:sz="0" w:space="0" w:color="auto"/>
        <w:left w:val="none" w:sz="0" w:space="0" w:color="auto"/>
        <w:bottom w:val="none" w:sz="0" w:space="0" w:color="auto"/>
        <w:right w:val="none" w:sz="0" w:space="0" w:color="auto"/>
      </w:divBdr>
    </w:div>
    <w:div w:id="1951233120">
      <w:bodyDiv w:val="1"/>
      <w:marLeft w:val="0"/>
      <w:marRight w:val="0"/>
      <w:marTop w:val="0"/>
      <w:marBottom w:val="0"/>
      <w:divBdr>
        <w:top w:val="none" w:sz="0" w:space="0" w:color="auto"/>
        <w:left w:val="none" w:sz="0" w:space="0" w:color="auto"/>
        <w:bottom w:val="none" w:sz="0" w:space="0" w:color="auto"/>
        <w:right w:val="none" w:sz="0" w:space="0" w:color="auto"/>
      </w:divBdr>
    </w:div>
    <w:div w:id="2030906646">
      <w:bodyDiv w:val="1"/>
      <w:marLeft w:val="0"/>
      <w:marRight w:val="0"/>
      <w:marTop w:val="0"/>
      <w:marBottom w:val="0"/>
      <w:divBdr>
        <w:top w:val="none" w:sz="0" w:space="0" w:color="auto"/>
        <w:left w:val="none" w:sz="0" w:space="0" w:color="auto"/>
        <w:bottom w:val="none" w:sz="0" w:space="0" w:color="auto"/>
        <w:right w:val="none" w:sz="0" w:space="0" w:color="auto"/>
      </w:divBdr>
    </w:div>
    <w:div w:id="2038432435">
      <w:bodyDiv w:val="1"/>
      <w:marLeft w:val="0"/>
      <w:marRight w:val="0"/>
      <w:marTop w:val="0"/>
      <w:marBottom w:val="0"/>
      <w:divBdr>
        <w:top w:val="none" w:sz="0" w:space="0" w:color="auto"/>
        <w:left w:val="none" w:sz="0" w:space="0" w:color="auto"/>
        <w:bottom w:val="none" w:sz="0" w:space="0" w:color="auto"/>
        <w:right w:val="none" w:sz="0" w:space="0" w:color="auto"/>
      </w:divBdr>
    </w:div>
    <w:div w:id="2130585771">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94646885">
          <w:marLeft w:val="0"/>
          <w:marRight w:val="0"/>
          <w:marTop w:val="0"/>
          <w:marBottom w:val="0"/>
          <w:divBdr>
            <w:top w:val="none" w:sz="0" w:space="0" w:color="auto"/>
            <w:left w:val="none" w:sz="0" w:space="0" w:color="auto"/>
            <w:bottom w:val="none" w:sz="0" w:space="0" w:color="auto"/>
            <w:right w:val="none" w:sz="0" w:space="0" w:color="auto"/>
          </w:divBdr>
          <w:divsChild>
            <w:div w:id="1093211396">
              <w:marLeft w:val="0"/>
              <w:marRight w:val="0"/>
              <w:marTop w:val="225"/>
              <w:marBottom w:val="0"/>
              <w:divBdr>
                <w:top w:val="none" w:sz="0" w:space="0" w:color="auto"/>
                <w:left w:val="none" w:sz="0" w:space="0" w:color="auto"/>
                <w:bottom w:val="none" w:sz="0" w:space="0" w:color="auto"/>
                <w:right w:val="none" w:sz="0" w:space="0" w:color="auto"/>
              </w:divBdr>
              <w:divsChild>
                <w:div w:id="243102676">
                  <w:marLeft w:val="1950"/>
                  <w:marRight w:val="2550"/>
                  <w:marTop w:val="0"/>
                  <w:marBottom w:val="0"/>
                  <w:divBdr>
                    <w:top w:val="none" w:sz="0" w:space="0" w:color="auto"/>
                    <w:left w:val="none" w:sz="0" w:space="0" w:color="auto"/>
                    <w:bottom w:val="none" w:sz="0" w:space="0" w:color="auto"/>
                    <w:right w:val="none" w:sz="0" w:space="0" w:color="auto"/>
                  </w:divBdr>
                  <w:divsChild>
                    <w:div w:id="14937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iencedirect.com/science?_ob=ArticleURL&amp;_udi=B6VBG-3V6095W-9&amp;_user=499884&amp;_rdoc=1&amp;_fmt=&amp;_orig=search&amp;_sort=d&amp;_docanchor=&amp;view=c&amp;_searchStrId=1171755326&amp;_rerunOrigin=google&amp;_acct=C000024499&amp;_version=1&amp;_urlVersion=0&amp;_userid=499884&amp;md5=d3eb8c86507cf34e91f4511924b2f5e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571C3-A48A-4E23-A079-09353F50E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23120</Words>
  <Characters>127162</Characters>
  <Application>Microsoft Office Word</Application>
  <DocSecurity>0</DocSecurity>
  <Lines>1059</Lines>
  <Paragraphs>299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Home PC</Company>
  <LinksUpToDate>false</LinksUpToDate>
  <CharactersWithSpaces>149983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Hosan</cp:lastModifiedBy>
  <cp:revision>15</cp:revision>
  <cp:lastPrinted>2011-03-11T12:41:00Z</cp:lastPrinted>
  <dcterms:created xsi:type="dcterms:W3CDTF">2011-03-11T04:18:00Z</dcterms:created>
  <dcterms:modified xsi:type="dcterms:W3CDTF">2011-03-11T12:41:00Z</dcterms:modified>
</cp:coreProperties>
</file>