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5A81" w:rsidRDefault="00E85A81">
      <w:pPr>
        <w:autoSpaceDE w:val="0"/>
        <w:autoSpaceDN w:val="0"/>
        <w:adjustRightInd w:val="0"/>
        <w:spacing w:line="360" w:lineRule="auto"/>
        <w:jc w:val="center"/>
        <w:rPr>
          <w:rFonts w:ascii="Times New Roman" w:hAnsi="Times New Roman" w:cs="Times New Roman"/>
          <w:b/>
          <w:bCs/>
          <w:sz w:val="52"/>
          <w:szCs w:val="52"/>
        </w:rPr>
      </w:pPr>
    </w:p>
    <w:p w:rsidR="00E85A81" w:rsidRDefault="00E85A81">
      <w:pPr>
        <w:autoSpaceDE w:val="0"/>
        <w:autoSpaceDN w:val="0"/>
        <w:adjustRightInd w:val="0"/>
        <w:spacing w:line="360" w:lineRule="auto"/>
        <w:jc w:val="center"/>
        <w:rPr>
          <w:b/>
          <w:bCs/>
          <w:color w:val="0000FF"/>
          <w:sz w:val="52"/>
          <w:szCs w:val="52"/>
        </w:rPr>
      </w:pPr>
      <w:r>
        <w:rPr>
          <w:b/>
          <w:bCs/>
          <w:sz w:val="52"/>
          <w:szCs w:val="52"/>
        </w:rPr>
        <w:t>Bachelor</w:t>
      </w:r>
      <w:r>
        <w:rPr>
          <w:b/>
          <w:bCs/>
          <w:color w:val="0000FF"/>
          <w:sz w:val="52"/>
          <w:szCs w:val="52"/>
        </w:rPr>
        <w:t xml:space="preserve"> </w:t>
      </w:r>
      <w:r>
        <w:rPr>
          <w:b/>
          <w:bCs/>
          <w:sz w:val="52"/>
          <w:szCs w:val="52"/>
        </w:rPr>
        <w:t>Thesis</w:t>
      </w:r>
      <w:r>
        <w:rPr>
          <w:b/>
          <w:bCs/>
          <w:color w:val="0000FF"/>
          <w:sz w:val="52"/>
          <w:szCs w:val="52"/>
        </w:rPr>
        <w:t xml:space="preserve"> </w:t>
      </w:r>
    </w:p>
    <w:p w:rsidR="00E85A81" w:rsidRDefault="00E85A81">
      <w:pPr>
        <w:autoSpaceDE w:val="0"/>
        <w:autoSpaceDN w:val="0"/>
        <w:adjustRightInd w:val="0"/>
        <w:spacing w:after="0" w:line="360" w:lineRule="auto"/>
        <w:jc w:val="center"/>
        <w:rPr>
          <w:rFonts w:ascii="Times New Roman" w:hAnsi="Times New Roman" w:cs="Times New Roman"/>
          <w:color w:val="000000"/>
          <w:sz w:val="40"/>
          <w:szCs w:val="40"/>
          <w:u w:val="single"/>
        </w:rPr>
      </w:pPr>
      <w:r>
        <w:rPr>
          <w:color w:val="000000"/>
          <w:sz w:val="40"/>
          <w:szCs w:val="40"/>
          <w:u w:val="single"/>
        </w:rPr>
        <w:t>Cultural Impact on Accounting Practices</w:t>
      </w:r>
    </w:p>
    <w:p w:rsidR="00E85A81" w:rsidRDefault="00E85A81">
      <w:pPr>
        <w:autoSpaceDE w:val="0"/>
        <w:autoSpaceDN w:val="0"/>
        <w:adjustRightInd w:val="0"/>
        <w:spacing w:after="0" w:line="360" w:lineRule="auto"/>
        <w:jc w:val="center"/>
        <w:rPr>
          <w:i/>
          <w:iCs/>
          <w:color w:val="000000"/>
          <w:sz w:val="36"/>
          <w:szCs w:val="36"/>
        </w:rPr>
      </w:pPr>
      <w:r>
        <w:rPr>
          <w:i/>
          <w:iCs/>
          <w:color w:val="000000"/>
          <w:sz w:val="36"/>
          <w:szCs w:val="36"/>
        </w:rPr>
        <w:t>Does it disappear after the introduction of IFRS?</w:t>
      </w:r>
    </w:p>
    <w:p w:rsidR="00E85A81" w:rsidRDefault="00E85A81">
      <w:pPr>
        <w:autoSpaceDE w:val="0"/>
        <w:autoSpaceDN w:val="0"/>
        <w:adjustRightInd w:val="0"/>
        <w:spacing w:after="0"/>
        <w:jc w:val="center"/>
        <w:rPr>
          <w:rFonts w:ascii="Times New Roman" w:hAnsi="Times New Roman" w:cs="Times New Roman"/>
          <w:color w:val="000000"/>
          <w:sz w:val="40"/>
          <w:szCs w:val="40"/>
          <w:u w:val="single"/>
        </w:rPr>
      </w:pPr>
    </w:p>
    <w:p w:rsidR="00E85A81" w:rsidRDefault="00E85A81">
      <w:pPr>
        <w:autoSpaceDE w:val="0"/>
        <w:autoSpaceDN w:val="0"/>
        <w:adjustRightInd w:val="0"/>
        <w:rPr>
          <w:rFonts w:ascii="Times New Roman" w:hAnsi="Times New Roman" w:cs="Times New Roman"/>
          <w:color w:val="000000"/>
          <w:sz w:val="28"/>
          <w:szCs w:val="28"/>
        </w:rPr>
      </w:pPr>
      <w:r>
        <w:rPr>
          <w:noProof/>
          <w:lang w:val="nl-NL" w:eastAsia="nl-N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6" type="#_x0000_t75" style="position:absolute;left:0;text-align:left;margin-left:1in;margin-top:22.4pt;width:319.5pt;height:76.5pt;z-index:-251656704;visibility:visible">
            <v:imagedata r:id="rId7" o:title="" chromakey="white" grayscale="t"/>
          </v:shape>
        </w:pict>
      </w:r>
    </w:p>
    <w:p w:rsidR="00E85A81" w:rsidRDefault="00E85A81">
      <w:pPr>
        <w:autoSpaceDE w:val="0"/>
        <w:autoSpaceDN w:val="0"/>
        <w:adjustRightInd w:val="0"/>
        <w:rPr>
          <w:rFonts w:ascii="Times New Roman" w:hAnsi="Times New Roman" w:cs="Times New Roman"/>
          <w:color w:val="000000"/>
          <w:sz w:val="28"/>
          <w:szCs w:val="28"/>
        </w:rPr>
      </w:pPr>
    </w:p>
    <w:p w:rsidR="00E85A81" w:rsidRDefault="00E85A81">
      <w:pPr>
        <w:autoSpaceDE w:val="0"/>
        <w:autoSpaceDN w:val="0"/>
        <w:adjustRightInd w:val="0"/>
        <w:rPr>
          <w:rFonts w:ascii="Times New Roman" w:hAnsi="Times New Roman" w:cs="Times New Roman"/>
          <w:color w:val="000000"/>
          <w:sz w:val="28"/>
          <w:szCs w:val="28"/>
        </w:rPr>
      </w:pPr>
    </w:p>
    <w:p w:rsidR="00E85A81" w:rsidRDefault="00E85A81">
      <w:pPr>
        <w:autoSpaceDE w:val="0"/>
        <w:autoSpaceDN w:val="0"/>
        <w:adjustRightInd w:val="0"/>
        <w:rPr>
          <w:rFonts w:ascii="Times New Roman" w:hAnsi="Times New Roman" w:cs="Times New Roman"/>
          <w:color w:val="000000"/>
          <w:sz w:val="28"/>
          <w:szCs w:val="28"/>
        </w:rPr>
      </w:pPr>
    </w:p>
    <w:p w:rsidR="00E85A81" w:rsidRDefault="00E85A81">
      <w:pPr>
        <w:autoSpaceDE w:val="0"/>
        <w:autoSpaceDN w:val="0"/>
        <w:adjustRightInd w:val="0"/>
        <w:rPr>
          <w:rFonts w:ascii="Times New Roman" w:hAnsi="Times New Roman" w:cs="Times New Roman"/>
          <w:color w:val="000000"/>
          <w:sz w:val="28"/>
          <w:szCs w:val="28"/>
        </w:rPr>
      </w:pPr>
    </w:p>
    <w:p w:rsidR="00E85A81" w:rsidRDefault="00E85A81">
      <w:pPr>
        <w:pStyle w:val="Default"/>
        <w:spacing w:line="360" w:lineRule="auto"/>
        <w:jc w:val="center"/>
        <w:rPr>
          <w:rFonts w:ascii="Times New Roman" w:hAnsi="Times New Roman" w:cs="Times New Roman"/>
          <w:b/>
          <w:bCs/>
          <w:sz w:val="32"/>
          <w:szCs w:val="32"/>
        </w:rPr>
      </w:pPr>
      <w:r>
        <w:rPr>
          <w:rFonts w:ascii="Times New Roman" w:hAnsi="Times New Roman" w:cs="Times New Roman"/>
          <w:b/>
          <w:bCs/>
          <w:sz w:val="32"/>
          <w:szCs w:val="32"/>
        </w:rPr>
        <w:t>Supervisors: dr C.D. Knoops and drs H.J. Bouwer</w:t>
      </w:r>
    </w:p>
    <w:p w:rsidR="00E85A81" w:rsidRDefault="00E85A81">
      <w:pPr>
        <w:autoSpaceDE w:val="0"/>
        <w:autoSpaceDN w:val="0"/>
        <w:adjustRightInd w:val="0"/>
        <w:spacing w:after="0" w:line="360" w:lineRule="auto"/>
        <w:jc w:val="center"/>
        <w:rPr>
          <w:b/>
          <w:bCs/>
          <w:color w:val="000000"/>
          <w:sz w:val="28"/>
          <w:szCs w:val="28"/>
        </w:rPr>
      </w:pPr>
      <w:r>
        <w:rPr>
          <w:b/>
          <w:bCs/>
          <w:color w:val="000000"/>
          <w:sz w:val="28"/>
          <w:szCs w:val="28"/>
        </w:rPr>
        <w:t>ERASMUS UNIVERSITY ROTTERDAM</w:t>
      </w:r>
    </w:p>
    <w:p w:rsidR="00E85A81" w:rsidRDefault="00E85A81">
      <w:pPr>
        <w:autoSpaceDE w:val="0"/>
        <w:autoSpaceDN w:val="0"/>
        <w:adjustRightInd w:val="0"/>
        <w:spacing w:after="0" w:line="360" w:lineRule="auto"/>
        <w:jc w:val="center"/>
        <w:rPr>
          <w:b/>
          <w:bCs/>
          <w:color w:val="000000"/>
          <w:sz w:val="28"/>
          <w:szCs w:val="28"/>
        </w:rPr>
      </w:pPr>
      <w:r>
        <w:rPr>
          <w:b/>
          <w:bCs/>
          <w:color w:val="000000"/>
          <w:sz w:val="28"/>
          <w:szCs w:val="28"/>
        </w:rPr>
        <w:t>Erasmus School of Economics</w:t>
      </w:r>
    </w:p>
    <w:p w:rsidR="00E85A81" w:rsidRDefault="00E85A81">
      <w:pPr>
        <w:autoSpaceDE w:val="0"/>
        <w:autoSpaceDN w:val="0"/>
        <w:adjustRightInd w:val="0"/>
        <w:spacing w:after="0" w:line="360" w:lineRule="auto"/>
        <w:jc w:val="center"/>
        <w:rPr>
          <w:b/>
          <w:bCs/>
          <w:color w:val="000000"/>
          <w:sz w:val="28"/>
          <w:szCs w:val="28"/>
        </w:rPr>
      </w:pPr>
      <w:r>
        <w:rPr>
          <w:b/>
          <w:bCs/>
          <w:color w:val="000000"/>
          <w:sz w:val="28"/>
          <w:szCs w:val="28"/>
        </w:rPr>
        <w:t>Section: Accounting, Auditing and Control</w:t>
      </w:r>
    </w:p>
    <w:p w:rsidR="00E85A81" w:rsidRDefault="00E85A81">
      <w:pPr>
        <w:autoSpaceDE w:val="0"/>
        <w:autoSpaceDN w:val="0"/>
        <w:adjustRightInd w:val="0"/>
        <w:rPr>
          <w:rFonts w:ascii="Times New Roman" w:hAnsi="Times New Roman" w:cs="Times New Roman"/>
          <w:color w:val="000000"/>
          <w:sz w:val="28"/>
          <w:szCs w:val="28"/>
        </w:rPr>
      </w:pPr>
    </w:p>
    <w:p w:rsidR="00E85A81" w:rsidRDefault="00E85A81">
      <w:pPr>
        <w:autoSpaceDE w:val="0"/>
        <w:autoSpaceDN w:val="0"/>
        <w:adjustRightInd w:val="0"/>
        <w:rPr>
          <w:rFonts w:ascii="Times New Roman" w:hAnsi="Times New Roman" w:cs="Times New Roman"/>
          <w:color w:val="000000"/>
          <w:sz w:val="28"/>
          <w:szCs w:val="28"/>
        </w:rPr>
      </w:pPr>
    </w:p>
    <w:p w:rsidR="00E85A81" w:rsidRDefault="00E85A81">
      <w:pPr>
        <w:tabs>
          <w:tab w:val="left" w:pos="1950"/>
        </w:tabs>
        <w:autoSpaceDE w:val="0"/>
        <w:autoSpaceDN w:val="0"/>
        <w:adjustRightInd w:val="0"/>
        <w:spacing w:after="120"/>
        <w:rPr>
          <w:color w:val="000000"/>
          <w:sz w:val="28"/>
          <w:szCs w:val="28"/>
          <w:lang w:val="nl-NL"/>
        </w:rPr>
      </w:pPr>
      <w:r>
        <w:rPr>
          <w:color w:val="000000"/>
          <w:sz w:val="28"/>
          <w:szCs w:val="28"/>
          <w:lang w:val="nl-NL"/>
        </w:rPr>
        <w:t>Name</w:t>
      </w:r>
      <w:r>
        <w:rPr>
          <w:color w:val="000000"/>
          <w:sz w:val="28"/>
          <w:szCs w:val="28"/>
          <w:lang w:val="nl-NL"/>
        </w:rPr>
        <w:tab/>
        <w:t>: Bebi Merinda</w:t>
      </w:r>
    </w:p>
    <w:p w:rsidR="00E85A81" w:rsidRDefault="00E85A81">
      <w:pPr>
        <w:tabs>
          <w:tab w:val="left" w:pos="1950"/>
        </w:tabs>
        <w:autoSpaceDE w:val="0"/>
        <w:autoSpaceDN w:val="0"/>
        <w:adjustRightInd w:val="0"/>
        <w:spacing w:after="120"/>
        <w:rPr>
          <w:color w:val="000000"/>
          <w:sz w:val="28"/>
          <w:szCs w:val="28"/>
          <w:lang w:val="nl-NL"/>
        </w:rPr>
      </w:pPr>
      <w:r>
        <w:rPr>
          <w:color w:val="000000"/>
          <w:sz w:val="28"/>
          <w:szCs w:val="28"/>
          <w:lang w:val="nl-NL"/>
        </w:rPr>
        <w:t>Student number</w:t>
      </w:r>
      <w:r>
        <w:rPr>
          <w:rFonts w:ascii="Times New Roman" w:hAnsi="Times New Roman" w:cs="Times New Roman"/>
          <w:color w:val="000000"/>
          <w:sz w:val="28"/>
          <w:szCs w:val="28"/>
          <w:lang w:val="nl-NL"/>
        </w:rPr>
        <w:tab/>
      </w:r>
      <w:r>
        <w:rPr>
          <w:color w:val="000000"/>
          <w:sz w:val="28"/>
          <w:szCs w:val="28"/>
          <w:lang w:val="nl-NL"/>
        </w:rPr>
        <w:t>: 326348</w:t>
      </w:r>
    </w:p>
    <w:p w:rsidR="00E85A81" w:rsidRDefault="00E85A81">
      <w:pPr>
        <w:tabs>
          <w:tab w:val="left" w:pos="1950"/>
        </w:tabs>
        <w:spacing w:after="120"/>
        <w:rPr>
          <w:rFonts w:ascii="Times New Roman" w:hAnsi="Times New Roman" w:cs="Times New Roman"/>
          <w:sz w:val="28"/>
          <w:szCs w:val="28"/>
        </w:rPr>
      </w:pPr>
      <w:r>
        <w:rPr>
          <w:color w:val="000000"/>
          <w:sz w:val="28"/>
          <w:szCs w:val="28"/>
        </w:rPr>
        <w:t>E-mail address</w:t>
      </w:r>
      <w:r>
        <w:rPr>
          <w:color w:val="000000"/>
          <w:sz w:val="28"/>
          <w:szCs w:val="28"/>
        </w:rPr>
        <w:tab/>
        <w:t>: bebimerinda@gmail.com</w:t>
      </w:r>
    </w:p>
    <w:p w:rsidR="00E85A81" w:rsidRDefault="00E85A81">
      <w:pPr>
        <w:pStyle w:val="Heading1"/>
        <w:rPr>
          <w:rFonts w:ascii="Times New Roman" w:hAnsi="Times New Roman" w:cs="Times New Roman"/>
        </w:rPr>
      </w:pPr>
      <w:r>
        <w:rPr>
          <w:rFonts w:ascii="Times New Roman" w:hAnsi="Times New Roman" w:cs="Times New Roman"/>
        </w:rPr>
        <w:br w:type="page"/>
      </w:r>
      <w:bookmarkStart w:id="0" w:name="_Toc296002192"/>
      <w:r>
        <w:rPr>
          <w:rFonts w:ascii="Times New Roman" w:hAnsi="Times New Roman" w:cs="Times New Roman"/>
        </w:rPr>
        <w:t>Table of Contents</w:t>
      </w:r>
      <w:bookmarkEnd w:id="0"/>
    </w:p>
    <w:p w:rsidR="00E85A81" w:rsidRDefault="00E85A81">
      <w:pPr>
        <w:pStyle w:val="TOC1"/>
        <w:tabs>
          <w:tab w:val="right" w:leader="dot" w:pos="9394"/>
        </w:tabs>
        <w:rPr>
          <w:noProof/>
        </w:rPr>
      </w:pPr>
      <w:r>
        <w:fldChar w:fldCharType="begin"/>
      </w:r>
      <w:r>
        <w:instrText xml:space="preserve"> TOC \o "1-3" \h \z \u </w:instrText>
      </w:r>
      <w:r>
        <w:fldChar w:fldCharType="separate"/>
      </w:r>
      <w:hyperlink w:anchor="_Toc296002192" w:history="1">
        <w:r>
          <w:rPr>
            <w:rStyle w:val="Hyperlink"/>
            <w:rFonts w:ascii="Calibri" w:hAnsi="Calibri" w:cs="Calibri"/>
            <w:noProof/>
          </w:rPr>
          <w:t>Table of Contents</w:t>
        </w:r>
        <w:r>
          <w:rPr>
            <w:rFonts w:ascii="Times New Roman" w:hAnsi="Times New Roman" w:cs="Times New Roman"/>
            <w:noProof/>
            <w:webHidden/>
          </w:rPr>
          <w:tab/>
        </w:r>
        <w:r>
          <w:rPr>
            <w:noProof/>
            <w:webHidden/>
          </w:rPr>
          <w:fldChar w:fldCharType="begin"/>
        </w:r>
        <w:r>
          <w:rPr>
            <w:noProof/>
            <w:webHidden/>
          </w:rPr>
          <w:instrText xml:space="preserve"> PAGEREF _Toc296002192 \h </w:instrText>
        </w:r>
        <w:r>
          <w:rPr>
            <w:rFonts w:ascii="Times New Roman" w:hAnsi="Times New Roman" w:cs="Times New Roman"/>
            <w:noProof/>
            <w:webHidden/>
          </w:rPr>
        </w:r>
        <w:r>
          <w:rPr>
            <w:noProof/>
            <w:webHidden/>
          </w:rPr>
          <w:fldChar w:fldCharType="separate"/>
        </w:r>
        <w:r>
          <w:rPr>
            <w:noProof/>
            <w:webHidden/>
          </w:rPr>
          <w:t>2</w:t>
        </w:r>
        <w:r>
          <w:rPr>
            <w:noProof/>
            <w:webHidden/>
          </w:rPr>
          <w:fldChar w:fldCharType="end"/>
        </w:r>
      </w:hyperlink>
    </w:p>
    <w:p w:rsidR="00E85A81" w:rsidRDefault="00E85A81">
      <w:pPr>
        <w:pStyle w:val="TOC1"/>
        <w:tabs>
          <w:tab w:val="left" w:pos="440"/>
          <w:tab w:val="right" w:leader="dot" w:pos="9394"/>
        </w:tabs>
        <w:rPr>
          <w:noProof/>
        </w:rPr>
      </w:pPr>
      <w:hyperlink w:anchor="_Toc296002193" w:history="1">
        <w:r>
          <w:rPr>
            <w:rStyle w:val="Hyperlink"/>
            <w:rFonts w:ascii="Calibri" w:hAnsi="Calibri" w:cs="Calibri"/>
            <w:noProof/>
          </w:rPr>
          <w:t>1.</w:t>
        </w:r>
        <w:r>
          <w:rPr>
            <w:noProof/>
          </w:rPr>
          <w:tab/>
        </w:r>
        <w:r>
          <w:rPr>
            <w:rStyle w:val="Hyperlink"/>
            <w:rFonts w:ascii="Calibri" w:hAnsi="Calibri" w:cs="Calibri"/>
            <w:noProof/>
          </w:rPr>
          <w:t>Introduction</w:t>
        </w:r>
        <w:r>
          <w:rPr>
            <w:rFonts w:ascii="Times New Roman" w:hAnsi="Times New Roman" w:cs="Times New Roman"/>
            <w:noProof/>
            <w:webHidden/>
          </w:rPr>
          <w:tab/>
        </w:r>
        <w:r>
          <w:rPr>
            <w:noProof/>
            <w:webHidden/>
          </w:rPr>
          <w:fldChar w:fldCharType="begin"/>
        </w:r>
        <w:r>
          <w:rPr>
            <w:noProof/>
            <w:webHidden/>
          </w:rPr>
          <w:instrText xml:space="preserve"> PAGEREF _Toc296002193 \h </w:instrText>
        </w:r>
        <w:r>
          <w:rPr>
            <w:rFonts w:ascii="Times New Roman" w:hAnsi="Times New Roman" w:cs="Times New Roman"/>
            <w:noProof/>
            <w:webHidden/>
          </w:rPr>
        </w:r>
        <w:r>
          <w:rPr>
            <w:noProof/>
            <w:webHidden/>
          </w:rPr>
          <w:fldChar w:fldCharType="separate"/>
        </w:r>
        <w:r>
          <w:rPr>
            <w:noProof/>
            <w:webHidden/>
          </w:rPr>
          <w:t>4</w:t>
        </w:r>
        <w:r>
          <w:rPr>
            <w:noProof/>
            <w:webHidden/>
          </w:rPr>
          <w:fldChar w:fldCharType="end"/>
        </w:r>
      </w:hyperlink>
    </w:p>
    <w:p w:rsidR="00E85A81" w:rsidRDefault="00E85A81">
      <w:pPr>
        <w:pStyle w:val="TOC2"/>
        <w:tabs>
          <w:tab w:val="left" w:pos="880"/>
          <w:tab w:val="right" w:leader="dot" w:pos="9394"/>
        </w:tabs>
        <w:rPr>
          <w:noProof/>
        </w:rPr>
      </w:pPr>
      <w:hyperlink w:anchor="_Toc296002194" w:history="1">
        <w:r>
          <w:rPr>
            <w:rStyle w:val="Hyperlink"/>
            <w:rFonts w:ascii="Calibri" w:hAnsi="Calibri" w:cs="Calibri"/>
            <w:noProof/>
          </w:rPr>
          <w:t>1.1.</w:t>
        </w:r>
        <w:r>
          <w:rPr>
            <w:noProof/>
          </w:rPr>
          <w:tab/>
        </w:r>
        <w:r>
          <w:rPr>
            <w:rStyle w:val="Hyperlink"/>
            <w:rFonts w:ascii="Calibri" w:hAnsi="Calibri" w:cs="Calibri"/>
            <w:noProof/>
          </w:rPr>
          <w:t>Background</w:t>
        </w:r>
        <w:r>
          <w:rPr>
            <w:rFonts w:ascii="Times New Roman" w:hAnsi="Times New Roman" w:cs="Times New Roman"/>
            <w:noProof/>
            <w:webHidden/>
          </w:rPr>
          <w:tab/>
        </w:r>
        <w:r>
          <w:rPr>
            <w:noProof/>
            <w:webHidden/>
          </w:rPr>
          <w:fldChar w:fldCharType="begin"/>
        </w:r>
        <w:r>
          <w:rPr>
            <w:noProof/>
            <w:webHidden/>
          </w:rPr>
          <w:instrText xml:space="preserve"> PAGEREF _Toc296002194 \h </w:instrText>
        </w:r>
        <w:r>
          <w:rPr>
            <w:rFonts w:ascii="Times New Roman" w:hAnsi="Times New Roman" w:cs="Times New Roman"/>
            <w:noProof/>
            <w:webHidden/>
          </w:rPr>
        </w:r>
        <w:r>
          <w:rPr>
            <w:noProof/>
            <w:webHidden/>
          </w:rPr>
          <w:fldChar w:fldCharType="separate"/>
        </w:r>
        <w:r>
          <w:rPr>
            <w:noProof/>
            <w:webHidden/>
          </w:rPr>
          <w:t>4</w:t>
        </w:r>
        <w:r>
          <w:rPr>
            <w:noProof/>
            <w:webHidden/>
          </w:rPr>
          <w:fldChar w:fldCharType="end"/>
        </w:r>
      </w:hyperlink>
    </w:p>
    <w:p w:rsidR="00E85A81" w:rsidRDefault="00E85A81">
      <w:pPr>
        <w:pStyle w:val="TOC2"/>
        <w:tabs>
          <w:tab w:val="left" w:pos="880"/>
          <w:tab w:val="right" w:leader="dot" w:pos="9394"/>
        </w:tabs>
        <w:rPr>
          <w:noProof/>
        </w:rPr>
      </w:pPr>
      <w:hyperlink w:anchor="_Toc296002195" w:history="1">
        <w:r>
          <w:rPr>
            <w:rStyle w:val="Hyperlink"/>
            <w:rFonts w:ascii="Calibri" w:hAnsi="Calibri" w:cs="Calibri"/>
            <w:noProof/>
          </w:rPr>
          <w:t>1.2.</w:t>
        </w:r>
        <w:r>
          <w:rPr>
            <w:noProof/>
          </w:rPr>
          <w:tab/>
        </w:r>
        <w:r>
          <w:rPr>
            <w:rStyle w:val="Hyperlink"/>
            <w:rFonts w:ascii="Calibri" w:hAnsi="Calibri" w:cs="Calibri"/>
            <w:noProof/>
          </w:rPr>
          <w:t>Problem definition</w:t>
        </w:r>
        <w:r>
          <w:rPr>
            <w:rFonts w:ascii="Times New Roman" w:hAnsi="Times New Roman" w:cs="Times New Roman"/>
            <w:noProof/>
            <w:webHidden/>
          </w:rPr>
          <w:tab/>
        </w:r>
        <w:r>
          <w:rPr>
            <w:noProof/>
            <w:webHidden/>
          </w:rPr>
          <w:fldChar w:fldCharType="begin"/>
        </w:r>
        <w:r>
          <w:rPr>
            <w:noProof/>
            <w:webHidden/>
          </w:rPr>
          <w:instrText xml:space="preserve"> PAGEREF _Toc296002195 \h </w:instrText>
        </w:r>
        <w:r>
          <w:rPr>
            <w:rFonts w:ascii="Times New Roman" w:hAnsi="Times New Roman" w:cs="Times New Roman"/>
            <w:noProof/>
            <w:webHidden/>
          </w:rPr>
        </w:r>
        <w:r>
          <w:rPr>
            <w:noProof/>
            <w:webHidden/>
          </w:rPr>
          <w:fldChar w:fldCharType="separate"/>
        </w:r>
        <w:r>
          <w:rPr>
            <w:noProof/>
            <w:webHidden/>
          </w:rPr>
          <w:t>5</w:t>
        </w:r>
        <w:r>
          <w:rPr>
            <w:noProof/>
            <w:webHidden/>
          </w:rPr>
          <w:fldChar w:fldCharType="end"/>
        </w:r>
      </w:hyperlink>
    </w:p>
    <w:p w:rsidR="00E85A81" w:rsidRDefault="00E85A81">
      <w:pPr>
        <w:pStyle w:val="TOC2"/>
        <w:tabs>
          <w:tab w:val="left" w:pos="880"/>
          <w:tab w:val="right" w:leader="dot" w:pos="9394"/>
        </w:tabs>
        <w:rPr>
          <w:noProof/>
        </w:rPr>
      </w:pPr>
      <w:hyperlink w:anchor="_Toc296002196" w:history="1">
        <w:r>
          <w:rPr>
            <w:rStyle w:val="Hyperlink"/>
            <w:rFonts w:ascii="Calibri" w:hAnsi="Calibri" w:cs="Calibri"/>
            <w:noProof/>
          </w:rPr>
          <w:t>1.3.</w:t>
        </w:r>
        <w:r>
          <w:rPr>
            <w:noProof/>
          </w:rPr>
          <w:tab/>
        </w:r>
        <w:r>
          <w:rPr>
            <w:rStyle w:val="Hyperlink"/>
            <w:rFonts w:ascii="Calibri" w:hAnsi="Calibri" w:cs="Calibri"/>
            <w:noProof/>
          </w:rPr>
          <w:t>Relevance</w:t>
        </w:r>
        <w:r>
          <w:rPr>
            <w:rFonts w:ascii="Times New Roman" w:hAnsi="Times New Roman" w:cs="Times New Roman"/>
            <w:noProof/>
            <w:webHidden/>
          </w:rPr>
          <w:tab/>
        </w:r>
        <w:r>
          <w:rPr>
            <w:noProof/>
            <w:webHidden/>
          </w:rPr>
          <w:fldChar w:fldCharType="begin"/>
        </w:r>
        <w:r>
          <w:rPr>
            <w:noProof/>
            <w:webHidden/>
          </w:rPr>
          <w:instrText xml:space="preserve"> PAGEREF _Toc296002196 \h </w:instrText>
        </w:r>
        <w:r>
          <w:rPr>
            <w:rFonts w:ascii="Times New Roman" w:hAnsi="Times New Roman" w:cs="Times New Roman"/>
            <w:noProof/>
            <w:webHidden/>
          </w:rPr>
        </w:r>
        <w:r>
          <w:rPr>
            <w:noProof/>
            <w:webHidden/>
          </w:rPr>
          <w:fldChar w:fldCharType="separate"/>
        </w:r>
        <w:r>
          <w:rPr>
            <w:noProof/>
            <w:webHidden/>
          </w:rPr>
          <w:t>5</w:t>
        </w:r>
        <w:r>
          <w:rPr>
            <w:noProof/>
            <w:webHidden/>
          </w:rPr>
          <w:fldChar w:fldCharType="end"/>
        </w:r>
      </w:hyperlink>
    </w:p>
    <w:p w:rsidR="00E85A81" w:rsidRDefault="00E85A81">
      <w:pPr>
        <w:pStyle w:val="TOC2"/>
        <w:tabs>
          <w:tab w:val="left" w:pos="880"/>
          <w:tab w:val="right" w:leader="dot" w:pos="9394"/>
        </w:tabs>
        <w:rPr>
          <w:noProof/>
        </w:rPr>
      </w:pPr>
      <w:hyperlink w:anchor="_Toc296002197" w:history="1">
        <w:r>
          <w:rPr>
            <w:rStyle w:val="Hyperlink"/>
            <w:rFonts w:ascii="Calibri" w:hAnsi="Calibri" w:cs="Calibri"/>
            <w:noProof/>
          </w:rPr>
          <w:t>1.5.</w:t>
        </w:r>
        <w:r>
          <w:rPr>
            <w:noProof/>
          </w:rPr>
          <w:tab/>
        </w:r>
        <w:r>
          <w:rPr>
            <w:rStyle w:val="Hyperlink"/>
            <w:rFonts w:ascii="Calibri" w:hAnsi="Calibri" w:cs="Calibri"/>
            <w:noProof/>
          </w:rPr>
          <w:t>Methodology</w:t>
        </w:r>
        <w:r>
          <w:rPr>
            <w:rFonts w:ascii="Times New Roman" w:hAnsi="Times New Roman" w:cs="Times New Roman"/>
            <w:noProof/>
            <w:webHidden/>
          </w:rPr>
          <w:tab/>
        </w:r>
        <w:r>
          <w:rPr>
            <w:noProof/>
            <w:webHidden/>
          </w:rPr>
          <w:fldChar w:fldCharType="begin"/>
        </w:r>
        <w:r>
          <w:rPr>
            <w:noProof/>
            <w:webHidden/>
          </w:rPr>
          <w:instrText xml:space="preserve"> PAGEREF _Toc296002197 \h </w:instrText>
        </w:r>
        <w:r>
          <w:rPr>
            <w:rFonts w:ascii="Times New Roman" w:hAnsi="Times New Roman" w:cs="Times New Roman"/>
            <w:noProof/>
            <w:webHidden/>
          </w:rPr>
        </w:r>
        <w:r>
          <w:rPr>
            <w:noProof/>
            <w:webHidden/>
          </w:rPr>
          <w:fldChar w:fldCharType="separate"/>
        </w:r>
        <w:r>
          <w:rPr>
            <w:noProof/>
            <w:webHidden/>
          </w:rPr>
          <w:t>8</w:t>
        </w:r>
        <w:r>
          <w:rPr>
            <w:noProof/>
            <w:webHidden/>
          </w:rPr>
          <w:fldChar w:fldCharType="end"/>
        </w:r>
      </w:hyperlink>
    </w:p>
    <w:p w:rsidR="00E85A81" w:rsidRDefault="00E85A81">
      <w:pPr>
        <w:pStyle w:val="TOC1"/>
        <w:tabs>
          <w:tab w:val="left" w:pos="440"/>
          <w:tab w:val="right" w:leader="dot" w:pos="9394"/>
        </w:tabs>
        <w:rPr>
          <w:noProof/>
        </w:rPr>
      </w:pPr>
      <w:hyperlink w:anchor="_Toc296002198" w:history="1">
        <w:r>
          <w:rPr>
            <w:rStyle w:val="Hyperlink"/>
            <w:rFonts w:ascii="Calibri" w:hAnsi="Calibri" w:cs="Calibri"/>
            <w:noProof/>
          </w:rPr>
          <w:t>2.</w:t>
        </w:r>
        <w:r>
          <w:rPr>
            <w:noProof/>
          </w:rPr>
          <w:tab/>
        </w:r>
        <w:r>
          <w:rPr>
            <w:rStyle w:val="Hyperlink"/>
            <w:rFonts w:ascii="Calibri" w:hAnsi="Calibri" w:cs="Calibri"/>
            <w:noProof/>
          </w:rPr>
          <w:t>International Financial Reporting Standards</w:t>
        </w:r>
        <w:r>
          <w:rPr>
            <w:rFonts w:ascii="Times New Roman" w:hAnsi="Times New Roman" w:cs="Times New Roman"/>
            <w:noProof/>
            <w:webHidden/>
          </w:rPr>
          <w:tab/>
        </w:r>
        <w:r>
          <w:rPr>
            <w:noProof/>
            <w:webHidden/>
          </w:rPr>
          <w:fldChar w:fldCharType="begin"/>
        </w:r>
        <w:r>
          <w:rPr>
            <w:noProof/>
            <w:webHidden/>
          </w:rPr>
          <w:instrText xml:space="preserve"> PAGEREF _Toc296002198 \h </w:instrText>
        </w:r>
        <w:r>
          <w:rPr>
            <w:rFonts w:ascii="Times New Roman" w:hAnsi="Times New Roman" w:cs="Times New Roman"/>
            <w:noProof/>
            <w:webHidden/>
          </w:rPr>
        </w:r>
        <w:r>
          <w:rPr>
            <w:noProof/>
            <w:webHidden/>
          </w:rPr>
          <w:fldChar w:fldCharType="separate"/>
        </w:r>
        <w:r>
          <w:rPr>
            <w:noProof/>
            <w:webHidden/>
          </w:rPr>
          <w:t>9</w:t>
        </w:r>
        <w:r>
          <w:rPr>
            <w:noProof/>
            <w:webHidden/>
          </w:rPr>
          <w:fldChar w:fldCharType="end"/>
        </w:r>
      </w:hyperlink>
    </w:p>
    <w:p w:rsidR="00E85A81" w:rsidRDefault="00E85A81">
      <w:pPr>
        <w:pStyle w:val="TOC2"/>
        <w:tabs>
          <w:tab w:val="left" w:pos="880"/>
          <w:tab w:val="right" w:leader="dot" w:pos="9394"/>
        </w:tabs>
        <w:rPr>
          <w:noProof/>
        </w:rPr>
      </w:pPr>
      <w:hyperlink w:anchor="_Toc296002199" w:history="1">
        <w:r>
          <w:rPr>
            <w:rStyle w:val="Hyperlink"/>
            <w:rFonts w:ascii="Calibri" w:hAnsi="Calibri" w:cs="Calibri"/>
            <w:noProof/>
          </w:rPr>
          <w:t>2.1.</w:t>
        </w:r>
        <w:r>
          <w:rPr>
            <w:noProof/>
          </w:rPr>
          <w:tab/>
        </w:r>
        <w:r>
          <w:rPr>
            <w:rStyle w:val="Hyperlink"/>
            <w:rFonts w:ascii="Calibri" w:hAnsi="Calibri" w:cs="Calibri"/>
            <w:noProof/>
          </w:rPr>
          <w:t>Introduction</w:t>
        </w:r>
        <w:r>
          <w:rPr>
            <w:rFonts w:ascii="Times New Roman" w:hAnsi="Times New Roman" w:cs="Times New Roman"/>
            <w:noProof/>
            <w:webHidden/>
          </w:rPr>
          <w:tab/>
        </w:r>
        <w:r>
          <w:rPr>
            <w:noProof/>
            <w:webHidden/>
          </w:rPr>
          <w:fldChar w:fldCharType="begin"/>
        </w:r>
        <w:r>
          <w:rPr>
            <w:noProof/>
            <w:webHidden/>
          </w:rPr>
          <w:instrText xml:space="preserve"> PAGEREF _Toc296002199 \h </w:instrText>
        </w:r>
        <w:r>
          <w:rPr>
            <w:rFonts w:ascii="Times New Roman" w:hAnsi="Times New Roman" w:cs="Times New Roman"/>
            <w:noProof/>
            <w:webHidden/>
          </w:rPr>
        </w:r>
        <w:r>
          <w:rPr>
            <w:noProof/>
            <w:webHidden/>
          </w:rPr>
          <w:fldChar w:fldCharType="separate"/>
        </w:r>
        <w:r>
          <w:rPr>
            <w:noProof/>
            <w:webHidden/>
          </w:rPr>
          <w:t>9</w:t>
        </w:r>
        <w:r>
          <w:rPr>
            <w:noProof/>
            <w:webHidden/>
          </w:rPr>
          <w:fldChar w:fldCharType="end"/>
        </w:r>
      </w:hyperlink>
    </w:p>
    <w:p w:rsidR="00E85A81" w:rsidRDefault="00E85A81">
      <w:pPr>
        <w:pStyle w:val="TOC2"/>
        <w:tabs>
          <w:tab w:val="left" w:pos="880"/>
          <w:tab w:val="right" w:leader="dot" w:pos="9394"/>
        </w:tabs>
        <w:rPr>
          <w:noProof/>
        </w:rPr>
      </w:pPr>
      <w:hyperlink w:anchor="_Toc296002200" w:history="1">
        <w:r>
          <w:rPr>
            <w:rStyle w:val="Hyperlink"/>
            <w:rFonts w:ascii="Calibri" w:hAnsi="Calibri" w:cs="Calibri"/>
            <w:noProof/>
          </w:rPr>
          <w:t>2.2.</w:t>
        </w:r>
        <w:r>
          <w:rPr>
            <w:noProof/>
          </w:rPr>
          <w:tab/>
        </w:r>
        <w:r>
          <w:rPr>
            <w:rStyle w:val="Hyperlink"/>
            <w:rFonts w:ascii="Calibri" w:hAnsi="Calibri" w:cs="Calibri"/>
            <w:noProof/>
          </w:rPr>
          <w:t>History of IFRS</w:t>
        </w:r>
        <w:r>
          <w:rPr>
            <w:rFonts w:ascii="Times New Roman" w:hAnsi="Times New Roman" w:cs="Times New Roman"/>
            <w:noProof/>
            <w:webHidden/>
          </w:rPr>
          <w:tab/>
        </w:r>
        <w:r>
          <w:rPr>
            <w:noProof/>
            <w:webHidden/>
          </w:rPr>
          <w:fldChar w:fldCharType="begin"/>
        </w:r>
        <w:r>
          <w:rPr>
            <w:noProof/>
            <w:webHidden/>
          </w:rPr>
          <w:instrText xml:space="preserve"> PAGEREF _Toc296002200 \h </w:instrText>
        </w:r>
        <w:r>
          <w:rPr>
            <w:rFonts w:ascii="Times New Roman" w:hAnsi="Times New Roman" w:cs="Times New Roman"/>
            <w:noProof/>
            <w:webHidden/>
          </w:rPr>
        </w:r>
        <w:r>
          <w:rPr>
            <w:noProof/>
            <w:webHidden/>
          </w:rPr>
          <w:fldChar w:fldCharType="separate"/>
        </w:r>
        <w:r>
          <w:rPr>
            <w:noProof/>
            <w:webHidden/>
          </w:rPr>
          <w:t>9</w:t>
        </w:r>
        <w:r>
          <w:rPr>
            <w:noProof/>
            <w:webHidden/>
          </w:rPr>
          <w:fldChar w:fldCharType="end"/>
        </w:r>
      </w:hyperlink>
    </w:p>
    <w:p w:rsidR="00E85A81" w:rsidRDefault="00E85A81">
      <w:pPr>
        <w:pStyle w:val="TOC2"/>
        <w:tabs>
          <w:tab w:val="left" w:pos="880"/>
          <w:tab w:val="right" w:leader="dot" w:pos="9394"/>
        </w:tabs>
        <w:rPr>
          <w:noProof/>
        </w:rPr>
      </w:pPr>
      <w:hyperlink w:anchor="_Toc296002201" w:history="1">
        <w:r>
          <w:rPr>
            <w:rStyle w:val="Hyperlink"/>
            <w:rFonts w:ascii="Calibri" w:hAnsi="Calibri" w:cs="Calibri"/>
            <w:noProof/>
          </w:rPr>
          <w:t>2.3.</w:t>
        </w:r>
        <w:r>
          <w:rPr>
            <w:noProof/>
          </w:rPr>
          <w:tab/>
        </w:r>
        <w:r>
          <w:rPr>
            <w:rStyle w:val="Hyperlink"/>
            <w:rFonts w:ascii="Calibri" w:hAnsi="Calibri" w:cs="Calibri"/>
            <w:noProof/>
          </w:rPr>
          <w:t>Characteristics of IFRS standards</w:t>
        </w:r>
        <w:r>
          <w:rPr>
            <w:rFonts w:ascii="Times New Roman" w:hAnsi="Times New Roman" w:cs="Times New Roman"/>
            <w:noProof/>
            <w:webHidden/>
          </w:rPr>
          <w:tab/>
        </w:r>
        <w:r>
          <w:rPr>
            <w:noProof/>
            <w:webHidden/>
          </w:rPr>
          <w:fldChar w:fldCharType="begin"/>
        </w:r>
        <w:r>
          <w:rPr>
            <w:noProof/>
            <w:webHidden/>
          </w:rPr>
          <w:instrText xml:space="preserve"> PAGEREF _Toc296002201 \h </w:instrText>
        </w:r>
        <w:r>
          <w:rPr>
            <w:rFonts w:ascii="Times New Roman" w:hAnsi="Times New Roman" w:cs="Times New Roman"/>
            <w:noProof/>
            <w:webHidden/>
          </w:rPr>
        </w:r>
        <w:r>
          <w:rPr>
            <w:noProof/>
            <w:webHidden/>
          </w:rPr>
          <w:fldChar w:fldCharType="separate"/>
        </w:r>
        <w:r>
          <w:rPr>
            <w:noProof/>
            <w:webHidden/>
          </w:rPr>
          <w:t>10</w:t>
        </w:r>
        <w:r>
          <w:rPr>
            <w:noProof/>
            <w:webHidden/>
          </w:rPr>
          <w:fldChar w:fldCharType="end"/>
        </w:r>
      </w:hyperlink>
    </w:p>
    <w:p w:rsidR="00E85A81" w:rsidRDefault="00E85A81">
      <w:pPr>
        <w:pStyle w:val="TOC2"/>
        <w:tabs>
          <w:tab w:val="left" w:pos="880"/>
          <w:tab w:val="right" w:leader="dot" w:pos="9394"/>
        </w:tabs>
        <w:rPr>
          <w:noProof/>
        </w:rPr>
      </w:pPr>
      <w:hyperlink w:anchor="_Toc296002202" w:history="1">
        <w:r>
          <w:rPr>
            <w:rStyle w:val="Hyperlink"/>
            <w:rFonts w:ascii="Calibri" w:hAnsi="Calibri" w:cs="Calibri"/>
            <w:noProof/>
          </w:rPr>
          <w:t>2.4.</w:t>
        </w:r>
        <w:r>
          <w:rPr>
            <w:noProof/>
          </w:rPr>
          <w:tab/>
        </w:r>
        <w:r>
          <w:rPr>
            <w:rStyle w:val="Hyperlink"/>
            <w:rFonts w:ascii="Calibri" w:hAnsi="Calibri" w:cs="Calibri"/>
            <w:noProof/>
          </w:rPr>
          <w:t>IFRS adoption</w:t>
        </w:r>
        <w:r>
          <w:rPr>
            <w:rFonts w:ascii="Times New Roman" w:hAnsi="Times New Roman" w:cs="Times New Roman"/>
            <w:noProof/>
            <w:webHidden/>
          </w:rPr>
          <w:tab/>
        </w:r>
        <w:r>
          <w:rPr>
            <w:noProof/>
            <w:webHidden/>
          </w:rPr>
          <w:fldChar w:fldCharType="begin"/>
        </w:r>
        <w:r>
          <w:rPr>
            <w:noProof/>
            <w:webHidden/>
          </w:rPr>
          <w:instrText xml:space="preserve"> PAGEREF _Toc296002202 \h </w:instrText>
        </w:r>
        <w:r>
          <w:rPr>
            <w:rFonts w:ascii="Times New Roman" w:hAnsi="Times New Roman" w:cs="Times New Roman"/>
            <w:noProof/>
            <w:webHidden/>
          </w:rPr>
        </w:r>
        <w:r>
          <w:rPr>
            <w:noProof/>
            <w:webHidden/>
          </w:rPr>
          <w:fldChar w:fldCharType="separate"/>
        </w:r>
        <w:r>
          <w:rPr>
            <w:noProof/>
            <w:webHidden/>
          </w:rPr>
          <w:t>11</w:t>
        </w:r>
        <w:r>
          <w:rPr>
            <w:noProof/>
            <w:webHidden/>
          </w:rPr>
          <w:fldChar w:fldCharType="end"/>
        </w:r>
      </w:hyperlink>
    </w:p>
    <w:p w:rsidR="00E85A81" w:rsidRDefault="00E85A81">
      <w:pPr>
        <w:pStyle w:val="TOC2"/>
        <w:tabs>
          <w:tab w:val="left" w:pos="880"/>
          <w:tab w:val="right" w:leader="dot" w:pos="9394"/>
        </w:tabs>
        <w:rPr>
          <w:noProof/>
        </w:rPr>
      </w:pPr>
      <w:hyperlink w:anchor="_Toc296002203" w:history="1">
        <w:r>
          <w:rPr>
            <w:rStyle w:val="Hyperlink"/>
            <w:rFonts w:ascii="Calibri" w:hAnsi="Calibri" w:cs="Calibri"/>
            <w:noProof/>
          </w:rPr>
          <w:t>2.5.</w:t>
        </w:r>
        <w:r>
          <w:rPr>
            <w:noProof/>
          </w:rPr>
          <w:tab/>
        </w:r>
        <w:r>
          <w:rPr>
            <w:rStyle w:val="Hyperlink"/>
            <w:rFonts w:ascii="Calibri" w:hAnsi="Calibri" w:cs="Calibri"/>
            <w:noProof/>
          </w:rPr>
          <w:t>Conclusion</w:t>
        </w:r>
        <w:r>
          <w:rPr>
            <w:rFonts w:ascii="Times New Roman" w:hAnsi="Times New Roman" w:cs="Times New Roman"/>
            <w:noProof/>
            <w:webHidden/>
          </w:rPr>
          <w:tab/>
        </w:r>
        <w:r>
          <w:rPr>
            <w:noProof/>
            <w:webHidden/>
          </w:rPr>
          <w:fldChar w:fldCharType="begin"/>
        </w:r>
        <w:r>
          <w:rPr>
            <w:noProof/>
            <w:webHidden/>
          </w:rPr>
          <w:instrText xml:space="preserve"> PAGEREF _Toc296002203 \h </w:instrText>
        </w:r>
        <w:r>
          <w:rPr>
            <w:rFonts w:ascii="Times New Roman" w:hAnsi="Times New Roman" w:cs="Times New Roman"/>
            <w:noProof/>
            <w:webHidden/>
          </w:rPr>
        </w:r>
        <w:r>
          <w:rPr>
            <w:noProof/>
            <w:webHidden/>
          </w:rPr>
          <w:fldChar w:fldCharType="separate"/>
        </w:r>
        <w:r>
          <w:rPr>
            <w:noProof/>
            <w:webHidden/>
          </w:rPr>
          <w:t>12</w:t>
        </w:r>
        <w:r>
          <w:rPr>
            <w:noProof/>
            <w:webHidden/>
          </w:rPr>
          <w:fldChar w:fldCharType="end"/>
        </w:r>
      </w:hyperlink>
    </w:p>
    <w:p w:rsidR="00E85A81" w:rsidRDefault="00E85A81">
      <w:pPr>
        <w:pStyle w:val="TOC1"/>
        <w:tabs>
          <w:tab w:val="left" w:pos="440"/>
          <w:tab w:val="right" w:leader="dot" w:pos="9394"/>
        </w:tabs>
        <w:rPr>
          <w:noProof/>
        </w:rPr>
      </w:pPr>
      <w:hyperlink w:anchor="_Toc296002204" w:history="1">
        <w:r>
          <w:rPr>
            <w:rStyle w:val="Hyperlink"/>
            <w:rFonts w:ascii="Calibri" w:hAnsi="Calibri" w:cs="Calibri"/>
            <w:noProof/>
          </w:rPr>
          <w:t>3.</w:t>
        </w:r>
        <w:r>
          <w:rPr>
            <w:noProof/>
          </w:rPr>
          <w:tab/>
        </w:r>
        <w:r>
          <w:rPr>
            <w:rStyle w:val="Hyperlink"/>
            <w:rFonts w:ascii="Calibri" w:hAnsi="Calibri" w:cs="Calibri"/>
            <w:noProof/>
          </w:rPr>
          <w:t>Relationships of culture and accounting</w:t>
        </w:r>
        <w:r>
          <w:rPr>
            <w:rFonts w:ascii="Times New Roman" w:hAnsi="Times New Roman" w:cs="Times New Roman"/>
            <w:noProof/>
            <w:webHidden/>
          </w:rPr>
          <w:tab/>
        </w:r>
        <w:r>
          <w:rPr>
            <w:noProof/>
            <w:webHidden/>
          </w:rPr>
          <w:fldChar w:fldCharType="begin"/>
        </w:r>
        <w:r>
          <w:rPr>
            <w:noProof/>
            <w:webHidden/>
          </w:rPr>
          <w:instrText xml:space="preserve"> PAGEREF _Toc296002204 \h </w:instrText>
        </w:r>
        <w:r>
          <w:rPr>
            <w:rFonts w:ascii="Times New Roman" w:hAnsi="Times New Roman" w:cs="Times New Roman"/>
            <w:noProof/>
            <w:webHidden/>
          </w:rPr>
        </w:r>
        <w:r>
          <w:rPr>
            <w:noProof/>
            <w:webHidden/>
          </w:rPr>
          <w:fldChar w:fldCharType="separate"/>
        </w:r>
        <w:r>
          <w:rPr>
            <w:noProof/>
            <w:webHidden/>
          </w:rPr>
          <w:t>13</w:t>
        </w:r>
        <w:r>
          <w:rPr>
            <w:noProof/>
            <w:webHidden/>
          </w:rPr>
          <w:fldChar w:fldCharType="end"/>
        </w:r>
      </w:hyperlink>
    </w:p>
    <w:p w:rsidR="00E85A81" w:rsidRDefault="00E85A81">
      <w:pPr>
        <w:pStyle w:val="TOC2"/>
        <w:tabs>
          <w:tab w:val="left" w:pos="880"/>
          <w:tab w:val="right" w:leader="dot" w:pos="9394"/>
        </w:tabs>
        <w:rPr>
          <w:noProof/>
        </w:rPr>
      </w:pPr>
      <w:hyperlink w:anchor="_Toc296002205" w:history="1">
        <w:r>
          <w:rPr>
            <w:rStyle w:val="Hyperlink"/>
            <w:rFonts w:ascii="Calibri" w:hAnsi="Calibri" w:cs="Calibri"/>
            <w:noProof/>
          </w:rPr>
          <w:t>3.1.</w:t>
        </w:r>
        <w:r>
          <w:rPr>
            <w:noProof/>
          </w:rPr>
          <w:tab/>
        </w:r>
        <w:r>
          <w:rPr>
            <w:rStyle w:val="Hyperlink"/>
            <w:rFonts w:ascii="Calibri" w:hAnsi="Calibri" w:cs="Calibri"/>
            <w:noProof/>
          </w:rPr>
          <w:t>Introduction</w:t>
        </w:r>
        <w:r>
          <w:rPr>
            <w:rFonts w:ascii="Times New Roman" w:hAnsi="Times New Roman" w:cs="Times New Roman"/>
            <w:noProof/>
            <w:webHidden/>
          </w:rPr>
          <w:tab/>
        </w:r>
        <w:r>
          <w:rPr>
            <w:noProof/>
            <w:webHidden/>
          </w:rPr>
          <w:fldChar w:fldCharType="begin"/>
        </w:r>
        <w:r>
          <w:rPr>
            <w:noProof/>
            <w:webHidden/>
          </w:rPr>
          <w:instrText xml:space="preserve"> PAGEREF _Toc296002205 \h </w:instrText>
        </w:r>
        <w:r>
          <w:rPr>
            <w:rFonts w:ascii="Times New Roman" w:hAnsi="Times New Roman" w:cs="Times New Roman"/>
            <w:noProof/>
            <w:webHidden/>
          </w:rPr>
        </w:r>
        <w:r>
          <w:rPr>
            <w:noProof/>
            <w:webHidden/>
          </w:rPr>
          <w:fldChar w:fldCharType="separate"/>
        </w:r>
        <w:r>
          <w:rPr>
            <w:noProof/>
            <w:webHidden/>
          </w:rPr>
          <w:t>13</w:t>
        </w:r>
        <w:r>
          <w:rPr>
            <w:noProof/>
            <w:webHidden/>
          </w:rPr>
          <w:fldChar w:fldCharType="end"/>
        </w:r>
      </w:hyperlink>
    </w:p>
    <w:p w:rsidR="00E85A81" w:rsidRDefault="00E85A81">
      <w:pPr>
        <w:pStyle w:val="TOC2"/>
        <w:tabs>
          <w:tab w:val="left" w:pos="880"/>
          <w:tab w:val="right" w:leader="dot" w:pos="9394"/>
        </w:tabs>
        <w:rPr>
          <w:noProof/>
        </w:rPr>
      </w:pPr>
      <w:hyperlink w:anchor="_Toc296002206" w:history="1">
        <w:r>
          <w:rPr>
            <w:rStyle w:val="Hyperlink"/>
            <w:rFonts w:ascii="Calibri" w:hAnsi="Calibri" w:cs="Calibri"/>
            <w:noProof/>
          </w:rPr>
          <w:t>3.2.</w:t>
        </w:r>
        <w:r>
          <w:rPr>
            <w:noProof/>
          </w:rPr>
          <w:tab/>
        </w:r>
        <w:r>
          <w:rPr>
            <w:rStyle w:val="Hyperlink"/>
            <w:rFonts w:ascii="Calibri" w:hAnsi="Calibri" w:cs="Calibri"/>
            <w:noProof/>
          </w:rPr>
          <w:t>Prior the Hofstede-Gray framework</w:t>
        </w:r>
        <w:r>
          <w:rPr>
            <w:rFonts w:ascii="Times New Roman" w:hAnsi="Times New Roman" w:cs="Times New Roman"/>
            <w:noProof/>
            <w:webHidden/>
          </w:rPr>
          <w:tab/>
        </w:r>
        <w:r>
          <w:rPr>
            <w:noProof/>
            <w:webHidden/>
          </w:rPr>
          <w:fldChar w:fldCharType="begin"/>
        </w:r>
        <w:r>
          <w:rPr>
            <w:noProof/>
            <w:webHidden/>
          </w:rPr>
          <w:instrText xml:space="preserve"> PAGEREF _Toc296002206 \h </w:instrText>
        </w:r>
        <w:r>
          <w:rPr>
            <w:rFonts w:ascii="Times New Roman" w:hAnsi="Times New Roman" w:cs="Times New Roman"/>
            <w:noProof/>
            <w:webHidden/>
          </w:rPr>
        </w:r>
        <w:r>
          <w:rPr>
            <w:noProof/>
            <w:webHidden/>
          </w:rPr>
          <w:fldChar w:fldCharType="separate"/>
        </w:r>
        <w:r>
          <w:rPr>
            <w:noProof/>
            <w:webHidden/>
          </w:rPr>
          <w:t>13</w:t>
        </w:r>
        <w:r>
          <w:rPr>
            <w:noProof/>
            <w:webHidden/>
          </w:rPr>
          <w:fldChar w:fldCharType="end"/>
        </w:r>
      </w:hyperlink>
    </w:p>
    <w:p w:rsidR="00E85A81" w:rsidRDefault="00E85A81">
      <w:pPr>
        <w:pStyle w:val="TOC2"/>
        <w:tabs>
          <w:tab w:val="left" w:pos="880"/>
          <w:tab w:val="right" w:leader="dot" w:pos="9394"/>
        </w:tabs>
        <w:rPr>
          <w:noProof/>
        </w:rPr>
      </w:pPr>
      <w:hyperlink w:anchor="_Toc296002207" w:history="1">
        <w:r>
          <w:rPr>
            <w:rStyle w:val="Hyperlink"/>
            <w:rFonts w:ascii="Calibri" w:hAnsi="Calibri" w:cs="Calibri"/>
            <w:noProof/>
          </w:rPr>
          <w:t>3.3.</w:t>
        </w:r>
        <w:r>
          <w:rPr>
            <w:noProof/>
          </w:rPr>
          <w:tab/>
        </w:r>
        <w:r>
          <w:rPr>
            <w:rStyle w:val="Hyperlink"/>
            <w:rFonts w:ascii="Calibri" w:hAnsi="Calibri" w:cs="Calibri"/>
            <w:noProof/>
          </w:rPr>
          <w:t>Hofstede’s cultural dimensions</w:t>
        </w:r>
        <w:r>
          <w:rPr>
            <w:rFonts w:ascii="Times New Roman" w:hAnsi="Times New Roman" w:cs="Times New Roman"/>
            <w:noProof/>
            <w:webHidden/>
          </w:rPr>
          <w:tab/>
        </w:r>
        <w:r>
          <w:rPr>
            <w:noProof/>
            <w:webHidden/>
          </w:rPr>
          <w:fldChar w:fldCharType="begin"/>
        </w:r>
        <w:r>
          <w:rPr>
            <w:noProof/>
            <w:webHidden/>
          </w:rPr>
          <w:instrText xml:space="preserve"> PAGEREF _Toc296002207 \h </w:instrText>
        </w:r>
        <w:r>
          <w:rPr>
            <w:rFonts w:ascii="Times New Roman" w:hAnsi="Times New Roman" w:cs="Times New Roman"/>
            <w:noProof/>
            <w:webHidden/>
          </w:rPr>
        </w:r>
        <w:r>
          <w:rPr>
            <w:noProof/>
            <w:webHidden/>
          </w:rPr>
          <w:fldChar w:fldCharType="separate"/>
        </w:r>
        <w:r>
          <w:rPr>
            <w:noProof/>
            <w:webHidden/>
          </w:rPr>
          <w:t>15</w:t>
        </w:r>
        <w:r>
          <w:rPr>
            <w:noProof/>
            <w:webHidden/>
          </w:rPr>
          <w:fldChar w:fldCharType="end"/>
        </w:r>
      </w:hyperlink>
    </w:p>
    <w:p w:rsidR="00E85A81" w:rsidRDefault="00E85A81">
      <w:pPr>
        <w:pStyle w:val="TOC2"/>
        <w:tabs>
          <w:tab w:val="left" w:pos="880"/>
          <w:tab w:val="right" w:leader="dot" w:pos="9394"/>
        </w:tabs>
        <w:rPr>
          <w:noProof/>
        </w:rPr>
      </w:pPr>
      <w:hyperlink w:anchor="_Toc296002208" w:history="1">
        <w:r>
          <w:rPr>
            <w:rStyle w:val="Hyperlink"/>
            <w:rFonts w:ascii="Calibri" w:hAnsi="Calibri" w:cs="Calibri"/>
            <w:noProof/>
          </w:rPr>
          <w:t>3.4.</w:t>
        </w:r>
        <w:r>
          <w:rPr>
            <w:noProof/>
          </w:rPr>
          <w:tab/>
        </w:r>
        <w:r>
          <w:rPr>
            <w:rStyle w:val="Hyperlink"/>
            <w:rFonts w:ascii="Calibri" w:hAnsi="Calibri" w:cs="Calibri"/>
            <w:noProof/>
          </w:rPr>
          <w:t>The Hofstede-Gray’s Framework</w:t>
        </w:r>
        <w:r>
          <w:rPr>
            <w:rFonts w:ascii="Times New Roman" w:hAnsi="Times New Roman" w:cs="Times New Roman"/>
            <w:noProof/>
            <w:webHidden/>
          </w:rPr>
          <w:tab/>
        </w:r>
        <w:r>
          <w:rPr>
            <w:noProof/>
            <w:webHidden/>
          </w:rPr>
          <w:fldChar w:fldCharType="begin"/>
        </w:r>
        <w:r>
          <w:rPr>
            <w:noProof/>
            <w:webHidden/>
          </w:rPr>
          <w:instrText xml:space="preserve"> PAGEREF _Toc296002208 \h </w:instrText>
        </w:r>
        <w:r>
          <w:rPr>
            <w:rFonts w:ascii="Times New Roman" w:hAnsi="Times New Roman" w:cs="Times New Roman"/>
            <w:noProof/>
            <w:webHidden/>
          </w:rPr>
        </w:r>
        <w:r>
          <w:rPr>
            <w:noProof/>
            <w:webHidden/>
          </w:rPr>
          <w:fldChar w:fldCharType="separate"/>
        </w:r>
        <w:r>
          <w:rPr>
            <w:noProof/>
            <w:webHidden/>
          </w:rPr>
          <w:t>17</w:t>
        </w:r>
        <w:r>
          <w:rPr>
            <w:noProof/>
            <w:webHidden/>
          </w:rPr>
          <w:fldChar w:fldCharType="end"/>
        </w:r>
      </w:hyperlink>
    </w:p>
    <w:p w:rsidR="00E85A81" w:rsidRDefault="00E85A81">
      <w:pPr>
        <w:pStyle w:val="TOC2"/>
        <w:tabs>
          <w:tab w:val="left" w:pos="880"/>
          <w:tab w:val="right" w:leader="dot" w:pos="9394"/>
        </w:tabs>
        <w:rPr>
          <w:noProof/>
        </w:rPr>
      </w:pPr>
      <w:hyperlink w:anchor="_Toc296002209" w:history="1">
        <w:r>
          <w:rPr>
            <w:rStyle w:val="Hyperlink"/>
            <w:rFonts w:ascii="Calibri" w:hAnsi="Calibri" w:cs="Calibri"/>
            <w:noProof/>
          </w:rPr>
          <w:t>3.5.</w:t>
        </w:r>
        <w:r>
          <w:rPr>
            <w:noProof/>
          </w:rPr>
          <w:tab/>
        </w:r>
        <w:r>
          <w:rPr>
            <w:rStyle w:val="Hyperlink"/>
            <w:rFonts w:ascii="Calibri" w:hAnsi="Calibri" w:cs="Calibri"/>
            <w:noProof/>
          </w:rPr>
          <w:t>Evaluation of the Hofstede-Gray framework on theoretical basis</w:t>
        </w:r>
        <w:r>
          <w:rPr>
            <w:rFonts w:ascii="Times New Roman" w:hAnsi="Times New Roman" w:cs="Times New Roman"/>
            <w:noProof/>
            <w:webHidden/>
          </w:rPr>
          <w:tab/>
        </w:r>
        <w:r>
          <w:rPr>
            <w:noProof/>
            <w:webHidden/>
          </w:rPr>
          <w:fldChar w:fldCharType="begin"/>
        </w:r>
        <w:r>
          <w:rPr>
            <w:noProof/>
            <w:webHidden/>
          </w:rPr>
          <w:instrText xml:space="preserve"> PAGEREF _Toc296002209 \h </w:instrText>
        </w:r>
        <w:r>
          <w:rPr>
            <w:rFonts w:ascii="Times New Roman" w:hAnsi="Times New Roman" w:cs="Times New Roman"/>
            <w:noProof/>
            <w:webHidden/>
          </w:rPr>
        </w:r>
        <w:r>
          <w:rPr>
            <w:noProof/>
            <w:webHidden/>
          </w:rPr>
          <w:fldChar w:fldCharType="separate"/>
        </w:r>
        <w:r>
          <w:rPr>
            <w:noProof/>
            <w:webHidden/>
          </w:rPr>
          <w:t>19</w:t>
        </w:r>
        <w:r>
          <w:rPr>
            <w:noProof/>
            <w:webHidden/>
          </w:rPr>
          <w:fldChar w:fldCharType="end"/>
        </w:r>
      </w:hyperlink>
    </w:p>
    <w:p w:rsidR="00E85A81" w:rsidRDefault="00E85A81">
      <w:pPr>
        <w:pStyle w:val="TOC2"/>
        <w:tabs>
          <w:tab w:val="left" w:pos="880"/>
          <w:tab w:val="right" w:leader="dot" w:pos="9394"/>
        </w:tabs>
        <w:rPr>
          <w:noProof/>
        </w:rPr>
      </w:pPr>
      <w:hyperlink w:anchor="_Toc296002210" w:history="1">
        <w:r>
          <w:rPr>
            <w:rStyle w:val="Hyperlink"/>
            <w:rFonts w:ascii="Calibri" w:hAnsi="Calibri" w:cs="Calibri"/>
            <w:noProof/>
          </w:rPr>
          <w:t>3.6.</w:t>
        </w:r>
        <w:r>
          <w:rPr>
            <w:noProof/>
          </w:rPr>
          <w:tab/>
        </w:r>
        <w:r>
          <w:rPr>
            <w:rStyle w:val="Hyperlink"/>
            <w:rFonts w:ascii="Calibri" w:hAnsi="Calibri" w:cs="Calibri"/>
            <w:noProof/>
          </w:rPr>
          <w:t>Conclusion</w:t>
        </w:r>
        <w:r>
          <w:rPr>
            <w:rFonts w:ascii="Times New Roman" w:hAnsi="Times New Roman" w:cs="Times New Roman"/>
            <w:noProof/>
            <w:webHidden/>
          </w:rPr>
          <w:tab/>
        </w:r>
        <w:r>
          <w:rPr>
            <w:noProof/>
            <w:webHidden/>
          </w:rPr>
          <w:fldChar w:fldCharType="begin"/>
        </w:r>
        <w:r>
          <w:rPr>
            <w:noProof/>
            <w:webHidden/>
          </w:rPr>
          <w:instrText xml:space="preserve"> PAGEREF _Toc296002210 \h </w:instrText>
        </w:r>
        <w:r>
          <w:rPr>
            <w:rFonts w:ascii="Times New Roman" w:hAnsi="Times New Roman" w:cs="Times New Roman"/>
            <w:noProof/>
            <w:webHidden/>
          </w:rPr>
        </w:r>
        <w:r>
          <w:rPr>
            <w:noProof/>
            <w:webHidden/>
          </w:rPr>
          <w:fldChar w:fldCharType="separate"/>
        </w:r>
        <w:r>
          <w:rPr>
            <w:noProof/>
            <w:webHidden/>
          </w:rPr>
          <w:t>20</w:t>
        </w:r>
        <w:r>
          <w:rPr>
            <w:noProof/>
            <w:webHidden/>
          </w:rPr>
          <w:fldChar w:fldCharType="end"/>
        </w:r>
      </w:hyperlink>
    </w:p>
    <w:p w:rsidR="00E85A81" w:rsidRDefault="00E85A81">
      <w:pPr>
        <w:pStyle w:val="TOC1"/>
        <w:tabs>
          <w:tab w:val="left" w:pos="440"/>
          <w:tab w:val="right" w:leader="dot" w:pos="9394"/>
        </w:tabs>
        <w:rPr>
          <w:noProof/>
        </w:rPr>
      </w:pPr>
      <w:hyperlink w:anchor="_Toc296002211" w:history="1">
        <w:r>
          <w:rPr>
            <w:rStyle w:val="Hyperlink"/>
            <w:rFonts w:ascii="Calibri" w:hAnsi="Calibri" w:cs="Calibri"/>
            <w:noProof/>
          </w:rPr>
          <w:t>4.</w:t>
        </w:r>
        <w:r>
          <w:rPr>
            <w:noProof/>
          </w:rPr>
          <w:tab/>
        </w:r>
        <w:r>
          <w:rPr>
            <w:rStyle w:val="Hyperlink"/>
            <w:rFonts w:ascii="Calibri" w:hAnsi="Calibri" w:cs="Calibri"/>
            <w:noProof/>
          </w:rPr>
          <w:t>Findings</w:t>
        </w:r>
        <w:r>
          <w:rPr>
            <w:rFonts w:ascii="Times New Roman" w:hAnsi="Times New Roman" w:cs="Times New Roman"/>
            <w:noProof/>
            <w:webHidden/>
          </w:rPr>
          <w:tab/>
        </w:r>
        <w:r>
          <w:rPr>
            <w:noProof/>
            <w:webHidden/>
          </w:rPr>
          <w:fldChar w:fldCharType="begin"/>
        </w:r>
        <w:r>
          <w:rPr>
            <w:noProof/>
            <w:webHidden/>
          </w:rPr>
          <w:instrText xml:space="preserve"> PAGEREF _Toc296002211 \h </w:instrText>
        </w:r>
        <w:r>
          <w:rPr>
            <w:rFonts w:ascii="Times New Roman" w:hAnsi="Times New Roman" w:cs="Times New Roman"/>
            <w:noProof/>
            <w:webHidden/>
          </w:rPr>
        </w:r>
        <w:r>
          <w:rPr>
            <w:noProof/>
            <w:webHidden/>
          </w:rPr>
          <w:fldChar w:fldCharType="separate"/>
        </w:r>
        <w:r>
          <w:rPr>
            <w:noProof/>
            <w:webHidden/>
          </w:rPr>
          <w:t>21</w:t>
        </w:r>
        <w:r>
          <w:rPr>
            <w:noProof/>
            <w:webHidden/>
          </w:rPr>
          <w:fldChar w:fldCharType="end"/>
        </w:r>
      </w:hyperlink>
    </w:p>
    <w:p w:rsidR="00E85A81" w:rsidRDefault="00E85A81">
      <w:pPr>
        <w:pStyle w:val="TOC2"/>
        <w:tabs>
          <w:tab w:val="left" w:pos="880"/>
          <w:tab w:val="right" w:leader="dot" w:pos="9394"/>
        </w:tabs>
        <w:rPr>
          <w:noProof/>
        </w:rPr>
      </w:pPr>
      <w:hyperlink w:anchor="_Toc296002212" w:history="1">
        <w:r>
          <w:rPr>
            <w:rStyle w:val="Hyperlink"/>
            <w:rFonts w:ascii="Calibri" w:hAnsi="Calibri" w:cs="Calibri"/>
            <w:noProof/>
          </w:rPr>
          <w:t>4.1.</w:t>
        </w:r>
        <w:r>
          <w:rPr>
            <w:noProof/>
          </w:rPr>
          <w:tab/>
        </w:r>
        <w:r>
          <w:rPr>
            <w:rStyle w:val="Hyperlink"/>
            <w:rFonts w:ascii="Calibri" w:hAnsi="Calibri" w:cs="Calibri"/>
            <w:noProof/>
          </w:rPr>
          <w:t>Introduction</w:t>
        </w:r>
        <w:r>
          <w:rPr>
            <w:rFonts w:ascii="Times New Roman" w:hAnsi="Times New Roman" w:cs="Times New Roman"/>
            <w:noProof/>
            <w:webHidden/>
          </w:rPr>
          <w:tab/>
        </w:r>
        <w:r>
          <w:rPr>
            <w:noProof/>
            <w:webHidden/>
          </w:rPr>
          <w:fldChar w:fldCharType="begin"/>
        </w:r>
        <w:r>
          <w:rPr>
            <w:noProof/>
            <w:webHidden/>
          </w:rPr>
          <w:instrText xml:space="preserve"> PAGEREF _Toc296002212 \h </w:instrText>
        </w:r>
        <w:r>
          <w:rPr>
            <w:rFonts w:ascii="Times New Roman" w:hAnsi="Times New Roman" w:cs="Times New Roman"/>
            <w:noProof/>
            <w:webHidden/>
          </w:rPr>
        </w:r>
        <w:r>
          <w:rPr>
            <w:noProof/>
            <w:webHidden/>
          </w:rPr>
          <w:fldChar w:fldCharType="separate"/>
        </w:r>
        <w:r>
          <w:rPr>
            <w:noProof/>
            <w:webHidden/>
          </w:rPr>
          <w:t>21</w:t>
        </w:r>
        <w:r>
          <w:rPr>
            <w:noProof/>
            <w:webHidden/>
          </w:rPr>
          <w:fldChar w:fldCharType="end"/>
        </w:r>
      </w:hyperlink>
    </w:p>
    <w:p w:rsidR="00E85A81" w:rsidRDefault="00E85A81">
      <w:pPr>
        <w:pStyle w:val="TOC2"/>
        <w:tabs>
          <w:tab w:val="left" w:pos="880"/>
          <w:tab w:val="right" w:leader="dot" w:pos="9394"/>
        </w:tabs>
        <w:rPr>
          <w:noProof/>
        </w:rPr>
      </w:pPr>
      <w:hyperlink w:anchor="_Toc296002213" w:history="1">
        <w:r>
          <w:rPr>
            <w:rStyle w:val="Hyperlink"/>
            <w:rFonts w:ascii="Calibri" w:hAnsi="Calibri" w:cs="Calibri"/>
            <w:noProof/>
          </w:rPr>
          <w:t>4.2.</w:t>
        </w:r>
        <w:r>
          <w:rPr>
            <w:noProof/>
          </w:rPr>
          <w:tab/>
        </w:r>
        <w:r>
          <w:rPr>
            <w:rStyle w:val="Hyperlink"/>
            <w:rFonts w:ascii="Calibri" w:hAnsi="Calibri" w:cs="Calibri"/>
            <w:noProof/>
          </w:rPr>
          <w:t>No IAS / IFRS in research design</w:t>
        </w:r>
        <w:r>
          <w:rPr>
            <w:rFonts w:ascii="Times New Roman" w:hAnsi="Times New Roman" w:cs="Times New Roman"/>
            <w:noProof/>
            <w:webHidden/>
          </w:rPr>
          <w:tab/>
        </w:r>
        <w:r>
          <w:rPr>
            <w:noProof/>
            <w:webHidden/>
          </w:rPr>
          <w:fldChar w:fldCharType="begin"/>
        </w:r>
        <w:r>
          <w:rPr>
            <w:noProof/>
            <w:webHidden/>
          </w:rPr>
          <w:instrText xml:space="preserve"> PAGEREF _Toc296002213 \h </w:instrText>
        </w:r>
        <w:r>
          <w:rPr>
            <w:rFonts w:ascii="Times New Roman" w:hAnsi="Times New Roman" w:cs="Times New Roman"/>
            <w:noProof/>
            <w:webHidden/>
          </w:rPr>
        </w:r>
        <w:r>
          <w:rPr>
            <w:noProof/>
            <w:webHidden/>
          </w:rPr>
          <w:fldChar w:fldCharType="separate"/>
        </w:r>
        <w:r>
          <w:rPr>
            <w:noProof/>
            <w:webHidden/>
          </w:rPr>
          <w:t>21</w:t>
        </w:r>
        <w:r>
          <w:rPr>
            <w:noProof/>
            <w:webHidden/>
          </w:rPr>
          <w:fldChar w:fldCharType="end"/>
        </w:r>
      </w:hyperlink>
    </w:p>
    <w:p w:rsidR="00E85A81" w:rsidRDefault="00E85A81">
      <w:pPr>
        <w:pStyle w:val="TOC3"/>
        <w:tabs>
          <w:tab w:val="left" w:pos="1320"/>
          <w:tab w:val="right" w:leader="dot" w:pos="9394"/>
        </w:tabs>
        <w:rPr>
          <w:noProof/>
        </w:rPr>
      </w:pPr>
      <w:hyperlink w:anchor="_Toc296002214" w:history="1">
        <w:r>
          <w:rPr>
            <w:rStyle w:val="Hyperlink"/>
            <w:rFonts w:ascii="Calibri" w:hAnsi="Calibri" w:cs="Calibri"/>
            <w:noProof/>
          </w:rPr>
          <w:t>4.2.1.</w:t>
        </w:r>
        <w:r>
          <w:rPr>
            <w:noProof/>
          </w:rPr>
          <w:tab/>
        </w:r>
        <w:r>
          <w:rPr>
            <w:rStyle w:val="Hyperlink"/>
            <w:rFonts w:ascii="Calibri" w:hAnsi="Calibri" w:cs="Calibri"/>
            <w:noProof/>
          </w:rPr>
          <w:t>Authority and enforcement</w:t>
        </w:r>
        <w:r>
          <w:rPr>
            <w:rFonts w:ascii="Times New Roman" w:hAnsi="Times New Roman" w:cs="Times New Roman"/>
            <w:noProof/>
            <w:webHidden/>
          </w:rPr>
          <w:tab/>
        </w:r>
        <w:r>
          <w:rPr>
            <w:noProof/>
            <w:webHidden/>
          </w:rPr>
          <w:fldChar w:fldCharType="begin"/>
        </w:r>
        <w:r>
          <w:rPr>
            <w:noProof/>
            <w:webHidden/>
          </w:rPr>
          <w:instrText xml:space="preserve"> PAGEREF _Toc296002214 \h </w:instrText>
        </w:r>
        <w:r>
          <w:rPr>
            <w:rFonts w:ascii="Times New Roman" w:hAnsi="Times New Roman" w:cs="Times New Roman"/>
            <w:noProof/>
            <w:webHidden/>
          </w:rPr>
        </w:r>
        <w:r>
          <w:rPr>
            <w:noProof/>
            <w:webHidden/>
          </w:rPr>
          <w:fldChar w:fldCharType="separate"/>
        </w:r>
        <w:r>
          <w:rPr>
            <w:noProof/>
            <w:webHidden/>
          </w:rPr>
          <w:t>21</w:t>
        </w:r>
        <w:r>
          <w:rPr>
            <w:noProof/>
            <w:webHidden/>
          </w:rPr>
          <w:fldChar w:fldCharType="end"/>
        </w:r>
      </w:hyperlink>
    </w:p>
    <w:p w:rsidR="00E85A81" w:rsidRDefault="00E85A81">
      <w:pPr>
        <w:pStyle w:val="TOC3"/>
        <w:tabs>
          <w:tab w:val="left" w:pos="1320"/>
          <w:tab w:val="right" w:leader="dot" w:pos="9394"/>
        </w:tabs>
        <w:rPr>
          <w:noProof/>
        </w:rPr>
      </w:pPr>
      <w:hyperlink w:anchor="_Toc296002215" w:history="1">
        <w:r>
          <w:rPr>
            <w:rStyle w:val="Hyperlink"/>
            <w:rFonts w:ascii="Calibri" w:hAnsi="Calibri" w:cs="Calibri"/>
            <w:noProof/>
          </w:rPr>
          <w:t>4.2.2.</w:t>
        </w:r>
        <w:r>
          <w:rPr>
            <w:noProof/>
          </w:rPr>
          <w:tab/>
        </w:r>
        <w:r>
          <w:rPr>
            <w:rStyle w:val="Hyperlink"/>
            <w:rFonts w:ascii="Calibri" w:hAnsi="Calibri" w:cs="Calibri"/>
            <w:noProof/>
          </w:rPr>
          <w:t>Measurement practices</w:t>
        </w:r>
        <w:r>
          <w:rPr>
            <w:rFonts w:ascii="Times New Roman" w:hAnsi="Times New Roman" w:cs="Times New Roman"/>
            <w:noProof/>
            <w:webHidden/>
          </w:rPr>
          <w:tab/>
        </w:r>
        <w:r>
          <w:rPr>
            <w:noProof/>
            <w:webHidden/>
          </w:rPr>
          <w:fldChar w:fldCharType="begin"/>
        </w:r>
        <w:r>
          <w:rPr>
            <w:noProof/>
            <w:webHidden/>
          </w:rPr>
          <w:instrText xml:space="preserve"> PAGEREF _Toc296002215 \h </w:instrText>
        </w:r>
        <w:r>
          <w:rPr>
            <w:rFonts w:ascii="Times New Roman" w:hAnsi="Times New Roman" w:cs="Times New Roman"/>
            <w:noProof/>
            <w:webHidden/>
          </w:rPr>
        </w:r>
        <w:r>
          <w:rPr>
            <w:noProof/>
            <w:webHidden/>
          </w:rPr>
          <w:fldChar w:fldCharType="separate"/>
        </w:r>
        <w:r>
          <w:rPr>
            <w:noProof/>
            <w:webHidden/>
          </w:rPr>
          <w:t>22</w:t>
        </w:r>
        <w:r>
          <w:rPr>
            <w:noProof/>
            <w:webHidden/>
          </w:rPr>
          <w:fldChar w:fldCharType="end"/>
        </w:r>
      </w:hyperlink>
    </w:p>
    <w:p w:rsidR="00E85A81" w:rsidRDefault="00E85A81">
      <w:pPr>
        <w:pStyle w:val="TOC3"/>
        <w:tabs>
          <w:tab w:val="left" w:pos="1320"/>
          <w:tab w:val="right" w:leader="dot" w:pos="9394"/>
        </w:tabs>
        <w:rPr>
          <w:noProof/>
        </w:rPr>
      </w:pPr>
      <w:hyperlink w:anchor="_Toc296002216" w:history="1">
        <w:r>
          <w:rPr>
            <w:rStyle w:val="Hyperlink"/>
            <w:rFonts w:ascii="Calibri" w:hAnsi="Calibri" w:cs="Calibri"/>
            <w:noProof/>
          </w:rPr>
          <w:t>4.2.3.</w:t>
        </w:r>
        <w:r>
          <w:rPr>
            <w:noProof/>
          </w:rPr>
          <w:tab/>
        </w:r>
        <w:r>
          <w:rPr>
            <w:rStyle w:val="Hyperlink"/>
            <w:rFonts w:ascii="Calibri" w:hAnsi="Calibri" w:cs="Calibri"/>
            <w:noProof/>
          </w:rPr>
          <w:t>Disclosure practices</w:t>
        </w:r>
        <w:r>
          <w:rPr>
            <w:rFonts w:ascii="Times New Roman" w:hAnsi="Times New Roman" w:cs="Times New Roman"/>
            <w:noProof/>
            <w:webHidden/>
          </w:rPr>
          <w:tab/>
        </w:r>
        <w:r>
          <w:rPr>
            <w:noProof/>
            <w:webHidden/>
          </w:rPr>
          <w:fldChar w:fldCharType="begin"/>
        </w:r>
        <w:r>
          <w:rPr>
            <w:noProof/>
            <w:webHidden/>
          </w:rPr>
          <w:instrText xml:space="preserve"> PAGEREF _Toc296002216 \h </w:instrText>
        </w:r>
        <w:r>
          <w:rPr>
            <w:rFonts w:ascii="Times New Roman" w:hAnsi="Times New Roman" w:cs="Times New Roman"/>
            <w:noProof/>
            <w:webHidden/>
          </w:rPr>
        </w:r>
        <w:r>
          <w:rPr>
            <w:noProof/>
            <w:webHidden/>
          </w:rPr>
          <w:fldChar w:fldCharType="separate"/>
        </w:r>
        <w:r>
          <w:rPr>
            <w:noProof/>
            <w:webHidden/>
          </w:rPr>
          <w:t>23</w:t>
        </w:r>
        <w:r>
          <w:rPr>
            <w:noProof/>
            <w:webHidden/>
          </w:rPr>
          <w:fldChar w:fldCharType="end"/>
        </w:r>
      </w:hyperlink>
    </w:p>
    <w:p w:rsidR="00E85A81" w:rsidRDefault="00E85A81">
      <w:pPr>
        <w:pStyle w:val="TOC3"/>
        <w:tabs>
          <w:tab w:val="left" w:pos="1320"/>
          <w:tab w:val="right" w:leader="dot" w:pos="9394"/>
        </w:tabs>
        <w:rPr>
          <w:noProof/>
        </w:rPr>
      </w:pPr>
      <w:hyperlink w:anchor="_Toc296002217" w:history="1">
        <w:r>
          <w:rPr>
            <w:rStyle w:val="Hyperlink"/>
            <w:rFonts w:ascii="Calibri" w:hAnsi="Calibri" w:cs="Calibri"/>
            <w:noProof/>
          </w:rPr>
          <w:t>4.2.4.</w:t>
        </w:r>
        <w:r>
          <w:rPr>
            <w:noProof/>
          </w:rPr>
          <w:tab/>
        </w:r>
        <w:r>
          <w:rPr>
            <w:rStyle w:val="Hyperlink"/>
            <w:rFonts w:ascii="Calibri" w:hAnsi="Calibri" w:cs="Calibri"/>
            <w:noProof/>
          </w:rPr>
          <w:t>Other Findings</w:t>
        </w:r>
        <w:r>
          <w:rPr>
            <w:rFonts w:ascii="Times New Roman" w:hAnsi="Times New Roman" w:cs="Times New Roman"/>
            <w:noProof/>
            <w:webHidden/>
          </w:rPr>
          <w:tab/>
        </w:r>
        <w:r>
          <w:rPr>
            <w:noProof/>
            <w:webHidden/>
          </w:rPr>
          <w:fldChar w:fldCharType="begin"/>
        </w:r>
        <w:r>
          <w:rPr>
            <w:noProof/>
            <w:webHidden/>
          </w:rPr>
          <w:instrText xml:space="preserve"> PAGEREF _Toc296002217 \h </w:instrText>
        </w:r>
        <w:r>
          <w:rPr>
            <w:rFonts w:ascii="Times New Roman" w:hAnsi="Times New Roman" w:cs="Times New Roman"/>
            <w:noProof/>
            <w:webHidden/>
          </w:rPr>
        </w:r>
        <w:r>
          <w:rPr>
            <w:noProof/>
            <w:webHidden/>
          </w:rPr>
          <w:fldChar w:fldCharType="separate"/>
        </w:r>
        <w:r>
          <w:rPr>
            <w:noProof/>
            <w:webHidden/>
          </w:rPr>
          <w:t>24</w:t>
        </w:r>
        <w:r>
          <w:rPr>
            <w:noProof/>
            <w:webHidden/>
          </w:rPr>
          <w:fldChar w:fldCharType="end"/>
        </w:r>
      </w:hyperlink>
    </w:p>
    <w:p w:rsidR="00E85A81" w:rsidRDefault="00E85A81">
      <w:pPr>
        <w:pStyle w:val="TOC2"/>
        <w:tabs>
          <w:tab w:val="left" w:pos="880"/>
          <w:tab w:val="right" w:leader="dot" w:pos="9394"/>
        </w:tabs>
        <w:rPr>
          <w:noProof/>
        </w:rPr>
      </w:pPr>
      <w:hyperlink w:anchor="_Toc296002218" w:history="1">
        <w:r>
          <w:rPr>
            <w:rStyle w:val="Hyperlink"/>
            <w:rFonts w:ascii="Calibri" w:hAnsi="Calibri" w:cs="Calibri"/>
            <w:noProof/>
          </w:rPr>
          <w:t>4.3.</w:t>
        </w:r>
        <w:r>
          <w:rPr>
            <w:noProof/>
          </w:rPr>
          <w:tab/>
        </w:r>
        <w:r>
          <w:rPr>
            <w:rStyle w:val="Hyperlink"/>
            <w:rFonts w:ascii="Calibri" w:hAnsi="Calibri" w:cs="Calibri"/>
            <w:noProof/>
          </w:rPr>
          <w:t>IAS / IFRS in research design</w:t>
        </w:r>
        <w:r>
          <w:rPr>
            <w:rFonts w:ascii="Times New Roman" w:hAnsi="Times New Roman" w:cs="Times New Roman"/>
            <w:noProof/>
            <w:webHidden/>
          </w:rPr>
          <w:tab/>
        </w:r>
        <w:r>
          <w:rPr>
            <w:noProof/>
            <w:webHidden/>
          </w:rPr>
          <w:fldChar w:fldCharType="begin"/>
        </w:r>
        <w:r>
          <w:rPr>
            <w:noProof/>
            <w:webHidden/>
          </w:rPr>
          <w:instrText xml:space="preserve"> PAGEREF _Toc296002218 \h </w:instrText>
        </w:r>
        <w:r>
          <w:rPr>
            <w:rFonts w:ascii="Times New Roman" w:hAnsi="Times New Roman" w:cs="Times New Roman"/>
            <w:noProof/>
            <w:webHidden/>
          </w:rPr>
        </w:r>
        <w:r>
          <w:rPr>
            <w:noProof/>
            <w:webHidden/>
          </w:rPr>
          <w:fldChar w:fldCharType="separate"/>
        </w:r>
        <w:r>
          <w:rPr>
            <w:noProof/>
            <w:webHidden/>
          </w:rPr>
          <w:t>25</w:t>
        </w:r>
        <w:r>
          <w:rPr>
            <w:noProof/>
            <w:webHidden/>
          </w:rPr>
          <w:fldChar w:fldCharType="end"/>
        </w:r>
      </w:hyperlink>
    </w:p>
    <w:p w:rsidR="00E85A81" w:rsidRDefault="00E85A81">
      <w:pPr>
        <w:pStyle w:val="TOC3"/>
        <w:tabs>
          <w:tab w:val="left" w:pos="1320"/>
          <w:tab w:val="right" w:leader="dot" w:pos="9394"/>
        </w:tabs>
        <w:rPr>
          <w:noProof/>
        </w:rPr>
      </w:pPr>
      <w:hyperlink w:anchor="_Toc296002219" w:history="1">
        <w:r>
          <w:rPr>
            <w:rStyle w:val="Hyperlink"/>
            <w:rFonts w:ascii="Calibri" w:hAnsi="Calibri" w:cs="Calibri"/>
            <w:noProof/>
          </w:rPr>
          <w:t>4.3.1.</w:t>
        </w:r>
        <w:r>
          <w:rPr>
            <w:noProof/>
          </w:rPr>
          <w:tab/>
        </w:r>
        <w:r>
          <w:rPr>
            <w:rStyle w:val="Hyperlink"/>
            <w:rFonts w:ascii="Calibri" w:hAnsi="Calibri" w:cs="Calibri"/>
            <w:noProof/>
          </w:rPr>
          <w:t>Authority and enforcement</w:t>
        </w:r>
        <w:r>
          <w:rPr>
            <w:rFonts w:ascii="Times New Roman" w:hAnsi="Times New Roman" w:cs="Times New Roman"/>
            <w:noProof/>
            <w:webHidden/>
          </w:rPr>
          <w:tab/>
        </w:r>
        <w:r>
          <w:rPr>
            <w:noProof/>
            <w:webHidden/>
          </w:rPr>
          <w:fldChar w:fldCharType="begin"/>
        </w:r>
        <w:r>
          <w:rPr>
            <w:noProof/>
            <w:webHidden/>
          </w:rPr>
          <w:instrText xml:space="preserve"> PAGEREF _Toc296002219 \h </w:instrText>
        </w:r>
        <w:r>
          <w:rPr>
            <w:rFonts w:ascii="Times New Roman" w:hAnsi="Times New Roman" w:cs="Times New Roman"/>
            <w:noProof/>
            <w:webHidden/>
          </w:rPr>
        </w:r>
        <w:r>
          <w:rPr>
            <w:noProof/>
            <w:webHidden/>
          </w:rPr>
          <w:fldChar w:fldCharType="separate"/>
        </w:r>
        <w:r>
          <w:rPr>
            <w:noProof/>
            <w:webHidden/>
          </w:rPr>
          <w:t>25</w:t>
        </w:r>
        <w:r>
          <w:rPr>
            <w:noProof/>
            <w:webHidden/>
          </w:rPr>
          <w:fldChar w:fldCharType="end"/>
        </w:r>
      </w:hyperlink>
    </w:p>
    <w:p w:rsidR="00E85A81" w:rsidRDefault="00E85A81">
      <w:pPr>
        <w:pStyle w:val="TOC3"/>
        <w:tabs>
          <w:tab w:val="left" w:pos="1320"/>
          <w:tab w:val="right" w:leader="dot" w:pos="9394"/>
        </w:tabs>
        <w:rPr>
          <w:noProof/>
        </w:rPr>
      </w:pPr>
      <w:hyperlink w:anchor="_Toc296002220" w:history="1">
        <w:r>
          <w:rPr>
            <w:rStyle w:val="Hyperlink"/>
            <w:rFonts w:ascii="Calibri" w:hAnsi="Calibri" w:cs="Calibri"/>
            <w:noProof/>
          </w:rPr>
          <w:t>4.3.2.</w:t>
        </w:r>
        <w:r>
          <w:rPr>
            <w:noProof/>
          </w:rPr>
          <w:tab/>
        </w:r>
        <w:r>
          <w:rPr>
            <w:rStyle w:val="Hyperlink"/>
            <w:rFonts w:ascii="Calibri" w:hAnsi="Calibri" w:cs="Calibri"/>
            <w:noProof/>
          </w:rPr>
          <w:t>Measurement practices</w:t>
        </w:r>
        <w:r>
          <w:rPr>
            <w:rFonts w:ascii="Times New Roman" w:hAnsi="Times New Roman" w:cs="Times New Roman"/>
            <w:noProof/>
            <w:webHidden/>
          </w:rPr>
          <w:tab/>
        </w:r>
        <w:r>
          <w:rPr>
            <w:noProof/>
            <w:webHidden/>
          </w:rPr>
          <w:fldChar w:fldCharType="begin"/>
        </w:r>
        <w:r>
          <w:rPr>
            <w:noProof/>
            <w:webHidden/>
          </w:rPr>
          <w:instrText xml:space="preserve"> PAGEREF _Toc296002220 \h </w:instrText>
        </w:r>
        <w:r>
          <w:rPr>
            <w:rFonts w:ascii="Times New Roman" w:hAnsi="Times New Roman" w:cs="Times New Roman"/>
            <w:noProof/>
            <w:webHidden/>
          </w:rPr>
        </w:r>
        <w:r>
          <w:rPr>
            <w:noProof/>
            <w:webHidden/>
          </w:rPr>
          <w:fldChar w:fldCharType="separate"/>
        </w:r>
        <w:r>
          <w:rPr>
            <w:noProof/>
            <w:webHidden/>
          </w:rPr>
          <w:t>26</w:t>
        </w:r>
        <w:r>
          <w:rPr>
            <w:noProof/>
            <w:webHidden/>
          </w:rPr>
          <w:fldChar w:fldCharType="end"/>
        </w:r>
      </w:hyperlink>
    </w:p>
    <w:p w:rsidR="00E85A81" w:rsidRDefault="00E85A81">
      <w:pPr>
        <w:pStyle w:val="TOC3"/>
        <w:tabs>
          <w:tab w:val="left" w:pos="1320"/>
          <w:tab w:val="right" w:leader="dot" w:pos="9394"/>
        </w:tabs>
        <w:rPr>
          <w:noProof/>
        </w:rPr>
      </w:pPr>
      <w:hyperlink w:anchor="_Toc296002221" w:history="1">
        <w:r>
          <w:rPr>
            <w:rStyle w:val="Hyperlink"/>
            <w:rFonts w:ascii="Calibri" w:hAnsi="Calibri" w:cs="Calibri"/>
            <w:noProof/>
          </w:rPr>
          <w:t>4.3.3.</w:t>
        </w:r>
        <w:r>
          <w:rPr>
            <w:noProof/>
          </w:rPr>
          <w:tab/>
        </w:r>
        <w:r>
          <w:rPr>
            <w:rStyle w:val="Hyperlink"/>
            <w:rFonts w:ascii="Calibri" w:hAnsi="Calibri" w:cs="Calibri"/>
            <w:noProof/>
          </w:rPr>
          <w:t>Disclosure practices</w:t>
        </w:r>
        <w:r>
          <w:rPr>
            <w:rFonts w:ascii="Times New Roman" w:hAnsi="Times New Roman" w:cs="Times New Roman"/>
            <w:noProof/>
            <w:webHidden/>
          </w:rPr>
          <w:tab/>
        </w:r>
        <w:r>
          <w:rPr>
            <w:noProof/>
            <w:webHidden/>
          </w:rPr>
          <w:fldChar w:fldCharType="begin"/>
        </w:r>
        <w:r>
          <w:rPr>
            <w:noProof/>
            <w:webHidden/>
          </w:rPr>
          <w:instrText xml:space="preserve"> PAGEREF _Toc296002221 \h </w:instrText>
        </w:r>
        <w:r>
          <w:rPr>
            <w:rFonts w:ascii="Times New Roman" w:hAnsi="Times New Roman" w:cs="Times New Roman"/>
            <w:noProof/>
            <w:webHidden/>
          </w:rPr>
        </w:r>
        <w:r>
          <w:rPr>
            <w:noProof/>
            <w:webHidden/>
          </w:rPr>
          <w:fldChar w:fldCharType="separate"/>
        </w:r>
        <w:r>
          <w:rPr>
            <w:noProof/>
            <w:webHidden/>
          </w:rPr>
          <w:t>29</w:t>
        </w:r>
        <w:r>
          <w:rPr>
            <w:noProof/>
            <w:webHidden/>
          </w:rPr>
          <w:fldChar w:fldCharType="end"/>
        </w:r>
      </w:hyperlink>
    </w:p>
    <w:p w:rsidR="00E85A81" w:rsidRDefault="00E85A81">
      <w:pPr>
        <w:pStyle w:val="TOC3"/>
        <w:tabs>
          <w:tab w:val="left" w:pos="1320"/>
          <w:tab w:val="right" w:leader="dot" w:pos="9394"/>
        </w:tabs>
        <w:rPr>
          <w:noProof/>
        </w:rPr>
      </w:pPr>
      <w:hyperlink w:anchor="_Toc296002222" w:history="1">
        <w:r>
          <w:rPr>
            <w:rStyle w:val="Hyperlink"/>
            <w:rFonts w:ascii="Calibri" w:hAnsi="Calibri" w:cs="Calibri"/>
            <w:noProof/>
          </w:rPr>
          <w:t>4.3.4.</w:t>
        </w:r>
        <w:r>
          <w:rPr>
            <w:noProof/>
          </w:rPr>
          <w:tab/>
        </w:r>
        <w:r>
          <w:rPr>
            <w:rStyle w:val="Hyperlink"/>
            <w:rFonts w:ascii="Calibri" w:hAnsi="Calibri" w:cs="Calibri"/>
            <w:noProof/>
          </w:rPr>
          <w:t>Other findings</w:t>
        </w:r>
        <w:r>
          <w:rPr>
            <w:rFonts w:ascii="Times New Roman" w:hAnsi="Times New Roman" w:cs="Times New Roman"/>
            <w:noProof/>
            <w:webHidden/>
          </w:rPr>
          <w:tab/>
        </w:r>
        <w:r>
          <w:rPr>
            <w:noProof/>
            <w:webHidden/>
          </w:rPr>
          <w:fldChar w:fldCharType="begin"/>
        </w:r>
        <w:r>
          <w:rPr>
            <w:noProof/>
            <w:webHidden/>
          </w:rPr>
          <w:instrText xml:space="preserve"> PAGEREF _Toc296002222 \h </w:instrText>
        </w:r>
        <w:r>
          <w:rPr>
            <w:rFonts w:ascii="Times New Roman" w:hAnsi="Times New Roman" w:cs="Times New Roman"/>
            <w:noProof/>
            <w:webHidden/>
          </w:rPr>
        </w:r>
        <w:r>
          <w:rPr>
            <w:noProof/>
            <w:webHidden/>
          </w:rPr>
          <w:fldChar w:fldCharType="separate"/>
        </w:r>
        <w:r>
          <w:rPr>
            <w:noProof/>
            <w:webHidden/>
          </w:rPr>
          <w:t>30</w:t>
        </w:r>
        <w:r>
          <w:rPr>
            <w:noProof/>
            <w:webHidden/>
          </w:rPr>
          <w:fldChar w:fldCharType="end"/>
        </w:r>
      </w:hyperlink>
    </w:p>
    <w:p w:rsidR="00E85A81" w:rsidRDefault="00E85A81">
      <w:pPr>
        <w:pStyle w:val="TOC1"/>
        <w:tabs>
          <w:tab w:val="left" w:pos="440"/>
          <w:tab w:val="right" w:leader="dot" w:pos="9394"/>
        </w:tabs>
        <w:rPr>
          <w:noProof/>
        </w:rPr>
      </w:pPr>
      <w:hyperlink w:anchor="_Toc296002223" w:history="1">
        <w:r>
          <w:rPr>
            <w:rStyle w:val="Hyperlink"/>
            <w:rFonts w:ascii="Calibri" w:hAnsi="Calibri" w:cs="Calibri"/>
            <w:noProof/>
          </w:rPr>
          <w:t>5.</w:t>
        </w:r>
        <w:r>
          <w:rPr>
            <w:noProof/>
          </w:rPr>
          <w:tab/>
        </w:r>
        <w:r>
          <w:rPr>
            <w:rStyle w:val="Hyperlink"/>
            <w:rFonts w:ascii="Calibri" w:hAnsi="Calibri" w:cs="Calibri"/>
            <w:noProof/>
          </w:rPr>
          <w:t>Analysis</w:t>
        </w:r>
        <w:r>
          <w:rPr>
            <w:rFonts w:ascii="Times New Roman" w:hAnsi="Times New Roman" w:cs="Times New Roman"/>
            <w:noProof/>
            <w:webHidden/>
          </w:rPr>
          <w:tab/>
        </w:r>
        <w:r>
          <w:rPr>
            <w:noProof/>
            <w:webHidden/>
          </w:rPr>
          <w:fldChar w:fldCharType="begin"/>
        </w:r>
        <w:r>
          <w:rPr>
            <w:noProof/>
            <w:webHidden/>
          </w:rPr>
          <w:instrText xml:space="preserve"> PAGEREF _Toc296002223 \h </w:instrText>
        </w:r>
        <w:r>
          <w:rPr>
            <w:rFonts w:ascii="Times New Roman" w:hAnsi="Times New Roman" w:cs="Times New Roman"/>
            <w:noProof/>
            <w:webHidden/>
          </w:rPr>
        </w:r>
        <w:r>
          <w:rPr>
            <w:noProof/>
            <w:webHidden/>
          </w:rPr>
          <w:fldChar w:fldCharType="separate"/>
        </w:r>
        <w:r>
          <w:rPr>
            <w:noProof/>
            <w:webHidden/>
          </w:rPr>
          <w:t>31</w:t>
        </w:r>
        <w:r>
          <w:rPr>
            <w:noProof/>
            <w:webHidden/>
          </w:rPr>
          <w:fldChar w:fldCharType="end"/>
        </w:r>
      </w:hyperlink>
    </w:p>
    <w:p w:rsidR="00E85A81" w:rsidRDefault="00E85A81">
      <w:pPr>
        <w:pStyle w:val="TOC2"/>
        <w:tabs>
          <w:tab w:val="left" w:pos="880"/>
          <w:tab w:val="right" w:leader="dot" w:pos="9394"/>
        </w:tabs>
        <w:rPr>
          <w:noProof/>
        </w:rPr>
      </w:pPr>
      <w:hyperlink w:anchor="_Toc296002224" w:history="1">
        <w:r>
          <w:rPr>
            <w:rStyle w:val="Hyperlink"/>
            <w:rFonts w:ascii="Calibri" w:hAnsi="Calibri" w:cs="Calibri"/>
            <w:noProof/>
          </w:rPr>
          <w:t>5.1.</w:t>
        </w:r>
        <w:r>
          <w:rPr>
            <w:noProof/>
          </w:rPr>
          <w:tab/>
        </w:r>
        <w:r>
          <w:rPr>
            <w:rStyle w:val="Hyperlink"/>
            <w:rFonts w:ascii="Calibri" w:hAnsi="Calibri" w:cs="Calibri"/>
            <w:noProof/>
          </w:rPr>
          <w:t>Introduction</w:t>
        </w:r>
        <w:r>
          <w:rPr>
            <w:rFonts w:ascii="Times New Roman" w:hAnsi="Times New Roman" w:cs="Times New Roman"/>
            <w:noProof/>
            <w:webHidden/>
          </w:rPr>
          <w:tab/>
        </w:r>
        <w:r>
          <w:rPr>
            <w:noProof/>
            <w:webHidden/>
          </w:rPr>
          <w:fldChar w:fldCharType="begin"/>
        </w:r>
        <w:r>
          <w:rPr>
            <w:noProof/>
            <w:webHidden/>
          </w:rPr>
          <w:instrText xml:space="preserve"> PAGEREF _Toc296002224 \h </w:instrText>
        </w:r>
        <w:r>
          <w:rPr>
            <w:rFonts w:ascii="Times New Roman" w:hAnsi="Times New Roman" w:cs="Times New Roman"/>
            <w:noProof/>
            <w:webHidden/>
          </w:rPr>
        </w:r>
        <w:r>
          <w:rPr>
            <w:noProof/>
            <w:webHidden/>
          </w:rPr>
          <w:fldChar w:fldCharType="separate"/>
        </w:r>
        <w:r>
          <w:rPr>
            <w:noProof/>
            <w:webHidden/>
          </w:rPr>
          <w:t>31</w:t>
        </w:r>
        <w:r>
          <w:rPr>
            <w:noProof/>
            <w:webHidden/>
          </w:rPr>
          <w:fldChar w:fldCharType="end"/>
        </w:r>
      </w:hyperlink>
    </w:p>
    <w:p w:rsidR="00E85A81" w:rsidRDefault="00E85A81">
      <w:pPr>
        <w:pStyle w:val="TOC2"/>
        <w:tabs>
          <w:tab w:val="left" w:pos="880"/>
          <w:tab w:val="right" w:leader="dot" w:pos="9394"/>
        </w:tabs>
        <w:rPr>
          <w:noProof/>
        </w:rPr>
      </w:pPr>
      <w:hyperlink w:anchor="_Toc296002225" w:history="1">
        <w:r>
          <w:rPr>
            <w:rStyle w:val="Hyperlink"/>
            <w:rFonts w:ascii="Calibri" w:hAnsi="Calibri" w:cs="Calibri"/>
            <w:noProof/>
          </w:rPr>
          <w:t>5.2.</w:t>
        </w:r>
        <w:r>
          <w:rPr>
            <w:noProof/>
          </w:rPr>
          <w:tab/>
        </w:r>
        <w:r>
          <w:rPr>
            <w:rStyle w:val="Hyperlink"/>
            <w:rFonts w:ascii="Calibri" w:hAnsi="Calibri" w:cs="Calibri"/>
            <w:noProof/>
          </w:rPr>
          <w:t>Analysis of findings</w:t>
        </w:r>
        <w:r>
          <w:rPr>
            <w:rFonts w:ascii="Times New Roman" w:hAnsi="Times New Roman" w:cs="Times New Roman"/>
            <w:noProof/>
            <w:webHidden/>
          </w:rPr>
          <w:tab/>
        </w:r>
        <w:r>
          <w:rPr>
            <w:noProof/>
            <w:webHidden/>
          </w:rPr>
          <w:fldChar w:fldCharType="begin"/>
        </w:r>
        <w:r>
          <w:rPr>
            <w:noProof/>
            <w:webHidden/>
          </w:rPr>
          <w:instrText xml:space="preserve"> PAGEREF _Toc296002225 \h </w:instrText>
        </w:r>
        <w:r>
          <w:rPr>
            <w:rFonts w:ascii="Times New Roman" w:hAnsi="Times New Roman" w:cs="Times New Roman"/>
            <w:noProof/>
            <w:webHidden/>
          </w:rPr>
        </w:r>
        <w:r>
          <w:rPr>
            <w:noProof/>
            <w:webHidden/>
          </w:rPr>
          <w:fldChar w:fldCharType="separate"/>
        </w:r>
        <w:r>
          <w:rPr>
            <w:noProof/>
            <w:webHidden/>
          </w:rPr>
          <w:t>31</w:t>
        </w:r>
        <w:r>
          <w:rPr>
            <w:noProof/>
            <w:webHidden/>
          </w:rPr>
          <w:fldChar w:fldCharType="end"/>
        </w:r>
      </w:hyperlink>
    </w:p>
    <w:p w:rsidR="00E85A81" w:rsidRDefault="00E85A81">
      <w:pPr>
        <w:pStyle w:val="TOC2"/>
        <w:tabs>
          <w:tab w:val="left" w:pos="880"/>
          <w:tab w:val="right" w:leader="dot" w:pos="9394"/>
        </w:tabs>
        <w:rPr>
          <w:noProof/>
        </w:rPr>
      </w:pPr>
      <w:hyperlink w:anchor="_Toc296002226" w:history="1">
        <w:r>
          <w:rPr>
            <w:rStyle w:val="Hyperlink"/>
            <w:rFonts w:ascii="Calibri" w:hAnsi="Calibri" w:cs="Calibri"/>
            <w:noProof/>
          </w:rPr>
          <w:t>5.3.</w:t>
        </w:r>
        <w:r>
          <w:rPr>
            <w:noProof/>
          </w:rPr>
          <w:tab/>
        </w:r>
        <w:r>
          <w:rPr>
            <w:rStyle w:val="Hyperlink"/>
            <w:rFonts w:ascii="Calibri" w:hAnsi="Calibri" w:cs="Calibri"/>
            <w:noProof/>
          </w:rPr>
          <w:t>Conclusion</w:t>
        </w:r>
        <w:r>
          <w:rPr>
            <w:rFonts w:ascii="Times New Roman" w:hAnsi="Times New Roman" w:cs="Times New Roman"/>
            <w:noProof/>
            <w:webHidden/>
          </w:rPr>
          <w:tab/>
        </w:r>
        <w:r>
          <w:rPr>
            <w:noProof/>
            <w:webHidden/>
          </w:rPr>
          <w:fldChar w:fldCharType="begin"/>
        </w:r>
        <w:r>
          <w:rPr>
            <w:noProof/>
            <w:webHidden/>
          </w:rPr>
          <w:instrText xml:space="preserve"> PAGEREF _Toc296002226 \h </w:instrText>
        </w:r>
        <w:r>
          <w:rPr>
            <w:rFonts w:ascii="Times New Roman" w:hAnsi="Times New Roman" w:cs="Times New Roman"/>
            <w:noProof/>
            <w:webHidden/>
          </w:rPr>
        </w:r>
        <w:r>
          <w:rPr>
            <w:noProof/>
            <w:webHidden/>
          </w:rPr>
          <w:fldChar w:fldCharType="separate"/>
        </w:r>
        <w:r>
          <w:rPr>
            <w:noProof/>
            <w:webHidden/>
          </w:rPr>
          <w:t>32</w:t>
        </w:r>
        <w:r>
          <w:rPr>
            <w:noProof/>
            <w:webHidden/>
          </w:rPr>
          <w:fldChar w:fldCharType="end"/>
        </w:r>
      </w:hyperlink>
    </w:p>
    <w:p w:rsidR="00E85A81" w:rsidRDefault="00E85A81">
      <w:pPr>
        <w:pStyle w:val="TOC1"/>
        <w:tabs>
          <w:tab w:val="left" w:pos="440"/>
          <w:tab w:val="right" w:leader="dot" w:pos="9394"/>
        </w:tabs>
        <w:rPr>
          <w:noProof/>
        </w:rPr>
      </w:pPr>
      <w:hyperlink w:anchor="_Toc296002227" w:history="1">
        <w:r>
          <w:rPr>
            <w:rStyle w:val="Hyperlink"/>
            <w:rFonts w:ascii="Calibri" w:hAnsi="Calibri" w:cs="Calibri"/>
            <w:noProof/>
          </w:rPr>
          <w:t>6.</w:t>
        </w:r>
        <w:r>
          <w:rPr>
            <w:noProof/>
          </w:rPr>
          <w:tab/>
        </w:r>
        <w:r>
          <w:rPr>
            <w:rStyle w:val="Hyperlink"/>
            <w:rFonts w:ascii="Calibri" w:hAnsi="Calibri" w:cs="Calibri"/>
            <w:noProof/>
          </w:rPr>
          <w:t>Conclusion</w:t>
        </w:r>
        <w:r>
          <w:rPr>
            <w:rFonts w:ascii="Times New Roman" w:hAnsi="Times New Roman" w:cs="Times New Roman"/>
            <w:noProof/>
            <w:webHidden/>
          </w:rPr>
          <w:tab/>
        </w:r>
        <w:r>
          <w:rPr>
            <w:noProof/>
            <w:webHidden/>
          </w:rPr>
          <w:fldChar w:fldCharType="begin"/>
        </w:r>
        <w:r>
          <w:rPr>
            <w:noProof/>
            <w:webHidden/>
          </w:rPr>
          <w:instrText xml:space="preserve"> PAGEREF _Toc296002227 \h </w:instrText>
        </w:r>
        <w:r>
          <w:rPr>
            <w:rFonts w:ascii="Times New Roman" w:hAnsi="Times New Roman" w:cs="Times New Roman"/>
            <w:noProof/>
            <w:webHidden/>
          </w:rPr>
        </w:r>
        <w:r>
          <w:rPr>
            <w:noProof/>
            <w:webHidden/>
          </w:rPr>
          <w:fldChar w:fldCharType="separate"/>
        </w:r>
        <w:r>
          <w:rPr>
            <w:noProof/>
            <w:webHidden/>
          </w:rPr>
          <w:t>33</w:t>
        </w:r>
        <w:r>
          <w:rPr>
            <w:noProof/>
            <w:webHidden/>
          </w:rPr>
          <w:fldChar w:fldCharType="end"/>
        </w:r>
      </w:hyperlink>
    </w:p>
    <w:p w:rsidR="00E85A81" w:rsidRDefault="00E85A81">
      <w:pPr>
        <w:pStyle w:val="TOC1"/>
        <w:tabs>
          <w:tab w:val="right" w:leader="dot" w:pos="9394"/>
        </w:tabs>
        <w:rPr>
          <w:noProof/>
        </w:rPr>
      </w:pPr>
      <w:hyperlink w:anchor="_Toc296002228" w:history="1">
        <w:r>
          <w:rPr>
            <w:rStyle w:val="Hyperlink"/>
            <w:rFonts w:ascii="Calibri" w:hAnsi="Calibri" w:cs="Calibri"/>
            <w:noProof/>
          </w:rPr>
          <w:t>References</w:t>
        </w:r>
        <w:r>
          <w:rPr>
            <w:rFonts w:ascii="Times New Roman" w:hAnsi="Times New Roman" w:cs="Times New Roman"/>
            <w:noProof/>
            <w:webHidden/>
          </w:rPr>
          <w:tab/>
        </w:r>
        <w:r>
          <w:rPr>
            <w:noProof/>
            <w:webHidden/>
          </w:rPr>
          <w:fldChar w:fldCharType="begin"/>
        </w:r>
        <w:r>
          <w:rPr>
            <w:noProof/>
            <w:webHidden/>
          </w:rPr>
          <w:instrText xml:space="preserve"> PAGEREF _Toc296002228 \h </w:instrText>
        </w:r>
        <w:r>
          <w:rPr>
            <w:rFonts w:ascii="Times New Roman" w:hAnsi="Times New Roman" w:cs="Times New Roman"/>
            <w:noProof/>
            <w:webHidden/>
          </w:rPr>
        </w:r>
        <w:r>
          <w:rPr>
            <w:noProof/>
            <w:webHidden/>
          </w:rPr>
          <w:fldChar w:fldCharType="separate"/>
        </w:r>
        <w:r>
          <w:rPr>
            <w:noProof/>
            <w:webHidden/>
          </w:rPr>
          <w:t>34</w:t>
        </w:r>
        <w:r>
          <w:rPr>
            <w:noProof/>
            <w:webHidden/>
          </w:rPr>
          <w:fldChar w:fldCharType="end"/>
        </w:r>
      </w:hyperlink>
    </w:p>
    <w:p w:rsidR="00E85A81" w:rsidRDefault="00E85A81">
      <w:pPr>
        <w:pStyle w:val="TOC1"/>
        <w:tabs>
          <w:tab w:val="right" w:leader="dot" w:pos="9394"/>
        </w:tabs>
        <w:rPr>
          <w:noProof/>
        </w:rPr>
      </w:pPr>
      <w:hyperlink w:anchor="_Toc296002229" w:history="1">
        <w:r>
          <w:rPr>
            <w:rStyle w:val="Hyperlink"/>
            <w:rFonts w:ascii="Calibri" w:hAnsi="Calibri" w:cs="Calibri"/>
            <w:noProof/>
          </w:rPr>
          <w:t>Appendix</w:t>
        </w:r>
        <w:r>
          <w:rPr>
            <w:rFonts w:ascii="Times New Roman" w:hAnsi="Times New Roman" w:cs="Times New Roman"/>
            <w:noProof/>
            <w:webHidden/>
          </w:rPr>
          <w:tab/>
        </w:r>
        <w:r>
          <w:rPr>
            <w:noProof/>
            <w:webHidden/>
          </w:rPr>
          <w:fldChar w:fldCharType="begin"/>
        </w:r>
        <w:r>
          <w:rPr>
            <w:noProof/>
            <w:webHidden/>
          </w:rPr>
          <w:instrText xml:space="preserve"> PAGEREF _Toc296002229 \h </w:instrText>
        </w:r>
        <w:r>
          <w:rPr>
            <w:rFonts w:ascii="Times New Roman" w:hAnsi="Times New Roman" w:cs="Times New Roman"/>
            <w:noProof/>
            <w:webHidden/>
          </w:rPr>
        </w:r>
        <w:r>
          <w:rPr>
            <w:noProof/>
            <w:webHidden/>
          </w:rPr>
          <w:fldChar w:fldCharType="separate"/>
        </w:r>
        <w:r>
          <w:rPr>
            <w:noProof/>
            <w:webHidden/>
          </w:rPr>
          <w:t>38</w:t>
        </w:r>
        <w:r>
          <w:rPr>
            <w:noProof/>
            <w:webHidden/>
          </w:rPr>
          <w:fldChar w:fldCharType="end"/>
        </w:r>
      </w:hyperlink>
    </w:p>
    <w:p w:rsidR="00E85A81" w:rsidRDefault="00E85A81">
      <w:pPr>
        <w:rPr>
          <w:rFonts w:ascii="Times New Roman" w:hAnsi="Times New Roman" w:cs="Times New Roman"/>
        </w:rPr>
      </w:pPr>
      <w:r>
        <w:fldChar w:fldCharType="end"/>
      </w:r>
    </w:p>
    <w:p w:rsidR="00E85A81" w:rsidRDefault="00E85A81">
      <w:pPr>
        <w:pStyle w:val="Heading1"/>
        <w:numPr>
          <w:ilvl w:val="0"/>
          <w:numId w:val="4"/>
          <w:numberingChange w:id="1" w:author="C.D. Knoops" w:date="2011-06-19T21:46:00Z" w:original="%1:1:0:."/>
        </w:numPr>
        <w:spacing w:before="0" w:line="360" w:lineRule="auto"/>
        <w:rPr>
          <w:rFonts w:ascii="Times New Roman" w:hAnsi="Times New Roman" w:cs="Times New Roman"/>
        </w:rPr>
      </w:pPr>
      <w:r>
        <w:rPr>
          <w:rFonts w:ascii="Times New Roman" w:hAnsi="Times New Roman" w:cs="Times New Roman"/>
        </w:rPr>
        <w:br w:type="page"/>
      </w:r>
      <w:bookmarkStart w:id="2" w:name="_Toc296002193"/>
      <w:r>
        <w:rPr>
          <w:rFonts w:ascii="Times New Roman" w:hAnsi="Times New Roman" w:cs="Times New Roman"/>
        </w:rPr>
        <w:t>Introduction</w:t>
      </w:r>
      <w:bookmarkEnd w:id="2"/>
    </w:p>
    <w:p w:rsidR="00E85A81" w:rsidRDefault="00E85A81">
      <w:pPr>
        <w:pStyle w:val="Heading2"/>
        <w:numPr>
          <w:ilvl w:val="1"/>
          <w:numId w:val="4"/>
          <w:numberingChange w:id="3" w:author="C.D. Knoops" w:date="2011-06-19T21:46:00Z" w:original="%1:1:0:.%2:1:0:."/>
        </w:numPr>
        <w:spacing w:after="240" w:line="360" w:lineRule="auto"/>
        <w:rPr>
          <w:rFonts w:ascii="Times New Roman" w:hAnsi="Times New Roman" w:cs="Times New Roman"/>
        </w:rPr>
      </w:pPr>
      <w:bookmarkStart w:id="4" w:name="_Toc296002194"/>
      <w:r>
        <w:rPr>
          <w:rFonts w:ascii="Times New Roman" w:hAnsi="Times New Roman" w:cs="Times New Roman"/>
        </w:rPr>
        <w:t>Background</w:t>
      </w:r>
      <w:bookmarkEnd w:id="4"/>
      <w:r>
        <w:rPr>
          <w:rFonts w:ascii="Times New Roman" w:hAnsi="Times New Roman" w:cs="Times New Roman"/>
        </w:rPr>
        <w:t xml:space="preserve"> </w:t>
      </w:r>
    </w:p>
    <w:p w:rsidR="00E85A81" w:rsidRDefault="00E85A81">
      <w:pPr>
        <w:autoSpaceDE w:val="0"/>
        <w:autoSpaceDN w:val="0"/>
        <w:adjustRightInd w:val="0"/>
        <w:spacing w:after="0" w:line="360" w:lineRule="auto"/>
        <w:ind w:firstLine="709"/>
      </w:pPr>
      <w:r>
        <w:t xml:space="preserve">Due to the growth of multinational companies and an increasing trend in globalization, there is a need for a single set of accounting standards that facilitates the process of exchanging, sharing and reporting financial results for international business activities. The trend towards harmonization of international accounting standards has evolved in the past three decades. Most common obstacles of harmonization process are listed by Elnathan and Krlich (1992). The three common obstacles are the differences in national accounting systems, nationalism and language differences. The first obstacle is related to the differences in the users of financial reporting and legal systems, the second obstacle is related to cultural differences and national pride and the third one is related to proper communication channels in interpretation of different terminology. </w:t>
      </w:r>
    </w:p>
    <w:p w:rsidR="00E85A81" w:rsidRDefault="00E85A81">
      <w:pPr>
        <w:autoSpaceDE w:val="0"/>
        <w:autoSpaceDN w:val="0"/>
        <w:adjustRightInd w:val="0"/>
        <w:spacing w:after="0" w:line="360" w:lineRule="auto"/>
        <w:ind w:firstLine="709"/>
      </w:pPr>
      <w:r>
        <w:t>Despite of these obstacles, the International Accounting Standards Board (IASB) prevails to develop a single set of high-quality reporting standards called International Financial Reporting Standards (IFRS). The publicity of IFRS is an important milestone in the harmonization process of accounting practices. Nowadays, IFRS is the basis of the financial reporting standards of most countries and encouraged improvement and convergence of accounting standards.</w:t>
      </w:r>
    </w:p>
    <w:p w:rsidR="00E85A81" w:rsidRDefault="00E85A81">
      <w:pPr>
        <w:spacing w:after="0" w:line="360" w:lineRule="auto"/>
        <w:ind w:firstLine="709"/>
        <w:rPr>
          <w:color w:val="000000"/>
        </w:rPr>
      </w:pPr>
      <w:r>
        <w:rPr>
          <w:color w:val="000000"/>
        </w:rPr>
        <w:t>Several years further away since the introduction of IFRS, it seems that systematic differences in the accounting practices between countries which applied IFRS still exist (Ball, 2006; Kvaal and Nobes, 2010). It seems that even after IFRS adoption, many companies are still preserved their national accounting practices in a way that minimizes as far as possible changes in the form of financial reporting that they applied under their previous national GAAPs (Ernst&amp;Young, 2006).</w:t>
      </w:r>
    </w:p>
    <w:p w:rsidR="00E85A81" w:rsidRDefault="00E85A81">
      <w:pPr>
        <w:autoSpaceDE w:val="0"/>
        <w:autoSpaceDN w:val="0"/>
        <w:adjustRightInd w:val="0"/>
        <w:spacing w:after="0" w:line="360" w:lineRule="auto"/>
        <w:ind w:firstLine="709"/>
        <w:rPr>
          <w:rFonts w:ascii="Times New Roman" w:hAnsi="Times New Roman" w:cs="Times New Roman"/>
          <w:color w:val="000000"/>
        </w:rPr>
      </w:pPr>
      <w:r>
        <w:rPr>
          <w:color w:val="000000"/>
        </w:rPr>
        <w:t>There are many relevant literatures related to international differences in financial reporting prior to IFRS adoption. Few reasons of IFRS implementation differences have been suggested such as legal system, providers of finance, taxation, culture and other external factors (Nobes and Parker, 2004, ch. 2). Harrison and McKinnon (1986) list some elements of a general theoretical model, but there is no specification which factors are major explanatory variables for accounting practices. In 1988, Gray develops a model based on Hofstede’s (1980) cultural / societal values related to accounting practices. In his model, he draws a link between societal values and accounting values, and how both values reinforce accounting practices in a particular country. The framework was extended by Doupnik and Salter (1995) who developed a general model of accounting development which links external environment, culture and institutional structures to accounting practices. Culture has been established by former researchers to be one of the major reasons of differences in accounting practices (Doupnik and Salter, 1995; Nobes, 1998)</w:t>
      </w:r>
      <w:r>
        <w:rPr>
          <w:rFonts w:ascii="Times New Roman" w:hAnsi="Times New Roman" w:cs="Times New Roman"/>
          <w:color w:val="000000"/>
        </w:rPr>
        <w:t>.</w:t>
      </w:r>
    </w:p>
    <w:p w:rsidR="00E85A81" w:rsidRDefault="00E85A81">
      <w:pPr>
        <w:pStyle w:val="Heading2"/>
        <w:numPr>
          <w:ilvl w:val="1"/>
          <w:numId w:val="4"/>
          <w:numberingChange w:id="5" w:author="C.D. Knoops" w:date="2011-06-19T21:46:00Z" w:original="%1:1:0:.%2:2:0:."/>
        </w:numPr>
        <w:spacing w:line="360" w:lineRule="auto"/>
        <w:rPr>
          <w:rFonts w:ascii="Times New Roman" w:hAnsi="Times New Roman" w:cs="Times New Roman"/>
        </w:rPr>
      </w:pPr>
      <w:bookmarkStart w:id="6" w:name="_Toc296002195"/>
      <w:r>
        <w:rPr>
          <w:rFonts w:ascii="Times New Roman" w:hAnsi="Times New Roman" w:cs="Times New Roman"/>
        </w:rPr>
        <w:t>Problem definition</w:t>
      </w:r>
      <w:bookmarkEnd w:id="6"/>
    </w:p>
    <w:p w:rsidR="00E85A81" w:rsidRDefault="00E85A81">
      <w:pPr>
        <w:autoSpaceDE w:val="0"/>
        <w:autoSpaceDN w:val="0"/>
        <w:adjustRightInd w:val="0"/>
        <w:spacing w:after="0" w:line="360" w:lineRule="auto"/>
        <w:ind w:firstLine="720"/>
        <w:rPr>
          <w:rFonts w:ascii="Times New Roman" w:hAnsi="Times New Roman" w:cs="Times New Roman"/>
          <w:color w:val="000000"/>
        </w:rPr>
      </w:pPr>
      <w:r>
        <w:rPr>
          <w:color w:val="000000"/>
        </w:rPr>
        <w:t>Related to the evidence found in previous investigation of cultural influences on accounting practices, this paper tries to analyze whether cultural differences across countries can be an explanation for differences in accounting practices across countries. The goal of this paper is not to examine accounting differences prior to IFRS adoption, but rather to use evidence found in the previous research as a guidance to find cultural impacts on IFRS implementation. It aims to answer the research question: “Does culture have an influence on accounting practices especially IFRS practices?”</w:t>
      </w:r>
    </w:p>
    <w:p w:rsidR="00E85A81" w:rsidRDefault="00E85A81">
      <w:pPr>
        <w:autoSpaceDE w:val="0"/>
        <w:autoSpaceDN w:val="0"/>
        <w:adjustRightInd w:val="0"/>
        <w:spacing w:after="0" w:line="360" w:lineRule="auto"/>
        <w:ind w:firstLine="720"/>
        <w:rPr>
          <w:color w:val="000000"/>
        </w:rPr>
      </w:pPr>
      <w:r>
        <w:rPr>
          <w:color w:val="000000"/>
        </w:rPr>
        <w:t>Theory suggests that cultural impact on accounting practices will disappear due to the standardization of accounting practices after the introduction of IFRS (Nobes and Parker, 2004; Deegan, 2009). I will try to answer the question whether the impact of culture is different in studies that incorporate IFRS in their research design as compared to studies that do not. The focus is on studies which use the Hofstede-Gray framework (1988) that relates culture and accounting values to accounting systems and practices. The accounting systems / practices are concerned with four different areas namely authority, enforcement, measurements and information disclosures. Below are the sub-questions which help to answer the research question:</w:t>
      </w:r>
    </w:p>
    <w:p w:rsidR="00E85A81" w:rsidRDefault="00E85A81">
      <w:pPr>
        <w:numPr>
          <w:ilvl w:val="0"/>
          <w:numId w:val="7"/>
          <w:numberingChange w:id="7" w:author="C.D. Knoops" w:date="2011-06-19T21:46:00Z" w:original="%1:1:0:."/>
        </w:numPr>
        <w:autoSpaceDE w:val="0"/>
        <w:autoSpaceDN w:val="0"/>
        <w:adjustRightInd w:val="0"/>
        <w:spacing w:after="0" w:line="360" w:lineRule="auto"/>
        <w:rPr>
          <w:color w:val="000000"/>
        </w:rPr>
      </w:pPr>
      <w:r>
        <w:rPr>
          <w:color w:val="000000"/>
        </w:rPr>
        <w:t>Do societal and accounting values influence the authority of professional assurance and the enforcement of accounting standards especially IFRS?</w:t>
      </w:r>
    </w:p>
    <w:p w:rsidR="00E85A81" w:rsidRDefault="00E85A81">
      <w:pPr>
        <w:numPr>
          <w:ilvl w:val="0"/>
          <w:numId w:val="7"/>
          <w:numberingChange w:id="8" w:author="C.D. Knoops" w:date="2011-06-19T21:46:00Z" w:original="%1:1:0:."/>
        </w:numPr>
        <w:autoSpaceDE w:val="0"/>
        <w:autoSpaceDN w:val="0"/>
        <w:adjustRightInd w:val="0"/>
        <w:spacing w:after="0" w:line="360" w:lineRule="auto"/>
        <w:rPr>
          <w:color w:val="000000"/>
        </w:rPr>
      </w:pPr>
      <w:r>
        <w:rPr>
          <w:color w:val="000000"/>
        </w:rPr>
        <w:t>Do societal and accounting values influence differences in the application of accounting measurements especially IFRS measurement?</w:t>
      </w:r>
    </w:p>
    <w:p w:rsidR="00E85A81" w:rsidRDefault="00E85A81">
      <w:pPr>
        <w:numPr>
          <w:ilvl w:val="0"/>
          <w:numId w:val="7"/>
          <w:numberingChange w:id="9" w:author="C.D. Knoops" w:date="2011-06-19T21:46:00Z" w:original="%1:1:0:."/>
        </w:numPr>
        <w:autoSpaceDE w:val="0"/>
        <w:autoSpaceDN w:val="0"/>
        <w:adjustRightInd w:val="0"/>
        <w:spacing w:after="0" w:line="360" w:lineRule="auto"/>
        <w:rPr>
          <w:rFonts w:ascii="Times New Roman" w:hAnsi="Times New Roman" w:cs="Times New Roman"/>
          <w:color w:val="000000"/>
        </w:rPr>
      </w:pPr>
      <w:r>
        <w:rPr>
          <w:color w:val="000000"/>
        </w:rPr>
        <w:t>Do societal and accounting values influence the information disclosure especially IFRS disclosures?</w:t>
      </w:r>
    </w:p>
    <w:p w:rsidR="00E85A81" w:rsidRDefault="00E85A81">
      <w:pPr>
        <w:pStyle w:val="Heading2"/>
        <w:numPr>
          <w:ilvl w:val="1"/>
          <w:numId w:val="4"/>
          <w:numberingChange w:id="10" w:author="C.D. Knoops" w:date="2011-06-19T21:46:00Z" w:original="%1:1:0:.%2:3:0:."/>
        </w:numPr>
        <w:spacing w:line="360" w:lineRule="auto"/>
        <w:rPr>
          <w:rFonts w:ascii="Times New Roman" w:hAnsi="Times New Roman" w:cs="Times New Roman"/>
        </w:rPr>
      </w:pPr>
      <w:bookmarkStart w:id="11" w:name="_Toc296002196"/>
      <w:r>
        <w:rPr>
          <w:rFonts w:ascii="Times New Roman" w:hAnsi="Times New Roman" w:cs="Times New Roman"/>
        </w:rPr>
        <w:t>Relevance</w:t>
      </w:r>
      <w:bookmarkEnd w:id="11"/>
    </w:p>
    <w:p w:rsidR="00E85A81" w:rsidRDefault="00E85A81">
      <w:pPr>
        <w:spacing w:line="360" w:lineRule="auto"/>
        <w:ind w:firstLine="709"/>
      </w:pPr>
      <w:r>
        <w:t xml:space="preserve">In perspective of financial markets, high quality of financial statements contributes to lowering cost of capital since trustworthiness of an investor to financial reports appeals them to provide capital at a lower cost. Therefore countries which adopt an internationally recognized and understood accounting standard for financial statement will gain significant advantages to those who do not (Sharpe, 1998). The harmonization of financial reporting is expected to increase market efficiency by reducing monitoring costs and decreasing cost of raising capital. Some empirical studies suggest positive effects of IFRS adoption on financial markets efficiency. Daske </w:t>
      </w:r>
      <w:r>
        <w:rPr>
          <w:i/>
          <w:iCs/>
        </w:rPr>
        <w:t>et al.</w:t>
      </w:r>
      <w:r>
        <w:t xml:space="preserve"> (2008) investigate the economic consequences of compulsory IFRS adoption around the world. Using a large sample of firms which are obligated to adopt IFRS, they found an increase in average market liquidity around the time of the IFRS introduction, a decrease in firm’s cost of capital and an increase in equity valuations. </w:t>
      </w:r>
    </w:p>
    <w:p w:rsidR="00E85A81" w:rsidRDefault="00E85A81">
      <w:pPr>
        <w:spacing w:before="240" w:line="360" w:lineRule="auto"/>
        <w:ind w:firstLine="709"/>
        <w:rPr>
          <w:rFonts w:ascii="Times New Roman" w:hAnsi="Times New Roman" w:cs="Times New Roman"/>
        </w:rPr>
      </w:pPr>
      <w:r>
        <w:t>Investors believe that the benefit of IFRS adoption outweighs the implementation cost</w:t>
      </w:r>
      <w:r>
        <w:rPr>
          <w:rFonts w:ascii="Times New Roman" w:hAnsi="Times New Roman" w:cs="Times New Roman"/>
        </w:rPr>
        <w:t>.</w:t>
      </w:r>
      <w:r>
        <w:t xml:space="preserve"> This is affirmed by an empirical study of market reaction to events surrounding the adoption of IFRS in Europe (Armstrong </w:t>
      </w:r>
      <w:r>
        <w:rPr>
          <w:i/>
          <w:iCs/>
        </w:rPr>
        <w:t>et al.</w:t>
      </w:r>
      <w:r>
        <w:rPr>
          <w:rFonts w:ascii="Times New Roman" w:hAnsi="Times New Roman" w:cs="Times New Roman"/>
          <w:i/>
          <w:iCs/>
        </w:rPr>
        <w:t>,</w:t>
      </w:r>
      <w:r>
        <w:t xml:space="preserve"> 2010). They found significant positive market reactions to events that increased the likelihood of IFRS adoption and vice versa. Another empirical study suggests strong positive abnormal returns of IFRS adoption and a substantial long-run reduction in the cost of capital (Karamanou </w:t>
      </w:r>
      <w:r>
        <w:rPr>
          <w:i/>
          <w:iCs/>
        </w:rPr>
        <w:t xml:space="preserve">et al., </w:t>
      </w:r>
      <w:r>
        <w:t>2005).  From an economic point of view, early evidences indicate that the harmonization process appears to bear its fruit which is to accommodate financial markets with high quality information and improve capital market efficiency by increasing accessibility of global capital and lowering cost of capital (Guggiola, 2010).</w:t>
      </w:r>
    </w:p>
    <w:p w:rsidR="00E85A81" w:rsidRDefault="00E85A81">
      <w:pPr>
        <w:spacing w:before="240" w:line="360" w:lineRule="auto"/>
        <w:ind w:firstLine="709"/>
        <w:rPr>
          <w:rFonts w:ascii="Times New Roman" w:hAnsi="Times New Roman" w:cs="Times New Roman"/>
        </w:rPr>
      </w:pPr>
      <w:r>
        <w:t xml:space="preserve">Despite of the evidence that IFRS adoption has positive economic consequences, there are still some aspects to be improved in comparability and consistency of financial statements that comply with IFRS. By focusing on one factor i.e. culture, this paper analyzes the extent of cultural impact, if there is any, on accounting practices when IFRS is incorporated in the research design. It investigates whether culture is a possible cause of international differences in the standardization of accounting practices. By understanding the underlying reason of differences in accounting practices, standard-setting bodies can take into account the societal and accounting values in the agenda of IFRS implementation. Furthermore, this paper contributes in informing users that the claim of consistent and full comparability of financial statements under IFRS standards have not yet been accomplished and culture may be an important explanatory variable. It also reminds standard setters to take into account that inevitable cultural differences may influence the implementation of proposed accounting standards. </w:t>
      </w:r>
    </w:p>
    <w:p w:rsidR="00E85A81" w:rsidRDefault="00E85A81">
      <w:pPr>
        <w:numPr>
          <w:ilvl w:val="1"/>
          <w:numId w:val="4"/>
          <w:numberingChange w:id="12" w:author="C.D. Knoops" w:date="2011-06-19T21:46:00Z" w:original="%1:1:0:.%2:4:0:."/>
        </w:numPr>
        <w:spacing w:line="360" w:lineRule="auto"/>
        <w:rPr>
          <w:rFonts w:ascii="Cambria" w:hAnsi="Cambria" w:cs="Cambria"/>
          <w:b/>
          <w:bCs/>
          <w:color w:val="4F81BD"/>
          <w:sz w:val="26"/>
          <w:szCs w:val="26"/>
        </w:rPr>
      </w:pPr>
      <w:r>
        <w:rPr>
          <w:rFonts w:ascii="Cambria" w:hAnsi="Cambria" w:cs="Cambria"/>
          <w:b/>
          <w:bCs/>
          <w:color w:val="4F81BD"/>
          <w:sz w:val="26"/>
          <w:szCs w:val="26"/>
        </w:rPr>
        <w:br w:type="page"/>
        <w:t>Research Process</w:t>
      </w:r>
    </w:p>
    <w:p w:rsidR="00E85A81" w:rsidRDefault="00E85A81">
      <w:pPr>
        <w:autoSpaceDE w:val="0"/>
        <w:autoSpaceDN w:val="0"/>
        <w:adjustRightInd w:val="0"/>
        <w:spacing w:after="0" w:line="360" w:lineRule="auto"/>
        <w:ind w:firstLine="709"/>
      </w:pPr>
      <w:r>
        <w:rPr>
          <w:noProof/>
          <w:lang w:val="nl-NL" w:eastAsia="nl-NL"/>
        </w:rPr>
        <w:pict>
          <v:group id="_x0000_s1027" style="position:absolute;left:0;text-align:left;margin-left:-4.2pt;margin-top:208.25pt;width:471pt;height:275.5pt;z-index:251655680" coordorigin="1455,2715" coordsize="9420,5510">
            <v:group id="_x0000_s1028" style="position:absolute;left:1455;top:2715;width:9420;height:4860" coordorigin="1455,1650" coordsize="9420,4860">
              <v:group id="_x0000_s1029" style="position:absolute;left:1455;top:1650;width:9420;height:4650" coordorigin="1455,1650" coordsize="9420,4650">
                <v:roundrect id="_x0000_s1030" style="position:absolute;left:1455;top:1650;width:2460;height:1635" arcsize="10923f">
                  <v:textbox style="mso-next-textbox:#_x0000_s1030">
                    <w:txbxContent>
                      <w:p w:rsidR="00E85A81" w:rsidRDefault="00E85A81">
                        <w:pPr>
                          <w:spacing w:after="0" w:line="240" w:lineRule="auto"/>
                          <w:jc w:val="center"/>
                          <w:rPr>
                            <w:b/>
                            <w:bCs/>
                            <w:u w:val="single"/>
                          </w:rPr>
                        </w:pPr>
                        <w:r>
                          <w:rPr>
                            <w:b/>
                            <w:bCs/>
                            <w:u w:val="single"/>
                          </w:rPr>
                          <w:t>External Influences</w:t>
                        </w:r>
                      </w:p>
                      <w:p w:rsidR="00E85A81" w:rsidRDefault="00E85A81">
                        <w:pPr>
                          <w:spacing w:after="0" w:line="240" w:lineRule="auto"/>
                          <w:jc w:val="center"/>
                        </w:pPr>
                        <w:r>
                          <w:t>Forces of nature</w:t>
                        </w:r>
                      </w:p>
                      <w:p w:rsidR="00E85A81" w:rsidRDefault="00E85A81">
                        <w:pPr>
                          <w:spacing w:after="0" w:line="240" w:lineRule="auto"/>
                          <w:jc w:val="center"/>
                        </w:pPr>
                        <w:r>
                          <w:t>Trade</w:t>
                        </w:r>
                      </w:p>
                      <w:p w:rsidR="00E85A81" w:rsidRDefault="00E85A81">
                        <w:pPr>
                          <w:spacing w:after="0" w:line="240" w:lineRule="auto"/>
                          <w:jc w:val="center"/>
                        </w:pPr>
                        <w:r>
                          <w:t>Investment</w:t>
                        </w:r>
                      </w:p>
                      <w:p w:rsidR="00E85A81" w:rsidRDefault="00E85A81">
                        <w:pPr>
                          <w:spacing w:line="240" w:lineRule="auto"/>
                          <w:jc w:val="center"/>
                        </w:pPr>
                        <w:r>
                          <w:t>Conquest</w:t>
                        </w:r>
                      </w:p>
                      <w:p w:rsidR="00E85A81" w:rsidRDefault="00E85A81">
                        <w:pPr>
                          <w:spacing w:line="240" w:lineRule="auto"/>
                          <w:rPr>
                            <w:rFonts w:ascii="Times New Roman" w:hAnsi="Times New Roman" w:cs="Times New Roman"/>
                          </w:rPr>
                        </w:pPr>
                      </w:p>
                    </w:txbxContent>
                  </v:textbox>
                </v:roundrect>
                <v:roundrect id="_x0000_s1031" style="position:absolute;left:1470;top:3795;width:2535;height:2505" arcsize="10923f">
                  <v:textbox style="mso-next-textbox:#_x0000_s1031">
                    <w:txbxContent>
                      <w:p w:rsidR="00E85A81" w:rsidRDefault="00E85A81">
                        <w:pPr>
                          <w:spacing w:after="0" w:line="240" w:lineRule="auto"/>
                          <w:jc w:val="center"/>
                          <w:rPr>
                            <w:b/>
                            <w:bCs/>
                            <w:u w:val="single"/>
                          </w:rPr>
                        </w:pPr>
                        <w:r>
                          <w:rPr>
                            <w:b/>
                            <w:bCs/>
                            <w:u w:val="single"/>
                          </w:rPr>
                          <w:t>Ecological Influences</w:t>
                        </w:r>
                      </w:p>
                      <w:p w:rsidR="00E85A81" w:rsidRDefault="00E85A81">
                        <w:pPr>
                          <w:spacing w:after="0" w:line="240" w:lineRule="auto"/>
                          <w:jc w:val="center"/>
                        </w:pPr>
                        <w:r>
                          <w:t>Geographic</w:t>
                        </w:r>
                      </w:p>
                      <w:p w:rsidR="00E85A81" w:rsidRDefault="00E85A81">
                        <w:pPr>
                          <w:spacing w:after="0" w:line="240" w:lineRule="auto"/>
                          <w:jc w:val="center"/>
                        </w:pPr>
                        <w:r>
                          <w:t>Economic</w:t>
                        </w:r>
                      </w:p>
                      <w:p w:rsidR="00E85A81" w:rsidRDefault="00E85A81">
                        <w:pPr>
                          <w:spacing w:after="0" w:line="240" w:lineRule="auto"/>
                          <w:jc w:val="center"/>
                        </w:pPr>
                        <w:r>
                          <w:t>Demographic</w:t>
                        </w:r>
                      </w:p>
                      <w:p w:rsidR="00E85A81" w:rsidRDefault="00E85A81">
                        <w:pPr>
                          <w:spacing w:after="0" w:line="240" w:lineRule="auto"/>
                          <w:jc w:val="center"/>
                        </w:pPr>
                        <w:r>
                          <w:t>Genetic / Hygiene</w:t>
                        </w:r>
                      </w:p>
                      <w:p w:rsidR="00E85A81" w:rsidRDefault="00E85A81">
                        <w:pPr>
                          <w:spacing w:after="0" w:line="240" w:lineRule="auto"/>
                          <w:jc w:val="center"/>
                        </w:pPr>
                        <w:r>
                          <w:t>Historical</w:t>
                        </w:r>
                      </w:p>
                      <w:p w:rsidR="00E85A81" w:rsidRDefault="00E85A81">
                        <w:pPr>
                          <w:spacing w:line="240" w:lineRule="auto"/>
                          <w:jc w:val="center"/>
                        </w:pPr>
                        <w:r>
                          <w:t>Technological</w:t>
                        </w:r>
                      </w:p>
                      <w:p w:rsidR="00E85A81" w:rsidRDefault="00E85A81">
                        <w:pPr>
                          <w:spacing w:line="240" w:lineRule="auto"/>
                          <w:jc w:val="center"/>
                        </w:pPr>
                        <w:r>
                          <w:t>Urbanization</w:t>
                        </w:r>
                      </w:p>
                    </w:txbxContent>
                  </v:textbox>
                </v:roundrect>
                <v:roundrect id="_x0000_s1032" style="position:absolute;left:7815;top:1650;width:3060;height:2220" arcsize="10923f">
                  <v:textbox style="mso-next-textbox:#_x0000_s1032">
                    <w:txbxContent>
                      <w:p w:rsidR="00E85A81" w:rsidRDefault="00E85A81">
                        <w:pPr>
                          <w:spacing w:after="0" w:line="240" w:lineRule="auto"/>
                          <w:jc w:val="center"/>
                          <w:rPr>
                            <w:b/>
                            <w:bCs/>
                            <w:u w:val="single"/>
                          </w:rPr>
                        </w:pPr>
                        <w:r>
                          <w:rPr>
                            <w:b/>
                            <w:bCs/>
                            <w:u w:val="single"/>
                          </w:rPr>
                          <w:t>Institutional Consequences</w:t>
                        </w:r>
                      </w:p>
                      <w:p w:rsidR="00E85A81" w:rsidRDefault="00E85A81">
                        <w:pPr>
                          <w:spacing w:after="0" w:line="240" w:lineRule="auto"/>
                          <w:jc w:val="center"/>
                        </w:pPr>
                        <w:r>
                          <w:t>Legal system</w:t>
                        </w:r>
                      </w:p>
                      <w:p w:rsidR="00E85A81" w:rsidRDefault="00E85A81">
                        <w:pPr>
                          <w:spacing w:after="0" w:line="240" w:lineRule="auto"/>
                          <w:jc w:val="center"/>
                        </w:pPr>
                        <w:r>
                          <w:t>Corporate ownership</w:t>
                        </w:r>
                      </w:p>
                      <w:p w:rsidR="00E85A81" w:rsidRDefault="00E85A81">
                        <w:pPr>
                          <w:spacing w:after="0" w:line="240" w:lineRule="auto"/>
                          <w:jc w:val="center"/>
                        </w:pPr>
                        <w:r>
                          <w:t>Capital markets</w:t>
                        </w:r>
                      </w:p>
                      <w:p w:rsidR="00E85A81" w:rsidRDefault="00E85A81">
                        <w:pPr>
                          <w:spacing w:after="0" w:line="240" w:lineRule="auto"/>
                          <w:jc w:val="center"/>
                        </w:pPr>
                        <w:r>
                          <w:t>Professional associations</w:t>
                        </w:r>
                      </w:p>
                      <w:p w:rsidR="00E85A81" w:rsidRDefault="00E85A81">
                        <w:pPr>
                          <w:spacing w:after="0" w:line="240" w:lineRule="auto"/>
                          <w:jc w:val="center"/>
                        </w:pPr>
                        <w:r>
                          <w:t>Education</w:t>
                        </w:r>
                      </w:p>
                      <w:p w:rsidR="00E85A81" w:rsidRDefault="00E85A81">
                        <w:pPr>
                          <w:spacing w:line="240" w:lineRule="auto"/>
                          <w:jc w:val="center"/>
                        </w:pPr>
                        <w:r>
                          <w:t>Religion</w:t>
                        </w:r>
                      </w:p>
                      <w:p w:rsidR="00E85A81" w:rsidRDefault="00E85A81">
                        <w:pPr>
                          <w:rPr>
                            <w:rFonts w:ascii="Times New Roman" w:hAnsi="Times New Roman" w:cs="Times New Roman"/>
                          </w:rPr>
                        </w:pPr>
                      </w:p>
                    </w:txbxContent>
                  </v:textbox>
                </v:roundrect>
                <v:roundrect id="_x0000_s1033" style="position:absolute;left:4905;top:4050;width:2085;height:420" arcsize="10923f">
                  <v:textbox style="mso-next-textbox:#_x0000_s1033">
                    <w:txbxContent>
                      <w:p w:rsidR="00E85A81" w:rsidRDefault="00E85A81">
                        <w:pPr>
                          <w:spacing w:after="0" w:line="240" w:lineRule="auto"/>
                          <w:jc w:val="center"/>
                          <w:rPr>
                            <w:b/>
                            <w:bCs/>
                            <w:lang w:val="de-DE"/>
                          </w:rPr>
                        </w:pPr>
                        <w:r>
                          <w:rPr>
                            <w:b/>
                            <w:bCs/>
                          </w:rPr>
                          <w:t>Societal</w:t>
                        </w:r>
                        <w:r>
                          <w:rPr>
                            <w:b/>
                            <w:bCs/>
                            <w:lang w:val="de-DE"/>
                          </w:rPr>
                          <w:t xml:space="preserve"> Values</w:t>
                        </w:r>
                      </w:p>
                    </w:txbxContent>
                  </v:textbox>
                </v:roundrect>
                <v:roundrect id="_x0000_s1034" style="position:absolute;left:8055;top:5265;width:2250;height:420" arcsize="10923f">
                  <v:textbox style="mso-next-textbox:#_x0000_s1034">
                    <w:txbxContent>
                      <w:p w:rsidR="00E85A81" w:rsidRDefault="00E85A81">
                        <w:pPr>
                          <w:spacing w:after="0" w:line="240" w:lineRule="auto"/>
                          <w:jc w:val="center"/>
                          <w:rPr>
                            <w:b/>
                            <w:bCs/>
                            <w:lang w:val="de-DE"/>
                          </w:rPr>
                        </w:pPr>
                        <w:r>
                          <w:rPr>
                            <w:b/>
                            <w:bCs/>
                          </w:rPr>
                          <w:t>Accounting</w:t>
                        </w:r>
                        <w:r>
                          <w:rPr>
                            <w:b/>
                            <w:bCs/>
                            <w:lang w:val="de-DE"/>
                          </w:rPr>
                          <w:t xml:space="preserve"> Systems</w:t>
                        </w:r>
                      </w:p>
                    </w:txbxContent>
                  </v:textbox>
                </v:roundrect>
                <v:roundrect id="_x0000_s1035" style="position:absolute;left:4905;top:5235;width:2085;height:420" arcsize="10923f">
                  <v:textbox style="mso-next-textbox:#_x0000_s1035">
                    <w:txbxContent>
                      <w:p w:rsidR="00E85A81" w:rsidRDefault="00E85A81">
                        <w:pPr>
                          <w:spacing w:after="0" w:line="240" w:lineRule="auto"/>
                          <w:jc w:val="center"/>
                          <w:rPr>
                            <w:b/>
                            <w:bCs/>
                            <w:lang w:val="de-DE"/>
                          </w:rPr>
                        </w:pPr>
                        <w:r>
                          <w:rPr>
                            <w:b/>
                            <w:bCs/>
                          </w:rPr>
                          <w:t>Accounting</w:t>
                        </w:r>
                        <w:r>
                          <w:rPr>
                            <w:b/>
                            <w:bCs/>
                            <w:lang w:val="de-DE"/>
                          </w:rPr>
                          <w:t xml:space="preserve"> Values</w:t>
                        </w:r>
                      </w:p>
                    </w:txbxContent>
                  </v:textbox>
                </v:roundrect>
                <v:group id="_x0000_s1036" style="position:absolute;left:2640;top:2715;width:7935;height:3270" coordorigin="2640,2715" coordsize="7935,3270">
                  <v:shapetype id="_x0000_t32" coordsize="21600,21600" o:spt="32" o:oned="t" path="m,l21600,21600e" filled="f">
                    <v:path arrowok="t" fillok="f" o:connecttype="none"/>
                    <o:lock v:ext="edit" shapetype="t"/>
                  </v:shapetype>
                  <v:shape id="_x0000_s1037" type="#_x0000_t32" style="position:absolute;left:2640;top:3285;width:0;height:510" o:connectortype="straight">
                    <v:stroke endarrow="block"/>
                  </v:shape>
                  <v:shape id="_x0000_s1038" type="#_x0000_t32" style="position:absolute;left:4005;top:4230;width:900;height:0" o:connectortype="straight">
                    <v:stroke endarrow="block"/>
                  </v:shape>
                  <v:shape id="_x0000_s1039" type="#_x0000_t32" style="position:absolute;left:6990;top:5460;width:1065;height:0" o:connectortype="straight">
                    <v:stroke endarrow="block"/>
                  </v:shape>
                  <v:shape id="_x0000_s1040" type="#_x0000_t32" style="position:absolute;left:5835;top:4470;width:0;height:765" o:connectortype="straight">
                    <v:stroke endarrow="block"/>
                  </v:shape>
                  <v:shape id="_x0000_s1041" type="#_x0000_t32" style="position:absolute;left:9181;top:3870;width:0;height:1395" o:connectortype="straight">
                    <v:stroke endarrow="block"/>
                  </v:shape>
                  <v:group id="_x0000_s1042" style="position:absolute;left:5835;top:2715;width:1980;height:1335" coordorigin="5835,2715" coordsize="1980,1335">
                    <v:shape id="_x0000_s1043" type="#_x0000_t32" style="position:absolute;left:5835;top:2715;width:0;height:1335;flip:y" o:connectortype="straight"/>
                    <v:shape id="_x0000_s1044" type="#_x0000_t32" style="position:absolute;left:5835;top:2715;width:1980;height:0" o:connectortype="straight">
                      <v:stroke endarrow="block"/>
                    </v:shape>
                  </v:group>
                  <v:group id="_x0000_s1045" style="position:absolute;left:4005;top:3870;width:6570;height:2115;flip:x y" coordorigin="5835,2715" coordsize="1980,1335">
                    <v:shape id="_x0000_s1046" type="#_x0000_t32" style="position:absolute;left:5835;top:2715;width:0;height:1335;flip:y" o:connectortype="straight"/>
                    <v:shape id="_x0000_s1047" type="#_x0000_t32" style="position:absolute;left:5835;top:2715;width:1980;height:0" o:connectortype="straight">
                      <v:stroke endarrow="block"/>
                    </v:shape>
                  </v:group>
                  <v:shape id="_x0000_s1048" type="#_x0000_t32" style="position:absolute;left:5835;top:5655;width:0;height:330" o:connectortype="straight">
                    <v:stroke endarrow="block"/>
                  </v:shape>
                  <v:shape id="_x0000_s1049" type="#_x0000_t32" style="position:absolute;left:9181;top:5700;width:0;height:285" o:connectortype="straight">
                    <v:stroke endarrow="block"/>
                  </v:shape>
                </v:group>
              </v:group>
              <v:shapetype id="_x0000_t202" coordsize="21600,21600" o:spt="202" path="m,l,21600r21600,l21600,xe">
                <v:stroke joinstyle="miter"/>
                <v:path gradientshapeok="t" o:connecttype="rect"/>
              </v:shapetype>
              <v:shape id="_x0000_s1050" type="#_x0000_t202" style="position:absolute;left:6665;top:6060;width:2070;height:450" stroked="f" strokeweight=".25pt">
                <v:textbox style="mso-next-textbox:#_x0000_s1050">
                  <w:txbxContent>
                    <w:p w:rsidR="00E85A81" w:rsidRDefault="00E85A81">
                      <w:pPr>
                        <w:spacing w:line="240" w:lineRule="auto"/>
                        <w:rPr>
                          <w:b/>
                          <w:bCs/>
                          <w:lang w:val="de-DE"/>
                        </w:rPr>
                      </w:pPr>
                      <w:r>
                        <w:rPr>
                          <w:b/>
                          <w:bCs/>
                          <w:lang w:val="de-DE"/>
                        </w:rPr>
                        <w:t>REINFORCEMENT</w:t>
                      </w:r>
                    </w:p>
                  </w:txbxContent>
                </v:textbox>
              </v:shape>
            </v:group>
            <v:shape id="_x0000_s1051" type="#_x0000_t202" style="position:absolute;left:1470;top:7710;width:8625;height:515" stroked="f">
              <v:textbox style="mso-next-textbox:#_x0000_s1051">
                <w:txbxContent>
                  <w:p w:rsidR="00E85A81" w:rsidRDefault="00E85A81">
                    <w:pPr>
                      <w:autoSpaceDE w:val="0"/>
                      <w:autoSpaceDN w:val="0"/>
                      <w:adjustRightInd w:val="0"/>
                      <w:spacing w:line="240" w:lineRule="auto"/>
                    </w:pPr>
                    <w:r>
                      <w:t>Figure 1: Gray (1988) Culture, societal values and accounting subculture</w:t>
                    </w:r>
                  </w:p>
                  <w:p w:rsidR="00E85A81" w:rsidRDefault="00E85A81">
                    <w:pPr>
                      <w:spacing w:line="240" w:lineRule="auto"/>
                      <w:rPr>
                        <w:rFonts w:ascii="Times New Roman" w:hAnsi="Times New Roman" w:cs="Times New Roman"/>
                      </w:rPr>
                    </w:pPr>
                  </w:p>
                </w:txbxContent>
              </v:textbox>
            </v:shape>
            <w10:wrap type="square"/>
          </v:group>
        </w:pict>
      </w:r>
      <w:r>
        <w:t xml:space="preserve">The development of accounting systems in a nation does not happen in a single process. It is an evolving process wherein accounting values and institutional consequences constantly influence accounting systems (see figure 1). External influences such as foreign trade and investment have an impact on the environment / ecology of a nation. Figure 1 shows how societal values receive ecological influences and forward it to both accounting values and institutional consequences. These accounting values and institutional consequences are reflected in the accounting systems. The accounting systems reciprocally influence accounting values and ecological influences, reinforced the consequences of an accounting system. The reinforcement of accounting systems preserves the accounting practices in a nation. Consequently, the finding of national IFRS patterns (Nobes, 2006; Ernst&amp;Young, 2006) is not surprising because accounting values are implanted in the root of accounting practices of a country. </w:t>
      </w:r>
    </w:p>
    <w:p w:rsidR="00E85A81" w:rsidRDefault="00E85A81">
      <w:pPr>
        <w:autoSpaceDE w:val="0"/>
        <w:autoSpaceDN w:val="0"/>
        <w:adjustRightInd w:val="0"/>
        <w:spacing w:line="360" w:lineRule="auto"/>
        <w:ind w:firstLine="709"/>
        <w:rPr>
          <w:rFonts w:ascii="Times New Roman" w:hAnsi="Times New Roman" w:cs="Times New Roman"/>
        </w:rPr>
      </w:pPr>
      <w:r>
        <w:t>After the introduction of a new standard</w:t>
      </w:r>
      <w:r>
        <w:rPr>
          <w:rFonts w:ascii="Times New Roman" w:hAnsi="Times New Roman" w:cs="Times New Roman"/>
        </w:rPr>
        <w:t>,</w:t>
      </w:r>
      <w:r>
        <w:t xml:space="preserve"> that is IFRS, accounting practices should comply with that new standard. The development of accounting systems at the sub-cultural level is related to societal values orientations, since such values pervade a nation’s social system (Gray, 1988). If societal values do not change, correspondingly it is expected that accounting values also do not change. Since societal values remain unchanged and likewise accounting values, therefore IFRS practice is inevitably impacted by the culture of the related country. </w:t>
      </w:r>
    </w:p>
    <w:p w:rsidR="00E85A81" w:rsidRDefault="00E85A81">
      <w:pPr>
        <w:autoSpaceDE w:val="0"/>
        <w:autoSpaceDN w:val="0"/>
        <w:adjustRightInd w:val="0"/>
        <w:spacing w:line="360" w:lineRule="auto"/>
        <w:ind w:firstLine="709"/>
        <w:rPr>
          <w:rFonts w:ascii="Times New Roman" w:hAnsi="Times New Roman" w:cs="Times New Roman"/>
        </w:rPr>
      </w:pPr>
      <w:r>
        <w:t>Using three sub-questions which have been mentioned before, a comparison will be made between accounting practices before and after the introduction of IFRS. However, due to the absence of empirical literature about cultural influences on IFRS implementation, this kind of comparison cannot be made. Therefore I review empirical studies that incorporate accounting rules based on IAS / IFRS in their research design and discuss these studies further in the section of analysis. There are three accounting practices to be examined: authority and enforcement, measurement practices, and information disclosure. These three accounting practices are expected to be similar or converged when a uniform set of accounting standards i.e. IFRS is applied. If convergence in the accounting practices does not happen, the extent of culture as a possible explanation on this divergence will be investigated. Empirical literatures are used to identify whether influences of cultural values through accounting values of a nation appear in these three accounting practices.</w:t>
      </w:r>
    </w:p>
    <w:p w:rsidR="00E85A81" w:rsidRDefault="00E85A81">
      <w:pPr>
        <w:pStyle w:val="Heading2"/>
        <w:numPr>
          <w:ilvl w:val="1"/>
          <w:numId w:val="4"/>
          <w:numberingChange w:id="13" w:author="C.D. Knoops" w:date="2011-06-19T21:46:00Z" w:original="%1:1:0:.%2:5:0:."/>
        </w:numPr>
        <w:spacing w:after="240"/>
        <w:rPr>
          <w:rFonts w:ascii="Times New Roman" w:hAnsi="Times New Roman" w:cs="Times New Roman"/>
        </w:rPr>
      </w:pPr>
      <w:bookmarkStart w:id="14" w:name="_Toc296002197"/>
      <w:r>
        <w:rPr>
          <w:rFonts w:ascii="Times New Roman" w:hAnsi="Times New Roman" w:cs="Times New Roman"/>
        </w:rPr>
        <w:t>Methodology</w:t>
      </w:r>
      <w:bookmarkEnd w:id="14"/>
      <w:r>
        <w:rPr>
          <w:rFonts w:ascii="Times New Roman" w:hAnsi="Times New Roman" w:cs="Times New Roman"/>
        </w:rPr>
        <w:t xml:space="preserve"> </w:t>
      </w:r>
    </w:p>
    <w:p w:rsidR="00E85A81" w:rsidRDefault="00E85A81">
      <w:pPr>
        <w:autoSpaceDE w:val="0"/>
        <w:autoSpaceDN w:val="0"/>
        <w:adjustRightInd w:val="0"/>
        <w:spacing w:line="360" w:lineRule="auto"/>
        <w:ind w:firstLine="720"/>
        <w:rPr>
          <w:color w:val="000000"/>
        </w:rPr>
      </w:pPr>
      <w:r>
        <w:rPr>
          <w:color w:val="000000"/>
        </w:rPr>
        <w:t>The methodology of this thesis is based on literature review. This exploratory study relies on the work of former researchers and takes logical inferences based on their studies. There are two theories that will be used i.e. a theory of Hofstede (1980) on societal values and a theory of Gray (1988) that links Hofstede’s societal values to accounting values and accounting systems / practices. The latter is known as the so-called Hofstede-Gray framework and my literature review studies consist of studies that make use of this framework</w:t>
      </w:r>
      <w:r>
        <w:rPr>
          <w:rFonts w:ascii="Times New Roman" w:hAnsi="Times New Roman" w:cs="Times New Roman"/>
          <w:color w:val="000000"/>
        </w:rPr>
        <w:t>.</w:t>
      </w:r>
      <w:r>
        <w:rPr>
          <w:color w:val="000000"/>
        </w:rPr>
        <w:t xml:space="preserve"> </w:t>
      </w:r>
    </w:p>
    <w:p w:rsidR="00E85A81" w:rsidRDefault="00E85A81">
      <w:pPr>
        <w:autoSpaceDE w:val="0"/>
        <w:autoSpaceDN w:val="0"/>
        <w:adjustRightInd w:val="0"/>
        <w:spacing w:line="360" w:lineRule="auto"/>
        <w:ind w:firstLine="720"/>
      </w:pPr>
      <w:r>
        <w:t xml:space="preserve">The structure of this paper proceeds as follows: section one defines the problem statement and relevancy of this paper to the readers; section two describes the history of IFRS, its characteristics and the adoption of IFRS around the world; section three explains the relationship between culture and accounting using the Hofstede-Gray framework; section four presents some empirical studies that use the Hofstede-Gray framework since Gray (1988) never did empirical test on his own framework. These empirical studies are presented in three parts:  authority and enforcement, measurement practices and disclosures; section five provides analysis of empirical findings from section four; finally section six provides conclusions of the whole thesis and some suggestions for further research. </w:t>
      </w:r>
    </w:p>
    <w:p w:rsidR="00E85A81" w:rsidRDefault="00E85A81">
      <w:pPr>
        <w:pStyle w:val="Heading1"/>
        <w:numPr>
          <w:ilvl w:val="0"/>
          <w:numId w:val="4"/>
          <w:numberingChange w:id="15" w:author="C.D. Knoops" w:date="2011-06-19T21:46:00Z" w:original="%1:2:0:."/>
        </w:numPr>
        <w:spacing w:before="0" w:after="240" w:line="360" w:lineRule="auto"/>
        <w:rPr>
          <w:rFonts w:ascii="Times New Roman" w:hAnsi="Times New Roman" w:cs="Times New Roman"/>
        </w:rPr>
      </w:pPr>
      <w:bookmarkStart w:id="16" w:name="_Toc296002198"/>
      <w:r>
        <w:rPr>
          <w:rFonts w:ascii="Times New Roman" w:hAnsi="Times New Roman" w:cs="Times New Roman"/>
        </w:rPr>
        <w:t>International Financial Reporting Standards</w:t>
      </w:r>
      <w:bookmarkEnd w:id="16"/>
    </w:p>
    <w:p w:rsidR="00E85A81" w:rsidRDefault="00E85A81">
      <w:pPr>
        <w:pStyle w:val="Heading2"/>
        <w:numPr>
          <w:ilvl w:val="1"/>
          <w:numId w:val="4"/>
          <w:numberingChange w:id="17" w:author="C.D. Knoops" w:date="2011-06-19T21:46:00Z" w:original="%1:2:0:.%2:1:0:."/>
        </w:numPr>
        <w:spacing w:before="0" w:after="240" w:line="360" w:lineRule="auto"/>
        <w:rPr>
          <w:rFonts w:ascii="Times New Roman" w:hAnsi="Times New Roman" w:cs="Times New Roman"/>
        </w:rPr>
      </w:pPr>
      <w:bookmarkStart w:id="18" w:name="_Toc296002199"/>
      <w:r>
        <w:rPr>
          <w:rFonts w:ascii="Times New Roman" w:hAnsi="Times New Roman" w:cs="Times New Roman"/>
        </w:rPr>
        <w:t>Introduction</w:t>
      </w:r>
      <w:bookmarkEnd w:id="18"/>
    </w:p>
    <w:p w:rsidR="00E85A81" w:rsidRDefault="00E85A81">
      <w:pPr>
        <w:spacing w:line="360" w:lineRule="auto"/>
        <w:ind w:firstLine="709"/>
        <w:rPr>
          <w:rFonts w:ascii="Times New Roman" w:hAnsi="Times New Roman" w:cs="Times New Roman"/>
        </w:rPr>
      </w:pPr>
      <w:r>
        <w:t>This section provides a brief description of the history of IFRS, the characteristics of IFRS standards and the meaning of IFRS as a principle-based standard and the lists of countries which decided to adopted IFRS as their accounting standards, suggesting the success of IFRS towards its goal as a set of globally accepted financial reporting standards.</w:t>
      </w:r>
    </w:p>
    <w:p w:rsidR="00E85A81" w:rsidRDefault="00E85A81">
      <w:pPr>
        <w:pStyle w:val="Heading2"/>
        <w:numPr>
          <w:ilvl w:val="1"/>
          <w:numId w:val="4"/>
          <w:numberingChange w:id="19" w:author="C.D. Knoops" w:date="2011-06-19T21:46:00Z" w:original="%1:2:0:.%2:2:0:."/>
        </w:numPr>
        <w:spacing w:before="0" w:after="240" w:line="360" w:lineRule="auto"/>
        <w:rPr>
          <w:rFonts w:ascii="Times New Roman" w:hAnsi="Times New Roman" w:cs="Times New Roman"/>
        </w:rPr>
      </w:pPr>
      <w:bookmarkStart w:id="20" w:name="_Toc296002200"/>
      <w:r>
        <w:rPr>
          <w:rFonts w:ascii="Times New Roman" w:hAnsi="Times New Roman" w:cs="Times New Roman"/>
        </w:rPr>
        <w:t>History of IFRS</w:t>
      </w:r>
      <w:bookmarkEnd w:id="20"/>
    </w:p>
    <w:p w:rsidR="00E85A81" w:rsidRDefault="00E85A81">
      <w:pPr>
        <w:spacing w:after="240" w:line="360" w:lineRule="auto"/>
        <w:ind w:firstLine="709"/>
      </w:pPr>
      <w:r>
        <w:t xml:space="preserve">The history of accounting standards and rules began in 1966. The objective was to create an International Study Group containing several accounting groups from different countries such as the American Institute of Certified Public Accountants, the Canadian Institute of Chartered Accountants and the Institute of Chartered Accountants of England and Wales. In 1967 the study group was created, under the name of Accounting International Study Group. Six years later, these groups established an international body writing accounting standards under the name of International Accounting Standards Committee (IASC) through an agreement by professional accounting bodies from Australia, Canada, France, Germany, Japan, Mexico, the Netherlands, the United Kingdom and Ireland, and the United States.  The main reason behind the setting up of IASC was to develop accounting standards to be accepted around the world for the improvement of financial reporting internationally. Throughout the years, there were some changes to its structure and functioning. The most notable one is the increase in IASC’s sponsorship from nine original accounting bodies to 152 accounting bodies from 112 countries (Ankarath </w:t>
      </w:r>
      <w:r>
        <w:rPr>
          <w:i/>
          <w:iCs/>
        </w:rPr>
        <w:t>et al.</w:t>
      </w:r>
      <w:r>
        <w:rPr>
          <w:rFonts w:ascii="Times New Roman" w:hAnsi="Times New Roman" w:cs="Times New Roman"/>
          <w:i/>
          <w:iCs/>
        </w:rPr>
        <w:t>,</w:t>
      </w:r>
      <w:r>
        <w:t xml:space="preserve"> 2010). This fundamental change drew the attention of governments, standard-setting bodies, securities regulators and the business community on the effort of IASC to develop a single set of accounting standards to be adopted by most countries worldwide. In 2001</w:t>
      </w:r>
      <w:r>
        <w:rPr>
          <w:rFonts w:ascii="Times New Roman" w:hAnsi="Times New Roman" w:cs="Times New Roman"/>
        </w:rPr>
        <w:t>,</w:t>
      </w:r>
      <w:r>
        <w:t xml:space="preserve"> the IASC was replaced by the International Accounting Standard Board (IASB). </w:t>
      </w:r>
    </w:p>
    <w:p w:rsidR="00E85A81" w:rsidRDefault="00E85A81">
      <w:pPr>
        <w:spacing w:after="0" w:line="360" w:lineRule="auto"/>
        <w:ind w:firstLine="709"/>
        <w:rPr>
          <w:rFonts w:ascii="Times New Roman" w:hAnsi="Times New Roman" w:cs="Times New Roman"/>
        </w:rPr>
      </w:pPr>
      <w:r>
        <w:t xml:space="preserve">The IASB is an independent standard-setting body under the IFRS foundation. </w:t>
      </w:r>
      <w:r>
        <w:rPr>
          <w:rStyle w:val="Strong"/>
          <w:rFonts w:ascii="Calibri" w:hAnsi="Calibri" w:cs="Calibri"/>
          <w:b w:val="0"/>
          <w:bCs w:val="0"/>
        </w:rPr>
        <w:t xml:space="preserve">The objective of IFRS foundation is “to develop a single set of high-quality, understandable, enforceable and globally accepted financial reporting standards based upon clearly articulated principles” (see IASB website). </w:t>
      </w:r>
      <w:r>
        <w:t xml:space="preserve">The new accounting standards published in a set of standards called International Financial Reporting Standards (IFRS). </w:t>
      </w:r>
    </w:p>
    <w:p w:rsidR="00E85A81" w:rsidRDefault="00E85A81">
      <w:pPr>
        <w:pStyle w:val="Heading2"/>
        <w:numPr>
          <w:ilvl w:val="1"/>
          <w:numId w:val="4"/>
          <w:numberingChange w:id="21" w:author="C.D. Knoops" w:date="2011-06-19T21:46:00Z" w:original="%1:2:0:.%2:3:0:."/>
        </w:numPr>
        <w:spacing w:before="0" w:after="240" w:line="360" w:lineRule="auto"/>
        <w:rPr>
          <w:rFonts w:ascii="Times New Roman" w:hAnsi="Times New Roman" w:cs="Times New Roman"/>
        </w:rPr>
      </w:pPr>
      <w:bookmarkStart w:id="22" w:name="_Toc296002201"/>
      <w:r>
        <w:rPr>
          <w:rFonts w:ascii="Times New Roman" w:hAnsi="Times New Roman" w:cs="Times New Roman"/>
        </w:rPr>
        <w:t>Characteristics of IFRS standards</w:t>
      </w:r>
      <w:bookmarkEnd w:id="22"/>
    </w:p>
    <w:p w:rsidR="00E85A81" w:rsidRDefault="00E85A81">
      <w:pPr>
        <w:spacing w:line="360" w:lineRule="auto"/>
        <w:ind w:firstLine="709"/>
      </w:pPr>
      <w:r>
        <w:t xml:space="preserve">In the development of IFRS, the IASB emphasized on sound and clearly stated principles from which an interpretation is important. It is also referred to as a principle-based standard. In a principle-based standard, there are fundamental understandings about transactions and economics events which lead any other rules established in the standard. Because it does not address every accounting issue, the implementation of a principles-based standard requires professional judgments from accountants in making estimation of certain events and transactions (Carmona </w:t>
      </w:r>
      <w:r>
        <w:rPr>
          <w:i/>
          <w:iCs/>
        </w:rPr>
        <w:t>et al</w:t>
      </w:r>
      <w:r>
        <w:t xml:space="preserve">., 2008). In contrary a rule-based standard such as U.S. GAAP consists considerably more application guidance (or rules). In general, IFRS do not give clear guidelines when distinguishing among circumstances in which different accounting requirements are specified (Ankarath </w:t>
      </w:r>
      <w:r>
        <w:rPr>
          <w:i/>
          <w:iCs/>
        </w:rPr>
        <w:t>et al</w:t>
      </w:r>
      <w:r>
        <w:t xml:space="preserve">., 2010). This reduces the opportunities to arranging transactions to attain particular accounting effects, as what happened at the famous accounting scandal during year 2002 in the United States. The principle-based approach reduces the length of the text of the IFRS which is about 2000 to 3000 pages in length, in contrast with U.S. GAAP which covers more than 20.000 pages of literatures (Ankarath </w:t>
      </w:r>
      <w:r>
        <w:rPr>
          <w:i/>
          <w:iCs/>
        </w:rPr>
        <w:t>et al</w:t>
      </w:r>
      <w:r>
        <w:t>., 2010).</w:t>
      </w:r>
    </w:p>
    <w:p w:rsidR="00E85A81" w:rsidRDefault="00E85A81">
      <w:pPr>
        <w:autoSpaceDE w:val="0"/>
        <w:autoSpaceDN w:val="0"/>
        <w:adjustRightInd w:val="0"/>
        <w:spacing w:line="360" w:lineRule="auto"/>
        <w:ind w:firstLine="720"/>
      </w:pPr>
      <w:r>
        <w:t xml:space="preserve">From 1973 until 2000, the IASC has established International Accounting Standards (IAS). Since the replacement of its predecessor IASC, the IASB has made some amendments to IAS by replacing some IAS with new IFRS and proposing new IFRS on topic for which has not been covered in the previous IAS. In broad term, IFRS refers the entire body of IASB publications including standards and interpretations approved by the IASB and its predecessor IASC. Next to IFRS, the IASB also issued the IASB framework which addresses accounting issues that are not stated directly in the standards. The framework is the underlying concepts in the preparation and presentation of financial statements i.e. the objectives, assumptions, characteristics, definitions and criteria that guide financial reporting. The framework is referred to as the ‘conceptual framework’ and does not have the force as a standard. Thus in case of a conflict, the requirements of IFRS prevail over the conceptual framework. The IASB revises the conceptual framework from time to time according to the new information and future development. </w:t>
      </w:r>
    </w:p>
    <w:p w:rsidR="00E85A81" w:rsidRDefault="00E85A81">
      <w:pPr>
        <w:autoSpaceDE w:val="0"/>
        <w:autoSpaceDN w:val="0"/>
        <w:adjustRightInd w:val="0"/>
        <w:spacing w:line="360" w:lineRule="auto"/>
        <w:ind w:firstLine="720"/>
        <w:rPr>
          <w:rStyle w:val="Strong"/>
          <w:b w:val="0"/>
          <w:bCs w:val="0"/>
          <w:color w:val="FF0000"/>
        </w:rPr>
      </w:pPr>
      <w:r>
        <w:t xml:space="preserve"> As addressed in IAS 1, the information provided in financial statements should be useful to the users and has attributes of the qualitative characteristics. In the framework, there are four principal of qualitative characteristics: understandability, relevance, reliability and comparability. IASB acknowledges that there is likely a trade-off between different characteristics of information. Therefore in such case, a proper balance among these characteristics must be pursued in order to satisfy the objective of financial statements for example a tradeoff between providing reliable information by taking time to ensure a right judgment in estimating the transactions and reporting relevant information in a timely manner. Information may lack of its relevancy to the users if it is not reported in a timely manner. Information which is subject to measurement uncertainty (e.g. the fair value of financial instruments) is difficult to present them in a reliable way. It may be represent in a reliable way (e.g. through historical cost of financial instruments) but not essentially relevant.</w:t>
      </w:r>
    </w:p>
    <w:p w:rsidR="00E85A81" w:rsidRDefault="00E85A81">
      <w:pPr>
        <w:pStyle w:val="Heading2"/>
        <w:numPr>
          <w:ilvl w:val="1"/>
          <w:numId w:val="4"/>
          <w:numberingChange w:id="23" w:author="C.D. Knoops" w:date="2011-06-19T21:46:00Z" w:original="%1:2:0:.%2:4:0:."/>
        </w:numPr>
        <w:spacing w:before="0" w:after="240" w:line="360" w:lineRule="auto"/>
        <w:rPr>
          <w:rFonts w:ascii="Times New Roman" w:hAnsi="Times New Roman" w:cs="Times New Roman"/>
        </w:rPr>
      </w:pPr>
      <w:bookmarkStart w:id="24" w:name="_Toc296002202"/>
      <w:r>
        <w:rPr>
          <w:rFonts w:ascii="Times New Roman" w:hAnsi="Times New Roman" w:cs="Times New Roman"/>
        </w:rPr>
        <w:t>IFRS adoption</w:t>
      </w:r>
      <w:bookmarkEnd w:id="24"/>
      <w:r>
        <w:rPr>
          <w:rFonts w:ascii="Times New Roman" w:hAnsi="Times New Roman" w:cs="Times New Roman"/>
        </w:rPr>
        <w:t xml:space="preserve"> </w:t>
      </w:r>
    </w:p>
    <w:p w:rsidR="00E85A81" w:rsidRDefault="00E85A81">
      <w:pPr>
        <w:spacing w:after="0" w:line="360" w:lineRule="auto"/>
        <w:ind w:firstLine="720"/>
      </w:pPr>
      <w:r>
        <w:t>The collapsed of Enron followed by other accounting fraud cases which erupted in 2002 exposed the shortcomings of the U.S. ‘rules-based’ standard. The rules-based approach which is common in U</w:t>
      </w:r>
      <w:r>
        <w:rPr>
          <w:rFonts w:ascii="Times New Roman" w:hAnsi="Times New Roman" w:cs="Times New Roman"/>
        </w:rPr>
        <w:t>.</w:t>
      </w:r>
      <w:r>
        <w:t>S</w:t>
      </w:r>
      <w:r>
        <w:rPr>
          <w:rFonts w:ascii="Times New Roman" w:hAnsi="Times New Roman" w:cs="Times New Roman"/>
        </w:rPr>
        <w:t>.</w:t>
      </w:r>
      <w:r>
        <w:t xml:space="preserve"> GAAP has been criticized, contrasting it with the principles-based standards such as IFRS. Shortly after the major accounting scandals in the United States, a Convergence Project between IASB and the U.S. accounting standards board i.e. Financial Accounting Standards Board (FASB) started which aims to narrow the differences between U</w:t>
      </w:r>
      <w:r>
        <w:rPr>
          <w:rFonts w:ascii="Times New Roman" w:hAnsi="Times New Roman" w:cs="Times New Roman"/>
        </w:rPr>
        <w:t>.</w:t>
      </w:r>
      <w:r>
        <w:t>S</w:t>
      </w:r>
      <w:r>
        <w:rPr>
          <w:rFonts w:ascii="Times New Roman" w:hAnsi="Times New Roman" w:cs="Times New Roman"/>
        </w:rPr>
        <w:t>.</w:t>
      </w:r>
      <w:r>
        <w:t xml:space="preserve"> GAAP and IFRS. In 2007, the US Securities and Exchange Commission (SEC) allowed non-U.S. companies registered in the United States to comply with IFRS without any necessity to reconcile with U.S. GAAP. SEC also published a proposed roadmap on IFRS adoption for domestic U</w:t>
      </w:r>
      <w:r>
        <w:rPr>
          <w:rFonts w:ascii="Times New Roman" w:hAnsi="Times New Roman" w:cs="Times New Roman"/>
        </w:rPr>
        <w:t>.</w:t>
      </w:r>
      <w:r>
        <w:t>S</w:t>
      </w:r>
      <w:r>
        <w:rPr>
          <w:rFonts w:ascii="Times New Roman" w:hAnsi="Times New Roman" w:cs="Times New Roman"/>
        </w:rPr>
        <w:t>.</w:t>
      </w:r>
      <w:r>
        <w:t xml:space="preserve"> companies. The assessment of these convergence milestones will determine whether to mandate the adoption of IFRS in the United States. </w:t>
      </w:r>
      <w:r>
        <w:rPr>
          <w:color w:val="000000"/>
        </w:rPr>
        <w:t xml:space="preserve">The decision of the adoption will be made in 2011 (see IASB website). The </w:t>
      </w:r>
      <w:r>
        <w:t>U.S. involvement in the harmonization of accounting standards fosters the global acceptance of IFRS given that the U</w:t>
      </w:r>
      <w:r>
        <w:rPr>
          <w:rFonts w:ascii="Times New Roman" w:hAnsi="Times New Roman" w:cs="Times New Roman"/>
        </w:rPr>
        <w:t>.</w:t>
      </w:r>
      <w:r>
        <w:t>S</w:t>
      </w:r>
      <w:r>
        <w:rPr>
          <w:rFonts w:ascii="Times New Roman" w:hAnsi="Times New Roman" w:cs="Times New Roman"/>
        </w:rPr>
        <w:t>.</w:t>
      </w:r>
      <w:r>
        <w:t xml:space="preserve"> constitutes the world’s major capital market (Deegan, 2009, p. 121).</w:t>
      </w:r>
    </w:p>
    <w:p w:rsidR="00E85A81" w:rsidRDefault="00E85A81">
      <w:pPr>
        <w:spacing w:before="240" w:after="0" w:line="360" w:lineRule="auto"/>
        <w:ind w:firstLine="720"/>
      </w:pPr>
      <w:r>
        <w:t xml:space="preserve">In the past few years, the international accounting standard-setting process has claimed a number of success in achieving greater recognition and the use of IFRS. Since 2001, many countries have required or permitted the use of IFRS. Table 1 shows the lists of countries which required some or all companies to apply IFRS. All remaining major economics have established timelines to converge with or adopt IFRS in the near future. In the European Union itself, IFRS were adopted in 2005 which applies to more than 8000 companies in 30 countries (Mirza </w:t>
      </w:r>
      <w:r>
        <w:rPr>
          <w:i/>
          <w:iCs/>
        </w:rPr>
        <w:t xml:space="preserve">et al., </w:t>
      </w:r>
      <w:r>
        <w:t xml:space="preserve">2008). This adoption noted as one of the largest financial reporting changes in the world, as it affected numerous listed firms in the European Union. </w:t>
      </w:r>
    </w:p>
    <w:p w:rsidR="00E85A81" w:rsidRDefault="00E85A81">
      <w:pPr>
        <w:spacing w:after="0" w:line="360" w:lineRule="auto"/>
        <w:rPr>
          <w:rFonts w:ascii="Times New Roman" w:hAnsi="Times New Roman" w:cs="Times New Roman"/>
        </w:rPr>
      </w:pPr>
    </w:p>
    <w:p w:rsidR="00E85A81" w:rsidRDefault="00E85A81">
      <w:pPr>
        <w:spacing w:after="0" w:line="360" w:lineRule="auto"/>
        <w:rPr>
          <w:rFonts w:ascii="Times New Roman" w:hAnsi="Times New Roman" w:cs="Times New Roman"/>
        </w:rPr>
      </w:pPr>
    </w:p>
    <w:p w:rsidR="00E85A81" w:rsidRDefault="00E85A81">
      <w:pPr>
        <w:spacing w:after="0" w:line="360" w:lineRule="auto"/>
        <w:rPr>
          <w:rFonts w:ascii="Times New Roman" w:hAnsi="Times New Roman" w:cs="Times New Roman"/>
        </w:rPr>
      </w:pPr>
    </w:p>
    <w:p w:rsidR="00E85A81" w:rsidRDefault="00E85A81">
      <w:pPr>
        <w:spacing w:after="0" w:line="360" w:lineRule="auto"/>
      </w:pPr>
      <w:r>
        <w:t xml:space="preserve">Table 1: Countries that have adopted IFRS </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382"/>
        <w:gridCol w:w="7130"/>
      </w:tblGrid>
      <w:tr w:rsidR="00E85A81">
        <w:tc>
          <w:tcPr>
            <w:tcW w:w="2394" w:type="dxa"/>
          </w:tcPr>
          <w:p w:rsidR="00E85A81" w:rsidRDefault="00E85A81">
            <w:pPr>
              <w:spacing w:after="0" w:line="360" w:lineRule="auto"/>
            </w:pPr>
            <w:r>
              <w:t>Africa</w:t>
            </w:r>
          </w:p>
        </w:tc>
        <w:tc>
          <w:tcPr>
            <w:tcW w:w="7182" w:type="dxa"/>
          </w:tcPr>
          <w:p w:rsidR="00E85A81" w:rsidRDefault="00E85A81">
            <w:pPr>
              <w:spacing w:after="0" w:line="360" w:lineRule="auto"/>
            </w:pPr>
            <w:r>
              <w:t>Botswana, Egypt, Ghana, Kenya, Malawi, Mauritius, Mozambique, Namibia, South Africa, Tanzania</w:t>
            </w:r>
          </w:p>
        </w:tc>
      </w:tr>
      <w:tr w:rsidR="00E85A81">
        <w:tc>
          <w:tcPr>
            <w:tcW w:w="2394" w:type="dxa"/>
          </w:tcPr>
          <w:p w:rsidR="00E85A81" w:rsidRDefault="00E85A81">
            <w:pPr>
              <w:spacing w:after="0" w:line="360" w:lineRule="auto"/>
            </w:pPr>
            <w:r>
              <w:t>Americas</w:t>
            </w:r>
          </w:p>
        </w:tc>
        <w:tc>
          <w:tcPr>
            <w:tcW w:w="7182" w:type="dxa"/>
          </w:tcPr>
          <w:p w:rsidR="00E85A81" w:rsidRDefault="00E85A81">
            <w:pPr>
              <w:spacing w:after="0" w:line="360" w:lineRule="auto"/>
            </w:pPr>
            <w:r>
              <w:t>Bahamas, Barbados, Brazil (2010), Canada (2010), Chile (2009), Costa Rica, Dominican Republic, Ecuador, Guatemala, Guyana, Haiti, Honduras, Jamaica, Nicaragua, Panama, Peru, Trinidad and Tobago, Uruguay, Venezuela</w:t>
            </w:r>
          </w:p>
        </w:tc>
      </w:tr>
      <w:tr w:rsidR="00E85A81">
        <w:tc>
          <w:tcPr>
            <w:tcW w:w="2394" w:type="dxa"/>
          </w:tcPr>
          <w:p w:rsidR="00E85A81" w:rsidRDefault="00E85A81">
            <w:pPr>
              <w:spacing w:after="0" w:line="360" w:lineRule="auto"/>
            </w:pPr>
            <w:r>
              <w:t>Asia</w:t>
            </w:r>
          </w:p>
        </w:tc>
        <w:tc>
          <w:tcPr>
            <w:tcW w:w="7182" w:type="dxa"/>
          </w:tcPr>
          <w:p w:rsidR="00E85A81" w:rsidRDefault="00E85A81">
            <w:pPr>
              <w:spacing w:after="0" w:line="360" w:lineRule="auto"/>
            </w:pPr>
            <w:r>
              <w:t>Armenia, Bahrain, Bangladesh, Georgia, Hong Kong, India (2011), Israel, Jordan, Kazakhstan, Kuwait, Kyrgyzstan, Lebanon, Nepal, Oman, Philippines, Qatar, Singapore, South Korea (2011), Tajikistan, United Arab Emirates.</w:t>
            </w:r>
          </w:p>
        </w:tc>
      </w:tr>
      <w:tr w:rsidR="00E85A81">
        <w:tc>
          <w:tcPr>
            <w:tcW w:w="2394" w:type="dxa"/>
          </w:tcPr>
          <w:p w:rsidR="00E85A81" w:rsidRDefault="00E85A81">
            <w:pPr>
              <w:spacing w:after="0" w:line="360" w:lineRule="auto"/>
            </w:pPr>
            <w:r>
              <w:t>Europe</w:t>
            </w:r>
          </w:p>
        </w:tc>
        <w:tc>
          <w:tcPr>
            <w:tcW w:w="7182" w:type="dxa"/>
          </w:tcPr>
          <w:p w:rsidR="00E85A81" w:rsidRDefault="00E85A81">
            <w:pPr>
              <w:spacing w:after="0" w:line="360" w:lineRule="auto"/>
            </w:pPr>
            <w:r>
              <w:t>Austria, Belarus, Belgium, Bosnia and Herzegovina, Bulgaria, Croatia, Cyprus, Czech Republic, Denmark, Estonia, Finland, France, Germany, Greece, Hungary, Iceland, Ireland, Italy, Latvia, Liechtenstein, Lithuania, Luxembourg, Macedonia, Malta, Montenegro, Netherlands, Norway, Poland, Portugal, Romania, Russia, Russia, Serbia, Slovakia, Slovenia, Spain, Sweden, Turkey, Ukraine, United Kingdom.</w:t>
            </w:r>
          </w:p>
        </w:tc>
      </w:tr>
      <w:tr w:rsidR="00E85A81">
        <w:tc>
          <w:tcPr>
            <w:tcW w:w="2394" w:type="dxa"/>
          </w:tcPr>
          <w:p w:rsidR="00E85A81" w:rsidRDefault="00E85A81">
            <w:pPr>
              <w:spacing w:after="0" w:line="360" w:lineRule="auto"/>
            </w:pPr>
            <w:r>
              <w:t>Oceania</w:t>
            </w:r>
          </w:p>
        </w:tc>
        <w:tc>
          <w:tcPr>
            <w:tcW w:w="7182" w:type="dxa"/>
          </w:tcPr>
          <w:p w:rsidR="00E85A81" w:rsidRDefault="00E85A81">
            <w:pPr>
              <w:spacing w:after="0" w:line="360" w:lineRule="auto"/>
            </w:pPr>
            <w:r>
              <w:t xml:space="preserve">Australia, Fiji, New Zealand, Papua New Guinea </w:t>
            </w:r>
          </w:p>
        </w:tc>
      </w:tr>
    </w:tbl>
    <w:p w:rsidR="00E85A81" w:rsidRDefault="00E85A81">
      <w:pPr>
        <w:spacing w:after="0" w:line="360" w:lineRule="auto"/>
        <w:rPr>
          <w:rFonts w:ascii="Times New Roman" w:hAnsi="Times New Roman" w:cs="Times New Roman"/>
          <w:sz w:val="20"/>
          <w:szCs w:val="20"/>
          <w:lang w:val="fr-FR"/>
        </w:rPr>
      </w:pPr>
      <w:r>
        <w:rPr>
          <w:sz w:val="20"/>
          <w:szCs w:val="20"/>
        </w:rPr>
        <w:t xml:space="preserve">Source: Wiley IFRS: practical implementation guide and workbook. John Wiley &amp; Sons Inc. </w:t>
      </w:r>
      <w:r>
        <w:rPr>
          <w:sz w:val="20"/>
          <w:szCs w:val="20"/>
          <w:lang w:val="fr-FR"/>
        </w:rPr>
        <w:t xml:space="preserve">(Mirza </w:t>
      </w:r>
      <w:r>
        <w:rPr>
          <w:i/>
          <w:iCs/>
          <w:sz w:val="20"/>
          <w:szCs w:val="20"/>
          <w:lang w:val="fr-FR"/>
        </w:rPr>
        <w:t>et al</w:t>
      </w:r>
      <w:r>
        <w:rPr>
          <w:rFonts w:ascii="Times New Roman" w:hAnsi="Times New Roman" w:cs="Times New Roman"/>
          <w:sz w:val="20"/>
          <w:szCs w:val="20"/>
          <w:lang w:val="fr-FR"/>
        </w:rPr>
        <w:t>.</w:t>
      </w:r>
      <w:r>
        <w:rPr>
          <w:sz w:val="20"/>
          <w:szCs w:val="20"/>
          <w:lang w:val="fr-FR"/>
        </w:rPr>
        <w:t>, 2008)</w:t>
      </w:r>
      <w:r>
        <w:rPr>
          <w:rFonts w:ascii="Times New Roman" w:hAnsi="Times New Roman" w:cs="Times New Roman"/>
          <w:sz w:val="20"/>
          <w:szCs w:val="20"/>
          <w:lang w:val="fr-FR"/>
        </w:rPr>
        <w:t>.</w:t>
      </w:r>
    </w:p>
    <w:p w:rsidR="00E85A81" w:rsidRDefault="00E85A81">
      <w:pPr>
        <w:pStyle w:val="Heading2"/>
        <w:numPr>
          <w:ilvl w:val="1"/>
          <w:numId w:val="4"/>
          <w:numberingChange w:id="25" w:author="C.D. Knoops" w:date="2011-06-19T21:46:00Z" w:original="%1:2:0:.%2:5:0:."/>
        </w:numPr>
        <w:spacing w:line="360" w:lineRule="auto"/>
        <w:rPr>
          <w:rFonts w:ascii="Times New Roman" w:hAnsi="Times New Roman" w:cs="Times New Roman"/>
        </w:rPr>
      </w:pPr>
      <w:bookmarkStart w:id="26" w:name="_Toc296002203"/>
      <w:r>
        <w:rPr>
          <w:rFonts w:ascii="Times New Roman" w:hAnsi="Times New Roman" w:cs="Times New Roman"/>
        </w:rPr>
        <w:t>Conclusion</w:t>
      </w:r>
      <w:bookmarkEnd w:id="26"/>
    </w:p>
    <w:p w:rsidR="00E85A81" w:rsidRDefault="00E85A81">
      <w:pPr>
        <w:spacing w:line="360" w:lineRule="auto"/>
        <w:ind w:firstLine="709"/>
        <w:rPr>
          <w:rFonts w:ascii="Times New Roman" w:hAnsi="Times New Roman" w:cs="Times New Roman"/>
          <w:b/>
          <w:bCs/>
        </w:rPr>
      </w:pPr>
      <w:r>
        <w:t>The harmonization of accounting standards was started by the establishment of IASC that strives for an improvement in financial reporting internationally. The increase in IASC’s sponsorship drew attention of various parties on the effort of IASC to develop a single set of accounting standards to be adopted by most countries worldwide. The major accounting scandals in the United States expose the shortcomings of the U.S. rule-based accounting standards and therefore accelerate the acceptance of IFRS internationally. The amount of countries which has adopted IFRS indicates the promising future of IFRS as a single set of globally accepted accounting standards. The next section presents an overview from international accounting research before the introduction of IFRS. The next section describes the importance of culture in explaining differences in accounting practices / systems across countries and how the Hofstede-Gray framework captures adequately the relationships between culture and accounting.</w:t>
      </w:r>
    </w:p>
    <w:p w:rsidR="00E85A81" w:rsidRDefault="00E85A81">
      <w:pPr>
        <w:pStyle w:val="Heading1"/>
        <w:numPr>
          <w:ilvl w:val="0"/>
          <w:numId w:val="4"/>
          <w:numberingChange w:id="27" w:author="C.D. Knoops" w:date="2011-06-19T21:46:00Z" w:original="%1:3:0:."/>
        </w:numPr>
        <w:rPr>
          <w:rFonts w:ascii="Times New Roman" w:hAnsi="Times New Roman" w:cs="Times New Roman"/>
        </w:rPr>
      </w:pPr>
      <w:bookmarkStart w:id="28" w:name="_Toc296002204"/>
      <w:r>
        <w:rPr>
          <w:rFonts w:ascii="Times New Roman" w:hAnsi="Times New Roman" w:cs="Times New Roman"/>
        </w:rPr>
        <w:t>Relationships of culture and accounting</w:t>
      </w:r>
      <w:bookmarkEnd w:id="28"/>
    </w:p>
    <w:p w:rsidR="00E85A81" w:rsidRDefault="00E85A81">
      <w:pPr>
        <w:pStyle w:val="Heading2"/>
        <w:numPr>
          <w:ilvl w:val="1"/>
          <w:numId w:val="4"/>
          <w:numberingChange w:id="29" w:author="C.D. Knoops" w:date="2011-06-19T21:46:00Z" w:original="%1:3:0:.%2:1:0:."/>
        </w:numPr>
        <w:spacing w:line="360" w:lineRule="auto"/>
        <w:rPr>
          <w:rFonts w:ascii="Times New Roman" w:hAnsi="Times New Roman" w:cs="Times New Roman"/>
        </w:rPr>
      </w:pPr>
      <w:bookmarkStart w:id="30" w:name="_Toc296002205"/>
      <w:r>
        <w:rPr>
          <w:rFonts w:ascii="Times New Roman" w:hAnsi="Times New Roman" w:cs="Times New Roman"/>
        </w:rPr>
        <w:t>Introduction</w:t>
      </w:r>
      <w:bookmarkEnd w:id="30"/>
    </w:p>
    <w:p w:rsidR="00E85A81" w:rsidRDefault="00E85A81">
      <w:pPr>
        <w:autoSpaceDE w:val="0"/>
        <w:autoSpaceDN w:val="0"/>
        <w:adjustRightInd w:val="0"/>
        <w:spacing w:after="0" w:line="360" w:lineRule="auto"/>
        <w:ind w:firstLine="709"/>
        <w:rPr>
          <w:rFonts w:ascii="Times New Roman" w:hAnsi="Times New Roman" w:cs="Times New Roman"/>
        </w:rPr>
      </w:pPr>
      <w:r>
        <w:t xml:space="preserve">The impact of culture on financial accounting has become an increasing interest to accounting researchers. The relevance of culture on accounting practices has been a long debate particularly in the field of international accounting (Burchell </w:t>
      </w:r>
      <w:r>
        <w:rPr>
          <w:i/>
          <w:iCs/>
        </w:rPr>
        <w:t>et al.</w:t>
      </w:r>
      <w:r>
        <w:t xml:space="preserve">, 1980 and Meyer, 1986). Previous research has shown the existence of different patterns in accounting systems internationally. One of the reasons is the environmental factors which tend to have great impact on the development of national systems. Many researchers have tried to identify and establish the environmental factors involved (Radebaugh, 1975; Nair and Frank, 1980; Nobes, 1983; Doupnik and Salter, 1993). This section gives an overview of international accounting research associated with culture prior to the Hofstede-Gray framework, conceptualization of culture based on Hofstede (1980), a brief description of the Hofstede-Gray framework and some attempts to refine the Hofstede-Gray framework on theoretical basis from subsequent researchers. </w:t>
      </w:r>
      <w:r>
        <w:rPr>
          <w:color w:val="000000"/>
        </w:rPr>
        <w:t xml:space="preserve">Other researcher such as Bik (2010) uses House </w:t>
      </w:r>
      <w:r>
        <w:rPr>
          <w:i/>
          <w:iCs/>
          <w:color w:val="000000"/>
        </w:rPr>
        <w:t>et al</w:t>
      </w:r>
      <w:r>
        <w:rPr>
          <w:color w:val="000000"/>
        </w:rPr>
        <w:t>.’ cultural dimensions</w:t>
      </w:r>
      <w:r>
        <w:rPr>
          <w:rStyle w:val="FootnoteReference"/>
          <w:rFonts w:ascii="Calibri" w:hAnsi="Calibri" w:cs="Calibri"/>
          <w:color w:val="000000"/>
        </w:rPr>
        <w:footnoteReference w:id="1"/>
      </w:r>
      <w:r>
        <w:rPr>
          <w:color w:val="000000"/>
        </w:rPr>
        <w:t xml:space="preserve"> (2004) in his cross-cultural study of assurance professionals behaviors. House </w:t>
      </w:r>
      <w:r>
        <w:rPr>
          <w:i/>
          <w:iCs/>
          <w:color w:val="000000"/>
        </w:rPr>
        <w:t>et al</w:t>
      </w:r>
      <w:r>
        <w:rPr>
          <w:color w:val="000000"/>
        </w:rPr>
        <w:t>.’ cultural dimensions are the outcomes of 10-year research project called GLOBE (</w:t>
      </w:r>
      <w:r>
        <w:t>Global Leadership and Organizational Behavior Effectiveness) by measuring cultural practice and cultural values from 62 societies. Nevertheless, this cultural framework will not be used in this paper since it is not used as a framework in accounting.</w:t>
      </w:r>
    </w:p>
    <w:p w:rsidR="00E85A81" w:rsidRDefault="00E85A81">
      <w:pPr>
        <w:pStyle w:val="Heading2"/>
        <w:numPr>
          <w:ilvl w:val="1"/>
          <w:numId w:val="4"/>
          <w:numberingChange w:id="31" w:author="C.D. Knoops" w:date="2011-06-19T21:46:00Z" w:original="%1:3:0:.%2:2:0:."/>
        </w:numPr>
        <w:spacing w:line="360" w:lineRule="auto"/>
        <w:rPr>
          <w:rFonts w:ascii="Times New Roman" w:hAnsi="Times New Roman" w:cs="Times New Roman"/>
        </w:rPr>
      </w:pPr>
      <w:bookmarkStart w:id="32" w:name="_Toc296002206"/>
      <w:r>
        <w:rPr>
          <w:rFonts w:ascii="Times New Roman" w:hAnsi="Times New Roman" w:cs="Times New Roman"/>
        </w:rPr>
        <w:t>Prior the Hofstede-Gray framework</w:t>
      </w:r>
      <w:bookmarkEnd w:id="32"/>
    </w:p>
    <w:p w:rsidR="00E85A81" w:rsidRDefault="00E85A81">
      <w:pPr>
        <w:spacing w:line="360" w:lineRule="auto"/>
        <w:ind w:firstLine="709"/>
      </w:pPr>
      <w:r>
        <w:t>Culture is one factor which helps to explain the differences in accounting systems across countries. Violet (1983) is the earliest author who explicitly recognized culture as a cause of differences in international accounting. He examined accounting system as a social function (a product of its culture) and therefore the success of international accounting standards (IAS) is limited by cultural variables because cultural relativism exists even in the most basic of societies. Cultural relativism implies that one group should not judge other group’s activities based on its criteria because the fundamental attributes are different from one society to another (Hofstede and Hofstede, 2005). Nevertheless, Violet (1983) did not attempt to classify different patterns of culture-specific factors which allow a better understanding of the influence of environmental factors on accounting development.</w:t>
      </w:r>
    </w:p>
    <w:p w:rsidR="00E85A81" w:rsidRDefault="00E85A81">
      <w:pPr>
        <w:spacing w:line="360" w:lineRule="auto"/>
        <w:ind w:firstLine="709"/>
      </w:pPr>
      <w:r>
        <w:t xml:space="preserve">Historically, comparative accounting research has two major directions in its effort on international classification of accounting systems; they are deductive approach and inductive approach (Gray, 1988). The deductive approach identifies relevant environmental factors and linking those to national accounting practices. Based on judgments of different environmental factors, the international classifications or development patterns are proposed (e.g. Mueller, 1967, 1968; Nobes 1983, 1984). The environmental analysis by Mueller (1967) considered four categories of accounting development in western nations with market oriented economic systems: a microeconomics pattern where accounting is closely interrelated to national policies, a macroeconomic pattern where accounting is viewed as a separate branch of business economics, the independent discipline approach where accounting is viewed as a service function of business practice and the uniform accounting approach where accounting is viewed as part of administration and control. </w:t>
      </w:r>
    </w:p>
    <w:p w:rsidR="00E85A81" w:rsidRDefault="00E85A81">
      <w:pPr>
        <w:spacing w:line="360" w:lineRule="auto"/>
        <w:ind w:firstLine="709"/>
      </w:pPr>
      <w:r>
        <w:t xml:space="preserve">Mueller’s method was extended by Nobes (1983) who based his classification on an evolutionary approach. He distinguished between business economics practice orientations under a microeconomic based classification and government / tax / legal orientations under a macroeconomic based classification. The major features which are used in the identification of accounting practices are the importance of tax rules, the use of conservative valuation procedures, the strictness of historical costs application, the making of replacement cost adjustments, the use of consolidation techniques, the generous use of provisions, and the uniformity between companies in the application of rules. Based on judgmental analysis of accounting systems in fourteen countries, his results however did not go beyond providing support for either microeconomics or macroeconomics based classification. </w:t>
      </w:r>
    </w:p>
    <w:p w:rsidR="00E85A81" w:rsidRDefault="00E85A81">
      <w:pPr>
        <w:spacing w:line="360" w:lineRule="auto"/>
        <w:ind w:firstLine="709"/>
      </w:pPr>
      <w:r>
        <w:t>The inductive approach starts by examining development patterns and analyzing accounting practices and thereafter proposed explanations by referring to a variety of economic, social, political and cultural factors (e.g. Frank, 1979; Nair and Frank, 1980). In their analysis, Nair and Frank (1980) discerned accounting practices between measurement and disclosure practices as they assumed these practices to have different patterns of development. Using data from Price Waterhouse, they conducted a statistical analysis of accounting practices in forty-four countries. They identified five groups of countries in terms of measurement practices and seven groups in terms of disclosure practices. The language variable was used as a proxy for culture, as it was perceived to capture similarities in legal systems particularly in the disclosure patterns. Based on a number of explanatory variables including language, they found clear evidence that there were differences between the measurement and disclosure groupings. Nevertheless their hypotheses that (a) cultural and economic variables might be more closely related to disclosure practices and (b) trading variables might be more closely related to measurement practices were not supported.</w:t>
      </w:r>
    </w:p>
    <w:p w:rsidR="00E85A81" w:rsidRDefault="00E85A81">
      <w:pPr>
        <w:spacing w:line="360" w:lineRule="auto"/>
        <w:ind w:firstLine="709"/>
      </w:pPr>
      <w:r>
        <w:t>The researches using both approaches are interesting and may provide useful explanations for international classifications using empirical research. They established relationships, although very general, between environmental factors and accounting patterns. Each approach notwithstanding has its own shortcoming. The deductive approach has been criticized of its broad set of influences without providing precise specification</w:t>
      </w:r>
      <w:r>
        <w:rPr>
          <w:rStyle w:val="FootnoteReference"/>
        </w:rPr>
        <w:footnoteReference w:id="2"/>
      </w:r>
      <w:r>
        <w:t>. The shortcoming of inductive approach is found in its data. The Price Waterhouse data was criticized for its suitability of purpose, misleading cases and errors (Nobes, 1992). Nevertheless, most importantly these approaches did not provide explicit recognition on culture as an explanatory variable but rather apparently incorporated culture in the set of identified environmental factors.</w:t>
      </w:r>
    </w:p>
    <w:p w:rsidR="00E85A81" w:rsidRDefault="00E85A81">
      <w:pPr>
        <w:spacing w:line="360" w:lineRule="auto"/>
        <w:ind w:firstLine="709"/>
      </w:pPr>
      <w:r>
        <w:t>The</w:t>
      </w:r>
      <w:r>
        <w:rPr>
          <w:color w:val="000000"/>
        </w:rPr>
        <w:t xml:space="preserve"> importance of culture was recognized in a methodological framework proposed by </w:t>
      </w:r>
      <w:r>
        <w:t xml:space="preserve">Harrison and McKinnon (1986). The framework was used to evaluate the impact of culture on the form and functioning of accounting in corporate financial reporting regulation at the nation specific level. In his framework, culture is an essential factor in explaining how societal systems change since ‘culture influences (1) the norms and values of such systems; and (2) the behavior of groups in their interactions within and across systems’ (Harrison and McKinnon, 1986). </w:t>
      </w:r>
    </w:p>
    <w:p w:rsidR="00E85A81" w:rsidRDefault="00E85A81">
      <w:pPr>
        <w:pStyle w:val="Heading2"/>
        <w:numPr>
          <w:ilvl w:val="1"/>
          <w:numId w:val="4"/>
          <w:numberingChange w:id="33" w:author="C.D. Knoops" w:date="2011-06-19T21:46:00Z" w:original="%1:3:0:.%2:3:0:."/>
        </w:numPr>
        <w:spacing w:line="360" w:lineRule="auto"/>
        <w:rPr>
          <w:rFonts w:ascii="Times New Roman" w:hAnsi="Times New Roman" w:cs="Times New Roman"/>
        </w:rPr>
      </w:pPr>
      <w:bookmarkStart w:id="34" w:name="_Toc295490784"/>
      <w:bookmarkStart w:id="35" w:name="_Toc296002207"/>
      <w:r>
        <w:rPr>
          <w:rFonts w:ascii="Times New Roman" w:hAnsi="Times New Roman" w:cs="Times New Roman"/>
        </w:rPr>
        <w:t xml:space="preserve">Hofstede’s </w:t>
      </w:r>
      <w:bookmarkEnd w:id="34"/>
      <w:r>
        <w:rPr>
          <w:rFonts w:ascii="Times New Roman" w:hAnsi="Times New Roman" w:cs="Times New Roman"/>
        </w:rPr>
        <w:t>cultural dimensions</w:t>
      </w:r>
      <w:bookmarkEnd w:id="35"/>
    </w:p>
    <w:p w:rsidR="00E85A81" w:rsidRDefault="00E85A81">
      <w:pPr>
        <w:autoSpaceDE w:val="0"/>
        <w:autoSpaceDN w:val="0"/>
        <w:adjustRightInd w:val="0"/>
        <w:spacing w:after="0" w:line="360" w:lineRule="auto"/>
        <w:ind w:firstLine="720"/>
        <w:rPr>
          <w:color w:val="000000"/>
        </w:rPr>
      </w:pPr>
      <w:r>
        <w:rPr>
          <w:color w:val="000000"/>
        </w:rPr>
        <w:t xml:space="preserve">Culture is a complicated topic to address because it has no exact definition, it is continuously affecting and affected by many contextual factors and it is hard to objectify and assess (Papamarcos </w:t>
      </w:r>
      <w:r>
        <w:rPr>
          <w:i/>
          <w:iCs/>
          <w:color w:val="000000"/>
        </w:rPr>
        <w:t>et al.</w:t>
      </w:r>
      <w:r>
        <w:rPr>
          <w:color w:val="000000"/>
        </w:rPr>
        <w:t>, 2006). A research conducted by Hofstede (1980) is one of a path-breaking research in conceptualized differences between national cultures and suggesting ways in which cultural factors may have consequences on people and organizations. Hofstede (1980) defines culture as ‘the collective programming of the mind which distinguishes the members of one human group from another’</w:t>
      </w:r>
      <w:r>
        <w:rPr>
          <w:rFonts w:ascii="Times New Roman" w:hAnsi="Times New Roman" w:cs="Times New Roman"/>
          <w:color w:val="000000"/>
        </w:rPr>
        <w:t>.</w:t>
      </w:r>
      <w:r>
        <w:rPr>
          <w:color w:val="000000"/>
        </w:rPr>
        <w:t xml:space="preserve"> He uses the word “culture” to describe the entire societies and “sub</w:t>
      </w:r>
      <w:r>
        <w:rPr>
          <w:rFonts w:ascii="Times New Roman" w:hAnsi="Times New Roman" w:cs="Times New Roman"/>
          <w:color w:val="000000"/>
        </w:rPr>
        <w:t>-</w:t>
      </w:r>
      <w:r>
        <w:rPr>
          <w:color w:val="000000"/>
        </w:rPr>
        <w:t>culture” for groups within societies. His work appeals to many researchers in social science fields such as behavioral and organizational research.</w:t>
      </w:r>
    </w:p>
    <w:p w:rsidR="00E85A81" w:rsidRDefault="00E85A81">
      <w:pPr>
        <w:autoSpaceDE w:val="0"/>
        <w:autoSpaceDN w:val="0"/>
        <w:adjustRightInd w:val="0"/>
        <w:spacing w:after="0" w:line="360" w:lineRule="auto"/>
        <w:ind w:firstLine="720"/>
        <w:rPr>
          <w:rFonts w:ascii="Times New Roman" w:hAnsi="Times New Roman" w:cs="Times New Roman"/>
          <w:color w:val="000000"/>
        </w:rPr>
      </w:pPr>
      <w:r>
        <w:rPr>
          <w:color w:val="000000"/>
        </w:rPr>
        <w:t xml:space="preserve">The data were collected between 1967 and 1973 </w:t>
      </w:r>
      <w:r>
        <w:t xml:space="preserve">and again between 1971 and 1973 </w:t>
      </w:r>
      <w:r>
        <w:rPr>
          <w:color w:val="000000"/>
        </w:rPr>
        <w:t xml:space="preserve">from about 117.000 attitude surveys </w:t>
      </w:r>
      <w:r>
        <w:t xml:space="preserve">which completed by 88,000 employees at a large </w:t>
      </w:r>
      <w:r>
        <w:rPr>
          <w:color w:val="000000"/>
        </w:rPr>
        <w:t xml:space="preserve">multinational corporation </w:t>
      </w:r>
      <w:r>
        <w:t xml:space="preserve">IBM from 72 countries (reduced to 40 countries that had more than 50 responses each) in 20 languages (Hofstede, 1980). </w:t>
      </w:r>
      <w:r>
        <w:rPr>
          <w:color w:val="000000"/>
        </w:rPr>
        <w:t>The questionnaire which is used in the IBM study called value survey model (VSM)</w:t>
      </w:r>
      <w:r>
        <w:rPr>
          <w:rStyle w:val="FootnoteReference"/>
          <w:color w:val="000000"/>
        </w:rPr>
        <w:footnoteReference w:id="3"/>
      </w:r>
      <w:r>
        <w:rPr>
          <w:color w:val="000000"/>
        </w:rPr>
        <w:t xml:space="preserve"> has been revised several times for research purpose. The questions included in the VSM are related to these following aspects: social inequality comprising the relationship with authority, the relationship between the individual and the group, concepts of gender equality, and ways of dealing with uncertainty and ambiguity which related to the control of emotions and aggression (Hofstede and Hofstede, 2005). Country-level factor analysis led to the identification of four societal values dimensions along which countries could be positioned. The four societal values (culture) dimensions are as follows: </w:t>
      </w:r>
    </w:p>
    <w:p w:rsidR="00E85A81" w:rsidRDefault="00E85A81">
      <w:pPr>
        <w:numPr>
          <w:ilvl w:val="0"/>
          <w:numId w:val="23"/>
          <w:numberingChange w:id="36" w:author="C.D. Knoops" w:date="2011-06-19T21:46:00Z" w:original=""/>
        </w:numPr>
        <w:autoSpaceDE w:val="0"/>
        <w:autoSpaceDN w:val="0"/>
        <w:adjustRightInd w:val="0"/>
        <w:spacing w:after="0" w:line="360" w:lineRule="auto"/>
        <w:rPr>
          <w:b/>
          <w:bCs/>
        </w:rPr>
      </w:pPr>
      <w:r>
        <w:rPr>
          <w:b/>
          <w:bCs/>
        </w:rPr>
        <w:t>Large versus Small Power Distance</w:t>
      </w:r>
    </w:p>
    <w:p w:rsidR="00E85A81" w:rsidRDefault="00E85A81">
      <w:pPr>
        <w:autoSpaceDE w:val="0"/>
        <w:autoSpaceDN w:val="0"/>
        <w:adjustRightInd w:val="0"/>
        <w:spacing w:after="0" w:line="360" w:lineRule="auto"/>
      </w:pPr>
      <w:r>
        <w:t xml:space="preserve">Power Distance is the extent to which the members in a society accept that power in organizations is distributed unequally. People in Large Power Distance societies accept a hierarchical order in which everybody has a place which needs no further justification. People in Small Power Distance societies strive for power equalization and demand justification for power inequalities. </w:t>
      </w:r>
    </w:p>
    <w:p w:rsidR="00E85A81" w:rsidRDefault="00E85A81">
      <w:pPr>
        <w:numPr>
          <w:ilvl w:val="0"/>
          <w:numId w:val="22"/>
          <w:numberingChange w:id="37" w:author="C.D. Knoops" w:date="2011-06-19T21:46:00Z" w:original=""/>
        </w:numPr>
        <w:autoSpaceDE w:val="0"/>
        <w:autoSpaceDN w:val="0"/>
        <w:adjustRightInd w:val="0"/>
        <w:spacing w:after="0" w:line="360" w:lineRule="auto"/>
        <w:rPr>
          <w:b/>
          <w:bCs/>
        </w:rPr>
      </w:pPr>
      <w:r>
        <w:rPr>
          <w:b/>
          <w:bCs/>
        </w:rPr>
        <w:t>Individualism versus Collectivism</w:t>
      </w:r>
    </w:p>
    <w:p w:rsidR="00E85A81" w:rsidRDefault="00E85A81">
      <w:pPr>
        <w:autoSpaceDE w:val="0"/>
        <w:autoSpaceDN w:val="0"/>
        <w:adjustRightInd w:val="0"/>
        <w:spacing w:after="0" w:line="360" w:lineRule="auto"/>
        <w:rPr>
          <w:rFonts w:ascii="Times New Roman" w:hAnsi="Times New Roman" w:cs="Times New Roman"/>
        </w:rPr>
      </w:pPr>
      <w:r>
        <w:t>Individualism stands for a preference for a loosely knit social framework in society wherein individuals should take care of themselves and their immediate families only. Collectivism as its opposite stands for a preference for a tightly knit social framework in which individuals can expect their relatives or other in-group to look after them.</w:t>
      </w:r>
    </w:p>
    <w:p w:rsidR="00E85A81" w:rsidRDefault="00E85A81">
      <w:pPr>
        <w:numPr>
          <w:ilvl w:val="0"/>
          <w:numId w:val="22"/>
          <w:numberingChange w:id="38" w:author="C.D. Knoops" w:date="2011-06-19T21:46:00Z" w:original=""/>
        </w:numPr>
        <w:autoSpaceDE w:val="0"/>
        <w:autoSpaceDN w:val="0"/>
        <w:adjustRightInd w:val="0"/>
        <w:spacing w:after="0" w:line="360" w:lineRule="auto"/>
        <w:rPr>
          <w:b/>
          <w:bCs/>
        </w:rPr>
      </w:pPr>
      <w:r>
        <w:rPr>
          <w:b/>
          <w:bCs/>
        </w:rPr>
        <w:t>Strong versus Weak Uncertainty Avoidance</w:t>
      </w:r>
    </w:p>
    <w:p w:rsidR="00E85A81" w:rsidRDefault="00E85A81">
      <w:pPr>
        <w:autoSpaceDE w:val="0"/>
        <w:autoSpaceDN w:val="0"/>
        <w:adjustRightInd w:val="0"/>
        <w:spacing w:after="0" w:line="360" w:lineRule="auto"/>
        <w:rPr>
          <w:rFonts w:ascii="Times New Roman" w:hAnsi="Times New Roman" w:cs="Times New Roman"/>
        </w:rPr>
      </w:pPr>
      <w:r>
        <w:t xml:space="preserve">Uncertainty Avoidance is the extent to which the members of a society feel towards uncertainty and ambiguity. A Strong Uncertainty Avoidance society preserves rigid codes of belief and behavior and is inflexible towards deviant ideas. Weak Uncertainty Avoidance societies maintain a more relaxed atmosphere where practice counts more than principles and deviance is more easily tolerated. </w:t>
      </w:r>
    </w:p>
    <w:p w:rsidR="00E85A81" w:rsidRDefault="00E85A81">
      <w:pPr>
        <w:numPr>
          <w:ilvl w:val="0"/>
          <w:numId w:val="22"/>
          <w:numberingChange w:id="39" w:author="C.D. Knoops" w:date="2011-06-19T21:46:00Z" w:original=""/>
        </w:numPr>
        <w:autoSpaceDE w:val="0"/>
        <w:autoSpaceDN w:val="0"/>
        <w:adjustRightInd w:val="0"/>
        <w:spacing w:after="0" w:line="360" w:lineRule="auto"/>
        <w:rPr>
          <w:rFonts w:ascii="Times New Roman" w:hAnsi="Times New Roman" w:cs="Times New Roman"/>
        </w:rPr>
      </w:pPr>
      <w:r>
        <w:rPr>
          <w:b/>
          <w:bCs/>
        </w:rPr>
        <w:t>Masculinity versus Femininity</w:t>
      </w:r>
    </w:p>
    <w:p w:rsidR="00E85A81" w:rsidRDefault="00E85A81">
      <w:pPr>
        <w:autoSpaceDE w:val="0"/>
        <w:autoSpaceDN w:val="0"/>
        <w:adjustRightInd w:val="0"/>
        <w:spacing w:after="0" w:line="360" w:lineRule="auto"/>
      </w:pPr>
      <w:r>
        <w:t xml:space="preserve">Masculinity refers to a preference in society for achievement, heroism, assertiveness, and material success. Femininity, as opposite, refers to a preference for relationships, modesty, caring for the weak, and the quality of life. </w:t>
      </w:r>
    </w:p>
    <w:p w:rsidR="00E85A81" w:rsidRDefault="00E85A81">
      <w:pPr>
        <w:pStyle w:val="Heading2"/>
        <w:numPr>
          <w:ilvl w:val="1"/>
          <w:numId w:val="4"/>
          <w:numberingChange w:id="40" w:author="C.D. Knoops" w:date="2011-06-19T21:46:00Z" w:original="%1:3:0:.%2:4:0:."/>
        </w:numPr>
        <w:spacing w:after="240"/>
        <w:rPr>
          <w:rFonts w:ascii="Times New Roman" w:hAnsi="Times New Roman" w:cs="Times New Roman"/>
        </w:rPr>
      </w:pPr>
      <w:bookmarkStart w:id="41" w:name="_Toc296002208"/>
      <w:r>
        <w:rPr>
          <w:rFonts w:ascii="Times New Roman" w:hAnsi="Times New Roman" w:cs="Times New Roman"/>
        </w:rPr>
        <w:t>The Hofstede-Gray’s Framework</w:t>
      </w:r>
      <w:bookmarkEnd w:id="41"/>
      <w:r>
        <w:rPr>
          <w:rFonts w:ascii="Times New Roman" w:hAnsi="Times New Roman" w:cs="Times New Roman"/>
        </w:rPr>
        <w:t xml:space="preserve"> </w:t>
      </w:r>
    </w:p>
    <w:p w:rsidR="00E85A81" w:rsidRDefault="00E85A81">
      <w:pPr>
        <w:spacing w:line="360" w:lineRule="auto"/>
        <w:ind w:firstLine="709"/>
        <w:rPr>
          <w:color w:val="000000"/>
        </w:rPr>
      </w:pPr>
      <w:r>
        <w:rPr>
          <w:color w:val="000000"/>
        </w:rPr>
        <w:t>Gray (1988) advanced the idea that culture might have influences on accounting practices by exploring the extent of cultural differences identified by Hofstede (1980) may explain differences in accounting systems. He used the societal values dimensions of Hofstede (1980) as cultural factors which might influence accounting practices through the accounting values. He proposed specific hypothesis to examine the form of these relationships. His proposition was the first literature which attempted to link societal values with accounting practices in the international accounting literature (Chanchani and MacGregor, 1999). Although he did not examine his framework on empirical basis, subsequent researchers evaluated his framework both from a theoretical basis and empirical evidences.</w:t>
      </w:r>
    </w:p>
    <w:p w:rsidR="00E85A81" w:rsidRDefault="00E85A81">
      <w:pPr>
        <w:autoSpaceDE w:val="0"/>
        <w:autoSpaceDN w:val="0"/>
        <w:adjustRightInd w:val="0"/>
        <w:spacing w:before="240" w:line="360" w:lineRule="auto"/>
        <w:ind w:firstLine="720"/>
        <w:rPr>
          <w:rFonts w:ascii="Times New Roman" w:hAnsi="Times New Roman" w:cs="Times New Roman"/>
          <w:color w:val="000000"/>
        </w:rPr>
      </w:pPr>
      <w:r>
        <w:rPr>
          <w:color w:val="000000"/>
        </w:rPr>
        <w:t xml:space="preserve">Gray’s model </w:t>
      </w:r>
      <w:r>
        <w:t xml:space="preserve">(1988) </w:t>
      </w:r>
      <w:r>
        <w:rPr>
          <w:color w:val="000000"/>
        </w:rPr>
        <w:t xml:space="preserve">which extends the framework of Hofstede provides an apparent link between societal values and accounting practices. </w:t>
      </w:r>
      <w:r>
        <w:t xml:space="preserve">He developed a framework which links accounting values and practices to Hofstede’s (1980) cultural dimensions. Accounting values refers to accounting subculture of a society which directly influenced by societal values possessed by that society. On a judgmental basis, he identified four accounting value dimensions that are reflected in a country’s accounting system. These four accounting values and his hypotheses of the relationships between Hofstede’s (1980) culture dimensions and accounting values are </w:t>
      </w:r>
      <w:r>
        <w:rPr>
          <w:color w:val="000000"/>
        </w:rPr>
        <w:t>as follows (Gray</w:t>
      </w:r>
      <w:r>
        <w:rPr>
          <w:rFonts w:ascii="Times New Roman" w:hAnsi="Times New Roman" w:cs="Times New Roman"/>
          <w:color w:val="000000"/>
        </w:rPr>
        <w:t>,</w:t>
      </w:r>
      <w:r>
        <w:rPr>
          <w:color w:val="000000"/>
        </w:rPr>
        <w:t xml:space="preserve"> 1988):</w:t>
      </w:r>
    </w:p>
    <w:p w:rsidR="00E85A81" w:rsidRDefault="00E85A81">
      <w:pPr>
        <w:numPr>
          <w:ilvl w:val="0"/>
          <w:numId w:val="6"/>
          <w:numberingChange w:id="42" w:author="C.D. Knoops" w:date="2011-06-19T21:46:00Z" w:original=""/>
        </w:numPr>
        <w:tabs>
          <w:tab w:val="clear" w:pos="720"/>
          <w:tab w:val="num" w:pos="286"/>
        </w:tabs>
        <w:autoSpaceDE w:val="0"/>
        <w:autoSpaceDN w:val="0"/>
        <w:adjustRightInd w:val="0"/>
        <w:spacing w:after="0" w:line="360" w:lineRule="auto"/>
        <w:ind w:left="286" w:hanging="260"/>
        <w:rPr>
          <w:b/>
          <w:bCs/>
          <w:color w:val="000000"/>
        </w:rPr>
      </w:pPr>
      <w:r>
        <w:rPr>
          <w:b/>
          <w:bCs/>
          <w:color w:val="000000"/>
        </w:rPr>
        <w:t xml:space="preserve">Professionalism versus Statutory Control: </w:t>
      </w:r>
    </w:p>
    <w:p w:rsidR="00E85A81" w:rsidRDefault="00E85A81">
      <w:pPr>
        <w:autoSpaceDE w:val="0"/>
        <w:autoSpaceDN w:val="0"/>
        <w:adjustRightInd w:val="0"/>
        <w:spacing w:after="0" w:line="360" w:lineRule="auto"/>
        <w:ind w:left="286"/>
        <w:rPr>
          <w:rFonts w:ascii="Times New Roman" w:hAnsi="Times New Roman" w:cs="Times New Roman"/>
          <w:i/>
          <w:iCs/>
          <w:color w:val="000000"/>
        </w:rPr>
      </w:pPr>
      <w:r>
        <w:rPr>
          <w:color w:val="000000"/>
        </w:rPr>
        <w:t>“</w:t>
      </w:r>
      <w:r>
        <w:rPr>
          <w:i/>
          <w:iCs/>
          <w:color w:val="000000"/>
        </w:rPr>
        <w:t>A preference for the exercise of individual professional judgment and the maintenance of professional self-regulation as opposed to compliance with prescriptive legal requirements and statutory control”.</w:t>
      </w:r>
      <w:r>
        <w:rPr>
          <w:color w:val="000000"/>
        </w:rPr>
        <w:t xml:space="preserve"> He hypothesized that </w:t>
      </w:r>
      <w:r>
        <w:rPr>
          <w:i/>
          <w:iCs/>
          <w:color w:val="000000"/>
        </w:rPr>
        <w:t>“The higher a country ranks in terms of individualism and the lower it ranks in terms of uncertainty avoidance and power distance then the more likely it is to rank highly in terms of professionalism”.</w:t>
      </w:r>
    </w:p>
    <w:p w:rsidR="00E85A81" w:rsidRDefault="00E85A81">
      <w:pPr>
        <w:numPr>
          <w:ilvl w:val="0"/>
          <w:numId w:val="6"/>
          <w:numberingChange w:id="43" w:author="C.D. Knoops" w:date="2011-06-19T21:46:00Z" w:original=""/>
        </w:numPr>
        <w:tabs>
          <w:tab w:val="clear" w:pos="720"/>
          <w:tab w:val="num" w:pos="312"/>
        </w:tabs>
        <w:autoSpaceDE w:val="0"/>
        <w:autoSpaceDN w:val="0"/>
        <w:adjustRightInd w:val="0"/>
        <w:spacing w:after="0" w:line="360" w:lineRule="auto"/>
        <w:ind w:left="286" w:hanging="260"/>
        <w:rPr>
          <w:b/>
          <w:bCs/>
          <w:color w:val="000000"/>
        </w:rPr>
      </w:pPr>
      <w:r>
        <w:rPr>
          <w:b/>
          <w:bCs/>
          <w:color w:val="000000"/>
        </w:rPr>
        <w:t xml:space="preserve">Uniformity versus Flexibility: </w:t>
      </w:r>
    </w:p>
    <w:p w:rsidR="00E85A81" w:rsidRDefault="00E85A81">
      <w:pPr>
        <w:autoSpaceDE w:val="0"/>
        <w:autoSpaceDN w:val="0"/>
        <w:adjustRightInd w:val="0"/>
        <w:spacing w:after="0" w:line="360" w:lineRule="auto"/>
        <w:ind w:left="286"/>
        <w:rPr>
          <w:rFonts w:ascii="Times New Roman" w:hAnsi="Times New Roman" w:cs="Times New Roman"/>
          <w:color w:val="000000"/>
        </w:rPr>
      </w:pPr>
      <w:r>
        <w:rPr>
          <w:i/>
          <w:iCs/>
          <w:color w:val="000000"/>
        </w:rPr>
        <w:t>“A preference for the enforcement of uniform accounting practices between companies and for the consistent use of such practices over time as opposed to flexibility in accordance with the perceived circumstances of individual companies”.</w:t>
      </w:r>
      <w:r>
        <w:rPr>
          <w:color w:val="000000"/>
        </w:rPr>
        <w:t xml:space="preserve"> He hypothesized that “The higher a country ranks in terms of uncertainty avoidance and power distance and the lower it ranks in terms of individualism then the more likely it is to rank highly in terms of uniformity”.</w:t>
      </w:r>
    </w:p>
    <w:p w:rsidR="00E85A81" w:rsidRDefault="00E85A81">
      <w:pPr>
        <w:numPr>
          <w:ilvl w:val="0"/>
          <w:numId w:val="6"/>
          <w:numberingChange w:id="44" w:author="C.D. Knoops" w:date="2011-06-19T21:46:00Z" w:original=""/>
        </w:numPr>
        <w:tabs>
          <w:tab w:val="clear" w:pos="720"/>
          <w:tab w:val="num" w:pos="260"/>
        </w:tabs>
        <w:autoSpaceDE w:val="0"/>
        <w:autoSpaceDN w:val="0"/>
        <w:adjustRightInd w:val="0"/>
        <w:spacing w:after="0" w:line="360" w:lineRule="auto"/>
        <w:ind w:left="286" w:hanging="260"/>
        <w:rPr>
          <w:rFonts w:ascii="Times New Roman" w:hAnsi="Times New Roman" w:cs="Times New Roman"/>
          <w:i/>
          <w:iCs/>
          <w:color w:val="000000"/>
        </w:rPr>
      </w:pPr>
      <w:r>
        <w:rPr>
          <w:rFonts w:ascii="Times New Roman" w:hAnsi="Times New Roman" w:cs="Times New Roman"/>
          <w:b/>
          <w:bCs/>
          <w:color w:val="000000"/>
        </w:rPr>
        <w:br w:type="page"/>
      </w:r>
      <w:r>
        <w:rPr>
          <w:b/>
          <w:bCs/>
          <w:color w:val="000000"/>
        </w:rPr>
        <w:t>Conservatism versus Optimism</w:t>
      </w:r>
      <w:r>
        <w:rPr>
          <w:i/>
          <w:iCs/>
          <w:color w:val="000000"/>
        </w:rPr>
        <w:t xml:space="preserve"> </w:t>
      </w:r>
    </w:p>
    <w:p w:rsidR="00E85A81" w:rsidRDefault="00E85A81">
      <w:pPr>
        <w:autoSpaceDE w:val="0"/>
        <w:autoSpaceDN w:val="0"/>
        <w:adjustRightInd w:val="0"/>
        <w:spacing w:after="0" w:line="360" w:lineRule="auto"/>
        <w:ind w:left="286"/>
        <w:rPr>
          <w:rFonts w:ascii="Times New Roman" w:hAnsi="Times New Roman" w:cs="Times New Roman"/>
          <w:color w:val="000000"/>
        </w:rPr>
      </w:pPr>
      <w:r>
        <w:rPr>
          <w:i/>
          <w:iCs/>
          <w:color w:val="000000"/>
        </w:rPr>
        <w:t xml:space="preserve">“A preference for a cautious approach to measurement so as to cope with the uncertainty of future events as opposed to a more optimistic, laissez-faire, risk-taking approach”. </w:t>
      </w:r>
      <w:r>
        <w:rPr>
          <w:color w:val="000000"/>
        </w:rPr>
        <w:t>He hypothesized that “The higher a country ranks in terms of uncertainty avoidance and the lower it ranks in terms of individualism and masculinity then the more likely it is to rank highly in terms of conservatism”.</w:t>
      </w:r>
    </w:p>
    <w:p w:rsidR="00E85A81" w:rsidRDefault="00E85A81">
      <w:pPr>
        <w:numPr>
          <w:ilvl w:val="0"/>
          <w:numId w:val="6"/>
          <w:numberingChange w:id="45" w:author="C.D. Knoops" w:date="2011-06-19T21:46:00Z" w:original=""/>
        </w:numPr>
        <w:tabs>
          <w:tab w:val="clear" w:pos="720"/>
          <w:tab w:val="num" w:pos="286"/>
        </w:tabs>
        <w:autoSpaceDE w:val="0"/>
        <w:autoSpaceDN w:val="0"/>
        <w:adjustRightInd w:val="0"/>
        <w:spacing w:after="0" w:line="360" w:lineRule="auto"/>
        <w:ind w:left="286" w:hanging="260"/>
        <w:rPr>
          <w:rFonts w:ascii="Times New Roman" w:hAnsi="Times New Roman" w:cs="Times New Roman"/>
          <w:i/>
          <w:iCs/>
          <w:color w:val="000000"/>
        </w:rPr>
      </w:pPr>
      <w:r>
        <w:rPr>
          <w:b/>
          <w:bCs/>
          <w:color w:val="000000"/>
        </w:rPr>
        <w:t>Secrecy versus Transparency</w:t>
      </w:r>
      <w:r>
        <w:rPr>
          <w:i/>
          <w:iCs/>
          <w:color w:val="000000"/>
        </w:rPr>
        <w:t xml:space="preserve"> </w:t>
      </w:r>
    </w:p>
    <w:p w:rsidR="00E85A81" w:rsidRDefault="00E85A81">
      <w:pPr>
        <w:autoSpaceDE w:val="0"/>
        <w:autoSpaceDN w:val="0"/>
        <w:adjustRightInd w:val="0"/>
        <w:spacing w:after="0" w:line="360" w:lineRule="auto"/>
        <w:ind w:left="286"/>
        <w:rPr>
          <w:color w:val="000000"/>
        </w:rPr>
      </w:pPr>
      <w:r>
        <w:rPr>
          <w:i/>
          <w:iCs/>
          <w:color w:val="000000"/>
        </w:rPr>
        <w:t xml:space="preserve">“A preference for confidentiality and the restriction of disclosure of information about the business only to those who are closely involved with its management and financing as opposed to a more transparent, open, and publicly accountable approach”. </w:t>
      </w:r>
      <w:r>
        <w:rPr>
          <w:color w:val="000000"/>
        </w:rPr>
        <w:t>He hypothesized that “The higher a country ranks in terms of uncertainty avoidance and power distance and the lower it ranks in terms of individualism and masculinity then the more likely it is to rank highly in terms of secrecy”.</w:t>
      </w:r>
    </w:p>
    <w:p w:rsidR="00E85A81" w:rsidRDefault="00E85A81">
      <w:pPr>
        <w:autoSpaceDE w:val="0"/>
        <w:autoSpaceDN w:val="0"/>
        <w:adjustRightInd w:val="0"/>
        <w:spacing w:after="0" w:line="360" w:lineRule="auto"/>
        <w:rPr>
          <w:rFonts w:ascii="Times New Roman" w:hAnsi="Times New Roman" w:cs="Times New Roman"/>
          <w:color w:val="000000"/>
        </w:rPr>
      </w:pPr>
    </w:p>
    <w:p w:rsidR="00E85A81" w:rsidRDefault="00E85A81">
      <w:pPr>
        <w:autoSpaceDE w:val="0"/>
        <w:autoSpaceDN w:val="0"/>
        <w:adjustRightInd w:val="0"/>
        <w:spacing w:after="0" w:line="360" w:lineRule="auto"/>
        <w:rPr>
          <w:color w:val="000000"/>
        </w:rPr>
      </w:pPr>
      <w:r>
        <w:rPr>
          <w:color w:val="000000"/>
        </w:rPr>
        <w:t>The hypotheses of societal values and accounting values can be summarized as follows:</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083"/>
        <w:gridCol w:w="1701"/>
        <w:gridCol w:w="1559"/>
        <w:gridCol w:w="1559"/>
        <w:gridCol w:w="1388"/>
      </w:tblGrid>
      <w:tr w:rsidR="00E85A81">
        <w:tc>
          <w:tcPr>
            <w:tcW w:w="9290" w:type="dxa"/>
            <w:gridSpan w:val="5"/>
          </w:tcPr>
          <w:p w:rsidR="00E85A81" w:rsidRDefault="00E85A81">
            <w:pPr>
              <w:autoSpaceDE w:val="0"/>
              <w:autoSpaceDN w:val="0"/>
              <w:adjustRightInd w:val="0"/>
              <w:spacing w:after="0" w:line="360" w:lineRule="auto"/>
              <w:rPr>
                <w:color w:val="000000"/>
              </w:rPr>
            </w:pPr>
            <w:r>
              <w:rPr>
                <w:color w:val="000000"/>
              </w:rPr>
              <w:t>Table 2: relationships of accounting values with societal values</w:t>
            </w:r>
          </w:p>
        </w:tc>
      </w:tr>
      <w:tr w:rsidR="00E85A81">
        <w:trPr>
          <w:cantSplit/>
        </w:trPr>
        <w:tc>
          <w:tcPr>
            <w:tcW w:w="3083" w:type="dxa"/>
            <w:vMerge w:val="restart"/>
          </w:tcPr>
          <w:p w:rsidR="00E85A81" w:rsidRDefault="00E85A81">
            <w:pPr>
              <w:autoSpaceDE w:val="0"/>
              <w:autoSpaceDN w:val="0"/>
              <w:adjustRightInd w:val="0"/>
              <w:spacing w:after="0" w:line="360" w:lineRule="auto"/>
              <w:rPr>
                <w:color w:val="000000"/>
              </w:rPr>
            </w:pPr>
            <w:r>
              <w:rPr>
                <w:color w:val="000000"/>
              </w:rPr>
              <w:t>Societal values</w:t>
            </w:r>
          </w:p>
        </w:tc>
        <w:tc>
          <w:tcPr>
            <w:tcW w:w="6207" w:type="dxa"/>
            <w:gridSpan w:val="4"/>
          </w:tcPr>
          <w:p w:rsidR="00E85A81" w:rsidRDefault="00E85A81">
            <w:pPr>
              <w:autoSpaceDE w:val="0"/>
              <w:autoSpaceDN w:val="0"/>
              <w:adjustRightInd w:val="0"/>
              <w:spacing w:after="0" w:line="360" w:lineRule="auto"/>
              <w:rPr>
                <w:color w:val="000000"/>
              </w:rPr>
            </w:pPr>
            <w:r>
              <w:rPr>
                <w:color w:val="000000"/>
              </w:rPr>
              <w:t>Accounting values</w:t>
            </w:r>
          </w:p>
        </w:tc>
      </w:tr>
      <w:tr w:rsidR="00E85A81">
        <w:trPr>
          <w:cantSplit/>
        </w:trPr>
        <w:tc>
          <w:tcPr>
            <w:tcW w:w="3083" w:type="dxa"/>
            <w:vMerge/>
          </w:tcPr>
          <w:p w:rsidR="00E85A81" w:rsidRDefault="00E85A81">
            <w:pPr>
              <w:autoSpaceDE w:val="0"/>
              <w:autoSpaceDN w:val="0"/>
              <w:adjustRightInd w:val="0"/>
              <w:spacing w:after="0" w:line="360" w:lineRule="auto"/>
              <w:rPr>
                <w:rFonts w:ascii="Times New Roman" w:hAnsi="Times New Roman" w:cs="Times New Roman"/>
                <w:color w:val="000000"/>
              </w:rPr>
            </w:pPr>
          </w:p>
        </w:tc>
        <w:tc>
          <w:tcPr>
            <w:tcW w:w="1701" w:type="dxa"/>
          </w:tcPr>
          <w:p w:rsidR="00E85A81" w:rsidRDefault="00E85A81">
            <w:pPr>
              <w:autoSpaceDE w:val="0"/>
              <w:autoSpaceDN w:val="0"/>
              <w:adjustRightInd w:val="0"/>
              <w:spacing w:after="0" w:line="360" w:lineRule="auto"/>
              <w:rPr>
                <w:color w:val="000000"/>
              </w:rPr>
            </w:pPr>
            <w:r>
              <w:rPr>
                <w:color w:val="000000"/>
              </w:rPr>
              <w:t>Professionalism</w:t>
            </w:r>
          </w:p>
        </w:tc>
        <w:tc>
          <w:tcPr>
            <w:tcW w:w="1559" w:type="dxa"/>
          </w:tcPr>
          <w:p w:rsidR="00E85A81" w:rsidRDefault="00E85A81">
            <w:pPr>
              <w:autoSpaceDE w:val="0"/>
              <w:autoSpaceDN w:val="0"/>
              <w:adjustRightInd w:val="0"/>
              <w:spacing w:after="0" w:line="360" w:lineRule="auto"/>
              <w:rPr>
                <w:color w:val="000000"/>
              </w:rPr>
            </w:pPr>
            <w:r>
              <w:rPr>
                <w:color w:val="000000"/>
              </w:rPr>
              <w:t>Uniformity</w:t>
            </w:r>
          </w:p>
        </w:tc>
        <w:tc>
          <w:tcPr>
            <w:tcW w:w="1559" w:type="dxa"/>
          </w:tcPr>
          <w:p w:rsidR="00E85A81" w:rsidRDefault="00E85A81">
            <w:pPr>
              <w:autoSpaceDE w:val="0"/>
              <w:autoSpaceDN w:val="0"/>
              <w:adjustRightInd w:val="0"/>
              <w:spacing w:after="0" w:line="360" w:lineRule="auto"/>
              <w:rPr>
                <w:color w:val="000000"/>
              </w:rPr>
            </w:pPr>
            <w:r>
              <w:rPr>
                <w:color w:val="000000"/>
              </w:rPr>
              <w:t xml:space="preserve">Conservatism </w:t>
            </w:r>
          </w:p>
        </w:tc>
        <w:tc>
          <w:tcPr>
            <w:tcW w:w="1388" w:type="dxa"/>
          </w:tcPr>
          <w:p w:rsidR="00E85A81" w:rsidRDefault="00E85A81">
            <w:pPr>
              <w:autoSpaceDE w:val="0"/>
              <w:autoSpaceDN w:val="0"/>
              <w:adjustRightInd w:val="0"/>
              <w:spacing w:after="0" w:line="360" w:lineRule="auto"/>
              <w:rPr>
                <w:color w:val="000000"/>
              </w:rPr>
            </w:pPr>
            <w:r>
              <w:rPr>
                <w:color w:val="000000"/>
              </w:rPr>
              <w:t xml:space="preserve">Secrecy </w:t>
            </w:r>
          </w:p>
        </w:tc>
      </w:tr>
      <w:tr w:rsidR="00E85A81">
        <w:tc>
          <w:tcPr>
            <w:tcW w:w="3083" w:type="dxa"/>
          </w:tcPr>
          <w:p w:rsidR="00E85A81" w:rsidRDefault="00E85A81">
            <w:pPr>
              <w:autoSpaceDE w:val="0"/>
              <w:autoSpaceDN w:val="0"/>
              <w:adjustRightInd w:val="0"/>
              <w:spacing w:after="0" w:line="360" w:lineRule="auto"/>
              <w:rPr>
                <w:color w:val="000000"/>
              </w:rPr>
            </w:pPr>
            <w:r>
              <w:rPr>
                <w:color w:val="000000"/>
              </w:rPr>
              <w:t xml:space="preserve">Individualism </w:t>
            </w:r>
          </w:p>
        </w:tc>
        <w:tc>
          <w:tcPr>
            <w:tcW w:w="1701" w:type="dxa"/>
          </w:tcPr>
          <w:p w:rsidR="00E85A81" w:rsidRDefault="00E85A81">
            <w:pPr>
              <w:autoSpaceDE w:val="0"/>
              <w:autoSpaceDN w:val="0"/>
              <w:adjustRightInd w:val="0"/>
              <w:spacing w:after="0" w:line="360" w:lineRule="auto"/>
              <w:rPr>
                <w:color w:val="000000"/>
              </w:rPr>
            </w:pPr>
            <w:r>
              <w:rPr>
                <w:color w:val="000000"/>
              </w:rPr>
              <w:t>Positive</w:t>
            </w:r>
          </w:p>
        </w:tc>
        <w:tc>
          <w:tcPr>
            <w:tcW w:w="1559" w:type="dxa"/>
          </w:tcPr>
          <w:p w:rsidR="00E85A81" w:rsidRDefault="00E85A81">
            <w:pPr>
              <w:autoSpaceDE w:val="0"/>
              <w:autoSpaceDN w:val="0"/>
              <w:adjustRightInd w:val="0"/>
              <w:spacing w:after="0" w:line="360" w:lineRule="auto"/>
              <w:rPr>
                <w:color w:val="000000"/>
              </w:rPr>
            </w:pPr>
            <w:r>
              <w:rPr>
                <w:color w:val="000000"/>
              </w:rPr>
              <w:t>Negative</w:t>
            </w:r>
          </w:p>
        </w:tc>
        <w:tc>
          <w:tcPr>
            <w:tcW w:w="1559" w:type="dxa"/>
          </w:tcPr>
          <w:p w:rsidR="00E85A81" w:rsidRDefault="00E85A81">
            <w:pPr>
              <w:autoSpaceDE w:val="0"/>
              <w:autoSpaceDN w:val="0"/>
              <w:adjustRightInd w:val="0"/>
              <w:spacing w:after="0" w:line="360" w:lineRule="auto"/>
              <w:rPr>
                <w:color w:val="000000"/>
              </w:rPr>
            </w:pPr>
            <w:r>
              <w:rPr>
                <w:color w:val="000000"/>
              </w:rPr>
              <w:t>Negative</w:t>
            </w:r>
          </w:p>
        </w:tc>
        <w:tc>
          <w:tcPr>
            <w:tcW w:w="1388" w:type="dxa"/>
          </w:tcPr>
          <w:p w:rsidR="00E85A81" w:rsidRDefault="00E85A81">
            <w:pPr>
              <w:autoSpaceDE w:val="0"/>
              <w:autoSpaceDN w:val="0"/>
              <w:adjustRightInd w:val="0"/>
              <w:spacing w:after="0" w:line="360" w:lineRule="auto"/>
              <w:rPr>
                <w:color w:val="000000"/>
              </w:rPr>
            </w:pPr>
            <w:r>
              <w:rPr>
                <w:color w:val="000000"/>
              </w:rPr>
              <w:t>Negative</w:t>
            </w:r>
          </w:p>
        </w:tc>
      </w:tr>
      <w:tr w:rsidR="00E85A81">
        <w:tc>
          <w:tcPr>
            <w:tcW w:w="3083" w:type="dxa"/>
          </w:tcPr>
          <w:p w:rsidR="00E85A81" w:rsidRDefault="00E85A81">
            <w:pPr>
              <w:autoSpaceDE w:val="0"/>
              <w:autoSpaceDN w:val="0"/>
              <w:adjustRightInd w:val="0"/>
              <w:spacing w:after="0" w:line="360" w:lineRule="auto"/>
              <w:rPr>
                <w:color w:val="000000"/>
              </w:rPr>
            </w:pPr>
            <w:r>
              <w:rPr>
                <w:color w:val="000000"/>
              </w:rPr>
              <w:t>Large power distance</w:t>
            </w:r>
          </w:p>
        </w:tc>
        <w:tc>
          <w:tcPr>
            <w:tcW w:w="1701" w:type="dxa"/>
          </w:tcPr>
          <w:p w:rsidR="00E85A81" w:rsidRDefault="00E85A81">
            <w:pPr>
              <w:autoSpaceDE w:val="0"/>
              <w:autoSpaceDN w:val="0"/>
              <w:adjustRightInd w:val="0"/>
              <w:spacing w:after="0" w:line="360" w:lineRule="auto"/>
              <w:rPr>
                <w:color w:val="000000"/>
              </w:rPr>
            </w:pPr>
            <w:r>
              <w:rPr>
                <w:color w:val="000000"/>
              </w:rPr>
              <w:t>Negative</w:t>
            </w:r>
          </w:p>
        </w:tc>
        <w:tc>
          <w:tcPr>
            <w:tcW w:w="1559" w:type="dxa"/>
          </w:tcPr>
          <w:p w:rsidR="00E85A81" w:rsidRDefault="00E85A81">
            <w:pPr>
              <w:autoSpaceDE w:val="0"/>
              <w:autoSpaceDN w:val="0"/>
              <w:adjustRightInd w:val="0"/>
              <w:spacing w:after="0" w:line="360" w:lineRule="auto"/>
              <w:rPr>
                <w:color w:val="000000"/>
              </w:rPr>
            </w:pPr>
            <w:r>
              <w:rPr>
                <w:color w:val="000000"/>
              </w:rPr>
              <w:t>Positive</w:t>
            </w:r>
          </w:p>
        </w:tc>
        <w:tc>
          <w:tcPr>
            <w:tcW w:w="1559" w:type="dxa"/>
          </w:tcPr>
          <w:p w:rsidR="00E85A81" w:rsidRDefault="00E85A81">
            <w:pPr>
              <w:autoSpaceDE w:val="0"/>
              <w:autoSpaceDN w:val="0"/>
              <w:adjustRightInd w:val="0"/>
              <w:spacing w:after="0" w:line="360" w:lineRule="auto"/>
              <w:rPr>
                <w:color w:val="000000"/>
              </w:rPr>
            </w:pPr>
            <w:r>
              <w:rPr>
                <w:color w:val="000000"/>
              </w:rPr>
              <w:t>n/a</w:t>
            </w:r>
          </w:p>
        </w:tc>
        <w:tc>
          <w:tcPr>
            <w:tcW w:w="1388" w:type="dxa"/>
          </w:tcPr>
          <w:p w:rsidR="00E85A81" w:rsidRDefault="00E85A81">
            <w:pPr>
              <w:autoSpaceDE w:val="0"/>
              <w:autoSpaceDN w:val="0"/>
              <w:adjustRightInd w:val="0"/>
              <w:spacing w:after="0" w:line="360" w:lineRule="auto"/>
              <w:rPr>
                <w:color w:val="000000"/>
              </w:rPr>
            </w:pPr>
            <w:r>
              <w:rPr>
                <w:color w:val="000000"/>
              </w:rPr>
              <w:t>Positive</w:t>
            </w:r>
          </w:p>
        </w:tc>
      </w:tr>
      <w:tr w:rsidR="00E85A81">
        <w:tc>
          <w:tcPr>
            <w:tcW w:w="3083" w:type="dxa"/>
          </w:tcPr>
          <w:p w:rsidR="00E85A81" w:rsidRDefault="00E85A81">
            <w:pPr>
              <w:autoSpaceDE w:val="0"/>
              <w:autoSpaceDN w:val="0"/>
              <w:adjustRightInd w:val="0"/>
              <w:spacing w:after="0" w:line="360" w:lineRule="auto"/>
              <w:rPr>
                <w:color w:val="000000"/>
              </w:rPr>
            </w:pPr>
            <w:r>
              <w:rPr>
                <w:color w:val="000000"/>
              </w:rPr>
              <w:t>Strong uncertainty avoidance</w:t>
            </w:r>
          </w:p>
        </w:tc>
        <w:tc>
          <w:tcPr>
            <w:tcW w:w="1701" w:type="dxa"/>
          </w:tcPr>
          <w:p w:rsidR="00E85A81" w:rsidRDefault="00E85A81">
            <w:pPr>
              <w:autoSpaceDE w:val="0"/>
              <w:autoSpaceDN w:val="0"/>
              <w:adjustRightInd w:val="0"/>
              <w:spacing w:after="0" w:line="360" w:lineRule="auto"/>
              <w:rPr>
                <w:color w:val="000000"/>
              </w:rPr>
            </w:pPr>
            <w:r>
              <w:rPr>
                <w:color w:val="000000"/>
              </w:rPr>
              <w:t>Negative</w:t>
            </w:r>
          </w:p>
        </w:tc>
        <w:tc>
          <w:tcPr>
            <w:tcW w:w="1559" w:type="dxa"/>
          </w:tcPr>
          <w:p w:rsidR="00E85A81" w:rsidRDefault="00E85A81">
            <w:pPr>
              <w:autoSpaceDE w:val="0"/>
              <w:autoSpaceDN w:val="0"/>
              <w:adjustRightInd w:val="0"/>
              <w:spacing w:after="0" w:line="360" w:lineRule="auto"/>
              <w:rPr>
                <w:color w:val="000000"/>
              </w:rPr>
            </w:pPr>
            <w:r>
              <w:rPr>
                <w:color w:val="000000"/>
              </w:rPr>
              <w:t>Positive</w:t>
            </w:r>
          </w:p>
        </w:tc>
        <w:tc>
          <w:tcPr>
            <w:tcW w:w="1559" w:type="dxa"/>
          </w:tcPr>
          <w:p w:rsidR="00E85A81" w:rsidRDefault="00E85A81">
            <w:pPr>
              <w:autoSpaceDE w:val="0"/>
              <w:autoSpaceDN w:val="0"/>
              <w:adjustRightInd w:val="0"/>
              <w:spacing w:after="0" w:line="360" w:lineRule="auto"/>
              <w:rPr>
                <w:color w:val="000000"/>
              </w:rPr>
            </w:pPr>
            <w:r>
              <w:rPr>
                <w:color w:val="000000"/>
              </w:rPr>
              <w:t>Positive</w:t>
            </w:r>
          </w:p>
        </w:tc>
        <w:tc>
          <w:tcPr>
            <w:tcW w:w="1388" w:type="dxa"/>
          </w:tcPr>
          <w:p w:rsidR="00E85A81" w:rsidRDefault="00E85A81">
            <w:pPr>
              <w:autoSpaceDE w:val="0"/>
              <w:autoSpaceDN w:val="0"/>
              <w:adjustRightInd w:val="0"/>
              <w:spacing w:after="0" w:line="360" w:lineRule="auto"/>
              <w:rPr>
                <w:color w:val="000000"/>
              </w:rPr>
            </w:pPr>
            <w:r>
              <w:rPr>
                <w:color w:val="000000"/>
              </w:rPr>
              <w:t>Positive</w:t>
            </w:r>
          </w:p>
        </w:tc>
      </w:tr>
      <w:tr w:rsidR="00E85A81">
        <w:tc>
          <w:tcPr>
            <w:tcW w:w="3083" w:type="dxa"/>
          </w:tcPr>
          <w:p w:rsidR="00E85A81" w:rsidRDefault="00E85A81">
            <w:pPr>
              <w:autoSpaceDE w:val="0"/>
              <w:autoSpaceDN w:val="0"/>
              <w:adjustRightInd w:val="0"/>
              <w:spacing w:after="0" w:line="360" w:lineRule="auto"/>
              <w:rPr>
                <w:color w:val="000000"/>
              </w:rPr>
            </w:pPr>
            <w:r>
              <w:rPr>
                <w:color w:val="000000"/>
              </w:rPr>
              <w:t xml:space="preserve">Masculinity </w:t>
            </w:r>
          </w:p>
        </w:tc>
        <w:tc>
          <w:tcPr>
            <w:tcW w:w="1701" w:type="dxa"/>
          </w:tcPr>
          <w:p w:rsidR="00E85A81" w:rsidRDefault="00E85A81">
            <w:pPr>
              <w:autoSpaceDE w:val="0"/>
              <w:autoSpaceDN w:val="0"/>
              <w:adjustRightInd w:val="0"/>
              <w:spacing w:after="0" w:line="360" w:lineRule="auto"/>
              <w:rPr>
                <w:color w:val="000000"/>
              </w:rPr>
            </w:pPr>
            <w:r>
              <w:rPr>
                <w:color w:val="000000"/>
              </w:rPr>
              <w:t>n/a</w:t>
            </w:r>
          </w:p>
        </w:tc>
        <w:tc>
          <w:tcPr>
            <w:tcW w:w="1559" w:type="dxa"/>
          </w:tcPr>
          <w:p w:rsidR="00E85A81" w:rsidRDefault="00E85A81">
            <w:pPr>
              <w:autoSpaceDE w:val="0"/>
              <w:autoSpaceDN w:val="0"/>
              <w:adjustRightInd w:val="0"/>
              <w:spacing w:after="0" w:line="360" w:lineRule="auto"/>
              <w:rPr>
                <w:color w:val="000000"/>
              </w:rPr>
            </w:pPr>
            <w:r>
              <w:rPr>
                <w:color w:val="000000"/>
              </w:rPr>
              <w:t>n/a</w:t>
            </w:r>
          </w:p>
        </w:tc>
        <w:tc>
          <w:tcPr>
            <w:tcW w:w="1559" w:type="dxa"/>
          </w:tcPr>
          <w:p w:rsidR="00E85A81" w:rsidRDefault="00E85A81">
            <w:pPr>
              <w:autoSpaceDE w:val="0"/>
              <w:autoSpaceDN w:val="0"/>
              <w:adjustRightInd w:val="0"/>
              <w:spacing w:after="0" w:line="360" w:lineRule="auto"/>
              <w:rPr>
                <w:color w:val="000000"/>
              </w:rPr>
            </w:pPr>
            <w:r>
              <w:rPr>
                <w:color w:val="000000"/>
              </w:rPr>
              <w:t xml:space="preserve">Positive </w:t>
            </w:r>
          </w:p>
        </w:tc>
        <w:tc>
          <w:tcPr>
            <w:tcW w:w="1388" w:type="dxa"/>
          </w:tcPr>
          <w:p w:rsidR="00E85A81" w:rsidRDefault="00E85A81">
            <w:pPr>
              <w:autoSpaceDE w:val="0"/>
              <w:autoSpaceDN w:val="0"/>
              <w:adjustRightInd w:val="0"/>
              <w:spacing w:after="0" w:line="360" w:lineRule="auto"/>
              <w:rPr>
                <w:color w:val="000000"/>
              </w:rPr>
            </w:pPr>
            <w:r>
              <w:rPr>
                <w:color w:val="000000"/>
              </w:rPr>
              <w:t xml:space="preserve">Negative </w:t>
            </w:r>
          </w:p>
        </w:tc>
      </w:tr>
    </w:tbl>
    <w:p w:rsidR="00E85A81" w:rsidRDefault="00E85A81">
      <w:pPr>
        <w:autoSpaceDE w:val="0"/>
        <w:autoSpaceDN w:val="0"/>
        <w:adjustRightInd w:val="0"/>
        <w:spacing w:before="240" w:after="0" w:line="360" w:lineRule="auto"/>
        <w:ind w:firstLine="709"/>
        <w:rPr>
          <w:color w:val="000000"/>
        </w:rPr>
      </w:pPr>
      <w:r>
        <w:rPr>
          <w:color w:val="000000"/>
        </w:rPr>
        <w:t xml:space="preserve">After formulated hypotheses relating societal values to accounting values, Gray (1988) stated that the most important societal values at the level of the accounting subcultures / values are uncertainty avoidance and individualism. While power distance is significant to some extent and masculinity appears to be lesser importance in the system of accounting values. Figure 2 represents the relations of societal values, accounting values and accounting practices. </w:t>
      </w:r>
    </w:p>
    <w:p w:rsidR="00E85A81" w:rsidRDefault="00E85A81">
      <w:pPr>
        <w:autoSpaceDE w:val="0"/>
        <w:autoSpaceDN w:val="0"/>
        <w:adjustRightInd w:val="0"/>
        <w:spacing w:after="0" w:line="360" w:lineRule="auto"/>
        <w:ind w:firstLine="709"/>
        <w:rPr>
          <w:color w:val="000000"/>
        </w:rPr>
      </w:pPr>
      <w:r>
        <w:rPr>
          <w:color w:val="000000"/>
        </w:rPr>
        <w:t>Furthermore, Gray (1988) proposed cultural area classifications of accounting systems using combinations of accounting values. He distinguished between authority and enforcement of accounting systems, that is, the extent to which the systems are enforced by statutory control or professional judgments on the one hand, and the measurement and disclosure characteristics of accounting systems on the other. He argued that accounting values professionalism and uniformity are mostly relevant to the authority and enforcement of accounting system, while accounting values conservatism and secrecy are relevant to the measurement practices used and the extent of information disclosed. On judgmental basis, Gray (1988) developed the classification of culture areas hypothesized (see figure 1 and 2 in the appendix). In formulating these cultural areas, he refers to the relevant correlations between value dimensions and the resultant cluster of countries identified from the statistical analysis carried out by Hofstede (1980).</w:t>
      </w:r>
    </w:p>
    <w:p w:rsidR="00E85A81" w:rsidRDefault="00E85A81">
      <w:pPr>
        <w:autoSpaceDE w:val="0"/>
        <w:autoSpaceDN w:val="0"/>
        <w:adjustRightInd w:val="0"/>
        <w:spacing w:after="0" w:line="360" w:lineRule="auto"/>
      </w:pPr>
      <w:r>
        <w:rPr>
          <w:noProof/>
          <w:lang w:val="nl-NL" w:eastAsia="nl-NL"/>
        </w:rPr>
        <w:pict>
          <v:group id="_x0000_s1052" style="position:absolute;left:0;text-align:left;margin-left:1.95pt;margin-top:5.65pt;width:442.5pt;height:173.5pt;z-index:251656704" coordorigin="1425,11084" coordsize="9090,3470">
            <v:shape id="_x0000_s1053" type="#_x0000_t202" style="position:absolute;left:6997;top:14028;width:1718;height:456" stroked="f">
              <v:textbox style="mso-next-textbox:#_x0000_s1053">
                <w:txbxContent>
                  <w:p w:rsidR="00E85A81" w:rsidRDefault="00E85A81">
                    <w:pPr>
                      <w:rPr>
                        <w:rFonts w:ascii="Times New Roman" w:hAnsi="Times New Roman" w:cs="Times New Roman"/>
                        <w:lang w:val="de-DE"/>
                      </w:rPr>
                    </w:pPr>
                    <w:r>
                      <w:rPr>
                        <w:lang w:val="de-DE"/>
                      </w:rPr>
                      <w:t>Reinforcement</w:t>
                    </w:r>
                  </w:p>
                </w:txbxContent>
              </v:textbox>
            </v:shape>
            <v:shape id="_x0000_s1054" type="#_x0000_t202" style="position:absolute;left:3199;top:14098;width:1718;height:456" stroked="f">
              <v:textbox style="mso-next-textbox:#_x0000_s1054">
                <w:txbxContent>
                  <w:p w:rsidR="00E85A81" w:rsidRDefault="00E85A81">
                    <w:pPr>
                      <w:rPr>
                        <w:rFonts w:ascii="Times New Roman" w:hAnsi="Times New Roman" w:cs="Times New Roman"/>
                        <w:lang w:val="de-DE"/>
                      </w:rPr>
                    </w:pPr>
                    <w:r>
                      <w:rPr>
                        <w:lang w:val="de-DE"/>
                      </w:rPr>
                      <w:t>Reinforcement</w:t>
                    </w:r>
                  </w:p>
                </w:txbxContent>
              </v:textbox>
            </v:shape>
            <v:group id="_x0000_s1055" style="position:absolute;left:1425;top:11084;width:9090;height:3374" coordorigin="1425,10670" coordsize="9090,3374">
              <v:group id="_x0000_s1056" style="position:absolute;left:1425;top:10670;width:9090;height:3064" coordorigin="1425,10700" coordsize="9090,3064">
                <v:group id="_x0000_s1057" style="position:absolute;left:1425;top:10700;width:9090;height:3064" coordorigin="1624,10700" coordsize="9187,3064">
                  <v:roundrect id="_x0000_s1058" style="position:absolute;left:1624;top:10700;width:2596;height:3064" arcsize="10923f">
                    <v:textbox style="mso-next-textbox:#_x0000_s1058">
                      <w:txbxContent>
                        <w:p w:rsidR="00E85A81" w:rsidRDefault="00E85A81">
                          <w:pPr>
                            <w:spacing w:after="0" w:line="240" w:lineRule="auto"/>
                            <w:jc w:val="left"/>
                          </w:pPr>
                          <w:r>
                            <w:t>Societal values:</w:t>
                          </w:r>
                        </w:p>
                        <w:p w:rsidR="00E85A81" w:rsidRDefault="00E85A81">
                          <w:pPr>
                            <w:spacing w:after="0" w:line="240" w:lineRule="auto"/>
                            <w:jc w:val="left"/>
                          </w:pPr>
                        </w:p>
                        <w:p w:rsidR="00E85A81" w:rsidRDefault="00E85A81">
                          <w:pPr>
                            <w:spacing w:after="0" w:line="240" w:lineRule="auto"/>
                            <w:jc w:val="left"/>
                          </w:pPr>
                          <w:r>
                            <w:t>Individualism / collectivism</w:t>
                          </w:r>
                        </w:p>
                        <w:p w:rsidR="00E85A81" w:rsidRDefault="00E85A81">
                          <w:pPr>
                            <w:spacing w:after="0" w:line="240" w:lineRule="auto"/>
                            <w:jc w:val="left"/>
                          </w:pPr>
                          <w:r>
                            <w:t>Power distance</w:t>
                          </w:r>
                        </w:p>
                        <w:p w:rsidR="00E85A81" w:rsidRDefault="00E85A81">
                          <w:pPr>
                            <w:spacing w:after="0" w:line="240" w:lineRule="auto"/>
                            <w:jc w:val="left"/>
                          </w:pPr>
                          <w:r>
                            <w:t>Uncertainty avoidance</w:t>
                          </w:r>
                        </w:p>
                        <w:p w:rsidR="00E85A81" w:rsidRDefault="00E85A81">
                          <w:pPr>
                            <w:spacing w:after="0" w:line="240" w:lineRule="auto"/>
                            <w:jc w:val="left"/>
                            <w:rPr>
                              <w:rFonts w:ascii="Times New Roman" w:hAnsi="Times New Roman" w:cs="Times New Roman"/>
                            </w:rPr>
                          </w:pPr>
                          <w:r>
                            <w:t>Masculinity / femininty</w:t>
                          </w:r>
                        </w:p>
                      </w:txbxContent>
                    </v:textbox>
                  </v:roundrect>
                  <v:roundrect id="_x0000_s1059" style="position:absolute;left:8366;top:10800;width:2299;height:922" arcsize="10923f">
                    <v:textbox style="mso-next-textbox:#_x0000_s1059">
                      <w:txbxContent>
                        <w:p w:rsidR="00E85A81" w:rsidRDefault="00E85A81">
                          <w:pPr>
                            <w:jc w:val="left"/>
                            <w:rPr>
                              <w:rFonts w:ascii="Times New Roman" w:hAnsi="Times New Roman" w:cs="Times New Roman"/>
                              <w:lang w:val="de-DE"/>
                            </w:rPr>
                          </w:pPr>
                          <w:r>
                            <w:rPr>
                              <w:lang w:val="de-DE"/>
                            </w:rPr>
                            <w:t>Authority and enforcement</w:t>
                          </w:r>
                        </w:p>
                      </w:txbxContent>
                    </v:textbox>
                  </v:roundrect>
                  <v:roundrect id="_x0000_s1060" style="position:absolute;left:4967;top:10800;width:2596;height:1083" arcsize="10923f">
                    <v:textbox style="mso-next-textbox:#_x0000_s1060">
                      <w:txbxContent>
                        <w:p w:rsidR="00E85A81" w:rsidRDefault="00E85A81">
                          <w:pPr>
                            <w:spacing w:after="0"/>
                            <w:jc w:val="left"/>
                            <w:rPr>
                              <w:lang w:val="de-DE"/>
                            </w:rPr>
                          </w:pPr>
                          <w:r>
                            <w:rPr>
                              <w:lang w:val="de-DE"/>
                            </w:rPr>
                            <w:t>Professionalism / statutory control</w:t>
                          </w:r>
                        </w:p>
                        <w:p w:rsidR="00E85A81" w:rsidRDefault="00E85A81">
                          <w:pPr>
                            <w:spacing w:after="0"/>
                            <w:rPr>
                              <w:rFonts w:ascii="Times New Roman" w:hAnsi="Times New Roman" w:cs="Times New Roman"/>
                              <w:lang w:val="de-DE"/>
                            </w:rPr>
                          </w:pPr>
                          <w:r>
                            <w:rPr>
                              <w:lang w:val="de-DE"/>
                            </w:rPr>
                            <w:t>Uniormity / flexibility</w:t>
                          </w:r>
                        </w:p>
                      </w:txbxContent>
                    </v:textbox>
                  </v:roundrect>
                  <v:roundrect id="_x0000_s1061" style="position:absolute;left:4967;top:13029;width:2596;height:627" arcsize="10923f">
                    <v:textbox style="mso-next-textbox:#_x0000_s1061">
                      <w:txbxContent>
                        <w:p w:rsidR="00E85A81" w:rsidRDefault="00E85A81">
                          <w:pPr>
                            <w:rPr>
                              <w:rFonts w:ascii="Times New Roman" w:hAnsi="Times New Roman" w:cs="Times New Roman"/>
                              <w:lang w:val="de-DE"/>
                            </w:rPr>
                          </w:pPr>
                          <w:r>
                            <w:rPr>
                              <w:lang w:val="de-DE"/>
                            </w:rPr>
                            <w:t>Secrecy / transparency</w:t>
                          </w:r>
                        </w:p>
                      </w:txbxContent>
                    </v:textbox>
                  </v:roundrect>
                  <v:roundrect id="_x0000_s1062" style="position:absolute;left:4969;top:12090;width:2596;height:792" arcsize="10923f">
                    <v:textbox style="mso-next-textbox:#_x0000_s1062">
                      <w:txbxContent>
                        <w:p w:rsidR="00E85A81" w:rsidRDefault="00E85A81">
                          <w:pPr>
                            <w:spacing w:after="0"/>
                            <w:jc w:val="left"/>
                            <w:rPr>
                              <w:rFonts w:ascii="Times New Roman" w:hAnsi="Times New Roman" w:cs="Times New Roman"/>
                              <w:lang w:val="de-DE"/>
                            </w:rPr>
                          </w:pPr>
                          <w:r>
                            <w:rPr>
                              <w:lang w:val="de-DE"/>
                            </w:rPr>
                            <w:t>Conservatism / optimism</w:t>
                          </w:r>
                        </w:p>
                      </w:txbxContent>
                    </v:textbox>
                  </v:roundrect>
                  <v:roundrect id="_x0000_s1063" style="position:absolute;left:8366;top:11958;width:2445;height:817" arcsize="10923f">
                    <v:textbox style="mso-next-textbox:#_x0000_s1063">
                      <w:txbxContent>
                        <w:p w:rsidR="00E85A81" w:rsidRDefault="00E85A81">
                          <w:pPr>
                            <w:jc w:val="left"/>
                            <w:rPr>
                              <w:rFonts w:ascii="Times New Roman" w:hAnsi="Times New Roman" w:cs="Times New Roman"/>
                              <w:lang w:val="de-DE"/>
                            </w:rPr>
                          </w:pPr>
                          <w:r>
                            <w:rPr>
                              <w:lang w:val="de-DE"/>
                            </w:rPr>
                            <w:t>Measurement of assets and profits</w:t>
                          </w:r>
                        </w:p>
                      </w:txbxContent>
                    </v:textbox>
                  </v:roundrect>
                  <v:roundrect id="_x0000_s1064" style="position:absolute;left:8394;top:12921;width:2417;height:735" arcsize="10923f">
                    <v:textbox style="mso-next-textbox:#_x0000_s1064">
                      <w:txbxContent>
                        <w:p w:rsidR="00E85A81" w:rsidRDefault="00E85A81">
                          <w:pPr>
                            <w:rPr>
                              <w:rFonts w:ascii="Times New Roman" w:hAnsi="Times New Roman" w:cs="Times New Roman"/>
                              <w:lang w:val="de-DE"/>
                            </w:rPr>
                          </w:pPr>
                          <w:r>
                            <w:rPr>
                              <w:lang w:val="de-DE"/>
                            </w:rPr>
                            <w:t>Information disclsosure</w:t>
                          </w:r>
                        </w:p>
                      </w:txbxContent>
                    </v:textbox>
                  </v:roundrect>
                  <v:shape id="_x0000_s1065" type="#_x0000_t32" style="position:absolute;left:7619;top:13290;width:747;height:0" o:connectortype="straight">
                    <v:stroke endarrow="block"/>
                  </v:shape>
                  <v:shape id="_x0000_s1066" type="#_x0000_t32" style="position:absolute;left:7563;top:12462;width:747;height:0" o:connectortype="straight">
                    <v:stroke endarrow="block"/>
                  </v:shape>
                  <v:shape id="_x0000_s1067" type="#_x0000_t32" style="position:absolute;left:7563;top:11340;width:747;height:0" o:connectortype="straight">
                    <v:stroke endarrow="block"/>
                  </v:shape>
                </v:group>
                <v:group id="_x0000_s1068" style="position:absolute;left:3960;top:11532;width:778;height:1857" coordorigin="4080,11592" coordsize="778,1857">
                  <v:shape id="_x0000_s1069" type="#_x0000_t32" style="position:absolute;left:4080;top:11592;width:747;height:870;flip:y" o:connectortype="straight">
                    <v:stroke endarrow="block"/>
                  </v:shape>
                  <v:shape id="_x0000_s1070" type="#_x0000_t32" style="position:absolute;left:4111;top:12462;width:747;height:987" o:connectortype="straight">
                    <v:stroke endarrow="block"/>
                  </v:shape>
                  <v:shape id="_x0000_s1071" type="#_x0000_t32" style="position:absolute;left:4080;top:12462;width:747;height:0" o:connectortype="straight">
                    <v:stroke endarrow="block"/>
                  </v:shape>
                </v:group>
              </v:group>
              <v:group id="_x0000_s1072" style="position:absolute;left:6540;top:13611;width:2731;height:400" coordorigin="6540,13656" coordsize="2731,400">
                <v:shape id="_x0000_s1073" type="#_x0000_t32" style="position:absolute;left:6540;top:14055;width:2731;height:1" o:connectortype="straight"/>
                <v:shape id="_x0000_s1074" type="#_x0000_t32" style="position:absolute;left:9271;top:13656;width:0;height:399" o:connectortype="straight"/>
                <v:shape id="_x0000_s1075" type="#_x0000_t32" style="position:absolute;left:6540;top:13656;width:0;height:399;flip:y" o:connectortype="straight">
                  <v:stroke endarrow="block"/>
                </v:shape>
              </v:group>
              <v:group id="_x0000_s1076" style="position:absolute;left:2700;top:13644;width:2731;height:400" coordorigin="6540,13656" coordsize="2731,400">
                <v:shape id="_x0000_s1077" type="#_x0000_t32" style="position:absolute;left:6540;top:14055;width:2731;height:1" o:connectortype="straight"/>
                <v:shape id="_x0000_s1078" type="#_x0000_t32" style="position:absolute;left:9271;top:13656;width:0;height:399" o:connectortype="straight"/>
                <v:shape id="_x0000_s1079" type="#_x0000_t32" style="position:absolute;left:6540;top:13656;width:0;height:399;flip:y" o:connectortype="straight">
                  <v:stroke endarrow="block"/>
                </v:shape>
              </v:group>
            </v:group>
            <w10:wrap type="square"/>
          </v:group>
        </w:pict>
      </w:r>
      <w:r>
        <w:t xml:space="preserve"> Figure 2: Gray’s framework: Culture and accounting systems</w:t>
      </w:r>
    </w:p>
    <w:p w:rsidR="00E85A81" w:rsidRDefault="00E85A81">
      <w:pPr>
        <w:autoSpaceDE w:val="0"/>
        <w:autoSpaceDN w:val="0"/>
        <w:adjustRightInd w:val="0"/>
        <w:spacing w:after="0" w:line="360" w:lineRule="auto"/>
        <w:ind w:firstLine="720"/>
        <w:rPr>
          <w:rFonts w:ascii="Times New Roman" w:hAnsi="Times New Roman" w:cs="Times New Roman"/>
          <w:color w:val="000000"/>
        </w:rPr>
      </w:pPr>
    </w:p>
    <w:p w:rsidR="00E85A81" w:rsidRDefault="00E85A81">
      <w:pPr>
        <w:pStyle w:val="Heading2"/>
        <w:numPr>
          <w:ilvl w:val="1"/>
          <w:numId w:val="4"/>
          <w:numberingChange w:id="46" w:author="C.D. Knoops" w:date="2011-06-19T21:46:00Z" w:original="%1:3:0:.%2:5:0:."/>
        </w:numPr>
        <w:spacing w:line="360" w:lineRule="auto"/>
        <w:rPr>
          <w:rFonts w:ascii="Times New Roman" w:hAnsi="Times New Roman" w:cs="Times New Roman"/>
        </w:rPr>
      </w:pPr>
      <w:bookmarkStart w:id="47" w:name="_Toc296002209"/>
      <w:r>
        <w:rPr>
          <w:rFonts w:ascii="Times New Roman" w:hAnsi="Times New Roman" w:cs="Times New Roman"/>
        </w:rPr>
        <w:t>Evaluation of the Hofstede-Gray framework on theoretical basis</w:t>
      </w:r>
      <w:bookmarkEnd w:id="47"/>
    </w:p>
    <w:p w:rsidR="00E85A81" w:rsidRDefault="00E85A81">
      <w:pPr>
        <w:spacing w:after="0" w:line="360" w:lineRule="auto"/>
        <w:ind w:firstLine="709"/>
      </w:pPr>
      <w:r>
        <w:t xml:space="preserve">There have been some literatures that attempt to extend or refine the Hofstede-Gray framework on a theoretical basis. Perera (1989) and Perera and Matthews (1990) suggest that accounting values have a considerable influence on accounting practices. He provided an analysis relating accounting values to certain aspects of accounting practices particularly in the context of developing countries’ accounting systems. </w:t>
      </w:r>
    </w:p>
    <w:p w:rsidR="00E85A81" w:rsidRDefault="00E85A81">
      <w:pPr>
        <w:spacing w:after="0" w:line="360" w:lineRule="auto"/>
        <w:ind w:firstLine="709"/>
      </w:pPr>
      <w:r>
        <w:t>Fechner and Kilgore (1994) proposed a modified framework to explain cultural influence on accounting. They suggested that culture dimensions (i.e. societal values) and economic factors have moderating influence on the relationships between accounting values and accounting practices. In their modified framework</w:t>
      </w:r>
      <w:r>
        <w:rPr>
          <w:rFonts w:ascii="Times New Roman" w:hAnsi="Times New Roman" w:cs="Times New Roman"/>
        </w:rPr>
        <w:t>,</w:t>
      </w:r>
      <w:r>
        <w:t xml:space="preserve"> societal values have no direct influence on accounting values which is different from the Hofstede-Gray framework. Similarly to Gray, these subsequent studies provided no indication of how the numerous variables in the framework may be operationalized, the extent to which they may interact, and how statistical test might be conducted to examine the interactions between the variables (Chanchani and MacGregor, 1999).</w:t>
      </w:r>
    </w:p>
    <w:p w:rsidR="00E85A81" w:rsidRDefault="00E85A81">
      <w:pPr>
        <w:autoSpaceDE w:val="0"/>
        <w:autoSpaceDN w:val="0"/>
        <w:adjustRightInd w:val="0"/>
        <w:spacing w:after="0" w:line="360" w:lineRule="auto"/>
        <w:ind w:firstLine="709"/>
      </w:pPr>
      <w:r>
        <w:t xml:space="preserve">Using Germany as a case study, Heidhues and Patel (2011) criticized the Hofstede-Gray framework as misleading and fail to enhance the understanding of differences in accounting practices/systems. Using Hofstede’s value scores for Germany, they evaluated the graphical mapping of Germany in cultural areas of Gray and concluded it as being imprecise and too simplistic. They apply a ‘more holistic approach’ in examining the factors that distinguished German accounting system from other accounting models. This approach provides additional insights such as specific characteristics in Germany accounting systems i.e. strictly confidential which has major complications with the adoption of IFRS. They recommend that further cultural research should lie on ‘a critical examination of contextual environments of countries rather than a focus on measurement, quantification, simplification and categorization’ (Heidhues and Patel, 2011, p. 282).  </w:t>
      </w:r>
    </w:p>
    <w:p w:rsidR="00E85A81" w:rsidRDefault="00E85A81">
      <w:pPr>
        <w:pStyle w:val="Heading2"/>
        <w:numPr>
          <w:ilvl w:val="1"/>
          <w:numId w:val="4"/>
          <w:numberingChange w:id="48" w:author="C.D. Knoops" w:date="2011-06-19T21:46:00Z" w:original="%1:3:0:.%2:6:0:."/>
        </w:numPr>
        <w:spacing w:line="360" w:lineRule="auto"/>
        <w:rPr>
          <w:rFonts w:ascii="Times New Roman" w:hAnsi="Times New Roman" w:cs="Times New Roman"/>
        </w:rPr>
      </w:pPr>
      <w:bookmarkStart w:id="49" w:name="_Toc296002210"/>
      <w:r>
        <w:rPr>
          <w:rFonts w:ascii="Times New Roman" w:hAnsi="Times New Roman" w:cs="Times New Roman"/>
        </w:rPr>
        <w:t>Conclusion</w:t>
      </w:r>
      <w:bookmarkEnd w:id="49"/>
    </w:p>
    <w:p w:rsidR="00E85A81" w:rsidRDefault="00E85A81">
      <w:pPr>
        <w:spacing w:before="240" w:line="360" w:lineRule="auto"/>
        <w:ind w:firstLine="709"/>
        <w:rPr>
          <w:rFonts w:ascii="Times New Roman" w:hAnsi="Times New Roman" w:cs="Times New Roman"/>
        </w:rPr>
      </w:pPr>
      <w:r>
        <w:t>Prior to the Hofstede-Gray framework, inductive and deductive approaches have been used to explain differences in international accounting practices/systems. Both approaches are useful in identifying some explanatory factors; nevertheless these approaches cannot be used to explain the mechanism in the relationship between culture and differences in accounting practice/systems. The Hofstede-Gray framework fills this gap by proposing specific hypothesis, ready to be tested, between societal values and accounting values. Gray (1988) also developed cultural areas which help subsequent researchers in choosing country samples and to test his hypotheses empirically. Following researchers attempt to refine the Hofstede-Gray framework and criticized the framework as being imprecise and too simplistic. The Hofstede-Gray framework is nevertheless a useful tool in understanding the influence of culture on accounting practices/systems. The next section provides overview of empirical studies that use the Hofstede-Gray framework.</w:t>
      </w:r>
    </w:p>
    <w:p w:rsidR="00E85A81" w:rsidRDefault="00E85A81">
      <w:pPr>
        <w:pStyle w:val="Heading1"/>
        <w:numPr>
          <w:ilvl w:val="0"/>
          <w:numId w:val="4"/>
          <w:numberingChange w:id="50" w:author="C.D. Knoops" w:date="2011-06-19T21:46:00Z" w:original="%1:4:0:."/>
        </w:numPr>
        <w:spacing w:before="0" w:after="240"/>
        <w:rPr>
          <w:rFonts w:ascii="Times New Roman" w:hAnsi="Times New Roman" w:cs="Times New Roman"/>
        </w:rPr>
      </w:pPr>
      <w:r>
        <w:rPr>
          <w:rFonts w:ascii="Times New Roman" w:hAnsi="Times New Roman" w:cs="Times New Roman"/>
        </w:rPr>
        <w:br w:type="page"/>
      </w:r>
      <w:bookmarkStart w:id="51" w:name="_Toc296002211"/>
      <w:r>
        <w:rPr>
          <w:rFonts w:ascii="Times New Roman" w:hAnsi="Times New Roman" w:cs="Times New Roman"/>
        </w:rPr>
        <w:t>Findings</w:t>
      </w:r>
      <w:bookmarkEnd w:id="51"/>
    </w:p>
    <w:p w:rsidR="00E85A81" w:rsidRDefault="00E85A81">
      <w:pPr>
        <w:pStyle w:val="Heading2"/>
        <w:numPr>
          <w:ilvl w:val="1"/>
          <w:numId w:val="4"/>
          <w:numberingChange w:id="52" w:author="C.D. Knoops" w:date="2011-06-19T21:46:00Z" w:original="%1:4:0:.%2:1:0:."/>
        </w:numPr>
        <w:spacing w:line="360" w:lineRule="auto"/>
        <w:rPr>
          <w:rFonts w:ascii="Times New Roman" w:hAnsi="Times New Roman" w:cs="Times New Roman"/>
        </w:rPr>
      </w:pPr>
      <w:bookmarkStart w:id="53" w:name="_Toc296002212"/>
      <w:r>
        <w:rPr>
          <w:rFonts w:ascii="Times New Roman" w:hAnsi="Times New Roman" w:cs="Times New Roman"/>
        </w:rPr>
        <w:t>Introduction</w:t>
      </w:r>
      <w:bookmarkEnd w:id="53"/>
    </w:p>
    <w:p w:rsidR="00E85A81" w:rsidRDefault="00E85A81">
      <w:pPr>
        <w:autoSpaceDE w:val="0"/>
        <w:autoSpaceDN w:val="0"/>
        <w:adjustRightInd w:val="0"/>
        <w:spacing w:after="0" w:line="360" w:lineRule="auto"/>
        <w:ind w:firstLine="709"/>
        <w:rPr>
          <w:rFonts w:ascii="Times New Roman" w:hAnsi="Times New Roman" w:cs="Times New Roman"/>
          <w:color w:val="000000"/>
        </w:rPr>
      </w:pPr>
      <w:r>
        <w:rPr>
          <w:color w:val="000000"/>
        </w:rPr>
        <w:t xml:space="preserve">There are only limited amounts of empirical research which specifically study cultural implications using the Hofstede-Gray framework. This section provides empirical studies that use the Hofstede-Gray framework. The first sub-section briefly discusses the empirical research that did not use IAS or IFRS in their research instrument. The second sub-section provides an overview of the empirical research that incorporated IAS or IFRS in their research instrument. The researchers try to simulate the implementation of IFRS on individual professional accountants as the unit of analysis by incorporating the financial reporting rules based on IAS or IFRS in their research instrument. </w:t>
      </w:r>
    </w:p>
    <w:p w:rsidR="00E85A81" w:rsidRDefault="00E85A81">
      <w:pPr>
        <w:autoSpaceDE w:val="0"/>
        <w:autoSpaceDN w:val="0"/>
        <w:adjustRightInd w:val="0"/>
        <w:spacing w:after="0" w:line="360" w:lineRule="auto"/>
        <w:ind w:firstLine="709"/>
        <w:rPr>
          <w:color w:val="000000"/>
        </w:rPr>
      </w:pPr>
      <w:r>
        <w:rPr>
          <w:color w:val="000000"/>
        </w:rPr>
        <w:t>Until now, there is no empirical study available that examines the influence of culture after the implementation of IFRS due to the recentness of IFRS adoption. Therefore analysis is only possible by comparing empirical research between using and not using IAS or IFRS within their research instrument. Table 1 and 2 in the appendix provides summary of empirical studies used in this section. For convenience sake, the sub-section will be divided based on three areas i.e. authority and enforcement, measurement and disclosure. Comparison based on these three areas will be made in the analysis in order to examine the implication of including IAS or IFRS in the research instrument on these three areas. Authority and enforcement of accounting practices are related to accounting values professionalism / statutory control and uniformity / flexibility. Measurements in accounting practices are related to accounting value of conservatism. Disclosure practices in accounting are related to accounting value of secrecy.</w:t>
      </w:r>
    </w:p>
    <w:p w:rsidR="00E85A81" w:rsidRDefault="00E85A81">
      <w:pPr>
        <w:pStyle w:val="Heading2"/>
        <w:numPr>
          <w:ilvl w:val="1"/>
          <w:numId w:val="4"/>
          <w:numberingChange w:id="54" w:author="C.D. Knoops" w:date="2011-06-19T21:46:00Z" w:original="%1:4:0:.%2:2:0:."/>
        </w:numPr>
        <w:rPr>
          <w:rFonts w:ascii="Times New Roman" w:hAnsi="Times New Roman" w:cs="Times New Roman"/>
        </w:rPr>
      </w:pPr>
      <w:bookmarkStart w:id="55" w:name="_Toc296002213"/>
      <w:r>
        <w:rPr>
          <w:rFonts w:ascii="Times New Roman" w:hAnsi="Times New Roman" w:cs="Times New Roman"/>
        </w:rPr>
        <w:t>No IAS / IFRS in research design</w:t>
      </w:r>
      <w:bookmarkEnd w:id="55"/>
    </w:p>
    <w:p w:rsidR="00E85A81" w:rsidRDefault="00E85A81">
      <w:pPr>
        <w:pStyle w:val="Heading3"/>
        <w:numPr>
          <w:ilvl w:val="2"/>
          <w:numId w:val="4"/>
          <w:numberingChange w:id="56" w:author="C.D. Knoops" w:date="2011-06-19T21:46:00Z" w:original="%1:4:0:.%2:2:0:.%3:1:0:."/>
        </w:numPr>
        <w:spacing w:line="360" w:lineRule="auto"/>
        <w:rPr>
          <w:rFonts w:ascii="Times New Roman" w:hAnsi="Times New Roman" w:cs="Times New Roman"/>
        </w:rPr>
      </w:pPr>
      <w:bookmarkStart w:id="57" w:name="_Toc296002214"/>
      <w:r>
        <w:rPr>
          <w:rFonts w:ascii="Times New Roman" w:hAnsi="Times New Roman" w:cs="Times New Roman"/>
        </w:rPr>
        <w:t>Authority and enforcement</w:t>
      </w:r>
      <w:bookmarkEnd w:id="57"/>
    </w:p>
    <w:p w:rsidR="00E85A81" w:rsidRDefault="00E85A81">
      <w:pPr>
        <w:autoSpaceDE w:val="0"/>
        <w:autoSpaceDN w:val="0"/>
        <w:adjustRightInd w:val="0"/>
        <w:spacing w:after="0" w:line="360" w:lineRule="auto"/>
        <w:ind w:firstLine="709"/>
      </w:pPr>
      <w:r>
        <w:t>Robert and Salter (1999) examine the drivers behind accountants’ attitudes towards uniformity in accounting rules. They hypothesized as follows: (1) ‘The strength of desire for a single mandatory treatment for an accounting issue in a country is related to the culture of a country and (2) The strength of desire for a single mandatory treatment for an accounting issue in a country is positively related to the importance of the stock market in that country’ (Robert and Salter, 1999, p. 6)</w:t>
      </w:r>
      <w:r>
        <w:rPr>
          <w:sz w:val="26"/>
          <w:szCs w:val="26"/>
        </w:rPr>
        <w:t xml:space="preserve">. </w:t>
      </w:r>
      <w:r>
        <w:t>They administered a questionnaire comprised of 14 accounting issues to the sample of auditors employed in the Big 6 accounting firms</w:t>
      </w:r>
      <w:r>
        <w:rPr>
          <w:rStyle w:val="FootnoteReference"/>
        </w:rPr>
        <w:footnoteReference w:id="4"/>
      </w:r>
      <w:r>
        <w:t xml:space="preserve"> in 23 countries</w:t>
      </w:r>
      <w:r>
        <w:rPr>
          <w:rStyle w:val="FootnoteReference"/>
          <w:rFonts w:ascii="Calibri" w:hAnsi="Calibri" w:cs="Calibri"/>
        </w:rPr>
        <w:footnoteReference w:id="5"/>
      </w:r>
      <w:r>
        <w:t>. The countries were selected based on the size of stock markets at the end of 1993. Each respondent was asked to respond with a yes/no on the statement whether they wanted a single mandatory treatment respectively for 14 different accounting issues</w:t>
      </w:r>
      <w:r>
        <w:rPr>
          <w:rStyle w:val="FootnoteReference"/>
        </w:rPr>
        <w:footnoteReference w:id="6"/>
      </w:r>
      <w:r>
        <w:t xml:space="preserve">. The dependent variable is the response of whether or not a single mandatory method is preferred. The independent variables consist of the importance of capital market (MKTCAP) and two societal culture dimensions (CULT 1 and CULT 2). CULT 1 has positive loadings on power distance and negative loadings on individualism while CULT 2 has positive loadings for both uncertainty avoidance and masculinity. </w:t>
      </w:r>
    </w:p>
    <w:p w:rsidR="00E85A81" w:rsidRDefault="00E85A81">
      <w:pPr>
        <w:autoSpaceDE w:val="0"/>
        <w:autoSpaceDN w:val="0"/>
        <w:adjustRightInd w:val="0"/>
        <w:spacing w:after="0" w:line="360" w:lineRule="auto"/>
        <w:ind w:firstLine="709"/>
      </w:pPr>
      <w:r>
        <w:t>The results show that the respondents tend to favor a mandatory single treatment in 66% of the cases analyzed. Related to the first hypothesis, CULT 1 appears to be positively related to preferences for a single treatment but CULT 2 is negatively related which is in contrast to the expectation.  The result of CULT 1 is consistent with Gray’s (1988) hypothesis that uniformity has a positive relation to power distance and a negative relation to individualism. In terms of CULT 2, the result is contrary to Gray’s uniformity hypothesis. Robert and Salter (1999) suggest that the involvement of masculinity component in CULT2 may distort the relation between uncertainty avoidance and uniformity. Gray (1988) did not propose any relation between masculinity and uniformity. Moreover, the results provide strong support related to the second hypothesis means that auditors prefer a single treatment as the role of stock markets as a source of finance increases. They concluded that the preference of a single mandatory treatment in accounting is influenced by certain aspects of culture and the importance of stock markets.</w:t>
      </w:r>
    </w:p>
    <w:p w:rsidR="00E85A81" w:rsidRDefault="00E85A81">
      <w:pPr>
        <w:pStyle w:val="Heading3"/>
        <w:numPr>
          <w:ilvl w:val="2"/>
          <w:numId w:val="4"/>
          <w:numberingChange w:id="58" w:author="C.D. Knoops" w:date="2011-06-19T21:46:00Z" w:original="%1:4:0:.%2:2:0:.%3:2:0:."/>
        </w:numPr>
        <w:rPr>
          <w:rFonts w:ascii="Times New Roman" w:hAnsi="Times New Roman" w:cs="Times New Roman"/>
        </w:rPr>
      </w:pPr>
      <w:bookmarkStart w:id="59" w:name="_Toc296002215"/>
      <w:r>
        <w:rPr>
          <w:rFonts w:ascii="Times New Roman" w:hAnsi="Times New Roman" w:cs="Times New Roman"/>
        </w:rPr>
        <w:t>Measurement practices</w:t>
      </w:r>
      <w:bookmarkEnd w:id="59"/>
    </w:p>
    <w:p w:rsidR="00E85A81" w:rsidRDefault="00E85A81">
      <w:pPr>
        <w:autoSpaceDE w:val="0"/>
        <w:autoSpaceDN w:val="0"/>
        <w:adjustRightInd w:val="0"/>
        <w:spacing w:after="0" w:line="360" w:lineRule="auto"/>
        <w:ind w:firstLine="709"/>
      </w:pPr>
      <w:r>
        <w:t xml:space="preserve">Schultz and Lopez (2001) examine the consistency in the judgments made by accountants in the United States, France and Germany given same economic facts and similar financial reporting standards. They hypothesized that (1) ‘American accountants will resolve warranty estimates lower dollar magnitudes than individual French and German accountants, (2) The warranty estimates of participants that were given a low to high order of monetary amounts will be greater for French than German accountants and greater for German than American accountants’ (Schultz and Lopez, 2001, p. 8-9). Based on the score of uncertainty avoidance of each country, they speculate that French accountants will behave more conservatively (i.e. more cautious in their warranty expense estimation and therefore provide higher number) than German accountants and German accountants will be more conservative than American accountants respectively. </w:t>
      </w:r>
    </w:p>
    <w:p w:rsidR="00E85A81" w:rsidRDefault="00E85A81">
      <w:pPr>
        <w:autoSpaceDE w:val="0"/>
        <w:autoSpaceDN w:val="0"/>
        <w:adjustRightInd w:val="0"/>
        <w:spacing w:after="0" w:line="360" w:lineRule="auto"/>
        <w:ind w:firstLine="709"/>
      </w:pPr>
      <w:r>
        <w:t xml:space="preserve">The samples are professional accountants of a large international accounting firm from each of the three countries. The respondents were presented with two cases of manufacturing companies and were asked to calculate the amount of warranty expense they would recognize. Each set of cases included three levels of probability (i.e. low, medium and high) and two monetary amounts (i.e. large and small) and each respondent should exercise judgment for each combination of probability level and monetary amount. In total, each respondent made six judgments for every case. </w:t>
      </w:r>
    </w:p>
    <w:p w:rsidR="00E85A81" w:rsidRDefault="00E85A81">
      <w:pPr>
        <w:autoSpaceDE w:val="0"/>
        <w:autoSpaceDN w:val="0"/>
        <w:adjustRightInd w:val="0"/>
        <w:spacing w:after="0" w:line="360" w:lineRule="auto"/>
        <w:ind w:firstLine="709"/>
      </w:pPr>
      <w:r>
        <w:t xml:space="preserve">The results provide support for both hypotheses that French and German accountants recognize higher amount of warranty estimates (i.e. more cautious or conservative) than the accountants in the United States. The outcomes suggest that accountants in high uncertainty avoidance countries are more sensitive to framing effects (i.e. the level of probability and monetary amount) than those in low uncertainty avoidance. They concluded that the cultural dimension of uncertainty avoidance influences the process of judgment-making of professional accountants even if same economic facts and uniform accounting standards are given. </w:t>
      </w:r>
    </w:p>
    <w:p w:rsidR="00E85A81" w:rsidRDefault="00E85A81">
      <w:pPr>
        <w:pStyle w:val="Heading3"/>
        <w:numPr>
          <w:ilvl w:val="2"/>
          <w:numId w:val="4"/>
          <w:numberingChange w:id="60" w:author="C.D. Knoops" w:date="2011-06-19T21:46:00Z" w:original="%1:4:0:.%2:2:0:.%3:3:0:."/>
        </w:numPr>
        <w:rPr>
          <w:rFonts w:ascii="Times New Roman" w:hAnsi="Times New Roman" w:cs="Times New Roman"/>
        </w:rPr>
      </w:pPr>
      <w:bookmarkStart w:id="61" w:name="_Toc296002216"/>
      <w:r>
        <w:rPr>
          <w:rFonts w:ascii="Times New Roman" w:hAnsi="Times New Roman" w:cs="Times New Roman"/>
        </w:rPr>
        <w:t>Disclosure practices</w:t>
      </w:r>
      <w:bookmarkEnd w:id="61"/>
    </w:p>
    <w:p w:rsidR="00E85A81" w:rsidRDefault="00E85A81">
      <w:pPr>
        <w:spacing w:after="0" w:line="360" w:lineRule="auto"/>
        <w:ind w:firstLine="709"/>
      </w:pPr>
      <w:r>
        <w:t xml:space="preserve">Gray and Vint (1995), Zarzeski (1996), Wingate (1997), Jaggi and Low (2000) and Hope (2003) are empirical studies that examine only the secrecy hypothesis of Gray (1988). All these studies use countries as unit of analysis. Gray and Vint (1995) regress mean disclosure scores of 27 countries as the dependent variable and Hofstede’s (1980) societal values indices as independent variables. The mean disclosure scores are obtained from a database of a project conducted by Gray </w:t>
      </w:r>
      <w:r>
        <w:rPr>
          <w:i/>
          <w:iCs/>
        </w:rPr>
        <w:t>et al</w:t>
      </w:r>
      <w:r>
        <w:t xml:space="preserve">. (1984). The results show that masculinity and individualism have a positive relation to the amount of information disclosed and power distance and uncertainty avoidance have negative relation to the amount of information disclosed. </w:t>
      </w:r>
    </w:p>
    <w:p w:rsidR="00E85A81" w:rsidRDefault="00E85A81">
      <w:pPr>
        <w:spacing w:after="0" w:line="360" w:lineRule="auto"/>
        <w:ind w:firstLine="709"/>
      </w:pPr>
      <w:r>
        <w:t>Zarzeski (1996) examines the influence of both culture and market forces which are measured by foreign sales, debt ratio and size of a company on disclosure practice. The results provide direction consistent with Gray’s hypothesis for uncertainty avoidance, masculinity and individualism. The results indicated that the relation between uncertainty avoidance and disclosure depends upon the internationality of the firm. Uncertainty avoidance has more influence on disclosure when the firm is less international dependent. He concludes that ‘local firms disclose more like their culture than do international firms’ (Zarzeski, 1996, p. 35)</w:t>
      </w:r>
    </w:p>
    <w:p w:rsidR="00E85A81" w:rsidRDefault="00E85A81">
      <w:pPr>
        <w:spacing w:after="0" w:line="360" w:lineRule="auto"/>
        <w:ind w:firstLine="709"/>
      </w:pPr>
      <w:r>
        <w:t>Wingate (1997) investigates whether culture has influence on the required amount of disclosure in 39 sample countries. Using CIFAR’s</w:t>
      </w:r>
      <w:r>
        <w:rPr>
          <w:rStyle w:val="FootnoteReference"/>
        </w:rPr>
        <w:footnoteReference w:id="7"/>
      </w:r>
      <w:r>
        <w:t xml:space="preserve"> 1991disclosure index as the dependent variable and Hofstede’s cultural indices, she found that uncertainty avoidance and individualism are significantly related to the disclosure index. </w:t>
      </w:r>
    </w:p>
    <w:p w:rsidR="00E85A81" w:rsidRDefault="00E85A81">
      <w:pPr>
        <w:spacing w:after="0" w:line="360" w:lineRule="auto"/>
        <w:ind w:firstLine="709"/>
      </w:pPr>
      <w:r>
        <w:t>Jaggi and Low (2000) construct an international financial disclosure model which involved culture, legal systems and accounting disclosures and test it by using CIFAR’s 1993 disclosure index as dependent variable. Independent variables comprise Hofstede’s indices, legal system and market force variables (i.e. firm size, debt ratio and market share). Their sample consists of three common law countries and three code law countries. Four societal values have a significant relation to disclosure in code law countries but only individualism is in the expected direction. For common law countries, none of the societal values has significant influence on disclosure. In conformity to their expectation, cultural values have more influence than market forces on disclosure in code law countries, while in common law countries market forces dominate culture in influencing disclosure. Jaggi and Low (2000) criticize Gray’s secrecy hypothesis as invalid and Hofstede’s indices as outdated.</w:t>
      </w:r>
    </w:p>
    <w:p w:rsidR="00E85A81" w:rsidRDefault="00E85A81">
      <w:pPr>
        <w:spacing w:after="0" w:line="360" w:lineRule="auto"/>
        <w:ind w:firstLine="709"/>
      </w:pPr>
      <w:r>
        <w:t>Hope (2000) continued the Jaggi and Low (2000) study using CIFAR’s disclosure indices from 1993 until 1995 as the dependent variable. Using a larger sample from 39 countries, he found a significant relation of societal values individualism and masculinity to disclosure, but the direction masculinity is opposite to expectation. When he separated his analysis into common law and code law countries, he got mixed results contrary to Jaggi and Low (2000). Nonetheless, he concludes that culture still has explanatory power on disclosure levels.</w:t>
      </w:r>
    </w:p>
    <w:p w:rsidR="00E85A81" w:rsidRDefault="00E85A81">
      <w:pPr>
        <w:pStyle w:val="Heading3"/>
        <w:numPr>
          <w:ilvl w:val="2"/>
          <w:numId w:val="4"/>
          <w:numberingChange w:id="62" w:author="C.D. Knoops" w:date="2011-06-19T21:46:00Z" w:original="%1:4:0:.%2:2:0:.%3:4:0:."/>
        </w:numPr>
        <w:spacing w:after="0" w:line="360" w:lineRule="auto"/>
        <w:rPr>
          <w:rFonts w:ascii="Times New Roman" w:hAnsi="Times New Roman" w:cs="Times New Roman"/>
        </w:rPr>
      </w:pPr>
      <w:bookmarkStart w:id="63" w:name="_Toc296002217"/>
      <w:r>
        <w:rPr>
          <w:rFonts w:ascii="Times New Roman" w:hAnsi="Times New Roman" w:cs="Times New Roman"/>
        </w:rPr>
        <w:t>Other Findings</w:t>
      </w:r>
      <w:bookmarkEnd w:id="63"/>
    </w:p>
    <w:p w:rsidR="00E85A81" w:rsidRDefault="00E85A81">
      <w:pPr>
        <w:spacing w:after="0" w:line="360" w:lineRule="auto"/>
        <w:ind w:firstLine="709"/>
        <w:rPr>
          <w:rFonts w:ascii="Times New Roman" w:hAnsi="Times New Roman" w:cs="Times New Roman"/>
        </w:rPr>
      </w:pPr>
      <w:r>
        <w:t xml:space="preserve">Eddie (1990) tests all four hypotheses of the Hofstede-Gray framework for thirteen countries of the Asia-Pacific region. He used Hofstede’s index score (1980) for societal values dimension and constructed a subjective index for Gray’s values based on information available in 1991. His empirical study confirmed all predicted signs of association between societal values and accounting values. Nevertheless, the results should be viewed with caution because his method of measurement was not rigorous, the index were subjectively determined, and he used two different sets of data based on information from twenty years apart (Chanchani and Macgregor, 1998; Finch, 2007). </w:t>
      </w:r>
    </w:p>
    <w:p w:rsidR="00E85A81" w:rsidRDefault="00E85A81">
      <w:pPr>
        <w:spacing w:after="0" w:line="360" w:lineRule="auto"/>
        <w:ind w:firstLine="709"/>
      </w:pPr>
      <w:r>
        <w:t>Salter and Niswander (1995) operationalized Gray’s hypotheses using collected data from 29 countries. A variety of cultures in terms of language, geographical location, colonial antecedents, and economic development were included in their samples. They found significant support only for six out of thirteen of Gray’s predicted relationships between societal values dimensions and accounting values. The correlation between the uncertainty avoidance dimension and uniformity is the only significant relationship that is in contrast to Gray’s proposition.</w:t>
      </w:r>
    </w:p>
    <w:p w:rsidR="00E85A81" w:rsidRDefault="00E85A81">
      <w:pPr>
        <w:pStyle w:val="Heading2"/>
        <w:numPr>
          <w:ilvl w:val="1"/>
          <w:numId w:val="4"/>
          <w:numberingChange w:id="64" w:author="C.D. Knoops" w:date="2011-06-19T21:46:00Z" w:original="%1:4:0:.%2:3:0:."/>
        </w:numPr>
        <w:rPr>
          <w:rFonts w:ascii="Times New Roman" w:hAnsi="Times New Roman" w:cs="Times New Roman"/>
        </w:rPr>
      </w:pPr>
      <w:bookmarkStart w:id="65" w:name="_Toc296002218"/>
      <w:r>
        <w:rPr>
          <w:rFonts w:ascii="Times New Roman" w:hAnsi="Times New Roman" w:cs="Times New Roman"/>
        </w:rPr>
        <w:t>IAS / IFRS in research design</w:t>
      </w:r>
      <w:bookmarkEnd w:id="65"/>
    </w:p>
    <w:p w:rsidR="00E85A81" w:rsidRDefault="00E85A81">
      <w:pPr>
        <w:pStyle w:val="Heading3"/>
        <w:numPr>
          <w:ilvl w:val="2"/>
          <w:numId w:val="4"/>
          <w:numberingChange w:id="66" w:author="C.D. Knoops" w:date="2011-06-19T21:46:00Z" w:original="%1:4:0:.%2:3:0:.%3:1:0:."/>
        </w:numPr>
        <w:spacing w:line="360" w:lineRule="auto"/>
        <w:rPr>
          <w:rFonts w:ascii="Times New Roman" w:hAnsi="Times New Roman" w:cs="Times New Roman"/>
        </w:rPr>
      </w:pPr>
      <w:bookmarkStart w:id="67" w:name="_Toc296002219"/>
      <w:r>
        <w:rPr>
          <w:rFonts w:ascii="Times New Roman" w:hAnsi="Times New Roman" w:cs="Times New Roman"/>
        </w:rPr>
        <w:t>Authority and enforcement</w:t>
      </w:r>
      <w:bookmarkEnd w:id="67"/>
    </w:p>
    <w:p w:rsidR="00E85A81" w:rsidRDefault="00E85A81">
      <w:pPr>
        <w:tabs>
          <w:tab w:val="left" w:pos="360"/>
        </w:tabs>
        <w:autoSpaceDE w:val="0"/>
        <w:autoSpaceDN w:val="0"/>
        <w:adjustRightInd w:val="0"/>
        <w:spacing w:after="0" w:line="360" w:lineRule="auto"/>
        <w:ind w:firstLine="709"/>
        <w:rPr>
          <w:color w:val="000000"/>
        </w:rPr>
      </w:pPr>
      <w:r>
        <w:rPr>
          <w:color w:val="000000"/>
        </w:rPr>
        <w:t>No empirical study has used the Hofstede-Gray framework to examine cultural influence on the implementation of IFRS in terms of authority and enforcement by incorporating IAS or IFRS in its research instrument. In terms of IFRS enforcement, not every company that claims compliance to IAS standards (predecessor of IFRS) in financial reporting is actually in full compliance with IAS (Street and Bryant, 2000; Asbaugh and Pincus, 2001; Chatham, 2008). The IASB had made some effort to reduce this possibility in IAS 1 by compelling companies to disclose any material departure from IAS and not to claim that they are in compliance with IAS unless it is full compliance. Some researchers argued that the level of enforcement of accounting standards is as necessary as the standards themselves (e.g. Hope, 2003).</w:t>
      </w:r>
    </w:p>
    <w:p w:rsidR="00E85A81" w:rsidRDefault="00E85A81">
      <w:pPr>
        <w:autoSpaceDE w:val="0"/>
        <w:autoSpaceDN w:val="0"/>
        <w:adjustRightInd w:val="0"/>
        <w:spacing w:before="120" w:after="120" w:line="360" w:lineRule="auto"/>
        <w:ind w:firstLine="709"/>
        <w:rPr>
          <w:color w:val="000000"/>
        </w:rPr>
      </w:pPr>
      <w:r>
        <w:rPr>
          <w:color w:val="000000"/>
        </w:rPr>
        <w:t xml:space="preserve">Some empirical studies suggest that weak enforcement in the IFRS implementation have caused lower degree of compatibility and comparability and thus lower quality of financial reports (Byard </w:t>
      </w:r>
      <w:r>
        <w:rPr>
          <w:i/>
          <w:iCs/>
          <w:color w:val="000000"/>
        </w:rPr>
        <w:t>et al</w:t>
      </w:r>
      <w:r>
        <w:rPr>
          <w:color w:val="000000"/>
        </w:rPr>
        <w:t xml:space="preserve">., 2009; Armstrong </w:t>
      </w:r>
      <w:r>
        <w:rPr>
          <w:i/>
          <w:iCs/>
          <w:color w:val="000000"/>
        </w:rPr>
        <w:t>et al</w:t>
      </w:r>
      <w:r>
        <w:rPr>
          <w:color w:val="000000"/>
        </w:rPr>
        <w:t xml:space="preserve">., 2010). Byard </w:t>
      </w:r>
      <w:r>
        <w:rPr>
          <w:i/>
          <w:iCs/>
          <w:color w:val="000000"/>
        </w:rPr>
        <w:t>et al</w:t>
      </w:r>
      <w:r>
        <w:rPr>
          <w:color w:val="000000"/>
        </w:rPr>
        <w:t>. (2009) examine the impact of the mandatory adoption of IFRS in the European Union on analysts’ information environment</w:t>
      </w:r>
      <w:r>
        <w:rPr>
          <w:rStyle w:val="FootnoteReference"/>
          <w:color w:val="000000"/>
        </w:rPr>
        <w:footnoteReference w:id="8"/>
      </w:r>
      <w:r>
        <w:rPr>
          <w:color w:val="000000"/>
        </w:rPr>
        <w:t xml:space="preserve">. Their results demonstrate that mandatory adoption of IFRS enhances analysts’ information environment only when the implementation is substantial and rigorously enforced. </w:t>
      </w:r>
      <w:r>
        <w:rPr>
          <w:color w:val="000000"/>
          <w:lang w:val="nl-NL"/>
        </w:rPr>
        <w:t xml:space="preserve">Armstrong </w:t>
      </w:r>
      <w:r>
        <w:rPr>
          <w:i/>
          <w:iCs/>
          <w:color w:val="000000"/>
          <w:lang w:val="nl-NL"/>
        </w:rPr>
        <w:t>et al.</w:t>
      </w:r>
      <w:r>
        <w:rPr>
          <w:color w:val="000000"/>
          <w:lang w:val="nl-NL"/>
        </w:rPr>
        <w:t xml:space="preserve"> </w:t>
      </w:r>
      <w:r>
        <w:rPr>
          <w:color w:val="000000"/>
        </w:rPr>
        <w:t xml:space="preserve">(2010) investigate the European equity market reaction to sixteen events associated with the adoption of IFRS in Europe. Their findings demonstrate a substantial negative reaction for firms located in code law countries which are consistent with investors’ concern over weaker IFRS enforcement in those countries. </w:t>
      </w:r>
    </w:p>
    <w:p w:rsidR="00E85A81" w:rsidRDefault="00E85A81">
      <w:pPr>
        <w:autoSpaceDE w:val="0"/>
        <w:autoSpaceDN w:val="0"/>
        <w:adjustRightInd w:val="0"/>
        <w:spacing w:after="0" w:line="360" w:lineRule="auto"/>
        <w:ind w:firstLine="709"/>
        <w:rPr>
          <w:color w:val="000000"/>
        </w:rPr>
      </w:pPr>
      <w:r>
        <w:rPr>
          <w:color w:val="000000"/>
        </w:rPr>
        <w:t xml:space="preserve">Nevertheless, given that these empirical literatures are useful in revealing and identifying the importance of rigorous enforcement of IFRS standards, it is still not clear whether accounting values are the drivers behind these international differences. This area still needs further investigation. </w:t>
      </w:r>
    </w:p>
    <w:p w:rsidR="00E85A81" w:rsidRDefault="00E85A81">
      <w:pPr>
        <w:pStyle w:val="Heading3"/>
        <w:numPr>
          <w:ilvl w:val="2"/>
          <w:numId w:val="4"/>
          <w:numberingChange w:id="68" w:author="C.D. Knoops" w:date="2011-06-19T21:46:00Z" w:original="%1:4:0:.%2:3:0:.%3:2:0:."/>
        </w:numPr>
        <w:spacing w:line="360" w:lineRule="auto"/>
        <w:rPr>
          <w:rFonts w:ascii="Times New Roman" w:hAnsi="Times New Roman" w:cs="Times New Roman"/>
        </w:rPr>
      </w:pPr>
      <w:bookmarkStart w:id="69" w:name="_Toc296002220"/>
      <w:r>
        <w:rPr>
          <w:rFonts w:ascii="Times New Roman" w:hAnsi="Times New Roman" w:cs="Times New Roman"/>
        </w:rPr>
        <w:t>Measurement practices</w:t>
      </w:r>
      <w:bookmarkEnd w:id="69"/>
    </w:p>
    <w:p w:rsidR="00E85A81" w:rsidRDefault="00E85A81">
      <w:pPr>
        <w:autoSpaceDE w:val="0"/>
        <w:autoSpaceDN w:val="0"/>
        <w:adjustRightInd w:val="0"/>
        <w:spacing w:line="360" w:lineRule="auto"/>
        <w:ind w:firstLine="709"/>
        <w:rPr>
          <w:color w:val="000000"/>
        </w:rPr>
      </w:pPr>
      <w:r>
        <w:rPr>
          <w:color w:val="000000"/>
        </w:rPr>
        <w:t xml:space="preserve">An Empirical study from Doupnik and Richter (2004) investigated the effect of national culture on the interpretation of “in context” verbal probability expressions. The hypotheses were tested by using a survey of accountants in Germany and the United States. They made three hypotheses as follows: (1) German accountants will assign a </w:t>
      </w:r>
      <w:r>
        <w:rPr>
          <w:i/>
          <w:iCs/>
          <w:color w:val="000000"/>
        </w:rPr>
        <w:t>higher</w:t>
      </w:r>
      <w:r>
        <w:rPr>
          <w:color w:val="000000"/>
        </w:rPr>
        <w:t xml:space="preserve"> numerical probability than U.S. accountants to </w:t>
      </w:r>
      <w:r>
        <w:rPr>
          <w:i/>
          <w:iCs/>
          <w:color w:val="000000"/>
        </w:rPr>
        <w:t>positively</w:t>
      </w:r>
      <w:r>
        <w:rPr>
          <w:color w:val="000000"/>
        </w:rPr>
        <w:t xml:space="preserve"> framed verbal probability expressions associated with assets recognition and increases in net income, (2) German accountants will assign a </w:t>
      </w:r>
      <w:r>
        <w:rPr>
          <w:i/>
          <w:iCs/>
          <w:color w:val="000000"/>
        </w:rPr>
        <w:t>lower</w:t>
      </w:r>
      <w:r>
        <w:rPr>
          <w:color w:val="000000"/>
        </w:rPr>
        <w:t xml:space="preserve"> numerical probability than U.S. accountants to </w:t>
      </w:r>
      <w:r>
        <w:rPr>
          <w:i/>
          <w:iCs/>
          <w:color w:val="000000"/>
        </w:rPr>
        <w:t>positively</w:t>
      </w:r>
      <w:r>
        <w:rPr>
          <w:color w:val="000000"/>
        </w:rPr>
        <w:t xml:space="preserve"> framed verbal probability expressions associated with liabilities recognition and decreases in net income, (3) German accountants will assign a </w:t>
      </w:r>
      <w:r>
        <w:rPr>
          <w:i/>
          <w:iCs/>
          <w:color w:val="000000"/>
        </w:rPr>
        <w:t>higher</w:t>
      </w:r>
      <w:r>
        <w:rPr>
          <w:color w:val="000000"/>
        </w:rPr>
        <w:t xml:space="preserve"> numerical probability than U.S. accountants to </w:t>
      </w:r>
      <w:r>
        <w:rPr>
          <w:i/>
          <w:iCs/>
          <w:color w:val="000000"/>
        </w:rPr>
        <w:t>negatively</w:t>
      </w:r>
      <w:r>
        <w:rPr>
          <w:color w:val="000000"/>
        </w:rPr>
        <w:t xml:space="preserve"> framed verbal probability expressions associated with assets recognition and increases in net income. </w:t>
      </w:r>
    </w:p>
    <w:p w:rsidR="00E85A81" w:rsidRDefault="00E85A81">
      <w:pPr>
        <w:autoSpaceDE w:val="0"/>
        <w:autoSpaceDN w:val="0"/>
        <w:adjustRightInd w:val="0"/>
        <w:spacing w:line="360" w:lineRule="auto"/>
        <w:ind w:firstLine="709"/>
        <w:rPr>
          <w:color w:val="000000"/>
        </w:rPr>
      </w:pPr>
      <w:r>
        <w:rPr>
          <w:color w:val="000000"/>
        </w:rPr>
        <w:t>To test the hypotheses, Doupnik and Richter (2004) selected 14 excerpts from IAS containing 16 verbal probability expressions and included the excerpts in a research instrument. Professional accountants in the U.S. and Germany were asked to assign a numerical probability from 0% to 100% to each verbal probability expression. Eleven of the expressions are positively framed (e.g. likely, sufficient certainty) and five of the expressions are negatively framed (e.g. insufficient certainty). The results provide support for the first and second hypotheses but not for the third hypothesis. The results were mixed in terms of negatively framed expressions. These outcomes show that culture affects the interpretation of positively framed verbal probability expressions</w:t>
      </w:r>
      <w:r>
        <w:rPr>
          <w:rStyle w:val="FootnoteReference"/>
          <w:color w:val="000000"/>
        </w:rPr>
        <w:footnoteReference w:id="9"/>
      </w:r>
      <w:r>
        <w:rPr>
          <w:color w:val="000000"/>
        </w:rPr>
        <w:t xml:space="preserve">. This study provides evidence that through accounting value of conservatism, culture affects the interpretation of probability expressions in IAS by U.S. and German accountants. The outcomes are consistent with Gray’s conservatism hypothesis (1988) which posits Germanic (Germany) as conservative countries and Anglo (United States) as optimist countries (see figure 2 in the appendix). </w:t>
      </w:r>
    </w:p>
    <w:p w:rsidR="00E85A81" w:rsidRDefault="00E85A81">
      <w:pPr>
        <w:autoSpaceDE w:val="0"/>
        <w:autoSpaceDN w:val="0"/>
        <w:adjustRightInd w:val="0"/>
        <w:spacing w:line="360" w:lineRule="auto"/>
        <w:ind w:firstLine="709"/>
        <w:rPr>
          <w:color w:val="000000"/>
        </w:rPr>
      </w:pPr>
      <w:r>
        <w:rPr>
          <w:color w:val="000000"/>
        </w:rPr>
        <w:t xml:space="preserve">An empirical study from Doupnik and Ricio (2006) examine whether differences in culture cause accountants in different countries to interpret and apply the same accounting standards differently. To do that, they use the same approach as Doupnik and Richter (2004).  Doupnik and Ricio (2006) asked a sample of accountants in the U.S. and Brazil to interpret verbal probability expressions used in IFRS as thresholds for both recognition and disclosure decisions. In Gray’s (1988) cultural areas, Brazil is categorized in the more developed Latin area that scores high on conservatism (see figure 2 in the appendix). They hypothesized that (1) Brazilian accountants will assign a </w:t>
      </w:r>
      <w:r>
        <w:rPr>
          <w:i/>
          <w:iCs/>
          <w:color w:val="000000"/>
        </w:rPr>
        <w:t>higher</w:t>
      </w:r>
      <w:r>
        <w:rPr>
          <w:color w:val="000000"/>
        </w:rPr>
        <w:t xml:space="preserve"> numerical probability to verbal probability expressions that determine the recognition of items that </w:t>
      </w:r>
      <w:r>
        <w:rPr>
          <w:i/>
          <w:iCs/>
          <w:color w:val="000000"/>
        </w:rPr>
        <w:t>increase</w:t>
      </w:r>
      <w:r>
        <w:rPr>
          <w:color w:val="000000"/>
        </w:rPr>
        <w:t xml:space="preserve"> net income than American accountants and (2) Brazilian accountants will assign a </w:t>
      </w:r>
      <w:r>
        <w:rPr>
          <w:i/>
          <w:iCs/>
          <w:color w:val="000000"/>
        </w:rPr>
        <w:t xml:space="preserve">lower </w:t>
      </w:r>
      <w:r>
        <w:rPr>
          <w:color w:val="000000"/>
        </w:rPr>
        <w:t xml:space="preserve">numerical probability to verbal probability expressions that determine the recognition of items that decrease income than American accountants. </w:t>
      </w:r>
    </w:p>
    <w:p w:rsidR="00E85A81" w:rsidRDefault="00E85A81">
      <w:pPr>
        <w:autoSpaceDE w:val="0"/>
        <w:autoSpaceDN w:val="0"/>
        <w:adjustRightInd w:val="0"/>
        <w:spacing w:line="360" w:lineRule="auto"/>
        <w:ind w:firstLine="709"/>
        <w:rPr>
          <w:color w:val="000000"/>
        </w:rPr>
      </w:pPr>
      <w:r>
        <w:rPr>
          <w:color w:val="000000"/>
        </w:rPr>
        <w:t xml:space="preserve">Hofstede’s VSM was included in the research instrument to ensure that the U.S. and Brazilian accountants’ samples differed on Hofstede’s cultural values and in the direction expected. To test the hypothesis, Doupnik and Ricio (2006) selected 11 excerpts from IFRS containing five different verbal probability expressions. From the eleven excerpts being used, 6 excerpts are used to test the first hypothesis (H1) and 3 excerpts to test the second hypothesis (H2). The other two excerpts were used to test hypothesis related to another topic i.e. disclosure (secrecy). The respondents were asked to assign a numerical probability expression from 0% to 100% to each verbal probability expression. Doupnik and Ricio (2006) did not make any distinction in framing verbal probability expression in such a way as Doupnik and Richter (2004) did. </w:t>
      </w:r>
    </w:p>
    <w:p w:rsidR="00E85A81" w:rsidRDefault="00E85A81">
      <w:pPr>
        <w:autoSpaceDE w:val="0"/>
        <w:autoSpaceDN w:val="0"/>
        <w:adjustRightInd w:val="0"/>
        <w:spacing w:line="360" w:lineRule="auto"/>
        <w:ind w:firstLine="709"/>
        <w:rPr>
          <w:color w:val="000000"/>
        </w:rPr>
      </w:pPr>
      <w:r>
        <w:rPr>
          <w:color w:val="000000"/>
        </w:rPr>
        <w:t xml:space="preserve">The differences in VSM cultural values scores from both samples provide direction which is consistent with Hofstede’s scores except for masculinity. Their sample of Brazilian accountants has higher scores on power distance and uncertainty avoidance and a lower score on individualism than the sample of U.S. accountants. Nevertheless, </w:t>
      </w:r>
      <w:r>
        <w:t>due to Gray’s judgments in his proposition that masculinity has only a weak relation with the accounting values of conservatism, they concluded that the cultural value scores obtained from the respondents</w:t>
      </w:r>
      <w:r>
        <w:rPr>
          <w:color w:val="000000"/>
        </w:rPr>
        <w:t xml:space="preserve"> are consistent with their assumptions that Brazil is more conservative than the United States. </w:t>
      </w:r>
    </w:p>
    <w:p w:rsidR="00E85A81" w:rsidRDefault="00E85A81">
      <w:pPr>
        <w:autoSpaceDE w:val="0"/>
        <w:autoSpaceDN w:val="0"/>
        <w:adjustRightInd w:val="0"/>
        <w:spacing w:line="360" w:lineRule="auto"/>
        <w:ind w:firstLine="709"/>
        <w:rPr>
          <w:color w:val="000000"/>
        </w:rPr>
      </w:pPr>
      <w:r>
        <w:rPr>
          <w:color w:val="000000"/>
        </w:rPr>
        <w:t xml:space="preserve">The outcomes provide significant evidence with regard to H1 but not for H2. The differences in the mean probabilities assigned by the two groups are in the predicted direction for four of the six excerpts being used to test H1 and indicate significant differences between Brazilian and the U.S. accountants’ response to the recognition of items that increase net income. Adversely, all probability expressions related to H2 are not statistically significant and in the opposite direction of what was predicted. </w:t>
      </w:r>
    </w:p>
    <w:p w:rsidR="00E85A81" w:rsidRDefault="00E85A81">
      <w:pPr>
        <w:autoSpaceDE w:val="0"/>
        <w:autoSpaceDN w:val="0"/>
        <w:adjustRightInd w:val="0"/>
        <w:spacing w:line="360" w:lineRule="auto"/>
        <w:ind w:firstLine="709"/>
        <w:rPr>
          <w:color w:val="000000"/>
        </w:rPr>
      </w:pPr>
      <w:r>
        <w:rPr>
          <w:color w:val="000000"/>
        </w:rPr>
        <w:t xml:space="preserve">Tsakumis (2007) examines the influence of national culture on accountant’s application of accounting rules using profession accountants from Greece and the U.S. To test the influence of accounting value conservatism, he hypothesized that ‘Greek accountants are more likely to recognize contingent liabilities and less likely to recognize contingent assets than U.S. accountants’ (Tsakumis, 2007, p.33). In Gray’s cultural areas (1988) Anglo countries (the U.S.) score high on optimism and Near Eastern countries (Greece) rank high on conservatism (see figure 2 in the appendix). </w:t>
      </w:r>
    </w:p>
    <w:p w:rsidR="00E85A81" w:rsidRDefault="00E85A81">
      <w:pPr>
        <w:autoSpaceDE w:val="0"/>
        <w:autoSpaceDN w:val="0"/>
        <w:adjustRightInd w:val="0"/>
        <w:spacing w:line="360" w:lineRule="auto"/>
        <w:ind w:firstLine="709"/>
        <w:rPr>
          <w:color w:val="000000"/>
        </w:rPr>
      </w:pPr>
      <w:r>
        <w:rPr>
          <w:color w:val="000000"/>
        </w:rPr>
        <w:t xml:space="preserve">The independent variables of this hypothesis consist of national culture (Greek versus U.S.) and the nature of contingency (assets versus liability) while dependent variables consist of participants’ recognition (conservatism) and disclosure decisions (secrecy). Each participant received questionnaires in which two litigation cases were presented and guidelines of an accounting standard that they were asked to apply in making financial judgments. Each litigation scenario comprises of one recognition scenario to test the conservatism hypothesis and one disclosure scenario to test another hypothesis related to secrecy. Conservatism was </w:t>
      </w:r>
      <w:r>
        <w:rPr>
          <w:color w:val="000000"/>
          <w:lang w:val="en-GB"/>
        </w:rPr>
        <w:t>apprehended</w:t>
      </w:r>
      <w:r>
        <w:rPr>
          <w:color w:val="000000"/>
        </w:rPr>
        <w:t xml:space="preserve"> as a decision to recognize or not recognize a contingent asset or liability (and respective gain or loss) and measured on a 10-point scale. The accounting standard in the questionnaire was formulated after IAS 37 provisions, contingent liabilities and contingent assets, which addresses both measurement and disclosure of accounting information. Hofstede’s VSM was included in the questionnaire in order to calculate scores for each subject group’s societal values dimensions. The research instrument attempted to control for factors other than culture such as current accounting practice, taxation and litigation risk.</w:t>
      </w:r>
    </w:p>
    <w:p w:rsidR="00E85A81" w:rsidRDefault="00E85A81">
      <w:pPr>
        <w:autoSpaceDE w:val="0"/>
        <w:autoSpaceDN w:val="0"/>
        <w:adjustRightInd w:val="0"/>
        <w:spacing w:line="360" w:lineRule="auto"/>
        <w:ind w:firstLine="709"/>
        <w:rPr>
          <w:color w:val="000000"/>
        </w:rPr>
      </w:pPr>
      <w:r>
        <w:rPr>
          <w:color w:val="000000"/>
        </w:rPr>
        <w:t xml:space="preserve">Related to the conservatism hypothesis, the results are insignificant for both independent variables indicating no support for the hypothesis. In contrast to expectation, the direction in mean differences indicates that Greek accountants are less conservative than U.S. accountants although not in a statistically significant level. Tsakumis (2007) further analyzed about this phenomenon by including additional test in his research instrument. The respondents were asked to indicate their agreement with six statements associated with conservatism. Three significant differences in the mean responses were found. The results indicate that U.S. accountants agreed mostly with statements related to recognizing expenses, losses and liabilities earlier and at higher amounts than Greek accountants. This additional test provides further confirmation of U.S. participants’ conservatism. </w:t>
      </w:r>
    </w:p>
    <w:p w:rsidR="00E85A81" w:rsidRDefault="00E85A81">
      <w:pPr>
        <w:pStyle w:val="Heading3"/>
        <w:numPr>
          <w:ilvl w:val="2"/>
          <w:numId w:val="4"/>
          <w:numberingChange w:id="70" w:author="C.D. Knoops" w:date="2011-06-19T21:46:00Z" w:original="%1:4:0:.%2:3:0:.%3:3:0:."/>
        </w:numPr>
        <w:spacing w:line="360" w:lineRule="auto"/>
        <w:rPr>
          <w:rFonts w:ascii="Times New Roman" w:hAnsi="Times New Roman" w:cs="Times New Roman"/>
        </w:rPr>
      </w:pPr>
      <w:bookmarkStart w:id="71" w:name="_Toc296002221"/>
      <w:r>
        <w:rPr>
          <w:rFonts w:ascii="Times New Roman" w:hAnsi="Times New Roman" w:cs="Times New Roman"/>
        </w:rPr>
        <w:t>Disclosure practices</w:t>
      </w:r>
      <w:bookmarkEnd w:id="71"/>
    </w:p>
    <w:p w:rsidR="00E85A81" w:rsidRDefault="00E85A81">
      <w:pPr>
        <w:autoSpaceDE w:val="0"/>
        <w:autoSpaceDN w:val="0"/>
        <w:adjustRightInd w:val="0"/>
        <w:spacing w:line="360" w:lineRule="auto"/>
        <w:ind w:firstLine="709"/>
        <w:rPr>
          <w:color w:val="000000"/>
        </w:rPr>
      </w:pPr>
      <w:r>
        <w:rPr>
          <w:color w:val="000000"/>
        </w:rPr>
        <w:t xml:space="preserve">Doupnik and Ricio (2006) test hypothesis related to the level of secrecy of U.S. and Brazilian accountants. To test their hypothesis, they use verbal probability expressions in IAS 37 (i.e. remote and probable) regarding contingent liabilities and contingent assets. The professional accountants both from the U.S. and Brazil were asked to assign a numerical probability on a scale 0% - 100% to each probability expression. They hypothesized that Brazilian accountants will assign a </w:t>
      </w:r>
      <w:r>
        <w:rPr>
          <w:i/>
          <w:iCs/>
          <w:color w:val="000000"/>
        </w:rPr>
        <w:t xml:space="preserve">higher </w:t>
      </w:r>
      <w:r>
        <w:rPr>
          <w:color w:val="000000"/>
        </w:rPr>
        <w:t xml:space="preserve">numerical probability to verbal probability expressions that determine the disclosure of an item than American accountants. </w:t>
      </w:r>
    </w:p>
    <w:p w:rsidR="00E85A81" w:rsidRDefault="00E85A81">
      <w:pPr>
        <w:autoSpaceDE w:val="0"/>
        <w:autoSpaceDN w:val="0"/>
        <w:adjustRightInd w:val="0"/>
        <w:spacing w:line="360" w:lineRule="auto"/>
        <w:ind w:firstLine="709"/>
        <w:rPr>
          <w:rFonts w:ascii="Times New Roman" w:hAnsi="Times New Roman" w:cs="Times New Roman"/>
          <w:color w:val="000000"/>
        </w:rPr>
      </w:pPr>
      <w:r>
        <w:rPr>
          <w:color w:val="000000"/>
        </w:rPr>
        <w:t>The results are consistent with the hypothesis. The mean difference assigned to the term “remote” related to contingent liability is highly significant and to the term “probable” related to contingent asset is significant. These outcomes indicate significant differences between Brazilian and U.S. accountants across two expressions related to the hypothesis of secrecy. Consistent with Gray’s (1988) proposition</w:t>
      </w:r>
      <w:r>
        <w:rPr>
          <w:rFonts w:ascii="Times New Roman" w:hAnsi="Times New Roman" w:cs="Times New Roman"/>
          <w:color w:val="000000"/>
        </w:rPr>
        <w:t>,</w:t>
      </w:r>
      <w:r>
        <w:rPr>
          <w:color w:val="000000"/>
        </w:rPr>
        <w:t xml:space="preserve"> Brazilian accountants score higher than American accountants in the level of secrecy and are less likely to provide disclosures.</w:t>
      </w:r>
    </w:p>
    <w:p w:rsidR="00E85A81" w:rsidRDefault="00E85A81">
      <w:pPr>
        <w:autoSpaceDE w:val="0"/>
        <w:autoSpaceDN w:val="0"/>
        <w:adjustRightInd w:val="0"/>
        <w:spacing w:line="360" w:lineRule="auto"/>
        <w:ind w:firstLine="709"/>
        <w:rPr>
          <w:color w:val="000000"/>
        </w:rPr>
      </w:pPr>
      <w:r>
        <w:rPr>
          <w:color w:val="000000"/>
        </w:rPr>
        <w:t>The second study comes from Tsakumis (2007) which examines whether Greek accountants are more likely to exhibit secrecy compared to U.S. accountants. Greece ranks high in secrecy (Gray, 1988) means that Greek accountants are less likely to disclose the existence of both liabilities and assets in order to keep inside parties’ confidentiality.  Tsakumis (2007) hypothesized that ‘Greek accountants are less likely to disclose the existence of contingent liabilities and contingent assets than U.S. accountants’ (Tsakumis, 2007, p. 33). Using the same participants and scenarios, as what has been mentioned in the previous sub-section, the results demonstrate that both independent variables i.e. ‘culture’ and ‘nature of contingency’ have significant effects on participants’ disclosure decisions as the dependent variable. The outcomes indicate that ‘culture’ main effect is significant, providing strong support for the hypothesis. The significant mean differences from a within-groups t-test reveal that Greek accountants are less likely to disclose both contingent assets and contingent liabilities. These results confirmed the hypothesis with regard to cultural influence on accounting disclosure practices.</w:t>
      </w:r>
    </w:p>
    <w:p w:rsidR="00E85A81" w:rsidRDefault="00E85A81">
      <w:pPr>
        <w:pStyle w:val="Heading3"/>
        <w:numPr>
          <w:ilvl w:val="2"/>
          <w:numId w:val="4"/>
          <w:numberingChange w:id="72" w:author="C.D. Knoops" w:date="2011-06-19T21:46:00Z" w:original="%1:4:0:.%2:3:0:.%3:4:0:."/>
        </w:numPr>
        <w:spacing w:line="360" w:lineRule="auto"/>
        <w:rPr>
          <w:rFonts w:ascii="Times New Roman" w:hAnsi="Times New Roman" w:cs="Times New Roman"/>
        </w:rPr>
      </w:pPr>
      <w:bookmarkStart w:id="73" w:name="_Toc296002222"/>
      <w:r>
        <w:rPr>
          <w:rFonts w:ascii="Times New Roman" w:hAnsi="Times New Roman" w:cs="Times New Roman"/>
        </w:rPr>
        <w:t>Other findings</w:t>
      </w:r>
      <w:bookmarkEnd w:id="73"/>
      <w:r>
        <w:rPr>
          <w:rFonts w:ascii="Times New Roman" w:hAnsi="Times New Roman" w:cs="Times New Roman"/>
          <w:color w:val="FF0000"/>
        </w:rPr>
        <w:t xml:space="preserve"> </w:t>
      </w:r>
    </w:p>
    <w:p w:rsidR="00E85A81" w:rsidRDefault="00E85A81">
      <w:pPr>
        <w:autoSpaceDE w:val="0"/>
        <w:autoSpaceDN w:val="0"/>
        <w:adjustRightInd w:val="0"/>
        <w:spacing w:line="360" w:lineRule="auto"/>
        <w:ind w:firstLine="709"/>
        <w:rPr>
          <w:rFonts w:ascii="Times New Roman" w:hAnsi="Times New Roman" w:cs="Times New Roman"/>
          <w:color w:val="000000"/>
        </w:rPr>
      </w:pPr>
      <w:r>
        <w:t xml:space="preserve"> Ding </w:t>
      </w:r>
      <w:r>
        <w:rPr>
          <w:i/>
          <w:iCs/>
        </w:rPr>
        <w:t>et al.</w:t>
      </w:r>
      <w:r>
        <w:t xml:space="preserve"> (2004) examine the role of culture in the way national accounting systems of 52 sample countries</w:t>
      </w:r>
      <w:r>
        <w:rPr>
          <w:rStyle w:val="FootnoteReference"/>
        </w:rPr>
        <w:footnoteReference w:id="10"/>
      </w:r>
      <w:r>
        <w:t xml:space="preserve"> may differ from IAS. They claim that the difference between national GAAP and</w:t>
      </w:r>
      <w:r>
        <w:rPr>
          <w:color w:val="000000"/>
        </w:rPr>
        <w:t xml:space="preserve"> IAS can be classified into: (1) divergence if national GAAP prescribes a different method than IAS and (2) absence if national GAAP does not cover an accounting issue regulated by IAS. Their study focuses on the cultural values of each country as the explanatory variables for the differences between each national GAAP and IAS. With regard to divergence, they hypothesized that a country with a higher level of individualism and uncertainty avoidance and a lower level of masculinity and power distance is likely to have accounting standards that diverge from IAS. In terms of absence, they hypothesized that a country with a higher level of masculinity and uncertainty avoidance and a higher level of individualism and power distance is likely to have accounting standards that are less extensive than IAS. </w:t>
      </w:r>
    </w:p>
    <w:p w:rsidR="00E85A81" w:rsidRDefault="00E85A81">
      <w:pPr>
        <w:autoSpaceDE w:val="0"/>
        <w:autoSpaceDN w:val="0"/>
        <w:adjustRightInd w:val="0"/>
        <w:spacing w:line="360" w:lineRule="auto"/>
        <w:ind w:firstLine="709"/>
        <w:rPr>
          <w:color w:val="000000"/>
        </w:rPr>
      </w:pPr>
      <w:r>
        <w:rPr>
          <w:color w:val="000000"/>
        </w:rPr>
        <w:t xml:space="preserve">The results show that societal values of individualism, power distance and uncertainty avoidance are significant in explaining divergence from IAS while the level of absence appears to be less related to cultural factors. </w:t>
      </w:r>
      <w:r>
        <w:rPr>
          <w:color w:val="000000"/>
          <w:lang w:val="nl-NL"/>
        </w:rPr>
        <w:t xml:space="preserve">Ding </w:t>
      </w:r>
      <w:r>
        <w:rPr>
          <w:i/>
          <w:iCs/>
          <w:color w:val="000000"/>
          <w:lang w:val="nl-NL"/>
        </w:rPr>
        <w:t>et al</w:t>
      </w:r>
      <w:r>
        <w:rPr>
          <w:rFonts w:ascii="Times New Roman" w:hAnsi="Times New Roman" w:cs="Times New Roman"/>
          <w:i/>
          <w:iCs/>
          <w:color w:val="000000"/>
          <w:lang w:val="nl-NL"/>
        </w:rPr>
        <w:t>.</w:t>
      </w:r>
      <w:r>
        <w:rPr>
          <w:color w:val="000000"/>
          <w:lang w:val="nl-NL"/>
        </w:rPr>
        <w:t xml:space="preserve"> </w:t>
      </w:r>
      <w:r>
        <w:rPr>
          <w:color w:val="000000"/>
        </w:rPr>
        <w:t>(2004) argued that the level of absence is more likely related to economic development and capital market issues</w:t>
      </w:r>
      <w:r>
        <w:rPr>
          <w:rStyle w:val="FootnoteReference"/>
          <w:color w:val="000000"/>
        </w:rPr>
        <w:footnoteReference w:id="11"/>
      </w:r>
      <w:r>
        <w:rPr>
          <w:color w:val="000000"/>
        </w:rPr>
        <w:t xml:space="preserve">. They concluded that discrepancy from IAS is ‘not exclusively driven by contractual motives or a claimed technical superiority but also by diversity in cultural factors’ (Ding </w:t>
      </w:r>
      <w:r>
        <w:rPr>
          <w:i/>
          <w:iCs/>
          <w:color w:val="000000"/>
        </w:rPr>
        <w:t>et al.,</w:t>
      </w:r>
      <w:r>
        <w:rPr>
          <w:color w:val="000000"/>
        </w:rPr>
        <w:t xml:space="preserve"> 2004, p</w:t>
      </w:r>
      <w:r>
        <w:rPr>
          <w:rFonts w:ascii="Times New Roman" w:hAnsi="Times New Roman" w:cs="Times New Roman"/>
          <w:color w:val="000000"/>
        </w:rPr>
        <w:t>.</w:t>
      </w:r>
      <w:r>
        <w:rPr>
          <w:color w:val="000000"/>
        </w:rPr>
        <w:t xml:space="preserve"> 2).</w:t>
      </w:r>
    </w:p>
    <w:p w:rsidR="00E85A81" w:rsidRDefault="00E85A81">
      <w:pPr>
        <w:autoSpaceDE w:val="0"/>
        <w:autoSpaceDN w:val="0"/>
        <w:adjustRightInd w:val="0"/>
        <w:spacing w:line="360" w:lineRule="auto"/>
        <w:rPr>
          <w:rFonts w:ascii="Times New Roman" w:hAnsi="Times New Roman" w:cs="Times New Roman"/>
          <w:color w:val="000000"/>
        </w:rPr>
      </w:pPr>
    </w:p>
    <w:p w:rsidR="00E85A81" w:rsidRDefault="00E85A81">
      <w:pPr>
        <w:pStyle w:val="Heading1"/>
        <w:numPr>
          <w:ilvl w:val="0"/>
          <w:numId w:val="4"/>
          <w:numberingChange w:id="74" w:author="C.D. Knoops" w:date="2011-06-19T21:46:00Z" w:original="%1:5:0:."/>
        </w:numPr>
        <w:spacing w:before="0"/>
        <w:rPr>
          <w:rFonts w:ascii="Times New Roman" w:hAnsi="Times New Roman" w:cs="Times New Roman"/>
        </w:rPr>
      </w:pPr>
      <w:r>
        <w:rPr>
          <w:rFonts w:ascii="Times New Roman" w:hAnsi="Times New Roman" w:cs="Times New Roman"/>
        </w:rPr>
        <w:br w:type="page"/>
      </w:r>
      <w:bookmarkStart w:id="75" w:name="_Toc296002223"/>
      <w:r>
        <w:rPr>
          <w:rFonts w:ascii="Times New Roman" w:hAnsi="Times New Roman" w:cs="Times New Roman"/>
        </w:rPr>
        <w:t>Analysis</w:t>
      </w:r>
      <w:bookmarkEnd w:id="75"/>
    </w:p>
    <w:p w:rsidR="00E85A81" w:rsidRDefault="00E85A81">
      <w:pPr>
        <w:pStyle w:val="Heading2"/>
        <w:numPr>
          <w:ilvl w:val="1"/>
          <w:numId w:val="4"/>
          <w:numberingChange w:id="76" w:author="C.D. Knoops" w:date="2011-06-19T21:46:00Z" w:original="%1:5:0:.%2:1:0:."/>
        </w:numPr>
        <w:spacing w:line="360" w:lineRule="auto"/>
        <w:rPr>
          <w:rFonts w:ascii="Times New Roman" w:hAnsi="Times New Roman" w:cs="Times New Roman"/>
        </w:rPr>
      </w:pPr>
      <w:bookmarkStart w:id="77" w:name="_Toc296002224"/>
      <w:r>
        <w:rPr>
          <w:rFonts w:ascii="Times New Roman" w:hAnsi="Times New Roman" w:cs="Times New Roman"/>
        </w:rPr>
        <w:t>Introduction</w:t>
      </w:r>
      <w:bookmarkEnd w:id="77"/>
    </w:p>
    <w:p w:rsidR="00E85A81" w:rsidRDefault="00E85A81">
      <w:pPr>
        <w:spacing w:line="360" w:lineRule="auto"/>
        <w:ind w:firstLine="709"/>
        <w:rPr>
          <w:rFonts w:ascii="Times New Roman" w:hAnsi="Times New Roman" w:cs="Times New Roman"/>
        </w:rPr>
      </w:pPr>
      <w:r>
        <w:t>In this section, the previous findings will be discussed and relates them to the three sub-questions in the first chapter. Herewith, cultural impacts are the focus while IFRS can be seen as an instrument included in the research design to examine if culture still plays a role in the accounting practices / systems.</w:t>
      </w:r>
    </w:p>
    <w:p w:rsidR="00E85A81" w:rsidRDefault="00E85A81">
      <w:pPr>
        <w:pStyle w:val="Heading2"/>
        <w:numPr>
          <w:ilvl w:val="1"/>
          <w:numId w:val="4"/>
          <w:numberingChange w:id="78" w:author="C.D. Knoops" w:date="2011-06-19T21:46:00Z" w:original="%1:5:0:.%2:2:0:."/>
        </w:numPr>
        <w:spacing w:line="360" w:lineRule="auto"/>
        <w:rPr>
          <w:rFonts w:ascii="Times New Roman" w:hAnsi="Times New Roman" w:cs="Times New Roman"/>
        </w:rPr>
      </w:pPr>
      <w:bookmarkStart w:id="79" w:name="_Toc296002225"/>
      <w:r>
        <w:rPr>
          <w:rFonts w:ascii="Times New Roman" w:hAnsi="Times New Roman" w:cs="Times New Roman"/>
        </w:rPr>
        <w:t>Analysis of findings</w:t>
      </w:r>
      <w:bookmarkEnd w:id="79"/>
    </w:p>
    <w:p w:rsidR="00E85A81" w:rsidRDefault="00E85A81">
      <w:pPr>
        <w:spacing w:after="0" w:line="360" w:lineRule="auto"/>
        <w:ind w:firstLine="709"/>
        <w:rPr>
          <w:rFonts w:ascii="Times New Roman" w:hAnsi="Times New Roman" w:cs="Times New Roman"/>
          <w:color w:val="000000"/>
        </w:rPr>
      </w:pPr>
      <w:r>
        <w:rPr>
          <w:color w:val="000000"/>
        </w:rPr>
        <w:t xml:space="preserve">In terms of authority and enforcement, no judgment can be made whether culture has an influence on the implementation of IFRS. Previous findings from Robert and Salter (1999) show that power distance and individualism dimensions influence the desirability of auditors to have a single mandatory treatment of accounting issues. It implies that, based on Gray’s (1988) proposition, enforcement of a set of uniform accounting standards has a higher chance to succeed in a society with large power distance and a higher level of individualism. Whether societal and accounting values influence the authority of professional assurance and the enforcement of IFRS standards on the implementation of IFRS is not clear yet. Due to the lack of empirical research related to accounting values of professionalism and uniformity by in the area of authority and enforcement of IFRS standards, cultural influences on authority and enforcement of IFRS cannot be determined. Perhaps because authority and enforcement of IFRS impacted by variety of institutional consequences (see figure 1 chapter 1) which makes it to control these effects while investigates the influence of culture dimensions. </w:t>
      </w:r>
    </w:p>
    <w:p w:rsidR="00E85A81" w:rsidRDefault="00E85A81">
      <w:pPr>
        <w:autoSpaceDE w:val="0"/>
        <w:autoSpaceDN w:val="0"/>
        <w:adjustRightInd w:val="0"/>
        <w:spacing w:after="0" w:line="360" w:lineRule="auto"/>
        <w:ind w:firstLine="709"/>
        <w:rPr>
          <w:color w:val="000000"/>
        </w:rPr>
      </w:pPr>
      <w:r>
        <w:rPr>
          <w:color w:val="000000"/>
        </w:rPr>
        <w:t>In terms of conservatism, Schultz and Lopez (1999) find support for the conservatism hypothesis and when IFRS is included in the research design</w:t>
      </w:r>
      <w:r>
        <w:rPr>
          <w:rFonts w:ascii="Times New Roman" w:hAnsi="Times New Roman" w:cs="Times New Roman"/>
          <w:color w:val="000000"/>
        </w:rPr>
        <w:t>,</w:t>
      </w:r>
      <w:r>
        <w:rPr>
          <w:color w:val="000000"/>
        </w:rPr>
        <w:t xml:space="preserve"> Doupnik and Richter (2004) also find support for conservatism hypothesis. Doupnik and Ricio (2006) find that conservatism influences accountant’s judgments </w:t>
      </w:r>
      <w:r>
        <w:t xml:space="preserve">in determination of items that increase net income but not for items that decrease net income, indicates the weakening of cultural impacts in measurement practices. </w:t>
      </w:r>
      <w:r>
        <w:rPr>
          <w:color w:val="000000"/>
        </w:rPr>
        <w:t xml:space="preserve"> Tsakumis (2007) finds no support for the influence of culture in the application of a common contingency recognition rule. An interesting fact appears here that the more recent the study is, the less support is found in the influence of conservatism on accounting practice with regards to measurement. Societal and accounting values have influences on differences in the application of accounting measurements but declined when IFRS is implemented. These empirical studies (i.e. Doupnik and Richter, 2004; Doupnik and Ricio, 2006; Tsakumis, 2007) suggest that conservatism still plays a role in the decision-making of accountants around the world nevertheless in a lesser extent. This is good news for proponents of accounting standards harmonization. Nevertheless the generalization of these results to other cultural areas and decision contexts should be taken with caution because institutional consequences, instead of culture, might be the reason behind the weakening of conservatism bias in accountants’ judgments. Figure 1 in chapter 1 shows that accounting practices / systems can be influenced through accounting values and institutional consequences.</w:t>
      </w:r>
    </w:p>
    <w:p w:rsidR="00E85A81" w:rsidRDefault="00E85A81">
      <w:pPr>
        <w:autoSpaceDE w:val="0"/>
        <w:autoSpaceDN w:val="0"/>
        <w:adjustRightInd w:val="0"/>
        <w:spacing w:after="0" w:line="360" w:lineRule="auto"/>
        <w:ind w:firstLine="709"/>
        <w:rPr>
          <w:color w:val="000000"/>
        </w:rPr>
      </w:pPr>
      <w:r>
        <w:rPr>
          <w:color w:val="000000"/>
        </w:rPr>
        <w:t xml:space="preserve">In terms of secrecy, five empirical studies without IFRS in the research design find support for Gray’s secrecy hypothesis however not for every societal value. Every empirical study found different results for each societal value except for individualism which is always found significantly related to secrecy. When IFRS is included, both empirical studies (i.e. Doupnik and Ricio, 2006; Tsakumis, 2007) find support for influence of secrecy on accountant’s decision of disclosure levels. Societal and accounting values have strong influence on the decision of disclosing information even when IFRS applied.  </w:t>
      </w:r>
    </w:p>
    <w:p w:rsidR="00E85A81" w:rsidRDefault="00E85A81">
      <w:pPr>
        <w:autoSpaceDE w:val="0"/>
        <w:autoSpaceDN w:val="0"/>
        <w:adjustRightInd w:val="0"/>
        <w:spacing w:after="0" w:line="360" w:lineRule="auto"/>
        <w:ind w:firstLine="709"/>
      </w:pPr>
      <w:r>
        <w:t xml:space="preserve">Eddie (1990) found support for all four hypotheses while Salter and Niswander (1995) found significant correlation for 6 from 13 relationships in Gray’s hypotheses indicating that some aspects of Gray’s proposition were valid. </w:t>
      </w:r>
      <w:r>
        <w:rPr>
          <w:lang w:val="nl-NL"/>
        </w:rPr>
        <w:t xml:space="preserve">Ding </w:t>
      </w:r>
      <w:r>
        <w:rPr>
          <w:i/>
          <w:iCs/>
          <w:lang w:val="nl-NL"/>
        </w:rPr>
        <w:t>et al</w:t>
      </w:r>
      <w:r>
        <w:rPr>
          <w:rFonts w:ascii="Times New Roman" w:hAnsi="Times New Roman" w:cs="Times New Roman"/>
          <w:i/>
          <w:iCs/>
          <w:lang w:val="nl-NL"/>
        </w:rPr>
        <w:t>.</w:t>
      </w:r>
      <w:r>
        <w:rPr>
          <w:lang w:val="nl-NL"/>
        </w:rPr>
        <w:t xml:space="preserve"> </w:t>
      </w:r>
      <w:r>
        <w:t xml:space="preserve">(2004), which attempts to understand the divergence between national GAAP and IAS, found that culture plays a role in the level of divergence but not in the level of absence. Their result provides more evidence that culture has impact on accounting systems and it will result in differences in accounting practices across countries. Therefore culture is suspected to affect the implementation of a uniform set of accounting standards such as IFRS. </w:t>
      </w:r>
    </w:p>
    <w:p w:rsidR="00E85A81" w:rsidRDefault="00E85A81">
      <w:pPr>
        <w:autoSpaceDE w:val="0"/>
        <w:autoSpaceDN w:val="0"/>
        <w:adjustRightInd w:val="0"/>
        <w:spacing w:after="0" w:line="360" w:lineRule="auto"/>
        <w:ind w:firstLine="709"/>
      </w:pPr>
      <w:r>
        <w:t>The Hofstede-Gray framework helps to simplify analysis of cultural influence on accounting practice or systems through accounting values. Nevertheless it has both positive and negative implication; positive because it helps researchers in understanding how culture might impact accounting practice/systems and negative because it oversimplifies the impact of culture just through these four culture dimensions and four accounting values.</w:t>
      </w:r>
    </w:p>
    <w:p w:rsidR="00E85A81" w:rsidRDefault="00E85A81">
      <w:pPr>
        <w:pStyle w:val="Heading2"/>
        <w:numPr>
          <w:ilvl w:val="1"/>
          <w:numId w:val="4"/>
          <w:numberingChange w:id="80" w:author="C.D. Knoops" w:date="2011-06-19T21:46:00Z" w:original="%1:5:0:.%2:3:0:."/>
        </w:numPr>
        <w:spacing w:before="0" w:line="360" w:lineRule="auto"/>
        <w:rPr>
          <w:rFonts w:ascii="Times New Roman" w:hAnsi="Times New Roman" w:cs="Times New Roman"/>
        </w:rPr>
      </w:pPr>
      <w:bookmarkStart w:id="81" w:name="_Toc296002226"/>
      <w:r>
        <w:rPr>
          <w:rFonts w:ascii="Times New Roman" w:hAnsi="Times New Roman" w:cs="Times New Roman"/>
        </w:rPr>
        <w:t>Conclusion</w:t>
      </w:r>
      <w:bookmarkEnd w:id="81"/>
    </w:p>
    <w:p w:rsidR="00E85A81" w:rsidRDefault="00E85A81">
      <w:pPr>
        <w:spacing w:line="360" w:lineRule="auto"/>
        <w:ind w:firstLine="709"/>
        <w:rPr>
          <w:rFonts w:ascii="Times New Roman" w:hAnsi="Times New Roman" w:cs="Times New Roman"/>
        </w:rPr>
      </w:pPr>
      <w:r>
        <w:t>No conclusion can be drawn on whether culture has influence on the area of authority and enforcement of IFRS. This area still needs further research. Cultural dimensions still have influence, although in a lesser extent, on the application of measurement in IFRS through accounting value of conservatism. Current empirical studies find strong support of the influence of cultural dimensions on disclosure practices through accounting value of secrecy. After reviewing some empirical evidences, it can be anticipated that culture is still playing a role on accounting practices even when IFRS is applied</w:t>
      </w:r>
      <w:r>
        <w:rPr>
          <w:rFonts w:ascii="Times New Roman" w:hAnsi="Times New Roman" w:cs="Times New Roman"/>
        </w:rPr>
        <w:t>.</w:t>
      </w:r>
    </w:p>
    <w:p w:rsidR="00E85A81" w:rsidRDefault="00E85A81">
      <w:pPr>
        <w:pStyle w:val="Heading1"/>
        <w:numPr>
          <w:ilvl w:val="0"/>
          <w:numId w:val="4"/>
          <w:numberingChange w:id="82" w:author="C.D. Knoops" w:date="2011-06-19T21:46:00Z" w:original="%1:6:0:."/>
        </w:numPr>
        <w:spacing w:after="240" w:line="360" w:lineRule="auto"/>
        <w:rPr>
          <w:rFonts w:ascii="Times New Roman" w:hAnsi="Times New Roman" w:cs="Times New Roman"/>
        </w:rPr>
      </w:pPr>
      <w:bookmarkStart w:id="83" w:name="_Toc296002227"/>
      <w:r>
        <w:rPr>
          <w:rFonts w:ascii="Times New Roman" w:hAnsi="Times New Roman" w:cs="Times New Roman"/>
        </w:rPr>
        <w:t>Conclusion</w:t>
      </w:r>
      <w:bookmarkEnd w:id="83"/>
    </w:p>
    <w:p w:rsidR="00E85A81" w:rsidRDefault="00E85A81">
      <w:pPr>
        <w:autoSpaceDE w:val="0"/>
        <w:autoSpaceDN w:val="0"/>
        <w:adjustRightInd w:val="0"/>
        <w:spacing w:line="360" w:lineRule="auto"/>
        <w:ind w:firstLine="709"/>
      </w:pPr>
      <w:r>
        <w:rPr>
          <w:color w:val="000000"/>
        </w:rPr>
        <w:t xml:space="preserve">Recall the research question: Does culture have an influence on accounting practices especially IFRS practices?, it can be concluded that culture, to a certain extent, have an influence on the practices of IFRS, particularly in disclosure practices. According to the recent empirical studies that involved IFRS within their research design, culture is likely to influence the level of information disclosed, through accounting value secrecy, on the IFRS practices. With regards to measurement practices, culture, through accounting value conservatism, is expected to have less influence on the practice of IFRS, suggested from a recent study from Tsakumis (2007) that found no support for conservatism hypothesis. However, it should be noted that the same study using different sample may derive different results. Institutional consequences such as capital markets and legal systems may be other influencing factors that explain insignificant mean response differences in accountants’ attitudes of Tsakumis (2007) study. </w:t>
      </w:r>
      <w:r>
        <w:t xml:space="preserve">Conclusion cannot be taken with regards to authority and enforcement and therefore it is important for future research to investigate the influence of culture in the authority and enforcement of IFRS. </w:t>
      </w:r>
    </w:p>
    <w:p w:rsidR="00E85A81" w:rsidRDefault="00E85A81">
      <w:pPr>
        <w:spacing w:before="240" w:line="360" w:lineRule="auto"/>
        <w:ind w:firstLine="709"/>
      </w:pPr>
      <w:r>
        <w:t xml:space="preserve">By reviewing recent empirical literatures, this paper demonstrates the importance of culture in financial reporting practices/systems. A strand of accounting literatures are available with regards to economic consequences of IFRS adoption i.e. lowering cost of capital and improved market efficiency (Karamanou </w:t>
      </w:r>
      <w:r>
        <w:rPr>
          <w:i/>
          <w:iCs/>
        </w:rPr>
        <w:t>et al</w:t>
      </w:r>
      <w:r>
        <w:t xml:space="preserve">. 2005; Daske </w:t>
      </w:r>
      <w:r>
        <w:rPr>
          <w:i/>
          <w:iCs/>
        </w:rPr>
        <w:t>et al</w:t>
      </w:r>
      <w:r>
        <w:t xml:space="preserve">., 2008; Guggiola, 2010). It seems that more attentions are given to the consequences of IFRS rather than investigating the cause of different degrees of compliance across countries that adopted IFRS. </w:t>
      </w:r>
    </w:p>
    <w:p w:rsidR="00E85A81" w:rsidRDefault="00E85A81">
      <w:pPr>
        <w:spacing w:before="240" w:line="360" w:lineRule="auto"/>
        <w:ind w:firstLine="709"/>
      </w:pPr>
      <w:r>
        <w:t>Mandatory adoption of IFRS in Europe gives access to investigate whether culture still plays a role in the financial reporting practices under a uniform set of accounting standards. Therefore more effort is still needed, in the form of empirical studies, from international accounting researchers to understand how culture influences accounting practices/systems. This can be an interesting research topic for future master and post-doctoral students to conduct an empirical research related to this field.</w:t>
      </w:r>
    </w:p>
    <w:p w:rsidR="00E85A81" w:rsidRDefault="00E85A81">
      <w:pPr>
        <w:pStyle w:val="Heading1"/>
        <w:spacing w:before="0"/>
        <w:rPr>
          <w:rFonts w:ascii="Times New Roman" w:hAnsi="Times New Roman" w:cs="Times New Roman"/>
        </w:rPr>
      </w:pPr>
      <w:r>
        <w:rPr>
          <w:rFonts w:ascii="Times New Roman" w:hAnsi="Times New Roman" w:cs="Times New Roman"/>
        </w:rPr>
        <w:br w:type="page"/>
      </w:r>
      <w:bookmarkStart w:id="84" w:name="_Toc296002228"/>
      <w:r>
        <w:rPr>
          <w:rFonts w:ascii="Times New Roman" w:hAnsi="Times New Roman" w:cs="Times New Roman"/>
        </w:rPr>
        <w:t>References</w:t>
      </w:r>
      <w:bookmarkEnd w:id="84"/>
    </w:p>
    <w:p w:rsidR="00E85A81" w:rsidRDefault="00E85A81">
      <w:pPr>
        <w:rPr>
          <w:rFonts w:ascii="Times New Roman" w:hAnsi="Times New Roman" w:cs="Times New Roman"/>
        </w:rPr>
      </w:pPr>
    </w:p>
    <w:p w:rsidR="00E85A81" w:rsidRDefault="00E85A81">
      <w:pPr>
        <w:numPr>
          <w:ilvl w:val="0"/>
          <w:numId w:val="6"/>
          <w:numberingChange w:id="85" w:author="C.D. Knoops" w:date="2011-06-19T21:46:00Z" w:original=""/>
        </w:numPr>
        <w:spacing w:line="240" w:lineRule="auto"/>
        <w:rPr>
          <w:b/>
          <w:bCs/>
          <w:i/>
          <w:iCs/>
        </w:rPr>
      </w:pPr>
      <w:r>
        <w:rPr>
          <w:b/>
          <w:bCs/>
          <w:i/>
          <w:iCs/>
        </w:rPr>
        <w:t>Articles</w:t>
      </w:r>
    </w:p>
    <w:p w:rsidR="00E85A81" w:rsidRDefault="00E85A81">
      <w:pPr>
        <w:spacing w:line="240" w:lineRule="auto"/>
      </w:pPr>
      <w:r>
        <w:rPr>
          <w:lang w:val="en-GB"/>
        </w:rPr>
        <w:t xml:space="preserve">Armstrong, C.D, Barth, M.E., Jagolinzer, A.D., &amp; Riedl, E.J. (2010). Market reaction to the adoption of IFRS in Europe. </w:t>
      </w:r>
      <w:r>
        <w:rPr>
          <w:i/>
          <w:iCs/>
          <w:lang w:val="en-GB"/>
        </w:rPr>
        <w:t>The Accounting Review, 85</w:t>
      </w:r>
      <w:r>
        <w:rPr>
          <w:lang w:val="en-GB"/>
        </w:rPr>
        <w:t>(1), 31-61.</w:t>
      </w:r>
    </w:p>
    <w:p w:rsidR="00E85A81" w:rsidRDefault="00E85A81">
      <w:pPr>
        <w:spacing w:line="240" w:lineRule="auto"/>
      </w:pPr>
      <w:r>
        <w:t xml:space="preserve">Ashbaugh, H. &amp; Pincus, M. (2001). Domestic Accounting Standards, International Accounting Standards, and the Predictability of Earnings. </w:t>
      </w:r>
      <w:r>
        <w:rPr>
          <w:i/>
          <w:iCs/>
        </w:rPr>
        <w:t>Journal of Accounting Research, 39</w:t>
      </w:r>
      <w:r>
        <w:t>, 417-434.</w:t>
      </w:r>
    </w:p>
    <w:p w:rsidR="00E85A81" w:rsidRDefault="00E85A81">
      <w:pPr>
        <w:spacing w:line="240" w:lineRule="auto"/>
        <w:rPr>
          <w:lang w:eastAsia="zh-TW"/>
        </w:rPr>
      </w:pPr>
      <w:r>
        <w:rPr>
          <w:lang w:eastAsia="zh-TW"/>
        </w:rPr>
        <w:t xml:space="preserve">Ball, R. (2006). International Financial Reporting Standards (IFRS): pros and cons for investors. </w:t>
      </w:r>
      <w:r>
        <w:rPr>
          <w:i/>
          <w:iCs/>
          <w:lang w:eastAsia="zh-TW"/>
        </w:rPr>
        <w:t>Accounting and Business Research, International Accounting Policy Forum</w:t>
      </w:r>
      <w:r>
        <w:rPr>
          <w:lang w:eastAsia="zh-TW"/>
        </w:rPr>
        <w:t>. 5-27.</w:t>
      </w:r>
    </w:p>
    <w:p w:rsidR="00E85A81" w:rsidRDefault="00E85A81">
      <w:pPr>
        <w:spacing w:line="240" w:lineRule="auto"/>
      </w:pPr>
      <w:r>
        <w:t xml:space="preserve">Burchell, S., Clubb, C., Hopwood, A., Huges, J., &amp; Nahapiet, J. (1980). The roles of accounting in organizations and society. </w:t>
      </w:r>
      <w:r>
        <w:rPr>
          <w:i/>
          <w:iCs/>
        </w:rPr>
        <w:t>Accounting Organization and Society, 5</w:t>
      </w:r>
      <w:r>
        <w:t>(1), 5-27.</w:t>
      </w:r>
    </w:p>
    <w:p w:rsidR="00E85A81" w:rsidRDefault="00E85A81">
      <w:pPr>
        <w:spacing w:line="240" w:lineRule="auto"/>
      </w:pPr>
      <w:r>
        <w:t xml:space="preserve">Byard, D., Ying, Y., &amp; Yong, Y. (2010). The effect of mandatory IFRS adoption on financial analysts’ information environment. </w:t>
      </w:r>
      <w:r>
        <w:rPr>
          <w:i/>
          <w:iCs/>
        </w:rPr>
        <w:t>Journal of Accounting Research, 49</w:t>
      </w:r>
      <w:r>
        <w:t>(1), 69-96.</w:t>
      </w:r>
    </w:p>
    <w:p w:rsidR="00E85A81" w:rsidRDefault="00E85A81">
      <w:pPr>
        <w:spacing w:line="240" w:lineRule="auto"/>
      </w:pPr>
      <w:r>
        <w:rPr>
          <w:lang w:val="fr-FR"/>
        </w:rPr>
        <w:t xml:space="preserve">Carmona, S., &amp; Trombetta, M. (2008). </w:t>
      </w:r>
      <w:r>
        <w:t xml:space="preserve">On the global acceptance of IAS/IFRS accounting standards: the logic and implications of the principle-based system. </w:t>
      </w:r>
      <w:r>
        <w:rPr>
          <w:i/>
          <w:iCs/>
        </w:rPr>
        <w:t>Journal Accounting Public Policy, 27</w:t>
      </w:r>
      <w:r>
        <w:t>, 455-461.</w:t>
      </w:r>
    </w:p>
    <w:p w:rsidR="00E85A81" w:rsidRDefault="00E85A81">
      <w:pPr>
        <w:spacing w:line="240" w:lineRule="auto"/>
      </w:pPr>
      <w:r>
        <w:t xml:space="preserve">Chanchani, S., &amp; MacGregor, A.. (1999). A synthesis of cultural studies in accounting. </w:t>
      </w:r>
      <w:r>
        <w:rPr>
          <w:i/>
          <w:iCs/>
        </w:rPr>
        <w:t>Journal of Accounting Literature, 18</w:t>
      </w:r>
      <w:r>
        <w:t>, 1-30.</w:t>
      </w:r>
    </w:p>
    <w:p w:rsidR="00E85A81" w:rsidRDefault="00E85A81">
      <w:pPr>
        <w:spacing w:line="240" w:lineRule="auto"/>
      </w:pPr>
      <w:r>
        <w:t xml:space="preserve">Chatham, M.D. (2008). Assessing the extent of compliance with international accounting standards. </w:t>
      </w:r>
      <w:r>
        <w:rPr>
          <w:i/>
          <w:iCs/>
        </w:rPr>
        <w:t>Journal of International Business Research, 7</w:t>
      </w:r>
      <w:r>
        <w:t>(1), 61-90.</w:t>
      </w:r>
    </w:p>
    <w:p w:rsidR="00E85A81" w:rsidRDefault="00E85A81">
      <w:pPr>
        <w:spacing w:line="240" w:lineRule="auto"/>
        <w:rPr>
          <w:lang w:eastAsia="zh-TW"/>
        </w:rPr>
      </w:pPr>
      <w:r>
        <w:rPr>
          <w:lang w:val="fr-FR" w:eastAsia="zh-TW"/>
        </w:rPr>
        <w:t xml:space="preserve">Daske, H., Hail, L., Leuz, C., &amp; Verdi, R. </w:t>
      </w:r>
      <w:r>
        <w:rPr>
          <w:lang w:eastAsia="zh-TW"/>
        </w:rPr>
        <w:t xml:space="preserve">(2008). Mandatory IFRS Reporting Around the World: Early Evidence on the Economic Consequences. </w:t>
      </w:r>
      <w:r>
        <w:rPr>
          <w:i/>
          <w:iCs/>
          <w:lang w:eastAsia="zh-TW"/>
        </w:rPr>
        <w:t>Journal of Accounting Research, 46</w:t>
      </w:r>
      <w:r>
        <w:rPr>
          <w:lang w:eastAsia="zh-TW"/>
        </w:rPr>
        <w:t xml:space="preserve">(5), 1085-1142. </w:t>
      </w:r>
    </w:p>
    <w:p w:rsidR="00E85A81" w:rsidRDefault="00E85A81">
      <w:pPr>
        <w:spacing w:line="240" w:lineRule="auto"/>
      </w:pPr>
      <w:r>
        <w:t>Ding, Y., Jeanjean, T., &amp; Stolowy, H. (2004). Why do national GAAP differ from IAS? The role of culture</w:t>
      </w:r>
      <w:r>
        <w:rPr>
          <w:i/>
          <w:iCs/>
        </w:rPr>
        <w:t>. International Journal of Accounting, 40</w:t>
      </w:r>
      <w:r>
        <w:t>(4), 325-350.</w:t>
      </w:r>
    </w:p>
    <w:p w:rsidR="00E85A81" w:rsidRDefault="00E85A81">
      <w:pPr>
        <w:spacing w:line="240" w:lineRule="auto"/>
      </w:pPr>
      <w:r>
        <w:t xml:space="preserve">Doupnik, T.S., &amp; Salter, S.B. (1993). An empirical test of a judgmental international classification of financial reporting practices. </w:t>
      </w:r>
      <w:r>
        <w:rPr>
          <w:i/>
          <w:iCs/>
        </w:rPr>
        <w:t>Journal of International Business Studies, 24</w:t>
      </w:r>
      <w:r>
        <w:t>(1), 41-60.</w:t>
      </w:r>
    </w:p>
    <w:p w:rsidR="00E85A81" w:rsidRDefault="00E85A81">
      <w:pPr>
        <w:spacing w:line="240" w:lineRule="auto"/>
      </w:pPr>
      <w:r>
        <w:t xml:space="preserve">Doupnik, T.S., &amp; Salter, S.B. (1995). External environment, culture and accounting practice: a preliminary test of a general model of international accounting development. </w:t>
      </w:r>
      <w:r>
        <w:rPr>
          <w:i/>
          <w:iCs/>
        </w:rPr>
        <w:t>The International Journal of Accounting, 30</w:t>
      </w:r>
      <w:r>
        <w:t>, 189-207.</w:t>
      </w:r>
    </w:p>
    <w:p w:rsidR="00E85A81" w:rsidRDefault="00E85A81">
      <w:pPr>
        <w:spacing w:line="240" w:lineRule="auto"/>
      </w:pPr>
      <w:r>
        <w:rPr>
          <w:lang w:val="nl-NL"/>
        </w:rPr>
        <w:t xml:space="preserve">Doupnik, T.S., &amp; Richter, M. (2004). </w:t>
      </w:r>
      <w:r>
        <w:t xml:space="preserve">The impact of culture on the interpretation of “in context” verbal probability expressions. </w:t>
      </w:r>
      <w:r>
        <w:rPr>
          <w:i/>
          <w:iCs/>
        </w:rPr>
        <w:t>Journal of International Accounting Research, 3</w:t>
      </w:r>
      <w:r>
        <w:t>, 1–20.</w:t>
      </w:r>
    </w:p>
    <w:p w:rsidR="00E85A81" w:rsidRDefault="00E85A81">
      <w:pPr>
        <w:spacing w:line="240" w:lineRule="auto"/>
      </w:pPr>
      <w:r>
        <w:t xml:space="preserve">Doupnik, T.S., &amp; Tsakumis, G.T. (2004). A critical review of tests of Gray’s theory of cultural relevance and suggestions for future research. </w:t>
      </w:r>
      <w:r>
        <w:rPr>
          <w:i/>
          <w:iCs/>
        </w:rPr>
        <w:t>Journal of Accounting Literature, 23</w:t>
      </w:r>
      <w:r>
        <w:t>, 1-48.</w:t>
      </w:r>
    </w:p>
    <w:p w:rsidR="00E85A81" w:rsidRDefault="00E85A81">
      <w:pPr>
        <w:spacing w:line="240" w:lineRule="auto"/>
      </w:pPr>
      <w:r>
        <w:t xml:space="preserve">Doupnik, T.S., &amp; Riccio, E.L. (2006). The influence of conservatism and secrecy on the interpretation of verbal probability expressions in the Anglo and Latin cultural areas. </w:t>
      </w:r>
      <w:r>
        <w:rPr>
          <w:i/>
          <w:iCs/>
        </w:rPr>
        <w:t>The International Journal of Accounting</w:t>
      </w:r>
      <w:r>
        <w:t>, 41(3), 237–261.</w:t>
      </w:r>
    </w:p>
    <w:p w:rsidR="00E85A81" w:rsidRDefault="00E85A81">
      <w:pPr>
        <w:spacing w:line="240" w:lineRule="auto"/>
      </w:pPr>
      <w:r>
        <w:rPr>
          <w:lang w:val="nl-NL"/>
        </w:rPr>
        <w:t xml:space="preserve">Eddie, I.A. (1990). </w:t>
      </w:r>
      <w:r>
        <w:t xml:space="preserve">Asia Pacific cultural values and accounting systems. </w:t>
      </w:r>
      <w:r>
        <w:rPr>
          <w:i/>
          <w:iCs/>
        </w:rPr>
        <w:t>Asia Pacific International Management Forum, 16</w:t>
      </w:r>
      <w:r>
        <w:t>(3), 22–30.</w:t>
      </w:r>
    </w:p>
    <w:p w:rsidR="00E85A81" w:rsidRDefault="00E85A81">
      <w:pPr>
        <w:spacing w:line="240" w:lineRule="auto"/>
      </w:pPr>
      <w:r>
        <w:rPr>
          <w:lang w:val="nl-NL"/>
        </w:rPr>
        <w:t xml:space="preserve">Elnathan, D., &amp; Krilich, S. (1992). </w:t>
      </w:r>
      <w:r>
        <w:t>Accounting harmonization in regional trade blocs. A trend for the 21</w:t>
      </w:r>
      <w:r>
        <w:rPr>
          <w:vertAlign w:val="superscript"/>
        </w:rPr>
        <w:t>st</w:t>
      </w:r>
      <w:r>
        <w:t xml:space="preserve"> century:. </w:t>
      </w:r>
      <w:r>
        <w:rPr>
          <w:i/>
          <w:iCs/>
        </w:rPr>
        <w:t>Business Forum, 17</w:t>
      </w:r>
      <w:r>
        <w:t>(1), 47-50.</w:t>
      </w:r>
    </w:p>
    <w:p w:rsidR="00E85A81" w:rsidRDefault="00E85A81">
      <w:pPr>
        <w:spacing w:line="240" w:lineRule="auto"/>
        <w:rPr>
          <w:rStyle w:val="highlight3"/>
          <w:rFonts w:ascii="Calibri" w:hAnsi="Calibri" w:cs="Calibri"/>
          <w:b w:val="0"/>
          <w:bCs w:val="0"/>
        </w:rPr>
      </w:pPr>
      <w:r>
        <w:rPr>
          <w:rStyle w:val="highlight3"/>
          <w:rFonts w:ascii="Calibri" w:hAnsi="Calibri" w:cs="Calibri"/>
          <w:b w:val="0"/>
          <w:bCs w:val="0"/>
        </w:rPr>
        <w:t xml:space="preserve">Ernst&amp;Young, (2006). </w:t>
      </w:r>
      <w:r>
        <w:rPr>
          <w:rStyle w:val="highlight3"/>
          <w:rFonts w:ascii="Calibri" w:hAnsi="Calibri" w:cs="Calibri"/>
          <w:b w:val="0"/>
          <w:bCs w:val="0"/>
          <w:i/>
          <w:iCs/>
        </w:rPr>
        <w:t>IFRS: Observations on the implementation of IFRS</w:t>
      </w:r>
      <w:r>
        <w:rPr>
          <w:rStyle w:val="highlight3"/>
          <w:rFonts w:ascii="Calibri" w:hAnsi="Calibri" w:cs="Calibri"/>
          <w:b w:val="0"/>
          <w:bCs w:val="0"/>
        </w:rPr>
        <w:t>. EYGM Limited.</w:t>
      </w:r>
    </w:p>
    <w:p w:rsidR="00E85A81" w:rsidRDefault="00E85A81">
      <w:pPr>
        <w:spacing w:line="240" w:lineRule="auto"/>
      </w:pPr>
      <w:r>
        <w:t xml:space="preserve">Fechner, H.E., &amp; Kilgore, A. (1994). The influence of cultural factors on accounting practices. </w:t>
      </w:r>
      <w:r>
        <w:rPr>
          <w:i/>
          <w:iCs/>
        </w:rPr>
        <w:t xml:space="preserve">International Journal of Accounting, 26, </w:t>
      </w:r>
      <w:r>
        <w:t>243-251.</w:t>
      </w:r>
    </w:p>
    <w:p w:rsidR="00E85A81" w:rsidRDefault="00E85A81">
      <w:pPr>
        <w:spacing w:line="240" w:lineRule="auto"/>
      </w:pPr>
      <w:r>
        <w:t xml:space="preserve">Finch, N. (2007). Testing the theory of cultural influence on international accounting practice. </w:t>
      </w:r>
      <w:r>
        <w:rPr>
          <w:i/>
          <w:iCs/>
        </w:rPr>
        <w:t>Proceedings of the Academy of Accounting and Financial Studies, 12</w:t>
      </w:r>
      <w:r>
        <w:t>(1), 27-30.</w:t>
      </w:r>
    </w:p>
    <w:p w:rsidR="00E85A81" w:rsidRDefault="00E85A81">
      <w:pPr>
        <w:spacing w:line="240" w:lineRule="auto"/>
        <w:rPr>
          <w:rStyle w:val="highlight3"/>
          <w:rFonts w:ascii="Calibri" w:hAnsi="Calibri" w:cs="Calibri"/>
          <w:b w:val="0"/>
          <w:bCs w:val="0"/>
        </w:rPr>
      </w:pPr>
      <w:r>
        <w:t xml:space="preserve">Frank, W.G. (1979). An empirical analysis of international accounting principles. </w:t>
      </w:r>
      <w:r>
        <w:rPr>
          <w:i/>
          <w:iCs/>
        </w:rPr>
        <w:t>Journal of Accounting Research, 17</w:t>
      </w:r>
      <w:r>
        <w:t xml:space="preserve">(2), 593-605. </w:t>
      </w:r>
    </w:p>
    <w:p w:rsidR="00E85A81" w:rsidRDefault="00E85A81">
      <w:pPr>
        <w:spacing w:line="240" w:lineRule="auto"/>
        <w:rPr>
          <w:rStyle w:val="highlight3"/>
          <w:rFonts w:ascii="Calibri" w:hAnsi="Calibri" w:cs="Calibri"/>
          <w:b w:val="0"/>
          <w:bCs w:val="0"/>
        </w:rPr>
      </w:pPr>
      <w:r>
        <w:rPr>
          <w:rStyle w:val="highlight3"/>
          <w:rFonts w:ascii="Calibri" w:hAnsi="Calibri" w:cs="Calibri"/>
          <w:b w:val="0"/>
          <w:bCs w:val="0"/>
        </w:rPr>
        <w:t xml:space="preserve">Gray, S.J. (1988). Towards a theory of cultural influence on the development of accounting systems internationally. </w:t>
      </w:r>
      <w:r>
        <w:rPr>
          <w:rStyle w:val="highlight3"/>
          <w:rFonts w:ascii="Calibri" w:hAnsi="Calibri" w:cs="Calibri"/>
          <w:b w:val="0"/>
          <w:bCs w:val="0"/>
          <w:i/>
          <w:iCs/>
        </w:rPr>
        <w:t>Abacus, 24</w:t>
      </w:r>
      <w:r>
        <w:rPr>
          <w:rStyle w:val="highlight3"/>
          <w:rFonts w:ascii="Calibri" w:hAnsi="Calibri" w:cs="Calibri"/>
          <w:b w:val="0"/>
          <w:bCs w:val="0"/>
        </w:rPr>
        <w:t>(1), 1−15.</w:t>
      </w:r>
    </w:p>
    <w:p w:rsidR="00E85A81" w:rsidRDefault="00E85A81">
      <w:pPr>
        <w:spacing w:line="240" w:lineRule="auto"/>
      </w:pPr>
      <w:r>
        <w:t xml:space="preserve">Gray, S.J., &amp; Vint, H.M. (1995). The impact of culture on accounting disclosures: some international evidence. </w:t>
      </w:r>
      <w:r>
        <w:rPr>
          <w:i/>
          <w:iCs/>
        </w:rPr>
        <w:t>Asia-Pacific Journal of Accounting, 2</w:t>
      </w:r>
      <w:r>
        <w:t>, 33–43.</w:t>
      </w:r>
    </w:p>
    <w:p w:rsidR="00E85A81" w:rsidRDefault="00E85A81">
      <w:pPr>
        <w:spacing w:line="240" w:lineRule="auto"/>
      </w:pPr>
      <w:r>
        <w:t xml:space="preserve">Guggiola, G. (2010). IFRS adoption in the E.U., accounting harmonization and markets efficiency: a review. </w:t>
      </w:r>
      <w:r>
        <w:rPr>
          <w:i/>
          <w:iCs/>
        </w:rPr>
        <w:t>International Business and Economics Research Journal, 9</w:t>
      </w:r>
      <w:r>
        <w:t>(12), 99-112.</w:t>
      </w:r>
    </w:p>
    <w:p w:rsidR="00E85A81" w:rsidRDefault="00E85A81">
      <w:pPr>
        <w:spacing w:line="240" w:lineRule="auto"/>
      </w:pPr>
      <w:r>
        <w:t xml:space="preserve">Harrison, G.L., &amp; McKinnon, J.L. (1986). Cultural and accounting change: A new perspective on corporate reporting regulation and accounting policy formulation. </w:t>
      </w:r>
      <w:r>
        <w:rPr>
          <w:i/>
          <w:iCs/>
        </w:rPr>
        <w:t>Accounting, Organizations and Society, 11</w:t>
      </w:r>
      <w:r>
        <w:t>(3): 233-256.</w:t>
      </w:r>
    </w:p>
    <w:p w:rsidR="00E85A81" w:rsidRDefault="00E85A81">
      <w:pPr>
        <w:spacing w:line="240" w:lineRule="auto"/>
      </w:pPr>
      <w:r>
        <w:t xml:space="preserve">Heidhues, E., &amp; Patel, C. (2011). A critique of Gray’s framework on accounting values using Germany as a case study. </w:t>
      </w:r>
      <w:r>
        <w:rPr>
          <w:i/>
          <w:iCs/>
        </w:rPr>
        <w:t>Critical Perspectives on Accounting, 22</w:t>
      </w:r>
      <w:r>
        <w:t>, 273-287.</w:t>
      </w:r>
    </w:p>
    <w:p w:rsidR="00E85A81" w:rsidRDefault="00E85A81">
      <w:pPr>
        <w:spacing w:line="240" w:lineRule="auto"/>
      </w:pPr>
      <w:r>
        <w:t xml:space="preserve">Hope, O.K. (2003). Firm-level disclosures and the relative roles of culture and legal origin. </w:t>
      </w:r>
      <w:r>
        <w:rPr>
          <w:i/>
          <w:iCs/>
        </w:rPr>
        <w:t>Journal of International Financial Management &amp; Accounting, 14</w:t>
      </w:r>
      <w:r>
        <w:t>(3):218–248.</w:t>
      </w:r>
    </w:p>
    <w:p w:rsidR="00E85A81" w:rsidRDefault="00E85A81">
      <w:pPr>
        <w:spacing w:line="240" w:lineRule="auto"/>
      </w:pPr>
      <w:r>
        <w:t xml:space="preserve">Jaggi, B., &amp; Low, P.Y. (2000). Impact of culture, market forces, and legal system on financial disclosures. </w:t>
      </w:r>
      <w:r>
        <w:rPr>
          <w:i/>
          <w:iCs/>
        </w:rPr>
        <w:t>The International Journal of Accounting, 35</w:t>
      </w:r>
      <w:r>
        <w:t>(4), 495–519.</w:t>
      </w:r>
    </w:p>
    <w:p w:rsidR="00E85A81" w:rsidRDefault="00E85A81">
      <w:pPr>
        <w:spacing w:line="240" w:lineRule="auto"/>
      </w:pPr>
      <w:r>
        <w:rPr>
          <w:lang w:val="fr-FR"/>
        </w:rPr>
        <w:t xml:space="preserve">Karamanou, I., &amp; Nishiotis, G. (2005). </w:t>
      </w:r>
      <w:r>
        <w:rPr>
          <w:i/>
          <w:iCs/>
        </w:rPr>
        <w:t>The valuation effects of firm voluntary adoption of International Accounting Standards</w:t>
      </w:r>
      <w:r>
        <w:t>. University of Cyprus.</w:t>
      </w:r>
    </w:p>
    <w:p w:rsidR="00E85A81" w:rsidRDefault="00E85A81">
      <w:pPr>
        <w:spacing w:line="240" w:lineRule="auto"/>
        <w:rPr>
          <w:rStyle w:val="highlight3"/>
          <w:rFonts w:ascii="Calibri" w:hAnsi="Calibri" w:cs="Calibri"/>
          <w:b w:val="0"/>
          <w:bCs w:val="0"/>
        </w:rPr>
      </w:pPr>
      <w:r>
        <w:rPr>
          <w:rStyle w:val="highlight3"/>
          <w:rFonts w:ascii="Calibri" w:hAnsi="Calibri" w:cs="Calibri"/>
          <w:b w:val="0"/>
          <w:bCs w:val="0"/>
          <w:lang w:val="nl-NL"/>
        </w:rPr>
        <w:t xml:space="preserve">Kvaal, E., &amp; Nobes, C. (2010). </w:t>
      </w:r>
      <w:r>
        <w:rPr>
          <w:rStyle w:val="highlight3"/>
          <w:rFonts w:ascii="Calibri" w:hAnsi="Calibri" w:cs="Calibri"/>
          <w:b w:val="0"/>
          <w:bCs w:val="0"/>
        </w:rPr>
        <w:t>International differences in IFRS policy choice: a research note</w:t>
      </w:r>
      <w:r>
        <w:rPr>
          <w:rStyle w:val="highlight3"/>
          <w:rFonts w:ascii="Calibri" w:hAnsi="Calibri" w:cs="Calibri"/>
          <w:b w:val="0"/>
          <w:bCs w:val="0"/>
          <w:i/>
          <w:iCs/>
        </w:rPr>
        <w:t>.</w:t>
      </w:r>
      <w:r>
        <w:rPr>
          <w:rStyle w:val="highlight3"/>
          <w:rFonts w:ascii="Calibri" w:hAnsi="Calibri" w:cs="Calibri"/>
          <w:b w:val="0"/>
          <w:bCs w:val="0"/>
        </w:rPr>
        <w:t xml:space="preserve"> </w:t>
      </w:r>
      <w:r>
        <w:rPr>
          <w:rStyle w:val="highlight3"/>
          <w:rFonts w:ascii="Calibri" w:hAnsi="Calibri" w:cs="Calibri"/>
          <w:b w:val="0"/>
          <w:bCs w:val="0"/>
          <w:i/>
          <w:iCs/>
        </w:rPr>
        <w:t>Accounting and Business Research, 40</w:t>
      </w:r>
      <w:r>
        <w:rPr>
          <w:rStyle w:val="highlight3"/>
          <w:rFonts w:ascii="Calibri" w:hAnsi="Calibri" w:cs="Calibri"/>
          <w:b w:val="0"/>
          <w:bCs w:val="0"/>
        </w:rPr>
        <w:t>(2), 173-187.</w:t>
      </w:r>
    </w:p>
    <w:p w:rsidR="00E85A81" w:rsidRDefault="00E85A81">
      <w:pPr>
        <w:spacing w:line="240" w:lineRule="auto"/>
      </w:pPr>
      <w:r>
        <w:t xml:space="preserve">Meyer, J.W. (1986). Social and environments and organizational accounting. </w:t>
      </w:r>
      <w:r>
        <w:rPr>
          <w:i/>
          <w:iCs/>
        </w:rPr>
        <w:t>Accounting Organizations and Society</w:t>
      </w:r>
      <w:r>
        <w:t>, 11(4-5), 345-356.</w:t>
      </w:r>
    </w:p>
    <w:p w:rsidR="00E85A81" w:rsidRDefault="00E85A81">
      <w:pPr>
        <w:spacing w:line="240" w:lineRule="auto"/>
      </w:pPr>
      <w:r>
        <w:rPr>
          <w:lang w:val="fr-FR"/>
        </w:rPr>
        <w:t xml:space="preserve">Mueller, G.G. (1968). </w:t>
      </w:r>
      <w:r>
        <w:t xml:space="preserve">Accounting principles generally accepted in the United States versus those generally accepted elsewhere. </w:t>
      </w:r>
      <w:r>
        <w:rPr>
          <w:i/>
          <w:iCs/>
        </w:rPr>
        <w:t>The International Journal of Accounting, 3</w:t>
      </w:r>
      <w:r>
        <w:t>, 91-103.</w:t>
      </w:r>
    </w:p>
    <w:p w:rsidR="00E85A81" w:rsidRDefault="00E85A81">
      <w:pPr>
        <w:spacing w:line="240" w:lineRule="auto"/>
      </w:pPr>
      <w:r>
        <w:t xml:space="preserve">Nair, R.D., &amp; Frank, W.G. (1980). The Impact of Disclosure and Measurement Practices on International Accounting Classifications. </w:t>
      </w:r>
      <w:r>
        <w:rPr>
          <w:i/>
          <w:iCs/>
        </w:rPr>
        <w:t>The Accounting Review, 55</w:t>
      </w:r>
      <w:r>
        <w:t>(3), 426-450.</w:t>
      </w:r>
    </w:p>
    <w:p w:rsidR="00E85A81" w:rsidRDefault="00E85A81">
      <w:pPr>
        <w:spacing w:line="240" w:lineRule="auto"/>
      </w:pPr>
      <w:r>
        <w:t xml:space="preserve">Nobes, C. (1983). Judgmental classification of financial reporting practices. </w:t>
      </w:r>
      <w:r>
        <w:rPr>
          <w:i/>
          <w:iCs/>
        </w:rPr>
        <w:t>Journal of Business Finance and Accounting,  10</w:t>
      </w:r>
      <w:r>
        <w:t>(1), 1-19.</w:t>
      </w:r>
    </w:p>
    <w:p w:rsidR="00E85A81" w:rsidRDefault="00E85A81">
      <w:pPr>
        <w:spacing w:line="240" w:lineRule="auto"/>
      </w:pPr>
      <w:r>
        <w:t xml:space="preserve">Nobes, C. (1998). Towards a general model of the reasons for international differences in financial reporting. </w:t>
      </w:r>
      <w:r>
        <w:rPr>
          <w:i/>
          <w:iCs/>
        </w:rPr>
        <w:t>Abacus, 34</w:t>
      </w:r>
      <w:r>
        <w:t>, 162-187.</w:t>
      </w:r>
    </w:p>
    <w:p w:rsidR="00E85A81" w:rsidRDefault="00E85A81">
      <w:pPr>
        <w:spacing w:line="240" w:lineRule="auto"/>
        <w:rPr>
          <w:rStyle w:val="highlight3"/>
          <w:rFonts w:ascii="Calibri" w:hAnsi="Calibri" w:cs="Calibri"/>
          <w:b w:val="0"/>
          <w:bCs w:val="0"/>
        </w:rPr>
      </w:pPr>
      <w:r>
        <w:rPr>
          <w:rStyle w:val="highlight3"/>
          <w:rFonts w:ascii="Calibri" w:hAnsi="Calibri" w:cs="Calibri"/>
          <w:b w:val="0"/>
          <w:bCs w:val="0"/>
        </w:rPr>
        <w:t xml:space="preserve">Nobes, C. (2001). </w:t>
      </w:r>
      <w:r>
        <w:rPr>
          <w:rStyle w:val="highlight3"/>
          <w:rFonts w:ascii="Calibri" w:hAnsi="Calibri" w:cs="Calibri"/>
          <w:b w:val="0"/>
          <w:bCs w:val="0"/>
          <w:i/>
          <w:iCs/>
        </w:rPr>
        <w:t>GAAP 2001 – a survey of national accounting rules benchmarked against international accounting standards</w:t>
      </w:r>
      <w:r>
        <w:rPr>
          <w:rStyle w:val="highlight3"/>
          <w:rFonts w:ascii="Calibri" w:hAnsi="Calibri" w:cs="Calibri"/>
          <w:b w:val="0"/>
          <w:bCs w:val="0"/>
        </w:rPr>
        <w:t>. IFAD.</w:t>
      </w:r>
    </w:p>
    <w:p w:rsidR="00E85A81" w:rsidRDefault="00E85A81">
      <w:pPr>
        <w:spacing w:line="240" w:lineRule="auto"/>
      </w:pPr>
      <w:r>
        <w:rPr>
          <w:rStyle w:val="highlight3"/>
          <w:rFonts w:ascii="Calibri" w:hAnsi="Calibri" w:cs="Calibri"/>
          <w:b w:val="0"/>
          <w:bCs w:val="0"/>
        </w:rPr>
        <w:t xml:space="preserve">Nobes, C. (2006). </w:t>
      </w:r>
      <w:r>
        <w:rPr>
          <w:rStyle w:val="highlight3"/>
          <w:rFonts w:ascii="Calibri" w:hAnsi="Calibri" w:cs="Calibri"/>
          <w:b w:val="0"/>
          <w:bCs w:val="0"/>
          <w:i/>
          <w:iCs/>
        </w:rPr>
        <w:t xml:space="preserve">The </w:t>
      </w:r>
      <w:r>
        <w:rPr>
          <w:rStyle w:val="highlight3"/>
          <w:rFonts w:ascii="Calibri" w:hAnsi="Calibri" w:cs="Calibri"/>
          <w:b w:val="0"/>
          <w:bCs w:val="0"/>
        </w:rPr>
        <w:t>survival of international differences under IFRS: towards a research agenda.</w:t>
      </w:r>
      <w:r>
        <w:rPr>
          <w:rStyle w:val="highlight3"/>
          <w:rFonts w:ascii="Calibri" w:hAnsi="Calibri" w:cs="Calibri"/>
          <w:b w:val="0"/>
          <w:bCs w:val="0"/>
          <w:i/>
          <w:iCs/>
        </w:rPr>
        <w:t xml:space="preserve"> Accounting and Business Research, 36</w:t>
      </w:r>
      <w:r>
        <w:rPr>
          <w:rStyle w:val="highlight3"/>
          <w:rFonts w:ascii="Calibri" w:hAnsi="Calibri" w:cs="Calibri"/>
          <w:b w:val="0"/>
          <w:bCs w:val="0"/>
        </w:rPr>
        <w:t>(3), 233-245.</w:t>
      </w:r>
      <w:r>
        <w:t xml:space="preserve"> </w:t>
      </w:r>
    </w:p>
    <w:p w:rsidR="00E85A81" w:rsidRDefault="00E85A81">
      <w:pPr>
        <w:spacing w:line="240" w:lineRule="auto"/>
      </w:pPr>
      <w:r>
        <w:t xml:space="preserve">Papamarcos, S.D., &amp; Watson, G.W. (2006). Culture’s consequences for economic development: an empirical examination of culture, freedom, and national market performance. </w:t>
      </w:r>
      <w:r>
        <w:rPr>
          <w:i/>
          <w:iCs/>
        </w:rPr>
        <w:t>Journal of Global Business and Technology, 2</w:t>
      </w:r>
      <w:r>
        <w:t>(1), 48-57.</w:t>
      </w:r>
    </w:p>
    <w:p w:rsidR="00E85A81" w:rsidRDefault="00E85A81">
      <w:pPr>
        <w:spacing w:line="240" w:lineRule="auto"/>
      </w:pPr>
      <w:r>
        <w:t xml:space="preserve">Perera, H. (1989) Towards a framework to analyze the impact of culture on accounting. </w:t>
      </w:r>
      <w:r>
        <w:rPr>
          <w:i/>
          <w:iCs/>
        </w:rPr>
        <w:t xml:space="preserve">International Journal of Accounting, 24, </w:t>
      </w:r>
      <w:r>
        <w:t xml:space="preserve">42-56. </w:t>
      </w:r>
    </w:p>
    <w:p w:rsidR="00E85A81" w:rsidRDefault="00E85A81">
      <w:pPr>
        <w:spacing w:line="240" w:lineRule="auto"/>
      </w:pPr>
      <w:r>
        <w:t xml:space="preserve">Perera, H., &amp; Mathews, M.R. (1990). The cultural relativity of accounting and international patterns of social accounting. </w:t>
      </w:r>
      <w:r>
        <w:rPr>
          <w:i/>
          <w:iCs/>
        </w:rPr>
        <w:t xml:space="preserve">Advances in International Accounting, 3, </w:t>
      </w:r>
      <w:r>
        <w:t>215-251.</w:t>
      </w:r>
    </w:p>
    <w:p w:rsidR="00E85A81" w:rsidRDefault="00E85A81">
      <w:pPr>
        <w:spacing w:line="240" w:lineRule="auto"/>
      </w:pPr>
      <w:r>
        <w:t xml:space="preserve">Radebaugh, L.H. (1975). Environmental factors influencing the development of accounting objectives, standards and practices in Peru. </w:t>
      </w:r>
      <w:r>
        <w:rPr>
          <w:i/>
          <w:iCs/>
        </w:rPr>
        <w:t>International Journal of Accounting Education and Research, 11</w:t>
      </w:r>
      <w:r>
        <w:t>(Fall), 39-56.</w:t>
      </w:r>
    </w:p>
    <w:p w:rsidR="00E85A81" w:rsidRDefault="00E85A81">
      <w:pPr>
        <w:spacing w:line="240" w:lineRule="auto"/>
      </w:pPr>
      <w:r>
        <w:t xml:space="preserve">Roberts, C.B., &amp; Salter, S.B. (1999). Attitudes towards uniform accounting: cultural or economic phenomena? </w:t>
      </w:r>
      <w:r>
        <w:rPr>
          <w:i/>
          <w:iCs/>
        </w:rPr>
        <w:t>Journal of International Financial Management &amp; Accounting, 10</w:t>
      </w:r>
      <w:r>
        <w:t>(2), 121-142.</w:t>
      </w:r>
    </w:p>
    <w:p w:rsidR="00E85A81" w:rsidRDefault="00E85A81">
      <w:pPr>
        <w:spacing w:line="240" w:lineRule="auto"/>
      </w:pPr>
      <w:r>
        <w:rPr>
          <w:lang w:val="nl-NL"/>
        </w:rPr>
        <w:t xml:space="preserve">Salter, S.B., &amp; Niswander, F. (1995). </w:t>
      </w:r>
      <w:r>
        <w:t xml:space="preserve">Cultural influence on the development of accounting systems internationally: a test of Gray’s [1988] theory. </w:t>
      </w:r>
      <w:r>
        <w:rPr>
          <w:i/>
          <w:iCs/>
        </w:rPr>
        <w:t>Journal of International Business Studies, 26</w:t>
      </w:r>
      <w:r>
        <w:t>(2), 379-397.</w:t>
      </w:r>
    </w:p>
    <w:p w:rsidR="00E85A81" w:rsidRDefault="00E85A81">
      <w:pPr>
        <w:spacing w:line="240" w:lineRule="auto"/>
      </w:pPr>
      <w:r>
        <w:rPr>
          <w:lang w:val="nl-NL"/>
        </w:rPr>
        <w:t xml:space="preserve">Schultz, J.J., &amp; Lopez, T.J. (2001). </w:t>
      </w:r>
      <w:r>
        <w:t xml:space="preserve">The impact of national influence on accounting estimates: implications for international accounting standard-setters. </w:t>
      </w:r>
      <w:r>
        <w:rPr>
          <w:i/>
          <w:iCs/>
        </w:rPr>
        <w:t>The International Journal of Accounting, 36</w:t>
      </w:r>
      <w:r>
        <w:t>(3), 271-290.</w:t>
      </w:r>
    </w:p>
    <w:p w:rsidR="00E85A81" w:rsidRDefault="00E85A81">
      <w:pPr>
        <w:spacing w:line="240" w:lineRule="auto"/>
      </w:pPr>
      <w:r>
        <w:t xml:space="preserve">Sharpe, M. (1998). Looking for harmony: building a global framework. </w:t>
      </w:r>
      <w:r>
        <w:rPr>
          <w:i/>
          <w:iCs/>
        </w:rPr>
        <w:t xml:space="preserve">Australian Accountant, 68(2), </w:t>
      </w:r>
      <w:r>
        <w:t>16-18.</w:t>
      </w:r>
    </w:p>
    <w:p w:rsidR="00E85A81" w:rsidRDefault="00E85A81">
      <w:pPr>
        <w:spacing w:line="240" w:lineRule="auto"/>
      </w:pPr>
      <w:r>
        <w:rPr>
          <w:lang w:val="nl-NL"/>
        </w:rPr>
        <w:t xml:space="preserve">Street, D., &amp; Bryant, S. (2000). </w:t>
      </w:r>
      <w:r>
        <w:t xml:space="preserve">Disclosure level and compliance with IASs: A comparison of companies with and without U.S. listings and filings. </w:t>
      </w:r>
      <w:r>
        <w:rPr>
          <w:i/>
          <w:iCs/>
        </w:rPr>
        <w:t>The International Journal of Accounting, 35</w:t>
      </w:r>
      <w:r>
        <w:t>(3), 305-329.</w:t>
      </w:r>
    </w:p>
    <w:p w:rsidR="00E85A81" w:rsidRDefault="00E85A81">
      <w:pPr>
        <w:spacing w:line="240" w:lineRule="auto"/>
        <w:rPr>
          <w:lang w:val="fr-FR"/>
        </w:rPr>
      </w:pPr>
      <w:r>
        <w:t xml:space="preserve">Tsakumis, T.G. (2007). The influence of culture on accountants’ application of financial reporting rules. </w:t>
      </w:r>
      <w:r>
        <w:rPr>
          <w:i/>
          <w:iCs/>
          <w:lang w:val="fr-FR"/>
        </w:rPr>
        <w:t>Abacus, 43</w:t>
      </w:r>
      <w:r>
        <w:rPr>
          <w:lang w:val="fr-FR"/>
        </w:rPr>
        <w:t xml:space="preserve">(1), 27-44. </w:t>
      </w:r>
    </w:p>
    <w:p w:rsidR="00E85A81" w:rsidRDefault="00E85A81">
      <w:pPr>
        <w:spacing w:line="240" w:lineRule="auto"/>
      </w:pPr>
      <w:r>
        <w:rPr>
          <w:lang w:val="fr-FR"/>
        </w:rPr>
        <w:t xml:space="preserve">Violet, W.J. (1983). </w:t>
      </w:r>
      <w:r>
        <w:t xml:space="preserve">The development of international accounting standards: an anthropological perspective. </w:t>
      </w:r>
      <w:r>
        <w:rPr>
          <w:i/>
          <w:iCs/>
        </w:rPr>
        <w:t>International Journal of Accounting Education and Research, 18</w:t>
      </w:r>
      <w:r>
        <w:t>, 1-12.</w:t>
      </w:r>
    </w:p>
    <w:p w:rsidR="00E85A81" w:rsidRDefault="00E85A81">
      <w:pPr>
        <w:spacing w:line="240" w:lineRule="auto"/>
      </w:pPr>
      <w:r>
        <w:t xml:space="preserve">Wingate, M.L. (1997). An examination of cultural influence on audit environments. </w:t>
      </w:r>
      <w:r>
        <w:rPr>
          <w:i/>
          <w:iCs/>
        </w:rPr>
        <w:t>Research in Accounting Regulation,</w:t>
      </w:r>
      <w:r>
        <w:t xml:space="preserve"> Supp. 1, 129-148.</w:t>
      </w:r>
    </w:p>
    <w:p w:rsidR="00E85A81" w:rsidRDefault="00E85A81">
      <w:pPr>
        <w:spacing w:line="240" w:lineRule="auto"/>
      </w:pPr>
      <w:r>
        <w:rPr>
          <w:lang w:val="nl-NL"/>
        </w:rPr>
        <w:t xml:space="preserve">Zarzeski, M.T. (1996). </w:t>
      </w:r>
      <w:r>
        <w:t xml:space="preserve">Spontaneous harmonization effects of culture and market forces on accounting disclosure practices. </w:t>
      </w:r>
      <w:r>
        <w:rPr>
          <w:i/>
          <w:iCs/>
        </w:rPr>
        <w:t>Accounting Horizons, 10</w:t>
      </w:r>
      <w:r>
        <w:t>(1), 18-37.</w:t>
      </w:r>
    </w:p>
    <w:p w:rsidR="00E85A81" w:rsidRDefault="00E85A81">
      <w:pPr>
        <w:spacing w:line="240" w:lineRule="auto"/>
      </w:pPr>
    </w:p>
    <w:p w:rsidR="00E85A81" w:rsidRDefault="00E85A81">
      <w:pPr>
        <w:numPr>
          <w:ilvl w:val="0"/>
          <w:numId w:val="6"/>
          <w:numberingChange w:id="86" w:author="C.D. Knoops" w:date="2011-06-19T21:46:00Z" w:original=""/>
        </w:numPr>
        <w:spacing w:line="240" w:lineRule="auto"/>
        <w:rPr>
          <w:rFonts w:ascii="Times New Roman" w:hAnsi="Times New Roman" w:cs="Times New Roman"/>
          <w:b/>
          <w:bCs/>
          <w:i/>
          <w:iCs/>
        </w:rPr>
      </w:pPr>
      <w:r>
        <w:rPr>
          <w:b/>
          <w:bCs/>
          <w:i/>
          <w:iCs/>
        </w:rPr>
        <w:t>Books</w:t>
      </w:r>
    </w:p>
    <w:p w:rsidR="00E85A81" w:rsidRDefault="00E85A81">
      <w:pPr>
        <w:spacing w:line="240" w:lineRule="auto"/>
        <w:rPr>
          <w:rFonts w:ascii="Times New Roman" w:hAnsi="Times New Roman" w:cs="Times New Roman"/>
          <w:b/>
          <w:bCs/>
          <w:i/>
          <w:iCs/>
        </w:rPr>
      </w:pPr>
      <w:r>
        <w:t xml:space="preserve">Ankarath, N., Mehta, K.J., Ghosh, T.P., &amp; Alkafaji, Y.A. (2010). </w:t>
      </w:r>
      <w:r>
        <w:rPr>
          <w:i/>
          <w:iCs/>
        </w:rPr>
        <w:t>Understanding IFRS fundamentals</w:t>
      </w:r>
      <w:r>
        <w:t xml:space="preserve">. Hoboken, New Jersey: John Wiley &amp; Sons, Inc. </w:t>
      </w:r>
    </w:p>
    <w:p w:rsidR="00E85A81" w:rsidRDefault="00E85A81">
      <w:pPr>
        <w:spacing w:line="240" w:lineRule="auto"/>
        <w:rPr>
          <w:lang w:val="nl-NL"/>
        </w:rPr>
      </w:pPr>
      <w:r>
        <w:rPr>
          <w:lang w:val="nl-NL"/>
        </w:rPr>
        <w:t xml:space="preserve">Bik, O.P.G. (2011). </w:t>
      </w:r>
      <w:r>
        <w:rPr>
          <w:i/>
          <w:iCs/>
        </w:rPr>
        <w:t>The behavior of assurance professionals: a cross-cultural perspective</w:t>
      </w:r>
      <w:r>
        <w:t xml:space="preserve">. </w:t>
      </w:r>
      <w:r>
        <w:rPr>
          <w:lang w:val="nl-NL"/>
        </w:rPr>
        <w:t>Delft: Eburon Rijksuniversiteit Groningen.</w:t>
      </w:r>
    </w:p>
    <w:p w:rsidR="00E85A81" w:rsidRDefault="00E85A81">
      <w:pPr>
        <w:pStyle w:val="NoSpacing"/>
        <w:spacing w:after="200"/>
        <w:rPr>
          <w:rStyle w:val="SubtleEmphasis"/>
          <w:rFonts w:ascii="Calibri" w:hAnsi="Calibri" w:cs="Calibri"/>
          <w:i w:val="0"/>
          <w:iCs w:val="0"/>
        </w:rPr>
      </w:pPr>
      <w:r>
        <w:rPr>
          <w:rStyle w:val="SubtleEmphasis"/>
          <w:rFonts w:ascii="Calibri" w:hAnsi="Calibri" w:cs="Calibri"/>
          <w:i w:val="0"/>
          <w:iCs w:val="0"/>
        </w:rPr>
        <w:t xml:space="preserve">Deegan, C. (2009). </w:t>
      </w:r>
      <w:r>
        <w:rPr>
          <w:rStyle w:val="SubtleEmphasis"/>
          <w:rFonts w:ascii="Calibri" w:hAnsi="Calibri" w:cs="Calibri"/>
        </w:rPr>
        <w:t>Financial accounting theory</w:t>
      </w:r>
      <w:r>
        <w:rPr>
          <w:rStyle w:val="SubtleEmphasis"/>
          <w:rFonts w:ascii="Calibri" w:hAnsi="Calibri" w:cs="Calibri"/>
          <w:i w:val="0"/>
          <w:iCs w:val="0"/>
        </w:rPr>
        <w:t>. Australia: McGraw Hill Education.</w:t>
      </w:r>
    </w:p>
    <w:p w:rsidR="00E85A81" w:rsidRDefault="00E85A81">
      <w:pPr>
        <w:autoSpaceDE w:val="0"/>
        <w:autoSpaceDN w:val="0"/>
        <w:adjustRightInd w:val="0"/>
        <w:spacing w:line="240" w:lineRule="auto"/>
      </w:pPr>
      <w:r>
        <w:t xml:space="preserve">Gray, S.J., Campbell, L.G., &amp; Shaw, J.C. (1984).  </w:t>
      </w:r>
      <w:r>
        <w:rPr>
          <w:i/>
          <w:iCs/>
        </w:rPr>
        <w:t>Information disclosure and the multinational corporation.</w:t>
      </w:r>
      <w:r>
        <w:t xml:space="preserve"> Chichester: John Wiley.</w:t>
      </w:r>
    </w:p>
    <w:p w:rsidR="00E85A81" w:rsidRDefault="00E85A81">
      <w:pPr>
        <w:autoSpaceDE w:val="0"/>
        <w:autoSpaceDN w:val="0"/>
        <w:adjustRightInd w:val="0"/>
        <w:spacing w:line="240" w:lineRule="auto"/>
      </w:pPr>
      <w:r>
        <w:t xml:space="preserve">Hofstede, G. (1980). </w:t>
      </w:r>
      <w:r>
        <w:rPr>
          <w:i/>
          <w:iCs/>
        </w:rPr>
        <w:t>Culture's consequences: international differences in work-related values</w:t>
      </w:r>
      <w:r>
        <w:t>. Beverly Hills, California: Sage Publications.</w:t>
      </w:r>
    </w:p>
    <w:p w:rsidR="00E85A81" w:rsidRDefault="00E85A81">
      <w:pPr>
        <w:spacing w:line="240" w:lineRule="auto"/>
      </w:pPr>
      <w:r>
        <w:rPr>
          <w:lang w:val="nl-NL"/>
        </w:rPr>
        <w:t xml:space="preserve">Hofstede, G., &amp; Hofstede, G.J. (2005). </w:t>
      </w:r>
      <w:r>
        <w:rPr>
          <w:i/>
          <w:iCs/>
        </w:rPr>
        <w:t>Cultures and organizations: Software of the mind.</w:t>
      </w:r>
      <w:r>
        <w:t xml:space="preserve"> New York: McGraw Hill. </w:t>
      </w:r>
    </w:p>
    <w:p w:rsidR="00E85A81" w:rsidRDefault="00E85A81">
      <w:pPr>
        <w:spacing w:line="240" w:lineRule="auto"/>
      </w:pPr>
      <w:r>
        <w:t xml:space="preserve">House, R.J., Hanges, P.J., Javidan, M., Dorfman, P.W., &amp; Gupta, V. (2004). </w:t>
      </w:r>
      <w:r>
        <w:rPr>
          <w:i/>
          <w:iCs/>
        </w:rPr>
        <w:t>Culture, leadership, and organizations: the GLOBE study of 62 societies.</w:t>
      </w:r>
      <w:r>
        <w:t xml:space="preserve"> California: Sage Publications. </w:t>
      </w:r>
    </w:p>
    <w:p w:rsidR="00E85A81" w:rsidRDefault="00E85A81">
      <w:pPr>
        <w:spacing w:line="240" w:lineRule="auto"/>
      </w:pPr>
      <w:r>
        <w:t xml:space="preserve">Mirza, A.A., Knorr, L., Holt, G. &amp; Orrell, M. (2008). </w:t>
      </w:r>
      <w:r>
        <w:rPr>
          <w:i/>
          <w:iCs/>
        </w:rPr>
        <w:t>Wiley IFRS: practical implementation guide and workbook</w:t>
      </w:r>
      <w:r>
        <w:t>. United States: John Wiley &amp; Sons, Inc.</w:t>
      </w:r>
    </w:p>
    <w:p w:rsidR="00E85A81" w:rsidRDefault="00E85A81">
      <w:pPr>
        <w:spacing w:line="240" w:lineRule="auto"/>
      </w:pPr>
      <w:r>
        <w:rPr>
          <w:lang w:val="fr-FR"/>
        </w:rPr>
        <w:t xml:space="preserve">Mueller, G.G. (1967). </w:t>
      </w:r>
      <w:r>
        <w:rPr>
          <w:i/>
          <w:iCs/>
        </w:rPr>
        <w:t>International accounting.</w:t>
      </w:r>
      <w:r>
        <w:t xml:space="preserve"> New York: Macmillan.</w:t>
      </w:r>
    </w:p>
    <w:p w:rsidR="00E85A81" w:rsidRDefault="00E85A81">
      <w:pPr>
        <w:autoSpaceDE w:val="0"/>
        <w:autoSpaceDN w:val="0"/>
        <w:adjustRightInd w:val="0"/>
        <w:spacing w:line="240" w:lineRule="auto"/>
      </w:pPr>
      <w:r>
        <w:t xml:space="preserve">Nobes, C. (1984). </w:t>
      </w:r>
      <w:r>
        <w:rPr>
          <w:i/>
          <w:iCs/>
        </w:rPr>
        <w:t>International classification of financial reporting</w:t>
      </w:r>
      <w:r>
        <w:t>. London: Croom Helm.</w:t>
      </w:r>
    </w:p>
    <w:p w:rsidR="00E85A81" w:rsidRDefault="00E85A81">
      <w:pPr>
        <w:autoSpaceDE w:val="0"/>
        <w:autoSpaceDN w:val="0"/>
        <w:adjustRightInd w:val="0"/>
        <w:spacing w:line="240" w:lineRule="auto"/>
        <w:rPr>
          <w:rStyle w:val="highlight3"/>
          <w:rFonts w:ascii="Calibri" w:hAnsi="Calibri" w:cs="Calibri"/>
          <w:b w:val="0"/>
          <w:bCs w:val="0"/>
        </w:rPr>
      </w:pPr>
      <w:r>
        <w:t xml:space="preserve">Nobes, C. (1992). </w:t>
      </w:r>
      <w:r>
        <w:rPr>
          <w:i/>
          <w:iCs/>
        </w:rPr>
        <w:t>International classification of financial reporting</w:t>
      </w:r>
      <w:r>
        <w:t>. London: Croom Helm.</w:t>
      </w:r>
    </w:p>
    <w:p w:rsidR="00E85A81" w:rsidRDefault="00E85A81">
      <w:pPr>
        <w:spacing w:line="240" w:lineRule="auto"/>
      </w:pPr>
      <w:r>
        <w:t xml:space="preserve">Nobes, C., &amp; Parker, R. (2004). </w:t>
      </w:r>
      <w:r>
        <w:rPr>
          <w:i/>
          <w:iCs/>
        </w:rPr>
        <w:t xml:space="preserve">Comparative international accounting. </w:t>
      </w:r>
      <w:r>
        <w:t>Harlow: Pearson Education Limited.</w:t>
      </w:r>
    </w:p>
    <w:p w:rsidR="00E85A81" w:rsidRDefault="00E85A81">
      <w:pPr>
        <w:spacing w:line="240" w:lineRule="auto"/>
      </w:pPr>
    </w:p>
    <w:p w:rsidR="00E85A81" w:rsidRDefault="00E85A81">
      <w:pPr>
        <w:numPr>
          <w:ilvl w:val="0"/>
          <w:numId w:val="6"/>
          <w:numberingChange w:id="87" w:author="C.D. Knoops" w:date="2011-06-19T21:46:00Z" w:original=""/>
        </w:numPr>
        <w:spacing w:line="240" w:lineRule="auto"/>
        <w:rPr>
          <w:b/>
          <w:bCs/>
          <w:i/>
          <w:iCs/>
        </w:rPr>
      </w:pPr>
      <w:r>
        <w:rPr>
          <w:b/>
          <w:bCs/>
          <w:i/>
          <w:iCs/>
        </w:rPr>
        <w:t>Websites</w:t>
      </w:r>
    </w:p>
    <w:p w:rsidR="00E85A81" w:rsidRDefault="00E85A81">
      <w:pPr>
        <w:spacing w:line="240" w:lineRule="auto"/>
        <w:rPr>
          <w:b/>
          <w:bCs/>
          <w:i/>
          <w:iCs/>
        </w:rPr>
      </w:pPr>
      <w:r>
        <w:t xml:space="preserve">International Accounting Standards Board: </w:t>
      </w:r>
      <w:hyperlink r:id="rId8" w:history="1">
        <w:r>
          <w:rPr>
            <w:rStyle w:val="Hyperlink"/>
            <w:rFonts w:ascii="Calibri" w:hAnsi="Calibri" w:cs="Calibri"/>
            <w:color w:val="auto"/>
          </w:rPr>
          <w:t>www.ifrs.org</w:t>
        </w:r>
      </w:hyperlink>
    </w:p>
    <w:p w:rsidR="00E85A81" w:rsidRDefault="00E85A81">
      <w:pPr>
        <w:pStyle w:val="Heading1"/>
        <w:spacing w:after="200"/>
        <w:rPr>
          <w:rFonts w:ascii="Times New Roman" w:hAnsi="Times New Roman" w:cs="Times New Roman"/>
        </w:rPr>
      </w:pPr>
      <w:r>
        <w:rPr>
          <w:rFonts w:ascii="Times New Roman" w:hAnsi="Times New Roman" w:cs="Times New Roman"/>
        </w:rPr>
        <w:br w:type="page"/>
      </w:r>
      <w:bookmarkStart w:id="88" w:name="_Toc296002229"/>
      <w:r>
        <w:rPr>
          <w:rFonts w:ascii="Times New Roman" w:hAnsi="Times New Roman" w:cs="Times New Roman"/>
        </w:rPr>
        <w:t>Appendix</w:t>
      </w:r>
      <w:bookmarkEnd w:id="88"/>
    </w:p>
    <w:p w:rsidR="00E85A81" w:rsidRDefault="00E85A81">
      <w:pPr>
        <w:autoSpaceDE w:val="0"/>
        <w:autoSpaceDN w:val="0"/>
        <w:adjustRightInd w:val="0"/>
        <w:spacing w:after="0" w:line="360" w:lineRule="auto"/>
        <w:ind w:left="286"/>
        <w:rPr>
          <w:color w:val="000000"/>
        </w:rPr>
      </w:pPr>
      <w:r>
        <w:rPr>
          <w:color w:val="000000"/>
        </w:rPr>
        <w:t>Figure 1: Accounting values related to authority and enforcement of countries’ accounting systems</w:t>
      </w:r>
    </w:p>
    <w:p w:rsidR="00E85A81" w:rsidRDefault="00E85A81">
      <w:pPr>
        <w:autoSpaceDE w:val="0"/>
        <w:autoSpaceDN w:val="0"/>
        <w:adjustRightInd w:val="0"/>
        <w:spacing w:after="0" w:line="360" w:lineRule="auto"/>
        <w:ind w:left="286"/>
        <w:rPr>
          <w:rFonts w:ascii="Times New Roman" w:hAnsi="Times New Roman" w:cs="Times New Roman"/>
          <w:color w:val="000000"/>
        </w:rPr>
      </w:pPr>
      <w:r>
        <w:rPr>
          <w:noProof/>
          <w:lang w:val="nl-NL" w:eastAsia="nl-NL"/>
        </w:rPr>
        <w:pict>
          <v:shape id="Afbeelding 56" o:spid="_x0000_s1080" type="#_x0000_t75" style="position:absolute;left:0;text-align:left;margin-left:83.25pt;margin-top:3.35pt;width:303.25pt;height:247.75pt;z-index:251658752;visibility:visible">
            <v:imagedata r:id="rId9" o:title="" croptop="10041f" cropbottom="4705f" cropleft="13254f" cropright="13360f"/>
            <w10:wrap type="topAndBottom"/>
          </v:shape>
        </w:pict>
      </w:r>
    </w:p>
    <w:p w:rsidR="00E85A81" w:rsidRDefault="00E85A81">
      <w:pPr>
        <w:autoSpaceDE w:val="0"/>
        <w:autoSpaceDN w:val="0"/>
        <w:adjustRightInd w:val="0"/>
        <w:spacing w:after="0" w:line="360" w:lineRule="auto"/>
        <w:ind w:left="286"/>
        <w:rPr>
          <w:color w:val="000000"/>
        </w:rPr>
      </w:pPr>
      <w:r>
        <w:rPr>
          <w:color w:val="000000"/>
        </w:rPr>
        <w:t>Figure 2: Accounting values related to measurement and disclosure of countries’ accounting systems</w:t>
      </w:r>
    </w:p>
    <w:p w:rsidR="00E85A81" w:rsidRDefault="00E85A81">
      <w:pPr>
        <w:autoSpaceDE w:val="0"/>
        <w:autoSpaceDN w:val="0"/>
        <w:adjustRightInd w:val="0"/>
        <w:spacing w:after="0" w:line="360" w:lineRule="auto"/>
        <w:rPr>
          <w:rFonts w:ascii="Times New Roman" w:hAnsi="Times New Roman" w:cs="Times New Roman"/>
        </w:rPr>
      </w:pPr>
      <w:r>
        <w:rPr>
          <w:noProof/>
          <w:lang w:val="nl-NL" w:eastAsia="nl-NL"/>
        </w:rPr>
        <w:pict>
          <v:shape id="Afbeelding 55" o:spid="_x0000_s1081" type="#_x0000_t75" style="position:absolute;left:0;text-align:left;margin-left:1in;margin-top:22.5pt;width:352.5pt;height:291.25pt;z-index:-251658752;visibility:visible">
            <v:imagedata r:id="rId10" o:title="" croptop="8829f" cropbottom="3529f" cropleft="13255f" cropright="11992f"/>
            <w10:wrap type="topAndBottom"/>
          </v:shape>
        </w:pict>
      </w:r>
    </w:p>
    <w:p w:rsidR="00E85A81" w:rsidRDefault="00E85A81">
      <w:pPr>
        <w:autoSpaceDE w:val="0"/>
        <w:autoSpaceDN w:val="0"/>
        <w:adjustRightInd w:val="0"/>
        <w:spacing w:after="0"/>
        <w:rPr>
          <w:rFonts w:ascii="Times New Roman" w:hAnsi="Times New Roman" w:cs="Times New Roman"/>
        </w:rPr>
      </w:pPr>
      <w:r>
        <w:t>Table 1: No IAS/IFRS in research design</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84"/>
        <w:gridCol w:w="1134"/>
        <w:gridCol w:w="1418"/>
        <w:gridCol w:w="1275"/>
        <w:gridCol w:w="993"/>
        <w:gridCol w:w="3118"/>
      </w:tblGrid>
      <w:tr w:rsidR="00E85A81">
        <w:tc>
          <w:tcPr>
            <w:tcW w:w="1384" w:type="dxa"/>
          </w:tcPr>
          <w:p w:rsidR="00E85A81" w:rsidRDefault="00E85A81">
            <w:pPr>
              <w:spacing w:line="240" w:lineRule="auto"/>
              <w:rPr>
                <w:rFonts w:ascii="Arial" w:hAnsi="Arial" w:cs="Arial"/>
              </w:rPr>
            </w:pPr>
          </w:p>
        </w:tc>
        <w:tc>
          <w:tcPr>
            <w:tcW w:w="1134" w:type="dxa"/>
          </w:tcPr>
          <w:p w:rsidR="00E85A81" w:rsidRDefault="00E85A81">
            <w:pPr>
              <w:autoSpaceDE w:val="0"/>
              <w:autoSpaceDN w:val="0"/>
              <w:adjustRightInd w:val="0"/>
              <w:spacing w:after="0" w:line="240" w:lineRule="auto"/>
              <w:jc w:val="center"/>
              <w:rPr>
                <w:b/>
                <w:bCs/>
              </w:rPr>
            </w:pPr>
            <w:r>
              <w:rPr>
                <w:b/>
                <w:bCs/>
              </w:rPr>
              <w:t>Unit of analysis</w:t>
            </w:r>
          </w:p>
        </w:tc>
        <w:tc>
          <w:tcPr>
            <w:tcW w:w="1418" w:type="dxa"/>
          </w:tcPr>
          <w:p w:rsidR="00E85A81" w:rsidRDefault="00E85A81">
            <w:pPr>
              <w:autoSpaceDE w:val="0"/>
              <w:autoSpaceDN w:val="0"/>
              <w:adjustRightInd w:val="0"/>
              <w:spacing w:after="0" w:line="240" w:lineRule="auto"/>
              <w:jc w:val="center"/>
              <w:rPr>
                <w:b/>
                <w:bCs/>
              </w:rPr>
            </w:pPr>
            <w:r>
              <w:rPr>
                <w:b/>
                <w:bCs/>
              </w:rPr>
              <w:t>Independent variables</w:t>
            </w:r>
          </w:p>
        </w:tc>
        <w:tc>
          <w:tcPr>
            <w:tcW w:w="1275" w:type="dxa"/>
          </w:tcPr>
          <w:p w:rsidR="00E85A81" w:rsidRDefault="00E85A81">
            <w:pPr>
              <w:autoSpaceDE w:val="0"/>
              <w:autoSpaceDN w:val="0"/>
              <w:adjustRightInd w:val="0"/>
              <w:spacing w:after="0" w:line="240" w:lineRule="auto"/>
              <w:jc w:val="center"/>
              <w:rPr>
                <w:b/>
                <w:bCs/>
              </w:rPr>
            </w:pPr>
            <w:r>
              <w:rPr>
                <w:b/>
                <w:bCs/>
              </w:rPr>
              <w:t>Dependent variables</w:t>
            </w:r>
          </w:p>
        </w:tc>
        <w:tc>
          <w:tcPr>
            <w:tcW w:w="993" w:type="dxa"/>
          </w:tcPr>
          <w:p w:rsidR="00E85A81" w:rsidRDefault="00E85A81">
            <w:pPr>
              <w:autoSpaceDE w:val="0"/>
              <w:autoSpaceDN w:val="0"/>
              <w:adjustRightInd w:val="0"/>
              <w:spacing w:after="0" w:line="240" w:lineRule="auto"/>
              <w:ind w:right="-108"/>
              <w:jc w:val="center"/>
              <w:rPr>
                <w:b/>
                <w:bCs/>
              </w:rPr>
            </w:pPr>
            <w:r>
              <w:rPr>
                <w:b/>
                <w:bCs/>
              </w:rPr>
              <w:t># of countries</w:t>
            </w:r>
          </w:p>
        </w:tc>
        <w:tc>
          <w:tcPr>
            <w:tcW w:w="3118" w:type="dxa"/>
          </w:tcPr>
          <w:p w:rsidR="00E85A81" w:rsidRDefault="00E85A81">
            <w:pPr>
              <w:autoSpaceDE w:val="0"/>
              <w:autoSpaceDN w:val="0"/>
              <w:adjustRightInd w:val="0"/>
              <w:spacing w:after="0" w:line="240" w:lineRule="auto"/>
              <w:jc w:val="center"/>
              <w:rPr>
                <w:b/>
                <w:bCs/>
              </w:rPr>
            </w:pPr>
            <w:r>
              <w:rPr>
                <w:b/>
                <w:bCs/>
              </w:rPr>
              <w:t>Results</w:t>
            </w:r>
          </w:p>
        </w:tc>
      </w:tr>
      <w:tr w:rsidR="00E85A81">
        <w:tc>
          <w:tcPr>
            <w:tcW w:w="9322" w:type="dxa"/>
            <w:gridSpan w:val="6"/>
          </w:tcPr>
          <w:p w:rsidR="00E85A81" w:rsidRDefault="00E85A81">
            <w:pPr>
              <w:autoSpaceDE w:val="0"/>
              <w:autoSpaceDN w:val="0"/>
              <w:adjustRightInd w:val="0"/>
              <w:spacing w:after="0" w:line="240" w:lineRule="auto"/>
              <w:rPr>
                <w:b/>
                <w:bCs/>
              </w:rPr>
            </w:pPr>
            <w:r>
              <w:rPr>
                <w:b/>
                <w:bCs/>
              </w:rPr>
              <w:t xml:space="preserve">Uniformity </w:t>
            </w:r>
          </w:p>
        </w:tc>
      </w:tr>
      <w:tr w:rsidR="00E85A81">
        <w:tc>
          <w:tcPr>
            <w:tcW w:w="1384" w:type="dxa"/>
          </w:tcPr>
          <w:p w:rsidR="00E85A81" w:rsidRDefault="00E85A81">
            <w:pPr>
              <w:spacing w:line="240" w:lineRule="auto"/>
              <w:rPr>
                <w:rFonts w:ascii="Arial" w:hAnsi="Arial" w:cs="Arial"/>
              </w:rPr>
            </w:pPr>
            <w:r>
              <w:t>Robert and Salter (1999)</w:t>
            </w:r>
          </w:p>
          <w:p w:rsidR="00E85A81" w:rsidRDefault="00E85A81">
            <w:pPr>
              <w:autoSpaceDE w:val="0"/>
              <w:autoSpaceDN w:val="0"/>
              <w:adjustRightInd w:val="0"/>
              <w:spacing w:after="0" w:line="240" w:lineRule="auto"/>
              <w:rPr>
                <w:rFonts w:ascii="Arial" w:hAnsi="Arial" w:cs="Arial"/>
              </w:rPr>
            </w:pPr>
          </w:p>
        </w:tc>
        <w:tc>
          <w:tcPr>
            <w:tcW w:w="1134" w:type="dxa"/>
          </w:tcPr>
          <w:p w:rsidR="00E85A81" w:rsidRDefault="00E85A81">
            <w:pPr>
              <w:autoSpaceDE w:val="0"/>
              <w:autoSpaceDN w:val="0"/>
              <w:adjustRightInd w:val="0"/>
              <w:spacing w:after="0" w:line="240" w:lineRule="auto"/>
              <w:rPr>
                <w:sz w:val="20"/>
                <w:szCs w:val="20"/>
              </w:rPr>
            </w:pPr>
            <w:r>
              <w:rPr>
                <w:sz w:val="20"/>
                <w:szCs w:val="20"/>
              </w:rPr>
              <w:t xml:space="preserve">Individual </w:t>
            </w:r>
          </w:p>
        </w:tc>
        <w:tc>
          <w:tcPr>
            <w:tcW w:w="1418" w:type="dxa"/>
          </w:tcPr>
          <w:p w:rsidR="00E85A81" w:rsidRDefault="00E85A81">
            <w:pPr>
              <w:autoSpaceDE w:val="0"/>
              <w:autoSpaceDN w:val="0"/>
              <w:adjustRightInd w:val="0"/>
              <w:spacing w:after="0" w:line="240" w:lineRule="auto"/>
              <w:rPr>
                <w:sz w:val="20"/>
                <w:szCs w:val="20"/>
              </w:rPr>
            </w:pPr>
            <w:r>
              <w:rPr>
                <w:sz w:val="20"/>
                <w:szCs w:val="20"/>
              </w:rPr>
              <w:t>Cultural dimensions</w:t>
            </w:r>
          </w:p>
          <w:p w:rsidR="00E85A81" w:rsidRDefault="00E85A81">
            <w:pPr>
              <w:autoSpaceDE w:val="0"/>
              <w:autoSpaceDN w:val="0"/>
              <w:adjustRightInd w:val="0"/>
              <w:spacing w:after="0" w:line="240" w:lineRule="auto"/>
              <w:rPr>
                <w:sz w:val="20"/>
                <w:szCs w:val="20"/>
              </w:rPr>
            </w:pPr>
            <w:r>
              <w:rPr>
                <w:sz w:val="20"/>
                <w:szCs w:val="20"/>
              </w:rPr>
              <w:t>Market capital</w:t>
            </w:r>
          </w:p>
        </w:tc>
        <w:tc>
          <w:tcPr>
            <w:tcW w:w="1275" w:type="dxa"/>
          </w:tcPr>
          <w:p w:rsidR="00E85A81" w:rsidRDefault="00E85A81">
            <w:pPr>
              <w:autoSpaceDE w:val="0"/>
              <w:autoSpaceDN w:val="0"/>
              <w:adjustRightInd w:val="0"/>
              <w:spacing w:after="0" w:line="240" w:lineRule="auto"/>
              <w:rPr>
                <w:sz w:val="20"/>
                <w:szCs w:val="20"/>
              </w:rPr>
            </w:pPr>
            <w:r>
              <w:rPr>
                <w:sz w:val="20"/>
                <w:szCs w:val="20"/>
              </w:rPr>
              <w:t>The desirability of a single accounting standard</w:t>
            </w:r>
          </w:p>
        </w:tc>
        <w:tc>
          <w:tcPr>
            <w:tcW w:w="993" w:type="dxa"/>
          </w:tcPr>
          <w:p w:rsidR="00E85A81" w:rsidRDefault="00E85A81">
            <w:pPr>
              <w:autoSpaceDE w:val="0"/>
              <w:autoSpaceDN w:val="0"/>
              <w:adjustRightInd w:val="0"/>
              <w:spacing w:after="0" w:line="240" w:lineRule="auto"/>
              <w:rPr>
                <w:sz w:val="20"/>
                <w:szCs w:val="20"/>
              </w:rPr>
            </w:pPr>
            <w:r>
              <w:rPr>
                <w:sz w:val="20"/>
                <w:szCs w:val="20"/>
              </w:rPr>
              <w:t>23</w:t>
            </w:r>
          </w:p>
        </w:tc>
        <w:tc>
          <w:tcPr>
            <w:tcW w:w="3118" w:type="dxa"/>
          </w:tcPr>
          <w:p w:rsidR="00E85A81" w:rsidRDefault="00E85A81">
            <w:pPr>
              <w:autoSpaceDE w:val="0"/>
              <w:autoSpaceDN w:val="0"/>
              <w:adjustRightInd w:val="0"/>
              <w:spacing w:after="0" w:line="240" w:lineRule="auto"/>
              <w:rPr>
                <w:sz w:val="20"/>
                <w:szCs w:val="20"/>
              </w:rPr>
            </w:pPr>
            <w:r>
              <w:rPr>
                <w:sz w:val="20"/>
                <w:szCs w:val="20"/>
              </w:rPr>
              <w:t>Support for Gray’s uniformity hypothesis for PD and IND</w:t>
            </w:r>
          </w:p>
        </w:tc>
      </w:tr>
      <w:tr w:rsidR="00E85A81">
        <w:tc>
          <w:tcPr>
            <w:tcW w:w="9322" w:type="dxa"/>
            <w:gridSpan w:val="6"/>
          </w:tcPr>
          <w:p w:rsidR="00E85A81" w:rsidRDefault="00E85A81">
            <w:pPr>
              <w:autoSpaceDE w:val="0"/>
              <w:autoSpaceDN w:val="0"/>
              <w:adjustRightInd w:val="0"/>
              <w:spacing w:after="0" w:line="240" w:lineRule="auto"/>
              <w:rPr>
                <w:rFonts w:ascii="Arial" w:hAnsi="Arial" w:cs="Arial"/>
                <w:b/>
                <w:bCs/>
                <w:sz w:val="20"/>
                <w:szCs w:val="20"/>
              </w:rPr>
            </w:pPr>
            <w:r>
              <w:rPr>
                <w:b/>
                <w:bCs/>
              </w:rPr>
              <w:t>Conservatism</w:t>
            </w:r>
          </w:p>
        </w:tc>
      </w:tr>
      <w:tr w:rsidR="00E85A81">
        <w:tc>
          <w:tcPr>
            <w:tcW w:w="1384" w:type="dxa"/>
          </w:tcPr>
          <w:p w:rsidR="00E85A81" w:rsidRDefault="00E85A81">
            <w:pPr>
              <w:autoSpaceDE w:val="0"/>
              <w:autoSpaceDN w:val="0"/>
              <w:adjustRightInd w:val="0"/>
              <w:spacing w:after="0" w:line="240" w:lineRule="auto"/>
              <w:jc w:val="left"/>
            </w:pPr>
            <w:r>
              <w:t>Schultz and Lopez (2001)</w:t>
            </w:r>
          </w:p>
        </w:tc>
        <w:tc>
          <w:tcPr>
            <w:tcW w:w="1134" w:type="dxa"/>
          </w:tcPr>
          <w:p w:rsidR="00E85A81" w:rsidRDefault="00E85A81">
            <w:pPr>
              <w:autoSpaceDE w:val="0"/>
              <w:autoSpaceDN w:val="0"/>
              <w:adjustRightInd w:val="0"/>
              <w:spacing w:after="0" w:line="240" w:lineRule="auto"/>
              <w:ind w:right="-108"/>
              <w:rPr>
                <w:rFonts w:ascii="Arial" w:hAnsi="Arial" w:cs="Arial"/>
                <w:sz w:val="20"/>
                <w:szCs w:val="20"/>
              </w:rPr>
            </w:pPr>
            <w:r>
              <w:rPr>
                <w:sz w:val="20"/>
                <w:szCs w:val="20"/>
              </w:rPr>
              <w:t xml:space="preserve">Individual </w:t>
            </w:r>
          </w:p>
        </w:tc>
        <w:tc>
          <w:tcPr>
            <w:tcW w:w="1418" w:type="dxa"/>
          </w:tcPr>
          <w:p w:rsidR="00E85A81" w:rsidRDefault="00E85A81">
            <w:pPr>
              <w:autoSpaceDE w:val="0"/>
              <w:autoSpaceDN w:val="0"/>
              <w:adjustRightInd w:val="0"/>
              <w:spacing w:after="0" w:line="240" w:lineRule="auto"/>
              <w:rPr>
                <w:sz w:val="20"/>
                <w:szCs w:val="20"/>
              </w:rPr>
            </w:pPr>
            <w:r>
              <w:rPr>
                <w:sz w:val="20"/>
                <w:szCs w:val="20"/>
              </w:rPr>
              <w:t>3 levels of probability</w:t>
            </w:r>
          </w:p>
          <w:p w:rsidR="00E85A81" w:rsidRDefault="00E85A81">
            <w:pPr>
              <w:autoSpaceDE w:val="0"/>
              <w:autoSpaceDN w:val="0"/>
              <w:adjustRightInd w:val="0"/>
              <w:spacing w:after="0" w:line="240" w:lineRule="auto"/>
              <w:rPr>
                <w:sz w:val="20"/>
                <w:szCs w:val="20"/>
              </w:rPr>
            </w:pPr>
            <w:r>
              <w:rPr>
                <w:sz w:val="20"/>
                <w:szCs w:val="20"/>
              </w:rPr>
              <w:t>2 monetary amounts</w:t>
            </w:r>
          </w:p>
        </w:tc>
        <w:tc>
          <w:tcPr>
            <w:tcW w:w="1275" w:type="dxa"/>
          </w:tcPr>
          <w:p w:rsidR="00E85A81" w:rsidRDefault="00E85A81">
            <w:pPr>
              <w:autoSpaceDE w:val="0"/>
              <w:autoSpaceDN w:val="0"/>
              <w:adjustRightInd w:val="0"/>
              <w:spacing w:after="0" w:line="240" w:lineRule="auto"/>
              <w:rPr>
                <w:sz w:val="20"/>
                <w:szCs w:val="20"/>
              </w:rPr>
            </w:pPr>
            <w:r>
              <w:rPr>
                <w:sz w:val="20"/>
                <w:szCs w:val="20"/>
              </w:rPr>
              <w:t>The amount of warranty expense</w:t>
            </w:r>
          </w:p>
        </w:tc>
        <w:tc>
          <w:tcPr>
            <w:tcW w:w="993" w:type="dxa"/>
          </w:tcPr>
          <w:p w:rsidR="00E85A81" w:rsidRDefault="00E85A81">
            <w:pPr>
              <w:autoSpaceDE w:val="0"/>
              <w:autoSpaceDN w:val="0"/>
              <w:adjustRightInd w:val="0"/>
              <w:spacing w:after="0" w:line="240" w:lineRule="auto"/>
              <w:jc w:val="center"/>
              <w:rPr>
                <w:sz w:val="20"/>
                <w:szCs w:val="20"/>
              </w:rPr>
            </w:pPr>
            <w:r>
              <w:rPr>
                <w:sz w:val="20"/>
                <w:szCs w:val="20"/>
              </w:rPr>
              <w:t>3</w:t>
            </w:r>
          </w:p>
        </w:tc>
        <w:tc>
          <w:tcPr>
            <w:tcW w:w="3118" w:type="dxa"/>
          </w:tcPr>
          <w:p w:rsidR="00E85A81" w:rsidRDefault="00E85A81">
            <w:pPr>
              <w:autoSpaceDE w:val="0"/>
              <w:autoSpaceDN w:val="0"/>
              <w:adjustRightInd w:val="0"/>
              <w:spacing w:after="0" w:line="240" w:lineRule="auto"/>
              <w:rPr>
                <w:sz w:val="20"/>
                <w:szCs w:val="20"/>
              </w:rPr>
            </w:pPr>
            <w:r>
              <w:rPr>
                <w:sz w:val="20"/>
                <w:szCs w:val="20"/>
              </w:rPr>
              <w:t xml:space="preserve">Support for Gray’s conservatism hypothesis </w:t>
            </w:r>
          </w:p>
        </w:tc>
      </w:tr>
      <w:tr w:rsidR="00E85A81">
        <w:tc>
          <w:tcPr>
            <w:tcW w:w="9322" w:type="dxa"/>
            <w:gridSpan w:val="6"/>
          </w:tcPr>
          <w:p w:rsidR="00E85A81" w:rsidRDefault="00E85A81">
            <w:pPr>
              <w:autoSpaceDE w:val="0"/>
              <w:autoSpaceDN w:val="0"/>
              <w:adjustRightInd w:val="0"/>
              <w:spacing w:after="0" w:line="240" w:lineRule="auto"/>
              <w:rPr>
                <w:b/>
                <w:bCs/>
              </w:rPr>
            </w:pPr>
            <w:r>
              <w:rPr>
                <w:b/>
                <w:bCs/>
              </w:rPr>
              <w:t>Secrecy</w:t>
            </w:r>
          </w:p>
        </w:tc>
      </w:tr>
      <w:tr w:rsidR="00E85A81">
        <w:tc>
          <w:tcPr>
            <w:tcW w:w="1384" w:type="dxa"/>
          </w:tcPr>
          <w:p w:rsidR="00E85A81" w:rsidRDefault="00E85A81">
            <w:pPr>
              <w:autoSpaceDE w:val="0"/>
              <w:autoSpaceDN w:val="0"/>
              <w:adjustRightInd w:val="0"/>
              <w:spacing w:after="0" w:line="240" w:lineRule="auto"/>
            </w:pPr>
            <w:r>
              <w:t>Gray and Vint (1995)</w:t>
            </w:r>
          </w:p>
        </w:tc>
        <w:tc>
          <w:tcPr>
            <w:tcW w:w="1134" w:type="dxa"/>
          </w:tcPr>
          <w:p w:rsidR="00E85A81" w:rsidRDefault="00E85A81">
            <w:pPr>
              <w:autoSpaceDE w:val="0"/>
              <w:autoSpaceDN w:val="0"/>
              <w:adjustRightInd w:val="0"/>
              <w:spacing w:after="0" w:line="240" w:lineRule="auto"/>
              <w:rPr>
                <w:sz w:val="20"/>
                <w:szCs w:val="20"/>
              </w:rPr>
            </w:pPr>
            <w:r>
              <w:rPr>
                <w:sz w:val="20"/>
                <w:szCs w:val="20"/>
              </w:rPr>
              <w:t xml:space="preserve">Countries </w:t>
            </w:r>
          </w:p>
        </w:tc>
        <w:tc>
          <w:tcPr>
            <w:tcW w:w="1418" w:type="dxa"/>
          </w:tcPr>
          <w:p w:rsidR="00E85A81" w:rsidRDefault="00E85A81">
            <w:pPr>
              <w:autoSpaceDE w:val="0"/>
              <w:autoSpaceDN w:val="0"/>
              <w:adjustRightInd w:val="0"/>
              <w:spacing w:after="0" w:line="240" w:lineRule="auto"/>
              <w:rPr>
                <w:sz w:val="20"/>
                <w:szCs w:val="20"/>
              </w:rPr>
            </w:pPr>
            <w:r>
              <w:rPr>
                <w:sz w:val="20"/>
                <w:szCs w:val="20"/>
              </w:rPr>
              <w:t>Cultural dimensions</w:t>
            </w:r>
          </w:p>
          <w:p w:rsidR="00E85A81" w:rsidRDefault="00E85A81">
            <w:pPr>
              <w:autoSpaceDE w:val="0"/>
              <w:autoSpaceDN w:val="0"/>
              <w:adjustRightInd w:val="0"/>
              <w:spacing w:after="0" w:line="240" w:lineRule="auto"/>
              <w:rPr>
                <w:sz w:val="20"/>
                <w:szCs w:val="20"/>
              </w:rPr>
            </w:pPr>
          </w:p>
        </w:tc>
        <w:tc>
          <w:tcPr>
            <w:tcW w:w="1275" w:type="dxa"/>
          </w:tcPr>
          <w:p w:rsidR="00E85A81" w:rsidRDefault="00E85A81">
            <w:pPr>
              <w:autoSpaceDE w:val="0"/>
              <w:autoSpaceDN w:val="0"/>
              <w:adjustRightInd w:val="0"/>
              <w:spacing w:after="0" w:line="240" w:lineRule="auto"/>
              <w:rPr>
                <w:sz w:val="20"/>
                <w:szCs w:val="20"/>
              </w:rPr>
            </w:pPr>
            <w:r>
              <w:rPr>
                <w:sz w:val="20"/>
                <w:szCs w:val="20"/>
              </w:rPr>
              <w:t>Disclosure index</w:t>
            </w:r>
          </w:p>
        </w:tc>
        <w:tc>
          <w:tcPr>
            <w:tcW w:w="993" w:type="dxa"/>
          </w:tcPr>
          <w:p w:rsidR="00E85A81" w:rsidRDefault="00E85A81">
            <w:pPr>
              <w:autoSpaceDE w:val="0"/>
              <w:autoSpaceDN w:val="0"/>
              <w:adjustRightInd w:val="0"/>
              <w:spacing w:after="0" w:line="240" w:lineRule="auto"/>
              <w:jc w:val="center"/>
              <w:rPr>
                <w:sz w:val="20"/>
                <w:szCs w:val="20"/>
              </w:rPr>
            </w:pPr>
            <w:r>
              <w:rPr>
                <w:sz w:val="20"/>
                <w:szCs w:val="20"/>
              </w:rPr>
              <w:t>27</w:t>
            </w:r>
          </w:p>
        </w:tc>
        <w:tc>
          <w:tcPr>
            <w:tcW w:w="3118" w:type="dxa"/>
          </w:tcPr>
          <w:p w:rsidR="00E85A81" w:rsidRDefault="00E85A81">
            <w:pPr>
              <w:autoSpaceDE w:val="0"/>
              <w:autoSpaceDN w:val="0"/>
              <w:adjustRightInd w:val="0"/>
              <w:spacing w:after="0" w:line="240" w:lineRule="auto"/>
              <w:rPr>
                <w:sz w:val="20"/>
                <w:szCs w:val="20"/>
              </w:rPr>
            </w:pPr>
            <w:r>
              <w:rPr>
                <w:sz w:val="20"/>
                <w:szCs w:val="20"/>
              </w:rPr>
              <w:t>Supported all components of Grey’s secrecy hypothesis</w:t>
            </w:r>
          </w:p>
        </w:tc>
      </w:tr>
      <w:tr w:rsidR="00E85A81">
        <w:tc>
          <w:tcPr>
            <w:tcW w:w="1384" w:type="dxa"/>
          </w:tcPr>
          <w:p w:rsidR="00E85A81" w:rsidRDefault="00E85A81">
            <w:pPr>
              <w:autoSpaceDE w:val="0"/>
              <w:autoSpaceDN w:val="0"/>
              <w:adjustRightInd w:val="0"/>
              <w:spacing w:after="0" w:line="240" w:lineRule="auto"/>
            </w:pPr>
            <w:r>
              <w:t xml:space="preserve">Zarzeski (1996) </w:t>
            </w:r>
          </w:p>
        </w:tc>
        <w:tc>
          <w:tcPr>
            <w:tcW w:w="1134" w:type="dxa"/>
          </w:tcPr>
          <w:p w:rsidR="00E85A81" w:rsidRDefault="00E85A81">
            <w:pPr>
              <w:autoSpaceDE w:val="0"/>
              <w:autoSpaceDN w:val="0"/>
              <w:adjustRightInd w:val="0"/>
              <w:spacing w:after="0" w:line="240" w:lineRule="auto"/>
              <w:rPr>
                <w:sz w:val="20"/>
                <w:szCs w:val="20"/>
              </w:rPr>
            </w:pPr>
            <w:r>
              <w:rPr>
                <w:sz w:val="20"/>
                <w:szCs w:val="20"/>
              </w:rPr>
              <w:t>Countries</w:t>
            </w:r>
          </w:p>
        </w:tc>
        <w:tc>
          <w:tcPr>
            <w:tcW w:w="1418" w:type="dxa"/>
          </w:tcPr>
          <w:p w:rsidR="00E85A81" w:rsidRDefault="00E85A81">
            <w:pPr>
              <w:autoSpaceDE w:val="0"/>
              <w:autoSpaceDN w:val="0"/>
              <w:adjustRightInd w:val="0"/>
              <w:spacing w:after="0" w:line="240" w:lineRule="auto"/>
              <w:rPr>
                <w:sz w:val="20"/>
                <w:szCs w:val="20"/>
              </w:rPr>
            </w:pPr>
            <w:r>
              <w:rPr>
                <w:sz w:val="20"/>
                <w:szCs w:val="20"/>
              </w:rPr>
              <w:t>Cultural dimensions</w:t>
            </w:r>
          </w:p>
        </w:tc>
        <w:tc>
          <w:tcPr>
            <w:tcW w:w="1275" w:type="dxa"/>
          </w:tcPr>
          <w:p w:rsidR="00E85A81" w:rsidRDefault="00E85A81">
            <w:pPr>
              <w:autoSpaceDE w:val="0"/>
              <w:autoSpaceDN w:val="0"/>
              <w:adjustRightInd w:val="0"/>
              <w:spacing w:after="0" w:line="240" w:lineRule="auto"/>
              <w:rPr>
                <w:sz w:val="20"/>
                <w:szCs w:val="20"/>
              </w:rPr>
            </w:pPr>
            <w:r>
              <w:rPr>
                <w:sz w:val="20"/>
                <w:szCs w:val="20"/>
              </w:rPr>
              <w:t>Disclosure index</w:t>
            </w:r>
          </w:p>
        </w:tc>
        <w:tc>
          <w:tcPr>
            <w:tcW w:w="993" w:type="dxa"/>
          </w:tcPr>
          <w:p w:rsidR="00E85A81" w:rsidRDefault="00E85A81">
            <w:pPr>
              <w:autoSpaceDE w:val="0"/>
              <w:autoSpaceDN w:val="0"/>
              <w:adjustRightInd w:val="0"/>
              <w:spacing w:after="0" w:line="240" w:lineRule="auto"/>
              <w:jc w:val="center"/>
              <w:rPr>
                <w:sz w:val="20"/>
                <w:szCs w:val="20"/>
              </w:rPr>
            </w:pPr>
            <w:r>
              <w:rPr>
                <w:sz w:val="20"/>
                <w:szCs w:val="20"/>
              </w:rPr>
              <w:t>7</w:t>
            </w:r>
          </w:p>
        </w:tc>
        <w:tc>
          <w:tcPr>
            <w:tcW w:w="3118" w:type="dxa"/>
          </w:tcPr>
          <w:p w:rsidR="00E85A81" w:rsidRDefault="00E85A81">
            <w:pPr>
              <w:autoSpaceDE w:val="0"/>
              <w:autoSpaceDN w:val="0"/>
              <w:adjustRightInd w:val="0"/>
              <w:spacing w:after="0" w:line="240" w:lineRule="auto"/>
              <w:rPr>
                <w:sz w:val="20"/>
                <w:szCs w:val="20"/>
              </w:rPr>
            </w:pPr>
            <w:r>
              <w:rPr>
                <w:sz w:val="20"/>
                <w:szCs w:val="20"/>
              </w:rPr>
              <w:t xml:space="preserve">Support for Gray’s secrecy hypothesis related to IND, UA and MASC components; PD is significant but in opposite direction </w:t>
            </w:r>
          </w:p>
        </w:tc>
      </w:tr>
      <w:tr w:rsidR="00E85A81">
        <w:tc>
          <w:tcPr>
            <w:tcW w:w="1384" w:type="dxa"/>
          </w:tcPr>
          <w:p w:rsidR="00E85A81" w:rsidRDefault="00E85A81">
            <w:pPr>
              <w:autoSpaceDE w:val="0"/>
              <w:autoSpaceDN w:val="0"/>
              <w:adjustRightInd w:val="0"/>
              <w:spacing w:after="0" w:line="240" w:lineRule="auto"/>
            </w:pPr>
            <w:r>
              <w:t>Wingate (1997)</w:t>
            </w:r>
          </w:p>
        </w:tc>
        <w:tc>
          <w:tcPr>
            <w:tcW w:w="1134" w:type="dxa"/>
          </w:tcPr>
          <w:p w:rsidR="00E85A81" w:rsidRDefault="00E85A81">
            <w:pPr>
              <w:autoSpaceDE w:val="0"/>
              <w:autoSpaceDN w:val="0"/>
              <w:adjustRightInd w:val="0"/>
              <w:spacing w:after="0" w:line="240" w:lineRule="auto"/>
              <w:rPr>
                <w:sz w:val="20"/>
                <w:szCs w:val="20"/>
              </w:rPr>
            </w:pPr>
            <w:r>
              <w:rPr>
                <w:sz w:val="20"/>
                <w:szCs w:val="20"/>
              </w:rPr>
              <w:t>Countries</w:t>
            </w:r>
          </w:p>
        </w:tc>
        <w:tc>
          <w:tcPr>
            <w:tcW w:w="1418" w:type="dxa"/>
          </w:tcPr>
          <w:p w:rsidR="00E85A81" w:rsidRDefault="00E85A81">
            <w:pPr>
              <w:autoSpaceDE w:val="0"/>
              <w:autoSpaceDN w:val="0"/>
              <w:adjustRightInd w:val="0"/>
              <w:spacing w:after="0" w:line="240" w:lineRule="auto"/>
              <w:rPr>
                <w:sz w:val="20"/>
                <w:szCs w:val="20"/>
              </w:rPr>
            </w:pPr>
            <w:r>
              <w:rPr>
                <w:sz w:val="20"/>
                <w:szCs w:val="20"/>
              </w:rPr>
              <w:t xml:space="preserve">Cultural dimensions </w:t>
            </w:r>
          </w:p>
        </w:tc>
        <w:tc>
          <w:tcPr>
            <w:tcW w:w="1275" w:type="dxa"/>
          </w:tcPr>
          <w:p w:rsidR="00E85A81" w:rsidRDefault="00E85A81">
            <w:pPr>
              <w:autoSpaceDE w:val="0"/>
              <w:autoSpaceDN w:val="0"/>
              <w:adjustRightInd w:val="0"/>
              <w:spacing w:after="0" w:line="240" w:lineRule="auto"/>
              <w:rPr>
                <w:sz w:val="20"/>
                <w:szCs w:val="20"/>
              </w:rPr>
            </w:pPr>
            <w:r>
              <w:rPr>
                <w:sz w:val="20"/>
                <w:szCs w:val="20"/>
              </w:rPr>
              <w:t>Disclosure index</w:t>
            </w:r>
          </w:p>
        </w:tc>
        <w:tc>
          <w:tcPr>
            <w:tcW w:w="993" w:type="dxa"/>
          </w:tcPr>
          <w:p w:rsidR="00E85A81" w:rsidRDefault="00E85A81">
            <w:pPr>
              <w:autoSpaceDE w:val="0"/>
              <w:autoSpaceDN w:val="0"/>
              <w:adjustRightInd w:val="0"/>
              <w:spacing w:after="0" w:line="240" w:lineRule="auto"/>
              <w:jc w:val="center"/>
              <w:rPr>
                <w:sz w:val="20"/>
                <w:szCs w:val="20"/>
              </w:rPr>
            </w:pPr>
            <w:r>
              <w:rPr>
                <w:sz w:val="20"/>
                <w:szCs w:val="20"/>
              </w:rPr>
              <w:t>39</w:t>
            </w:r>
          </w:p>
        </w:tc>
        <w:tc>
          <w:tcPr>
            <w:tcW w:w="3118" w:type="dxa"/>
          </w:tcPr>
          <w:p w:rsidR="00E85A81" w:rsidRDefault="00E85A81">
            <w:pPr>
              <w:autoSpaceDE w:val="0"/>
              <w:autoSpaceDN w:val="0"/>
              <w:adjustRightInd w:val="0"/>
              <w:spacing w:after="0" w:line="240" w:lineRule="auto"/>
              <w:rPr>
                <w:sz w:val="20"/>
                <w:szCs w:val="20"/>
              </w:rPr>
            </w:pPr>
            <w:r>
              <w:rPr>
                <w:sz w:val="20"/>
                <w:szCs w:val="20"/>
              </w:rPr>
              <w:t xml:space="preserve">Support for Gray’s secrecy hypothesis related to IND and UA components; PD and MASC are insignificant </w:t>
            </w:r>
          </w:p>
        </w:tc>
      </w:tr>
      <w:tr w:rsidR="00E85A81">
        <w:tc>
          <w:tcPr>
            <w:tcW w:w="1384" w:type="dxa"/>
          </w:tcPr>
          <w:p w:rsidR="00E85A81" w:rsidRDefault="00E85A81">
            <w:pPr>
              <w:autoSpaceDE w:val="0"/>
              <w:autoSpaceDN w:val="0"/>
              <w:adjustRightInd w:val="0"/>
              <w:spacing w:after="0" w:line="240" w:lineRule="auto"/>
            </w:pPr>
            <w:r>
              <w:t>Jaggi and Low (2000)</w:t>
            </w:r>
          </w:p>
        </w:tc>
        <w:tc>
          <w:tcPr>
            <w:tcW w:w="1134" w:type="dxa"/>
          </w:tcPr>
          <w:p w:rsidR="00E85A81" w:rsidRDefault="00E85A81">
            <w:pPr>
              <w:autoSpaceDE w:val="0"/>
              <w:autoSpaceDN w:val="0"/>
              <w:adjustRightInd w:val="0"/>
              <w:spacing w:after="0" w:line="240" w:lineRule="auto"/>
              <w:rPr>
                <w:sz w:val="20"/>
                <w:szCs w:val="20"/>
              </w:rPr>
            </w:pPr>
            <w:r>
              <w:rPr>
                <w:sz w:val="20"/>
                <w:szCs w:val="20"/>
              </w:rPr>
              <w:t>Countries</w:t>
            </w:r>
          </w:p>
        </w:tc>
        <w:tc>
          <w:tcPr>
            <w:tcW w:w="1418" w:type="dxa"/>
          </w:tcPr>
          <w:p w:rsidR="00E85A81" w:rsidRDefault="00E85A81">
            <w:pPr>
              <w:autoSpaceDE w:val="0"/>
              <w:autoSpaceDN w:val="0"/>
              <w:adjustRightInd w:val="0"/>
              <w:spacing w:after="0" w:line="240" w:lineRule="auto"/>
              <w:rPr>
                <w:sz w:val="20"/>
                <w:szCs w:val="20"/>
              </w:rPr>
            </w:pPr>
            <w:r>
              <w:rPr>
                <w:sz w:val="20"/>
                <w:szCs w:val="20"/>
              </w:rPr>
              <w:t>Cultural dimensions</w:t>
            </w:r>
          </w:p>
          <w:p w:rsidR="00E85A81" w:rsidRDefault="00E85A81">
            <w:pPr>
              <w:autoSpaceDE w:val="0"/>
              <w:autoSpaceDN w:val="0"/>
              <w:adjustRightInd w:val="0"/>
              <w:spacing w:after="0" w:line="240" w:lineRule="auto"/>
              <w:rPr>
                <w:sz w:val="20"/>
                <w:szCs w:val="20"/>
              </w:rPr>
            </w:pPr>
            <w:r>
              <w:rPr>
                <w:sz w:val="20"/>
                <w:szCs w:val="20"/>
              </w:rPr>
              <w:t>Legal system</w:t>
            </w:r>
          </w:p>
          <w:p w:rsidR="00E85A81" w:rsidRDefault="00E85A81">
            <w:pPr>
              <w:autoSpaceDE w:val="0"/>
              <w:autoSpaceDN w:val="0"/>
              <w:adjustRightInd w:val="0"/>
              <w:spacing w:after="0" w:line="240" w:lineRule="auto"/>
              <w:rPr>
                <w:sz w:val="20"/>
                <w:szCs w:val="20"/>
              </w:rPr>
            </w:pPr>
            <w:r>
              <w:rPr>
                <w:sz w:val="20"/>
                <w:szCs w:val="20"/>
              </w:rPr>
              <w:t xml:space="preserve">Market force  </w:t>
            </w:r>
          </w:p>
        </w:tc>
        <w:tc>
          <w:tcPr>
            <w:tcW w:w="1275" w:type="dxa"/>
          </w:tcPr>
          <w:p w:rsidR="00E85A81" w:rsidRDefault="00E85A81">
            <w:pPr>
              <w:autoSpaceDE w:val="0"/>
              <w:autoSpaceDN w:val="0"/>
              <w:adjustRightInd w:val="0"/>
              <w:spacing w:after="0" w:line="240" w:lineRule="auto"/>
              <w:rPr>
                <w:sz w:val="20"/>
                <w:szCs w:val="20"/>
              </w:rPr>
            </w:pPr>
            <w:r>
              <w:rPr>
                <w:sz w:val="20"/>
                <w:szCs w:val="20"/>
              </w:rPr>
              <w:t>Disclosure index</w:t>
            </w:r>
          </w:p>
        </w:tc>
        <w:tc>
          <w:tcPr>
            <w:tcW w:w="993" w:type="dxa"/>
          </w:tcPr>
          <w:p w:rsidR="00E85A81" w:rsidRDefault="00E85A81">
            <w:pPr>
              <w:autoSpaceDE w:val="0"/>
              <w:autoSpaceDN w:val="0"/>
              <w:adjustRightInd w:val="0"/>
              <w:spacing w:after="0" w:line="240" w:lineRule="auto"/>
              <w:jc w:val="center"/>
              <w:rPr>
                <w:sz w:val="20"/>
                <w:szCs w:val="20"/>
              </w:rPr>
            </w:pPr>
            <w:r>
              <w:rPr>
                <w:sz w:val="20"/>
                <w:szCs w:val="20"/>
              </w:rPr>
              <w:t>6</w:t>
            </w:r>
          </w:p>
        </w:tc>
        <w:tc>
          <w:tcPr>
            <w:tcW w:w="3118" w:type="dxa"/>
          </w:tcPr>
          <w:p w:rsidR="00E85A81" w:rsidRDefault="00E85A81">
            <w:pPr>
              <w:autoSpaceDE w:val="0"/>
              <w:autoSpaceDN w:val="0"/>
              <w:adjustRightInd w:val="0"/>
              <w:spacing w:after="0" w:line="240" w:lineRule="auto"/>
              <w:rPr>
                <w:sz w:val="20"/>
                <w:szCs w:val="20"/>
              </w:rPr>
            </w:pPr>
            <w:r>
              <w:rPr>
                <w:sz w:val="20"/>
                <w:szCs w:val="20"/>
              </w:rPr>
              <w:t>Support for Gray’s secrecy hypothesis related to IND component; PD and MASC are significant but in opposite direction; UA is insignificant</w:t>
            </w:r>
          </w:p>
        </w:tc>
      </w:tr>
      <w:tr w:rsidR="00E85A81">
        <w:tc>
          <w:tcPr>
            <w:tcW w:w="1384" w:type="dxa"/>
          </w:tcPr>
          <w:p w:rsidR="00E85A81" w:rsidRDefault="00E85A81">
            <w:pPr>
              <w:autoSpaceDE w:val="0"/>
              <w:autoSpaceDN w:val="0"/>
              <w:adjustRightInd w:val="0"/>
              <w:spacing w:after="0" w:line="240" w:lineRule="auto"/>
            </w:pPr>
            <w:r>
              <w:t>Hope (2003)</w:t>
            </w:r>
          </w:p>
        </w:tc>
        <w:tc>
          <w:tcPr>
            <w:tcW w:w="1134" w:type="dxa"/>
          </w:tcPr>
          <w:p w:rsidR="00E85A81" w:rsidRDefault="00E85A81">
            <w:pPr>
              <w:autoSpaceDE w:val="0"/>
              <w:autoSpaceDN w:val="0"/>
              <w:adjustRightInd w:val="0"/>
              <w:spacing w:after="0" w:line="240" w:lineRule="auto"/>
              <w:rPr>
                <w:sz w:val="20"/>
                <w:szCs w:val="20"/>
              </w:rPr>
            </w:pPr>
            <w:r>
              <w:rPr>
                <w:sz w:val="20"/>
                <w:szCs w:val="20"/>
              </w:rPr>
              <w:t>Countries</w:t>
            </w:r>
          </w:p>
        </w:tc>
        <w:tc>
          <w:tcPr>
            <w:tcW w:w="1418" w:type="dxa"/>
          </w:tcPr>
          <w:p w:rsidR="00E85A81" w:rsidRDefault="00E85A81">
            <w:pPr>
              <w:autoSpaceDE w:val="0"/>
              <w:autoSpaceDN w:val="0"/>
              <w:adjustRightInd w:val="0"/>
              <w:spacing w:after="0" w:line="240" w:lineRule="auto"/>
              <w:rPr>
                <w:sz w:val="20"/>
                <w:szCs w:val="20"/>
              </w:rPr>
            </w:pPr>
            <w:r>
              <w:rPr>
                <w:sz w:val="20"/>
                <w:szCs w:val="20"/>
              </w:rPr>
              <w:t>Cultural dimensions</w:t>
            </w:r>
          </w:p>
          <w:p w:rsidR="00E85A81" w:rsidRDefault="00E85A81">
            <w:pPr>
              <w:autoSpaceDE w:val="0"/>
              <w:autoSpaceDN w:val="0"/>
              <w:adjustRightInd w:val="0"/>
              <w:spacing w:after="0" w:line="240" w:lineRule="auto"/>
              <w:rPr>
                <w:sz w:val="20"/>
                <w:szCs w:val="20"/>
              </w:rPr>
            </w:pPr>
            <w:r>
              <w:rPr>
                <w:sz w:val="20"/>
                <w:szCs w:val="20"/>
              </w:rPr>
              <w:t>Legal system</w:t>
            </w:r>
          </w:p>
        </w:tc>
        <w:tc>
          <w:tcPr>
            <w:tcW w:w="1275" w:type="dxa"/>
          </w:tcPr>
          <w:p w:rsidR="00E85A81" w:rsidRDefault="00E85A81">
            <w:pPr>
              <w:autoSpaceDE w:val="0"/>
              <w:autoSpaceDN w:val="0"/>
              <w:adjustRightInd w:val="0"/>
              <w:spacing w:after="0" w:line="240" w:lineRule="auto"/>
              <w:rPr>
                <w:sz w:val="20"/>
                <w:szCs w:val="20"/>
              </w:rPr>
            </w:pPr>
            <w:r>
              <w:rPr>
                <w:sz w:val="20"/>
                <w:szCs w:val="20"/>
              </w:rPr>
              <w:t>Disclosure index</w:t>
            </w:r>
          </w:p>
        </w:tc>
        <w:tc>
          <w:tcPr>
            <w:tcW w:w="993" w:type="dxa"/>
          </w:tcPr>
          <w:p w:rsidR="00E85A81" w:rsidRDefault="00E85A81">
            <w:pPr>
              <w:autoSpaceDE w:val="0"/>
              <w:autoSpaceDN w:val="0"/>
              <w:adjustRightInd w:val="0"/>
              <w:spacing w:after="0" w:line="240" w:lineRule="auto"/>
              <w:jc w:val="center"/>
              <w:rPr>
                <w:sz w:val="20"/>
                <w:szCs w:val="20"/>
              </w:rPr>
            </w:pPr>
            <w:r>
              <w:rPr>
                <w:sz w:val="20"/>
                <w:szCs w:val="20"/>
              </w:rPr>
              <w:t>39</w:t>
            </w:r>
          </w:p>
        </w:tc>
        <w:tc>
          <w:tcPr>
            <w:tcW w:w="3118" w:type="dxa"/>
          </w:tcPr>
          <w:p w:rsidR="00E85A81" w:rsidRDefault="00E85A81">
            <w:pPr>
              <w:autoSpaceDE w:val="0"/>
              <w:autoSpaceDN w:val="0"/>
              <w:adjustRightInd w:val="0"/>
              <w:spacing w:after="0" w:line="240" w:lineRule="auto"/>
              <w:rPr>
                <w:sz w:val="20"/>
                <w:szCs w:val="20"/>
              </w:rPr>
            </w:pPr>
            <w:r>
              <w:rPr>
                <w:sz w:val="20"/>
                <w:szCs w:val="20"/>
              </w:rPr>
              <w:t>Support for Gray’s secrecy hypothesis related to IND  and UA (only if UA and IND in model); MASC is significant but in opposite direction; PD and UA(if all dimensions included) are insignificant</w:t>
            </w:r>
          </w:p>
        </w:tc>
      </w:tr>
      <w:tr w:rsidR="00E85A81">
        <w:tc>
          <w:tcPr>
            <w:tcW w:w="9322" w:type="dxa"/>
            <w:gridSpan w:val="6"/>
          </w:tcPr>
          <w:p w:rsidR="00E85A81" w:rsidRDefault="00E85A81">
            <w:pPr>
              <w:autoSpaceDE w:val="0"/>
              <w:autoSpaceDN w:val="0"/>
              <w:adjustRightInd w:val="0"/>
              <w:spacing w:after="0" w:line="240" w:lineRule="auto"/>
              <w:rPr>
                <w:b/>
                <w:bCs/>
              </w:rPr>
            </w:pPr>
            <w:r>
              <w:rPr>
                <w:b/>
                <w:bCs/>
              </w:rPr>
              <w:t>Other Findings</w:t>
            </w:r>
          </w:p>
        </w:tc>
      </w:tr>
      <w:tr w:rsidR="00E85A81">
        <w:tc>
          <w:tcPr>
            <w:tcW w:w="1384" w:type="dxa"/>
          </w:tcPr>
          <w:p w:rsidR="00E85A81" w:rsidRDefault="00E85A81">
            <w:pPr>
              <w:autoSpaceDE w:val="0"/>
              <w:autoSpaceDN w:val="0"/>
              <w:adjustRightInd w:val="0"/>
              <w:spacing w:after="0" w:line="240" w:lineRule="auto"/>
            </w:pPr>
            <w:r>
              <w:t>Eddie (1990)</w:t>
            </w:r>
          </w:p>
        </w:tc>
        <w:tc>
          <w:tcPr>
            <w:tcW w:w="1134" w:type="dxa"/>
          </w:tcPr>
          <w:p w:rsidR="00E85A81" w:rsidRDefault="00E85A81">
            <w:pPr>
              <w:autoSpaceDE w:val="0"/>
              <w:autoSpaceDN w:val="0"/>
              <w:adjustRightInd w:val="0"/>
              <w:spacing w:after="0" w:line="240" w:lineRule="auto"/>
              <w:rPr>
                <w:sz w:val="20"/>
                <w:szCs w:val="20"/>
              </w:rPr>
            </w:pPr>
            <w:r>
              <w:rPr>
                <w:sz w:val="20"/>
                <w:szCs w:val="20"/>
              </w:rPr>
              <w:t>Countries</w:t>
            </w:r>
          </w:p>
        </w:tc>
        <w:tc>
          <w:tcPr>
            <w:tcW w:w="1418" w:type="dxa"/>
          </w:tcPr>
          <w:p w:rsidR="00E85A81" w:rsidRDefault="00E85A81">
            <w:pPr>
              <w:autoSpaceDE w:val="0"/>
              <w:autoSpaceDN w:val="0"/>
              <w:adjustRightInd w:val="0"/>
              <w:spacing w:after="0" w:line="240" w:lineRule="auto"/>
              <w:rPr>
                <w:sz w:val="20"/>
                <w:szCs w:val="20"/>
              </w:rPr>
            </w:pPr>
            <w:r>
              <w:rPr>
                <w:sz w:val="20"/>
                <w:szCs w:val="20"/>
              </w:rPr>
              <w:t>Cultural dimensions</w:t>
            </w:r>
          </w:p>
        </w:tc>
        <w:tc>
          <w:tcPr>
            <w:tcW w:w="1275" w:type="dxa"/>
          </w:tcPr>
          <w:p w:rsidR="00E85A81" w:rsidRDefault="00E85A81">
            <w:pPr>
              <w:autoSpaceDE w:val="0"/>
              <w:autoSpaceDN w:val="0"/>
              <w:adjustRightInd w:val="0"/>
              <w:spacing w:after="0" w:line="240" w:lineRule="auto"/>
              <w:rPr>
                <w:sz w:val="20"/>
                <w:szCs w:val="20"/>
              </w:rPr>
            </w:pPr>
            <w:r>
              <w:rPr>
                <w:sz w:val="20"/>
                <w:szCs w:val="20"/>
              </w:rPr>
              <w:t>AS attributes</w:t>
            </w:r>
          </w:p>
        </w:tc>
        <w:tc>
          <w:tcPr>
            <w:tcW w:w="993" w:type="dxa"/>
          </w:tcPr>
          <w:p w:rsidR="00E85A81" w:rsidRDefault="00E85A81">
            <w:pPr>
              <w:autoSpaceDE w:val="0"/>
              <w:autoSpaceDN w:val="0"/>
              <w:adjustRightInd w:val="0"/>
              <w:spacing w:after="0" w:line="240" w:lineRule="auto"/>
              <w:jc w:val="center"/>
              <w:rPr>
                <w:sz w:val="20"/>
                <w:szCs w:val="20"/>
              </w:rPr>
            </w:pPr>
            <w:r>
              <w:rPr>
                <w:sz w:val="20"/>
                <w:szCs w:val="20"/>
              </w:rPr>
              <w:t>13</w:t>
            </w:r>
          </w:p>
        </w:tc>
        <w:tc>
          <w:tcPr>
            <w:tcW w:w="3118" w:type="dxa"/>
          </w:tcPr>
          <w:p w:rsidR="00E85A81" w:rsidRDefault="00E85A81">
            <w:pPr>
              <w:autoSpaceDE w:val="0"/>
              <w:autoSpaceDN w:val="0"/>
              <w:adjustRightInd w:val="0"/>
              <w:spacing w:after="0" w:line="240" w:lineRule="auto"/>
              <w:rPr>
                <w:sz w:val="20"/>
                <w:szCs w:val="20"/>
              </w:rPr>
            </w:pPr>
            <w:r>
              <w:rPr>
                <w:sz w:val="20"/>
                <w:szCs w:val="20"/>
              </w:rPr>
              <w:t>Supported all Gray’s hypotheses</w:t>
            </w:r>
          </w:p>
        </w:tc>
      </w:tr>
      <w:tr w:rsidR="00E85A81">
        <w:tc>
          <w:tcPr>
            <w:tcW w:w="1384" w:type="dxa"/>
          </w:tcPr>
          <w:p w:rsidR="00E85A81" w:rsidRDefault="00E85A81">
            <w:pPr>
              <w:autoSpaceDE w:val="0"/>
              <w:autoSpaceDN w:val="0"/>
              <w:adjustRightInd w:val="0"/>
              <w:spacing w:after="0" w:line="240" w:lineRule="auto"/>
            </w:pPr>
            <w:r>
              <w:t>Salter and Niswander (1995)</w:t>
            </w:r>
          </w:p>
        </w:tc>
        <w:tc>
          <w:tcPr>
            <w:tcW w:w="1134" w:type="dxa"/>
          </w:tcPr>
          <w:p w:rsidR="00E85A81" w:rsidRDefault="00E85A81">
            <w:pPr>
              <w:autoSpaceDE w:val="0"/>
              <w:autoSpaceDN w:val="0"/>
              <w:adjustRightInd w:val="0"/>
              <w:spacing w:after="0" w:line="240" w:lineRule="auto"/>
              <w:rPr>
                <w:sz w:val="20"/>
                <w:szCs w:val="20"/>
              </w:rPr>
            </w:pPr>
            <w:r>
              <w:rPr>
                <w:sz w:val="20"/>
                <w:szCs w:val="20"/>
              </w:rPr>
              <w:t>Countries</w:t>
            </w:r>
          </w:p>
        </w:tc>
        <w:tc>
          <w:tcPr>
            <w:tcW w:w="1418" w:type="dxa"/>
          </w:tcPr>
          <w:p w:rsidR="00E85A81" w:rsidRDefault="00E85A81">
            <w:pPr>
              <w:autoSpaceDE w:val="0"/>
              <w:autoSpaceDN w:val="0"/>
              <w:adjustRightInd w:val="0"/>
              <w:spacing w:after="0" w:line="240" w:lineRule="auto"/>
              <w:rPr>
                <w:sz w:val="20"/>
                <w:szCs w:val="20"/>
              </w:rPr>
            </w:pPr>
            <w:r>
              <w:rPr>
                <w:sz w:val="20"/>
                <w:szCs w:val="20"/>
              </w:rPr>
              <w:t>Cultural dimensions</w:t>
            </w:r>
          </w:p>
          <w:p w:rsidR="00E85A81" w:rsidRDefault="00E85A81">
            <w:pPr>
              <w:autoSpaceDE w:val="0"/>
              <w:autoSpaceDN w:val="0"/>
              <w:adjustRightInd w:val="0"/>
              <w:spacing w:after="0" w:line="240" w:lineRule="auto"/>
              <w:rPr>
                <w:sz w:val="20"/>
                <w:szCs w:val="20"/>
              </w:rPr>
            </w:pPr>
            <w:r>
              <w:rPr>
                <w:sz w:val="20"/>
                <w:szCs w:val="20"/>
              </w:rPr>
              <w:t>Market capitalization</w:t>
            </w:r>
          </w:p>
          <w:p w:rsidR="00E85A81" w:rsidRDefault="00E85A81">
            <w:pPr>
              <w:autoSpaceDE w:val="0"/>
              <w:autoSpaceDN w:val="0"/>
              <w:adjustRightInd w:val="0"/>
              <w:spacing w:after="0" w:line="240" w:lineRule="auto"/>
              <w:rPr>
                <w:sz w:val="20"/>
                <w:szCs w:val="20"/>
              </w:rPr>
            </w:pPr>
            <w:r>
              <w:rPr>
                <w:sz w:val="20"/>
                <w:szCs w:val="20"/>
              </w:rPr>
              <w:t>Tax rate</w:t>
            </w:r>
          </w:p>
        </w:tc>
        <w:tc>
          <w:tcPr>
            <w:tcW w:w="1275" w:type="dxa"/>
          </w:tcPr>
          <w:p w:rsidR="00E85A81" w:rsidRDefault="00E85A81">
            <w:pPr>
              <w:autoSpaceDE w:val="0"/>
              <w:autoSpaceDN w:val="0"/>
              <w:adjustRightInd w:val="0"/>
              <w:spacing w:after="0" w:line="240" w:lineRule="auto"/>
              <w:rPr>
                <w:sz w:val="20"/>
                <w:szCs w:val="20"/>
              </w:rPr>
            </w:pPr>
            <w:r>
              <w:rPr>
                <w:sz w:val="20"/>
                <w:szCs w:val="20"/>
              </w:rPr>
              <w:t>AS attributes</w:t>
            </w:r>
          </w:p>
        </w:tc>
        <w:tc>
          <w:tcPr>
            <w:tcW w:w="993" w:type="dxa"/>
          </w:tcPr>
          <w:p w:rsidR="00E85A81" w:rsidRDefault="00E85A81">
            <w:pPr>
              <w:autoSpaceDE w:val="0"/>
              <w:autoSpaceDN w:val="0"/>
              <w:adjustRightInd w:val="0"/>
              <w:spacing w:after="0" w:line="240" w:lineRule="auto"/>
              <w:jc w:val="center"/>
              <w:rPr>
                <w:sz w:val="20"/>
                <w:szCs w:val="20"/>
              </w:rPr>
            </w:pPr>
            <w:r>
              <w:rPr>
                <w:sz w:val="20"/>
                <w:szCs w:val="20"/>
              </w:rPr>
              <w:t>29</w:t>
            </w:r>
          </w:p>
        </w:tc>
        <w:tc>
          <w:tcPr>
            <w:tcW w:w="3118" w:type="dxa"/>
          </w:tcPr>
          <w:p w:rsidR="00E85A81" w:rsidRDefault="00E85A81">
            <w:pPr>
              <w:autoSpaceDE w:val="0"/>
              <w:autoSpaceDN w:val="0"/>
              <w:adjustRightInd w:val="0"/>
              <w:spacing w:after="0" w:line="240" w:lineRule="auto"/>
              <w:rPr>
                <w:sz w:val="20"/>
                <w:szCs w:val="20"/>
              </w:rPr>
            </w:pPr>
            <w:r>
              <w:rPr>
                <w:sz w:val="20"/>
                <w:szCs w:val="20"/>
              </w:rPr>
              <w:t>Support 6 of 13 Gray’s predicted relationships:</w:t>
            </w:r>
          </w:p>
          <w:p w:rsidR="00E85A81" w:rsidRDefault="00E85A81">
            <w:pPr>
              <w:autoSpaceDE w:val="0"/>
              <w:autoSpaceDN w:val="0"/>
              <w:adjustRightInd w:val="0"/>
              <w:spacing w:after="0" w:line="240" w:lineRule="auto"/>
              <w:rPr>
                <w:sz w:val="20"/>
                <w:szCs w:val="20"/>
                <w:lang w:val="fr-FR"/>
              </w:rPr>
            </w:pPr>
            <w:r>
              <w:rPr>
                <w:sz w:val="20"/>
                <w:szCs w:val="20"/>
                <w:lang w:val="fr-FR"/>
              </w:rPr>
              <w:t>Ind</w:t>
            </w:r>
            <w:r>
              <w:rPr>
                <w:rFonts w:ascii="Arial" w:hAnsi="Arial" w:cs="Arial"/>
                <w:sz w:val="20"/>
                <w:szCs w:val="20"/>
              </w:rPr>
              <w:sym w:font="Wingdings" w:char="F0E0"/>
            </w:r>
            <w:r>
              <w:rPr>
                <w:sz w:val="20"/>
                <w:szCs w:val="20"/>
                <w:lang w:val="fr-FR"/>
              </w:rPr>
              <w:t>Sec; UA</w:t>
            </w:r>
            <w:r>
              <w:rPr>
                <w:rFonts w:ascii="Arial" w:hAnsi="Arial" w:cs="Arial"/>
                <w:sz w:val="20"/>
                <w:szCs w:val="20"/>
              </w:rPr>
              <w:sym w:font="Wingdings" w:char="F0E0"/>
            </w:r>
            <w:r>
              <w:rPr>
                <w:sz w:val="20"/>
                <w:szCs w:val="20"/>
                <w:lang w:val="fr-FR"/>
              </w:rPr>
              <w:t>Pro, Uni, Con, Sec; MASC</w:t>
            </w:r>
            <w:r>
              <w:rPr>
                <w:rFonts w:ascii="Arial" w:hAnsi="Arial" w:cs="Arial"/>
                <w:sz w:val="20"/>
                <w:szCs w:val="20"/>
              </w:rPr>
              <w:sym w:font="Wingdings" w:char="F0E0"/>
            </w:r>
            <w:r>
              <w:rPr>
                <w:sz w:val="20"/>
                <w:szCs w:val="20"/>
                <w:lang w:val="fr-FR"/>
              </w:rPr>
              <w:t>Con</w:t>
            </w:r>
          </w:p>
          <w:p w:rsidR="00E85A81" w:rsidRDefault="00E85A81">
            <w:pPr>
              <w:autoSpaceDE w:val="0"/>
              <w:autoSpaceDN w:val="0"/>
              <w:adjustRightInd w:val="0"/>
              <w:spacing w:after="0" w:line="240" w:lineRule="auto"/>
              <w:rPr>
                <w:sz w:val="20"/>
                <w:szCs w:val="20"/>
              </w:rPr>
            </w:pPr>
            <w:r>
              <w:rPr>
                <w:sz w:val="20"/>
                <w:szCs w:val="20"/>
              </w:rPr>
              <w:t>One significant relationship contrary to Gray’s proposition: UA</w:t>
            </w:r>
            <w:r>
              <w:rPr>
                <w:rFonts w:ascii="Arial" w:hAnsi="Arial" w:cs="Arial"/>
                <w:sz w:val="20"/>
                <w:szCs w:val="20"/>
              </w:rPr>
              <w:sym w:font="Wingdings" w:char="F0E0"/>
            </w:r>
            <w:r>
              <w:rPr>
                <w:sz w:val="20"/>
                <w:szCs w:val="20"/>
              </w:rPr>
              <w:t>Uni</w:t>
            </w:r>
          </w:p>
        </w:tc>
      </w:tr>
    </w:tbl>
    <w:p w:rsidR="00E85A81" w:rsidRDefault="00E85A81">
      <w:pPr>
        <w:spacing w:line="240" w:lineRule="auto"/>
        <w:ind w:left="-142"/>
        <w:rPr>
          <w:sz w:val="18"/>
          <w:szCs w:val="18"/>
        </w:rPr>
      </w:pPr>
      <w:r>
        <w:rPr>
          <w:sz w:val="18"/>
          <w:szCs w:val="18"/>
        </w:rPr>
        <w:t>Adapted from A critical review of tests of Gray’s theory of cultural relevance and suggestions for future research. Doupnik and Tsakumis (2004).</w:t>
      </w:r>
    </w:p>
    <w:p w:rsidR="00E85A81" w:rsidRDefault="00E85A81">
      <w:pPr>
        <w:spacing w:line="240" w:lineRule="auto"/>
      </w:pPr>
      <w:r>
        <w:t>Table 2: IAS / IFRS in research instrument</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84"/>
        <w:gridCol w:w="1276"/>
        <w:gridCol w:w="1417"/>
        <w:gridCol w:w="1418"/>
        <w:gridCol w:w="992"/>
        <w:gridCol w:w="2943"/>
      </w:tblGrid>
      <w:tr w:rsidR="00E85A81">
        <w:tc>
          <w:tcPr>
            <w:tcW w:w="1384" w:type="dxa"/>
          </w:tcPr>
          <w:p w:rsidR="00E85A81" w:rsidRDefault="00E85A81">
            <w:pPr>
              <w:spacing w:line="240" w:lineRule="auto"/>
              <w:rPr>
                <w:rFonts w:ascii="Arial" w:hAnsi="Arial" w:cs="Arial"/>
              </w:rPr>
            </w:pPr>
          </w:p>
        </w:tc>
        <w:tc>
          <w:tcPr>
            <w:tcW w:w="1276" w:type="dxa"/>
          </w:tcPr>
          <w:p w:rsidR="00E85A81" w:rsidRDefault="00E85A81">
            <w:pPr>
              <w:autoSpaceDE w:val="0"/>
              <w:autoSpaceDN w:val="0"/>
              <w:adjustRightInd w:val="0"/>
              <w:spacing w:after="0" w:line="240" w:lineRule="auto"/>
              <w:jc w:val="center"/>
              <w:rPr>
                <w:b/>
                <w:bCs/>
              </w:rPr>
            </w:pPr>
            <w:r>
              <w:rPr>
                <w:b/>
                <w:bCs/>
              </w:rPr>
              <w:t>Unit of analysis</w:t>
            </w:r>
          </w:p>
        </w:tc>
        <w:tc>
          <w:tcPr>
            <w:tcW w:w="1417" w:type="dxa"/>
          </w:tcPr>
          <w:p w:rsidR="00E85A81" w:rsidRDefault="00E85A81">
            <w:pPr>
              <w:autoSpaceDE w:val="0"/>
              <w:autoSpaceDN w:val="0"/>
              <w:adjustRightInd w:val="0"/>
              <w:spacing w:after="0" w:line="240" w:lineRule="auto"/>
              <w:jc w:val="center"/>
              <w:rPr>
                <w:b/>
                <w:bCs/>
              </w:rPr>
            </w:pPr>
            <w:r>
              <w:rPr>
                <w:b/>
                <w:bCs/>
              </w:rPr>
              <w:t>Independent variables</w:t>
            </w:r>
          </w:p>
        </w:tc>
        <w:tc>
          <w:tcPr>
            <w:tcW w:w="1418" w:type="dxa"/>
          </w:tcPr>
          <w:p w:rsidR="00E85A81" w:rsidRDefault="00E85A81">
            <w:pPr>
              <w:autoSpaceDE w:val="0"/>
              <w:autoSpaceDN w:val="0"/>
              <w:adjustRightInd w:val="0"/>
              <w:spacing w:after="0" w:line="240" w:lineRule="auto"/>
              <w:jc w:val="center"/>
              <w:rPr>
                <w:b/>
                <w:bCs/>
              </w:rPr>
            </w:pPr>
            <w:r>
              <w:rPr>
                <w:b/>
                <w:bCs/>
              </w:rPr>
              <w:t>Dependent variables</w:t>
            </w:r>
          </w:p>
        </w:tc>
        <w:tc>
          <w:tcPr>
            <w:tcW w:w="992" w:type="dxa"/>
          </w:tcPr>
          <w:p w:rsidR="00E85A81" w:rsidRDefault="00E85A81">
            <w:pPr>
              <w:autoSpaceDE w:val="0"/>
              <w:autoSpaceDN w:val="0"/>
              <w:adjustRightInd w:val="0"/>
              <w:spacing w:after="0" w:line="240" w:lineRule="auto"/>
              <w:ind w:right="-108"/>
              <w:jc w:val="center"/>
              <w:rPr>
                <w:b/>
                <w:bCs/>
              </w:rPr>
            </w:pPr>
            <w:r>
              <w:rPr>
                <w:b/>
                <w:bCs/>
              </w:rPr>
              <w:t># of countries</w:t>
            </w:r>
          </w:p>
        </w:tc>
        <w:tc>
          <w:tcPr>
            <w:tcW w:w="2943" w:type="dxa"/>
          </w:tcPr>
          <w:p w:rsidR="00E85A81" w:rsidRDefault="00E85A81">
            <w:pPr>
              <w:autoSpaceDE w:val="0"/>
              <w:autoSpaceDN w:val="0"/>
              <w:adjustRightInd w:val="0"/>
              <w:spacing w:after="0" w:line="240" w:lineRule="auto"/>
              <w:jc w:val="center"/>
              <w:rPr>
                <w:b/>
                <w:bCs/>
              </w:rPr>
            </w:pPr>
            <w:r>
              <w:rPr>
                <w:b/>
                <w:bCs/>
              </w:rPr>
              <w:t>Results</w:t>
            </w:r>
          </w:p>
        </w:tc>
      </w:tr>
      <w:tr w:rsidR="00E85A81">
        <w:tc>
          <w:tcPr>
            <w:tcW w:w="9430" w:type="dxa"/>
            <w:gridSpan w:val="6"/>
          </w:tcPr>
          <w:p w:rsidR="00E85A81" w:rsidRDefault="00E85A81">
            <w:pPr>
              <w:spacing w:after="0" w:line="360" w:lineRule="auto"/>
              <w:rPr>
                <w:b/>
                <w:bCs/>
              </w:rPr>
            </w:pPr>
            <w:r>
              <w:rPr>
                <w:b/>
                <w:bCs/>
              </w:rPr>
              <w:t xml:space="preserve">Conservatism </w:t>
            </w:r>
          </w:p>
        </w:tc>
      </w:tr>
      <w:tr w:rsidR="00E85A81">
        <w:tc>
          <w:tcPr>
            <w:tcW w:w="1384" w:type="dxa"/>
          </w:tcPr>
          <w:p w:rsidR="00E85A81" w:rsidRDefault="00E85A81">
            <w:pPr>
              <w:spacing w:after="0" w:line="240" w:lineRule="auto"/>
              <w:rPr>
                <w:rFonts w:ascii="Arial" w:hAnsi="Arial" w:cs="Arial"/>
              </w:rPr>
            </w:pPr>
            <w:r>
              <w:rPr>
                <w:color w:val="000000"/>
              </w:rPr>
              <w:t>Doupnik and Richter (2004)</w:t>
            </w:r>
          </w:p>
        </w:tc>
        <w:tc>
          <w:tcPr>
            <w:tcW w:w="1276" w:type="dxa"/>
          </w:tcPr>
          <w:p w:rsidR="00E85A81" w:rsidRDefault="00E85A81">
            <w:pPr>
              <w:spacing w:after="0" w:line="240" w:lineRule="auto"/>
              <w:rPr>
                <w:sz w:val="20"/>
                <w:szCs w:val="20"/>
              </w:rPr>
            </w:pPr>
            <w:r>
              <w:rPr>
                <w:sz w:val="20"/>
                <w:szCs w:val="20"/>
              </w:rPr>
              <w:t>Individual</w:t>
            </w:r>
          </w:p>
        </w:tc>
        <w:tc>
          <w:tcPr>
            <w:tcW w:w="1417" w:type="dxa"/>
          </w:tcPr>
          <w:p w:rsidR="00E85A81" w:rsidRDefault="00E85A81">
            <w:pPr>
              <w:spacing w:after="0" w:line="240" w:lineRule="auto"/>
              <w:rPr>
                <w:sz w:val="20"/>
                <w:szCs w:val="20"/>
              </w:rPr>
            </w:pPr>
            <w:r>
              <w:rPr>
                <w:sz w:val="20"/>
                <w:szCs w:val="20"/>
              </w:rPr>
              <w:t>“in context” verbal probability expressions used in IFRS</w:t>
            </w:r>
          </w:p>
        </w:tc>
        <w:tc>
          <w:tcPr>
            <w:tcW w:w="1418" w:type="dxa"/>
          </w:tcPr>
          <w:p w:rsidR="00E85A81" w:rsidRDefault="00E85A81">
            <w:pPr>
              <w:spacing w:after="0" w:line="240" w:lineRule="auto"/>
              <w:rPr>
                <w:sz w:val="20"/>
                <w:szCs w:val="20"/>
              </w:rPr>
            </w:pPr>
            <w:r>
              <w:rPr>
                <w:sz w:val="20"/>
                <w:szCs w:val="20"/>
              </w:rPr>
              <w:t>Interpretation of verbal probability expressions</w:t>
            </w:r>
          </w:p>
        </w:tc>
        <w:tc>
          <w:tcPr>
            <w:tcW w:w="992" w:type="dxa"/>
          </w:tcPr>
          <w:p w:rsidR="00E85A81" w:rsidRDefault="00E85A81">
            <w:pPr>
              <w:spacing w:after="0" w:line="240" w:lineRule="auto"/>
              <w:jc w:val="center"/>
              <w:rPr>
                <w:sz w:val="20"/>
                <w:szCs w:val="20"/>
              </w:rPr>
            </w:pPr>
            <w:r>
              <w:rPr>
                <w:sz w:val="20"/>
                <w:szCs w:val="20"/>
              </w:rPr>
              <w:t>2</w:t>
            </w:r>
          </w:p>
        </w:tc>
        <w:tc>
          <w:tcPr>
            <w:tcW w:w="2943" w:type="dxa"/>
          </w:tcPr>
          <w:p w:rsidR="00E85A81" w:rsidRDefault="00E85A81">
            <w:pPr>
              <w:spacing w:after="0" w:line="240" w:lineRule="auto"/>
              <w:rPr>
                <w:sz w:val="20"/>
                <w:szCs w:val="20"/>
              </w:rPr>
            </w:pPr>
            <w:r>
              <w:rPr>
                <w:sz w:val="20"/>
                <w:szCs w:val="20"/>
              </w:rPr>
              <w:t>Support for Gray’s conservatism hypotheses in that German accountants show conservatism bias in interpreting positively framed probability expressions</w:t>
            </w:r>
          </w:p>
        </w:tc>
      </w:tr>
      <w:tr w:rsidR="00E85A81">
        <w:tc>
          <w:tcPr>
            <w:tcW w:w="1384" w:type="dxa"/>
          </w:tcPr>
          <w:p w:rsidR="00E85A81" w:rsidRDefault="00E85A81">
            <w:pPr>
              <w:spacing w:after="0" w:line="240" w:lineRule="auto"/>
              <w:rPr>
                <w:color w:val="000000"/>
              </w:rPr>
            </w:pPr>
            <w:r>
              <w:rPr>
                <w:color w:val="000000"/>
              </w:rPr>
              <w:t>Doupnik and Ricio (2006)</w:t>
            </w:r>
          </w:p>
        </w:tc>
        <w:tc>
          <w:tcPr>
            <w:tcW w:w="1276" w:type="dxa"/>
          </w:tcPr>
          <w:p w:rsidR="00E85A81" w:rsidRDefault="00E85A81">
            <w:pPr>
              <w:spacing w:after="0" w:line="240" w:lineRule="auto"/>
              <w:rPr>
                <w:sz w:val="20"/>
                <w:szCs w:val="20"/>
              </w:rPr>
            </w:pPr>
            <w:r>
              <w:rPr>
                <w:sz w:val="20"/>
                <w:szCs w:val="20"/>
              </w:rPr>
              <w:t>Individual</w:t>
            </w:r>
          </w:p>
        </w:tc>
        <w:tc>
          <w:tcPr>
            <w:tcW w:w="1417" w:type="dxa"/>
          </w:tcPr>
          <w:p w:rsidR="00E85A81" w:rsidRDefault="00E85A81">
            <w:pPr>
              <w:spacing w:after="0" w:line="240" w:lineRule="auto"/>
              <w:rPr>
                <w:sz w:val="20"/>
                <w:szCs w:val="20"/>
              </w:rPr>
            </w:pPr>
            <w:r>
              <w:rPr>
                <w:sz w:val="20"/>
                <w:szCs w:val="20"/>
              </w:rPr>
              <w:t>verbal probability expressions used in IFRS</w:t>
            </w:r>
          </w:p>
        </w:tc>
        <w:tc>
          <w:tcPr>
            <w:tcW w:w="1418" w:type="dxa"/>
          </w:tcPr>
          <w:p w:rsidR="00E85A81" w:rsidRDefault="00E85A81">
            <w:pPr>
              <w:spacing w:after="0" w:line="240" w:lineRule="auto"/>
              <w:rPr>
                <w:sz w:val="20"/>
                <w:szCs w:val="20"/>
              </w:rPr>
            </w:pPr>
            <w:r>
              <w:rPr>
                <w:sz w:val="20"/>
                <w:szCs w:val="20"/>
              </w:rPr>
              <w:t>Interpretation of verbal probability expressions</w:t>
            </w:r>
          </w:p>
        </w:tc>
        <w:tc>
          <w:tcPr>
            <w:tcW w:w="992" w:type="dxa"/>
          </w:tcPr>
          <w:p w:rsidR="00E85A81" w:rsidRDefault="00E85A81">
            <w:pPr>
              <w:spacing w:after="0" w:line="240" w:lineRule="auto"/>
              <w:jc w:val="center"/>
              <w:rPr>
                <w:sz w:val="20"/>
                <w:szCs w:val="20"/>
              </w:rPr>
            </w:pPr>
            <w:r>
              <w:rPr>
                <w:sz w:val="20"/>
                <w:szCs w:val="20"/>
              </w:rPr>
              <w:t>2</w:t>
            </w:r>
          </w:p>
        </w:tc>
        <w:tc>
          <w:tcPr>
            <w:tcW w:w="2943" w:type="dxa"/>
          </w:tcPr>
          <w:p w:rsidR="00E85A81" w:rsidRDefault="00E85A81">
            <w:pPr>
              <w:spacing w:after="0" w:line="240" w:lineRule="auto"/>
              <w:rPr>
                <w:sz w:val="20"/>
                <w:szCs w:val="20"/>
              </w:rPr>
            </w:pPr>
            <w:r>
              <w:rPr>
                <w:sz w:val="20"/>
                <w:szCs w:val="20"/>
              </w:rPr>
              <w:t>Support for Gray’s conservatism hypotheses in that Brazilian accountants show conservatism bias in determining items that increase net income but not for decrease net income</w:t>
            </w:r>
          </w:p>
        </w:tc>
      </w:tr>
      <w:tr w:rsidR="00E85A81">
        <w:tc>
          <w:tcPr>
            <w:tcW w:w="1384" w:type="dxa"/>
          </w:tcPr>
          <w:p w:rsidR="00E85A81" w:rsidRDefault="00E85A81">
            <w:pPr>
              <w:spacing w:after="0" w:line="240" w:lineRule="auto"/>
              <w:rPr>
                <w:rFonts w:ascii="Arial" w:hAnsi="Arial" w:cs="Arial"/>
              </w:rPr>
            </w:pPr>
            <w:r>
              <w:rPr>
                <w:color w:val="000000"/>
              </w:rPr>
              <w:t>Tsakumis (2007)</w:t>
            </w:r>
          </w:p>
        </w:tc>
        <w:tc>
          <w:tcPr>
            <w:tcW w:w="1276" w:type="dxa"/>
          </w:tcPr>
          <w:p w:rsidR="00E85A81" w:rsidRDefault="00E85A81">
            <w:pPr>
              <w:spacing w:after="0" w:line="240" w:lineRule="auto"/>
              <w:rPr>
                <w:sz w:val="20"/>
                <w:szCs w:val="20"/>
              </w:rPr>
            </w:pPr>
            <w:r>
              <w:rPr>
                <w:sz w:val="20"/>
                <w:szCs w:val="20"/>
              </w:rPr>
              <w:t>Individual</w:t>
            </w:r>
          </w:p>
        </w:tc>
        <w:tc>
          <w:tcPr>
            <w:tcW w:w="1417" w:type="dxa"/>
          </w:tcPr>
          <w:p w:rsidR="00E85A81" w:rsidRDefault="00E85A81">
            <w:pPr>
              <w:spacing w:after="0" w:line="240" w:lineRule="auto"/>
              <w:rPr>
                <w:sz w:val="20"/>
                <w:szCs w:val="20"/>
              </w:rPr>
            </w:pPr>
            <w:r>
              <w:rPr>
                <w:sz w:val="20"/>
                <w:szCs w:val="20"/>
              </w:rPr>
              <w:t>National culture</w:t>
            </w:r>
          </w:p>
          <w:p w:rsidR="00E85A81" w:rsidRDefault="00E85A81">
            <w:pPr>
              <w:spacing w:after="0" w:line="240" w:lineRule="auto"/>
              <w:rPr>
                <w:sz w:val="20"/>
                <w:szCs w:val="20"/>
              </w:rPr>
            </w:pPr>
            <w:r>
              <w:rPr>
                <w:sz w:val="20"/>
                <w:szCs w:val="20"/>
              </w:rPr>
              <w:t>Nature of contingency</w:t>
            </w:r>
          </w:p>
        </w:tc>
        <w:tc>
          <w:tcPr>
            <w:tcW w:w="1418" w:type="dxa"/>
          </w:tcPr>
          <w:p w:rsidR="00E85A81" w:rsidRDefault="00E85A81">
            <w:pPr>
              <w:spacing w:after="0" w:line="240" w:lineRule="auto"/>
              <w:rPr>
                <w:sz w:val="20"/>
                <w:szCs w:val="20"/>
              </w:rPr>
            </w:pPr>
            <w:r>
              <w:rPr>
                <w:sz w:val="20"/>
                <w:szCs w:val="20"/>
              </w:rPr>
              <w:t xml:space="preserve">Decisions whether to recognize contingent asset or liability </w:t>
            </w:r>
          </w:p>
        </w:tc>
        <w:tc>
          <w:tcPr>
            <w:tcW w:w="992" w:type="dxa"/>
          </w:tcPr>
          <w:p w:rsidR="00E85A81" w:rsidRDefault="00E85A81">
            <w:pPr>
              <w:spacing w:after="0" w:line="240" w:lineRule="auto"/>
              <w:jc w:val="center"/>
              <w:rPr>
                <w:sz w:val="20"/>
                <w:szCs w:val="20"/>
              </w:rPr>
            </w:pPr>
            <w:r>
              <w:rPr>
                <w:sz w:val="20"/>
                <w:szCs w:val="20"/>
              </w:rPr>
              <w:t>2</w:t>
            </w:r>
          </w:p>
        </w:tc>
        <w:tc>
          <w:tcPr>
            <w:tcW w:w="2943" w:type="dxa"/>
          </w:tcPr>
          <w:p w:rsidR="00E85A81" w:rsidRDefault="00E85A81">
            <w:pPr>
              <w:spacing w:after="0" w:line="240" w:lineRule="auto"/>
              <w:rPr>
                <w:sz w:val="20"/>
                <w:szCs w:val="20"/>
              </w:rPr>
            </w:pPr>
            <w:r>
              <w:rPr>
                <w:sz w:val="20"/>
                <w:szCs w:val="20"/>
              </w:rPr>
              <w:t>No support for Gray’s conservatism hypothesis. Contrary to expectation, mean differences indicates that Greek accountants are than U.S. accountants</w:t>
            </w:r>
          </w:p>
        </w:tc>
      </w:tr>
      <w:tr w:rsidR="00E85A81">
        <w:tc>
          <w:tcPr>
            <w:tcW w:w="9430" w:type="dxa"/>
            <w:gridSpan w:val="6"/>
          </w:tcPr>
          <w:p w:rsidR="00E85A81" w:rsidRDefault="00E85A81">
            <w:pPr>
              <w:spacing w:after="0" w:line="360" w:lineRule="auto"/>
              <w:rPr>
                <w:rFonts w:ascii="Arial" w:hAnsi="Arial" w:cs="Arial"/>
                <w:b/>
                <w:bCs/>
                <w:sz w:val="20"/>
                <w:szCs w:val="20"/>
              </w:rPr>
            </w:pPr>
            <w:r>
              <w:rPr>
                <w:b/>
                <w:bCs/>
              </w:rPr>
              <w:t xml:space="preserve">Secrecy </w:t>
            </w:r>
          </w:p>
        </w:tc>
      </w:tr>
      <w:tr w:rsidR="00E85A81">
        <w:tc>
          <w:tcPr>
            <w:tcW w:w="1384" w:type="dxa"/>
          </w:tcPr>
          <w:p w:rsidR="00E85A81" w:rsidRDefault="00E85A81">
            <w:pPr>
              <w:spacing w:after="0" w:line="240" w:lineRule="auto"/>
              <w:rPr>
                <w:color w:val="000000"/>
              </w:rPr>
            </w:pPr>
            <w:r>
              <w:rPr>
                <w:color w:val="000000"/>
              </w:rPr>
              <w:t>Doupnik and Ricio (2006)</w:t>
            </w:r>
          </w:p>
        </w:tc>
        <w:tc>
          <w:tcPr>
            <w:tcW w:w="1276" w:type="dxa"/>
          </w:tcPr>
          <w:p w:rsidR="00E85A81" w:rsidRDefault="00E85A81">
            <w:pPr>
              <w:spacing w:after="0" w:line="240" w:lineRule="auto"/>
              <w:rPr>
                <w:sz w:val="20"/>
                <w:szCs w:val="20"/>
              </w:rPr>
            </w:pPr>
            <w:r>
              <w:rPr>
                <w:sz w:val="20"/>
                <w:szCs w:val="20"/>
              </w:rPr>
              <w:t>Individual</w:t>
            </w:r>
          </w:p>
        </w:tc>
        <w:tc>
          <w:tcPr>
            <w:tcW w:w="1417" w:type="dxa"/>
          </w:tcPr>
          <w:p w:rsidR="00E85A81" w:rsidRDefault="00E85A81">
            <w:pPr>
              <w:spacing w:after="0" w:line="240" w:lineRule="auto"/>
              <w:rPr>
                <w:sz w:val="20"/>
                <w:szCs w:val="20"/>
              </w:rPr>
            </w:pPr>
            <w:r>
              <w:rPr>
                <w:sz w:val="20"/>
                <w:szCs w:val="20"/>
              </w:rPr>
              <w:t>verbal probability expressions used in IFRS</w:t>
            </w:r>
          </w:p>
        </w:tc>
        <w:tc>
          <w:tcPr>
            <w:tcW w:w="1418" w:type="dxa"/>
          </w:tcPr>
          <w:p w:rsidR="00E85A81" w:rsidRDefault="00E85A81">
            <w:pPr>
              <w:spacing w:after="0" w:line="240" w:lineRule="auto"/>
              <w:rPr>
                <w:sz w:val="20"/>
                <w:szCs w:val="20"/>
              </w:rPr>
            </w:pPr>
            <w:r>
              <w:rPr>
                <w:sz w:val="20"/>
                <w:szCs w:val="20"/>
              </w:rPr>
              <w:t>Interpretation of probability expressions that determine  disclosure of an item</w:t>
            </w:r>
          </w:p>
        </w:tc>
        <w:tc>
          <w:tcPr>
            <w:tcW w:w="992" w:type="dxa"/>
          </w:tcPr>
          <w:p w:rsidR="00E85A81" w:rsidRDefault="00E85A81">
            <w:pPr>
              <w:spacing w:after="0" w:line="240" w:lineRule="auto"/>
              <w:jc w:val="center"/>
              <w:rPr>
                <w:sz w:val="20"/>
                <w:szCs w:val="20"/>
              </w:rPr>
            </w:pPr>
            <w:r>
              <w:rPr>
                <w:sz w:val="20"/>
                <w:szCs w:val="20"/>
              </w:rPr>
              <w:t>2</w:t>
            </w:r>
          </w:p>
        </w:tc>
        <w:tc>
          <w:tcPr>
            <w:tcW w:w="2943" w:type="dxa"/>
          </w:tcPr>
          <w:p w:rsidR="00E85A81" w:rsidRDefault="00E85A81">
            <w:pPr>
              <w:spacing w:after="0" w:line="240" w:lineRule="auto"/>
              <w:rPr>
                <w:sz w:val="20"/>
                <w:szCs w:val="20"/>
              </w:rPr>
            </w:pPr>
            <w:r>
              <w:rPr>
                <w:sz w:val="20"/>
                <w:szCs w:val="20"/>
              </w:rPr>
              <w:t>Support for Gray’s secrecy hypothesis that Brazilian accountants are less likely to provide disclosure of an item than American accountants</w:t>
            </w:r>
          </w:p>
        </w:tc>
      </w:tr>
      <w:tr w:rsidR="00E85A81">
        <w:tc>
          <w:tcPr>
            <w:tcW w:w="1384" w:type="dxa"/>
          </w:tcPr>
          <w:p w:rsidR="00E85A81" w:rsidRDefault="00E85A81">
            <w:pPr>
              <w:spacing w:after="0" w:line="240" w:lineRule="auto"/>
              <w:rPr>
                <w:color w:val="000000"/>
              </w:rPr>
            </w:pPr>
            <w:r>
              <w:rPr>
                <w:color w:val="000000"/>
              </w:rPr>
              <w:t>Tsakumis (2007)</w:t>
            </w:r>
          </w:p>
        </w:tc>
        <w:tc>
          <w:tcPr>
            <w:tcW w:w="1276" w:type="dxa"/>
          </w:tcPr>
          <w:p w:rsidR="00E85A81" w:rsidRDefault="00E85A81">
            <w:pPr>
              <w:spacing w:after="0" w:line="240" w:lineRule="auto"/>
              <w:rPr>
                <w:sz w:val="20"/>
                <w:szCs w:val="20"/>
              </w:rPr>
            </w:pPr>
            <w:r>
              <w:rPr>
                <w:sz w:val="20"/>
                <w:szCs w:val="20"/>
              </w:rPr>
              <w:t>Individual</w:t>
            </w:r>
          </w:p>
        </w:tc>
        <w:tc>
          <w:tcPr>
            <w:tcW w:w="1417" w:type="dxa"/>
          </w:tcPr>
          <w:p w:rsidR="00E85A81" w:rsidRDefault="00E85A81">
            <w:pPr>
              <w:spacing w:after="0" w:line="240" w:lineRule="auto"/>
              <w:rPr>
                <w:sz w:val="20"/>
                <w:szCs w:val="20"/>
              </w:rPr>
            </w:pPr>
            <w:r>
              <w:rPr>
                <w:sz w:val="20"/>
                <w:szCs w:val="20"/>
              </w:rPr>
              <w:t>National culture</w:t>
            </w:r>
          </w:p>
          <w:p w:rsidR="00E85A81" w:rsidRDefault="00E85A81">
            <w:pPr>
              <w:spacing w:after="0" w:line="240" w:lineRule="auto"/>
              <w:rPr>
                <w:sz w:val="20"/>
                <w:szCs w:val="20"/>
              </w:rPr>
            </w:pPr>
            <w:r>
              <w:rPr>
                <w:sz w:val="20"/>
                <w:szCs w:val="20"/>
              </w:rPr>
              <w:t>Nature of contingency</w:t>
            </w:r>
          </w:p>
        </w:tc>
        <w:tc>
          <w:tcPr>
            <w:tcW w:w="1418" w:type="dxa"/>
          </w:tcPr>
          <w:p w:rsidR="00E85A81" w:rsidRDefault="00E85A81">
            <w:pPr>
              <w:spacing w:after="0" w:line="240" w:lineRule="auto"/>
              <w:rPr>
                <w:sz w:val="20"/>
                <w:szCs w:val="20"/>
              </w:rPr>
            </w:pPr>
            <w:r>
              <w:rPr>
                <w:sz w:val="20"/>
                <w:szCs w:val="20"/>
              </w:rPr>
              <w:t xml:space="preserve">Decisions whether to disclose contingent asset or liability </w:t>
            </w:r>
          </w:p>
        </w:tc>
        <w:tc>
          <w:tcPr>
            <w:tcW w:w="992" w:type="dxa"/>
          </w:tcPr>
          <w:p w:rsidR="00E85A81" w:rsidRDefault="00E85A81">
            <w:pPr>
              <w:spacing w:after="0" w:line="240" w:lineRule="auto"/>
              <w:jc w:val="center"/>
              <w:rPr>
                <w:sz w:val="20"/>
                <w:szCs w:val="20"/>
              </w:rPr>
            </w:pPr>
            <w:r>
              <w:rPr>
                <w:sz w:val="20"/>
                <w:szCs w:val="20"/>
              </w:rPr>
              <w:t>2</w:t>
            </w:r>
          </w:p>
        </w:tc>
        <w:tc>
          <w:tcPr>
            <w:tcW w:w="2943" w:type="dxa"/>
          </w:tcPr>
          <w:p w:rsidR="00E85A81" w:rsidRDefault="00E85A81">
            <w:pPr>
              <w:spacing w:after="0" w:line="240" w:lineRule="auto"/>
              <w:rPr>
                <w:sz w:val="20"/>
                <w:szCs w:val="20"/>
              </w:rPr>
            </w:pPr>
            <w:r>
              <w:rPr>
                <w:sz w:val="20"/>
                <w:szCs w:val="20"/>
              </w:rPr>
              <w:t>Support for Gray’s secrecy hypothesis in that Greek accountants are less likely to disclose the existence of both contingent assets and liabilities than U.S. accountants</w:t>
            </w:r>
          </w:p>
        </w:tc>
      </w:tr>
      <w:tr w:rsidR="00E85A81">
        <w:tc>
          <w:tcPr>
            <w:tcW w:w="9430" w:type="dxa"/>
            <w:gridSpan w:val="6"/>
          </w:tcPr>
          <w:p w:rsidR="00E85A81" w:rsidRDefault="00E85A81">
            <w:pPr>
              <w:spacing w:after="0" w:line="360" w:lineRule="auto"/>
              <w:rPr>
                <w:rFonts w:ascii="Arial" w:hAnsi="Arial" w:cs="Arial"/>
                <w:b/>
                <w:bCs/>
                <w:sz w:val="20"/>
                <w:szCs w:val="20"/>
              </w:rPr>
            </w:pPr>
            <w:r>
              <w:rPr>
                <w:b/>
                <w:bCs/>
                <w:color w:val="000000"/>
              </w:rPr>
              <w:t>Other findings</w:t>
            </w:r>
          </w:p>
        </w:tc>
      </w:tr>
      <w:tr w:rsidR="00E85A81">
        <w:tc>
          <w:tcPr>
            <w:tcW w:w="1384" w:type="dxa"/>
          </w:tcPr>
          <w:p w:rsidR="00E85A81" w:rsidRDefault="00E85A81">
            <w:pPr>
              <w:spacing w:after="0" w:line="240" w:lineRule="auto"/>
              <w:rPr>
                <w:rFonts w:ascii="Arial" w:hAnsi="Arial" w:cs="Arial"/>
                <w:color w:val="000000"/>
              </w:rPr>
            </w:pPr>
            <w:r>
              <w:t xml:space="preserve">Ding </w:t>
            </w:r>
            <w:r>
              <w:rPr>
                <w:i/>
                <w:iCs/>
              </w:rPr>
              <w:t>et al</w:t>
            </w:r>
            <w:r>
              <w:rPr>
                <w:rFonts w:ascii="Arial" w:hAnsi="Arial" w:cs="Arial"/>
                <w:i/>
                <w:iCs/>
              </w:rPr>
              <w:t>.</w:t>
            </w:r>
            <w:r>
              <w:t xml:space="preserve"> (2004)</w:t>
            </w:r>
          </w:p>
        </w:tc>
        <w:tc>
          <w:tcPr>
            <w:tcW w:w="1276" w:type="dxa"/>
          </w:tcPr>
          <w:p w:rsidR="00E85A81" w:rsidRDefault="00E85A81">
            <w:pPr>
              <w:spacing w:after="0" w:line="240" w:lineRule="auto"/>
              <w:rPr>
                <w:sz w:val="20"/>
                <w:szCs w:val="20"/>
              </w:rPr>
            </w:pPr>
            <w:r>
              <w:rPr>
                <w:sz w:val="20"/>
                <w:szCs w:val="20"/>
              </w:rPr>
              <w:t>Countries</w:t>
            </w:r>
          </w:p>
        </w:tc>
        <w:tc>
          <w:tcPr>
            <w:tcW w:w="1417" w:type="dxa"/>
          </w:tcPr>
          <w:p w:rsidR="00E85A81" w:rsidRDefault="00E85A81">
            <w:pPr>
              <w:spacing w:after="0" w:line="240" w:lineRule="auto"/>
              <w:rPr>
                <w:sz w:val="20"/>
                <w:szCs w:val="20"/>
                <w:lang w:val="fr-FR"/>
              </w:rPr>
            </w:pPr>
            <w:r>
              <w:rPr>
                <w:sz w:val="20"/>
                <w:szCs w:val="20"/>
                <w:lang w:val="fr-FR"/>
              </w:rPr>
              <w:t>Culture dimensions</w:t>
            </w:r>
          </w:p>
        </w:tc>
        <w:tc>
          <w:tcPr>
            <w:tcW w:w="1418" w:type="dxa"/>
          </w:tcPr>
          <w:p w:rsidR="00E85A81" w:rsidRDefault="00E85A81">
            <w:pPr>
              <w:spacing w:after="0" w:line="240" w:lineRule="auto"/>
              <w:rPr>
                <w:sz w:val="20"/>
                <w:szCs w:val="20"/>
                <w:lang w:val="fr-FR"/>
              </w:rPr>
            </w:pPr>
            <w:r>
              <w:rPr>
                <w:sz w:val="20"/>
                <w:szCs w:val="20"/>
                <w:lang w:val="fr-FR"/>
              </w:rPr>
              <w:t>Divergence/ absence/ conformity scores</w:t>
            </w:r>
          </w:p>
        </w:tc>
        <w:tc>
          <w:tcPr>
            <w:tcW w:w="992" w:type="dxa"/>
          </w:tcPr>
          <w:p w:rsidR="00E85A81" w:rsidRDefault="00E85A81">
            <w:pPr>
              <w:spacing w:after="0" w:line="240" w:lineRule="auto"/>
              <w:jc w:val="center"/>
              <w:rPr>
                <w:sz w:val="20"/>
                <w:szCs w:val="20"/>
              </w:rPr>
            </w:pPr>
            <w:r>
              <w:rPr>
                <w:sz w:val="20"/>
                <w:szCs w:val="20"/>
              </w:rPr>
              <w:t>52</w:t>
            </w:r>
          </w:p>
        </w:tc>
        <w:tc>
          <w:tcPr>
            <w:tcW w:w="2943" w:type="dxa"/>
          </w:tcPr>
          <w:p w:rsidR="00E85A81" w:rsidRDefault="00E85A81">
            <w:pPr>
              <w:spacing w:after="0" w:line="240" w:lineRule="auto"/>
              <w:rPr>
                <w:sz w:val="20"/>
                <w:szCs w:val="20"/>
              </w:rPr>
            </w:pPr>
            <w:r>
              <w:rPr>
                <w:sz w:val="20"/>
                <w:szCs w:val="20"/>
              </w:rPr>
              <w:t>Level of divergence is related to culture dimensions IND, PD and UA while the level of absence is more related to economic development and capital market.</w:t>
            </w:r>
          </w:p>
        </w:tc>
      </w:tr>
    </w:tbl>
    <w:p w:rsidR="00E85A81" w:rsidRDefault="00E85A81">
      <w:pPr>
        <w:spacing w:after="0"/>
        <w:rPr>
          <w:rFonts w:ascii="Times New Roman" w:hAnsi="Times New Roman" w:cs="Times New Roman"/>
        </w:rPr>
      </w:pPr>
    </w:p>
    <w:p w:rsidR="00E85A81" w:rsidRDefault="00E85A81">
      <w:pPr>
        <w:autoSpaceDE w:val="0"/>
        <w:autoSpaceDN w:val="0"/>
        <w:adjustRightInd w:val="0"/>
        <w:spacing w:after="0" w:line="360" w:lineRule="auto"/>
        <w:rPr>
          <w:rFonts w:ascii="Times New Roman" w:hAnsi="Times New Roman" w:cs="Times New Roman"/>
        </w:rPr>
      </w:pPr>
      <w:r>
        <w:t>Notes:</w:t>
      </w:r>
    </w:p>
    <w:p w:rsidR="00E85A81" w:rsidRDefault="00E85A81">
      <w:pPr>
        <w:autoSpaceDE w:val="0"/>
        <w:autoSpaceDN w:val="0"/>
        <w:adjustRightInd w:val="0"/>
        <w:spacing w:after="0" w:line="240" w:lineRule="auto"/>
        <w:rPr>
          <w:rFonts w:ascii="Times New Roman" w:hAnsi="Times New Roman" w:cs="Times New Roman"/>
        </w:rPr>
      </w:pPr>
      <w:r>
        <w:t>AS = Accounting System</w:t>
      </w:r>
      <w:r>
        <w:tab/>
      </w:r>
      <w:r>
        <w:tab/>
      </w:r>
      <w:r>
        <w:tab/>
        <w:t>PD = Power Distance</w:t>
      </w:r>
      <w:r>
        <w:tab/>
      </w:r>
      <w:r>
        <w:tab/>
        <w:t>Pro = Professionalism</w:t>
      </w:r>
    </w:p>
    <w:p w:rsidR="00E85A81" w:rsidRDefault="00E85A81">
      <w:pPr>
        <w:autoSpaceDE w:val="0"/>
        <w:autoSpaceDN w:val="0"/>
        <w:adjustRightInd w:val="0"/>
        <w:spacing w:after="0" w:line="240" w:lineRule="auto"/>
      </w:pPr>
      <w:r>
        <w:t>IND = Individualism</w:t>
      </w:r>
      <w:r>
        <w:tab/>
      </w:r>
      <w:r>
        <w:tab/>
      </w:r>
      <w:r>
        <w:tab/>
        <w:t>MASC = Masculinity</w:t>
      </w:r>
      <w:r>
        <w:tab/>
      </w:r>
      <w:r>
        <w:tab/>
        <w:t>Uni = Uniformity</w:t>
      </w:r>
    </w:p>
    <w:p w:rsidR="00E85A81" w:rsidRDefault="00E85A81">
      <w:pPr>
        <w:autoSpaceDE w:val="0"/>
        <w:autoSpaceDN w:val="0"/>
        <w:adjustRightInd w:val="0"/>
        <w:spacing w:after="0" w:line="240" w:lineRule="auto"/>
        <w:rPr>
          <w:rFonts w:ascii="Times New Roman" w:hAnsi="Times New Roman" w:cs="Times New Roman"/>
          <w:lang w:val="de-DE"/>
        </w:rPr>
      </w:pPr>
      <w:r>
        <w:t>UA = Uncertainty Avoidance</w:t>
      </w:r>
      <w:r>
        <w:tab/>
      </w:r>
      <w:r>
        <w:tab/>
        <w:t>Con = Conservatism</w:t>
      </w:r>
      <w:r>
        <w:tab/>
      </w:r>
      <w:r>
        <w:tab/>
        <w:t>Sec = Secrecy</w:t>
      </w:r>
    </w:p>
    <w:sectPr w:rsidR="00E85A81" w:rsidSect="00E85A81">
      <w:footerReference w:type="default" r:id="rId11"/>
      <w:pgSz w:w="12240" w:h="15840"/>
      <w:pgMar w:top="1418" w:right="1418" w:bottom="1418"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5A81" w:rsidRDefault="00E85A81">
      <w:pPr>
        <w:rPr>
          <w:rFonts w:ascii="Times New Roman" w:hAnsi="Times New Roman" w:cs="Times New Roman"/>
        </w:rPr>
      </w:pPr>
      <w:r>
        <w:rPr>
          <w:rFonts w:ascii="Times New Roman" w:hAnsi="Times New Roman" w:cs="Times New Roman"/>
        </w:rPr>
        <w:separator/>
      </w:r>
    </w:p>
  </w:endnote>
  <w:endnote w:type="continuationSeparator" w:id="0">
    <w:p w:rsidR="00E85A81" w:rsidRDefault="00E85A81">
      <w:pPr>
        <w:rPr>
          <w:rFonts w:ascii="Times New Roman" w:hAnsi="Times New Roman" w:cs="Times New Roman"/>
        </w:rPr>
      </w:pPr>
      <w:r>
        <w:rPr>
          <w:rFonts w:ascii="Times New Roman" w:hAnsi="Times New Roman"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2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5A81" w:rsidRDefault="00E85A81">
    <w:pPr>
      <w:pStyle w:val="Footer"/>
      <w:framePr w:wrap="auto" w:vAnchor="text" w:hAnchor="margin" w:xAlign="right" w:y="1"/>
      <w:rPr>
        <w:rStyle w:val="PageNumber"/>
      </w:rPr>
    </w:pPr>
    <w:r>
      <w:rPr>
        <w:rStyle w:val="PageNumber"/>
        <w:rFonts w:ascii="Calibri" w:hAnsi="Calibri" w:cs="Calibri"/>
      </w:rPr>
      <w:fldChar w:fldCharType="begin"/>
    </w:r>
    <w:r>
      <w:rPr>
        <w:rStyle w:val="PageNumber"/>
        <w:rFonts w:ascii="Calibri" w:hAnsi="Calibri" w:cs="Calibri"/>
      </w:rPr>
      <w:instrText xml:space="preserve">PAGE  </w:instrText>
    </w:r>
    <w:r>
      <w:rPr>
        <w:rStyle w:val="PageNumber"/>
        <w:rFonts w:ascii="Calibri" w:hAnsi="Calibri" w:cs="Calibri"/>
      </w:rPr>
      <w:fldChar w:fldCharType="separate"/>
    </w:r>
    <w:r>
      <w:rPr>
        <w:rStyle w:val="PageNumber"/>
        <w:rFonts w:ascii="Calibri" w:hAnsi="Calibri" w:cs="Calibri"/>
        <w:noProof/>
      </w:rPr>
      <w:t>40</w:t>
    </w:r>
    <w:r>
      <w:rPr>
        <w:rStyle w:val="PageNumber"/>
        <w:rFonts w:ascii="Calibri" w:hAnsi="Calibri" w:cs="Calibri"/>
      </w:rPr>
      <w:fldChar w:fldCharType="end"/>
    </w:r>
  </w:p>
  <w:p w:rsidR="00E85A81" w:rsidRDefault="00E85A81">
    <w:pPr>
      <w:pStyle w:val="Footer"/>
      <w:ind w:right="360"/>
      <w:jc w:val="right"/>
      <w:rPr>
        <w:rFonts w:ascii="Times New Roman" w:hAnsi="Times New Roman" w:cs="Times New Roman"/>
      </w:rPr>
    </w:pPr>
  </w:p>
  <w:p w:rsidR="00E85A81" w:rsidRDefault="00E85A81">
    <w:pPr>
      <w:pStyle w:val="Footer"/>
      <w:rPr>
        <w:rFonts w:ascii="Times New Roman" w:hAnsi="Times New Roman"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5A81" w:rsidRDefault="00E85A81">
      <w:pPr>
        <w:rPr>
          <w:rFonts w:ascii="Times New Roman" w:hAnsi="Times New Roman" w:cs="Times New Roman"/>
        </w:rPr>
      </w:pPr>
      <w:r>
        <w:rPr>
          <w:rFonts w:ascii="Times New Roman" w:hAnsi="Times New Roman" w:cs="Times New Roman"/>
        </w:rPr>
        <w:separator/>
      </w:r>
    </w:p>
  </w:footnote>
  <w:footnote w:type="continuationSeparator" w:id="0">
    <w:p w:rsidR="00E85A81" w:rsidRDefault="00E85A81">
      <w:pPr>
        <w:rPr>
          <w:rFonts w:ascii="Times New Roman" w:hAnsi="Times New Roman" w:cs="Times New Roman"/>
        </w:rPr>
      </w:pPr>
      <w:r>
        <w:rPr>
          <w:rFonts w:ascii="Times New Roman" w:hAnsi="Times New Roman" w:cs="Times New Roman"/>
        </w:rPr>
        <w:continuationSeparator/>
      </w:r>
    </w:p>
  </w:footnote>
  <w:footnote w:id="1">
    <w:p w:rsidR="00E85A81" w:rsidRDefault="00E85A81">
      <w:pPr>
        <w:autoSpaceDE w:val="0"/>
        <w:autoSpaceDN w:val="0"/>
        <w:adjustRightInd w:val="0"/>
        <w:spacing w:after="0" w:line="240" w:lineRule="auto"/>
      </w:pPr>
      <w:r>
        <w:rPr>
          <w:rStyle w:val="FootnoteReference"/>
          <w:sz w:val="18"/>
          <w:szCs w:val="18"/>
        </w:rPr>
        <w:footnoteRef/>
      </w:r>
      <w:r>
        <w:rPr>
          <w:sz w:val="18"/>
          <w:szCs w:val="18"/>
          <w:lang w:val="fr-FR"/>
        </w:rPr>
        <w:t xml:space="preserve"> House et al.’ </w:t>
      </w:r>
      <w:r>
        <w:rPr>
          <w:sz w:val="18"/>
          <w:szCs w:val="18"/>
        </w:rPr>
        <w:t>(2004) social dimensions are power distance, uncertainty avoidance, assertiveness, institutional collectivism, in-group collectivism, future orientation, performance orientation, human orientation, and gender egalitarianism.</w:t>
      </w:r>
    </w:p>
  </w:footnote>
  <w:footnote w:id="2">
    <w:p w:rsidR="00E85A81" w:rsidRDefault="00E85A81">
      <w:pPr>
        <w:pStyle w:val="FootnoteText"/>
        <w:spacing w:after="0"/>
      </w:pPr>
      <w:r>
        <w:rPr>
          <w:rStyle w:val="FootnoteReference"/>
          <w:sz w:val="18"/>
          <w:szCs w:val="18"/>
        </w:rPr>
        <w:footnoteRef/>
      </w:r>
      <w:r>
        <w:rPr>
          <w:sz w:val="18"/>
          <w:szCs w:val="18"/>
        </w:rPr>
        <w:t xml:space="preserve"> Nobes (1992) specified six important factors which may cause international differences between financial reporting systems: legal systems, business ownership, stock exchanges, tax systems, profession and other factors.</w:t>
      </w:r>
    </w:p>
  </w:footnote>
  <w:footnote w:id="3">
    <w:p w:rsidR="00E85A81" w:rsidRDefault="00E85A81">
      <w:pPr>
        <w:pStyle w:val="FootnoteText"/>
        <w:spacing w:after="0"/>
      </w:pPr>
      <w:r>
        <w:rPr>
          <w:rStyle w:val="FootnoteReference"/>
        </w:rPr>
        <w:footnoteRef/>
      </w:r>
      <w:r>
        <w:t xml:space="preserve"> </w:t>
      </w:r>
      <w:r>
        <w:rPr>
          <w:sz w:val="18"/>
          <w:szCs w:val="18"/>
        </w:rPr>
        <w:t>Hofstede’s VSM is available at www.geert-hofstede.com and may be freely used for research purposes.</w:t>
      </w:r>
    </w:p>
  </w:footnote>
  <w:footnote w:id="4">
    <w:p w:rsidR="00E85A81" w:rsidRDefault="00E85A81">
      <w:pPr>
        <w:pStyle w:val="FootnoteText"/>
        <w:spacing w:after="0" w:line="240" w:lineRule="auto"/>
      </w:pPr>
      <w:r>
        <w:rPr>
          <w:rStyle w:val="FootnoteReference"/>
          <w:sz w:val="18"/>
          <w:szCs w:val="18"/>
        </w:rPr>
        <w:footnoteRef/>
      </w:r>
      <w:r>
        <w:rPr>
          <w:sz w:val="18"/>
          <w:szCs w:val="18"/>
        </w:rPr>
        <w:t xml:space="preserve"> The Big 6 accounting firms are Arthur Andersen, Ernst &amp; Young, Coopers and Lybrand, Deloitte &amp; Touche, Peat Marwick Mitchell (now is KPMG) and Price Waterhouse.</w:t>
      </w:r>
    </w:p>
  </w:footnote>
  <w:footnote w:id="5">
    <w:p w:rsidR="00E85A81" w:rsidRDefault="00E85A81">
      <w:pPr>
        <w:spacing w:before="240" w:after="0" w:line="240" w:lineRule="auto"/>
      </w:pPr>
      <w:r>
        <w:rPr>
          <w:rStyle w:val="FootnoteReference"/>
          <w:sz w:val="18"/>
          <w:szCs w:val="18"/>
        </w:rPr>
        <w:footnoteRef/>
      </w:r>
      <w:r>
        <w:rPr>
          <w:sz w:val="18"/>
          <w:szCs w:val="18"/>
        </w:rPr>
        <w:t xml:space="preserve"> The countries included in the sample are Australia, Austria, Belgium, Brazil, Canada, Denmark, France, Germany, Hong Kong, Italy, Japan, Korea, Malaysia, Mexico, Netherlands, Singapore, Spain, Sweden, Switzerland, Taiwan, Thailand, U.K., and the U.S. </w:t>
      </w:r>
    </w:p>
  </w:footnote>
  <w:footnote w:id="6">
    <w:p w:rsidR="00E85A81" w:rsidRDefault="00E85A81">
      <w:pPr>
        <w:pStyle w:val="FootnoteText"/>
        <w:spacing w:before="240" w:after="0" w:line="240" w:lineRule="auto"/>
      </w:pPr>
      <w:r>
        <w:rPr>
          <w:rStyle w:val="FootnoteReference"/>
          <w:sz w:val="18"/>
          <w:szCs w:val="18"/>
        </w:rPr>
        <w:footnoteRef/>
      </w:r>
      <w:r>
        <w:rPr>
          <w:sz w:val="18"/>
          <w:szCs w:val="18"/>
        </w:rPr>
        <w:t xml:space="preserve"> The specific issues concern of  ‘the initial valuation of property, plant or equipment acquired in exchange for a similar asset; valuation of investment properties; the correction of fundamental errors, omissions or accounting policy changes; revenue recognition on construction contracts; the benefit valuation method used when valuing retirement benefits; gains or losses on long-term monetary items due to exchange rate changes; the exchange rate used to translate income statements; accounts of subsidiaries located in countries with hyper-inflation; development costs; inventory flow assumptions; borrowing costs on assets under construction; merger accounting method; positive goodwill; and, negative goodwill’ (Robert and Salter, 1999, p. 9).</w:t>
      </w:r>
    </w:p>
  </w:footnote>
  <w:footnote w:id="7">
    <w:p w:rsidR="00E85A81" w:rsidRDefault="00E85A81">
      <w:pPr>
        <w:pStyle w:val="FootnoteText"/>
        <w:spacing w:after="0" w:line="240" w:lineRule="auto"/>
      </w:pPr>
      <w:r>
        <w:rPr>
          <w:rStyle w:val="FootnoteReference"/>
          <w:sz w:val="18"/>
          <w:szCs w:val="18"/>
        </w:rPr>
        <w:footnoteRef/>
      </w:r>
      <w:r>
        <w:rPr>
          <w:sz w:val="18"/>
          <w:szCs w:val="18"/>
        </w:rPr>
        <w:t xml:space="preserve"> CIFAR stands for Center for International Financial Analysis and Research.</w:t>
      </w:r>
    </w:p>
  </w:footnote>
  <w:footnote w:id="8">
    <w:p w:rsidR="00E85A81" w:rsidRDefault="00E85A81">
      <w:pPr>
        <w:pStyle w:val="FootnoteText"/>
        <w:spacing w:after="0" w:line="240" w:lineRule="auto"/>
      </w:pPr>
      <w:r>
        <w:rPr>
          <w:rStyle w:val="FootnoteReference"/>
          <w:sz w:val="18"/>
          <w:szCs w:val="18"/>
        </w:rPr>
        <w:footnoteRef/>
      </w:r>
      <w:r>
        <w:rPr>
          <w:sz w:val="18"/>
          <w:szCs w:val="18"/>
        </w:rPr>
        <w:t xml:space="preserve"> </w:t>
      </w:r>
      <w:r>
        <w:rPr>
          <w:color w:val="000000"/>
          <w:sz w:val="18"/>
          <w:szCs w:val="18"/>
        </w:rPr>
        <w:t xml:space="preserve">Analysts’ information environment was measured by forecast errors, forecast dispersion and analyst following (Byard </w:t>
      </w:r>
      <w:r>
        <w:rPr>
          <w:i/>
          <w:iCs/>
          <w:color w:val="000000"/>
          <w:sz w:val="18"/>
          <w:szCs w:val="18"/>
        </w:rPr>
        <w:t>et al</w:t>
      </w:r>
      <w:r>
        <w:rPr>
          <w:rFonts w:ascii="Times New Roman" w:hAnsi="Times New Roman" w:cs="Times New Roman"/>
          <w:color w:val="000000"/>
          <w:sz w:val="18"/>
          <w:szCs w:val="18"/>
        </w:rPr>
        <w:t>.</w:t>
      </w:r>
      <w:r>
        <w:rPr>
          <w:color w:val="000000"/>
          <w:sz w:val="18"/>
          <w:szCs w:val="18"/>
        </w:rPr>
        <w:t>, 2009).</w:t>
      </w:r>
    </w:p>
  </w:footnote>
  <w:footnote w:id="9">
    <w:p w:rsidR="00E85A81" w:rsidRDefault="00E85A81">
      <w:pPr>
        <w:pStyle w:val="FootnoteText"/>
        <w:spacing w:after="0" w:line="240" w:lineRule="auto"/>
      </w:pPr>
      <w:r>
        <w:rPr>
          <w:rStyle w:val="FootnoteReference"/>
        </w:rPr>
        <w:footnoteRef/>
      </w:r>
      <w:r>
        <w:t xml:space="preserve"> </w:t>
      </w:r>
      <w:r>
        <w:rPr>
          <w:sz w:val="18"/>
          <w:szCs w:val="18"/>
        </w:rPr>
        <w:t>Most probability expressions used in IAS are positively framed (Doupnik and Richter, 2004).</w:t>
      </w:r>
    </w:p>
  </w:footnote>
  <w:footnote w:id="10">
    <w:p w:rsidR="00E85A81" w:rsidRDefault="00E85A81">
      <w:pPr>
        <w:pStyle w:val="FootnoteText"/>
        <w:spacing w:after="0" w:line="240" w:lineRule="auto"/>
      </w:pPr>
      <w:r>
        <w:rPr>
          <w:rStyle w:val="FootnoteReference"/>
          <w:sz w:val="18"/>
          <w:szCs w:val="18"/>
        </w:rPr>
        <w:footnoteRef/>
      </w:r>
      <w:r>
        <w:rPr>
          <w:sz w:val="18"/>
          <w:szCs w:val="18"/>
        </w:rPr>
        <w:t xml:space="preserve"> </w:t>
      </w:r>
      <w:r>
        <w:rPr>
          <w:color w:val="000000"/>
          <w:sz w:val="18"/>
          <w:szCs w:val="18"/>
        </w:rPr>
        <w:t>The samples of 52 countries are selected based on the study from “GAAP 2001” (Nobes, 2001) executed by several international accounting firms.</w:t>
      </w:r>
    </w:p>
  </w:footnote>
  <w:footnote w:id="11">
    <w:p w:rsidR="00E85A81" w:rsidRDefault="00E85A81">
      <w:pPr>
        <w:pStyle w:val="FootnoteText"/>
        <w:spacing w:before="240" w:after="0" w:line="240" w:lineRule="auto"/>
      </w:pPr>
      <w:r>
        <w:rPr>
          <w:rStyle w:val="FootnoteReference"/>
          <w:sz w:val="18"/>
          <w:szCs w:val="18"/>
        </w:rPr>
        <w:footnoteRef/>
      </w:r>
      <w:r>
        <w:rPr>
          <w:sz w:val="18"/>
          <w:szCs w:val="18"/>
        </w:rPr>
        <w:t xml:space="preserve"> An analysis of the items included in IAS but not in national rules shows that these items are depending more on the level of economic development and the size of  capital market rather than national culture (Ding et al, 2004).</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39E6947E"/>
    <w:lvl w:ilvl="0">
      <w:start w:val="1"/>
      <w:numFmt w:val="decimal"/>
      <w:lvlText w:val="%1."/>
      <w:lvlJc w:val="left"/>
      <w:pPr>
        <w:tabs>
          <w:tab w:val="num" w:pos="1800"/>
        </w:tabs>
        <w:ind w:left="1800" w:hanging="360"/>
      </w:pPr>
      <w:rPr>
        <w:rFonts w:ascii="Times New Roman" w:hAnsi="Times New Roman" w:cs="Times New Roman"/>
      </w:rPr>
    </w:lvl>
  </w:abstractNum>
  <w:abstractNum w:abstractNumId="1">
    <w:nsid w:val="FFFFFF7D"/>
    <w:multiLevelType w:val="singleLevel"/>
    <w:tmpl w:val="6E80A2D0"/>
    <w:lvl w:ilvl="0">
      <w:start w:val="1"/>
      <w:numFmt w:val="decimal"/>
      <w:lvlText w:val="%1."/>
      <w:lvlJc w:val="left"/>
      <w:pPr>
        <w:tabs>
          <w:tab w:val="num" w:pos="1440"/>
        </w:tabs>
        <w:ind w:left="1440" w:hanging="360"/>
      </w:pPr>
      <w:rPr>
        <w:rFonts w:ascii="Times New Roman" w:hAnsi="Times New Roman" w:cs="Times New Roman"/>
      </w:rPr>
    </w:lvl>
  </w:abstractNum>
  <w:abstractNum w:abstractNumId="2">
    <w:nsid w:val="FFFFFF7E"/>
    <w:multiLevelType w:val="singleLevel"/>
    <w:tmpl w:val="5788865E"/>
    <w:lvl w:ilvl="0">
      <w:start w:val="1"/>
      <w:numFmt w:val="decimal"/>
      <w:lvlText w:val="%1."/>
      <w:lvlJc w:val="left"/>
      <w:pPr>
        <w:tabs>
          <w:tab w:val="num" w:pos="1080"/>
        </w:tabs>
        <w:ind w:left="1080" w:hanging="360"/>
      </w:pPr>
      <w:rPr>
        <w:rFonts w:ascii="Times New Roman" w:hAnsi="Times New Roman" w:cs="Times New Roman"/>
      </w:rPr>
    </w:lvl>
  </w:abstractNum>
  <w:abstractNum w:abstractNumId="3">
    <w:nsid w:val="FFFFFF7F"/>
    <w:multiLevelType w:val="singleLevel"/>
    <w:tmpl w:val="2098EDDA"/>
    <w:lvl w:ilvl="0">
      <w:start w:val="1"/>
      <w:numFmt w:val="decimal"/>
      <w:lvlText w:val="%1."/>
      <w:lvlJc w:val="left"/>
      <w:pPr>
        <w:tabs>
          <w:tab w:val="num" w:pos="720"/>
        </w:tabs>
        <w:ind w:left="720" w:hanging="360"/>
      </w:pPr>
      <w:rPr>
        <w:rFonts w:ascii="Times New Roman" w:hAnsi="Times New Roman" w:cs="Times New Roman"/>
      </w:rPr>
    </w:lvl>
  </w:abstractNum>
  <w:abstractNum w:abstractNumId="4">
    <w:nsid w:val="FFFFFF80"/>
    <w:multiLevelType w:val="singleLevel"/>
    <w:tmpl w:val="08421430"/>
    <w:lvl w:ilvl="0">
      <w:start w:val="1"/>
      <w:numFmt w:val="bullet"/>
      <w:lvlText w:val=""/>
      <w:lvlJc w:val="left"/>
      <w:pPr>
        <w:tabs>
          <w:tab w:val="num" w:pos="1800"/>
        </w:tabs>
        <w:ind w:left="1800" w:hanging="360"/>
      </w:pPr>
      <w:rPr>
        <w:rFonts w:ascii="Symbol" w:hAnsi="Symbol" w:cs="Symbol" w:hint="default"/>
      </w:rPr>
    </w:lvl>
  </w:abstractNum>
  <w:abstractNum w:abstractNumId="5">
    <w:nsid w:val="FFFFFF81"/>
    <w:multiLevelType w:val="singleLevel"/>
    <w:tmpl w:val="0A022DAE"/>
    <w:lvl w:ilvl="0">
      <w:start w:val="1"/>
      <w:numFmt w:val="bullet"/>
      <w:lvlText w:val=""/>
      <w:lvlJc w:val="left"/>
      <w:pPr>
        <w:tabs>
          <w:tab w:val="num" w:pos="1440"/>
        </w:tabs>
        <w:ind w:left="1440" w:hanging="360"/>
      </w:pPr>
      <w:rPr>
        <w:rFonts w:ascii="Symbol" w:hAnsi="Symbol" w:cs="Symbol" w:hint="default"/>
      </w:rPr>
    </w:lvl>
  </w:abstractNum>
  <w:abstractNum w:abstractNumId="6">
    <w:nsid w:val="FFFFFF82"/>
    <w:multiLevelType w:val="singleLevel"/>
    <w:tmpl w:val="58E6D760"/>
    <w:lvl w:ilvl="0">
      <w:start w:val="1"/>
      <w:numFmt w:val="bullet"/>
      <w:lvlText w:val=""/>
      <w:lvlJc w:val="left"/>
      <w:pPr>
        <w:tabs>
          <w:tab w:val="num" w:pos="1080"/>
        </w:tabs>
        <w:ind w:left="1080" w:hanging="360"/>
      </w:pPr>
      <w:rPr>
        <w:rFonts w:ascii="Symbol" w:hAnsi="Symbol" w:cs="Symbol" w:hint="default"/>
      </w:rPr>
    </w:lvl>
  </w:abstractNum>
  <w:abstractNum w:abstractNumId="7">
    <w:nsid w:val="FFFFFF83"/>
    <w:multiLevelType w:val="singleLevel"/>
    <w:tmpl w:val="985C9DB4"/>
    <w:lvl w:ilvl="0">
      <w:start w:val="1"/>
      <w:numFmt w:val="bullet"/>
      <w:lvlText w:val=""/>
      <w:lvlJc w:val="left"/>
      <w:pPr>
        <w:tabs>
          <w:tab w:val="num" w:pos="720"/>
        </w:tabs>
        <w:ind w:left="720" w:hanging="360"/>
      </w:pPr>
      <w:rPr>
        <w:rFonts w:ascii="Symbol" w:hAnsi="Symbol" w:cs="Symbol" w:hint="default"/>
      </w:rPr>
    </w:lvl>
  </w:abstractNum>
  <w:abstractNum w:abstractNumId="8">
    <w:nsid w:val="FFFFFF88"/>
    <w:multiLevelType w:val="singleLevel"/>
    <w:tmpl w:val="5AFAB37C"/>
    <w:lvl w:ilvl="0">
      <w:start w:val="1"/>
      <w:numFmt w:val="decimal"/>
      <w:lvlText w:val="%1."/>
      <w:lvlJc w:val="left"/>
      <w:pPr>
        <w:tabs>
          <w:tab w:val="num" w:pos="360"/>
        </w:tabs>
        <w:ind w:left="360" w:hanging="360"/>
      </w:pPr>
      <w:rPr>
        <w:rFonts w:ascii="Times New Roman" w:hAnsi="Times New Roman" w:cs="Times New Roman"/>
      </w:rPr>
    </w:lvl>
  </w:abstractNum>
  <w:abstractNum w:abstractNumId="9">
    <w:nsid w:val="FFFFFF89"/>
    <w:multiLevelType w:val="singleLevel"/>
    <w:tmpl w:val="4D3A0EA6"/>
    <w:lvl w:ilvl="0">
      <w:start w:val="1"/>
      <w:numFmt w:val="bullet"/>
      <w:lvlText w:val=""/>
      <w:lvlJc w:val="left"/>
      <w:pPr>
        <w:tabs>
          <w:tab w:val="num" w:pos="360"/>
        </w:tabs>
        <w:ind w:left="360" w:hanging="360"/>
      </w:pPr>
      <w:rPr>
        <w:rFonts w:ascii="Symbol" w:hAnsi="Symbol" w:cs="Symbol" w:hint="default"/>
      </w:rPr>
    </w:lvl>
  </w:abstractNum>
  <w:abstractNum w:abstractNumId="10">
    <w:nsid w:val="04EA2CDE"/>
    <w:multiLevelType w:val="hybridMultilevel"/>
    <w:tmpl w:val="06C2B31A"/>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1">
    <w:nsid w:val="24C264E7"/>
    <w:multiLevelType w:val="hybridMultilevel"/>
    <w:tmpl w:val="5B984790"/>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2">
    <w:nsid w:val="27F65359"/>
    <w:multiLevelType w:val="hybridMultilevel"/>
    <w:tmpl w:val="6EEE103E"/>
    <w:lvl w:ilvl="0" w:tplc="04210001">
      <w:start w:val="1"/>
      <w:numFmt w:val="bullet"/>
      <w:lvlText w:val=""/>
      <w:lvlJc w:val="left"/>
      <w:pPr>
        <w:ind w:left="720" w:hanging="360"/>
      </w:pPr>
      <w:rPr>
        <w:rFonts w:ascii="Symbol" w:hAnsi="Symbol" w:cs="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cs="Wingdings" w:hint="default"/>
      </w:rPr>
    </w:lvl>
    <w:lvl w:ilvl="3" w:tplc="04210001">
      <w:start w:val="1"/>
      <w:numFmt w:val="bullet"/>
      <w:lvlText w:val=""/>
      <w:lvlJc w:val="left"/>
      <w:pPr>
        <w:ind w:left="2880" w:hanging="360"/>
      </w:pPr>
      <w:rPr>
        <w:rFonts w:ascii="Symbol" w:hAnsi="Symbol" w:cs="Symbol" w:hint="default"/>
      </w:rPr>
    </w:lvl>
    <w:lvl w:ilvl="4" w:tplc="04210003">
      <w:start w:val="1"/>
      <w:numFmt w:val="bullet"/>
      <w:lvlText w:val="o"/>
      <w:lvlJc w:val="left"/>
      <w:pPr>
        <w:ind w:left="3600" w:hanging="360"/>
      </w:pPr>
      <w:rPr>
        <w:rFonts w:ascii="Courier New" w:hAnsi="Courier New" w:cs="Courier New" w:hint="default"/>
      </w:rPr>
    </w:lvl>
    <w:lvl w:ilvl="5" w:tplc="04210005">
      <w:start w:val="1"/>
      <w:numFmt w:val="bullet"/>
      <w:lvlText w:val=""/>
      <w:lvlJc w:val="left"/>
      <w:pPr>
        <w:ind w:left="4320" w:hanging="360"/>
      </w:pPr>
      <w:rPr>
        <w:rFonts w:ascii="Wingdings" w:hAnsi="Wingdings" w:cs="Wingdings" w:hint="default"/>
      </w:rPr>
    </w:lvl>
    <w:lvl w:ilvl="6" w:tplc="04210001">
      <w:start w:val="1"/>
      <w:numFmt w:val="bullet"/>
      <w:lvlText w:val=""/>
      <w:lvlJc w:val="left"/>
      <w:pPr>
        <w:ind w:left="5040" w:hanging="360"/>
      </w:pPr>
      <w:rPr>
        <w:rFonts w:ascii="Symbol" w:hAnsi="Symbol" w:cs="Symbol" w:hint="default"/>
      </w:rPr>
    </w:lvl>
    <w:lvl w:ilvl="7" w:tplc="04210003">
      <w:start w:val="1"/>
      <w:numFmt w:val="bullet"/>
      <w:lvlText w:val="o"/>
      <w:lvlJc w:val="left"/>
      <w:pPr>
        <w:ind w:left="5760" w:hanging="360"/>
      </w:pPr>
      <w:rPr>
        <w:rFonts w:ascii="Courier New" w:hAnsi="Courier New" w:cs="Courier New" w:hint="default"/>
      </w:rPr>
    </w:lvl>
    <w:lvl w:ilvl="8" w:tplc="04210005">
      <w:start w:val="1"/>
      <w:numFmt w:val="bullet"/>
      <w:lvlText w:val=""/>
      <w:lvlJc w:val="left"/>
      <w:pPr>
        <w:ind w:left="6480" w:hanging="360"/>
      </w:pPr>
      <w:rPr>
        <w:rFonts w:ascii="Wingdings" w:hAnsi="Wingdings" w:cs="Wingdings" w:hint="default"/>
      </w:rPr>
    </w:lvl>
  </w:abstractNum>
  <w:abstractNum w:abstractNumId="13">
    <w:nsid w:val="29D10176"/>
    <w:multiLevelType w:val="hybridMultilevel"/>
    <w:tmpl w:val="A5D20C46"/>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4">
    <w:nsid w:val="2BED584D"/>
    <w:multiLevelType w:val="hybridMultilevel"/>
    <w:tmpl w:val="1146258A"/>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decimal"/>
      <w:lvlText w:val="%2."/>
      <w:lvlJc w:val="left"/>
      <w:pPr>
        <w:tabs>
          <w:tab w:val="num" w:pos="1440"/>
        </w:tabs>
        <w:ind w:left="1440" w:hanging="360"/>
      </w:pPr>
      <w:rPr>
        <w:rFonts w:ascii="Times New Roman" w:hAnsi="Times New Roman" w:cs="Times New Roman"/>
      </w:rPr>
    </w:lvl>
    <w:lvl w:ilvl="2" w:tplc="04090005">
      <w:start w:val="1"/>
      <w:numFmt w:val="decimal"/>
      <w:lvlText w:val="%3."/>
      <w:lvlJc w:val="left"/>
      <w:pPr>
        <w:tabs>
          <w:tab w:val="num" w:pos="2160"/>
        </w:tabs>
        <w:ind w:left="2160" w:hanging="360"/>
      </w:pPr>
      <w:rPr>
        <w:rFonts w:ascii="Times New Roman" w:hAnsi="Times New Roman" w:cs="Times New Roman"/>
      </w:rPr>
    </w:lvl>
    <w:lvl w:ilvl="3" w:tplc="04090001">
      <w:start w:val="1"/>
      <w:numFmt w:val="decimal"/>
      <w:lvlText w:val="%4."/>
      <w:lvlJc w:val="left"/>
      <w:pPr>
        <w:tabs>
          <w:tab w:val="num" w:pos="2880"/>
        </w:tabs>
        <w:ind w:left="2880" w:hanging="360"/>
      </w:pPr>
      <w:rPr>
        <w:rFonts w:ascii="Times New Roman" w:hAnsi="Times New Roman" w:cs="Times New Roman"/>
      </w:rPr>
    </w:lvl>
    <w:lvl w:ilvl="4" w:tplc="04090003">
      <w:start w:val="1"/>
      <w:numFmt w:val="decimal"/>
      <w:lvlText w:val="%5."/>
      <w:lvlJc w:val="left"/>
      <w:pPr>
        <w:tabs>
          <w:tab w:val="num" w:pos="3600"/>
        </w:tabs>
        <w:ind w:left="3600" w:hanging="360"/>
      </w:pPr>
      <w:rPr>
        <w:rFonts w:ascii="Times New Roman" w:hAnsi="Times New Roman" w:cs="Times New Roman"/>
      </w:rPr>
    </w:lvl>
    <w:lvl w:ilvl="5" w:tplc="04090005">
      <w:start w:val="1"/>
      <w:numFmt w:val="decimal"/>
      <w:lvlText w:val="%6."/>
      <w:lvlJc w:val="left"/>
      <w:pPr>
        <w:tabs>
          <w:tab w:val="num" w:pos="4320"/>
        </w:tabs>
        <w:ind w:left="4320" w:hanging="360"/>
      </w:pPr>
      <w:rPr>
        <w:rFonts w:ascii="Times New Roman" w:hAnsi="Times New Roman" w:cs="Times New Roman"/>
      </w:rPr>
    </w:lvl>
    <w:lvl w:ilvl="6" w:tplc="04090001">
      <w:start w:val="1"/>
      <w:numFmt w:val="decimal"/>
      <w:lvlText w:val="%7."/>
      <w:lvlJc w:val="left"/>
      <w:pPr>
        <w:tabs>
          <w:tab w:val="num" w:pos="5040"/>
        </w:tabs>
        <w:ind w:left="5040" w:hanging="360"/>
      </w:pPr>
      <w:rPr>
        <w:rFonts w:ascii="Times New Roman" w:hAnsi="Times New Roman" w:cs="Times New Roman"/>
      </w:rPr>
    </w:lvl>
    <w:lvl w:ilvl="7" w:tplc="04090003">
      <w:start w:val="1"/>
      <w:numFmt w:val="decimal"/>
      <w:lvlText w:val="%8."/>
      <w:lvlJc w:val="left"/>
      <w:pPr>
        <w:tabs>
          <w:tab w:val="num" w:pos="5760"/>
        </w:tabs>
        <w:ind w:left="5760" w:hanging="360"/>
      </w:pPr>
      <w:rPr>
        <w:rFonts w:ascii="Times New Roman" w:hAnsi="Times New Roman" w:cs="Times New Roman"/>
      </w:rPr>
    </w:lvl>
    <w:lvl w:ilvl="8" w:tplc="04090005">
      <w:start w:val="1"/>
      <w:numFmt w:val="decimal"/>
      <w:lvlText w:val="%9."/>
      <w:lvlJc w:val="left"/>
      <w:pPr>
        <w:tabs>
          <w:tab w:val="num" w:pos="6480"/>
        </w:tabs>
        <w:ind w:left="6480" w:hanging="360"/>
      </w:pPr>
      <w:rPr>
        <w:rFonts w:ascii="Times New Roman" w:hAnsi="Times New Roman" w:cs="Times New Roman"/>
      </w:rPr>
    </w:lvl>
  </w:abstractNum>
  <w:abstractNum w:abstractNumId="15">
    <w:nsid w:val="2F754903"/>
    <w:multiLevelType w:val="multilevel"/>
    <w:tmpl w:val="AE523030"/>
    <w:lvl w:ilvl="0">
      <w:start w:val="1"/>
      <w:numFmt w:val="decimal"/>
      <w:lvlText w:val="%1."/>
      <w:lvlJc w:val="left"/>
      <w:pPr>
        <w:ind w:left="720" w:hanging="360"/>
      </w:pPr>
      <w:rPr>
        <w:rFonts w:ascii="Times New Roman" w:hAnsi="Times New Roman" w:cs="Times New Roman" w:hint="default"/>
      </w:rPr>
    </w:lvl>
    <w:lvl w:ilvl="1">
      <w:start w:val="1"/>
      <w:numFmt w:val="decimal"/>
      <w:isLgl/>
      <w:lvlText w:val="%1.%2."/>
      <w:lvlJc w:val="left"/>
      <w:pPr>
        <w:ind w:left="1080" w:hanging="720"/>
      </w:pPr>
      <w:rPr>
        <w:rFonts w:ascii="Times New Roman" w:hAnsi="Times New Roman" w:cs="Times New Roman" w:hint="default"/>
      </w:rPr>
    </w:lvl>
    <w:lvl w:ilvl="2">
      <w:start w:val="1"/>
      <w:numFmt w:val="decimal"/>
      <w:isLgl/>
      <w:lvlText w:val="%1.%2.%3."/>
      <w:lvlJc w:val="left"/>
      <w:pPr>
        <w:ind w:left="1080" w:hanging="720"/>
      </w:pPr>
      <w:rPr>
        <w:rFonts w:ascii="Times New Roman" w:hAnsi="Times New Roman" w:cs="Times New Roman" w:hint="default"/>
      </w:rPr>
    </w:lvl>
    <w:lvl w:ilvl="3">
      <w:start w:val="1"/>
      <w:numFmt w:val="decimal"/>
      <w:isLgl/>
      <w:lvlText w:val="%1.%2.%3.%4."/>
      <w:lvlJc w:val="left"/>
      <w:pPr>
        <w:ind w:left="1440" w:hanging="1080"/>
      </w:pPr>
      <w:rPr>
        <w:rFonts w:ascii="Times New Roman" w:hAnsi="Times New Roman" w:cs="Times New Roman" w:hint="default"/>
      </w:rPr>
    </w:lvl>
    <w:lvl w:ilvl="4">
      <w:start w:val="1"/>
      <w:numFmt w:val="decimal"/>
      <w:isLgl/>
      <w:lvlText w:val="%1.%2.%3.%4.%5."/>
      <w:lvlJc w:val="left"/>
      <w:pPr>
        <w:ind w:left="1800" w:hanging="1440"/>
      </w:pPr>
      <w:rPr>
        <w:rFonts w:ascii="Times New Roman" w:hAnsi="Times New Roman" w:cs="Times New Roman" w:hint="default"/>
      </w:rPr>
    </w:lvl>
    <w:lvl w:ilvl="5">
      <w:start w:val="1"/>
      <w:numFmt w:val="decimal"/>
      <w:isLgl/>
      <w:lvlText w:val="%1.%2.%3.%4.%5.%6."/>
      <w:lvlJc w:val="left"/>
      <w:pPr>
        <w:ind w:left="1800" w:hanging="1440"/>
      </w:pPr>
      <w:rPr>
        <w:rFonts w:ascii="Times New Roman" w:hAnsi="Times New Roman" w:cs="Times New Roman" w:hint="default"/>
      </w:rPr>
    </w:lvl>
    <w:lvl w:ilvl="6">
      <w:start w:val="1"/>
      <w:numFmt w:val="decimal"/>
      <w:isLgl/>
      <w:lvlText w:val="%1.%2.%3.%4.%5.%6.%7."/>
      <w:lvlJc w:val="left"/>
      <w:pPr>
        <w:ind w:left="2160" w:hanging="1800"/>
      </w:pPr>
      <w:rPr>
        <w:rFonts w:ascii="Times New Roman" w:hAnsi="Times New Roman" w:cs="Times New Roman" w:hint="default"/>
      </w:rPr>
    </w:lvl>
    <w:lvl w:ilvl="7">
      <w:start w:val="1"/>
      <w:numFmt w:val="decimal"/>
      <w:isLgl/>
      <w:lvlText w:val="%1.%2.%3.%4.%5.%6.%7.%8."/>
      <w:lvlJc w:val="left"/>
      <w:pPr>
        <w:ind w:left="2160" w:hanging="1800"/>
      </w:pPr>
      <w:rPr>
        <w:rFonts w:ascii="Times New Roman" w:hAnsi="Times New Roman" w:cs="Times New Roman" w:hint="default"/>
      </w:rPr>
    </w:lvl>
    <w:lvl w:ilvl="8">
      <w:start w:val="1"/>
      <w:numFmt w:val="decimal"/>
      <w:isLgl/>
      <w:lvlText w:val="%1.%2.%3.%4.%5.%6.%7.%8.%9."/>
      <w:lvlJc w:val="left"/>
      <w:pPr>
        <w:ind w:left="2520" w:hanging="2160"/>
      </w:pPr>
      <w:rPr>
        <w:rFonts w:ascii="Times New Roman" w:hAnsi="Times New Roman" w:cs="Times New Roman" w:hint="default"/>
      </w:rPr>
    </w:lvl>
  </w:abstractNum>
  <w:abstractNum w:abstractNumId="16">
    <w:nsid w:val="3156684F"/>
    <w:multiLevelType w:val="multilevel"/>
    <w:tmpl w:val="AE523030"/>
    <w:lvl w:ilvl="0">
      <w:start w:val="1"/>
      <w:numFmt w:val="decimal"/>
      <w:lvlText w:val="%1."/>
      <w:lvlJc w:val="left"/>
      <w:pPr>
        <w:ind w:left="720" w:hanging="360"/>
      </w:pPr>
      <w:rPr>
        <w:rFonts w:ascii="Times New Roman" w:hAnsi="Times New Roman" w:cs="Times New Roman" w:hint="default"/>
      </w:rPr>
    </w:lvl>
    <w:lvl w:ilvl="1">
      <w:start w:val="1"/>
      <w:numFmt w:val="decimal"/>
      <w:isLgl/>
      <w:lvlText w:val="%1.%2."/>
      <w:lvlJc w:val="left"/>
      <w:pPr>
        <w:ind w:left="1080" w:hanging="720"/>
      </w:pPr>
      <w:rPr>
        <w:rFonts w:ascii="Times New Roman" w:hAnsi="Times New Roman" w:cs="Times New Roman" w:hint="default"/>
      </w:rPr>
    </w:lvl>
    <w:lvl w:ilvl="2">
      <w:start w:val="1"/>
      <w:numFmt w:val="decimal"/>
      <w:isLgl/>
      <w:lvlText w:val="%1.%2.%3."/>
      <w:lvlJc w:val="left"/>
      <w:pPr>
        <w:ind w:left="1080" w:hanging="720"/>
      </w:pPr>
      <w:rPr>
        <w:rFonts w:ascii="Times New Roman" w:hAnsi="Times New Roman" w:cs="Times New Roman" w:hint="default"/>
      </w:rPr>
    </w:lvl>
    <w:lvl w:ilvl="3">
      <w:start w:val="1"/>
      <w:numFmt w:val="decimal"/>
      <w:isLgl/>
      <w:lvlText w:val="%1.%2.%3.%4."/>
      <w:lvlJc w:val="left"/>
      <w:pPr>
        <w:ind w:left="1440" w:hanging="1080"/>
      </w:pPr>
      <w:rPr>
        <w:rFonts w:ascii="Times New Roman" w:hAnsi="Times New Roman" w:cs="Times New Roman" w:hint="default"/>
      </w:rPr>
    </w:lvl>
    <w:lvl w:ilvl="4">
      <w:start w:val="1"/>
      <w:numFmt w:val="decimal"/>
      <w:isLgl/>
      <w:lvlText w:val="%1.%2.%3.%4.%5."/>
      <w:lvlJc w:val="left"/>
      <w:pPr>
        <w:ind w:left="1800" w:hanging="1440"/>
      </w:pPr>
      <w:rPr>
        <w:rFonts w:ascii="Times New Roman" w:hAnsi="Times New Roman" w:cs="Times New Roman" w:hint="default"/>
      </w:rPr>
    </w:lvl>
    <w:lvl w:ilvl="5">
      <w:start w:val="1"/>
      <w:numFmt w:val="decimal"/>
      <w:isLgl/>
      <w:lvlText w:val="%1.%2.%3.%4.%5.%6."/>
      <w:lvlJc w:val="left"/>
      <w:pPr>
        <w:ind w:left="1800" w:hanging="1440"/>
      </w:pPr>
      <w:rPr>
        <w:rFonts w:ascii="Times New Roman" w:hAnsi="Times New Roman" w:cs="Times New Roman" w:hint="default"/>
      </w:rPr>
    </w:lvl>
    <w:lvl w:ilvl="6">
      <w:start w:val="1"/>
      <w:numFmt w:val="decimal"/>
      <w:isLgl/>
      <w:lvlText w:val="%1.%2.%3.%4.%5.%6.%7."/>
      <w:lvlJc w:val="left"/>
      <w:pPr>
        <w:ind w:left="2160" w:hanging="1800"/>
      </w:pPr>
      <w:rPr>
        <w:rFonts w:ascii="Times New Roman" w:hAnsi="Times New Roman" w:cs="Times New Roman" w:hint="default"/>
      </w:rPr>
    </w:lvl>
    <w:lvl w:ilvl="7">
      <w:start w:val="1"/>
      <w:numFmt w:val="decimal"/>
      <w:isLgl/>
      <w:lvlText w:val="%1.%2.%3.%4.%5.%6.%7.%8."/>
      <w:lvlJc w:val="left"/>
      <w:pPr>
        <w:ind w:left="2160" w:hanging="1800"/>
      </w:pPr>
      <w:rPr>
        <w:rFonts w:ascii="Times New Roman" w:hAnsi="Times New Roman" w:cs="Times New Roman" w:hint="default"/>
      </w:rPr>
    </w:lvl>
    <w:lvl w:ilvl="8">
      <w:start w:val="1"/>
      <w:numFmt w:val="decimal"/>
      <w:isLgl/>
      <w:lvlText w:val="%1.%2.%3.%4.%5.%6.%7.%8.%9."/>
      <w:lvlJc w:val="left"/>
      <w:pPr>
        <w:ind w:left="2520" w:hanging="2160"/>
      </w:pPr>
      <w:rPr>
        <w:rFonts w:ascii="Times New Roman" w:hAnsi="Times New Roman" w:cs="Times New Roman" w:hint="default"/>
      </w:rPr>
    </w:lvl>
  </w:abstractNum>
  <w:abstractNum w:abstractNumId="17">
    <w:nsid w:val="368F4AEF"/>
    <w:multiLevelType w:val="multilevel"/>
    <w:tmpl w:val="AE523030"/>
    <w:lvl w:ilvl="0">
      <w:start w:val="1"/>
      <w:numFmt w:val="decimal"/>
      <w:lvlText w:val="%1."/>
      <w:lvlJc w:val="left"/>
      <w:pPr>
        <w:ind w:left="720" w:hanging="360"/>
      </w:pPr>
      <w:rPr>
        <w:rFonts w:ascii="Times New Roman" w:hAnsi="Times New Roman" w:cs="Times New Roman" w:hint="default"/>
      </w:rPr>
    </w:lvl>
    <w:lvl w:ilvl="1">
      <w:start w:val="1"/>
      <w:numFmt w:val="decimal"/>
      <w:isLgl/>
      <w:lvlText w:val="%1.%2."/>
      <w:lvlJc w:val="left"/>
      <w:pPr>
        <w:ind w:left="1080" w:hanging="720"/>
      </w:pPr>
      <w:rPr>
        <w:rFonts w:ascii="Times New Roman" w:hAnsi="Times New Roman" w:cs="Times New Roman" w:hint="default"/>
      </w:rPr>
    </w:lvl>
    <w:lvl w:ilvl="2">
      <w:start w:val="1"/>
      <w:numFmt w:val="decimal"/>
      <w:isLgl/>
      <w:lvlText w:val="%1.%2.%3."/>
      <w:lvlJc w:val="left"/>
      <w:pPr>
        <w:ind w:left="1080" w:hanging="720"/>
      </w:pPr>
      <w:rPr>
        <w:rFonts w:ascii="Times New Roman" w:hAnsi="Times New Roman" w:cs="Times New Roman" w:hint="default"/>
      </w:rPr>
    </w:lvl>
    <w:lvl w:ilvl="3">
      <w:start w:val="1"/>
      <w:numFmt w:val="decimal"/>
      <w:isLgl/>
      <w:lvlText w:val="%1.%2.%3.%4."/>
      <w:lvlJc w:val="left"/>
      <w:pPr>
        <w:ind w:left="1440" w:hanging="1080"/>
      </w:pPr>
      <w:rPr>
        <w:rFonts w:ascii="Times New Roman" w:hAnsi="Times New Roman" w:cs="Times New Roman" w:hint="default"/>
      </w:rPr>
    </w:lvl>
    <w:lvl w:ilvl="4">
      <w:start w:val="1"/>
      <w:numFmt w:val="decimal"/>
      <w:isLgl/>
      <w:lvlText w:val="%1.%2.%3.%4.%5."/>
      <w:lvlJc w:val="left"/>
      <w:pPr>
        <w:ind w:left="1800" w:hanging="1440"/>
      </w:pPr>
      <w:rPr>
        <w:rFonts w:ascii="Times New Roman" w:hAnsi="Times New Roman" w:cs="Times New Roman" w:hint="default"/>
      </w:rPr>
    </w:lvl>
    <w:lvl w:ilvl="5">
      <w:start w:val="1"/>
      <w:numFmt w:val="decimal"/>
      <w:isLgl/>
      <w:lvlText w:val="%1.%2.%3.%4.%5.%6."/>
      <w:lvlJc w:val="left"/>
      <w:pPr>
        <w:ind w:left="1800" w:hanging="1440"/>
      </w:pPr>
      <w:rPr>
        <w:rFonts w:ascii="Times New Roman" w:hAnsi="Times New Roman" w:cs="Times New Roman" w:hint="default"/>
      </w:rPr>
    </w:lvl>
    <w:lvl w:ilvl="6">
      <w:start w:val="1"/>
      <w:numFmt w:val="decimal"/>
      <w:isLgl/>
      <w:lvlText w:val="%1.%2.%3.%4.%5.%6.%7."/>
      <w:lvlJc w:val="left"/>
      <w:pPr>
        <w:ind w:left="2160" w:hanging="1800"/>
      </w:pPr>
      <w:rPr>
        <w:rFonts w:ascii="Times New Roman" w:hAnsi="Times New Roman" w:cs="Times New Roman" w:hint="default"/>
      </w:rPr>
    </w:lvl>
    <w:lvl w:ilvl="7">
      <w:start w:val="1"/>
      <w:numFmt w:val="decimal"/>
      <w:isLgl/>
      <w:lvlText w:val="%1.%2.%3.%4.%5.%6.%7.%8."/>
      <w:lvlJc w:val="left"/>
      <w:pPr>
        <w:ind w:left="2160" w:hanging="1800"/>
      </w:pPr>
      <w:rPr>
        <w:rFonts w:ascii="Times New Roman" w:hAnsi="Times New Roman" w:cs="Times New Roman" w:hint="default"/>
      </w:rPr>
    </w:lvl>
    <w:lvl w:ilvl="8">
      <w:start w:val="1"/>
      <w:numFmt w:val="decimal"/>
      <w:isLgl/>
      <w:lvlText w:val="%1.%2.%3.%4.%5.%6.%7.%8.%9."/>
      <w:lvlJc w:val="left"/>
      <w:pPr>
        <w:ind w:left="2520" w:hanging="2160"/>
      </w:pPr>
      <w:rPr>
        <w:rFonts w:ascii="Times New Roman" w:hAnsi="Times New Roman" w:cs="Times New Roman" w:hint="default"/>
      </w:rPr>
    </w:lvl>
  </w:abstractNum>
  <w:abstractNum w:abstractNumId="18">
    <w:nsid w:val="377252BF"/>
    <w:multiLevelType w:val="hybridMultilevel"/>
    <w:tmpl w:val="8630595E"/>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9">
    <w:nsid w:val="44401B91"/>
    <w:multiLevelType w:val="multilevel"/>
    <w:tmpl w:val="AE523030"/>
    <w:lvl w:ilvl="0">
      <w:start w:val="1"/>
      <w:numFmt w:val="decimal"/>
      <w:lvlText w:val="%1."/>
      <w:lvlJc w:val="left"/>
      <w:pPr>
        <w:ind w:left="720" w:hanging="360"/>
      </w:pPr>
      <w:rPr>
        <w:rFonts w:ascii="Times New Roman" w:hAnsi="Times New Roman" w:cs="Times New Roman" w:hint="default"/>
      </w:rPr>
    </w:lvl>
    <w:lvl w:ilvl="1">
      <w:start w:val="1"/>
      <w:numFmt w:val="decimal"/>
      <w:isLgl/>
      <w:lvlText w:val="%1.%2."/>
      <w:lvlJc w:val="left"/>
      <w:pPr>
        <w:ind w:left="1080" w:hanging="720"/>
      </w:pPr>
      <w:rPr>
        <w:rFonts w:ascii="Times New Roman" w:hAnsi="Times New Roman" w:cs="Times New Roman" w:hint="default"/>
      </w:rPr>
    </w:lvl>
    <w:lvl w:ilvl="2">
      <w:start w:val="1"/>
      <w:numFmt w:val="decimal"/>
      <w:isLgl/>
      <w:lvlText w:val="%1.%2.%3."/>
      <w:lvlJc w:val="left"/>
      <w:pPr>
        <w:ind w:left="1080" w:hanging="720"/>
      </w:pPr>
      <w:rPr>
        <w:rFonts w:ascii="Times New Roman" w:hAnsi="Times New Roman" w:cs="Times New Roman" w:hint="default"/>
      </w:rPr>
    </w:lvl>
    <w:lvl w:ilvl="3">
      <w:start w:val="1"/>
      <w:numFmt w:val="decimal"/>
      <w:isLgl/>
      <w:lvlText w:val="%1.%2.%3.%4."/>
      <w:lvlJc w:val="left"/>
      <w:pPr>
        <w:ind w:left="1440" w:hanging="1080"/>
      </w:pPr>
      <w:rPr>
        <w:rFonts w:ascii="Times New Roman" w:hAnsi="Times New Roman" w:cs="Times New Roman" w:hint="default"/>
      </w:rPr>
    </w:lvl>
    <w:lvl w:ilvl="4">
      <w:start w:val="1"/>
      <w:numFmt w:val="decimal"/>
      <w:isLgl/>
      <w:lvlText w:val="%1.%2.%3.%4.%5."/>
      <w:lvlJc w:val="left"/>
      <w:pPr>
        <w:ind w:left="1800" w:hanging="1440"/>
      </w:pPr>
      <w:rPr>
        <w:rFonts w:ascii="Times New Roman" w:hAnsi="Times New Roman" w:cs="Times New Roman" w:hint="default"/>
      </w:rPr>
    </w:lvl>
    <w:lvl w:ilvl="5">
      <w:start w:val="1"/>
      <w:numFmt w:val="decimal"/>
      <w:isLgl/>
      <w:lvlText w:val="%1.%2.%3.%4.%5.%6."/>
      <w:lvlJc w:val="left"/>
      <w:pPr>
        <w:ind w:left="1800" w:hanging="1440"/>
      </w:pPr>
      <w:rPr>
        <w:rFonts w:ascii="Times New Roman" w:hAnsi="Times New Roman" w:cs="Times New Roman" w:hint="default"/>
      </w:rPr>
    </w:lvl>
    <w:lvl w:ilvl="6">
      <w:start w:val="1"/>
      <w:numFmt w:val="decimal"/>
      <w:isLgl/>
      <w:lvlText w:val="%1.%2.%3.%4.%5.%6.%7."/>
      <w:lvlJc w:val="left"/>
      <w:pPr>
        <w:ind w:left="2160" w:hanging="1800"/>
      </w:pPr>
      <w:rPr>
        <w:rFonts w:ascii="Times New Roman" w:hAnsi="Times New Roman" w:cs="Times New Roman" w:hint="default"/>
      </w:rPr>
    </w:lvl>
    <w:lvl w:ilvl="7">
      <w:start w:val="1"/>
      <w:numFmt w:val="decimal"/>
      <w:isLgl/>
      <w:lvlText w:val="%1.%2.%3.%4.%5.%6.%7.%8."/>
      <w:lvlJc w:val="left"/>
      <w:pPr>
        <w:ind w:left="2160" w:hanging="1800"/>
      </w:pPr>
      <w:rPr>
        <w:rFonts w:ascii="Times New Roman" w:hAnsi="Times New Roman" w:cs="Times New Roman" w:hint="default"/>
      </w:rPr>
    </w:lvl>
    <w:lvl w:ilvl="8">
      <w:start w:val="1"/>
      <w:numFmt w:val="decimal"/>
      <w:isLgl/>
      <w:lvlText w:val="%1.%2.%3.%4.%5.%6.%7.%8.%9."/>
      <w:lvlJc w:val="left"/>
      <w:pPr>
        <w:ind w:left="2520" w:hanging="2160"/>
      </w:pPr>
      <w:rPr>
        <w:rFonts w:ascii="Times New Roman" w:hAnsi="Times New Roman" w:cs="Times New Roman" w:hint="default"/>
      </w:rPr>
    </w:lvl>
  </w:abstractNum>
  <w:abstractNum w:abstractNumId="20">
    <w:nsid w:val="54E061FE"/>
    <w:multiLevelType w:val="hybridMultilevel"/>
    <w:tmpl w:val="1B88B50A"/>
    <w:lvl w:ilvl="0" w:tplc="0409000F">
      <w:start w:val="1"/>
      <w:numFmt w:val="decimal"/>
      <w:lvlText w:val="%1."/>
      <w:lvlJc w:val="left"/>
      <w:pPr>
        <w:tabs>
          <w:tab w:val="num" w:pos="720"/>
        </w:tabs>
        <w:ind w:left="720" w:hanging="360"/>
      </w:pPr>
      <w:rPr>
        <w:rFonts w:ascii="Times New Roman" w:hAnsi="Times New Roman" w:cs="Times New Roman"/>
      </w:rPr>
    </w:lvl>
    <w:lvl w:ilvl="1" w:tplc="04090019">
      <w:start w:val="1"/>
      <w:numFmt w:val="lowerLetter"/>
      <w:lvlText w:val="%2."/>
      <w:lvlJc w:val="left"/>
      <w:pPr>
        <w:tabs>
          <w:tab w:val="num" w:pos="1440"/>
        </w:tabs>
        <w:ind w:left="1440" w:hanging="360"/>
      </w:pPr>
      <w:rPr>
        <w:rFonts w:ascii="Times New Roman" w:hAnsi="Times New Roman" w:cs="Times New Roman"/>
      </w:rPr>
    </w:lvl>
    <w:lvl w:ilvl="2" w:tplc="0409001B">
      <w:start w:val="1"/>
      <w:numFmt w:val="lowerRoman"/>
      <w:lvlText w:val="%3."/>
      <w:lvlJc w:val="right"/>
      <w:pPr>
        <w:tabs>
          <w:tab w:val="num" w:pos="2160"/>
        </w:tabs>
        <w:ind w:left="2160" w:hanging="180"/>
      </w:pPr>
      <w:rPr>
        <w:rFonts w:ascii="Times New Roman" w:hAnsi="Times New Roman" w:cs="Times New Roman"/>
      </w:rPr>
    </w:lvl>
    <w:lvl w:ilvl="3" w:tplc="0409000F">
      <w:start w:val="1"/>
      <w:numFmt w:val="decimal"/>
      <w:lvlText w:val="%4."/>
      <w:lvlJc w:val="left"/>
      <w:pPr>
        <w:tabs>
          <w:tab w:val="num" w:pos="2880"/>
        </w:tabs>
        <w:ind w:left="2880" w:hanging="360"/>
      </w:pPr>
      <w:rPr>
        <w:rFonts w:ascii="Times New Roman" w:hAnsi="Times New Roman" w:cs="Times New Roman"/>
      </w:rPr>
    </w:lvl>
    <w:lvl w:ilvl="4" w:tplc="04090019">
      <w:start w:val="1"/>
      <w:numFmt w:val="lowerLetter"/>
      <w:lvlText w:val="%5."/>
      <w:lvlJc w:val="left"/>
      <w:pPr>
        <w:tabs>
          <w:tab w:val="num" w:pos="3600"/>
        </w:tabs>
        <w:ind w:left="3600" w:hanging="360"/>
      </w:pPr>
      <w:rPr>
        <w:rFonts w:ascii="Times New Roman" w:hAnsi="Times New Roman" w:cs="Times New Roman"/>
      </w:rPr>
    </w:lvl>
    <w:lvl w:ilvl="5" w:tplc="0409001B">
      <w:start w:val="1"/>
      <w:numFmt w:val="lowerRoman"/>
      <w:lvlText w:val="%6."/>
      <w:lvlJc w:val="right"/>
      <w:pPr>
        <w:tabs>
          <w:tab w:val="num" w:pos="4320"/>
        </w:tabs>
        <w:ind w:left="4320" w:hanging="180"/>
      </w:pPr>
      <w:rPr>
        <w:rFonts w:ascii="Times New Roman" w:hAnsi="Times New Roman" w:cs="Times New Roman"/>
      </w:rPr>
    </w:lvl>
    <w:lvl w:ilvl="6" w:tplc="0409000F">
      <w:start w:val="1"/>
      <w:numFmt w:val="decimal"/>
      <w:lvlText w:val="%7."/>
      <w:lvlJc w:val="left"/>
      <w:pPr>
        <w:tabs>
          <w:tab w:val="num" w:pos="5040"/>
        </w:tabs>
        <w:ind w:left="5040" w:hanging="360"/>
      </w:pPr>
      <w:rPr>
        <w:rFonts w:ascii="Times New Roman" w:hAnsi="Times New Roman" w:cs="Times New Roman"/>
      </w:rPr>
    </w:lvl>
    <w:lvl w:ilvl="7" w:tplc="04090019">
      <w:start w:val="1"/>
      <w:numFmt w:val="lowerLetter"/>
      <w:lvlText w:val="%8."/>
      <w:lvlJc w:val="left"/>
      <w:pPr>
        <w:tabs>
          <w:tab w:val="num" w:pos="5760"/>
        </w:tabs>
        <w:ind w:left="5760" w:hanging="360"/>
      </w:pPr>
      <w:rPr>
        <w:rFonts w:ascii="Times New Roman" w:hAnsi="Times New Roman" w:cs="Times New Roman"/>
      </w:rPr>
    </w:lvl>
    <w:lvl w:ilvl="8" w:tplc="0409001B">
      <w:start w:val="1"/>
      <w:numFmt w:val="lowerRoman"/>
      <w:lvlText w:val="%9."/>
      <w:lvlJc w:val="right"/>
      <w:pPr>
        <w:tabs>
          <w:tab w:val="num" w:pos="6480"/>
        </w:tabs>
        <w:ind w:left="6480" w:hanging="180"/>
      </w:pPr>
      <w:rPr>
        <w:rFonts w:ascii="Times New Roman" w:hAnsi="Times New Roman" w:cs="Times New Roman"/>
      </w:rPr>
    </w:lvl>
  </w:abstractNum>
  <w:abstractNum w:abstractNumId="21">
    <w:nsid w:val="61B229B5"/>
    <w:multiLevelType w:val="multilevel"/>
    <w:tmpl w:val="AE523030"/>
    <w:lvl w:ilvl="0">
      <w:start w:val="1"/>
      <w:numFmt w:val="decimal"/>
      <w:lvlText w:val="%1."/>
      <w:lvlJc w:val="left"/>
      <w:pPr>
        <w:ind w:left="720" w:hanging="360"/>
      </w:pPr>
      <w:rPr>
        <w:rFonts w:ascii="Times New Roman" w:hAnsi="Times New Roman" w:cs="Times New Roman" w:hint="default"/>
      </w:rPr>
    </w:lvl>
    <w:lvl w:ilvl="1">
      <w:start w:val="1"/>
      <w:numFmt w:val="decimal"/>
      <w:isLgl/>
      <w:lvlText w:val="%1.%2."/>
      <w:lvlJc w:val="left"/>
      <w:pPr>
        <w:ind w:left="1080" w:hanging="720"/>
      </w:pPr>
      <w:rPr>
        <w:rFonts w:ascii="Times New Roman" w:hAnsi="Times New Roman" w:cs="Times New Roman" w:hint="default"/>
      </w:rPr>
    </w:lvl>
    <w:lvl w:ilvl="2">
      <w:start w:val="1"/>
      <w:numFmt w:val="decimal"/>
      <w:isLgl/>
      <w:lvlText w:val="%1.%2.%3."/>
      <w:lvlJc w:val="left"/>
      <w:pPr>
        <w:ind w:left="1080" w:hanging="720"/>
      </w:pPr>
      <w:rPr>
        <w:rFonts w:ascii="Times New Roman" w:hAnsi="Times New Roman" w:cs="Times New Roman" w:hint="default"/>
      </w:rPr>
    </w:lvl>
    <w:lvl w:ilvl="3">
      <w:start w:val="1"/>
      <w:numFmt w:val="decimal"/>
      <w:isLgl/>
      <w:lvlText w:val="%1.%2.%3.%4."/>
      <w:lvlJc w:val="left"/>
      <w:pPr>
        <w:ind w:left="1440" w:hanging="1080"/>
      </w:pPr>
      <w:rPr>
        <w:rFonts w:ascii="Times New Roman" w:hAnsi="Times New Roman" w:cs="Times New Roman" w:hint="default"/>
      </w:rPr>
    </w:lvl>
    <w:lvl w:ilvl="4">
      <w:start w:val="1"/>
      <w:numFmt w:val="decimal"/>
      <w:isLgl/>
      <w:lvlText w:val="%1.%2.%3.%4.%5."/>
      <w:lvlJc w:val="left"/>
      <w:pPr>
        <w:ind w:left="1800" w:hanging="1440"/>
      </w:pPr>
      <w:rPr>
        <w:rFonts w:ascii="Times New Roman" w:hAnsi="Times New Roman" w:cs="Times New Roman" w:hint="default"/>
      </w:rPr>
    </w:lvl>
    <w:lvl w:ilvl="5">
      <w:start w:val="1"/>
      <w:numFmt w:val="decimal"/>
      <w:isLgl/>
      <w:lvlText w:val="%1.%2.%3.%4.%5.%6."/>
      <w:lvlJc w:val="left"/>
      <w:pPr>
        <w:ind w:left="1800" w:hanging="1440"/>
      </w:pPr>
      <w:rPr>
        <w:rFonts w:ascii="Times New Roman" w:hAnsi="Times New Roman" w:cs="Times New Roman" w:hint="default"/>
      </w:rPr>
    </w:lvl>
    <w:lvl w:ilvl="6">
      <w:start w:val="1"/>
      <w:numFmt w:val="decimal"/>
      <w:isLgl/>
      <w:lvlText w:val="%1.%2.%3.%4.%5.%6.%7."/>
      <w:lvlJc w:val="left"/>
      <w:pPr>
        <w:ind w:left="2160" w:hanging="1800"/>
      </w:pPr>
      <w:rPr>
        <w:rFonts w:ascii="Times New Roman" w:hAnsi="Times New Roman" w:cs="Times New Roman" w:hint="default"/>
      </w:rPr>
    </w:lvl>
    <w:lvl w:ilvl="7">
      <w:start w:val="1"/>
      <w:numFmt w:val="decimal"/>
      <w:isLgl/>
      <w:lvlText w:val="%1.%2.%3.%4.%5.%6.%7.%8."/>
      <w:lvlJc w:val="left"/>
      <w:pPr>
        <w:ind w:left="2160" w:hanging="1800"/>
      </w:pPr>
      <w:rPr>
        <w:rFonts w:ascii="Times New Roman" w:hAnsi="Times New Roman" w:cs="Times New Roman" w:hint="default"/>
      </w:rPr>
    </w:lvl>
    <w:lvl w:ilvl="8">
      <w:start w:val="1"/>
      <w:numFmt w:val="decimal"/>
      <w:isLgl/>
      <w:lvlText w:val="%1.%2.%3.%4.%5.%6.%7.%8.%9."/>
      <w:lvlJc w:val="left"/>
      <w:pPr>
        <w:ind w:left="2520" w:hanging="2160"/>
      </w:pPr>
      <w:rPr>
        <w:rFonts w:ascii="Times New Roman" w:hAnsi="Times New Roman" w:cs="Times New Roman" w:hint="default"/>
      </w:rPr>
    </w:lvl>
  </w:abstractNum>
  <w:abstractNum w:abstractNumId="22">
    <w:nsid w:val="76061B11"/>
    <w:multiLevelType w:val="hybridMultilevel"/>
    <w:tmpl w:val="BC3251D6"/>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num w:numId="1">
    <w:abstractNumId w:val="9"/>
  </w:num>
  <w:num w:numId="2">
    <w:abstractNumId w:val="9"/>
  </w:num>
  <w:num w:numId="3">
    <w:abstractNumId w:val="9"/>
  </w:num>
  <w:num w:numId="4">
    <w:abstractNumId w:val="15"/>
  </w:num>
  <w:num w:numId="5">
    <w:abstractNumId w:val="13"/>
  </w:num>
  <w:num w:numId="6">
    <w:abstractNumId w:val="18"/>
  </w:num>
  <w:num w:numId="7">
    <w:abstractNumId w:val="20"/>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21"/>
  </w:num>
  <w:num w:numId="19">
    <w:abstractNumId w:val="17"/>
  </w:num>
  <w:num w:numId="20">
    <w:abstractNumId w:val="16"/>
  </w:num>
  <w:num w:numId="21">
    <w:abstractNumId w:val="19"/>
  </w:num>
  <w:num w:numId="22">
    <w:abstractNumId w:val="22"/>
  </w:num>
  <w:num w:numId="23">
    <w:abstractNumId w:val="10"/>
  </w:num>
  <w:num w:numId="24">
    <w:abstractNumId w:val="12"/>
  </w:num>
  <w:num w:numId="25">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num>
  <w:num w:numId="27">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trackRevisions/>
  <w:defaultTabStop w:val="720"/>
  <w:hyphenationZone w:val="425"/>
  <w:doNotHyphenateCaps/>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85A81"/>
    <w:rsid w:val="00E85A81"/>
  </w:rsids>
  <m:mathPr>
    <m:mathFont m:val="Cambria Math"/>
    <m:brkBin m:val="before"/>
    <m:brkBinSub m:val="--"/>
    <m:smallFrac m:val="off"/>
    <m:dispDef/>
    <m:lMargin m:val="0"/>
    <m:rMargin m:val="0"/>
    <m:defJc m:val="centerGroup"/>
    <m:wrapIndent m:val="1440"/>
    <m:intLim m:val="subSup"/>
    <m:naryLim m:val="undOvr"/>
  </m:mathPr>
  <w:uiCompat97To2003/>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nhideWhenUsed="0"/>
    <w:lsdException w:name="toc 2" w:unhideWhenUsed="0"/>
    <w:lsdException w:name="toc 3" w:unhideWhenUsed="0"/>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header" w:unhideWhenUsed="0"/>
    <w:lsdException w:name="footer" w:unhideWhenUsed="0"/>
    <w:lsdException w:name="caption" w:uiPriority="35" w:qFormat="1"/>
    <w:lsdException w:name="footnote reference" w:unhideWhenUsed="0"/>
    <w:lsdException w:name="page number" w:unhideWhenUsed="0"/>
    <w:lsdException w:name="List Bullet" w:unhideWhenUsed="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nhideWhenUsed="0" w:qFormat="1"/>
    <w:lsdException w:name="Emphasis" w:semiHidden="0" w:uiPriority="20" w:unhideWhenUsed="0" w:qFormat="1"/>
    <w:lsdException w:name="Balloon Text" w:unhideWhenUsed="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nhideWhenUsed="0" w:qFormat="1"/>
  </w:latentStyles>
  <w:style w:type="paragraph" w:default="1" w:styleId="Normal">
    <w:name w:val="Normal"/>
    <w:qFormat/>
    <w:pPr>
      <w:spacing w:after="200" w:line="276" w:lineRule="auto"/>
      <w:jc w:val="both"/>
    </w:pPr>
    <w:rPr>
      <w:rFonts w:ascii="Calibri" w:hAnsi="Calibri" w:cs="Calibri"/>
      <w:lang w:val="en-US" w:eastAsia="en-US"/>
    </w:rPr>
  </w:style>
  <w:style w:type="paragraph" w:styleId="Heading1">
    <w:name w:val="heading 1"/>
    <w:basedOn w:val="Normal"/>
    <w:next w:val="Normal"/>
    <w:link w:val="Heading1Char"/>
    <w:uiPriority w:val="99"/>
    <w:qFormat/>
    <w:pPr>
      <w:keepNext/>
      <w:keepLines/>
      <w:spacing w:before="480" w:after="0"/>
      <w:outlineLvl w:val="0"/>
    </w:pPr>
    <w:rPr>
      <w:rFonts w:ascii="Cambria" w:hAnsi="Cambria" w:cs="Cambria"/>
      <w:b/>
      <w:bCs/>
      <w:color w:val="365F91"/>
      <w:sz w:val="28"/>
      <w:szCs w:val="28"/>
    </w:rPr>
  </w:style>
  <w:style w:type="paragraph" w:styleId="Heading2">
    <w:name w:val="heading 2"/>
    <w:basedOn w:val="Normal"/>
    <w:next w:val="Normal"/>
    <w:link w:val="Heading2Char"/>
    <w:uiPriority w:val="99"/>
    <w:qFormat/>
    <w:pPr>
      <w:keepNext/>
      <w:keepLines/>
      <w:spacing w:before="200" w:after="0"/>
      <w:outlineLvl w:val="1"/>
    </w:pPr>
    <w:rPr>
      <w:rFonts w:ascii="Cambria" w:hAnsi="Cambria" w:cs="Cambria"/>
      <w:b/>
      <w:bCs/>
      <w:color w:val="4F81BD"/>
      <w:sz w:val="26"/>
      <w:szCs w:val="26"/>
    </w:rPr>
  </w:style>
  <w:style w:type="paragraph" w:styleId="Heading3">
    <w:name w:val="heading 3"/>
    <w:basedOn w:val="Normal"/>
    <w:next w:val="Normal"/>
    <w:link w:val="Heading3Char"/>
    <w:uiPriority w:val="99"/>
    <w:qFormat/>
    <w:pPr>
      <w:keepNext/>
      <w:spacing w:before="240" w:after="60"/>
      <w:outlineLvl w:val="2"/>
    </w:pPr>
    <w:rPr>
      <w:rFonts w:ascii="Cambria" w:hAnsi="Cambria" w:cs="Cambria"/>
      <w:b/>
      <w:bCs/>
      <w:sz w:val="26"/>
      <w:szCs w:val="26"/>
    </w:rPr>
  </w:style>
  <w:style w:type="character" w:default="1" w:styleId="DefaultParagraphFont">
    <w:name w:val="Default Paragraph Font"/>
    <w:uiPriority w:val="99"/>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Pr>
      <w:rFonts w:ascii="Cambria" w:hAnsi="Cambria" w:cs="Cambria"/>
      <w:b/>
      <w:bCs/>
      <w:color w:val="365F91"/>
      <w:sz w:val="28"/>
      <w:szCs w:val="28"/>
    </w:rPr>
  </w:style>
  <w:style w:type="character" w:customStyle="1" w:styleId="Heading2Char">
    <w:name w:val="Heading 2 Char"/>
    <w:basedOn w:val="DefaultParagraphFont"/>
    <w:link w:val="Heading2"/>
    <w:uiPriority w:val="99"/>
    <w:rPr>
      <w:rFonts w:ascii="Cambria" w:hAnsi="Cambria" w:cs="Cambria"/>
      <w:b/>
      <w:bCs/>
      <w:color w:val="4F81BD"/>
      <w:sz w:val="26"/>
      <w:szCs w:val="26"/>
    </w:rPr>
  </w:style>
  <w:style w:type="character" w:customStyle="1" w:styleId="Heading3Char">
    <w:name w:val="Heading 3 Char"/>
    <w:basedOn w:val="DefaultParagraphFont"/>
    <w:link w:val="Heading3"/>
    <w:uiPriority w:val="99"/>
    <w:rPr>
      <w:rFonts w:ascii="Cambria" w:hAnsi="Cambria" w:cs="Cambria"/>
      <w:b/>
      <w:bCs/>
      <w:sz w:val="26"/>
      <w:szCs w:val="26"/>
    </w:rPr>
  </w:style>
  <w:style w:type="paragraph" w:customStyle="1" w:styleId="Default">
    <w:name w:val="Default"/>
    <w:uiPriority w:val="99"/>
    <w:pPr>
      <w:autoSpaceDE w:val="0"/>
      <w:autoSpaceDN w:val="0"/>
      <w:adjustRightInd w:val="0"/>
    </w:pPr>
    <w:rPr>
      <w:rFonts w:ascii="Calibri" w:hAnsi="Calibri" w:cs="Calibri"/>
      <w:color w:val="000000"/>
      <w:sz w:val="24"/>
      <w:szCs w:val="24"/>
      <w:lang w:val="en-US" w:eastAsia="en-US"/>
    </w:rPr>
  </w:style>
  <w:style w:type="character" w:styleId="Strong">
    <w:name w:val="Strong"/>
    <w:basedOn w:val="DefaultParagraphFont"/>
    <w:uiPriority w:val="99"/>
    <w:qFormat/>
    <w:rPr>
      <w:rFonts w:ascii="Times New Roman" w:hAnsi="Times New Roman" w:cs="Times New Roman"/>
      <w:b/>
      <w:bCs/>
    </w:rPr>
  </w:style>
  <w:style w:type="character" w:styleId="Hyperlink">
    <w:name w:val="Hyperlink"/>
    <w:basedOn w:val="DefaultParagraphFont"/>
    <w:uiPriority w:val="99"/>
    <w:rPr>
      <w:rFonts w:ascii="Times New Roman" w:hAnsi="Times New Roman" w:cs="Times New Roman"/>
      <w:color w:val="0000FF"/>
      <w:u w:val="single"/>
    </w:rPr>
  </w:style>
  <w:style w:type="paragraph" w:styleId="BalloonText">
    <w:name w:val="Balloon Text"/>
    <w:basedOn w:val="Normal"/>
    <w:link w:val="BalloonTextChar"/>
    <w:uiPriority w:val="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Pr>
      <w:rFonts w:ascii="Tahoma" w:hAnsi="Tahoma" w:cs="Tahoma"/>
      <w:sz w:val="16"/>
      <w:szCs w:val="16"/>
    </w:rPr>
  </w:style>
  <w:style w:type="paragraph" w:styleId="FootnoteText">
    <w:name w:val="footnote text"/>
    <w:basedOn w:val="Normal"/>
    <w:link w:val="FootnoteTextChar"/>
    <w:uiPriority w:val="99"/>
    <w:rPr>
      <w:sz w:val="20"/>
      <w:szCs w:val="20"/>
    </w:rPr>
  </w:style>
  <w:style w:type="character" w:customStyle="1" w:styleId="FootnoteTextChar">
    <w:name w:val="Footnote Text Char"/>
    <w:basedOn w:val="DefaultParagraphFont"/>
    <w:link w:val="FootnoteText"/>
    <w:uiPriority w:val="99"/>
    <w:rPr>
      <w:rFonts w:ascii="Calibri" w:hAnsi="Calibri" w:cs="Calibri"/>
      <w:lang w:val="en-US" w:eastAsia="en-US"/>
    </w:rPr>
  </w:style>
  <w:style w:type="character" w:styleId="FootnoteReference">
    <w:name w:val="footnote reference"/>
    <w:basedOn w:val="DefaultParagraphFont"/>
    <w:uiPriority w:val="99"/>
    <w:rPr>
      <w:rFonts w:ascii="Times New Roman" w:hAnsi="Times New Roman" w:cs="Times New Roman"/>
      <w:vertAlign w:val="superscript"/>
    </w:rPr>
  </w:style>
  <w:style w:type="paragraph" w:styleId="Header">
    <w:name w:val="header"/>
    <w:basedOn w:val="Normal"/>
    <w:link w:val="HeaderChar"/>
    <w:uiPriority w:val="99"/>
    <w:pPr>
      <w:tabs>
        <w:tab w:val="center" w:pos="4680"/>
        <w:tab w:val="right" w:pos="9360"/>
      </w:tabs>
    </w:pPr>
  </w:style>
  <w:style w:type="character" w:customStyle="1" w:styleId="HeaderChar">
    <w:name w:val="Header Char"/>
    <w:basedOn w:val="DefaultParagraphFont"/>
    <w:link w:val="Header"/>
    <w:uiPriority w:val="99"/>
    <w:rPr>
      <w:rFonts w:ascii="Times New Roman" w:hAnsi="Times New Roman" w:cs="Times New Roman"/>
    </w:rPr>
  </w:style>
  <w:style w:type="paragraph" w:styleId="Footer">
    <w:name w:val="footer"/>
    <w:basedOn w:val="Normal"/>
    <w:link w:val="FooterChar"/>
    <w:uiPriority w:val="99"/>
    <w:pPr>
      <w:tabs>
        <w:tab w:val="center" w:pos="4680"/>
        <w:tab w:val="right" w:pos="9360"/>
      </w:tabs>
    </w:pPr>
  </w:style>
  <w:style w:type="character" w:customStyle="1" w:styleId="FooterChar">
    <w:name w:val="Footer Char"/>
    <w:basedOn w:val="DefaultParagraphFont"/>
    <w:link w:val="Footer"/>
    <w:uiPriority w:val="99"/>
    <w:rPr>
      <w:rFonts w:ascii="Times New Roman" w:hAnsi="Times New Roman" w:cs="Times New Roman"/>
    </w:rPr>
  </w:style>
  <w:style w:type="paragraph" w:styleId="TOCHeading">
    <w:name w:val="TOC Heading"/>
    <w:basedOn w:val="Heading1"/>
    <w:next w:val="Normal"/>
    <w:uiPriority w:val="99"/>
    <w:qFormat/>
    <w:pPr>
      <w:jc w:val="left"/>
      <w:outlineLvl w:val="9"/>
    </w:pPr>
  </w:style>
  <w:style w:type="paragraph" w:styleId="TOC1">
    <w:name w:val="toc 1"/>
    <w:basedOn w:val="Normal"/>
    <w:next w:val="Normal"/>
    <w:autoRedefine/>
    <w:uiPriority w:val="99"/>
  </w:style>
  <w:style w:type="paragraph" w:styleId="TOC2">
    <w:name w:val="toc 2"/>
    <w:basedOn w:val="Normal"/>
    <w:next w:val="Normal"/>
    <w:autoRedefine/>
    <w:uiPriority w:val="99"/>
    <w:pPr>
      <w:ind w:left="220"/>
    </w:pPr>
  </w:style>
  <w:style w:type="paragraph" w:styleId="TOC3">
    <w:name w:val="toc 3"/>
    <w:basedOn w:val="Normal"/>
    <w:next w:val="Normal"/>
    <w:autoRedefine/>
    <w:uiPriority w:val="99"/>
    <w:pPr>
      <w:ind w:left="440"/>
    </w:pPr>
  </w:style>
  <w:style w:type="character" w:styleId="PageNumber">
    <w:name w:val="page number"/>
    <w:basedOn w:val="DefaultParagraphFont"/>
    <w:uiPriority w:val="99"/>
    <w:rPr>
      <w:rFonts w:ascii="Times New Roman" w:hAnsi="Times New Roman" w:cs="Times New Roman"/>
    </w:rPr>
  </w:style>
  <w:style w:type="character" w:customStyle="1" w:styleId="highlight3">
    <w:name w:val="highlight3"/>
    <w:basedOn w:val="DefaultParagraphFont"/>
    <w:uiPriority w:val="99"/>
    <w:rPr>
      <w:rFonts w:ascii="Times New Roman" w:hAnsi="Times New Roman" w:cs="Times New Roman"/>
      <w:b/>
      <w:bCs/>
      <w:color w:val="auto"/>
    </w:rPr>
  </w:style>
  <w:style w:type="paragraph" w:styleId="ListBullet">
    <w:name w:val="List Bullet"/>
    <w:basedOn w:val="Normal"/>
    <w:autoRedefine/>
    <w:uiPriority w:val="99"/>
    <w:pPr>
      <w:tabs>
        <w:tab w:val="num" w:pos="360"/>
      </w:tabs>
      <w:ind w:left="360" w:hanging="360"/>
      <w:jc w:val="left"/>
    </w:pPr>
  </w:style>
  <w:style w:type="paragraph" w:customStyle="1" w:styleId="Style1">
    <w:name w:val="Style1"/>
    <w:basedOn w:val="Heading1"/>
    <w:uiPriority w:val="99"/>
  </w:style>
  <w:style w:type="paragraph" w:styleId="NoSpacing">
    <w:name w:val="No Spacing"/>
    <w:basedOn w:val="Normal"/>
    <w:uiPriority w:val="99"/>
    <w:qFormat/>
    <w:pPr>
      <w:spacing w:after="0" w:line="240" w:lineRule="auto"/>
      <w:jc w:val="left"/>
    </w:pPr>
  </w:style>
  <w:style w:type="character" w:styleId="SubtleEmphasis">
    <w:name w:val="Subtle Emphasis"/>
    <w:basedOn w:val="DefaultParagraphFont"/>
    <w:uiPriority w:val="99"/>
    <w:qFormat/>
    <w:rPr>
      <w:rFonts w:ascii="Times New Roman" w:hAnsi="Times New Roman" w:cs="Times New Roman"/>
      <w:i/>
      <w:iCs/>
    </w:rPr>
  </w:style>
  <w:style w:type="paragraph" w:styleId="ListParagraph">
    <w:name w:val="List Paragraph"/>
    <w:basedOn w:val="Normal"/>
    <w:uiPriority w:val="99"/>
    <w:qFormat/>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ifrs.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40</Pages>
  <Words>13185</Words>
  <Characters>-32766</Characters>
  <Application>Microsoft Office Outlook</Application>
  <DocSecurity>0</DocSecurity>
  <Lines>0</Lines>
  <Paragraphs>0</Paragraphs>
  <ScaleCrop>false</ScaleCrop>
  <Company>Erasmus Universiteit Rotterdam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Bachelor Thesis</dc:title>
  <dc:subject/>
  <dc:creator>Saragih</dc:creator>
  <cp:keywords/>
  <dc:description/>
  <cp:lastModifiedBy>C.D. Knoops</cp:lastModifiedBy>
  <cp:revision>2</cp:revision>
  <cp:lastPrinted>2011-06-16T14:01:00Z</cp:lastPrinted>
  <dcterms:created xsi:type="dcterms:W3CDTF">2011-06-19T19:46:00Z</dcterms:created>
  <dcterms:modified xsi:type="dcterms:W3CDTF">2011-06-19T19:46:00Z</dcterms:modified>
</cp:coreProperties>
</file>